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51CF" w14:paraId="0BEF84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36D7AF" w14:textId="77777777" w:rsidR="00751A4A" w:rsidRPr="00F051CF" w:rsidRDefault="00B23D4F" w:rsidP="0010095E">
            <w:pPr>
              <w:pStyle w:val="EPName"/>
            </w:pPr>
            <w:r w:rsidRPr="00F051CF">
              <w:t>Európsky parlament</w:t>
            </w:r>
          </w:p>
          <w:p w14:paraId="2AFD219A" w14:textId="77777777" w:rsidR="00751A4A" w:rsidRPr="00F051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51CF">
              <w:t>2024</w:t>
            </w:r>
            <w:r w:rsidR="00817416" w:rsidRPr="00F051CF">
              <w:t>-202</w:t>
            </w:r>
            <w:r w:rsidRPr="00F051CF">
              <w:t>9</w:t>
            </w:r>
          </w:p>
        </w:tc>
        <w:tc>
          <w:tcPr>
            <w:tcW w:w="2268" w:type="dxa"/>
            <w:shd w:val="clear" w:color="auto" w:fill="auto"/>
          </w:tcPr>
          <w:p w14:paraId="4BFEE04B" w14:textId="77777777" w:rsidR="00751A4A" w:rsidRPr="00F051CF" w:rsidRDefault="00187494" w:rsidP="0010095E">
            <w:pPr>
              <w:pStyle w:val="EPLogo"/>
            </w:pPr>
            <w:r w:rsidRPr="00F051CF">
              <w:rPr>
                <w:noProof/>
                <w:lang w:eastAsia="ja-JP"/>
              </w:rPr>
              <w:drawing>
                <wp:inline distT="0" distB="0" distL="0" distR="0" wp14:anchorId="03AD74E6" wp14:editId="306A4F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C660FE" w14:textId="77777777" w:rsidR="00D058B8" w:rsidRPr="00F051CF" w:rsidRDefault="00D058B8" w:rsidP="004C5D52">
      <w:pPr>
        <w:pStyle w:val="LineTop"/>
      </w:pPr>
    </w:p>
    <w:p w14:paraId="1B83FD24" w14:textId="77777777" w:rsidR="00680577" w:rsidRPr="00F051CF" w:rsidRDefault="00B23D4F" w:rsidP="00680577">
      <w:pPr>
        <w:pStyle w:val="EPBodyTA1"/>
      </w:pPr>
      <w:r w:rsidRPr="00F051CF">
        <w:t>PRIJATÉ TEXTY</w:t>
      </w:r>
    </w:p>
    <w:p w14:paraId="31931423" w14:textId="77777777" w:rsidR="00D058B8" w:rsidRPr="00F051CF" w:rsidRDefault="00D058B8" w:rsidP="00D058B8">
      <w:pPr>
        <w:pStyle w:val="LineBottom"/>
      </w:pPr>
    </w:p>
    <w:p w14:paraId="7278562F" w14:textId="4A300527" w:rsidR="00B23D4F" w:rsidRPr="00F051CF" w:rsidRDefault="00B23D4F" w:rsidP="00B23D4F">
      <w:pPr>
        <w:pStyle w:val="ATHeading1"/>
      </w:pPr>
      <w:bookmarkStart w:id="0" w:name="TANumber"/>
      <w:r w:rsidRPr="00F051CF">
        <w:t>P10_TA(2026)0</w:t>
      </w:r>
      <w:r w:rsidR="00F051CF" w:rsidRPr="00F051CF">
        <w:t>131</w:t>
      </w:r>
      <w:bookmarkEnd w:id="0"/>
    </w:p>
    <w:p w14:paraId="0D8F3041" w14:textId="77777777" w:rsidR="00B23D4F" w:rsidRPr="00F051CF" w:rsidRDefault="00B23D4F" w:rsidP="00B23D4F">
      <w:pPr>
        <w:pStyle w:val="ATHeading2"/>
      </w:pPr>
      <w:bookmarkStart w:id="1" w:name="title"/>
      <w:r w:rsidRPr="00F051CF">
        <w:t>Absolutórium za rok 2024: všeobecný rozpočet EÚ – Európsky hospodársky a sociálny výbor</w:t>
      </w:r>
      <w:bookmarkEnd w:id="1"/>
    </w:p>
    <w:p w14:paraId="493AE5BC" w14:textId="77777777" w:rsidR="00B23D4F" w:rsidRPr="00F051CF" w:rsidRDefault="00B23D4F" w:rsidP="00B23D4F">
      <w:pPr>
        <w:rPr>
          <w:i/>
          <w:vanish/>
        </w:rPr>
      </w:pPr>
      <w:r w:rsidRPr="00F051CF">
        <w:rPr>
          <w:i/>
        </w:rPr>
        <w:fldChar w:fldCharType="begin"/>
      </w:r>
      <w:r w:rsidRPr="00F051CF">
        <w:rPr>
          <w:i/>
        </w:rPr>
        <w:instrText xml:space="preserve"> TC"(</w:instrText>
      </w:r>
      <w:bookmarkStart w:id="2" w:name="DocNumber"/>
      <w:r w:rsidRPr="00F051CF">
        <w:rPr>
          <w:i/>
        </w:rPr>
        <w:instrText>A10-0059/2026</w:instrText>
      </w:r>
      <w:bookmarkEnd w:id="2"/>
      <w:r w:rsidRPr="00F051CF">
        <w:rPr>
          <w:i/>
        </w:rPr>
        <w:instrText xml:space="preserve"> - Spravodajca: Pasquale Tridico)"\l3 \n&gt; \* MERGEFORMAT </w:instrText>
      </w:r>
      <w:r w:rsidRPr="00F051CF">
        <w:rPr>
          <w:i/>
        </w:rPr>
        <w:fldChar w:fldCharType="end"/>
      </w:r>
    </w:p>
    <w:p w14:paraId="738C3902" w14:textId="77777777" w:rsidR="00B23D4F" w:rsidRPr="00F051CF" w:rsidRDefault="00B23D4F" w:rsidP="00B23D4F">
      <w:pPr>
        <w:rPr>
          <w:vanish/>
        </w:rPr>
      </w:pPr>
      <w:bookmarkStart w:id="3" w:name="Commission"/>
      <w:r w:rsidRPr="00F051CF">
        <w:rPr>
          <w:vanish/>
        </w:rPr>
        <w:t>Výbor pre kontrolu rozpočtu</w:t>
      </w:r>
      <w:bookmarkEnd w:id="3"/>
    </w:p>
    <w:p w14:paraId="6573E827" w14:textId="77777777" w:rsidR="00B23D4F" w:rsidRPr="00F051CF" w:rsidRDefault="00B23D4F" w:rsidP="00B23D4F">
      <w:pPr>
        <w:rPr>
          <w:vanish/>
        </w:rPr>
      </w:pPr>
      <w:bookmarkStart w:id="4" w:name="PE"/>
      <w:r w:rsidRPr="00F051CF">
        <w:rPr>
          <w:vanish/>
        </w:rPr>
        <w:t>PE778.063</w:t>
      </w:r>
      <w:bookmarkEnd w:id="4"/>
    </w:p>
    <w:p w14:paraId="2A9E05B3" w14:textId="1969CEE1" w:rsidR="00B23D4F" w:rsidRPr="00F051CF" w:rsidRDefault="00A74F30" w:rsidP="00B23D4F">
      <w:pPr>
        <w:pStyle w:val="ATHeading3"/>
      </w:pPr>
      <w:bookmarkStart w:id="5" w:name="Sujet"/>
      <w:r w:rsidRPr="00F051CF">
        <w:t xml:space="preserve">1. </w:t>
      </w:r>
      <w:r w:rsidR="00B23D4F" w:rsidRPr="00F051CF">
        <w:t xml:space="preserve">Rozhodnutie Európskeho parlamentu z </w:t>
      </w:r>
      <w:r w:rsidR="00F109CC" w:rsidRPr="00F051CF">
        <w:t>29</w:t>
      </w:r>
      <w:r w:rsidR="00B23D4F" w:rsidRPr="00F051CF">
        <w:t xml:space="preserve">. </w:t>
      </w:r>
      <w:r w:rsidR="00E9546D" w:rsidRPr="00F051CF">
        <w:t xml:space="preserve">apríla </w:t>
      </w:r>
      <w:r w:rsidR="00B23D4F" w:rsidRPr="00F051CF">
        <w:t>2026 o absolutóriu za plnenie všeobecného rozpočtu Európskej únie za rozpočtový rok 2024, oddiel VI – Európsky hospodársky a sociálny výbor</w:t>
      </w:r>
      <w:bookmarkEnd w:id="5"/>
      <w:r w:rsidR="00B23D4F" w:rsidRPr="00F051CF">
        <w:t xml:space="preserve"> </w:t>
      </w:r>
      <w:bookmarkStart w:id="6" w:name="References"/>
      <w:r w:rsidR="00B23D4F" w:rsidRPr="00F051CF">
        <w:t>(2025/2151(DEC))</w:t>
      </w:r>
      <w:bookmarkEnd w:id="6"/>
    </w:p>
    <w:p w14:paraId="4D733384" w14:textId="77777777" w:rsidR="001705C1" w:rsidRPr="00F051CF" w:rsidRDefault="001705C1" w:rsidP="001705C1">
      <w:pPr>
        <w:pStyle w:val="EPComma"/>
      </w:pPr>
      <w:bookmarkStart w:id="7" w:name="TextBodyBegin"/>
      <w:bookmarkEnd w:id="7"/>
      <w:r w:rsidRPr="00F051CF">
        <w:rPr>
          <w:i/>
          <w:iCs/>
        </w:rPr>
        <w:t>Európsky parlament</w:t>
      </w:r>
      <w:r w:rsidRPr="00F051CF">
        <w:t>,</w:t>
      </w:r>
    </w:p>
    <w:p w14:paraId="578C1B3B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všeobecný rozpočet Európskej únie na rozpočtový rok 2024</w:t>
      </w:r>
      <w:r w:rsidRPr="00F051CF">
        <w:rPr>
          <w:rStyle w:val="FootnoteReference"/>
        </w:rPr>
        <w:footnoteReference w:id="1"/>
      </w:r>
      <w:r w:rsidRPr="00F051CF">
        <w:t>,</w:t>
      </w:r>
    </w:p>
    <w:p w14:paraId="34FD7CD4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konsolidovanú ročnú účtovnú závierku Európskej únie za rozpočtový rok 2024 (COM(2025)0359 – C10</w:t>
      </w:r>
      <w:r w:rsidRPr="00F051CF">
        <w:noBreakHyphen/>
        <w:t>0150/2025)</w:t>
      </w:r>
      <w:r w:rsidRPr="00F051CF">
        <w:rPr>
          <w:rStyle w:val="FootnoteReference"/>
        </w:rPr>
        <w:footnoteReference w:id="2"/>
      </w:r>
      <w:r w:rsidRPr="00F051CF">
        <w:t>,</w:t>
      </w:r>
    </w:p>
    <w:p w14:paraId="7BAA950C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výročnú správu Európskeho hospodárskeho a sociálneho výboru o vnútorných auditoch vykonaných v roku 2024 pre orgán udeľujúci absolutórium,</w:t>
      </w:r>
    </w:p>
    <w:p w14:paraId="5A24EADD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výročnú správu Dvora audítorov o plnení rozpočtu za rozpočtový rok 2024 spolu s odpoveďami inštitúcií</w:t>
      </w:r>
      <w:r w:rsidRPr="00F051CF">
        <w:rPr>
          <w:rStyle w:val="FootnoteReference"/>
        </w:rPr>
        <w:footnoteReference w:id="3"/>
      </w:r>
      <w:r w:rsidRPr="00F051CF">
        <w:t>,</w:t>
      </w:r>
    </w:p>
    <w:p w14:paraId="555303B7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vyhlásenie o vierohodnosti vedenia účtov a zákonnosti a správnosti príslušných operácií</w:t>
      </w:r>
      <w:r w:rsidRPr="00F051CF">
        <w:rPr>
          <w:rStyle w:val="FootnoteReference"/>
        </w:rPr>
        <w:footnoteReference w:id="4"/>
      </w:r>
      <w:r w:rsidRPr="00F051CF">
        <w:t>, ktoré poskytol Dvor audítorov za rozpočtový rok 2024 v súlade s článkom 287 Zmluvy o fungovaní Európskej únie,</w:t>
      </w:r>
    </w:p>
    <w:p w14:paraId="6CC25EBE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článok 314 ods. 10 a články 317, 318 a 319 Zmluvy o fungovaní Európskej únie,</w:t>
      </w:r>
    </w:p>
    <w:p w14:paraId="77B98200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 xml:space="preserve">so zreteľom na nariadenie Európskeho parlamentu a Rady (EÚ, </w:t>
      </w:r>
      <w:proofErr w:type="spellStart"/>
      <w:r w:rsidRPr="00F051CF">
        <w:t>Euratom</w:t>
      </w:r>
      <w:proofErr w:type="spellEnd"/>
      <w:r w:rsidRPr="00F051CF">
        <w:t xml:space="preserve">) 2018/1046 z 18. júla 2018 o rozpočtových pravidlách, ktoré sa vzťahujú na všeobecný rozpočet Únie, o zmene nariadení (EÚ) č. 1296/2013, (EÚ) č. 1301/2013, (EÚ) č. 1303/2013, (EÚ) č. 1304/2013, (EÚ) č. 1309/2013, (EÚ) č. 1316/2013, (EÚ) č. 223/2014, (EÚ) č. 283/2014 a rozhodnutia č. 541/2014/EÚ a o zrušení nariadenia (EÚ, </w:t>
      </w:r>
      <w:proofErr w:type="spellStart"/>
      <w:r w:rsidRPr="00F051CF">
        <w:t>Euratom</w:t>
      </w:r>
      <w:proofErr w:type="spellEnd"/>
      <w:r w:rsidRPr="00F051CF">
        <w:t xml:space="preserve">) </w:t>
      </w:r>
      <w:r w:rsidRPr="00F051CF">
        <w:lastRenderedPageBreak/>
        <w:t>č. 966/2012</w:t>
      </w:r>
      <w:r w:rsidRPr="00F051CF">
        <w:rPr>
          <w:rStyle w:val="FootnoteReference"/>
        </w:rPr>
        <w:footnoteReference w:id="5"/>
      </w:r>
      <w:r w:rsidRPr="00F051CF">
        <w:t>, a najmä na jeho články 59, 118, 260, 261 a 262,</w:t>
      </w:r>
    </w:p>
    <w:p w14:paraId="22BD3842" w14:textId="4677D1A0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 xml:space="preserve">so zreteľom na nariadenie Európskeho parlamentu a Rady (EÚ, </w:t>
      </w:r>
      <w:proofErr w:type="spellStart"/>
      <w:r w:rsidRPr="00F051CF">
        <w:t>Euratom</w:t>
      </w:r>
      <w:proofErr w:type="spellEnd"/>
      <w:r w:rsidRPr="00F051CF">
        <w:t>) 2024/2509 z 23. septembra 2024 o rozpočtových pravidlách, ktoré sa vzťahujú na všeobecný rozpočet Únie</w:t>
      </w:r>
      <w:r w:rsidRPr="00F051CF">
        <w:rPr>
          <w:rStyle w:val="FootnoteReference"/>
        </w:rPr>
        <w:footnoteReference w:id="6"/>
      </w:r>
      <w:r w:rsidRPr="00F051CF">
        <w:t>, a najmä na jeho články 59, 118, 266, 267 a 268,</w:t>
      </w:r>
    </w:p>
    <w:p w14:paraId="5023F200" w14:textId="43FCD76D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článok 102 a prílohu V k rokovaciemu poriadku,</w:t>
      </w:r>
    </w:p>
    <w:p w14:paraId="0E07C26B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správu Výboru pre kontrolu rozpočtu (A10-0059/2026),</w:t>
      </w:r>
    </w:p>
    <w:p w14:paraId="5ABA433C" w14:textId="77777777" w:rsidR="001705C1" w:rsidRPr="00F051CF" w:rsidRDefault="001705C1" w:rsidP="001705C1">
      <w:pPr>
        <w:pStyle w:val="NormalHanging12a"/>
      </w:pPr>
      <w:r w:rsidRPr="00F051CF">
        <w:t>1.</w:t>
      </w:r>
      <w:r w:rsidRPr="00F051CF">
        <w:tab/>
        <w:t>udeľuje generálnej tajomníčke Európskeho hospodárskeho a sociálneho výboru absolutórium za plnenie rozpočtu Európskeho hospodárskeho a sociálneho výboru za rozpočtový rok 2024;</w:t>
      </w:r>
    </w:p>
    <w:p w14:paraId="36B22FC3" w14:textId="77777777" w:rsidR="001705C1" w:rsidRPr="00F051CF" w:rsidRDefault="001705C1" w:rsidP="001705C1">
      <w:pPr>
        <w:pStyle w:val="NormalHanging12a"/>
      </w:pPr>
      <w:r w:rsidRPr="00F051CF">
        <w:t>2.</w:t>
      </w:r>
      <w:r w:rsidRPr="00F051CF">
        <w:tab/>
        <w:t>uvádza svoje poznámky v priloženom uznesení;</w:t>
      </w:r>
    </w:p>
    <w:p w14:paraId="6CDF12F2" w14:textId="77777777" w:rsidR="001705C1" w:rsidRPr="00F051CF" w:rsidRDefault="001705C1" w:rsidP="001705C1">
      <w:pPr>
        <w:pStyle w:val="NormalHanging12a"/>
      </w:pPr>
      <w:r w:rsidRPr="00F051CF">
        <w:t>3.</w:t>
      </w:r>
      <w:r w:rsidRPr="00F051CF">
        <w:tab/>
        <w:t>poveruje svoju predsedníčku, aby postúpila toto rozhodnutie a uznesenie, ktoré je jeho neoddeliteľnou súčasťou, Európskemu hospodárskemu a sociálnemu výboru, Rade, Komisii a Dvoru audítorov a aby zabezpečila ich uverejnenie v </w:t>
      </w:r>
      <w:r w:rsidRPr="00F051CF">
        <w:rPr>
          <w:i/>
        </w:rPr>
        <w:t>Úradnom vestníku Európskej únie</w:t>
      </w:r>
      <w:r w:rsidRPr="00F051CF">
        <w:t xml:space="preserve"> (v sérii L).</w:t>
      </w:r>
    </w:p>
    <w:p w14:paraId="44E6B637" w14:textId="77777777" w:rsidR="001705C1" w:rsidRPr="00F051CF" w:rsidRDefault="001705C1" w:rsidP="001705C1">
      <w:pPr>
        <w:pStyle w:val="PageHeading"/>
        <w:sectPr w:rsidR="001705C1" w:rsidRPr="00F051CF" w:rsidSect="00171547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A59F0BC" w14:textId="5183E2D4" w:rsidR="00A74F30" w:rsidRPr="00F051CF" w:rsidRDefault="00A74F30" w:rsidP="00A74F30">
      <w:pPr>
        <w:pStyle w:val="ATHeading3"/>
      </w:pPr>
      <w:r w:rsidRPr="00F051CF">
        <w:lastRenderedPageBreak/>
        <w:t xml:space="preserve">2. Uznesenie Európskeho parlamentu z </w:t>
      </w:r>
      <w:r w:rsidR="002573B7" w:rsidRPr="00F051CF">
        <w:t>29</w:t>
      </w:r>
      <w:r w:rsidRPr="00F051CF">
        <w:t xml:space="preserve">. </w:t>
      </w:r>
      <w:r w:rsidR="00E9546D" w:rsidRPr="00F051CF">
        <w:t xml:space="preserve">apríla </w:t>
      </w:r>
      <w:r w:rsidRPr="00F051CF">
        <w:t xml:space="preserve">2026 s poznámkami, ktoré </w:t>
      </w:r>
      <w:r w:rsidR="00E9546D" w:rsidRPr="00F051CF">
        <w:t xml:space="preserve">je </w:t>
      </w:r>
      <w:r w:rsidRPr="00F051CF">
        <w:t>neoddeliteľnou súčasťou rozhodnutia o absolutóriu za plnenie všeobecného rozpočtu Európskej únie za rozpočtový rok 2024, oddiel VI – Európsky hospodársky a sociálny výbor (2025/2151(DEC))</w:t>
      </w:r>
    </w:p>
    <w:p w14:paraId="1E04487C" w14:textId="77777777" w:rsidR="001705C1" w:rsidRPr="00F051CF" w:rsidRDefault="001705C1" w:rsidP="001705C1">
      <w:pPr>
        <w:pStyle w:val="EPComma"/>
      </w:pPr>
      <w:r w:rsidRPr="00F051CF">
        <w:rPr>
          <w:i/>
          <w:iCs/>
        </w:rPr>
        <w:t>Európsky parlament</w:t>
      </w:r>
      <w:r w:rsidRPr="00F051CF">
        <w:t>,</w:t>
      </w:r>
    </w:p>
    <w:p w14:paraId="255D6FA0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svoje rozhodnutie o absolutóriu za plnenie všeobecného rozpočtu Európskej únie za rozpočtový rok 2024, oddiel VI – Európsky hospodársky a sociálny výbor,</w:t>
      </w:r>
    </w:p>
    <w:p w14:paraId="0C9017E8" w14:textId="4BA1C2AB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článok 102 a prílohu V k rokovaciemu poriadku,</w:t>
      </w:r>
    </w:p>
    <w:p w14:paraId="0EF1DD66" w14:textId="77777777" w:rsidR="001705C1" w:rsidRPr="00F051CF" w:rsidRDefault="001705C1" w:rsidP="001705C1">
      <w:pPr>
        <w:pStyle w:val="NormalHanging12a"/>
      </w:pPr>
      <w:r w:rsidRPr="00F051CF">
        <w:t>–</w:t>
      </w:r>
      <w:r w:rsidRPr="00F051CF">
        <w:tab/>
        <w:t>so zreteľom na správu Výboru pre kontrolu rozpočtu (A10-0059/2026),</w:t>
      </w:r>
    </w:p>
    <w:p w14:paraId="6FC75BC8" w14:textId="77777777" w:rsidR="001705C1" w:rsidRPr="00F051CF" w:rsidRDefault="001705C1" w:rsidP="001705C1">
      <w:pPr>
        <w:pStyle w:val="NormalHanging12a"/>
      </w:pPr>
      <w:r w:rsidRPr="00F051CF">
        <w:t>A.</w:t>
      </w:r>
      <w:r w:rsidRPr="00F051CF">
        <w:tab/>
        <w:t>keďže v súvislosti s postupom udelenia absolutória chce orgán udeľujúci absolutórium podčiarknuť mimoriadny význam ďalšieho posilňovania demokratickej legitimity inštitúcií Únie zvyšovaním transparentnosti a zodpovednosti a zavedením koncepcie zostavovania rozpočtu podľa výkonnosti a dobrého riadenia ľudských zdrojov;</w:t>
      </w:r>
    </w:p>
    <w:p w14:paraId="4E18FDAB" w14:textId="77777777" w:rsidR="001705C1" w:rsidRPr="00F051CF" w:rsidRDefault="001705C1" w:rsidP="001705C1">
      <w:pPr>
        <w:pStyle w:val="NormalHanging12a"/>
      </w:pPr>
      <w:r w:rsidRPr="00F051CF">
        <w:t>B.</w:t>
      </w:r>
      <w:r w:rsidRPr="00F051CF">
        <w:tab/>
        <w:t>keďže Európsky hospodársky a sociálny výbor (ďalej len „výbor“) je poradným orgánom Únie, ktorý poskytuje fórum na konzultácie, dialóg a konsenzus medzi zástupcami rôznych hospodárskych, sociálnych a občianskych zložiek organizovanej občianskej spoločnosti z členských štátov;</w:t>
      </w:r>
    </w:p>
    <w:p w14:paraId="2FC86642" w14:textId="77777777" w:rsidR="001705C1" w:rsidRPr="00F051CF" w:rsidRDefault="001705C1" w:rsidP="001705C1">
      <w:pPr>
        <w:pStyle w:val="NormalHanging12a"/>
      </w:pPr>
      <w:r w:rsidRPr="00F051CF">
        <w:t>C.</w:t>
      </w:r>
      <w:r w:rsidRPr="00F051CF">
        <w:tab/>
        <w:t xml:space="preserve">keďže výbor prispieva k rozhodovaciemu procesu Únie a tým, že zabezpečuje prepojenie medzi politikami Únie a hospodárskou, sociálnou a občianskou situáciou, plní svoje poslanie lepšej tvorby práva, </w:t>
      </w:r>
      <w:proofErr w:type="spellStart"/>
      <w:r w:rsidRPr="00F051CF">
        <w:t>participatívnej</w:t>
      </w:r>
      <w:proofErr w:type="spellEnd"/>
      <w:r w:rsidRPr="00F051CF">
        <w:t xml:space="preserve"> demokracie a presadzovania hodnôt Únie;</w:t>
      </w:r>
    </w:p>
    <w:p w14:paraId="3607C35A" w14:textId="3DB58F80" w:rsidR="001705C1" w:rsidRPr="00F051CF" w:rsidRDefault="001705C1" w:rsidP="001705C1">
      <w:pPr>
        <w:pStyle w:val="NormalHanging12a"/>
      </w:pPr>
      <w:r w:rsidRPr="00F051CF">
        <w:t>D.</w:t>
      </w:r>
      <w:r w:rsidRPr="00F051CF">
        <w:tab/>
        <w:t>keďže Komisia alebo Rada je v niektorých prípadoch povinná výbor konzultovať a výbor môže prijímať stanoviská aj z vlastnej iniciatívy, pričom má široký priestor na postúpenie, ako sa vymedzuje v zmluvách, čo mu umožňuje konzultovať s</w:t>
      </w:r>
      <w:r w:rsidR="00886FAD" w:rsidRPr="00F051CF">
        <w:t> Európskym p</w:t>
      </w:r>
      <w:r w:rsidRPr="00F051CF">
        <w:t>arlamentom;</w:t>
      </w:r>
    </w:p>
    <w:p w14:paraId="62DE1136" w14:textId="77777777" w:rsidR="001705C1" w:rsidRPr="00F051CF" w:rsidRDefault="001705C1" w:rsidP="001705C1">
      <w:pPr>
        <w:pStyle w:val="NormalHanging12a"/>
      </w:pPr>
      <w:r w:rsidRPr="00F051CF">
        <w:t>E.</w:t>
      </w:r>
      <w:r w:rsidRPr="00F051CF">
        <w:tab/>
        <w:t>keďže komisia pre finančné a rozpočtové záležitosti (CAF) pôsobiaca pri výbore je dozorným orgánom výboru, pokiaľ ide o všetky rozpočtové postupy, a najmä o vypracovanie odhadov rozpočtu, plnenie rozpočtu, výročnú správu o činnosti, absolutórium a prijatie následných opatrení k výročnej správe Dvora audítorov;</w:t>
      </w:r>
    </w:p>
    <w:p w14:paraId="7C472353" w14:textId="77777777" w:rsidR="001705C1" w:rsidRPr="00F051CF" w:rsidRDefault="001705C1" w:rsidP="001705C1">
      <w:pPr>
        <w:pStyle w:val="NormalHanging12a"/>
      </w:pPr>
      <w:r w:rsidRPr="00F051CF">
        <w:t>F.</w:t>
      </w:r>
      <w:r w:rsidRPr="00F051CF">
        <w:tab/>
        <w:t>keďže v posledných rokoch výbor konzistentne prijímal iniciatívy na prilákanie a udržanie kvalifikovaných pracovníkov, optimalizáciu svojej organizačnej štruktúry a pracovných metód a podporu ohľaduplného pracovného prostredia v kontexte obmedzeného rozpočtu;</w:t>
      </w:r>
    </w:p>
    <w:p w14:paraId="502317C5" w14:textId="77777777" w:rsidR="001705C1" w:rsidRPr="00F051CF" w:rsidRDefault="001705C1" w:rsidP="001705C1">
      <w:pPr>
        <w:pStyle w:val="NormalHanging12a"/>
      </w:pPr>
      <w:r w:rsidRPr="00F051CF">
        <w:t>G.</w:t>
      </w:r>
      <w:r w:rsidRPr="00F051CF">
        <w:tab/>
        <w:t>keďže v roku 2024 výbor vymenoval novú generálnu tajomníčku, ktorej úlohou je zvýšiť účinnosť, dosah a relevantnosť výboru;</w:t>
      </w:r>
    </w:p>
    <w:p w14:paraId="6D53BAB4" w14:textId="77777777" w:rsidR="001705C1" w:rsidRPr="00F051CF" w:rsidRDefault="001705C1" w:rsidP="001705C1">
      <w:pPr>
        <w:pStyle w:val="NormalHanging12a"/>
      </w:pPr>
      <w:r w:rsidRPr="00F051CF">
        <w:t>H.</w:t>
      </w:r>
      <w:r w:rsidRPr="00F051CF">
        <w:tab/>
        <w:t>keďže výbor začal v roku 2024 proces transformácie s cieľom byť organizáciou, ktorá má vplyv a zlepšuje postavenie svojich členov v záujme posilnenia a ochrany hlasu organizovanej občianskej spoločnosti;</w:t>
      </w:r>
    </w:p>
    <w:p w14:paraId="402E78F0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lastRenderedPageBreak/>
        <w:t>I.</w:t>
      </w:r>
      <w:r w:rsidRPr="00F051CF">
        <w:tab/>
        <w:t>keďže podľa článkov 300 a 304 Zmluvy o fungovaní Európskej únie je Európsky hospodársky a sociálny výbor poradný orgán, ktorého hlavným mandátom je vydávať stanoviská;</w:t>
      </w:r>
    </w:p>
    <w:p w14:paraId="51E2583E" w14:textId="77777777" w:rsidR="001705C1" w:rsidRPr="00F051CF" w:rsidRDefault="001705C1" w:rsidP="001705C1">
      <w:pPr>
        <w:pStyle w:val="NormalHanging12a"/>
      </w:pPr>
      <w:r w:rsidRPr="00F051CF">
        <w:t>1.</w:t>
      </w:r>
      <w:r w:rsidRPr="00F051CF">
        <w:tab/>
        <w:t>poznamenáva, že rozpočet výboru patrí do okruhu 7 VFR (Európska verejná správa), ktorý v roku 2024 predstavoval celkovo 13,3 miliardy EUR, t. j. 6,9 % rozpočtových výdavkov Únie; konštatuje, že rozpočet výboru v roku 2024 predstavoval 1,50 % rozpočtových prostriedkov okruhu 7 VFR, čo predstavuje nárast oproti 1,29 % v roku 2023;</w:t>
      </w:r>
    </w:p>
    <w:p w14:paraId="7360202E" w14:textId="77777777" w:rsidR="001705C1" w:rsidRPr="00F051CF" w:rsidRDefault="001705C1" w:rsidP="001705C1">
      <w:pPr>
        <w:pStyle w:val="NormalHanging12a"/>
      </w:pPr>
      <w:r w:rsidRPr="00F051CF">
        <w:t>2.</w:t>
      </w:r>
      <w:r w:rsidRPr="00F051CF">
        <w:tab/>
        <w:t>konštatuje, že Európsky dvor audítorov (ďalej len „Dvor audítorov“) vo svojej výročnej správe za rozpočtový rok 2024 (ďalej len „správa Dvora audítorov“) preskúmal vzorku 70 transakcií v oddiele Administratíva, teda rovnaký počet ako v roku 2023; keďže Dvor audítorov ďalej uvádza, že administratívne výdavky zahŕňajú výdavky na ľudské zdroje vrátane výdavkov na dôchodky, ktoré v roku 2024 predstavovali približne 69 % celkových administratívnych výdavkov, a výdavky na budovy, zariadenie, energie, komunikáciu a informačné technológie a že z jeho dlhoročnej práce vyplýva, že takéto výdavky sú celkovo nízkorizikové;</w:t>
      </w:r>
    </w:p>
    <w:p w14:paraId="49BF86DC" w14:textId="77777777" w:rsidR="001705C1" w:rsidRPr="00F051CF" w:rsidRDefault="001705C1" w:rsidP="001705C1">
      <w:pPr>
        <w:pStyle w:val="NormalHanging12a"/>
      </w:pPr>
      <w:r w:rsidRPr="00F051CF">
        <w:t>3.</w:t>
      </w:r>
      <w:r w:rsidRPr="00F051CF">
        <w:tab/>
        <w:t>konštatuje, že 16 zo 70 (23 %) operácií obsahovalo chyby, ale že Dvor audítorov na základe troch vyčíslených chýb odhaduje, že chybovosť bola pod prahom významnosti; konštatuje, že v správe Dvora audítorov nie sú uvedené žiadne konkrétne problémy týkajúce sa výboru;</w:t>
      </w:r>
    </w:p>
    <w:p w14:paraId="53A59364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Rozpočtové a finančné riadenie</w:t>
      </w:r>
    </w:p>
    <w:p w14:paraId="12144BA2" w14:textId="77777777" w:rsidR="001705C1" w:rsidRPr="00F051CF" w:rsidRDefault="001705C1" w:rsidP="001705C1">
      <w:pPr>
        <w:pStyle w:val="NormalHanging12a"/>
      </w:pPr>
      <w:r w:rsidRPr="00F051CF">
        <w:t>4.</w:t>
      </w:r>
      <w:r w:rsidRPr="00F051CF">
        <w:tab/>
        <w:t>poznamenáva, že konečný schválený rozpočet výboru v roku 2024 bol 164 945 524 EUR, čo v porovnaní s rokom 2023 predstavovalo celkové zvýšenie o 3,90 %; na základe odpovedí výboru na dotazník, ktorý predložil Výbor pre kontrolu rozpočtu v súvislosti s udelením absolutória za plnenie rozpočtu za rok 2024 (ďalej len „dotazník“), konštatuje, že dva rozpočtové riadky výboru, konkrétne riadok 1 2 0 0 (odmeny a príspevky zamestnancov) a riadok 1 0 0 4 (cestovné náhrady a diéty poslancov), tvoria väčšinu rozpočtu výboru, t. j. 65,80 % v roku 2024 oproti 65,58 % v roku 2023;</w:t>
      </w:r>
    </w:p>
    <w:p w14:paraId="2FA63356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5.</w:t>
      </w:r>
      <w:r w:rsidRPr="00F051CF">
        <w:tab/>
        <w:t>berie na vedomie posun výboru od prístupu orientovaného na výdavky k riadeniu zdrojov a stanovovaniu priorít, čo sa odráža v strategickom finančnom balíku schválenom predsedníctvom výboru a zavedení stanovovania priorít; konštatuje, že cieľom týchto opatrení je zlepšiť finančné riadenie a zosúladiť rozpočtové rozhodnutia so strategickými cieľmi; berie na vedomie úsilie o zníženie administratívnej záťaže a zefektívnenie procesov v snahe o nákladovú efektívnosť; vyzýva výbor, aby tento prístup ďalej konsolidoval tým, že do svojho ročného finančného cyklu začlení ukazovatele výkonnosti a výhľadové plánovanie;</w:t>
      </w:r>
    </w:p>
    <w:p w14:paraId="160C2789" w14:textId="77777777" w:rsidR="001705C1" w:rsidRPr="00F051CF" w:rsidRDefault="001705C1" w:rsidP="001705C1">
      <w:pPr>
        <w:pStyle w:val="NormalHanging12a"/>
      </w:pPr>
      <w:r w:rsidRPr="00F051CF">
        <w:t>6.</w:t>
      </w:r>
      <w:r w:rsidRPr="00F051CF">
        <w:tab/>
        <w:t xml:space="preserve">vyjadruje výboru uznanie za vysokú úroveň plnenia rozpočtu, keď sa čerpanie viazaných rozpočtových prostriedkov v bežnom roku zvýšilo z 98,70 % v roku 2023 na 99,21 % v roku 2024, a to vďaka úspešnému monitorovaniu plnenia rozpočtu, ale aj z dôvodu vysokej miere inflácie, ktorá má vplyv na platy zamestnancov a náklady na budovy; v tejto súvislosti berie na vedomie úsilie výboru o prerozdelenie prostriedkov prostredníctvom rozpočtových presunov v celkovej výške 2 487 139 EUR (čo predstavuje 1,51 % jeho rozpočtu na rok 2024) do rôznych rozpočtových riadkov, </w:t>
      </w:r>
      <w:r w:rsidRPr="00F051CF">
        <w:lastRenderedPageBreak/>
        <w:t>pričom najvýraznejšie zvýšenie sa týka prevádzky a údržby softvérových systémov (+ 519 682 EUR) a budov (+ 421 880 EUR); ďalej s uspokojením konštatuje, že miera plnenia platobných rozpočtových prostriedkov v bežnom roku sa zvýšila z 88,12 % v roku 2022 a 90,67 % v roku 2023 na 92,85 % v roku 2024 a priemerný čas platby sa znížil z 20,14 dní v roku 2023 na 16,06 dní v roku 2024, čo je najlepší výsledok výboru od roku 2021; nabáda na pokračovanie efektívneho monitorovania, obmedzovania nákladov a strategického prerozdelenia s cieľom zabezpečiť čo najvýhodnejší pomer ceny a kvality a transparentnosť;</w:t>
      </w:r>
    </w:p>
    <w:p w14:paraId="6B557C92" w14:textId="77777777" w:rsidR="001705C1" w:rsidRPr="00F051CF" w:rsidRDefault="001705C1" w:rsidP="001705C1">
      <w:pPr>
        <w:pStyle w:val="NormalHanging12a"/>
      </w:pPr>
      <w:r w:rsidRPr="00F051CF">
        <w:t>7.</w:t>
      </w:r>
      <w:r w:rsidRPr="00F051CF">
        <w:tab/>
        <w:t>konštatuje, že prenos rozpočtových prostriedkov z roku 2023 do roku 2024 predstavoval 13 827 713 EUR alebo 8,38 % rozpočtu výboru na rok 2024, čo predstavuje zníženie oproti 15 466 316 EUR z predchádzajúceho roka (t. j. 9,74 % rozpočtu výboru na rok 2023); ďalej konštatuje, že miera čerpania rozpočtových prostriedkov prenesených z roku 2023 do roku 2024 bola 84,74 % v roku 2024, čo je menej ako v roku 2023 (t. j. 86,76 %);</w:t>
      </w:r>
    </w:p>
    <w:p w14:paraId="4998EA05" w14:textId="794EFA70" w:rsidR="001705C1" w:rsidRPr="00F051CF" w:rsidRDefault="001705C1" w:rsidP="001705C1">
      <w:pPr>
        <w:pStyle w:val="NormalHanging12a"/>
      </w:pPr>
      <w:r w:rsidRPr="00F051CF">
        <w:t>8.</w:t>
      </w:r>
      <w:r w:rsidRPr="00F051CF">
        <w:tab/>
        <w:t>berie na vedomie, že 21. </w:t>
      </w:r>
      <w:r w:rsidR="002573B7" w:rsidRPr="00F051CF">
        <w:t xml:space="preserve">júna </w:t>
      </w:r>
      <w:r w:rsidRPr="00F051CF">
        <w:t>2024 Rada prijala nové rozhodnutie o poskytovaní denných príspevkov a náhrade cestovných výdavkov členom výboru a ich náhradníkom, v ktorom sa denný príspevok pre príjemcov, ktorí sa zúčastňujú na osobných schôdzach, stanovuje na 367 EUR (oproti 290 EUR) a denný príspevok pre príjemcov, ktorí sa zúčastňujú na schôdzach na diaľku elektronicky, sa stanovuje na 149 EUR (oproti 145 EUR); na základe informácií z dotazníka konštatuje, že v roku 2024 výbor uhradil za účasť na zasadnutiach na diaľku 259 669 EUR (294 930 EUR v roku 2023), čo zodpovedá 1 744 zasadacím dňom (2 006 zasadacích dní v roku 2023), zatiaľ čo celková suma paušálnych príspevkov vyplatených za osobnú účasť na zasadnutiach v roku 2024 predstavovala 6 579 196 EUR (5 902 963 EUR v roku 2023); vyzýva výbor, aby posilnil transparentnosť a proporcionalitu systému príspevkov za účasť na diaľku s cieľom posilniť dôveru verejnosti, a zdôrazňuje, že finančná kompenzácia za účasť na diaľku musí byť prísne odôvodnená; ďalej poznamenáva, že výbor má zavedený systém na potvrdzovanie skutočnej účasti na zasadnutiach na diaľku elektronicky; domnieva sa, že účasť na diaľku je dôležitým a cenným nástrojom pre moderné inštitúcie, keďže znižuje náklady na zasadnutia a umožňuje širšiu účasť, napr. príspevkom za účasť na diaľku; víta prístup výboru k prideľovaniu príspevkov za účasť na diaľku spravodlivým a primeraným spôsobom, ktorý odráža povinnosti členov a požiadavky na prípravu; pripomína, že členovia výboru nedostávajú za svoj mandát mzdu;</w:t>
      </w:r>
    </w:p>
    <w:p w14:paraId="0A569AC3" w14:textId="77777777" w:rsidR="001705C1" w:rsidRPr="00F051CF" w:rsidRDefault="001705C1" w:rsidP="001705C1">
      <w:pPr>
        <w:pStyle w:val="NormalHanging12a"/>
      </w:pPr>
      <w:r w:rsidRPr="00F051CF">
        <w:t>9.</w:t>
      </w:r>
      <w:r w:rsidRPr="00F051CF">
        <w:tab/>
        <w:t>konštatuje, že vlastné útvary výboru uskutočnili 10 rokovacích konaní v hodnote od 15 000 do 60 000 EUR a jedno konanie s jedinou ponukou v rovnakej hodnote, väčšinou na štúdie; konštatuje, že výbor tiež začal šesť verejných obstarávaní (na rámcové zmluvy) so spoločnými službami zdieľanými s Európskym výborom regiónov (ďalej len „VR“), ktoré sa okrem iného týkajú stravovania, logistiky a údržby;</w:t>
      </w:r>
    </w:p>
    <w:p w14:paraId="377BCF41" w14:textId="77777777" w:rsidR="001705C1" w:rsidRPr="00F051CF" w:rsidRDefault="001705C1" w:rsidP="001705C1">
      <w:pPr>
        <w:pStyle w:val="NormalHanging12a"/>
      </w:pPr>
      <w:r w:rsidRPr="00F051CF">
        <w:t>10.</w:t>
      </w:r>
      <w:r w:rsidRPr="00F051CF">
        <w:tab/>
        <w:t xml:space="preserve">na základe informácií z dotazníka konštatuje, že vplyv ruskej útočnej vojny naďalej vytváral tlak na rozpočet výboru v roku 2024 v dôsledku inflácie a nestability na trhu s energiou, ktoré spôsobili vyššie prevádzkové náklady; berie na vedomie, že v období 2021 – 2024 došlo podľa odhadov k zvýšeniu nákladov na nájomné výboru o + 16,53 % a nákladov na zmluvy o údržbe a bezpečnostných službách o + 15 %; na základe informácií z dotazníka okrem toho konštatuje, že nájomné výboru sa v roku 2024 zvýšilo o 4,7 %, čo je viac ako 2 % limit Komisie pre výdavky nesúvisiace so mzdami; ďalej konštatuje, že náklady výboru na energiu sa znížili z 1 923 391 EUR v roku 2023 </w:t>
      </w:r>
      <w:r w:rsidRPr="00F051CF">
        <w:lastRenderedPageBreak/>
        <w:t>na 711 608 EUR v roku 2024; v tejto súvislosti oceňuje úsilie výboru o zefektívnenie jeho činnosti, a to aj prostredníctvom intenzívnejšieho úsilia o úsporu energie; uznáva, že je potrebné, aby všetky inštitúcie, orgány, úrady a agentúry Únie zlepšili svoje rozpočtové riadenie tým, že pri uzatváraní zmlúv s poskytovateľmi služieb zohľadnia aj cenovú volatilitu, najmä v odvetví energetiky;</w:t>
      </w:r>
    </w:p>
    <w:p w14:paraId="23CAD518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11.</w:t>
      </w:r>
      <w:r w:rsidRPr="00F051CF">
        <w:tab/>
        <w:t>vyzýva administratívu výboru, aby aktívne identifikovala a vykonávala opatrenia na úsporu nákladov, a to aj prostredníctvom intenzívnejšieho využívania technológií hybridných schôdzí, optimalizácie využívania budov, konsolidácie činností výboru a znižovania zbytočných logistických výdavkov; požaduje pravidelné správy o pokroku v súvislosti s vykonanými opatreniami a dosiahnutými úsporami;</w:t>
      </w:r>
    </w:p>
    <w:p w14:paraId="375DC373" w14:textId="77777777" w:rsidR="001705C1" w:rsidRPr="00F051CF" w:rsidRDefault="001705C1" w:rsidP="001705C1">
      <w:pPr>
        <w:pStyle w:val="NormalHanging12a"/>
      </w:pPr>
      <w:r w:rsidRPr="00F051CF">
        <w:t>12.</w:t>
      </w:r>
      <w:r w:rsidRPr="00F051CF">
        <w:tab/>
        <w:t>na základe dotazníka konštatuje, že zamestnanci výboru v roku 2024 uskutočnili 415 služobných ciest (300 v roku 2023) v celkovej sume 448 655 EUR, čo predstavuje 25 % nárast v porovnaní s rokom 2023 v dôsledku zvýšenia počtu služobných ciest a skutočných nákladov na lety a ubytovanie v hoteli; berie na vedomie odhad výboru, že pri uplatnení predpokladanej miery inflácie vo výške 21 % v období 2020 – 2023 na sumu, ktorú výbor zaplatil za služobné cesty v roku 2019 (t. j. 402 097 EUR) pred pandémiou COVID-19, v roku 2024 ušetril približne 40 000 EUR na nákladoch na služobné cesty; oceňuje politiku výboru obmedziť ročné výdavky na služobné cesty na nevyhnutné minimum; konštatuje, že predseda výboru absolvoval v roku 2024 služobné cesty v celkovej dĺžke 88 dní (oproti 69 dňom v roku 2023) s celkovými nákladmi približne 113 000 EUR (oproti približne 72 000 EUR v roku 2023), pričom tieto služobné cesty boli potrebné na účasť predsedu výboru na medzinárodných fórach, iniciatívach na úrovni Únie a iných podujatiach, ktoré si vyžadovali aktívnu účasť výboru;</w:t>
      </w:r>
    </w:p>
    <w:p w14:paraId="231FE26E" w14:textId="77777777" w:rsidR="001705C1" w:rsidRPr="00F051CF" w:rsidRDefault="001705C1" w:rsidP="001705C1">
      <w:pPr>
        <w:pStyle w:val="NormalHanging12a"/>
      </w:pPr>
      <w:r w:rsidRPr="00F051CF">
        <w:t>13.</w:t>
      </w:r>
      <w:r w:rsidRPr="00F051CF">
        <w:tab/>
        <w:t xml:space="preserve">na základe informácií z dotazníka konštatuje, že spoločné Riaditeľstvo pre inovácie a informačné technológie výboru a VR vyčleňuje približne 4 % svojho rozpočtu na IT na kybernetickú bezpečnosť (nárast z 3 % v roku 2023), čo je stále ďaleko od cieľa 10 % stanoveného v príslušných právnych predpisoch; pripomína svoju výzvu </w:t>
      </w:r>
      <w:proofErr w:type="spellStart"/>
      <w:r w:rsidRPr="00F051CF">
        <w:t>spoluzákonodarcom</w:t>
      </w:r>
      <w:proofErr w:type="spellEnd"/>
      <w:r w:rsidRPr="00F051CF">
        <w:t xml:space="preserve"> a Komisii, aby túto skutočnosť zohľadnili v rámci ročného rozpočtového postupu; uznáva potrebu výboru modernizovať kybernetickú bezpečnosť pre oba výbory v celkovej výške približne 1,2 milióna EUR, čím by výdavky na kybernetickú bezpečnosť dosiahli 10 % celkového rozpočtu výboru na IT;</w:t>
      </w:r>
    </w:p>
    <w:p w14:paraId="193E4CA9" w14:textId="77777777" w:rsidR="001705C1" w:rsidRPr="00F051CF" w:rsidRDefault="001705C1" w:rsidP="001705C1">
      <w:pPr>
        <w:pStyle w:val="NormalHanging12a"/>
      </w:pPr>
      <w:r w:rsidRPr="00F051CF">
        <w:rPr>
          <w:b/>
          <w:i/>
        </w:rPr>
        <w:t>Vnútorné riadenie, výkonnosť a vnútorná kontrola</w:t>
      </w:r>
    </w:p>
    <w:p w14:paraId="060FB9CD" w14:textId="77777777" w:rsidR="001705C1" w:rsidRPr="00F051CF" w:rsidRDefault="001705C1" w:rsidP="001705C1">
      <w:pPr>
        <w:pStyle w:val="NormalHanging12a"/>
      </w:pPr>
      <w:r w:rsidRPr="00F051CF">
        <w:t xml:space="preserve">14. </w:t>
      </w:r>
      <w:r w:rsidRPr="00F051CF">
        <w:tab/>
        <w:t xml:space="preserve">uznáva, že výbor zohráva zásadnú úlohu pri prispievaní k rozvoju politiky a rozhodovacím procesom Únie tým, že zastupuje hlasy všetkých oblastí organizovanej občianskej spoločnosti v rámci Únie, čím približuje Úniu jej občanom a zvyšuje demokratickú legitimitu právnych predpisov Únie; pripomína, že výbor má v rámci svojho ročného pracovného programu systém monitorovania výkonnosti s ukazovateľmi v rôznych oblastiach, ako sú IT, ľudské zdroje, prekladateľstvo a komunikácia, štruktúrovaný okolo piatich základných hodnôt a piatich kľúčových strategických cieľov v rámci stratégie generálneho sekretariátu na roky 2021 – 2025; domnieva sa však, že o pridanej hodnote jeho činností pre občanov Únie sa naďalej do veľkej miery informuje nedostatočne;  s uspokojením berie na vedomie, že výbor v nadväznosti na pripomienky uvedené v uznesení Európskeho parlamentu o absolutóriu za plnenie rozpočtu za rok 2023 (ďalej len „správa o následných opatreniach“) a v dotazníku uviedol, že po audite začal štruktúrovaný proces na zlepšenie monitorovania svojej </w:t>
      </w:r>
      <w:r w:rsidRPr="00F051CF">
        <w:lastRenderedPageBreak/>
        <w:t>výkonnosti zosúladením svojho výkonnostného rámca so strategickými cieľmi prostredníctvom kľúčových ukazovateľov výkonnosti a ukazovateľov vplyvu, ktoré majú byť v súlade s budúcimi strategickými cieľmi výboru; víta úsilie výboru začleniť meranie vplyvu do svojho rozhodovania a požaduje jasné kvantifikovateľné kľúčové ukazovatele výkonnosti a pravidelné podávanie správ s cieľom zabezpečiť merateľné výsledky a zodpovednosť; vyzýva výbor, aby ďalej posilňoval svoj rámec posudzovania vplyvu tým, že lepšie preukáže, ako sa jeho stanoviská a iniciatívy premietajú do konkrétnych politických výsledkov a hmatateľných prínosov pre občanov, keďže vyšší manažment výboru bude plniť dôležitú úlohu pri využívaní týchto ukazovateľov; očakáva, že bude informovaný o výsledkoch vykonávania tohto nového rámca prostredníctvom budúcich správ výboru pre orgán udeľujúci absolutórium;</w:t>
      </w:r>
    </w:p>
    <w:p w14:paraId="2457AF1D" w14:textId="65EA8BD4" w:rsidR="001705C1" w:rsidRPr="00F051CF" w:rsidRDefault="001705C1" w:rsidP="001705C1">
      <w:pPr>
        <w:pStyle w:val="NormalHanging12a"/>
      </w:pPr>
      <w:r w:rsidRPr="00F051CF">
        <w:t>15.</w:t>
      </w:r>
      <w:r w:rsidRPr="00F051CF">
        <w:tab/>
        <w:t xml:space="preserve">konštatuje, že výbor plní svoje poslanie prostredníctvom stanovísk, v ktorých sa odkazuje na legislatívne návrhy Komisie (žiadosti o vypracovanie stanoviska), a stanovísk z vlastnej iniciatívy, ktoré vyzývajú inštitúcie Únie, aby prijali opatrenia, ako aj prieskumných stanovísk, ktoré podporujú prácu Komisie na plánovaných iniciatívach, a že názory výboru možno zdôrazňovať v uzneseniach alebo zahrnúť do hodnotiacich a informačných správ; oceňuje činnosť výboru pri poskytovaní pomoci </w:t>
      </w:r>
      <w:r w:rsidR="00886FAD" w:rsidRPr="00F051CF">
        <w:t>Európskemu p</w:t>
      </w:r>
      <w:r w:rsidRPr="00F051CF">
        <w:t>arlamentu, Rade a Komisii v legislatívnom cykle v roku 2024; v tejto súvislosti konštatuje, že v roku 2024 výbor prijal 142 stanovísk a správ, čo je pokles z 213 v roku 2023, a usporiadal 148 vypočutí a 26 konferencií v porovnaní so 146 vypočutiami a 24 konferenciami v roku 2023; uznáva, že začiatok nového volebného obdobia v roku 2024 viedol k zníženiu počtu postúpení a následne aj počtu stanovísk, ktoré výbor v tomto roku prijal; konštatuje, že členovia výboru sa v roku 2024 zúčastnili na 518 schôdzach na vysokej úrovni, samitoch a konferenciách v porovnaní s 429 podujatiami v roku 2023; nabáda na uprednostňovanie iniciatív, ktoré podporujú hospodársky rast, konkurencieschopnosť a strategickú autonómiu Únie;</w:t>
      </w:r>
    </w:p>
    <w:p w14:paraId="52E5A381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16.</w:t>
      </w:r>
      <w:r w:rsidRPr="00F051CF">
        <w:tab/>
        <w:t>nabáda výbor, aby pokračoval vo svojom úsilí zamerať svoju činnosť na oblasti, v ktorých môže poskytnúť jasné, merateľné a politicky relevantné príspevky, a aby ďalej rozvíjal ukazovatele založené na výkonnosti a vplyve, ktoré idú nad rámec výstupov založených na činnostiach a lepšie odrážajú výsledky a význam pre občanov;</w:t>
      </w:r>
    </w:p>
    <w:p w14:paraId="4EBE8000" w14:textId="77777777" w:rsidR="001705C1" w:rsidRPr="00F051CF" w:rsidRDefault="001705C1" w:rsidP="001705C1">
      <w:pPr>
        <w:pStyle w:val="NormalHanging12a"/>
      </w:pPr>
      <w:r w:rsidRPr="00F051CF">
        <w:t>17.</w:t>
      </w:r>
      <w:r w:rsidRPr="00F051CF">
        <w:tab/>
        <w:t>víta záväzok výboru vyplývajúci zo správy o následných opatreniach vypracovať stanoviská k pracovným právam, sociálnemu začleneniu a porušovaniu ľudských práv a rozšíriť rozsah svojich hodnotení v súvislosti s právnymi predpismi a programami Únie za predpokladu, že budú k dispozícii primerané zdroje;</w:t>
      </w:r>
    </w:p>
    <w:p w14:paraId="7D416EAA" w14:textId="720328A4" w:rsidR="001705C1" w:rsidRPr="00F051CF" w:rsidRDefault="001705C1" w:rsidP="001705C1">
      <w:pPr>
        <w:pStyle w:val="NormalHanging12a"/>
      </w:pPr>
      <w:r w:rsidRPr="00F051CF">
        <w:t>18.</w:t>
      </w:r>
      <w:r w:rsidRPr="00F051CF">
        <w:tab/>
        <w:t xml:space="preserve">oceňuje opatrenia, ktoré výbor prijal v roku 2024 s cieľom zlepšiť viditeľnosť a vplyv svojej práce v politickom a legislatívnom cykle; víta oficiálne zavedenie nového formátu stanovísk vypracovaných na základe povinných podnetov </w:t>
      </w:r>
      <w:r w:rsidR="00886FAD" w:rsidRPr="00F051CF">
        <w:t>Európskeho p</w:t>
      </w:r>
      <w:r w:rsidRPr="00F051CF">
        <w:t xml:space="preserve">arlamentu, Rady alebo Komisie, ktoré sa uskutočnilo po pilotnom projekte; konštatuje, že nový formát zvyšuje užívateľskú prívetivosť a použiteľnosť pre zákonodarcu a zároveň zlepšuje stanovenie priorít práce výboru; ďalej konštatuje, že vďaka posilnenej kontrole vybraných stanovísk prostredníctvom kontrolného zoznamu a usmernení výbor očakáva, že tieto stanoviská zostanú relevantné aj po ich prijatí a budú súčasťou viacúrovňových legislatívnych procesov; ďalej víta začlenenie stanovísk výboru do nástroja EU </w:t>
      </w:r>
      <w:proofErr w:type="spellStart"/>
      <w:r w:rsidRPr="00F051CF">
        <w:t>Law</w:t>
      </w:r>
      <w:proofErr w:type="spellEnd"/>
      <w:r w:rsidRPr="00F051CF">
        <w:t xml:space="preserve"> </w:t>
      </w:r>
      <w:proofErr w:type="spellStart"/>
      <w:r w:rsidRPr="00F051CF">
        <w:t>Tracker</w:t>
      </w:r>
      <w:proofErr w:type="spellEnd"/>
      <w:r w:rsidRPr="00F051CF">
        <w:t xml:space="preserve"> (EULT) od apríla 2024, pričom už teraz sa objavujú ako odkazy v legislatívnych spisoch; s uznaním konštatuje, že výbor prijal aj interný plán na lepšie predvídanie priorít Únie, zlepšenie </w:t>
      </w:r>
      <w:proofErr w:type="spellStart"/>
      <w:r w:rsidRPr="00F051CF">
        <w:t>medziinštitucionálnej</w:t>
      </w:r>
      <w:proofErr w:type="spellEnd"/>
      <w:r w:rsidRPr="00F051CF">
        <w:t xml:space="preserve"> koordinácie, posilnenie šírenia informácií a následných opatrení a systematickejšie </w:t>
      </w:r>
      <w:r w:rsidRPr="00F051CF">
        <w:lastRenderedPageBreak/>
        <w:t>meranie vplyvu;</w:t>
      </w:r>
    </w:p>
    <w:p w14:paraId="523F7AD3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19.</w:t>
      </w:r>
      <w:r w:rsidRPr="00F051CF">
        <w:tab/>
        <w:t>oceňuje opatrenia, ktoré výbor prijal v roku 2024 na zlepšenie prístupnosti, zrozumiteľnosti a použiteľnosti svojich stanovísk pre inštitúcie Únie; zdôrazňuje, že cieľom takýchto opatrení je posilniť schopnosť zákonodarcov prijímať informované rozhodnutia;</w:t>
      </w:r>
    </w:p>
    <w:p w14:paraId="6857CF49" w14:textId="77777777" w:rsidR="001705C1" w:rsidRPr="00F051CF" w:rsidRDefault="001705C1" w:rsidP="001705C1">
      <w:pPr>
        <w:pStyle w:val="NormalHanging12a"/>
      </w:pPr>
      <w:r w:rsidRPr="00F051CF">
        <w:t>20.</w:t>
      </w:r>
      <w:r w:rsidRPr="00F051CF">
        <w:tab/>
        <w:t>s uznaním konštatuje, že výbor pokročil vo viacerých hlavných iniciatívach, ktoré posilnili účasť, začlenenie a politický vplyv v celej Únii; konštatuje, že výbor od septembra 2024 prevzal vedúcu úlohu pri uplatňovaní mládežníckeho testu EÚ vo svojom procese tvorby stanovísk, do ktorého sa zapojila sieť 73 mládežníckych organizácií, a otestoval približne 40 stanovísk mládeže; víta a podporuje iniciatívy výboru na posilnenie účasti mladých ľudí na procese tvorby politík; berie na vedomie, že výbor rozšíril svoju angažovanosť v inkluzívnom dialógu s kandidátskymi krajinami v rámci prípravy na budúce rozšírenie prostredníctvom iniciatívy členov z kandidátskych krajín, ktorá umožňuje 146 zástupcom občianskej spoločnosti priamo prispievať k tvorbe stanovísk výboru prostredníctvom účasti v študijných skupinách, na zasadnutiach odbornej sekcie a na plenárnom zasadnutí (ktoré sa uskutočnilo v októbri 2024); oceňuje výbor za to, že presadzuje svoju európsku modrú dohodu, ktorá pomáha zaradiť odolnosť v oblasti vody do programu Únie; zdôrazňuje, že výbor naďalej viedol Európsku platformu pre obehové hospodárstvo a spoluorganizoval ekologické ocenenie EÚ v roku 2024, čím posilnil väzby so subjektmi občianskej spoločnosti v oblasti ekologického poľnohospodárstva; nabáda výbor, aby rozšíril rozsah pôsobnosti stanovísk tak, aby zahŕňali ďalšie právne predpisy Únie týkajúce sa verejných statkov a merateľné výstupy;</w:t>
      </w:r>
    </w:p>
    <w:p w14:paraId="0BB80D2C" w14:textId="77777777" w:rsidR="001705C1" w:rsidRPr="00F051CF" w:rsidRDefault="001705C1" w:rsidP="001705C1">
      <w:pPr>
        <w:pStyle w:val="NormalHanging12a"/>
      </w:pPr>
      <w:r w:rsidRPr="00F051CF">
        <w:t>21.</w:t>
      </w:r>
      <w:r w:rsidRPr="00F051CF">
        <w:tab/>
        <w:t xml:space="preserve">vyzýva výbor, aby zlepšil vývoj komplexnej stratégie digitálnej transformácie, ktorá bude zahŕňať umelú inteligenciu, pričom musí zohľadniť potrebu zabezpečiť ľudský dohľad nad umelou inteligenciou; stratégia by sa mala vzťahovať aj na automatizáciu, </w:t>
      </w:r>
      <w:proofErr w:type="spellStart"/>
      <w:r w:rsidRPr="00F051CF">
        <w:t>interoperabilitu</w:t>
      </w:r>
      <w:proofErr w:type="spellEnd"/>
      <w:r w:rsidRPr="00F051CF">
        <w:t xml:space="preserve"> a správu údajov a jej súčasťou by mal byť spoľahlivý rámec zaisťujúci bezpečné, etické, zodpovedné a transparentné využívanie vznikajúcich technológií;</w:t>
      </w:r>
    </w:p>
    <w:p w14:paraId="2EDE08CF" w14:textId="77777777" w:rsidR="001705C1" w:rsidRPr="00F051CF" w:rsidRDefault="001705C1" w:rsidP="001705C1">
      <w:pPr>
        <w:pStyle w:val="NormalHanging12a"/>
      </w:pPr>
      <w:r w:rsidRPr="00F051CF">
        <w:t>22.</w:t>
      </w:r>
      <w:r w:rsidRPr="00F051CF">
        <w:tab/>
        <w:t>so záujmom berie na vedomie snahu výboru, podľa informácií z dotazníka, prijať strategickejší prístup k určovaniu priorít svojej činnosti súvisiacej s vplyvom a založiť rozhodovanie na riadení vplyvu; v tejto súvislosti poukazuje na zorganizovanie troch strategických seminárov na vysokej úrovni s politickým vedením v rokoch 2024 a 2025, počas ktorých sa v rámci prognózovania vypracovali kritériá na určovanie alebo zrušenie priorít iniciatív a na zabezpečenie tematického súladu s dlhodobými potrebami občianskej spoločnosti, ako aj na ďalšie ciele; konštatuje, že toto určovanie priorít bude začlenené do hlavných činností výboru, keďže sa bude vykonávať každoročne a každých 2,5 roka sa doplní o preskúmanie všetkých orgánov, činností a významných podujatí výboru;</w:t>
      </w:r>
    </w:p>
    <w:p w14:paraId="1704AD0A" w14:textId="77777777" w:rsidR="001705C1" w:rsidRPr="00F051CF" w:rsidRDefault="001705C1" w:rsidP="001705C1">
      <w:pPr>
        <w:pStyle w:val="NormalHanging12a"/>
      </w:pPr>
      <w:r w:rsidRPr="00F051CF">
        <w:t>23.</w:t>
      </w:r>
      <w:r w:rsidRPr="00F051CF">
        <w:tab/>
        <w:t xml:space="preserve">konštatuje, v súvislosti s dodržiavaním predpisov v roku 2024, vysokú úroveň dodržiavania s priemernou mierou 85 % (87 % v roku 2023); vyjadruje poľutovanie nad tým, že účinnosť systému vnútornej kontroly klesla zo 78 % v roku 2023 na 66 % v roku 2024; v tejto súvislosti upozorňuje na rozdiel medzi formálnym dodržiavaním predpisov a praktickou účinnosťou v každodennej činnosti; vyzýva výbor, aby riešil štrukturálne príčiny poklesu účinnosti vnútornej kontroly, a to najmä posilnením kultúry informovanosti o rizikách, zlepšením interných komunikačných kanálov a urýchlením modernizácie systémov správy dokumentov a informácií; ďalej konštatuje, že v roku </w:t>
      </w:r>
      <w:r w:rsidRPr="00F051CF">
        <w:lastRenderedPageBreak/>
        <w:t>2024 výbor prijal revidované rozhodnutie o zjednodušení 23 druhov overovania, ktoré sa bude uplatňovať od januára 2025; víta skutočnosť, že následné kontroly, ktoré sa už v súvislosti s týmito overovaniami vykonali, potvrdili, že zjednodušenie neprinieslo dodatočné riziká;</w:t>
      </w:r>
    </w:p>
    <w:p w14:paraId="296F292F" w14:textId="77777777" w:rsidR="001705C1" w:rsidRPr="00F051CF" w:rsidRDefault="001705C1" w:rsidP="001705C1">
      <w:pPr>
        <w:pStyle w:val="NormalHanging12a"/>
      </w:pPr>
      <w:r w:rsidRPr="00F051CF">
        <w:t>24.</w:t>
      </w:r>
      <w:r w:rsidRPr="00F051CF">
        <w:tab/>
        <w:t>berie na vedomie, že podľa výročnej správy o činnosti výboru za rok 2024 (ďalej len „správa výboru“), sa v roku 2024 uskutočnilo päť nových auditov týkajúcich sa príspevku na dĺžku trvania cesty a príspevku za vzdialenosť, riadenia rizík, odporúčaní, kľúčových ukazovateľov činnosti a výkonnosti a cestovných výdavkov – čo spolu viedlo k 14 odporúčaniam; berie na vedomie najmä zistenia vnútorného audítora týkajúce sa príspevku na dĺžku trvania cesty a príspevku za vzdialenosť, ako napríklad nedostatočne jasnú definíciu „obvyklého miesta pobytu“ a chýbajúce požiadavky na podpornú dokumentáciu; ďalej konštatuje, že 13 odporúčaní zostalo ku koncu januára 2025 otvorených; ďalej konštatuje, že sedem odporúčaní z predchádzajúcich auditov je stále otvorených, najmä pokiaľ ide o etiku a integritu, časy platieb, oprávnenia na zasadnutia, delegátov poradnej komisie pre priemyselné zmeny a strategický cyklus; v tejto súvislosti víta skutočnosť, že výbor prijal nové pravidlá týkajúce sa schvaľovania schôdzí, príspevkov a náhrad; vyzýva výbor, aby zabezpečil rýchle uzavretie všetkých zostávajúcich odporúčaní auditu, najmä tých, ktoré sa týkajú príspevkov, etiky a integrity, a aby naďalej informoval orgán udeľujúci absolutórium o pokroku dosiahnutom pri vykonávaní všetkých prebiehajúcich odporúčaní;</w:t>
      </w:r>
    </w:p>
    <w:p w14:paraId="288BADAB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Ľudské zdroje, rovnosť a dobré pracovné podmienky zamestnancov</w:t>
      </w:r>
    </w:p>
    <w:p w14:paraId="11923870" w14:textId="77777777" w:rsidR="001705C1" w:rsidRPr="00F051CF" w:rsidRDefault="001705C1" w:rsidP="001705C1">
      <w:pPr>
        <w:pStyle w:val="NormalHanging12a"/>
      </w:pPr>
      <w:r w:rsidRPr="00F051CF">
        <w:t>25.</w:t>
      </w:r>
      <w:r w:rsidRPr="00F051CF">
        <w:tab/>
        <w:t>konštatuje, že na konci roka 2024 mal výbor 713 zamestnancov v porovnaní so 707 v roku 2023; ďalej konštatuje, že v roku 2024 zamestnával 48 zmluvných zamestnancov a 144 dočasných zamestnancov (z toho 42 bolo prijatých v roku 2024) (v porovnaní so 49 zmluvnými zamestnancami a 130 dočasnými zamestnancami v roku 2023); zdôrazňuje, že je dôležité uzatvárať pracovné zmluvy na neurčitý čas s cieľom zachovať zručnosti, kontinuitu a produktívne a stabilné pracovné prostredie, a varuje pred nadmerným využívaním externých poskytovateľov služieb; okrem toho konštatuje, že výbor zamestnával 10 poskytovateľov služieb a 14 externých pracovníkov, ktorí pracovali interne, okrem pracovníkov v oblasti stravovania, údržby, ochrany a bezpečnosti; berie na vedomie, že v roku 2024 bola miera zamestnanosti 96 % (95,50 % v roku 2023) a že miera fluktuácie zamestnancov bola 5,60 % (pokles zo 7 % v roku 2023);</w:t>
      </w:r>
    </w:p>
    <w:p w14:paraId="318BE6D2" w14:textId="77777777" w:rsidR="001705C1" w:rsidRPr="00F051CF" w:rsidRDefault="001705C1" w:rsidP="001705C1">
      <w:pPr>
        <w:pStyle w:val="NormalHanging12a"/>
      </w:pPr>
      <w:r w:rsidRPr="00F051CF">
        <w:t>26.</w:t>
      </w:r>
      <w:r w:rsidRPr="00F051CF">
        <w:tab/>
        <w:t>vyzdvihuje, že výbor bol v roku 2024 už tretí rok po sebe čistým dovozcom talentov z iných inštitúcií, čo je výsledkom realizácie jeho akčného plánu náboru a udržania zamestnancov, pričom 42 % náborov v roku 2024 bolo spojených s </w:t>
      </w:r>
      <w:proofErr w:type="spellStart"/>
      <w:r w:rsidRPr="00F051CF">
        <w:t>medziinštitucionálnymi</w:t>
      </w:r>
      <w:proofErr w:type="spellEnd"/>
      <w:r w:rsidRPr="00F051CF">
        <w:t xml:space="preserve"> presunmi; na základe informácií zo správy o následných opatreniach ďalej konštatuje, že počet žiadostí, ktoré výbor dostal na stále pracovné miesta, sa zvýšil o 11,60 % a na pracovné miesta dočasných a zmluvných zamestnancov o 41 %; víta skutočnosť, že výbor vyhlásil interné výberové konanie, do ktorého sa môžu zapojiť dočasní a zmluvní zamestnanci, a že do konca roka 2025 sa očakáva vytvorenie zoznamu úspešných uchádzačov; zdôrazňuje, že interné výberové konania sú dôležité pre udržanie talentov a odborných znalostí a pre stabilizáciu ľudských zdrojov výboru vo všeobecnosti; s uspokojením berie na vedomie účasť výboru na kariérnych podujatiach a veľtrhoch (vrátane virtuálnych) a na dňoch otvorených dverí; berie na vedomie, že v roku 2024 výbor zorganizoval virtuálny veľtrh práce venovaný konkrétnym pracovným profilom a kariérnym príležitostiam, ktorý prilákal </w:t>
      </w:r>
      <w:r w:rsidRPr="00F051CF">
        <w:lastRenderedPageBreak/>
        <w:t>270 účastníkov, pričom 19 z nich sa prihlásilo aj na prvé pracovné miesto, ktoré bolo v čase konania veľtrhu voľné;</w:t>
      </w:r>
    </w:p>
    <w:p w14:paraId="5F22E0BA" w14:textId="77777777" w:rsidR="001705C1" w:rsidRPr="00F051CF" w:rsidRDefault="001705C1" w:rsidP="001705C1">
      <w:pPr>
        <w:pStyle w:val="NormalHanging12a"/>
      </w:pPr>
      <w:r w:rsidRPr="00F051CF">
        <w:t>27.</w:t>
      </w:r>
      <w:r w:rsidRPr="00F051CF">
        <w:tab/>
        <w:t>víta pokračujúce úsilie výboru o zlepšenie rámca ľudských zdrojov s cieľom stať sa atraktívnym zamestnávateľom a plne inkluzívnym pracoviskom, kde je každý jednotlivec cenený a môže naplno rozvinúť svoj potenciál; konštatuje, že výbor analyzoval výsledky prieskumu angažovanosti zamestnancov v roku 2023, identifikoval rôzne obavy a nakoniec inicioval cielené následné opatrenia, ktoré sa prijali v priebehu roka 2024; medzi týmito opatreniami uvádza okrem iného vykonávanie nového rozhodnutia o pracovných podmienkach (hybridná práca, nadčasy, osobitná dovolenka), revíziu pravidiel hodnotenia a povyšovania, prijatie novej politiky mobility a riadenia citlivých pracovných miest, vykonávanie novej stratégie a akčného plánu v oblasti rozmanitosti a inklúzie, ktoré boli prijaté koncom roka 2023, revíziu politiky riadenia neprítomnosti, ktorá sa má prijať v roku 2025, a (prebiehajúcu) prácu na novej stratégii výboru v oblasti zručností; víta ďalšie zlepšenie skóre angažovanosti zamestnancov, ako vyplýva z posledného prieskumu výboru, ktoré sa zvýšilo zo 70,5 % v roku 2023 na 75 % v roku 2025;</w:t>
      </w:r>
    </w:p>
    <w:p w14:paraId="581422A0" w14:textId="77777777" w:rsidR="001705C1" w:rsidRPr="00F051CF" w:rsidRDefault="001705C1" w:rsidP="001705C1">
      <w:pPr>
        <w:pStyle w:val="NormalHanging12a"/>
      </w:pPr>
      <w:r w:rsidRPr="00F051CF">
        <w:t>28.</w:t>
      </w:r>
      <w:r w:rsidRPr="00F051CF">
        <w:tab/>
        <w:t>konštatuje, že v roku 2024 výbor zamestnával zamestnancov zastupujúcich všetky štátne príslušnosti Únie, pričom niektoré z nich boli nadmerne zastúpené; s uspokojením konštatuje, že 62,70 % zamestnancov tvorili ženy a 37,30 % muži; na základe informácií zo správy o následných opatreniach konštatuje, že ženy zastávajú 52 % riadiacich pozícií, čím sa výbor v tomto smere radí na popredné miesto; opätovne víta vymenovanie ženy do funkcie generálneho tajomníka v januári 2024 ako pozitívny krok k dosiahnutiu rodovej vyváženosti; uznáva pokrok dosiahnutý v poslednom období pri uplatňovaní rodovej rovnosti a rozmanitosti ako strategických priorít na podporu kultúry začlenenia a úcty na pracovisku; víta vykonávanie stratégie a akčného plánu pre rozmanitosť a začlenenie, cielené programy mentorstva a rozvoja vedenia pre ženy a nedostatočne zastúpené skupiny; vyjadruje však poľutovanie nad tým, že percentuálny podiel žien vo vyššom manažmente zostal v roku 2024 nízky, pričom ženy v súčasnosti zastávajú len dve zo siedmich vyšších riadiacich pozícií, teda rovnako ako v roku 2023; uznáva, že nízka miera fluktuácie vyplývajúca z veľkosti výboru je jedným z dôvodov nízkeho podielu žien na týchto pozíciách; víta záväzok výboru zvyšovať informovanosť menovacích orgánov o tejto problematike, podporovať vyvážené menovanie žien a mužov a zapojiť sa do cielených opatrení prostredníctvom ženského fóra a fóra manažmentu, ktoré podporujú rozvoj vedúcich pozícií a kariérny postup žien v strednom manažmente;</w:t>
      </w:r>
    </w:p>
    <w:p w14:paraId="178132E9" w14:textId="77777777" w:rsidR="001705C1" w:rsidRPr="00F051CF" w:rsidRDefault="001705C1" w:rsidP="001705C1">
      <w:pPr>
        <w:pStyle w:val="NormalHanging12a"/>
      </w:pPr>
      <w:r w:rsidRPr="00F051CF">
        <w:t>29.</w:t>
      </w:r>
      <w:r w:rsidRPr="00F051CF">
        <w:tab/>
        <w:t>pripomína iniciatívu výboru zaviesť nový prístup k strategickému plánovaniu pracovnej sily a prideľovaniu zamestnancov, využívať zber údajov o zručnostiach zamestnancov a aktívne načúvať celej organizácii, ako aj úvahy o strategických prioritách zo strany politických orgánov výboru; v správe o následných opatreniach sa uvádza, že tento nový typ plánovania sa začne prostredníctvom pilotného projektu v obmedzenom počte služieb vybraných na základe strategických priorít; vyzýva výbor, aby orgán udeľujúci absolutórium priebežne informoval o pokroku a ďalšom vývoji; zdôrazňuje význam strategického plánovania pracovnej sily s cieľom optimalizovať prideľovanie zdrojov a zabezpečiť súlad s prioritami na vysokej úrovni;</w:t>
      </w:r>
    </w:p>
    <w:p w14:paraId="528AE5DE" w14:textId="77777777" w:rsidR="001705C1" w:rsidRPr="00F051CF" w:rsidRDefault="001705C1" w:rsidP="001705C1">
      <w:pPr>
        <w:pStyle w:val="NormalHanging12a"/>
      </w:pPr>
      <w:r w:rsidRPr="00F051CF">
        <w:t>30.</w:t>
      </w:r>
      <w:r w:rsidRPr="00F051CF">
        <w:tab/>
        <w:t xml:space="preserve">víta úsilie výboru o vytvorenie zdravého pracovného prostredia pre svojich zamestnancov; oceňuje najmä pozornosť, ktorú výbor venoval duševnému a fyzickému zdraviu zamestnancov, a úsilie vynaložené na zvyšovanie povedomia o otázkach </w:t>
      </w:r>
      <w:r w:rsidRPr="00F051CF">
        <w:lastRenderedPageBreak/>
        <w:t>súvisiacich so zdravím; berie na vedomie opatrenia výboru týkajúce sa riadenia práceneschopnosti, ako sú čiastočné úväzky zo zdravotných dôvodov a predĺžená práca na diaľku, s cieľom zabezpečiť, aby sa zamestnanci, ktorí sú dlhodobo práceneschopní, včas vrátili do práce; zaznamenáva pokles celkového počtu registrovaných dní práceneschopnosti o 7,50 % z 10 552 dní v roku 2023 na 9 763 dní v roku 2024, ako aj pokles miery absencie zo 4,08 % v roku 2023 na 3,75 % v roku 2024 (najnižší od roku 2021); vyjadruje poľutovanie nad tým, že výbor znovu nie je schopný poskytnúť údaje o prípadoch vyhorenia; spomedzi argumentov výboru uvádza, že zamestnanci nie sú povinní vopred zdieľať zdravotné údaje, že vyhorenie nie je uznanou lekárskou diagnózou a že príčiny vyhorenia nemusia súvisieť s prácou, ako aj lekárske tajomstvo; konštatuje, že výbor zhromažďuje anonymizované štatistické údaje o práceneschopnosti súvisiacej s duševným zdravím, ale dostupné údaje neumožňujú rozlíšenie medzi vyhorením súvisiacim s prácou a inými problémami, ktoré nesúvisia s prácou; zdôrazňuje však, že vyhorenie možno merať aj bez lekárskych údajov, pričom existujú nástroje na hodnotenie vyhorenia súvisiaceho s prácou, ktoré možno použiť, a Európska agentúra pre bezpečnosť a ochranu zdravia pri práci (EU-OSHA) podporuje anonymné dotazníky na meranie stresu súvisiaceho s prácou a faktorov vyhorenia oddelene od duševných problémov nesúvisiacich s prácou; vyzýva výbor, aby sa v súvislosti so zberom údajov o vyhorení prostredníctvom lekárskych alebo nemedicínskych nástrojov poradil aj s európskym dozorným úradníkom pre ochranu údajov (EDPS) a aby orgán udeľujúci absolutórium informoval o následných opatreniach;</w:t>
      </w:r>
    </w:p>
    <w:p w14:paraId="35A14B98" w14:textId="77777777" w:rsidR="001705C1" w:rsidRPr="00F051CF" w:rsidRDefault="001705C1" w:rsidP="001705C1">
      <w:pPr>
        <w:pStyle w:val="NormalHanging12a"/>
      </w:pPr>
      <w:r w:rsidRPr="00F051CF">
        <w:t>31.</w:t>
      </w:r>
      <w:r w:rsidRPr="00F051CF">
        <w:tab/>
        <w:t xml:space="preserve">na základe informácií z dotazníka konštatuje, že v roku 2024 výbor a VR spustili projekt </w:t>
      </w:r>
      <w:proofErr w:type="spellStart"/>
      <w:r w:rsidRPr="00F051CF">
        <w:t>SPaCES</w:t>
      </w:r>
      <w:proofErr w:type="spellEnd"/>
      <w:r w:rsidRPr="00F051CF">
        <w:t xml:space="preserve"> na modernizáciu a optimalizáciu svojich pracovných priestorov prostredníctvom plne </w:t>
      </w:r>
      <w:proofErr w:type="spellStart"/>
      <w:r w:rsidRPr="00F051CF">
        <w:t>participatívneho</w:t>
      </w:r>
      <w:proofErr w:type="spellEnd"/>
      <w:r w:rsidRPr="00F051CF">
        <w:t xml:space="preserve"> a transparentného postupu, do ktorého boli zapojení zástupcovia zamestnancov a sociálni partneri; zdôrazňuje, že projekt predstavuje dlhodobú transformáciu zameranú na zlepšenie efektívnosti, spolupráce a flexibility v oboch inštitúciách v súlade s hybridnou prácou; konštatuje, že projekt </w:t>
      </w:r>
      <w:proofErr w:type="spellStart"/>
      <w:r w:rsidRPr="00F051CF">
        <w:t>SPaCES</w:t>
      </w:r>
      <w:proofErr w:type="spellEnd"/>
      <w:r w:rsidRPr="00F051CF">
        <w:t xml:space="preserve"> sa realizuje prostredníctvom plne </w:t>
      </w:r>
      <w:proofErr w:type="spellStart"/>
      <w:r w:rsidRPr="00F051CF">
        <w:t>participatívneho</w:t>
      </w:r>
      <w:proofErr w:type="spellEnd"/>
      <w:r w:rsidRPr="00F051CF">
        <w:t xml:space="preserve"> prístupu, ktorý zabezpečuje zapojenie a zastúpenie zamestnancov v každej fáze; poznamenáva, že prvá fáza, ktorú podporuje externý dodávateľ a ktorá sa má ukončiť v lete 2025, zahŕňa pracovné semináre s vedením a všetkými útvarmi oboch výborov, ako aj podrobnú pracovnú analýzu založenú na činnostiach s cieľom určiť budúce potreby pracovných priestorov; víta skutočnosť, že bola vytvorená špecializovaná riadiaca štruktúra, projektový tím a sieť kontaktných miest, ktoré postup riadia, zabezpečujú transparentnosť a zastupujú všetky relevantné záujmy;</w:t>
      </w:r>
    </w:p>
    <w:p w14:paraId="07DDC6D0" w14:textId="77777777" w:rsidR="001705C1" w:rsidRPr="00F051CF" w:rsidRDefault="001705C1" w:rsidP="001705C1">
      <w:pPr>
        <w:pStyle w:val="NormalHanging12a"/>
      </w:pPr>
      <w:r w:rsidRPr="00F051CF">
        <w:t>32.</w:t>
      </w:r>
      <w:r w:rsidRPr="00F051CF">
        <w:tab/>
        <w:t>konštatuje, že výbor zamestnal 52 stážistov dlhodobo (5 mesiacov) a dvoch stážistov krátkodobo, z ktorých všetci dostali v roku 2024 mesačný príspevok v súlade s uznesením Európskeho parlamentu zo 14. júna 2023 o kvalitných stážach v Únii (2020/2005(INL)), v ktorom sa požaduje, aby všetky stáže v Európe boli platené;</w:t>
      </w:r>
    </w:p>
    <w:p w14:paraId="6220BCB4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33.</w:t>
      </w:r>
      <w:r w:rsidRPr="00F051CF">
        <w:tab/>
        <w:t>víta intenzívny a štruktúrovaný sociálny dialóg v postupoch organizačných zmien v priebehu roka 2024; nabáda výbor, aby zachoval a ďalej posilňoval systematické zapájanie zástupcov zamestnancov do reforiem súvisiacich okrem iného s digitalizáciou, vnútornou reorganizáciou a novými pracovnými metódami;</w:t>
      </w:r>
    </w:p>
    <w:p w14:paraId="1CF42680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Etický rámec a transparentnosť</w:t>
      </w:r>
    </w:p>
    <w:p w14:paraId="5D75BF8F" w14:textId="77777777" w:rsidR="001705C1" w:rsidRPr="00F051CF" w:rsidRDefault="001705C1" w:rsidP="001705C1">
      <w:pPr>
        <w:pStyle w:val="NormalHanging12a"/>
      </w:pPr>
      <w:r w:rsidRPr="00F051CF">
        <w:t>34.</w:t>
      </w:r>
      <w:r w:rsidRPr="00F051CF">
        <w:tab/>
        <w:t xml:space="preserve">pripomína, že v medziach posilneného etického rámca sa výbor a vnútorný audítor dohodli na akčnom pláne týkajúcom sa auditu etiky a integrity výboru, ktorý obsahuje </w:t>
      </w:r>
      <w:r w:rsidRPr="00F051CF">
        <w:lastRenderedPageBreak/>
        <w:t>desať odporúčaní, z ktorých osem bolo uzavretých do marca 2025; na základe správy o následných opatreniach konštatuje, že výbor sa zaoberal dvomi zostávajúcimi otvorenými odporúčaniami tým, že zrevidoval a aktualizoval príručku týkajúcu sa povinností úradníkov výboru, ktorej obsah bude uvedený aj na intranete výboru;</w:t>
      </w:r>
    </w:p>
    <w:p w14:paraId="0942C099" w14:textId="77777777" w:rsidR="001705C1" w:rsidRPr="00F051CF" w:rsidRDefault="001705C1" w:rsidP="001705C1">
      <w:pPr>
        <w:pStyle w:val="NormalHanging12a"/>
      </w:pPr>
      <w:r w:rsidRPr="00F051CF">
        <w:t>35.</w:t>
      </w:r>
      <w:r w:rsidRPr="00F051CF">
        <w:tab/>
        <w:t>konštatuje, že výbor v roku 2024 pokračoval v odbornej príprave zamestnancov a zvyšoval povedomie o témach súvisiacich s etikou; s uspokojením konštatuje, že výbor ponúka školenia o etike a bezúhonnosti, ktoré sú povinné pre všetkých zamestnancov, pričom v roku 2024 sa na deviatich takýchto školeniach zúčastnilo 54 účastníkov; ďalej konštatuje, že v priebehu roka 2024 sa 40 zo 47 vedúcich pracovníkov zúčastnilo na školeniach o rešpekte na pracovisku a úlohe vedúcich pracovníkov a 25 zamestnancov sa zúčastnilo na školeniach, ktoré ponúkol Vyšetrovací a disciplinárny úrad Komisie, o možných pokušeniach, ktoré majú disciplinárne dôsledky; víta skutočnosť, že z prieskumov vyplýva vysoká miera informovanosti zamestnancov výboru o jeho pevných hodnotách a etických normách, postupoch pri oznamovaní priestupkov a sieti dôverných poradcov;</w:t>
      </w:r>
    </w:p>
    <w:p w14:paraId="60E3536B" w14:textId="77777777" w:rsidR="001705C1" w:rsidRPr="00F051CF" w:rsidRDefault="001705C1" w:rsidP="001705C1">
      <w:pPr>
        <w:pStyle w:val="NormalHanging12a"/>
      </w:pPr>
      <w:r w:rsidRPr="00F051CF">
        <w:t>36.</w:t>
      </w:r>
      <w:r w:rsidRPr="00F051CF">
        <w:tab/>
        <w:t>na základe dotazníka konštatuje, že v roku 2024 boli nahlásené dva prípady údajného obťažovania, ktoré boli prešetrené a uzavreté v roku 2025, pričom v jednom prípade nebolo zistené obťažovanie a v druhom prípade bolo prijaté formálne ospravedlnenie za nevhodné správanie dotknutej osoby; ďalej konštatuje, že bolo prijaté rozhodnutie v inom prípade, predloženom pred rokom 2024, o obťažovaní spojenom s disciplinárnym konaním; ďalej konštatuje, že v roku 2024 nebolo nahlásené žiadne sexuálne obťažovanie; opakuje, že je potrebná politika nulovej tolerancie voči obťažovaniu s cieľom zabezpečiť ochranu dobrých podmienok zamestnancov, a pripomína, že je to povinnosť každého zamestnávateľa;</w:t>
      </w:r>
    </w:p>
    <w:p w14:paraId="0C0425A9" w14:textId="77777777" w:rsidR="001705C1" w:rsidRPr="00F051CF" w:rsidRDefault="001705C1" w:rsidP="001705C1">
      <w:pPr>
        <w:pStyle w:val="NormalHanging12a"/>
      </w:pPr>
      <w:r w:rsidRPr="00F051CF">
        <w:t>37.</w:t>
      </w:r>
      <w:r w:rsidRPr="00F051CF">
        <w:tab/>
        <w:t>zo správy o následných opatreniach berie na vedomie vývoj týkajúci sa súdneho konania, ktoré začali belgické orgány proti bývalému členovi výboru obvinenému z nevhodného správania v súvislosti so sťažnosťou na obťažovanie v rámci výboru, ktorá bola otvorená a ukončená výborom v roku 2023; konštatuje, že toto konanie je prerušené, keďže príslušný belgický súd požiadal Súdny dvor Európskej únie o vysvetlenie výkladu článku 10 Protokolu č. 7 o výsadách a imunitách Európskej únie; vyzýva výbor, aby priebežne informoval orgán udeľujúci absolutórium o ďalšom vývoji v tejto veci;</w:t>
      </w:r>
    </w:p>
    <w:p w14:paraId="16258C8E" w14:textId="77777777" w:rsidR="001705C1" w:rsidRPr="00F051CF" w:rsidRDefault="001705C1" w:rsidP="001705C1">
      <w:pPr>
        <w:pStyle w:val="NormalHanging12a"/>
      </w:pPr>
      <w:r w:rsidRPr="00F051CF">
        <w:t>38.</w:t>
      </w:r>
      <w:r w:rsidRPr="00F051CF">
        <w:tab/>
        <w:t>s uspokojením konštatuje, že výbor je lídrom v oblasti transparentnosti, keďže je prvým orgánom, ktorý sa okrem pôvodných signatárov pripojil k registru transparentnosti Únie; víta opatrenia transparentnosti, ktoré výbor prijal, vrátane odporúčania, aby sa členovia výboru stretávali len s registrovanými zainteresovanými stranami, povinnosti členov výboru zverejňovať svoje schôdze na internete a možnosti spravodajcov výboru, a to aj prostredníctvom pilotného projektu iniciovaného v roku 2025, pripojiť k svojim stanoviskám „legislatívnu stopu“; konštatuje, že stanoviská výboru sú v súčasnosti viditeľné ako míľniky v rámci legislatívnych spisov v nástroji EULT; ďalej s uspokojením berie na vedomie opatrenia výboru v oblasti transparentnosti, ktoré vyplývajú z dotazníka, pokiaľ ide o jeho základné administratívne operácie v oblastiach, ako sú financie, obstarávanie, ľudské zdroje a prístup k dokumentom;</w:t>
      </w:r>
    </w:p>
    <w:p w14:paraId="398DD3FE" w14:textId="77777777" w:rsidR="001705C1" w:rsidRPr="00F051CF" w:rsidRDefault="001705C1" w:rsidP="001705C1">
      <w:pPr>
        <w:pStyle w:val="NormalHanging12a"/>
      </w:pPr>
      <w:r w:rsidRPr="00F051CF">
        <w:t>39.</w:t>
      </w:r>
      <w:r w:rsidRPr="00F051CF">
        <w:tab/>
        <w:t xml:space="preserve">konštatuje, že výbor má pevný rámec na predchádzanie konfliktom záujmov a zamedzenie prípadom javu otáčavých dverí; v súvislosti so svojimi zamestnancami konštatuje, že výbor zabezpečuje, aby sa pri všetkých postupoch náboru a výberu </w:t>
      </w:r>
      <w:r w:rsidRPr="00F051CF">
        <w:lastRenderedPageBreak/>
        <w:t xml:space="preserve">zamestnancov zohľadňoval konflikt záujmov; berie na vedomie, že zamestnanci sú povinní aktívne oznámiť každú situáciu, ktorá by mohla viesť ku </w:t>
      </w:r>
      <w:bookmarkStart w:id="8" w:name="_Hlk216797257"/>
      <w:r w:rsidRPr="00F051CF">
        <w:t>konfliktu záujmov</w:t>
      </w:r>
      <w:bookmarkEnd w:id="8"/>
      <w:r w:rsidRPr="00F051CF">
        <w:t>; v prípade členov výboru poznamenáva, že v prípade zmeny informácií, ktoré nahlásili, predložia nové vyhlásenie najneskôr do dvoch mesiacov od príslušnej zmeny; v súvislosti so svojimi členmi konštatuje, že etická komisia výboru sa zaoberala jednou žiadosťou o usmernenie v súvislosti s možným konfliktom záujmov; v súvislosti so zamestnancami výboru konštatuje, že v roku 2024 neboli hlásené žiadne prípady konfliktu záujmov alebo oznámenia protispoločenskej činnosti;</w:t>
      </w:r>
    </w:p>
    <w:p w14:paraId="110A77CA" w14:textId="77777777" w:rsidR="001705C1" w:rsidRPr="00F051CF" w:rsidRDefault="001705C1" w:rsidP="001705C1">
      <w:pPr>
        <w:pStyle w:val="NormalHanging12a"/>
      </w:pPr>
      <w:r w:rsidRPr="00F051CF">
        <w:t>40.</w:t>
      </w:r>
      <w:r w:rsidRPr="00F051CF">
        <w:tab/>
      </w:r>
      <w:bookmarkStart w:id="9" w:name="_Hlk216869267"/>
      <w:r w:rsidRPr="00F051CF">
        <w:t>so znepokojením berie na vedomie podozrenie z podvodu, do ktorého bol zapojený externý poskytovateľ služieb, ktoré Európsky úrad pre boj proti podvodom (OLAF) zamietol a prípad bol následne postúpený Európskej prokuratúre (EPPO) pre potenciálne trestné činy v roku 2024</w:t>
      </w:r>
      <w:bookmarkEnd w:id="9"/>
      <w:r w:rsidRPr="00F051CF">
        <w:t>; na základe informácií z dotazníka s uspokojením konštatuje, že výbor v tomto prípade plne spolupracuje s Európskou prokuratúrou; ďalej konštatuje, že poskytovateľ služieb zaplatil výboru dohodnutú zmluvnú pokutu; v tejto súvislosti víta opatrenia, ktoré výbor prijal s cieľom lepšie predchádzať takýmto prípadom v budúcnosti prostredníctvom prísnejších kontrol dodržiavania predpisov pri obstarávaní a realizácii zmlúv a posilnením usmernení a odbornej prípravy v tejto oblasti; konštatuje, že jeden prípad úradu OLAF z roku 2023 bol vrátený výboru na účely zjednodušeného interného administratívneho vyšetrovania, ktoré sa začalo v roku 2024 a viedlo k záverečnej správe určenej menovaciemu orgánu v júli 2025; vyzýva výbor, aby informoval orgán udeľujúci absolutórium o tom, či bolo v tejto veci prijaté konečné rozhodnutie; ďalej konštatuje, že vyšetrovanie, ktoré začal ombudsman v roku 2023, bolo ukončené v roku 2024 so zistením, že zo strany výboru nedošlo k nesprávnemu úradnému postupu;</w:t>
      </w:r>
    </w:p>
    <w:p w14:paraId="59A242EB" w14:textId="7E3B199B" w:rsidR="001705C1" w:rsidRPr="00F051CF" w:rsidRDefault="001705C1" w:rsidP="001705C1">
      <w:pPr>
        <w:pStyle w:val="NormalHanging12a"/>
      </w:pPr>
      <w:r w:rsidRPr="00F051CF">
        <w:t>41.</w:t>
      </w:r>
      <w:r w:rsidRPr="00F051CF">
        <w:tab/>
        <w:t xml:space="preserve">na základe informácií z dotazníka s uspokojením konštatuje, že výbor v nadväznosti na predchádzajúce výzvy </w:t>
      </w:r>
      <w:r w:rsidR="00886FAD" w:rsidRPr="00F051CF">
        <w:t>Európskeho p</w:t>
      </w:r>
      <w:r w:rsidRPr="00F051CF">
        <w:t xml:space="preserve">arlamentu vypracoval stratégiu boja proti podvodom, ktorá zahŕňa sprievodný akčný plán s konkrétnymi opatreniami, ktoré sa majú vykonať a ktoré sa týkajú politík odbornej prípravy, ako aj informačných kampaní a revidovaných dohôd o spolupráci s úradom OLAF a Európskou prokuratúrou, ktoré boli predložené na </w:t>
      </w:r>
      <w:proofErr w:type="spellStart"/>
      <w:r w:rsidRPr="00F051CF">
        <w:t>medziútvarovú</w:t>
      </w:r>
      <w:proofErr w:type="spellEnd"/>
      <w:r w:rsidRPr="00F051CF">
        <w:t xml:space="preserve"> konzultáciu a postup prijímania; žiada výbor, aby informoval orgán udeľujúci absolutórium o vývoji v týchto veciach; víta skutočnosť, že výbor zorganizoval dve školenia o informovanosti o podvodoch a ich prevencii vo verejnom obstarávaní, ktoré viedli zamestnanci úradu OLAF a na ktorých sa zúčastnilo 21 účastníkov, a jedno informačné stretnutie zorganizované spolu s úradom EPPO s cieľom oboznámiť zamestnancov výboru s mandátom Európskej prokuratúry a poskytnúť im usmernenia o tom, ako jej nahlasovať potenciálne prípady; vyzýva výbor, aby posilnil svoje postupy v oblasti posudzovania rizík, prevencie, odhaľovania a následných opatrení pri vykonávaní stratégie boja proti podvodom;</w:t>
      </w:r>
    </w:p>
    <w:p w14:paraId="40EE1699" w14:textId="77777777" w:rsidR="001705C1" w:rsidRPr="00F051CF" w:rsidRDefault="001705C1" w:rsidP="001705C1">
      <w:pPr>
        <w:pStyle w:val="NormalHanging12a"/>
        <w:rPr>
          <w:b/>
          <w:i/>
        </w:rPr>
      </w:pPr>
      <w:bookmarkStart w:id="10" w:name="_Hlk216263307"/>
      <w:r w:rsidRPr="00F051CF">
        <w:rPr>
          <w:b/>
          <w:i/>
        </w:rPr>
        <w:t>Digitalizácia, kybernetická bezpečnosť a ochrana údajov</w:t>
      </w:r>
    </w:p>
    <w:p w14:paraId="08E5D4A3" w14:textId="77777777" w:rsidR="001705C1" w:rsidRPr="00F051CF" w:rsidRDefault="001705C1" w:rsidP="001705C1">
      <w:pPr>
        <w:pStyle w:val="NormalHanging12a"/>
      </w:pPr>
      <w:r w:rsidRPr="00F051CF">
        <w:t>42.</w:t>
      </w:r>
      <w:r w:rsidRPr="00F051CF">
        <w:tab/>
        <w:t xml:space="preserve">konštatuje, že kombinovaný rozpočet výboru a VR na IT v roku 2024 predstavoval 13 700 000 EUR v porovnaní so sumou 12 700 000 EUR v roku 2023, t. j. zvýšenie o 7,87 %, pričom 760 000 EUR (približne 6 %) z tohto rozpočtu bolo v roku 2024 vyplatených na kybernetickú bezpečnosť; na základe informácií z dotazníka konštatuje, že financovanie projektov v oblasti IT sa v porovnaní s rokom 2023 zvýšilo o 109 000 EUR, čo predstavuje nárast o 4 %, a to najmä na podporu programu M365 </w:t>
      </w:r>
      <w:proofErr w:type="spellStart"/>
      <w:r w:rsidRPr="00F051CF">
        <w:t>Workplace</w:t>
      </w:r>
      <w:proofErr w:type="spellEnd"/>
      <w:r w:rsidRPr="00F051CF">
        <w:t xml:space="preserve"> a programu transformácie kybernetickej bezpečnosti; ďalej konštatuje, že výdavky na zariadenia vzrástli o 117 000 EUR (t. j. o 20 %), najmä v dôsledku úpravy </w:t>
      </w:r>
      <w:r w:rsidRPr="00F051CF">
        <w:lastRenderedPageBreak/>
        <w:t xml:space="preserve">cien a strategických investícií do telefónnej infraštruktúry; </w:t>
      </w:r>
      <w:bookmarkStart w:id="11" w:name="_Hlk224229242"/>
      <w:r w:rsidRPr="00F051CF">
        <w:t>berie na vedomie obavy výboru, že je štrukturálne nedostatočne financovaný v oblasti digitalizácie a kybernetickej bezpečnosti, a varuje, že pretrvávajúce nedostatočné investície do kybernetickej bezpečnosti predstavujú štrukturálne riziko pre integritu inštitúcií, orgánov, úradov a agentúr Únie</w:t>
      </w:r>
      <w:bookmarkEnd w:id="11"/>
      <w:r w:rsidRPr="00F051CF">
        <w:t xml:space="preserve">; vyzýva výbor, aby prijal štruktúrovaný plán na postupné dosiahnutie referenčnej hodnoty 10 % výdavkov na kybernetickú bezpečnosť vrátane ročných míľnikov, stanovenia priorít na základe rizika a pravidelného podávania správ orgánu udeľujúcemu absolutórium; zdôrazňuje potrebu posilnenej spolupráce s tímom reakcie na núdzové počítačové situácie v európskych inštitúciách, orgánoch a agentúrach (CERT-EU) a s inštitúciami, orgánmi, úradmi a agentúrami Únie s cieľom zabezpečiť súdržnú a pevnú pozíciu v oblasti kybernetickej bezpečnosti; v tejto súvislosti vyjadruje poľutovanie nad tým, že rozpočtový orgán nezaradil do rozpočtu Únie na rok 2026 sumu 1 176 000 EUR potrebnú na to, aby výbor (a VR) mohol uskutočniť rozsiahlu modernizáciu kybernetickej bezpečnosti, čím sa stal cieľ uvedený v nariadení (EÚ, </w:t>
      </w:r>
      <w:proofErr w:type="spellStart"/>
      <w:r w:rsidRPr="00F051CF">
        <w:t>Euratom</w:t>
      </w:r>
      <w:proofErr w:type="spellEnd"/>
      <w:r w:rsidRPr="00F051CF">
        <w:t>) 2023/2841</w:t>
      </w:r>
      <w:r w:rsidRPr="00F051CF">
        <w:rPr>
          <w:rStyle w:val="FootnoteReference"/>
        </w:rPr>
        <w:footnoteReference w:id="7"/>
      </w:r>
      <w:r w:rsidRPr="00F051CF">
        <w:t xml:space="preserve"> venovať približne 10 % svojich celkových výdavkov na IT v oblasti kybernetickej bezpečnosti nedosiahnuteľným; požaduje primerané finančné prostriedky, ktoré by výboru a Výboru regiónov umožnili výrazne zlepšiť kybernetickú bezpečnosť;</w:t>
      </w:r>
    </w:p>
    <w:p w14:paraId="741B17A6" w14:textId="77777777" w:rsidR="001705C1" w:rsidRPr="00F051CF" w:rsidRDefault="001705C1" w:rsidP="001705C1">
      <w:pPr>
        <w:pStyle w:val="NormalHanging12a"/>
      </w:pPr>
      <w:r w:rsidRPr="00F051CF">
        <w:t>43.</w:t>
      </w:r>
      <w:r w:rsidRPr="00F051CF">
        <w:tab/>
        <w:t xml:space="preserve">upozorňuje na kľúčové zlepšenia v oblasti digitalizácie a riadenia IT v roku 2024, ako je napríklad rozšírenie pokrytia WiFi, spustenie pilotných projektov Microsoft 365 a umelej inteligencie, migrácia do </w:t>
      </w:r>
      <w:proofErr w:type="spellStart"/>
      <w:r w:rsidRPr="00F051CF">
        <w:t>cloudu</w:t>
      </w:r>
      <w:proofErr w:type="spellEnd"/>
      <w:r w:rsidRPr="00F051CF">
        <w:t xml:space="preserve"> a zvyšovanie informovanosti prostredníctvom Dní kybernetickej bezpečnosti; víta viacročnú digitálnu stratégiu (2024 – 2026), ktorú zaviedlo Riaditeľstvo pre inovácie a informačné technológie a ktorá sa opiera o štyri hlavné programy: M365 (program digitálneho pracoviska), ARES (systém Komisie na správu dokumentov), </w:t>
      </w:r>
      <w:proofErr w:type="spellStart"/>
      <w:r w:rsidRPr="00F051CF">
        <w:t>EdiT</w:t>
      </w:r>
      <w:proofErr w:type="spellEnd"/>
      <w:r w:rsidRPr="00F051CF">
        <w:t xml:space="preserve"> (spoločný nástroj inštitúcií Únie na prípravu legislatívnych dokumentov) a kybernetická bezpečnosť; na základe správy výboru a informácií z dotazníka konštatuje, že digitálnou stratégiou výboru na roky 2024 – 2026 sa zavádza revidovaný model digitálneho riadenia zameraný na posilnenie spolupráce inštitúcií, zefektívnenie pracovných postupov, automatizáciu procesov, zlepšenie tvorby právnych predpisov a posilnenie odolnosti;</w:t>
      </w:r>
    </w:p>
    <w:p w14:paraId="4E67427A" w14:textId="77777777" w:rsidR="001705C1" w:rsidRPr="00F051CF" w:rsidRDefault="001705C1" w:rsidP="001705C1">
      <w:pPr>
        <w:pStyle w:val="NormalHanging12a"/>
      </w:pPr>
      <w:r w:rsidRPr="00F051CF">
        <w:t>44.</w:t>
      </w:r>
      <w:r w:rsidRPr="00F051CF">
        <w:tab/>
        <w:t xml:space="preserve">na základe dotazníka berie na vedomie zavedenie systému HAN (HERMES-ARES-NOMCOM) na bezpečnú správu dokumentov, dodržiavanie pravidiel ochrany údajov a prijatie editora </w:t>
      </w:r>
      <w:proofErr w:type="spellStart"/>
      <w:r w:rsidRPr="00F051CF">
        <w:t>EdiT</w:t>
      </w:r>
      <w:proofErr w:type="spellEnd"/>
      <w:r w:rsidRPr="00F051CF">
        <w:t xml:space="preserve"> XML na tvorbu právnych predpisov; víta pokrok dosiahnutý v oblasti správy záznamov, pričom úplné zavedenie sa očakáva do roku 2026; potvrdzuje zlepšenie infraštruktúry IT vrátane automatizácie, migrácie do </w:t>
      </w:r>
      <w:proofErr w:type="spellStart"/>
      <w:r w:rsidRPr="00F051CF">
        <w:t>cloudu</w:t>
      </w:r>
      <w:proofErr w:type="spellEnd"/>
      <w:r w:rsidRPr="00F051CF">
        <w:t xml:space="preserve"> a zavedenia nového nástroja na riadenie ľudských zdrojov (HRT, ktorý nahradí </w:t>
      </w:r>
      <w:proofErr w:type="spellStart"/>
      <w:r w:rsidRPr="00F051CF">
        <w:t>Sysper</w:t>
      </w:r>
      <w:proofErr w:type="spellEnd"/>
      <w:r w:rsidRPr="00F051CF">
        <w:t>) v roku 2024;</w:t>
      </w:r>
    </w:p>
    <w:p w14:paraId="6A6E0FDE" w14:textId="77777777" w:rsidR="001705C1" w:rsidRPr="00F051CF" w:rsidRDefault="001705C1" w:rsidP="001705C1">
      <w:pPr>
        <w:pStyle w:val="NormalHanging12a"/>
      </w:pPr>
      <w:r w:rsidRPr="00F051CF">
        <w:t>45.</w:t>
      </w:r>
      <w:r w:rsidRPr="00F051CF">
        <w:tab/>
        <w:t xml:space="preserve">konštatuje, že výbor využíva platformu Komisie pre neurónový strojový preklad </w:t>
      </w:r>
      <w:proofErr w:type="spellStart"/>
      <w:r w:rsidRPr="00F051CF">
        <w:t>eTranslation</w:t>
      </w:r>
      <w:proofErr w:type="spellEnd"/>
      <w:r w:rsidRPr="00F051CF">
        <w:t xml:space="preserve"> na automatické generovanie prekladov ako ďalšiu pomôcku pri práci prekladateľov; konštatuje, že výbor zároveň úspešne uskutočnil pilotný projekt prepisu reči na text na báze umelej inteligencie s využitím softvéru vyvinutého Svetovou organizáciou duševného vlastníctva (WIPO) v roku 2024; ďalej konštatuje, že Riaditeľstvo pre preklady začalo v júni 2024 jednoročný pilotný projekt s cieľom </w:t>
      </w:r>
      <w:r w:rsidRPr="00F051CF">
        <w:lastRenderedPageBreak/>
        <w:t xml:space="preserve">posúdiť používanie nástroja </w:t>
      </w:r>
      <w:proofErr w:type="spellStart"/>
      <w:r w:rsidRPr="00F051CF">
        <w:t>DeepL</w:t>
      </w:r>
      <w:proofErr w:type="spellEnd"/>
      <w:r w:rsidRPr="00F051CF">
        <w:t xml:space="preserve"> ako alternatívneho prekladateľského nástroja, pri ktorom sa usúdilo, že neprináša pridanú hodnotu v porovnaní s už zavedenými systémami na preklad dokumentov výboru;</w:t>
      </w:r>
    </w:p>
    <w:p w14:paraId="1B63B7C7" w14:textId="77777777" w:rsidR="001705C1" w:rsidRPr="00F051CF" w:rsidRDefault="001705C1" w:rsidP="001705C1">
      <w:pPr>
        <w:pStyle w:val="NormalHanging12a"/>
      </w:pPr>
      <w:r w:rsidRPr="00F051CF">
        <w:t>46.</w:t>
      </w:r>
      <w:r w:rsidRPr="00F051CF">
        <w:tab/>
        <w:t>na základe informácií z dotazníka konštatuje, že výbor úzko spolupracuje s tímom CERT-EU a používa rôzne nástroje a nepretržité monitorovanie na zisťovanie a riešenie zraniteľností systémov; ďalej uvádza, že Riaditeľstvo pre informácie a inovačné technológie začalo implementovať „Essentials 8“, rámec kybernetickej bezpečnosti NIST a OWASP ako referenčné modely na posilnenie riadenia rizík, zlepšenie riadenia a integráciu bezpečnosti v rámci procesov identifikácie, ochrany, detekcie, reakcie a obnovy; uznáva, že práca na dosiahnutí úplného súladu s prevádzkovými a regulačnými požiadavkami pokračuje; v správe o následných opatreniach sa uvádza, že kybernetická bezpečnosť bola výborom preformulovaná ako spoločná zodpovednosť všetkých zamestnancov, ktorá je podporovaná viacročným plánom, nepretržitou odbornou prípravou a kampaňami na zvyšovanie informovanosti;</w:t>
      </w:r>
    </w:p>
    <w:p w14:paraId="5B8E17FF" w14:textId="77777777" w:rsidR="001705C1" w:rsidRPr="00F051CF" w:rsidRDefault="001705C1" w:rsidP="001705C1">
      <w:pPr>
        <w:pStyle w:val="NormalHanging12a"/>
      </w:pPr>
      <w:r w:rsidRPr="00F051CF">
        <w:t>47.</w:t>
      </w:r>
      <w:r w:rsidRPr="00F051CF">
        <w:tab/>
        <w:t>s uspokojením konštatuje, že komunikačné kanály výboru sú prístupné aj pre osoby so zdravotným postihnutím; konštatuje, že výbor uplatňuje pravidlá pre prístupnosť webového obsahu a pri väčšine svojich aplikácií zabezpečuje komplexnú prístupnosť; v tejto súvislosti poznamenáva, že webové sídlo výboru pravidelne kontrolujú odborníci na prístupnosť, ktorí vydávajú odporúčania, ktoré sa následne zavádzajú, pričom ďalší audit sa má uskutočniť v roku 2026;</w:t>
      </w:r>
    </w:p>
    <w:p w14:paraId="753B6F25" w14:textId="77777777" w:rsidR="001705C1" w:rsidRPr="00F051CF" w:rsidRDefault="001705C1" w:rsidP="001705C1">
      <w:pPr>
        <w:pStyle w:val="NormalHanging12a"/>
      </w:pPr>
      <w:r w:rsidRPr="00F051CF">
        <w:t>48.</w:t>
      </w:r>
      <w:r w:rsidRPr="00F051CF">
        <w:tab/>
        <w:t>oceňuje úsilie výboru v roku 2024 zabezpečiť, aby zamestnanci získali digitálne zručnosti potrebné pre čoraz viac digitalizované pracovné prostredie, a na realizáciu cielených informačných kampaní, ponuku komplexného programu odbornej prípravy a koučingu a udržiavanie aktuálnej znalostnej databázy IT s rozhraním využívajúcim umelú inteligenciu na podporu rozvoja zamestnancov; podporuje odbornú prípravu v oblasti kybernetickej bezpečnosti a bezpečného, etického a efektívneho využívania umelej inteligencie;</w:t>
      </w:r>
    </w:p>
    <w:p w14:paraId="0423D2A9" w14:textId="77777777" w:rsidR="001705C1" w:rsidRPr="00F051CF" w:rsidRDefault="001705C1" w:rsidP="001705C1">
      <w:pPr>
        <w:pStyle w:val="NormalHanging12a"/>
      </w:pPr>
      <w:r w:rsidRPr="00F051CF">
        <w:t>49.</w:t>
      </w:r>
      <w:r w:rsidRPr="00F051CF">
        <w:tab/>
        <w:t>zo správy o následných opatreniach vyplýva, že EDPS nezačal v roku 2024 žiadne vyšetrovanie týkajúce sa uplatňovania pravidiel ochrany údajov vo výbore; konštatuje však, že vyšetrovanie týkajúce sa riadenia externého auditu, ktoré sa začalo v roku 2023, stále prebieha; žiada výbor, aby priebežne informoval orgán udeľujúci absolutórium o vývoji v tejto veci;</w:t>
      </w:r>
    </w:p>
    <w:bookmarkEnd w:id="10"/>
    <w:p w14:paraId="6D554661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Budovy</w:t>
      </w:r>
    </w:p>
    <w:p w14:paraId="7B79DEC9" w14:textId="77777777" w:rsidR="001705C1" w:rsidRPr="00F051CF" w:rsidRDefault="001705C1" w:rsidP="001705C1">
      <w:pPr>
        <w:pStyle w:val="NormalHanging12a"/>
      </w:pPr>
      <w:r w:rsidRPr="00F051CF">
        <w:t>50.</w:t>
      </w:r>
      <w:r w:rsidRPr="00F051CF">
        <w:tab/>
        <w:t>na základe správy o následných opatreniach konštatuje, že výbor pracuje na dlhodobej stratégii v oblasti budov vzhľadom na nadchádzajúcu rekonštrukciu budovy SPAAK a skutočnosť, že budova B-100 bude v auguste 2026 uvoľnená; ďalej berie na vedomie, že výsledky prebiehajúcich technických a environmentálnych auditov budov výboru budú zahrnuté do tejto stratégie; vyzýva výbor, aby o týchto otázkach priebežne informoval orgán udeľujúci absolutórium;</w:t>
      </w:r>
    </w:p>
    <w:p w14:paraId="0D64C66D" w14:textId="77777777" w:rsidR="001705C1" w:rsidRPr="00F051CF" w:rsidRDefault="001705C1" w:rsidP="001705C1">
      <w:pPr>
        <w:pStyle w:val="NormalHanging12a"/>
      </w:pPr>
      <w:r w:rsidRPr="00F051CF">
        <w:t>51.</w:t>
      </w:r>
      <w:r w:rsidRPr="00F051CF">
        <w:tab/>
        <w:t xml:space="preserve">oceňuje, že výbor v roku 2024 dokončil modernizáciu a zlepšenie prístupnosti všetkých šiestich výťahov na západnej strane budovy JDE vrátane jedného výťahu, ktorý je špeciálne určený pre osoby so zníženou pohyblivosťou; víta významné zlepšenia zavedené pre osoby na invalidných vozíkoch, nevidiacich a osoby so zrakovým postihnutím, nepočujúcich a osoby so zníženou pohyblivosťou alebo iným fyzickým </w:t>
      </w:r>
      <w:r w:rsidRPr="00F051CF">
        <w:lastRenderedPageBreak/>
        <w:t>obmedzením vrátane zdokonalenej zvukovej a vizuálnej signalizácie, upravených ovládacích prvkov, predĺžených časov pri vstupe do dverí, zrkadiel, bezpečnostných prvkov a zábradlí;</w:t>
      </w:r>
    </w:p>
    <w:p w14:paraId="6E1CEB62" w14:textId="77777777" w:rsidR="001705C1" w:rsidRPr="00F051CF" w:rsidRDefault="001705C1" w:rsidP="001705C1">
      <w:pPr>
        <w:pStyle w:val="NormalHanging12a"/>
      </w:pPr>
      <w:r w:rsidRPr="00F051CF">
        <w:t>52.</w:t>
      </w:r>
      <w:r w:rsidRPr="00F051CF">
        <w:tab/>
        <w:t>v správe výboru sa uvádza, že v roku 2024 bol v budove JDE v spolupráci s VR vytvorený nový spoločný komunikačný priestor; zdôrazňuje, že zariadenie, ktoré sa nachádza v priestoroch bývalej knižnice, zahŕňa najmodernejšie nahrávacie štúdio, miestnosť na rozhovory a vyhradený konferenčný priestor;</w:t>
      </w:r>
    </w:p>
    <w:p w14:paraId="667EF9BF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Životné prostredie a udržateľnosť</w:t>
      </w:r>
    </w:p>
    <w:p w14:paraId="30400B00" w14:textId="77777777" w:rsidR="001705C1" w:rsidRPr="00F051CF" w:rsidRDefault="001705C1" w:rsidP="001705C1">
      <w:pPr>
        <w:pStyle w:val="NormalHanging12a"/>
      </w:pPr>
      <w:r w:rsidRPr="00F051CF">
        <w:t>53.</w:t>
      </w:r>
      <w:r w:rsidRPr="00F051CF">
        <w:tab/>
        <w:t>na základe dotazníka konštatuje, že v roku 2024 výbor vyčlenil 198 894 EUR na ekologizáciu svojich činností, pričom 55 % je určených na poradenské a odborné služby v oblasti energetického manažmentu a energetickej účinnosti a 45 % na zlepšenie infraštruktúry, ako je LED osvetlenie, parkovanie bicyklov a meranie spotreby energie; víta, že tieto investície spolu s pokračujúcimi iniciatívami v oblasti inovatívnych stavebných zariadení, 100 % ekologickej elektriny, inteligentných technológií na úsporu energie a digitalizácie prispeli k zníženiu spotreby energie a emisií;</w:t>
      </w:r>
    </w:p>
    <w:p w14:paraId="23F2C715" w14:textId="77777777" w:rsidR="001705C1" w:rsidRPr="00F051CF" w:rsidRDefault="001705C1" w:rsidP="001705C1">
      <w:pPr>
        <w:pStyle w:val="NormalHanging12a"/>
      </w:pPr>
      <w:r w:rsidRPr="00F051CF">
        <w:t>54.</w:t>
      </w:r>
      <w:r w:rsidRPr="00F051CF">
        <w:tab/>
        <w:t>na základe informácií z dotazníka konštatuje pokles spotreby elektrickej energie (–19 %), plynu (–13 %) a vody (–12 %), ako aj zníženie množstva odpadu (–12 %) a nárast spotreby papiera (+1 %) v roku 2024 v porovnaní s rokom 2023; víta ďalšie zníženie emisií uhlíka na ekvivalent plného pracovného času o 4,30 % (bez započítania emisií z ciest členov výboru) v tom istom období; na základe informácií z dotazníka berie na vedomie opatrenia výboru na podporu udržateľnejších možností cestovania medzi jeho zamestnancami a členmi a prebiehajúcu revíziu príručky o služobných cestách pre zamestnancov, ktorej kľúčovým prvkom bude environmentálna stopa; víta ďalšie zameranie výboru na odpadové hospodárstvo a recykláciu s cieľom podporiť kultúru znižovania množstva odpadu a efektívneho využívania zdrojov;</w:t>
      </w:r>
    </w:p>
    <w:p w14:paraId="33CC406E" w14:textId="77777777" w:rsidR="001705C1" w:rsidRPr="00F051CF" w:rsidRDefault="001705C1" w:rsidP="001705C1">
      <w:pPr>
        <w:pStyle w:val="NormalHanging12a"/>
      </w:pPr>
      <w:r w:rsidRPr="00F051CF">
        <w:t>55.</w:t>
      </w:r>
      <w:r w:rsidRPr="00F051CF">
        <w:tab/>
        <w:t>s uspokojením konštatuje, že všetky výzvy výboru na predkladanie ponúk nad 60 000 EUR a výzvy nad 25 000 EUR, ktoré sú riadené spoločne s VR, obsahujú doložky o udržateľnosti v súlade s normami energetickej únie, Európskou zelenou dohodou a zásadami obehového hospodárstva; konštatuje, že nová rámcová zmluva výboru o stravovacích službách, ktorá nadobudla platnosť v auguste 2024, obsahuje požiadavky na ekologické a miestne produkty, potravinové dary a sezónne ovocie a zeleninu;</w:t>
      </w:r>
    </w:p>
    <w:p w14:paraId="3DD08099" w14:textId="77777777" w:rsidR="001705C1" w:rsidRPr="00F051CF" w:rsidRDefault="001705C1" w:rsidP="001705C1">
      <w:pPr>
        <w:pStyle w:val="NormalHanging12a"/>
      </w:pPr>
      <w:r w:rsidRPr="00F051CF">
        <w:t>56.</w:t>
      </w:r>
      <w:r w:rsidRPr="00F051CF">
        <w:tab/>
        <w:t xml:space="preserve">na základe dotazníka s uspokojením konštatuje, že výbor pokračuje v úsilí o podporu udržateľnej mobility svojich zamestnancov; berie na vedomie najmä skutočnosť, že výbor ponúka finančné príspevky na cestovné lístky na verejnú dopravu, pre zamestnancov, ktorí na dochádzanie do práce používajú bicykel, a od roku 2024 aj príspevky na predplatné sezónneho cestovného lístka belgických železníc, aby sa zohľadnili úvahy o hybridných pracovných režimoch; berie na vedomie plán výboru zúčastniť sa spoločne s VR na verejnej súťaži (ktorá sa má opätovne vyhlásiť v roku 2026) pod vedením Komisie na nákup a údržbu elektrických bicyklov; víta pokračujúcu spoluprácu s regiónom hlavného mesta Brusel v oblasti plánovania mobility a účasť výboru na </w:t>
      </w:r>
      <w:proofErr w:type="spellStart"/>
      <w:r w:rsidRPr="00F051CF">
        <w:t>medziinštitucionálnych</w:t>
      </w:r>
      <w:proofErr w:type="spellEnd"/>
      <w:r w:rsidRPr="00F051CF">
        <w:t xml:space="preserve"> iniciatívach, ktoré prispievajú ku kultúre udržateľného dochádzania do práce;</w:t>
      </w:r>
    </w:p>
    <w:p w14:paraId="02E22FBF" w14:textId="77777777" w:rsidR="001705C1" w:rsidRPr="00F051CF" w:rsidRDefault="001705C1" w:rsidP="001705C1">
      <w:pPr>
        <w:pStyle w:val="NormalHanging12a"/>
        <w:rPr>
          <w:b/>
          <w:i/>
        </w:rPr>
      </w:pPr>
      <w:proofErr w:type="spellStart"/>
      <w:r w:rsidRPr="00F051CF">
        <w:rPr>
          <w:b/>
          <w:i/>
        </w:rPr>
        <w:t>Medziinštitucionálna</w:t>
      </w:r>
      <w:proofErr w:type="spellEnd"/>
      <w:r w:rsidRPr="00F051CF">
        <w:rPr>
          <w:b/>
          <w:i/>
        </w:rPr>
        <w:t xml:space="preserve"> spolupráca</w:t>
      </w:r>
    </w:p>
    <w:p w14:paraId="3A4E74C6" w14:textId="77777777" w:rsidR="001705C1" w:rsidRPr="00F051CF" w:rsidRDefault="001705C1" w:rsidP="001705C1">
      <w:pPr>
        <w:pStyle w:val="NormalHanging12a"/>
      </w:pPr>
      <w:r w:rsidRPr="00F051CF">
        <w:lastRenderedPageBreak/>
        <w:t>57.</w:t>
      </w:r>
      <w:r w:rsidRPr="00F051CF">
        <w:tab/>
        <w:t xml:space="preserve">oceňuje úzku spoluprácu, ktorú výbor nadviazal s VR na administratívnej úrovni, keďže oba výbory majú spoločné priestory a spoločné služby v oblasti prekladov, infraštruktúry, logistiky, bezpečnosti, verejného obstarávania, finančného riadenia a IT, pričom si zachovávajú úplnú inštitucionálnu autonómiu; konštatuje, že oba výbory v záujme rozšírenia spolupráce v iných oblastiach a vzhľadom na rozpočtové obmedzenia spoločne začali v roku 2024 dva kľúčové projekty, t. j. projekt </w:t>
      </w:r>
      <w:proofErr w:type="spellStart"/>
      <w:r w:rsidRPr="00F051CF">
        <w:t>SPaCES</w:t>
      </w:r>
      <w:proofErr w:type="spellEnd"/>
      <w:r w:rsidRPr="00F051CF">
        <w:t xml:space="preserve"> na transformáciu kancelárskeho prostredia a strategickú reformu Riaditeľstva pre preklady prostredníctvom štrukturálnej reorganizácie, lepšieho využívania jazykových technológií a postupného znižovania kapacity ľudských prekladov v záujme zvýšenia efektívnosti a hospodárnosti;</w:t>
      </w:r>
    </w:p>
    <w:p w14:paraId="6EE2A739" w14:textId="77777777" w:rsidR="001705C1" w:rsidRPr="00F051CF" w:rsidRDefault="001705C1" w:rsidP="001705C1">
      <w:pPr>
        <w:pStyle w:val="NormalHanging12a"/>
      </w:pPr>
      <w:r w:rsidRPr="00F051CF">
        <w:t>58.</w:t>
      </w:r>
      <w:r w:rsidRPr="00F051CF">
        <w:tab/>
        <w:t>víta pozitívne výsledky dosiahnuté počas prvého roka vykonávania dohody výboru a VR v audiovizuálnej oblasti, ako sú rozpočtové úspory vo výške približne 140 000 EUR v porovnaní s nezávisle riadeným projektom a zvýšená kapacita produkcie, pričom do júna 2025 bolo vyrobených už 85 videí v porovnaní približne s 90 videami za celý rok 2024;</w:t>
      </w:r>
    </w:p>
    <w:p w14:paraId="083617A4" w14:textId="77777777" w:rsidR="001705C1" w:rsidRPr="00F051CF" w:rsidRDefault="001705C1" w:rsidP="001705C1">
      <w:pPr>
        <w:pStyle w:val="NormalHanging12a"/>
      </w:pPr>
      <w:r w:rsidRPr="00F051CF">
        <w:t>59.</w:t>
      </w:r>
      <w:r w:rsidRPr="00F051CF">
        <w:tab/>
        <w:t>oceňuje, že výbor dosiahol výrazné úspory vďaka vykonávaniu dohody o spolupráci s VR, ktorá vytvorila spoločné služby pokrývajúce úlohy najmä v oblasti IT, logistiky a verejného obstarávania; s uspokojením berie na vedomie informácie z dotazníka o tom, že výbor dosiahol v roku 2024 odhadované úspory v oblasti IT (približne 16 miliónov EUR), infraštruktúry (približne 8 miliónov EUR), tlačiarenských služieb (približne 125 000 EUR) a bezpečnostných služieb (približne 800 000 EUR); ďalej konštatuje, že ak by výbor a VR mali oddelené prekladateľské služby a verejné obstarávanie, celkové náklady na zamestnancov by boli vyššie najmenej o 30 %; opakuje svoju výzvu na čo najväčšie rozšírenie tejto spolupráce až na úroveň vytvorenia jednotnej správy pre spoločné služby a oddelenia služieb a útvarov zodpovedných za svoje hlavné nezávislé mandáty;</w:t>
      </w:r>
    </w:p>
    <w:p w14:paraId="1E35B1A4" w14:textId="77777777" w:rsidR="001705C1" w:rsidRPr="00F051CF" w:rsidRDefault="001705C1" w:rsidP="001705C1">
      <w:pPr>
        <w:pStyle w:val="NormalHanging12a"/>
      </w:pPr>
      <w:r w:rsidRPr="00F051CF">
        <w:t>60.</w:t>
      </w:r>
      <w:r w:rsidRPr="00F051CF">
        <w:tab/>
        <w:t xml:space="preserve">s uspokojením berie na vedomie významné rozpočtové a administratívne úspory, ktoré výbor dosiahol prostredníctvom dohôd o úrovni poskytovaných služieb, najmä s Komisiou v súvislosti s používaním finančných a kľúčových IT nástrojov na riadenie ľudských zdrojov; víta ďalšiu účasť výboru na </w:t>
      </w:r>
      <w:proofErr w:type="spellStart"/>
      <w:r w:rsidRPr="00F051CF">
        <w:t>medziinštitucionálnych</w:t>
      </w:r>
      <w:proofErr w:type="spellEnd"/>
      <w:r w:rsidRPr="00F051CF">
        <w:t xml:space="preserve"> postupoch verejného obstarávania, ktoré vedú iné inštitúcie, ako napríklad Európsky parlament a Komisia, v oblastiach, ako sú služobné cesty, poistenie, cestovanie, informačné technológie, preklady a audiovizuálne zariadenia; na základe informácií z dotazníka konštatuje, že celkové náklady, ktoré výboru vznikli v súvislosti s externým zabezpečovaním osobitných služieb Komisiou, sa zvýšili zo 793 600 EUR v roku 2023 na 893 000 EUR v roku 2024;</w:t>
      </w:r>
    </w:p>
    <w:p w14:paraId="0CECA9DD" w14:textId="3DCBA447" w:rsidR="001705C1" w:rsidRPr="00F051CF" w:rsidRDefault="001705C1" w:rsidP="001705C1">
      <w:pPr>
        <w:pStyle w:val="NormalHanging12a"/>
      </w:pPr>
      <w:r w:rsidRPr="00F051CF">
        <w:t>61.</w:t>
      </w:r>
      <w:r w:rsidRPr="00F051CF">
        <w:tab/>
      </w:r>
      <w:bookmarkStart w:id="12" w:name="_Hlk216940933"/>
      <w:r w:rsidRPr="00F051CF">
        <w:t>berie na vedomie niektoré udalosti a údaje týkajúce sa spolupráce medzi výborom a</w:t>
      </w:r>
      <w:r w:rsidR="00886FAD" w:rsidRPr="00F051CF">
        <w:t> Európskym p</w:t>
      </w:r>
      <w:r w:rsidRPr="00F051CF">
        <w:t xml:space="preserve">arlamentom v roku 2024: prijatie novej dohody o spolupráci, podpísanie memoranda o porozumení o spolupráci v rámci prípravy na voľby do Európskeho parlamentu, účasť 55 poslancov na 38 podujatiach výboru, účasť výboru na 32 podujatiach </w:t>
      </w:r>
      <w:r w:rsidR="00886FAD" w:rsidRPr="00F051CF">
        <w:t>Európskeho p</w:t>
      </w:r>
      <w:r w:rsidRPr="00F051CF">
        <w:t>arlamentu, ako aj účasť na rôznych bilaterálnych stretnutiach a stretnutiach politických skupín</w:t>
      </w:r>
      <w:bookmarkEnd w:id="12"/>
      <w:r w:rsidRPr="00F051CF">
        <w:t>;</w:t>
      </w:r>
    </w:p>
    <w:p w14:paraId="6E3D291F" w14:textId="77777777" w:rsidR="001705C1" w:rsidRPr="00F051CF" w:rsidRDefault="001705C1" w:rsidP="001705C1">
      <w:pPr>
        <w:pStyle w:val="NormalHanging12a"/>
      </w:pPr>
      <w:r w:rsidRPr="00F051CF">
        <w:t>62.</w:t>
      </w:r>
      <w:r w:rsidRPr="00F051CF">
        <w:tab/>
        <w:t xml:space="preserve">berie na vedomie niektoré udalosti a údaje týkajúce sa spolupráce medzi výborom a Komisiou v roku 2024: účasť členov Komisie na 10 plenárnych zasadnutiach výboru a iných podujatiach organizovaných výborom, viac ako 30 spoločných komunikačných projektov zameraných na zapojenie občianskej spoločnosti, 20 konkrétnych spoločných </w:t>
      </w:r>
      <w:r w:rsidRPr="00F051CF">
        <w:lastRenderedPageBreak/>
        <w:t>aktivít, príspevky výboru do 17 expertných skupín Komisie, šesť prieskumných stanovísk a tri hodnotiace správy, ktoré výbor vypracoval na žiadosť Komisie;</w:t>
      </w:r>
    </w:p>
    <w:p w14:paraId="3B5F800D" w14:textId="77777777" w:rsidR="001705C1" w:rsidRPr="00F051CF" w:rsidRDefault="001705C1" w:rsidP="001705C1">
      <w:pPr>
        <w:pStyle w:val="NormalHanging12a"/>
      </w:pPr>
      <w:r w:rsidRPr="00F051CF">
        <w:t>63.</w:t>
      </w:r>
      <w:r w:rsidRPr="00F051CF">
        <w:tab/>
        <w:t>berie na vedomie niektoré udalosti a údaje týkajúce sa spolupráce medzi výborom a Radou/Európskou radou v roku 2024: tri stretnutia na vysokej úrovni s predsedami Európskej rady a 21 prieskumných stanovísk, ktoré výbor vypracoval na žiadosť belgického a maďarského predsedníctva;</w:t>
      </w:r>
    </w:p>
    <w:p w14:paraId="59C03AE1" w14:textId="720E767D" w:rsidR="001705C1" w:rsidRPr="00F051CF" w:rsidRDefault="001705C1" w:rsidP="001705C1">
      <w:pPr>
        <w:pStyle w:val="NormalHanging12a"/>
      </w:pPr>
      <w:r w:rsidRPr="00F051CF">
        <w:t>64.</w:t>
      </w:r>
      <w:r w:rsidRPr="00F051CF">
        <w:tab/>
        <w:t>konštatuje, že rozpočtové úspory a zvýšenie efektívnosti sa naďalej dosahovali prostredníctvom aktívnej spolupráce medzi výborom a inštitúciami Únie v roku 2024, a to aj organizovaním plenárnych zasadnutí výboru v priestoroch Komisie a</w:t>
      </w:r>
      <w:r w:rsidR="00886FAD" w:rsidRPr="00F051CF">
        <w:t> Európskeho p</w:t>
      </w:r>
      <w:r w:rsidRPr="00F051CF">
        <w:t>arlamentu, kde sa priestory a súvisiace služby poskytujú buď bezplatne, alebo za sadzby nižšie ako ceny na vonkajšom trhu;</w:t>
      </w:r>
    </w:p>
    <w:p w14:paraId="3E9FA081" w14:textId="77777777" w:rsidR="001705C1" w:rsidRPr="00F051CF" w:rsidRDefault="001705C1" w:rsidP="001705C1">
      <w:pPr>
        <w:pStyle w:val="NormalHanging12a"/>
      </w:pPr>
      <w:r w:rsidRPr="00F051CF">
        <w:t>65.</w:t>
      </w:r>
      <w:r w:rsidRPr="00F051CF">
        <w:tab/>
        <w:t>konštatuje, že výbor zohráva kľúčovú úlohu pri posilňovaní väzieb s národnými hospodárskymi a sociálnymi radami členských štátov a medzi nimi; v tejto súvislosti berie na vedomie začatie činnosti novej tematickej pracovnej skupiny zloženej z 13 národných hospodárskych a sociálnych rád, uverejnenie 32 spravodajských článkov a 26 zhrnutí správ prijatých národnými hospodárskymi a sociálnymi radami, zorganizovanie výročného stretnutia predsedov a generálnych tajomníkov národných hospodárskych a sociálnych rád v Bruseli a spoločne zorganizovaný seminár so 100 účastníkmi z radov európskych sociálnych partnerov, organizácií občianskej spoločnosti, zástupcov inštitúcií Únie a akademikov v roku 2024; vyzýva, aby sa pokračovalo v spolupráci na témach spoločného záujmu a vo výmene osvedčených postupov, a to s dôrazom na kľúčovú úlohu občianskej spoločnosti pri riešení súčasných výziev Únie;</w:t>
      </w:r>
    </w:p>
    <w:p w14:paraId="0CDD5BBE" w14:textId="77777777" w:rsidR="001705C1" w:rsidRPr="00F051CF" w:rsidRDefault="001705C1" w:rsidP="001705C1">
      <w:pPr>
        <w:pStyle w:val="NormalHanging12a"/>
        <w:rPr>
          <w:b/>
          <w:i/>
        </w:rPr>
      </w:pPr>
      <w:r w:rsidRPr="00F051CF">
        <w:rPr>
          <w:b/>
          <w:i/>
        </w:rPr>
        <w:t>Komunikácia</w:t>
      </w:r>
    </w:p>
    <w:p w14:paraId="23154A90" w14:textId="77777777" w:rsidR="001705C1" w:rsidRPr="00F051CF" w:rsidRDefault="001705C1" w:rsidP="001705C1">
      <w:pPr>
        <w:pStyle w:val="NormalHanging12a"/>
      </w:pPr>
      <w:r w:rsidRPr="00F051CF">
        <w:t>66.</w:t>
      </w:r>
      <w:r w:rsidRPr="00F051CF">
        <w:tab/>
        <w:t>na základe informácií z dotazníka konštatuje, že celkový rozpočet výboru na komunikáciu, publikácie a získavanie dokumentácie predstavoval v roku 2024 približne 2,5 milióna EUR (približne rovnako ako v roku 2023), čo predstavuje 1,4 % celkového rozpočtu výboru po presunoch na rok 2024; víta skutočnosť, že výbor v roku 2024 sústredil svoje zdroje na obmedzený počet komunikačných priorít súvisiacich s legislatívnymi prioritami inštitúcií Únie (ako sú dostupnosť energie, umelá inteligencia, duševné zdravie, strategická autonómia, hospodárska reforma, rodová rovnosť, mládež a rozšírenie), čo je v súlade s komunikáciou výboru zameranou na dosah;</w:t>
      </w:r>
    </w:p>
    <w:p w14:paraId="02DA352E" w14:textId="77777777" w:rsidR="001705C1" w:rsidRPr="00F051CF" w:rsidRDefault="001705C1" w:rsidP="001705C1">
      <w:pPr>
        <w:pStyle w:val="NormalHanging12a"/>
      </w:pPr>
      <w:r w:rsidRPr="00F051CF">
        <w:t>67.</w:t>
      </w:r>
      <w:r w:rsidRPr="00F051CF">
        <w:tab/>
        <w:t>na základe dotazníka a správy výboru konštatuje, že výbor v roku 2024 realizoval komplexný komunikačný plán v rámci kampane pred voľbami do Európskeho parlamentu prostredníctvom miestnych podujatí s dosahom na verejnosť a Týždňa občianskej spoločnosti; v tejto súvislosti oceňuje, že 104 členov výboru sa zúčastnilo na 122 informačných podujatiach, na ktorých sa priamo zúčastnilo približne 350 000 občanov, a to okrem informačných podujatí v sociálnych médiách; ďalej oceňuje výsledky, ktoré výbor zaznamenal v súvislosti s organizáciou Týždňa občianskej spoločnosti, t. j. 800 účastníkov, viac ako 8 000 interakcií, viac ako 1 milión zobrazení a približne 96 000 pozretí videí, čo znamená silnú prítomnosť v sociálnych médiách;</w:t>
      </w:r>
    </w:p>
    <w:p w14:paraId="0836E867" w14:textId="77777777" w:rsidR="001705C1" w:rsidRPr="00F051CF" w:rsidRDefault="001705C1" w:rsidP="001705C1">
      <w:pPr>
        <w:pStyle w:val="NormalHanging12a"/>
        <w:rPr>
          <w:bCs/>
          <w:iCs/>
        </w:rPr>
      </w:pPr>
      <w:r w:rsidRPr="00F051CF">
        <w:t>68.</w:t>
      </w:r>
      <w:r w:rsidRPr="00F051CF">
        <w:tab/>
        <w:t xml:space="preserve">víta úsilie výboru o zvýšenie viditeľnosti svojej práce; domnieva sa však, že treba </w:t>
      </w:r>
      <w:r w:rsidRPr="00F051CF">
        <w:lastRenderedPageBreak/>
        <w:t xml:space="preserve">vyvinúť ďalšie úsilie na zabezpečenie toho, aby komunikačné činnosti jasne vysvetľovali úlohu výboru a konkrétne príspevky k pôsobeniu Únie na mieste spôsobom, ktorý je prístupný a zmysluplný pre občanov; oceňuje spustenie platformy </w:t>
      </w:r>
      <w:proofErr w:type="spellStart"/>
      <w:r w:rsidRPr="00F051CF">
        <w:t>NaviGate</w:t>
      </w:r>
      <w:proofErr w:type="spellEnd"/>
      <w:r w:rsidRPr="00F051CF">
        <w:t xml:space="preserve"> v máji 2024; konštatuje, že táto platforma, ktorá pridáva webové odkazy do nástroja EU </w:t>
      </w:r>
      <w:proofErr w:type="spellStart"/>
      <w:r w:rsidRPr="00F051CF">
        <w:t>Law</w:t>
      </w:r>
      <w:proofErr w:type="spellEnd"/>
      <w:r w:rsidRPr="00F051CF">
        <w:t xml:space="preserve"> </w:t>
      </w:r>
      <w:proofErr w:type="spellStart"/>
      <w:r w:rsidRPr="00F051CF">
        <w:t>Tracker</w:t>
      </w:r>
      <w:proofErr w:type="spellEnd"/>
      <w:r w:rsidRPr="00F051CF">
        <w:t>, výrazne zviditeľnila prácu výboru a zlepšila používateľskú skúsenosť poslancov, zamestnancov, návštevníkov z iných inštitúcií a verejnosť, pričom v roku 2024 dosiahla 4 600 jedinečných návštevníkov;</w:t>
      </w:r>
    </w:p>
    <w:p w14:paraId="40BB8D45" w14:textId="4BD6F147" w:rsidR="00E365E1" w:rsidRPr="00F051CF" w:rsidRDefault="001705C1" w:rsidP="00254EB9">
      <w:pPr>
        <w:pStyle w:val="NormalHanging12a"/>
      </w:pPr>
      <w:r w:rsidRPr="00F051CF">
        <w:t>69.</w:t>
      </w:r>
      <w:r w:rsidRPr="00F051CF">
        <w:tab/>
        <w:t xml:space="preserve">zo správy výboru vyplýva, že jeho prítomnosť v sociálnych médiách sa naďalej rozširovala, pričom štyri hlavné účty výboru dosiahli celkový nárast počtu </w:t>
      </w:r>
      <w:proofErr w:type="spellStart"/>
      <w:r w:rsidRPr="00F051CF">
        <w:t>sledovateľov</w:t>
      </w:r>
      <w:proofErr w:type="spellEnd"/>
      <w:r w:rsidRPr="00F051CF">
        <w:t xml:space="preserve"> o viac ako 18 % v porovnaní s rokom 2023; zdôrazňuje, že angažovanosť výrazne vzrástla, keď sa zvýšila o 45 % a prekročila 416 000 interakcií na všetkých platformách; ďalej uvádza, že do konca roka 2024 dosiahol výbor 62 868 </w:t>
      </w:r>
      <w:proofErr w:type="spellStart"/>
      <w:r w:rsidRPr="00F051CF">
        <w:t>sledovateľov</w:t>
      </w:r>
      <w:proofErr w:type="spellEnd"/>
      <w:r w:rsidRPr="00F051CF">
        <w:t xml:space="preserve"> na platforme X, 79 647 </w:t>
      </w:r>
      <w:proofErr w:type="spellStart"/>
      <w:r w:rsidRPr="00F051CF">
        <w:t>sledovateľov</w:t>
      </w:r>
      <w:proofErr w:type="spellEnd"/>
      <w:r w:rsidRPr="00F051CF">
        <w:t xml:space="preserve"> na platforme LinkedIn, 49 494 </w:t>
      </w:r>
      <w:proofErr w:type="spellStart"/>
      <w:r w:rsidRPr="00F051CF">
        <w:t>sledovateľov</w:t>
      </w:r>
      <w:proofErr w:type="spellEnd"/>
      <w:r w:rsidRPr="00F051CF">
        <w:t xml:space="preserve"> na Facebooku a 29 987 </w:t>
      </w:r>
      <w:proofErr w:type="spellStart"/>
      <w:r w:rsidRPr="00F051CF">
        <w:t>sledovateľov</w:t>
      </w:r>
      <w:proofErr w:type="spellEnd"/>
      <w:r w:rsidRPr="00F051CF">
        <w:t xml:space="preserve"> na Instagrame, čo odráža silný rast jednotlivých platforiem v porovnaní s rokom 2023; konštatuje, že najväčší nárast počtu </w:t>
      </w:r>
      <w:proofErr w:type="spellStart"/>
      <w:r w:rsidRPr="00F051CF">
        <w:t>sledovateľov</w:t>
      </w:r>
      <w:proofErr w:type="spellEnd"/>
      <w:r w:rsidRPr="00F051CF">
        <w:t xml:space="preserve"> bol zaznamenaný na účte Instagram v roku 2024 (+72 %); konštatuje, že v súlade so spoločným prístupom inštitúcií Únie otvoril výbor v roku 2024 svoj prvý účet na platforme </w:t>
      </w:r>
      <w:proofErr w:type="spellStart"/>
      <w:r w:rsidRPr="00F051CF">
        <w:t>Bluesky</w:t>
      </w:r>
      <w:proofErr w:type="spellEnd"/>
      <w:r w:rsidRPr="00F051CF">
        <w:t>, aby zabezpečil svoju oficiálnu prítomnosť, pričom na tejto platforme začne byť aktívny v januári 2025</w:t>
      </w:r>
      <w:r w:rsidR="00E9546D" w:rsidRPr="00F051CF">
        <w:t>.</w:t>
      </w:r>
    </w:p>
    <w:sectPr w:rsidR="00E365E1" w:rsidRPr="00F051CF" w:rsidSect="00171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108A" w14:textId="77777777" w:rsidR="00B23D4F" w:rsidRPr="00171547" w:rsidRDefault="00B23D4F">
      <w:r w:rsidRPr="00171547">
        <w:separator/>
      </w:r>
    </w:p>
  </w:endnote>
  <w:endnote w:type="continuationSeparator" w:id="0">
    <w:p w14:paraId="7E7D5557" w14:textId="77777777" w:rsidR="00B23D4F" w:rsidRPr="00171547" w:rsidRDefault="00B23D4F">
      <w:r w:rsidRPr="001715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75F3" w14:textId="77777777" w:rsidR="001705C1" w:rsidRPr="00171547" w:rsidRDefault="001705C1" w:rsidP="00645AD0">
    <w:pPr>
      <w:pStyle w:val="EPFooter"/>
    </w:pPr>
    <w:r w:rsidRPr="00171547">
      <w:t>PE</w:t>
    </w:r>
    <w:r w:rsidRPr="00171547">
      <w:rPr>
        <w:rStyle w:val="HideTWBExt"/>
      </w:rPr>
      <w:t>&lt;NoPE&gt;</w:t>
    </w:r>
    <w:r w:rsidRPr="00171547">
      <w:t>778.063</w:t>
    </w:r>
    <w:r w:rsidRPr="00171547">
      <w:rPr>
        <w:rStyle w:val="HideTWBExt"/>
      </w:rPr>
      <w:t>&lt;/NoPE&gt;&lt;Version&gt;</w:t>
    </w:r>
    <w:r w:rsidRPr="00171547">
      <w:t>v02-00</w:t>
    </w:r>
    <w:r w:rsidRPr="00171547">
      <w:rPr>
        <w:rStyle w:val="HideTWBExt"/>
      </w:rPr>
      <w:t>&lt;/Version&gt;</w:t>
    </w:r>
    <w:r w:rsidRPr="00171547">
      <w:tab/>
    </w:r>
    <w:r w:rsidRPr="00171547">
      <w:fldChar w:fldCharType="begin"/>
    </w:r>
    <w:r w:rsidRPr="00171547">
      <w:instrText xml:space="preserve"> PAGE  \* MERGEFORMAT </w:instrText>
    </w:r>
    <w:r w:rsidRPr="00171547">
      <w:fldChar w:fldCharType="separate"/>
    </w:r>
    <w:r w:rsidRPr="00171547">
      <w:rPr>
        <w:noProof/>
      </w:rPr>
      <w:t>1</w:t>
    </w:r>
    <w:r w:rsidRPr="00171547">
      <w:fldChar w:fldCharType="end"/>
    </w:r>
    <w:r w:rsidRPr="00171547">
      <w:t>/</w:t>
    </w:r>
    <w:fldSimple w:instr=" NUMPAGES  \* MERGEFORMAT ">
      <w:r w:rsidRPr="00171547">
        <w:rPr>
          <w:noProof/>
        </w:rPr>
        <w:t>1</w:t>
      </w:r>
    </w:fldSimple>
    <w:r w:rsidRPr="00171547">
      <w:tab/>
    </w:r>
    <w:r w:rsidRPr="00171547">
      <w:rPr>
        <w:rStyle w:val="HideTWBExt"/>
      </w:rPr>
      <w:t>&lt;PathFdR&gt;</w:t>
    </w:r>
    <w:r w:rsidRPr="00171547">
      <w:t>RR\1339613SK.docx</w:t>
    </w:r>
    <w:r w:rsidRPr="00171547">
      <w:rPr>
        <w:rStyle w:val="HideTWBExt"/>
      </w:rPr>
      <w:t>&lt;/PathFdR&gt;</w:t>
    </w:r>
  </w:p>
  <w:p w14:paraId="0DC9C3C5" w14:textId="77777777" w:rsidR="001705C1" w:rsidRPr="00171547" w:rsidRDefault="001705C1" w:rsidP="00645AD0">
    <w:pPr>
      <w:pStyle w:val="EPFooter2"/>
    </w:pPr>
    <w:r w:rsidRPr="00171547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77240" w14:textId="77777777" w:rsidR="001705C1" w:rsidRPr="00171547" w:rsidRDefault="001705C1" w:rsidP="00645AD0">
    <w:pPr>
      <w:pStyle w:val="EPFooter"/>
    </w:pPr>
    <w:r w:rsidRPr="00171547">
      <w:rPr>
        <w:rStyle w:val="HideTWBExt"/>
      </w:rPr>
      <w:t>&lt;PathFdR&gt;</w:t>
    </w:r>
    <w:r w:rsidRPr="00171547">
      <w:t>RR\1339613SK.docx</w:t>
    </w:r>
    <w:r w:rsidRPr="00171547">
      <w:rPr>
        <w:rStyle w:val="HideTWBExt"/>
      </w:rPr>
      <w:t>&lt;/PathFdR&gt;</w:t>
    </w:r>
    <w:r w:rsidRPr="00171547">
      <w:tab/>
    </w:r>
    <w:r w:rsidRPr="00171547">
      <w:tab/>
      <w:t>PE</w:t>
    </w:r>
    <w:r w:rsidRPr="00171547">
      <w:rPr>
        <w:rStyle w:val="HideTWBExt"/>
      </w:rPr>
      <w:t>&lt;NoPE&gt;</w:t>
    </w:r>
    <w:r w:rsidRPr="00171547">
      <w:t>778.063</w:t>
    </w:r>
    <w:r w:rsidRPr="00171547">
      <w:rPr>
        <w:rStyle w:val="HideTWBExt"/>
      </w:rPr>
      <w:t>&lt;/NoPE&gt;&lt;Version&gt;</w:t>
    </w:r>
    <w:r w:rsidRPr="00171547">
      <w:t>v02-00</w:t>
    </w:r>
    <w:r w:rsidRPr="00171547">
      <w:rPr>
        <w:rStyle w:val="HideTWBExt"/>
      </w:rPr>
      <w:t>&lt;/Version&gt;</w:t>
    </w:r>
  </w:p>
  <w:p w14:paraId="4B26E3EE" w14:textId="77777777" w:rsidR="001705C1" w:rsidRPr="00171547" w:rsidRDefault="001705C1" w:rsidP="00645AD0">
    <w:pPr>
      <w:pStyle w:val="EPFooter2"/>
    </w:pPr>
    <w:r w:rsidRPr="00171547">
      <w:t>SK</w:t>
    </w:r>
    <w:r w:rsidRPr="00171547">
      <w:tab/>
    </w:r>
    <w:r w:rsidRPr="00171547">
      <w:rPr>
        <w:b w:val="0"/>
        <w:i/>
        <w:color w:val="C0C0C0"/>
        <w:sz w:val="22"/>
      </w:rPr>
      <w:t>Zjednotení v rozmanitosti</w:t>
    </w:r>
    <w:r w:rsidRPr="00171547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2DADA" w14:textId="77777777" w:rsidR="00064002" w:rsidRPr="0017154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5A3E" w14:textId="77777777" w:rsidR="00064002" w:rsidRPr="0017154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FC07" w14:textId="77777777" w:rsidR="00064002" w:rsidRPr="001715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55F0" w14:textId="77777777" w:rsidR="00B23D4F" w:rsidRPr="00171547" w:rsidRDefault="00B23D4F">
      <w:r w:rsidRPr="00171547">
        <w:separator/>
      </w:r>
    </w:p>
  </w:footnote>
  <w:footnote w:type="continuationSeparator" w:id="0">
    <w:p w14:paraId="1F2F9AD7" w14:textId="77777777" w:rsidR="00B23D4F" w:rsidRPr="00171547" w:rsidRDefault="00B23D4F">
      <w:r w:rsidRPr="00171547">
        <w:continuationSeparator/>
      </w:r>
    </w:p>
  </w:footnote>
  <w:footnote w:id="1">
    <w:p w14:paraId="16AFD20A" w14:textId="5E80D403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>Ú. v. EÚ L</w:t>
      </w:r>
      <w:r w:rsidR="00F109CC">
        <w:rPr>
          <w:sz w:val="24"/>
          <w:szCs w:val="24"/>
          <w:lang w:val="sk-SK"/>
        </w:rPr>
        <w:t>,</w:t>
      </w:r>
      <w:r w:rsidRPr="001560DA">
        <w:rPr>
          <w:sz w:val="24"/>
          <w:szCs w:val="24"/>
          <w:lang w:val="sk-SK"/>
        </w:rPr>
        <w:t xml:space="preserve"> </w:t>
      </w:r>
      <w:r w:rsidR="00F109CC">
        <w:rPr>
          <w:sz w:val="24"/>
          <w:szCs w:val="24"/>
          <w:lang w:val="sk-SK"/>
        </w:rPr>
        <w:t>2024/</w:t>
      </w:r>
      <w:r w:rsidRPr="001560DA">
        <w:rPr>
          <w:sz w:val="24"/>
          <w:szCs w:val="24"/>
          <w:lang w:val="sk-SK"/>
        </w:rPr>
        <w:t xml:space="preserve">207, 22.2.2024, ELI: </w:t>
      </w:r>
      <w:r>
        <w:fldChar w:fldCharType="begin"/>
      </w:r>
      <w:r w:rsidRPr="00896D67">
        <w:rPr>
          <w:lang w:val="fi-FI"/>
        </w:rPr>
        <w:instrText>HYPERLINK "http://data.europa.eu/eli/budget/2024/207/oj"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http://data.europa.eu/eli/budget/2024/207/oj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2">
    <w:p w14:paraId="721990F6" w14:textId="2BB23913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>Ú. v. EÚ </w:t>
      </w:r>
      <w:r w:rsidR="00E9546D" w:rsidRPr="001560DA">
        <w:rPr>
          <w:sz w:val="24"/>
          <w:szCs w:val="24"/>
          <w:lang w:val="sk-SK"/>
        </w:rPr>
        <w:t xml:space="preserve">C, </w:t>
      </w:r>
      <w:r w:rsidRPr="001560DA">
        <w:rPr>
          <w:sz w:val="24"/>
          <w:szCs w:val="24"/>
          <w:lang w:val="sk-SK"/>
        </w:rPr>
        <w:t>C/2025/4944, 13.10.2025, ELI: </w:t>
      </w:r>
      <w:r>
        <w:fldChar w:fldCharType="begin"/>
      </w:r>
      <w:r w:rsidRPr="00896D67">
        <w:rPr>
          <w:lang w:val="es-ES"/>
        </w:rPr>
        <w:instrText>HYPERLINK "http://data.europa.eu/eli/C/2025/4944/oj" \t "_blank" \o "Umožňuje prístup k tomuto dokumentu prostredníctvom identifikátora URI používaného v rámci ELI."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http://data.europa.eu/eli/C/2025/4944/oj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3">
    <w:p w14:paraId="59DB2A92" w14:textId="18296CD1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>Ú. v. EÚ </w:t>
      </w:r>
      <w:r w:rsidR="00E9546D" w:rsidRPr="001560DA">
        <w:rPr>
          <w:sz w:val="24"/>
          <w:szCs w:val="24"/>
          <w:lang w:val="sk-SK"/>
        </w:rPr>
        <w:t xml:space="preserve">C, </w:t>
      </w:r>
      <w:r w:rsidRPr="001560DA">
        <w:rPr>
          <w:sz w:val="24"/>
          <w:szCs w:val="24"/>
          <w:lang w:val="sk-SK"/>
        </w:rPr>
        <w:t xml:space="preserve">C/2025/5409, 8.10.2025, ELI: </w:t>
      </w:r>
      <w:r>
        <w:fldChar w:fldCharType="begin"/>
      </w:r>
      <w:r w:rsidRPr="00896D67">
        <w:rPr>
          <w:lang w:val="fi-FI"/>
        </w:rPr>
        <w:instrText>HYPERLINK "http://data.europa.eu/eli/C/2025/5409/oj"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http://data.europa.eu/eli/C/2025/5409/oj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4">
    <w:p w14:paraId="47FD10F5" w14:textId="153155C4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>Ú. v. EÚ </w:t>
      </w:r>
      <w:r w:rsidR="00E9546D" w:rsidRPr="001560DA">
        <w:rPr>
          <w:sz w:val="24"/>
          <w:szCs w:val="24"/>
          <w:lang w:val="sk-SK"/>
        </w:rPr>
        <w:t xml:space="preserve">C, </w:t>
      </w:r>
      <w:r w:rsidRPr="001560DA">
        <w:rPr>
          <w:sz w:val="24"/>
          <w:szCs w:val="24"/>
          <w:lang w:val="sk-SK"/>
        </w:rPr>
        <w:t xml:space="preserve">C/2025/5407, 13.10.2025, ELI: </w:t>
      </w:r>
      <w:r>
        <w:fldChar w:fldCharType="begin"/>
      </w:r>
      <w:r w:rsidRPr="00896D67">
        <w:rPr>
          <w:lang w:val="fi-FI"/>
        </w:rPr>
        <w:instrText>HYPERLINK "http://data.europa.eu/eli/C/2025/5407/oj"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http://data.europa.eu/eli/C/2025/5407/oj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5">
    <w:p w14:paraId="528072C0" w14:textId="52C202F2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 xml:space="preserve">Ú. v. EÚ L 193, 30.7.2018, s. 1, ELI: </w:t>
      </w:r>
      <w:r>
        <w:fldChar w:fldCharType="begin"/>
      </w:r>
      <w:r w:rsidRPr="00896D67">
        <w:rPr>
          <w:lang w:val="fi-FI"/>
        </w:rPr>
        <w:instrText>HYPERLINK "http://data.europa.eu/eli/reg/2018/1046/oj"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http://data.europa.eu/eli/reg/2018/1046/oj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6">
    <w:p w14:paraId="24BF113C" w14:textId="7948225A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sz w:val="24"/>
          <w:szCs w:val="24"/>
          <w:lang w:val="sk-SK"/>
        </w:rPr>
        <w:t xml:space="preserve"> </w:t>
      </w:r>
      <w:r w:rsidR="00171547" w:rsidRPr="001560DA">
        <w:rPr>
          <w:sz w:val="24"/>
          <w:szCs w:val="24"/>
          <w:lang w:val="sk-SK"/>
        </w:rPr>
        <w:tab/>
      </w:r>
      <w:r w:rsidRPr="001560DA">
        <w:rPr>
          <w:sz w:val="24"/>
          <w:szCs w:val="24"/>
          <w:lang w:val="sk-SK"/>
        </w:rPr>
        <w:t xml:space="preserve">Ú. v. EÚ L, 2024/2509, 26.9.2024, ELI: </w:t>
      </w:r>
      <w:r>
        <w:fldChar w:fldCharType="begin"/>
      </w:r>
      <w:r w:rsidRPr="00896D67">
        <w:rPr>
          <w:lang w:val="fi-FI"/>
        </w:rPr>
        <w:instrText>HYPERLINK "http://data.europa.eu/eli/reg/2024/2509/oj"</w:instrText>
      </w:r>
      <w:r>
        <w:fldChar w:fldCharType="separate"/>
      </w:r>
      <w:r w:rsidRPr="001560DA">
        <w:rPr>
          <w:rStyle w:val="Hyperlink"/>
          <w:sz w:val="24"/>
          <w:szCs w:val="24"/>
          <w:lang w:val="sk-SK"/>
        </w:rPr>
        <w:t>http://data.europa.eu/eli/reg/2024/2509/oj</w:t>
      </w:r>
      <w:r>
        <w:fldChar w:fldCharType="end"/>
      </w:r>
      <w:r w:rsidRPr="001560DA">
        <w:rPr>
          <w:sz w:val="24"/>
          <w:szCs w:val="24"/>
          <w:lang w:val="sk-SK"/>
        </w:rPr>
        <w:t>.</w:t>
      </w:r>
    </w:p>
  </w:footnote>
  <w:footnote w:id="7">
    <w:p w14:paraId="449EC048" w14:textId="10427D36" w:rsidR="001705C1" w:rsidRPr="001560DA" w:rsidRDefault="001705C1" w:rsidP="00171547">
      <w:pPr>
        <w:pStyle w:val="FootnoteText"/>
        <w:ind w:left="567" w:hanging="567"/>
        <w:rPr>
          <w:sz w:val="24"/>
          <w:szCs w:val="24"/>
          <w:lang w:val="sk-SK"/>
        </w:rPr>
      </w:pPr>
      <w:r w:rsidRPr="001560DA">
        <w:rPr>
          <w:rStyle w:val="FootnoteReference"/>
          <w:sz w:val="24"/>
          <w:szCs w:val="24"/>
          <w:lang w:val="sk-SK"/>
        </w:rPr>
        <w:footnoteRef/>
      </w:r>
      <w:r w:rsidR="00171547" w:rsidRPr="001560DA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r w:rsidR="00171547" w:rsidRPr="001560DA">
        <w:rPr>
          <w:color w:val="333333"/>
          <w:sz w:val="24"/>
          <w:szCs w:val="24"/>
          <w:shd w:val="clear" w:color="auto" w:fill="FFFFFF"/>
          <w:lang w:val="sk-SK"/>
        </w:rPr>
        <w:tab/>
      </w:r>
      <w:r w:rsidRPr="001560DA">
        <w:rPr>
          <w:color w:val="333333"/>
          <w:sz w:val="24"/>
          <w:szCs w:val="24"/>
          <w:shd w:val="clear" w:color="auto" w:fill="FFFFFF"/>
          <w:lang w:val="sk-SK"/>
        </w:rPr>
        <w:t xml:space="preserve">Nariadenie Európskeho parlamentu a Rady (EÚ, </w:t>
      </w:r>
      <w:proofErr w:type="spellStart"/>
      <w:r w:rsidRPr="001560DA">
        <w:rPr>
          <w:color w:val="333333"/>
          <w:sz w:val="24"/>
          <w:szCs w:val="24"/>
          <w:shd w:val="clear" w:color="auto" w:fill="FFFFFF"/>
          <w:lang w:val="sk-SK"/>
        </w:rPr>
        <w:t>Euratom</w:t>
      </w:r>
      <w:proofErr w:type="spellEnd"/>
      <w:r w:rsidRPr="001560DA">
        <w:rPr>
          <w:color w:val="333333"/>
          <w:sz w:val="24"/>
          <w:szCs w:val="24"/>
          <w:shd w:val="clear" w:color="auto" w:fill="FFFFFF"/>
          <w:lang w:val="sk-SK"/>
        </w:rPr>
        <w:t>) 2023/2841 z 13. decembra 2023, ktorým sa stanovujú opatrenia na zabezpečenie vysokej spoločnej úrovne kybernetickej bezpečnosti v inštitúciách, orgánoch, úradoch a agentúrach Únie (Ú. v. EÚ L, 2023/2841, 18.12.2023, ELI: </w:t>
      </w:r>
      <w:r>
        <w:fldChar w:fldCharType="begin"/>
      </w:r>
      <w:r w:rsidRPr="00896D67">
        <w:rPr>
          <w:lang w:val="sk-SK"/>
        </w:rPr>
        <w:instrText>HYPERLINK "http://data.europa.eu/eli/reg/2023/2841/oj" \t "_blank" \o "Umožňuje prístup k tomuto dokumentu prostredníctvom identifikátora URI používaného v rámci ELI."</w:instrText>
      </w:r>
      <w:r>
        <w:fldChar w:fldCharType="separate"/>
      </w:r>
      <w:r w:rsidRPr="001560DA">
        <w:rPr>
          <w:rStyle w:val="Hyperlink"/>
          <w:sz w:val="24"/>
          <w:szCs w:val="24"/>
          <w:shd w:val="clear" w:color="auto" w:fill="FFFFFF"/>
          <w:lang w:val="sk-SK"/>
        </w:rPr>
        <w:t>http://data.europa.eu/eli/reg/2023/2841/oj</w:t>
      </w:r>
      <w:r>
        <w:fldChar w:fldCharType="end"/>
      </w:r>
      <w:r w:rsidRPr="001560DA">
        <w:rPr>
          <w:color w:val="333333"/>
          <w:sz w:val="24"/>
          <w:szCs w:val="24"/>
          <w:shd w:val="clear" w:color="auto" w:fill="FFFFFF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1723" w14:textId="77777777" w:rsidR="00064002" w:rsidRPr="001715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565F" w14:textId="77777777" w:rsidR="00064002" w:rsidRPr="001715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A6F1" w14:textId="77777777" w:rsidR="00064002" w:rsidRPr="001715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997914">
    <w:abstractNumId w:val="9"/>
  </w:num>
  <w:num w:numId="2" w16cid:durableId="1119373441">
    <w:abstractNumId w:val="9"/>
  </w:num>
  <w:num w:numId="3" w16cid:durableId="2017419627">
    <w:abstractNumId w:val="7"/>
  </w:num>
  <w:num w:numId="4" w16cid:durableId="687485976">
    <w:abstractNumId w:val="7"/>
  </w:num>
  <w:num w:numId="5" w16cid:durableId="760107372">
    <w:abstractNumId w:val="6"/>
  </w:num>
  <w:num w:numId="6" w16cid:durableId="1973486562">
    <w:abstractNumId w:val="6"/>
  </w:num>
  <w:num w:numId="7" w16cid:durableId="1346253608">
    <w:abstractNumId w:val="5"/>
  </w:num>
  <w:num w:numId="8" w16cid:durableId="667051356">
    <w:abstractNumId w:val="5"/>
  </w:num>
  <w:num w:numId="9" w16cid:durableId="1705787483">
    <w:abstractNumId w:val="4"/>
  </w:num>
  <w:num w:numId="10" w16cid:durableId="2057317866">
    <w:abstractNumId w:val="4"/>
  </w:num>
  <w:num w:numId="11" w16cid:durableId="1237128199">
    <w:abstractNumId w:val="8"/>
  </w:num>
  <w:num w:numId="12" w16cid:durableId="1035084621">
    <w:abstractNumId w:val="8"/>
  </w:num>
  <w:num w:numId="13" w16cid:durableId="559362055">
    <w:abstractNumId w:val="3"/>
  </w:num>
  <w:num w:numId="14" w16cid:durableId="117797368">
    <w:abstractNumId w:val="3"/>
  </w:num>
  <w:num w:numId="15" w16cid:durableId="822352518">
    <w:abstractNumId w:val="2"/>
  </w:num>
  <w:num w:numId="16" w16cid:durableId="1822843809">
    <w:abstractNumId w:val="2"/>
  </w:num>
  <w:num w:numId="17" w16cid:durableId="2022855124">
    <w:abstractNumId w:val="1"/>
  </w:num>
  <w:num w:numId="18" w16cid:durableId="363868157">
    <w:abstractNumId w:val="1"/>
  </w:num>
  <w:num w:numId="19" w16cid:durableId="938179924">
    <w:abstractNumId w:val="0"/>
  </w:num>
  <w:num w:numId="20" w16cid:durableId="223299712">
    <w:abstractNumId w:val="0"/>
  </w:num>
  <w:num w:numId="21" w16cid:durableId="1190218999">
    <w:abstractNumId w:val="9"/>
  </w:num>
  <w:num w:numId="22" w16cid:durableId="426384304">
    <w:abstractNumId w:val="7"/>
  </w:num>
  <w:num w:numId="23" w16cid:durableId="1151411615">
    <w:abstractNumId w:val="6"/>
  </w:num>
  <w:num w:numId="24" w16cid:durableId="2083798014">
    <w:abstractNumId w:val="5"/>
  </w:num>
  <w:num w:numId="25" w16cid:durableId="1345354555">
    <w:abstractNumId w:val="4"/>
  </w:num>
  <w:num w:numId="26" w16cid:durableId="164320651">
    <w:abstractNumId w:val="8"/>
  </w:num>
  <w:num w:numId="27" w16cid:durableId="331219410">
    <w:abstractNumId w:val="3"/>
  </w:num>
  <w:num w:numId="28" w16cid:durableId="1979920611">
    <w:abstractNumId w:val="2"/>
  </w:num>
  <w:num w:numId="29" w16cid:durableId="1995991657">
    <w:abstractNumId w:val="1"/>
  </w:num>
  <w:num w:numId="30" w16cid:durableId="852499661">
    <w:abstractNumId w:val="0"/>
  </w:num>
  <w:num w:numId="31" w16cid:durableId="1021398503">
    <w:abstractNumId w:val="9"/>
  </w:num>
  <w:num w:numId="32" w16cid:durableId="1717730417">
    <w:abstractNumId w:val="7"/>
  </w:num>
  <w:num w:numId="33" w16cid:durableId="428434018">
    <w:abstractNumId w:val="6"/>
  </w:num>
  <w:num w:numId="34" w16cid:durableId="157423167">
    <w:abstractNumId w:val="5"/>
  </w:num>
  <w:num w:numId="35" w16cid:durableId="1620185729">
    <w:abstractNumId w:val="4"/>
  </w:num>
  <w:num w:numId="36" w16cid:durableId="961574787">
    <w:abstractNumId w:val="8"/>
  </w:num>
  <w:num w:numId="37" w16cid:durableId="1109011114">
    <w:abstractNumId w:val="3"/>
  </w:num>
  <w:num w:numId="38" w16cid:durableId="1056851766">
    <w:abstractNumId w:val="2"/>
  </w:num>
  <w:num w:numId="39" w16cid:durableId="662777375">
    <w:abstractNumId w:val="1"/>
  </w:num>
  <w:num w:numId="40" w16cid:durableId="407308828">
    <w:abstractNumId w:val="0"/>
  </w:num>
  <w:num w:numId="41" w16cid:durableId="2052875702">
    <w:abstractNumId w:val="10"/>
  </w:num>
  <w:num w:numId="42" w16cid:durableId="2071925876">
    <w:abstractNumId w:val="10"/>
  </w:num>
  <w:num w:numId="43" w16cid:durableId="1550606730">
    <w:abstractNumId w:val="10"/>
  </w:num>
  <w:num w:numId="44" w16cid:durableId="5192424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9/2026"/>
    <w:docVar w:name="dvlangue" w:val="SK"/>
    <w:docVar w:name="dvnumam" w:val="0"/>
    <w:docVar w:name="dvpe" w:val="778.063"/>
    <w:docVar w:name="dvrapporteur" w:val="Spravodajca: "/>
    <w:docVar w:name="dvtitre" w:val="Rozhodnutie Európskeho parlamentu z/zo xx. xxx 2026 o absolutóriu za plnenie všeobecného rozpočtu Európskej únie za rozpočtový rok 2024, oddiel VI – Európsky hospodársky a sociálny výbor(2025/2151(DEC))"/>
  </w:docVars>
  <w:rsids>
    <w:rsidRoot w:val="00B23D4F"/>
    <w:rsid w:val="00002272"/>
    <w:rsid w:val="00045896"/>
    <w:rsid w:val="00064002"/>
    <w:rsid w:val="000677B9"/>
    <w:rsid w:val="000831BA"/>
    <w:rsid w:val="000A42CC"/>
    <w:rsid w:val="000E7DD9"/>
    <w:rsid w:val="0010095E"/>
    <w:rsid w:val="00125B37"/>
    <w:rsid w:val="001560DA"/>
    <w:rsid w:val="001705C1"/>
    <w:rsid w:val="00171547"/>
    <w:rsid w:val="00187494"/>
    <w:rsid w:val="001F32AE"/>
    <w:rsid w:val="00254EB9"/>
    <w:rsid w:val="002573B7"/>
    <w:rsid w:val="002767FF"/>
    <w:rsid w:val="002B18FE"/>
    <w:rsid w:val="002B5493"/>
    <w:rsid w:val="002E70F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ABA"/>
    <w:rsid w:val="00881A7B"/>
    <w:rsid w:val="008840E5"/>
    <w:rsid w:val="00886FAD"/>
    <w:rsid w:val="00887B3E"/>
    <w:rsid w:val="00896D67"/>
    <w:rsid w:val="008C2AC6"/>
    <w:rsid w:val="008F3F02"/>
    <w:rsid w:val="00930C23"/>
    <w:rsid w:val="0093193B"/>
    <w:rsid w:val="009509D8"/>
    <w:rsid w:val="00950B64"/>
    <w:rsid w:val="00981893"/>
    <w:rsid w:val="00A1687D"/>
    <w:rsid w:val="00A43E52"/>
    <w:rsid w:val="00A4678D"/>
    <w:rsid w:val="00A74F30"/>
    <w:rsid w:val="00A778C7"/>
    <w:rsid w:val="00AB441E"/>
    <w:rsid w:val="00AB6293"/>
    <w:rsid w:val="00AE0928"/>
    <w:rsid w:val="00AF3B82"/>
    <w:rsid w:val="00B12E95"/>
    <w:rsid w:val="00B22876"/>
    <w:rsid w:val="00B23D4F"/>
    <w:rsid w:val="00B558F0"/>
    <w:rsid w:val="00BD48FE"/>
    <w:rsid w:val="00BD7BD8"/>
    <w:rsid w:val="00BE0FD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5AB"/>
    <w:rsid w:val="00D834A0"/>
    <w:rsid w:val="00D872DF"/>
    <w:rsid w:val="00D91E21"/>
    <w:rsid w:val="00DA7FCD"/>
    <w:rsid w:val="00E365E1"/>
    <w:rsid w:val="00E820A4"/>
    <w:rsid w:val="00E9546D"/>
    <w:rsid w:val="00EA6F7B"/>
    <w:rsid w:val="00EB006A"/>
    <w:rsid w:val="00EB4772"/>
    <w:rsid w:val="00ED169E"/>
    <w:rsid w:val="00ED4235"/>
    <w:rsid w:val="00F04346"/>
    <w:rsid w:val="00F051CF"/>
    <w:rsid w:val="00F075DC"/>
    <w:rsid w:val="00F109C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852A4"/>
  <w15:chartTrackingRefBased/>
  <w15:docId w15:val="{D3908519-98C0-4E43-816D-29313110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705C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705C1"/>
    <w:pPr>
      <w:spacing w:before="480" w:after="240"/>
    </w:pPr>
  </w:style>
  <w:style w:type="paragraph" w:customStyle="1" w:styleId="PageHeading">
    <w:name w:val="PageHeading"/>
    <w:basedOn w:val="Normal"/>
    <w:rsid w:val="001705C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705C1"/>
    <w:rPr>
      <w:b/>
    </w:rPr>
  </w:style>
  <w:style w:type="paragraph" w:customStyle="1" w:styleId="NormalHanging12a">
    <w:name w:val="NormalHanging12a"/>
    <w:basedOn w:val="Normal"/>
    <w:link w:val="NormalHanging12aChar"/>
    <w:rsid w:val="001705C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705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705C1"/>
    <w:rPr>
      <w:sz w:val="24"/>
      <w:lang w:val="sk-SK"/>
    </w:rPr>
  </w:style>
  <w:style w:type="paragraph" w:customStyle="1" w:styleId="EPFooter">
    <w:name w:val="EPFooter"/>
    <w:basedOn w:val="Normal"/>
    <w:rsid w:val="001705C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1705C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705C1"/>
    <w:rPr>
      <w:sz w:val="24"/>
      <w:lang w:val="sk-SK"/>
    </w:rPr>
  </w:style>
  <w:style w:type="paragraph" w:styleId="Footer">
    <w:name w:val="footer"/>
    <w:basedOn w:val="Normal"/>
    <w:link w:val="FooterChar"/>
    <w:rsid w:val="00EA6F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6F7B"/>
    <w:rPr>
      <w:sz w:val="24"/>
      <w:lang w:val="sk-SK"/>
    </w:rPr>
  </w:style>
  <w:style w:type="paragraph" w:styleId="Revision">
    <w:name w:val="Revision"/>
    <w:hidden/>
    <w:uiPriority w:val="99"/>
    <w:semiHidden/>
    <w:rsid w:val="00E9546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8446</Words>
  <Characters>51021</Characters>
  <Application>Microsoft Office Word</Application>
  <DocSecurity>0</DocSecurity>
  <Lines>425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2026-05-06T09:38:00Z</dcterms:created>
  <dcterms:modified xsi:type="dcterms:W3CDTF">2026-05-06T09:38:00Z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P10_TA(2026)0131_</vt:lpwstr>
  </property>
  <property fmtid="{D5CDD505-2E9C-101B-9397-08002B2CF9AE}" pid="4" name="&lt;Type&gt;">
    <vt:lpwstr>RR</vt:lpwstr>
  </property>
</Properties>
</file>