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32AB5" w14:paraId="35E88EBA" w14:textId="77777777" w:rsidTr="0010095E">
        <w:trPr>
          <w:trHeight w:hRule="exact" w:val="1418"/>
        </w:trPr>
        <w:tc>
          <w:tcPr>
            <w:tcW w:w="6804" w:type="dxa"/>
            <w:shd w:val="clear" w:color="auto" w:fill="auto"/>
            <w:vAlign w:val="center"/>
          </w:tcPr>
          <w:p w14:paraId="2CB81601" w14:textId="77777777" w:rsidR="00751A4A" w:rsidRPr="00432AB5" w:rsidRDefault="00AF4E15" w:rsidP="0010095E">
            <w:pPr>
              <w:pStyle w:val="EPName"/>
            </w:pPr>
            <w:r w:rsidRPr="00432AB5">
              <w:t>Europaparlamentet</w:t>
            </w:r>
          </w:p>
          <w:p w14:paraId="2D30F12B" w14:textId="77777777" w:rsidR="00751A4A" w:rsidRPr="00432AB5" w:rsidRDefault="005F1B17" w:rsidP="005F1B17">
            <w:pPr>
              <w:pStyle w:val="EPTerm"/>
              <w:rPr>
                <w:rStyle w:val="HideTWBExt"/>
                <w:noProof w:val="0"/>
                <w:vanish w:val="0"/>
                <w:color w:val="auto"/>
              </w:rPr>
            </w:pPr>
            <w:r w:rsidRPr="00432AB5">
              <w:t>2024</w:t>
            </w:r>
            <w:r w:rsidR="00817416" w:rsidRPr="00432AB5">
              <w:t>-202</w:t>
            </w:r>
            <w:r w:rsidRPr="00432AB5">
              <w:t>9</w:t>
            </w:r>
          </w:p>
        </w:tc>
        <w:tc>
          <w:tcPr>
            <w:tcW w:w="2268" w:type="dxa"/>
            <w:shd w:val="clear" w:color="auto" w:fill="auto"/>
          </w:tcPr>
          <w:p w14:paraId="49A0B911" w14:textId="77777777" w:rsidR="00751A4A" w:rsidRPr="00432AB5" w:rsidRDefault="00187494" w:rsidP="0010095E">
            <w:pPr>
              <w:pStyle w:val="EPLogo"/>
            </w:pPr>
            <w:r w:rsidRPr="00432AB5">
              <w:rPr>
                <w:noProof/>
                <w:lang w:eastAsia="ja-JP"/>
              </w:rPr>
              <w:drawing>
                <wp:inline distT="0" distB="0" distL="0" distR="0" wp14:anchorId="21650276" wp14:editId="3B1C1C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5B84F56" w14:textId="77777777" w:rsidR="00D058B8" w:rsidRPr="00432AB5" w:rsidRDefault="00D058B8" w:rsidP="004C5D52">
      <w:pPr>
        <w:pStyle w:val="LineTop"/>
      </w:pPr>
    </w:p>
    <w:p w14:paraId="7AC860F1" w14:textId="77777777" w:rsidR="00680577" w:rsidRPr="00432AB5" w:rsidRDefault="00AF4E15" w:rsidP="00680577">
      <w:pPr>
        <w:pStyle w:val="EPBodyTA1"/>
      </w:pPr>
      <w:r w:rsidRPr="00432AB5">
        <w:t>ANTAGNA TEXTER</w:t>
      </w:r>
    </w:p>
    <w:p w14:paraId="743C016C" w14:textId="77777777" w:rsidR="00D058B8" w:rsidRPr="00432AB5" w:rsidRDefault="00D058B8" w:rsidP="00D058B8">
      <w:pPr>
        <w:pStyle w:val="LineBottom"/>
      </w:pPr>
    </w:p>
    <w:p w14:paraId="3D0F8073" w14:textId="295C5220" w:rsidR="00AF4E15" w:rsidRPr="00432AB5" w:rsidRDefault="00AF4E15" w:rsidP="00AF4E15">
      <w:pPr>
        <w:pStyle w:val="ATHeading1"/>
      </w:pPr>
      <w:bookmarkStart w:id="0" w:name="TANumber"/>
      <w:r w:rsidRPr="00432AB5">
        <w:t>P10_TA(2026)</w:t>
      </w:r>
      <w:bookmarkEnd w:id="0"/>
      <w:r w:rsidR="00EE072E" w:rsidRPr="00432AB5">
        <w:t>0</w:t>
      </w:r>
      <w:r w:rsidR="00EE072E">
        <w:t>131</w:t>
      </w:r>
    </w:p>
    <w:p w14:paraId="16BF8B21" w14:textId="77777777" w:rsidR="00AF4E15" w:rsidRPr="00432AB5" w:rsidRDefault="00AF4E15" w:rsidP="00AF4E15">
      <w:pPr>
        <w:pStyle w:val="ATHeading2"/>
      </w:pPr>
      <w:bookmarkStart w:id="1" w:name="title"/>
      <w:r w:rsidRPr="00432AB5">
        <w:t>Ansvarsfrihet 2024: EU:s allmänna budget – Europeiska ekonomiska och sociala kommittén</w:t>
      </w:r>
      <w:bookmarkEnd w:id="1"/>
    </w:p>
    <w:p w14:paraId="4D49322D" w14:textId="77777777" w:rsidR="00AF4E15" w:rsidRPr="00432AB5" w:rsidRDefault="00AF4E15" w:rsidP="00AF4E15">
      <w:pPr>
        <w:rPr>
          <w:i/>
          <w:vanish/>
        </w:rPr>
      </w:pPr>
      <w:r w:rsidRPr="00432AB5">
        <w:rPr>
          <w:i/>
        </w:rPr>
        <w:fldChar w:fldCharType="begin"/>
      </w:r>
      <w:r w:rsidRPr="00432AB5">
        <w:rPr>
          <w:i/>
        </w:rPr>
        <w:instrText xml:space="preserve"> TC"(</w:instrText>
      </w:r>
      <w:bookmarkStart w:id="2" w:name="DocNumber"/>
      <w:r w:rsidRPr="00432AB5">
        <w:rPr>
          <w:i/>
        </w:rPr>
        <w:instrText>A10-0059/2026</w:instrText>
      </w:r>
      <w:bookmarkEnd w:id="2"/>
      <w:r w:rsidRPr="00432AB5">
        <w:rPr>
          <w:i/>
        </w:rPr>
        <w:instrText xml:space="preserve"> - Föredragande: Pasquale </w:instrText>
      </w:r>
      <w:proofErr w:type="spellStart"/>
      <w:r w:rsidRPr="00432AB5">
        <w:rPr>
          <w:i/>
        </w:rPr>
        <w:instrText>Tridico</w:instrText>
      </w:r>
      <w:proofErr w:type="spellEnd"/>
      <w:r w:rsidRPr="00432AB5">
        <w:rPr>
          <w:i/>
        </w:rPr>
        <w:instrText xml:space="preserve">)"\l3 \n&gt; \* MERGEFORMAT </w:instrText>
      </w:r>
      <w:r w:rsidRPr="00432AB5">
        <w:rPr>
          <w:i/>
        </w:rPr>
        <w:fldChar w:fldCharType="end"/>
      </w:r>
    </w:p>
    <w:p w14:paraId="0C16C33D" w14:textId="77777777" w:rsidR="00AF4E15" w:rsidRPr="00432AB5" w:rsidRDefault="00AF4E15" w:rsidP="00AF4E15">
      <w:pPr>
        <w:rPr>
          <w:vanish/>
        </w:rPr>
      </w:pPr>
      <w:bookmarkStart w:id="3" w:name="Commission"/>
      <w:r w:rsidRPr="00432AB5">
        <w:rPr>
          <w:vanish/>
        </w:rPr>
        <w:t>Budgetkontrollutskottet</w:t>
      </w:r>
      <w:bookmarkEnd w:id="3"/>
    </w:p>
    <w:p w14:paraId="604CBB4C" w14:textId="77777777" w:rsidR="00AF4E15" w:rsidRPr="00432AB5" w:rsidRDefault="00AF4E15" w:rsidP="00AF4E15">
      <w:pPr>
        <w:rPr>
          <w:vanish/>
        </w:rPr>
      </w:pPr>
      <w:bookmarkStart w:id="4" w:name="PE"/>
      <w:r w:rsidRPr="00432AB5">
        <w:rPr>
          <w:vanish/>
        </w:rPr>
        <w:t>PE778.063</w:t>
      </w:r>
      <w:bookmarkEnd w:id="4"/>
    </w:p>
    <w:p w14:paraId="7ABA3F07" w14:textId="42A5F637" w:rsidR="00AF4E15" w:rsidRPr="00432AB5" w:rsidRDefault="00A65AEB" w:rsidP="00AF4E15">
      <w:pPr>
        <w:pStyle w:val="ATHeading3"/>
      </w:pPr>
      <w:bookmarkStart w:id="5" w:name="Sujet"/>
      <w:r>
        <w:t xml:space="preserve">1. </w:t>
      </w:r>
      <w:r w:rsidR="00AF4E15" w:rsidRPr="00432AB5">
        <w:t xml:space="preserve">Europaparlamentets beslut av den </w:t>
      </w:r>
      <w:r w:rsidR="00B27A7D">
        <w:t>29</w:t>
      </w:r>
      <w:r w:rsidR="00AF4E15" w:rsidRPr="00432AB5">
        <w:t xml:space="preserve"> </w:t>
      </w:r>
      <w:r w:rsidR="00B27A7D">
        <w:t>april</w:t>
      </w:r>
      <w:r w:rsidR="00AF4E15" w:rsidRPr="00432AB5">
        <w:t xml:space="preserve"> 2026 om ansvarsfrihet för genomförandet av Europeiska unionens allmänna budget för budgetåret 2024, avsnitt VI – Europeiska ekonomiska och sociala kommittén</w:t>
      </w:r>
      <w:bookmarkEnd w:id="5"/>
      <w:r w:rsidR="00AF4E15" w:rsidRPr="00432AB5">
        <w:t xml:space="preserve"> </w:t>
      </w:r>
      <w:bookmarkStart w:id="6" w:name="References"/>
      <w:r w:rsidR="00AF4E15" w:rsidRPr="00432AB5">
        <w:t>(2025/2151(DEC))</w:t>
      </w:r>
      <w:bookmarkEnd w:id="6"/>
    </w:p>
    <w:p w14:paraId="7725CD1D" w14:textId="77777777" w:rsidR="006C3330" w:rsidRPr="00432AB5" w:rsidRDefault="006C3330" w:rsidP="006C3330">
      <w:pPr>
        <w:pStyle w:val="EPComma"/>
      </w:pPr>
      <w:bookmarkStart w:id="7" w:name="TextBodyBegin"/>
      <w:bookmarkEnd w:id="7"/>
      <w:r w:rsidRPr="00432AB5">
        <w:rPr>
          <w:i/>
          <w:iCs/>
        </w:rPr>
        <w:t>Europaparlamentet fattar detta beslut</w:t>
      </w:r>
    </w:p>
    <w:p w14:paraId="003AC90D" w14:textId="77777777" w:rsidR="006C3330" w:rsidRPr="00432AB5" w:rsidRDefault="006C3330" w:rsidP="006C3330">
      <w:pPr>
        <w:pStyle w:val="NormalHanging12a"/>
      </w:pPr>
      <w:r w:rsidRPr="00432AB5">
        <w:t>–</w:t>
      </w:r>
      <w:r w:rsidRPr="00432AB5">
        <w:tab/>
        <w:t>med beaktande av Europeiska unionens allmänna budget för budgetåret 2024</w:t>
      </w:r>
      <w:r w:rsidRPr="00432AB5">
        <w:rPr>
          <w:rStyle w:val="FootnoteReference"/>
        </w:rPr>
        <w:footnoteReference w:id="1"/>
      </w:r>
      <w:r w:rsidRPr="00432AB5">
        <w:t>,</w:t>
      </w:r>
    </w:p>
    <w:p w14:paraId="6A3FA068" w14:textId="77777777" w:rsidR="006C3330" w:rsidRPr="00432AB5" w:rsidRDefault="006C3330" w:rsidP="006C3330">
      <w:pPr>
        <w:pStyle w:val="NormalHanging12a"/>
      </w:pPr>
      <w:r w:rsidRPr="00432AB5">
        <w:t>–</w:t>
      </w:r>
      <w:r w:rsidRPr="00432AB5">
        <w:tab/>
        <w:t>med beaktande av Europeiska unionens konsoliderade årsredovisning för budgetåret 2024 (COM(2025)0359 – C10</w:t>
      </w:r>
      <w:r w:rsidRPr="00432AB5">
        <w:noBreakHyphen/>
        <w:t>0150/2025)</w:t>
      </w:r>
      <w:r w:rsidRPr="00432AB5">
        <w:rPr>
          <w:rStyle w:val="FootnoteReference"/>
        </w:rPr>
        <w:footnoteReference w:id="2"/>
      </w:r>
      <w:r w:rsidRPr="00432AB5">
        <w:t>,</w:t>
      </w:r>
    </w:p>
    <w:p w14:paraId="25F9A7D3" w14:textId="77777777" w:rsidR="006C3330" w:rsidRPr="00432AB5" w:rsidRDefault="006C3330" w:rsidP="006C3330">
      <w:pPr>
        <w:pStyle w:val="NormalHanging12a"/>
      </w:pPr>
      <w:r w:rsidRPr="00432AB5">
        <w:t>–</w:t>
      </w:r>
      <w:r w:rsidRPr="00432AB5">
        <w:tab/>
        <w:t>med beaktande av Europeiska ekonomiska och sociala kommitténs årsrapport till den ansvarsfrihetsbeviljande myndigheten om de internrevisioner som genomförts under 2024,</w:t>
      </w:r>
    </w:p>
    <w:p w14:paraId="75A81D0B" w14:textId="77777777" w:rsidR="006C3330" w:rsidRPr="00432AB5" w:rsidRDefault="006C3330" w:rsidP="006C3330">
      <w:pPr>
        <w:pStyle w:val="NormalHanging12a"/>
      </w:pPr>
      <w:r w:rsidRPr="00432AB5">
        <w:t>–</w:t>
      </w:r>
      <w:r w:rsidRPr="00432AB5">
        <w:tab/>
        <w:t>med beaktande av revisionsrättens årsrapport om genomförandet av budgeten för budgetåret 2024, med institutionernas svar</w:t>
      </w:r>
      <w:r w:rsidRPr="00432AB5">
        <w:rPr>
          <w:rStyle w:val="FootnoteReference"/>
        </w:rPr>
        <w:footnoteReference w:id="3"/>
      </w:r>
      <w:r w:rsidRPr="00432AB5">
        <w:t>,</w:t>
      </w:r>
    </w:p>
    <w:p w14:paraId="4D6F3591" w14:textId="77777777" w:rsidR="006C3330" w:rsidRPr="00432AB5" w:rsidRDefault="006C3330" w:rsidP="006C3330">
      <w:pPr>
        <w:pStyle w:val="NormalHanging12a"/>
      </w:pPr>
      <w:r w:rsidRPr="00432AB5">
        <w:t>–</w:t>
      </w:r>
      <w:r w:rsidRPr="00432AB5">
        <w:tab/>
        <w:t>med beaktande av förklaringen om räkenskapernas tillförlitlighet</w:t>
      </w:r>
      <w:r w:rsidRPr="00432AB5">
        <w:rPr>
          <w:rStyle w:val="FootnoteReference"/>
        </w:rPr>
        <w:footnoteReference w:id="4"/>
      </w:r>
      <w:r w:rsidRPr="00432AB5">
        <w:t xml:space="preserve"> och de underliggande transaktionernas laglighet och korrekthet, som avgetts av revisionsrätten för budgetåret 2024 i enlighet med artikel 287 i fördraget om Europeiska unionens funktionssätt,</w:t>
      </w:r>
    </w:p>
    <w:p w14:paraId="3E66DE35" w14:textId="77777777" w:rsidR="006C3330" w:rsidRPr="00432AB5" w:rsidRDefault="006C3330" w:rsidP="006C3330">
      <w:pPr>
        <w:pStyle w:val="NormalHanging12a"/>
      </w:pPr>
      <w:r w:rsidRPr="00432AB5">
        <w:t>–</w:t>
      </w:r>
      <w:r w:rsidRPr="00432AB5">
        <w:tab/>
        <w:t>med beaktande av artikel 314.10 och artiklarna 317, 318 och 319 i fördraget om Europeiska unionens funktionssätt,</w:t>
      </w:r>
    </w:p>
    <w:p w14:paraId="0B676BA0" w14:textId="77777777" w:rsidR="006C3330" w:rsidRPr="00432AB5" w:rsidRDefault="006C3330" w:rsidP="006C3330">
      <w:pPr>
        <w:pStyle w:val="NormalHanging12a"/>
      </w:pPr>
      <w:r w:rsidRPr="00432AB5">
        <w:t>–</w:t>
      </w:r>
      <w:r w:rsidRPr="00432AB5">
        <w:tab/>
        <w:t xml:space="preserve">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w:t>
      </w:r>
      <w:r w:rsidRPr="00432AB5">
        <w:lastRenderedPageBreak/>
        <w:t>nr 283/2014 och beslut nr 541/2014/EU samt om upphävande av förordning (EU, Euratom) nr 966/2012</w:t>
      </w:r>
      <w:r w:rsidRPr="00432AB5">
        <w:rPr>
          <w:rStyle w:val="FootnoteReference"/>
        </w:rPr>
        <w:footnoteReference w:id="5"/>
      </w:r>
      <w:r w:rsidRPr="00432AB5">
        <w:t>, särskilt artiklarna 59, 118, 260, 261 och 262,</w:t>
      </w:r>
    </w:p>
    <w:p w14:paraId="1998A0D6" w14:textId="77777777" w:rsidR="006C3330" w:rsidRPr="00432AB5" w:rsidRDefault="006C3330" w:rsidP="006C3330">
      <w:pPr>
        <w:pStyle w:val="NormalHanging12a"/>
      </w:pPr>
      <w:r w:rsidRPr="00432AB5">
        <w:t>–</w:t>
      </w:r>
      <w:r w:rsidRPr="00432AB5">
        <w:tab/>
        <w:t>med beaktande av Europaparlamentets och rådets förordning (EU, Euratom) 2024/2509 av den 23 september 2024 om finansiella regler för unionens allmänna budget</w:t>
      </w:r>
      <w:r w:rsidRPr="00432AB5">
        <w:rPr>
          <w:rStyle w:val="FootnoteReference"/>
        </w:rPr>
        <w:footnoteReference w:id="6"/>
      </w:r>
      <w:r w:rsidRPr="00432AB5">
        <w:t>, särskilt artiklarna 59, 118, 266, 267 och 268,</w:t>
      </w:r>
    </w:p>
    <w:p w14:paraId="0F5EDEB4" w14:textId="77777777" w:rsidR="006C3330" w:rsidRPr="00432AB5" w:rsidRDefault="006C3330" w:rsidP="006C3330">
      <w:pPr>
        <w:pStyle w:val="NormalHanging12a"/>
      </w:pPr>
      <w:r w:rsidRPr="00432AB5">
        <w:t>–</w:t>
      </w:r>
      <w:r w:rsidRPr="00432AB5">
        <w:tab/>
        <w:t>med beaktande av artikel 102 och bilaga V i arbetsordningen,</w:t>
      </w:r>
    </w:p>
    <w:p w14:paraId="45925244" w14:textId="77777777" w:rsidR="006C3330" w:rsidRPr="00432AB5" w:rsidRDefault="006C3330" w:rsidP="006C3330">
      <w:pPr>
        <w:pStyle w:val="NormalHanging12a"/>
      </w:pPr>
      <w:r w:rsidRPr="00432AB5">
        <w:t>–</w:t>
      </w:r>
      <w:r w:rsidRPr="00432AB5">
        <w:tab/>
        <w:t>med beaktande av betänkandet från budgetkontrollutskottet (A10-0059/2026).</w:t>
      </w:r>
    </w:p>
    <w:p w14:paraId="196AE15C" w14:textId="77777777" w:rsidR="006C3330" w:rsidRPr="00432AB5" w:rsidRDefault="006C3330" w:rsidP="006C3330">
      <w:pPr>
        <w:pStyle w:val="NormalHanging12a"/>
        <w:widowControl/>
      </w:pPr>
      <w:r w:rsidRPr="00432AB5">
        <w:t>1.</w:t>
      </w:r>
      <w:r w:rsidRPr="00432AB5">
        <w:tab/>
        <w:t>Europaparlamentet beviljar Europeiska ekonomiska och sociala kommitténs generalsekreterare ansvarsfrihet för genomförandet av Europeiska ekonomiska och sociala kommitténs budget för budgetåret 2024.</w:t>
      </w:r>
    </w:p>
    <w:p w14:paraId="3454340E" w14:textId="77777777" w:rsidR="006C3330" w:rsidRPr="00432AB5" w:rsidRDefault="006C3330" w:rsidP="006C3330">
      <w:pPr>
        <w:pStyle w:val="NormalHanging12a"/>
      </w:pPr>
      <w:r w:rsidRPr="00432AB5">
        <w:t>2.</w:t>
      </w:r>
      <w:r w:rsidRPr="00432AB5">
        <w:tab/>
        <w:t>Europaparlamentet redovisar sina iakttagelser i resolutionen nedan.</w:t>
      </w:r>
    </w:p>
    <w:p w14:paraId="1D5DC851" w14:textId="77777777" w:rsidR="006C3330" w:rsidRPr="00432AB5" w:rsidRDefault="006C3330" w:rsidP="006C3330">
      <w:pPr>
        <w:pStyle w:val="NormalHanging12a"/>
      </w:pPr>
      <w:r w:rsidRPr="00432AB5">
        <w:t>3.</w:t>
      </w:r>
      <w:r w:rsidRPr="00432AB5">
        <w:tab/>
        <w:t xml:space="preserve">Europaparlamentet uppdrar åt talmannen att översända detta beslut och den resolution som utgör en del av beslutet till Europeiska ekonomiska och sociala kommittén, rådet, kommissionen och revisionsrätten, och att se till att de offentliggörs i </w:t>
      </w:r>
      <w:r w:rsidRPr="00432AB5">
        <w:rPr>
          <w:i/>
          <w:iCs/>
        </w:rPr>
        <w:t>Europeiska unionens officiella tidning</w:t>
      </w:r>
      <w:r w:rsidRPr="00432AB5">
        <w:t xml:space="preserve"> (L-serien).</w:t>
      </w:r>
    </w:p>
    <w:p w14:paraId="31DA8CFD" w14:textId="77777777" w:rsidR="006C3330" w:rsidRPr="00432AB5" w:rsidRDefault="006C3330" w:rsidP="006C3330">
      <w:pPr>
        <w:pStyle w:val="PageHeading"/>
        <w:sectPr w:rsidR="006C3330" w:rsidRPr="00432AB5" w:rsidSect="00432A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FD2F5E8" w14:textId="77777777" w:rsidR="00A65AEB" w:rsidRDefault="00A65AEB" w:rsidP="00A65AEB">
      <w:pPr>
        <w:pStyle w:val="ATHeading3"/>
      </w:pPr>
      <w:r>
        <w:lastRenderedPageBreak/>
        <w:t>2. Europaparlamentets resolution av den 29 april 2026 med de iakttagelser som utgör en del av beslutet om ansvarsfrihet för genomförandet av Europeiska unionens allmänna budget för budgetåret 2024, avsnitt VI – Europeiska ekonomiska och sociala kommittén (2025/2151(DEC))</w:t>
      </w:r>
    </w:p>
    <w:p w14:paraId="134303A9" w14:textId="77777777" w:rsidR="006C3330" w:rsidRPr="00432AB5" w:rsidRDefault="006C3330" w:rsidP="006C3330">
      <w:pPr>
        <w:pStyle w:val="EPComma"/>
      </w:pPr>
      <w:r w:rsidRPr="00432AB5">
        <w:rPr>
          <w:i/>
          <w:iCs/>
        </w:rPr>
        <w:t>Europaparlamentet utfärdar denna resolution</w:t>
      </w:r>
    </w:p>
    <w:p w14:paraId="0CF03746" w14:textId="77777777" w:rsidR="006C3330" w:rsidRPr="00432AB5" w:rsidRDefault="006C3330" w:rsidP="006C3330">
      <w:pPr>
        <w:pStyle w:val="NormalHanging12a"/>
      </w:pPr>
      <w:r w:rsidRPr="00432AB5">
        <w:t>–</w:t>
      </w:r>
      <w:r w:rsidRPr="00432AB5">
        <w:tab/>
        <w:t>med beaktande av sitt beslut om ansvarsfrihet för genomförandet av Europeiska unionens allmänna budget för budgetåret 2024, avsnitt VI – Europeiska ekonomiska och sociala kommittén,</w:t>
      </w:r>
    </w:p>
    <w:p w14:paraId="768539D7" w14:textId="77777777" w:rsidR="006C3330" w:rsidRPr="00432AB5" w:rsidRDefault="006C3330" w:rsidP="006C3330">
      <w:pPr>
        <w:pStyle w:val="NormalHanging12a"/>
      </w:pPr>
      <w:r w:rsidRPr="00432AB5">
        <w:t>–</w:t>
      </w:r>
      <w:r w:rsidRPr="00432AB5">
        <w:tab/>
        <w:t>med beaktande av artikel 102 och bilaga V i arbetsordningen,</w:t>
      </w:r>
    </w:p>
    <w:p w14:paraId="7008DCE5" w14:textId="77777777" w:rsidR="006C3330" w:rsidRPr="00432AB5" w:rsidRDefault="006C3330" w:rsidP="006C3330">
      <w:pPr>
        <w:pStyle w:val="NormalHanging12a"/>
      </w:pPr>
      <w:r w:rsidRPr="00432AB5">
        <w:t>–</w:t>
      </w:r>
      <w:r w:rsidRPr="00432AB5">
        <w:tab/>
        <w:t>med beaktande av betänkandet från budgetkontrollutskottet (A10-0059/2026), och av följande skäl:</w:t>
      </w:r>
    </w:p>
    <w:p w14:paraId="1F0F3DB2" w14:textId="77777777" w:rsidR="006C3330" w:rsidRPr="00432AB5" w:rsidRDefault="006C3330" w:rsidP="006C3330">
      <w:pPr>
        <w:pStyle w:val="NormalHanging12a"/>
      </w:pPr>
      <w:r w:rsidRPr="00432AB5">
        <w:t>A.</w:t>
      </w:r>
      <w:r w:rsidRPr="00432AB5">
        <w:tab/>
        <w:t>I samband med förfarandet för beviljande av ansvarsfrihet betonar den ansvarsfrihetsbeviljande myndigheten hur viktigt det är att man fortsätter att stärka unionsinstitutionernas demokratiska legitimitet genom att öka transparensen och ansvarsskyldigheten och genom att tillämpa en prestationsbaserad budgetering och en god förvaltning av personalresurserna.</w:t>
      </w:r>
    </w:p>
    <w:p w14:paraId="26BE9CEC" w14:textId="77777777" w:rsidR="006C3330" w:rsidRPr="00432AB5" w:rsidRDefault="006C3330" w:rsidP="006C3330">
      <w:pPr>
        <w:pStyle w:val="NormalHanging12a"/>
      </w:pPr>
      <w:r w:rsidRPr="00432AB5">
        <w:t>B.</w:t>
      </w:r>
      <w:r w:rsidRPr="00432AB5">
        <w:tab/>
        <w:t>Europeiska ekonomiska och sociala kommittén (</w:t>
      </w:r>
      <w:r w:rsidRPr="00432AB5">
        <w:rPr>
          <w:i/>
          <w:iCs/>
        </w:rPr>
        <w:t>kommittén</w:t>
      </w:r>
      <w:r w:rsidRPr="00432AB5">
        <w:t>) är ett rådgivande unionsorgan som utgör ett forum för samråd, dialog och samförstånd mellan företrädare för de olika ekonomiska, sociala och civila grupperingarna i det organiserade civila samhället i medlemsstaterna.</w:t>
      </w:r>
    </w:p>
    <w:p w14:paraId="7996D99B" w14:textId="77777777" w:rsidR="006C3330" w:rsidRPr="00432AB5" w:rsidRDefault="006C3330" w:rsidP="006C3330">
      <w:pPr>
        <w:pStyle w:val="NormalHanging12a"/>
      </w:pPr>
      <w:r w:rsidRPr="00432AB5">
        <w:t>C.</w:t>
      </w:r>
      <w:r w:rsidRPr="00432AB5">
        <w:tab/>
        <w:t>Kommittén bidrar till unionens beslutsprocess och, genom att säkerställa kopplingar mellan unionens politik och ekonomiska, sociala och medborgerliga förhållanden, fullgör sina uppdrag att skapa bättre lagstiftning, deltagardemokrati och främja europeiska värden.</w:t>
      </w:r>
    </w:p>
    <w:p w14:paraId="2B270147" w14:textId="77777777" w:rsidR="006C3330" w:rsidRPr="00432AB5" w:rsidRDefault="006C3330" w:rsidP="006C3330">
      <w:pPr>
        <w:pStyle w:val="NormalHanging12a"/>
      </w:pPr>
      <w:r w:rsidRPr="00432AB5">
        <w:t>D.</w:t>
      </w:r>
      <w:r w:rsidRPr="00432AB5">
        <w:tab/>
        <w:t>I vissa fall är kommissionen och rådet skyldiga att höra kommittén, men det är också möjligt för kommittén att anta yttranden på eget initiativ, och den har ett brett område för hänskjutande enligt fördragen, vilket gör att kommittén kan höras av parlamentet.</w:t>
      </w:r>
    </w:p>
    <w:p w14:paraId="1268BEE9" w14:textId="77777777" w:rsidR="006C3330" w:rsidRPr="00432AB5" w:rsidRDefault="006C3330" w:rsidP="006C3330">
      <w:pPr>
        <w:pStyle w:val="NormalHanging12a"/>
      </w:pPr>
      <w:r w:rsidRPr="00432AB5">
        <w:t>E.</w:t>
      </w:r>
      <w:r w:rsidRPr="00432AB5">
        <w:tab/>
        <w:t>Finans- och budgetkommittén är kommitténs tillsynsorgan för alla budgetförfaranden och i synnerhet för upprättandet av budgetberäkningen, budgetgenomförandet, den årliga verksamhetsrapporten, beviljandet av ansvarsfrihet och uppföljningen av revisionsrättens årsrapport.</w:t>
      </w:r>
    </w:p>
    <w:p w14:paraId="5770BA5F" w14:textId="77777777" w:rsidR="006C3330" w:rsidRPr="00432AB5" w:rsidRDefault="006C3330" w:rsidP="006C3330">
      <w:pPr>
        <w:pStyle w:val="NormalHanging12a"/>
      </w:pPr>
      <w:r w:rsidRPr="00432AB5">
        <w:t>F.</w:t>
      </w:r>
      <w:r w:rsidRPr="00432AB5">
        <w:tab/>
        <w:t>Kommittén har under de senaste åren, inom ramen för en begränsad budget, konsekvent tagit initiativ för att locka till sig och behålla kunnig personal, optimera sin organisationsstruktur och sina arbetsmetoder samt främja en respektfull arbetsmiljö.</w:t>
      </w:r>
    </w:p>
    <w:p w14:paraId="1AAAC487" w14:textId="77777777" w:rsidR="006C3330" w:rsidRPr="00432AB5" w:rsidRDefault="006C3330" w:rsidP="006C3330">
      <w:pPr>
        <w:pStyle w:val="NormalHanging12a"/>
      </w:pPr>
      <w:r w:rsidRPr="00432AB5">
        <w:t>G.</w:t>
      </w:r>
      <w:r w:rsidRPr="00432AB5">
        <w:tab/>
        <w:t>År 2024 utsåg kommittén en ny generalsekreterare vars mandat är att göra kommittén mer effektiv, verkningsfull och relevant.</w:t>
      </w:r>
    </w:p>
    <w:p w14:paraId="244225BE" w14:textId="77777777" w:rsidR="006C3330" w:rsidRPr="00432AB5" w:rsidRDefault="006C3330" w:rsidP="006C3330">
      <w:pPr>
        <w:pStyle w:val="NormalHanging12a"/>
      </w:pPr>
      <w:r w:rsidRPr="00432AB5">
        <w:t>H.</w:t>
      </w:r>
      <w:r w:rsidRPr="00432AB5">
        <w:tab/>
        <w:t>Kommittén inledde en omvandlingsprocess 2024 i syfte att vara en effektdriven organisation som ger sina ledamöter möjlighet att stärka och skydda det organiserade civila samhällets röst.</w:t>
      </w:r>
    </w:p>
    <w:p w14:paraId="18AEB46E" w14:textId="77777777" w:rsidR="006C3330" w:rsidRPr="00432AB5" w:rsidRDefault="006C3330" w:rsidP="006C3330">
      <w:pPr>
        <w:pStyle w:val="NormalHanging12a"/>
        <w:rPr>
          <w:bCs/>
          <w:iCs/>
        </w:rPr>
      </w:pPr>
      <w:r w:rsidRPr="00432AB5">
        <w:lastRenderedPageBreak/>
        <w:t>I.</w:t>
      </w:r>
      <w:r w:rsidRPr="00432AB5">
        <w:tab/>
        <w:t>Enligt artiklarna 300 och 304 i fördraget om Europeiska unionens funktionssätt är Europeiska ekonomiska och sociala kommittén ett rådgivande organ vars främsta uppgift är att avge yttranden.</w:t>
      </w:r>
    </w:p>
    <w:p w14:paraId="014CA19A" w14:textId="77777777" w:rsidR="006C3330" w:rsidRPr="00432AB5" w:rsidRDefault="006C3330" w:rsidP="006C3330">
      <w:pPr>
        <w:pStyle w:val="NormalHanging12a"/>
      </w:pPr>
      <w:r w:rsidRPr="00432AB5">
        <w:t>1.</w:t>
      </w:r>
      <w:r w:rsidRPr="00432AB5">
        <w:tab/>
        <w:t>Europaparlamentet noterar att kommitténs budget sorterar under rubrik 7 i den fleråriga budgetramen, ”Europeisk offentlig förvaltning”, som 2024 uppgick till totalt 13,3 miljarder EUR, dvs. 6,9 % av unionens budgetutgifter. Parlamentet noterar att kommitténs budget 2024 utgjorde 1,50 % av anslagen under rubrik 7 i den fleråriga budgetramen, en uppgång från 1,29 % för 2023.</w:t>
      </w:r>
    </w:p>
    <w:p w14:paraId="73E048EA" w14:textId="77777777" w:rsidR="006C3330" w:rsidRPr="00432AB5" w:rsidRDefault="006C3330" w:rsidP="006C3330">
      <w:pPr>
        <w:pStyle w:val="NormalHanging12a"/>
      </w:pPr>
      <w:r w:rsidRPr="00432AB5">
        <w:t>2.</w:t>
      </w:r>
      <w:r w:rsidRPr="00432AB5">
        <w:tab/>
        <w:t>Europaparlamentet noterar att revisionsrätten i sin årsrapport för budgetåret 2024 granskade ett urval av 70 transaktioner under rubriken ”Administration”, samma antal som 2023. Revisionsrätten uppger vidare att de administrativa kostnaderna omfattar personalkostnader, inklusive pensioner, som 2024 stod för omkring 69 % av de totala administrativa kostnaderna, och kostnader för byggnader, utrustning, energi, kommunikation och it, och att revisionsrättens arbete under många år visat att dessa kostnader totalt sett är förknippade med låg risk.</w:t>
      </w:r>
    </w:p>
    <w:p w14:paraId="7E5A2D25" w14:textId="77777777" w:rsidR="006C3330" w:rsidRPr="00432AB5" w:rsidRDefault="006C3330" w:rsidP="006C3330">
      <w:pPr>
        <w:pStyle w:val="NormalHanging12a"/>
      </w:pPr>
      <w:r w:rsidRPr="00432AB5">
        <w:t>3.</w:t>
      </w:r>
      <w:r w:rsidRPr="00432AB5">
        <w:tab/>
        <w:t>Europaparlamentet noterar att 16 (23 %) av de 70 transaktionerna innehöll fel, men att revisionsrätten, på grundval av de tre fel som kvantifierats, uppskattar att felnivån ligger under väsentlighetströskeln. Parlamentet noterar att revisionsrätten i sin rapport inte identifierade några specifika problem avseende kommittén.</w:t>
      </w:r>
    </w:p>
    <w:p w14:paraId="6482DEA6" w14:textId="77777777" w:rsidR="006C3330" w:rsidRPr="00432AB5" w:rsidRDefault="006C3330" w:rsidP="006C3330">
      <w:pPr>
        <w:pStyle w:val="NormalHanging12a"/>
        <w:rPr>
          <w:b/>
          <w:i/>
        </w:rPr>
      </w:pPr>
      <w:r w:rsidRPr="00432AB5">
        <w:rPr>
          <w:b/>
          <w:i/>
        </w:rPr>
        <w:t>Budgetförvaltningen och den ekonomiska förvaltningen</w:t>
      </w:r>
    </w:p>
    <w:p w14:paraId="0BA46A0A" w14:textId="77777777" w:rsidR="006C3330" w:rsidRPr="00432AB5" w:rsidRDefault="006C3330" w:rsidP="006C3330">
      <w:pPr>
        <w:pStyle w:val="NormalHanging12a"/>
      </w:pPr>
      <w:r w:rsidRPr="00432AB5">
        <w:t>4.</w:t>
      </w:r>
      <w:r w:rsidRPr="00432AB5">
        <w:tab/>
        <w:t>Europaparlamentet noterar att kommitténs slutliga antagna budget 2024 uppgick till 164 945 524 EUR, vilket är en ökning med 3,90 % i förhållande till 2023. Parlamentet noterar utifrån kommitténs svar på budgetkontrollutskottets frågeformulär för ansvarsfriheten för 2024 (</w:t>
      </w:r>
      <w:r w:rsidRPr="00432AB5">
        <w:rPr>
          <w:i/>
          <w:iCs/>
        </w:rPr>
        <w:t>frågeformuläret</w:t>
      </w:r>
      <w:r w:rsidRPr="00432AB5">
        <w:t>) att två av kommitténs budgetposter, nämligen 1200 (Löner och ersättningar) och 1004 (Resekostnader, traktamente för resdagar och dagtraktamente för ledamöter), utgör den största delen av kommitténs budget, dvs. 65,80 % 2024, vilket är en ökning från 65,58 % 2023.</w:t>
      </w:r>
    </w:p>
    <w:p w14:paraId="3D84AC0B" w14:textId="77777777" w:rsidR="006C3330" w:rsidRPr="00432AB5" w:rsidRDefault="006C3330" w:rsidP="006C3330">
      <w:pPr>
        <w:pStyle w:val="NormalHanging12a"/>
        <w:widowControl/>
        <w:rPr>
          <w:bCs/>
          <w:iCs/>
        </w:rPr>
      </w:pPr>
      <w:r w:rsidRPr="00432AB5">
        <w:t>5.</w:t>
      </w:r>
      <w:r w:rsidRPr="00432AB5">
        <w:tab/>
        <w:t>Europaparlamentet noterar kommitténs växling från en utgiftsorienterad strategi i riktning mot förvaltning och prioritering av resurser, vilket återspeglas genom det strategiska finansieringspaket som godkänts av kommitténs presidium och genom införandet av prioriteringsförfaranden. Parlamentet konstaterar att dessa åtgärder syftar till att förbättra den finansiella styrningen och anpassa budgetbesluten till strategiska mål. Parlamentet noterar insatserna för att minska den administrativa bördan och effektivisera processerna i strävan efter kostnadseffektivitet. Parlamentet uppmanar kommittén att ytterligare befästa denna strategi genom att integrera prestationsindikatorer och framsynsplanering i sin årliga budgetcykel.</w:t>
      </w:r>
    </w:p>
    <w:p w14:paraId="25C8F47E" w14:textId="77777777" w:rsidR="006C3330" w:rsidRPr="00432AB5" w:rsidRDefault="006C3330" w:rsidP="006C3330">
      <w:pPr>
        <w:pStyle w:val="NormalHanging12a"/>
      </w:pPr>
      <w:r w:rsidRPr="00432AB5">
        <w:t>6.</w:t>
      </w:r>
      <w:r w:rsidRPr="00432AB5">
        <w:tab/>
        <w:t xml:space="preserve">Europaparlamentet lovordar kommittén för att den höga nivån på dess budgetgenomförande av åtagandebemyndigandena för det innevarande året ökade ytterligare från 98,70 % 2023 till 99,21 % 2024, tack vare den framgångsrika övervakningen av dess budgetgenomförande, men också på grund av en hög inflationstakt som påverkar personalens löner och byggnadskostnaderna. Parlamentet noterar i detta sammanhang kommitténs omfördelningar genom budgetöverföringar på totalt 2 487 139 EUR (vilket motsvarar 1,51 % av dess budget för 2024) mellan olika budgetposter, med de största ökningarna avseende drift och underhåll av </w:t>
      </w:r>
      <w:r w:rsidRPr="00432AB5">
        <w:lastRenderedPageBreak/>
        <w:t>programvarusystem (+519 682 EUR) och byggnader (+421 880 EUR). Parlamentet noterar vidare med tillfredsställelse att genomförandegraden för betalningsbemyndigandena för det innevarande året ökade från 88,12 % 2022 och 90,67 % 2023 till 92,85 % 2024 och att den genomsnittliga betalningstiden minskade från 20,14 dagar 2023 till 16,06 dagar 2024, vilket är kommitténs bästa prestation sedan 2021. Parlamentet uppmuntrar till fortsatt effektiv övervakning, kostnadsbegränsning och strategisk omfördelning för att säkerställa valuta för pengarna och transparens.</w:t>
      </w:r>
    </w:p>
    <w:p w14:paraId="29585F17" w14:textId="77777777" w:rsidR="006C3330" w:rsidRPr="00432AB5" w:rsidRDefault="006C3330" w:rsidP="006C3330">
      <w:pPr>
        <w:pStyle w:val="NormalHanging12a"/>
      </w:pPr>
      <w:r w:rsidRPr="00432AB5">
        <w:t>7.</w:t>
      </w:r>
      <w:r w:rsidRPr="00432AB5">
        <w:tab/>
        <w:t>Europaparlamentet noterar att överföringen av anslag från 2023 till 2024 uppgick till 13 827 713 EUR (dvs. omkring 8,38 % av kommitténs budget för 2024), vilket är en minskning jämfört med föregående års nivå på 15 466 316 EUR (dvs. omkring 9,74 % av kommitténs budget för 2023). Parlamentet noterar vidare att genomförandegraden för de anslag som fördes över från 2023 till 2024 var 84,74 % 2024, vilket är lägre än 2023 (dvs. 86,76 %).</w:t>
      </w:r>
    </w:p>
    <w:p w14:paraId="3E44BC9D" w14:textId="53CF9032" w:rsidR="006C3330" w:rsidRPr="00432AB5" w:rsidRDefault="006C3330" w:rsidP="006C3330">
      <w:pPr>
        <w:pStyle w:val="NormalHanging12a"/>
      </w:pPr>
      <w:r w:rsidRPr="00432AB5">
        <w:t>8.</w:t>
      </w:r>
      <w:r w:rsidRPr="00432AB5">
        <w:tab/>
        <w:t xml:space="preserve">Europaparlamentet noterar att rådet den 21 </w:t>
      </w:r>
      <w:r w:rsidR="00917CAC">
        <w:t>juni</w:t>
      </w:r>
      <w:r w:rsidR="00917CAC" w:rsidRPr="00432AB5">
        <w:t xml:space="preserve"> </w:t>
      </w:r>
      <w:r w:rsidRPr="00432AB5">
        <w:t>2024 antog ett nytt beslut om beviljande av dagtraktamente och ersättning för resekostnader till kommitténs ledamöter och deras suppleanter, varigenom dagtraktamentet för ersättningsberättigade personer som närvarar vid möten med fysisk närvaro fastställts till 367 EUR (en ökning från 290 EUR) och dagtraktamentet för ersättningsberättigade personer som närvarar vid möten på distans med elektroniska medel fastställts till 149 EUR (en ökning från 145 EUR). Parlamentet noterar utifrån frågeformuläret att kommittén under 2024 ersatte 259 669 EUR (294 930 EUR 2023) för deltagande på distans, vilket motsvarar 1 744 sammanträdesdagar (2 006 sammanträdesdagar 2023), medan det totala beloppet för schablonersättningar för deltagande i sammanträden på plats uppgick till 6 579 196 EUR 2024 (en ökning från 5 902 963 EUR 2023). Parlamentet uppmanar kommittén att stärka transparensen och proportionaliteten i systemet för traktamente för distansdeltagande för att öka allmänhetens förtroende, och betonar att ekonomisk ersättning för distansnärvaro måste vara strikt motiverad. Parlamentet noterar vidare att kommittén har ett system för att på elektronisk väg bekräfta den faktiska närvaron vid distansdeltagande i sammanträden. Parlamentet anser att distansnärvaro är ett viktigt instrument och ett värdefullt verktyg för moderna institutioner – att minska sammanträdeskostnaderna och möjliggöra ett bredare deltagande – såsom traktamentet för distansdeltagande i sammanträden. Parlamentet välkomnar kommitténs metod att tilldela traktamenten för distansdeltagande på ett rättvist och proportionerligt sätt, som återspeglar ledamöternas ansvar och krav på förberedelser. Parlamentet påminner om att kommitténs ledamöter inte får någon lön för sitt mandat.</w:t>
      </w:r>
    </w:p>
    <w:p w14:paraId="6E04A2E8" w14:textId="77777777" w:rsidR="006C3330" w:rsidRPr="00432AB5" w:rsidRDefault="006C3330" w:rsidP="006C3330">
      <w:pPr>
        <w:pStyle w:val="NormalHanging12a"/>
      </w:pPr>
      <w:r w:rsidRPr="00432AB5">
        <w:t>9.</w:t>
      </w:r>
      <w:r w:rsidRPr="00432AB5">
        <w:tab/>
        <w:t>Europaparlamentet noterar att kommitténs egna avdelningar genomförde 10 förhandlade förfaranden till ett värde av mellan 15 000 EUR och 60 000 EUR och ett förfarande med ett enda anbud till ett värde inom samma intervall, främst för studier. Parlamentet noterar att kommittén också inledde sex upphandlingsförfaranden (för ramavtal) med de samfunktioner som delas med Europeiska regionkommittén (</w:t>
      </w:r>
      <w:proofErr w:type="spellStart"/>
      <w:r w:rsidRPr="00432AB5">
        <w:rPr>
          <w:i/>
          <w:iCs/>
        </w:rPr>
        <w:t>ReK</w:t>
      </w:r>
      <w:proofErr w:type="spellEnd"/>
      <w:r w:rsidRPr="00432AB5">
        <w:t>) och som bland annat omfattar catering, logistik och underhåll.</w:t>
      </w:r>
    </w:p>
    <w:p w14:paraId="42EA903F" w14:textId="77777777" w:rsidR="006C3330" w:rsidRPr="00432AB5" w:rsidRDefault="006C3330" w:rsidP="006C3330">
      <w:pPr>
        <w:pStyle w:val="NormalHanging12a"/>
      </w:pPr>
      <w:r w:rsidRPr="00432AB5">
        <w:t>10.</w:t>
      </w:r>
      <w:r w:rsidRPr="00432AB5">
        <w:tab/>
        <w:t xml:space="preserve">Europaparlamentet noterar utifrån frågeformuläret att effekterna av Rysslands anfallskrig fortsatte att sätta press på kommitténs budget under 2024 på grund av inflation och volatilitet på energimarknaden som skapade högre driftskostnader. Parlamentet noterar en beräknad kostnadsökning på +16,53 % för kommitténs hyror och +15 % för kontrakt för underhålls- och säkerhetstjänster under perioden 2021–2024. Parlamentet noterar dessutom utifrån frågeformuläret att kommitténs leasingavgift har </w:t>
      </w:r>
      <w:r w:rsidRPr="00432AB5">
        <w:lastRenderedPageBreak/>
        <w:t>ökat med 4,7 % under 2024, vilket ligger över kommissionens tak på 2 % för icke lönerelaterade utgifter. Parlamentet noterar vidare att kommitténs energikostnader minskade från 1 923 391 EUR 2023 till 711 608 EUR 2024. Parlamentet lovordar i detta sammanhang kommittén för dess insatser för att göra sin verksamhet mer kostnadseffektiv, bland annat genom intensifierade energibesparingsinsatser. Parlamentet erkänner behovet av att alla unionens institutioner, organ och byråer förbättrar sin budgetförvaltning genom att även ta hänsyn till prisvolatilitet, särskilt inom energisektorn, när de ingår avtal med tjänsteleverantörer.</w:t>
      </w:r>
    </w:p>
    <w:p w14:paraId="3BACA55E" w14:textId="77777777" w:rsidR="006C3330" w:rsidRPr="00432AB5" w:rsidRDefault="006C3330" w:rsidP="006C3330">
      <w:pPr>
        <w:pStyle w:val="NormalHanging12a"/>
        <w:rPr>
          <w:bCs/>
          <w:iCs/>
        </w:rPr>
      </w:pPr>
      <w:r w:rsidRPr="00432AB5">
        <w:t>11.</w:t>
      </w:r>
      <w:r w:rsidRPr="00432AB5">
        <w:tab/>
        <w:t>Europaparlamentet uppmanar kommitténs administration att aktivt identifiera och genomföra kostnadsbesparande åtgärder, bland annat genom ökad användning av hybridsammanträdesteknik, optimering av användningen av byggnader, konsolidering av den parlamentariska verksamheten och minskning av onödiga logistikutgifter. Parlamentet begär regelbundna lägesrapporter om de åtgärder som genomförts och de besparingar som gjorts.</w:t>
      </w:r>
    </w:p>
    <w:p w14:paraId="6950D0E0" w14:textId="77777777" w:rsidR="006C3330" w:rsidRPr="00432AB5" w:rsidRDefault="006C3330" w:rsidP="006C3330">
      <w:pPr>
        <w:pStyle w:val="NormalHanging12a"/>
      </w:pPr>
      <w:r w:rsidRPr="00432AB5">
        <w:t>12.</w:t>
      </w:r>
      <w:r w:rsidRPr="00432AB5">
        <w:tab/>
        <w:t>Europaparlamentet noterar utifrån frågeformuläret att kommitténs personal genomförde 415 tjänsteresor (300 under 2023) till ett totalt belopp på 448 655 EUR under 2024, vilket är en ökning med 25 % jämfört med 2023, på grund av en ökning av antalet tjänsteresor och de faktiska kostnaderna för flygningar och hotellinkvartering. Parlamentet noterar kommitténs uppskattning att man har sparat cirka 40 000 EUR i kostnader för tjänsteresor under 2024, om man räknar på en nominell inflationstakt på 21 % under perioden 2020–2023 från det belopp som kommittén betalade för tjänsteresor 2019 (dvs. 402 097 EUR), alltså före covid-19. Parlamentet uppskattar kommitténs policy att begränsa de årliga utgifterna för tjänsteresor till ett strikt minimum. Parlamentet noterar att kommitténs ordförande genomförde tjänsteresor på totalt 88 dagar under 2024 (en ökning från 69 dagar 2023) till en total kostnad av cirka 113 000 EUR (en ökning från cirka 72 000 EUR 2023), då sådana tjänsteresor var nödvändiga för kommittéordförandens deltagande i internationella forum, initiativ på unionsnivå och andra evenemang som krävde kommitténs aktiva deltagande.</w:t>
      </w:r>
    </w:p>
    <w:p w14:paraId="5C6A1763" w14:textId="77777777" w:rsidR="006C3330" w:rsidRPr="00432AB5" w:rsidRDefault="006C3330" w:rsidP="006C3330">
      <w:pPr>
        <w:pStyle w:val="NormalHanging12a"/>
      </w:pPr>
      <w:r w:rsidRPr="00432AB5">
        <w:t>13.</w:t>
      </w:r>
      <w:r w:rsidRPr="00432AB5">
        <w:tab/>
        <w:t xml:space="preserve">Europaparlamentet noterar utifrån frågeformuläret att kommitténs och </w:t>
      </w:r>
      <w:proofErr w:type="spellStart"/>
      <w:r w:rsidRPr="00432AB5">
        <w:t>ReK:s</w:t>
      </w:r>
      <w:proofErr w:type="spellEnd"/>
      <w:r w:rsidRPr="00432AB5">
        <w:t xml:space="preserve"> gemensamma direktorat för innovation och informationsteknik anslår omkring 4 % av sin </w:t>
      </w:r>
      <w:proofErr w:type="spellStart"/>
      <w:r w:rsidRPr="00432AB5">
        <w:t>it-budget</w:t>
      </w:r>
      <w:proofErr w:type="spellEnd"/>
      <w:r w:rsidRPr="00432AB5">
        <w:t xml:space="preserve"> till cybersäkerhet (en ökning från 3 % 2023) vilket är långt från det mål på 10 % som anges i relevant lagstiftning. Parlamentet upprepar sin begäran till medlagstiftarna och kommissionen att ta hänsyn till detta i samband med det årliga budgetförfarandet. Parlamentet erkänner kommitténs behov av att genomföra en uppgradering av cybersäkerheten för båda kommittéerna till ett totalt belopp på cirka 1,2 miljoner EUR, vilket skulle innebära att cybersäkerhetsutgifterna uppgår till 10 % av kommitténs totala </w:t>
      </w:r>
      <w:proofErr w:type="spellStart"/>
      <w:r w:rsidRPr="00432AB5">
        <w:t>it-budget</w:t>
      </w:r>
      <w:proofErr w:type="spellEnd"/>
      <w:r w:rsidRPr="00432AB5">
        <w:t>.</w:t>
      </w:r>
    </w:p>
    <w:p w14:paraId="6D100E06" w14:textId="77777777" w:rsidR="006C3330" w:rsidRPr="00432AB5" w:rsidRDefault="006C3330" w:rsidP="006C3330">
      <w:pPr>
        <w:pStyle w:val="NormalHanging12a"/>
      </w:pPr>
      <w:r w:rsidRPr="00432AB5">
        <w:rPr>
          <w:b/>
          <w:i/>
        </w:rPr>
        <w:t>Intern förvaltning, verksamhetsresultat och intern kontroll</w:t>
      </w:r>
    </w:p>
    <w:p w14:paraId="1BF6ECF3" w14:textId="717883A7" w:rsidR="006C3330" w:rsidRPr="00432AB5" w:rsidRDefault="006C3330" w:rsidP="006C3330">
      <w:pPr>
        <w:pStyle w:val="NormalHanging12a"/>
      </w:pPr>
      <w:r w:rsidRPr="00432AB5">
        <w:t>14.</w:t>
      </w:r>
      <w:r w:rsidRPr="00432AB5">
        <w:tab/>
        <w:t xml:space="preserve">Europaparlamentet erkänner att kommittén spelar en fundamental roll när det gäller att bidra till unionens politiska utveckling och beslutsprocesser genom att företräda röster från alla delar av det organiserade civila samhället i unionen, och på så sätt föra unionen närmare medborgarna och öka unionslagstiftningens demokratiska legitimitet. Parlamentet påminner om att kommittén, som en del av sitt årliga arbetsprogram, har ett prestationsövervakningssystem med indikatorer på olika områden, såsom it, personal, översättning och kommunikation, som är strukturerat kring fem grundläggande värden och fem centrala strategiska mål, inom ramen för generalsekretariatets strategi för </w:t>
      </w:r>
      <w:r w:rsidRPr="00432AB5">
        <w:lastRenderedPageBreak/>
        <w:t>2021–2025. Parlamentet anser dock att mervärdet av dess verksamhet för EU</w:t>
      </w:r>
      <w:r w:rsidRPr="00432AB5">
        <w:noBreakHyphen/>
        <w:t>medborgarna fortfarande till stor del är underrapporterat. Parlamentet noterar med tillfredsställelse, utifrån kommitténs uppföljning av iakttagelserna i parlamentets resolution om ansvarsfrihet för 2023 (</w:t>
      </w:r>
      <w:r w:rsidRPr="00432AB5">
        <w:rPr>
          <w:i/>
          <w:iCs/>
        </w:rPr>
        <w:t>uppföljningsrapporten</w:t>
      </w:r>
      <w:r w:rsidRPr="00432AB5">
        <w:t>) och frågeformuläret, att kommittén, efter en revision, inledde en strukturerad process för att förbättra sin prestationsövervakning genom att anpassa sin prestationsram till strategiska mål genom centrala prestationsindikatorer och effektindikatorer som ska linjeras med kommitténs framtida strategiska mål. Parlamentet välkomnar kommitténs insatser för att integrera mätning av effekter i sitt beslutsfattande och efterlyser tydliga kvantifierbara nyckelprestationsindikatorer och regelbunden rapportering för att säkerställa mätbara resultat och ansvarsskyldighet. Parlamentet uppmanar kommittén att ytterligare stärka sin ram för konsekvensbedömningar genom att bättre visa hur dess yttranden och initiativ omsätts i konkreta politiska resultat och påtagliga fördelar för medborgarna, där kommitténs högsta ledning kommer att spela en nyckelroll i användningen av dessa indikatorer. Parlamentet förväntar sig att bli informerat om utfallet av genomförandet av denna nya ram genom kommitténs framtida rapportering till den ansvarsfrihetsbeviljande myndigheten.</w:t>
      </w:r>
    </w:p>
    <w:p w14:paraId="6AECE7FD" w14:textId="77777777" w:rsidR="006C3330" w:rsidRPr="00432AB5" w:rsidRDefault="006C3330" w:rsidP="006C3330">
      <w:pPr>
        <w:pStyle w:val="NormalHanging12a"/>
      </w:pPr>
      <w:r w:rsidRPr="00432AB5">
        <w:t>15.</w:t>
      </w:r>
      <w:r w:rsidRPr="00432AB5">
        <w:tab/>
        <w:t>Europaparlamentet noterar att kommittén fullgör sitt uppdrag genom yttranden, som hänför sig till lagstiftningsförslag från kommissionen (remisser), yttranden på eget initiativ, där unionens institutioner uppmanas att vidta åtgärder, och förberedande yttranden, avsedda att bidra till kommissionens arbete med dess planerade initiativ, och att kommitténs ståndpunkter kan lyftas fram i resolutioner eller ingå i utvärderings- och informationsrapporter. Parlamentet lovordar kommittén för dess prestationer vad gällde att bistå parlamentet, rådet och kommissionen i lagstiftningscykeln under 2024. Parlamentet noterar i detta sammanhang att kommittén under 2024 antog 142 yttranden och rapporter, vilket är en minskning från 213 under 2023, och att kommittén anordnade 148 hearingar och 26 konferenser, jämfört med 146 respektive 24 under 2023. Parlamentet konstaterar att den nya mandatperioden 2024 ledde till ett minskat antal remisser och följaktligen till ett minskat antal yttranden som kommittén antog det året. Parlamentet noterar att kommitténs ledamöter deltog i 518 högnivåmöten, toppmöten och konferenser under 2024, jämfört med 429 under 2023. Parlamentet uppmuntrar till prioritering av initiativ som stöder ekonomisk tillväxt, konkurrenskraft och EU:s strategiska oberoende.</w:t>
      </w:r>
    </w:p>
    <w:p w14:paraId="1D8CBA37" w14:textId="77777777" w:rsidR="006C3330" w:rsidRPr="00432AB5" w:rsidRDefault="006C3330" w:rsidP="006C3330">
      <w:pPr>
        <w:pStyle w:val="NormalHanging12a"/>
        <w:rPr>
          <w:bCs/>
          <w:iCs/>
        </w:rPr>
      </w:pPr>
      <w:r w:rsidRPr="00432AB5">
        <w:t>16.</w:t>
      </w:r>
      <w:r w:rsidRPr="00432AB5">
        <w:tab/>
        <w:t>Europaparlamentet uppmuntrar kommittén att fortsätta sina ansträngningar för att fokusera sitt arbete på områden där den kan tillhandahålla tydliga, mätbara och politiskt relevanta bidrag, och att vidareutveckla prestations- och effektbaserade indikatorer som går utöver verksamhetsbaserade resultat och bättre återspeglar resultat och relevans för medborgarna.</w:t>
      </w:r>
    </w:p>
    <w:p w14:paraId="3AD099A3" w14:textId="77777777" w:rsidR="006C3330" w:rsidRPr="00432AB5" w:rsidRDefault="006C3330" w:rsidP="006C3330">
      <w:pPr>
        <w:pStyle w:val="NormalHanging12a"/>
      </w:pPr>
      <w:r w:rsidRPr="00432AB5">
        <w:t>17.</w:t>
      </w:r>
      <w:r w:rsidRPr="00432AB5">
        <w:tab/>
        <w:t>Europaparlamentet välkomnar på grundval av uppföljningsrapporten kommitténs åtagande att utarbeta yttranden om arbetstagares rättigheter, social inkludering och kränkningar av de mänskliga rättigheterna, och att utvidga omfattningen av sina utvärderingar med avseende på unionens lagstiftning och program, förutsatt att tillräckliga resurser finns tillgängliga.</w:t>
      </w:r>
    </w:p>
    <w:p w14:paraId="6FA2CAE5" w14:textId="77777777" w:rsidR="006C3330" w:rsidRPr="00432AB5" w:rsidRDefault="006C3330" w:rsidP="006C3330">
      <w:pPr>
        <w:pStyle w:val="NormalHanging12a"/>
      </w:pPr>
      <w:r w:rsidRPr="00432AB5">
        <w:t>18.</w:t>
      </w:r>
      <w:r w:rsidRPr="00432AB5">
        <w:tab/>
        <w:t xml:space="preserve">Europaparlamentet uppskattar de åtgärder som kommittén vidtog 2024 för att förbättra synligheten och genomslagskraften för sitt arbete i den politiska cykeln och lagstiftningscykeln. Parlamentet välkomnar den officiella lanseringen, efter ett pilotprojekt, av ett nytt format för yttranden som utarbetas som svar på obligatoriska </w:t>
      </w:r>
      <w:r w:rsidRPr="00432AB5">
        <w:lastRenderedPageBreak/>
        <w:t xml:space="preserve">remisser från parlamentet, rådet eller kommissionen. Parlamentet noterar att det nya formatet ökar lagstiftarens användarvänlighet och användbarhet, samtidigt som kommitténs arbete prioriteras bättre. Parlamentet noterar vidare att kommittén, tack vare en förstärkt uppföljning av utvalda yttranden med hjälp av en checklista och vägledning, förväntar sig att de kommer att förbli relevanta även efter antagandet och bidra till lagstiftningsprocesser på flera nivåer. Parlamentet välkomnar vidare integreringen av kommitténs yttranden i EU </w:t>
      </w:r>
      <w:proofErr w:type="spellStart"/>
      <w:r w:rsidRPr="00432AB5">
        <w:t>Law</w:t>
      </w:r>
      <w:proofErr w:type="spellEnd"/>
      <w:r w:rsidRPr="00432AB5">
        <w:t xml:space="preserve"> </w:t>
      </w:r>
      <w:proofErr w:type="spellStart"/>
      <w:r w:rsidRPr="00432AB5">
        <w:t>Tracker</w:t>
      </w:r>
      <w:proofErr w:type="spellEnd"/>
      <w:r w:rsidRPr="00432AB5">
        <w:t xml:space="preserve"> (EULT) från och med april 2024, varigenom de nu förekommer som hänvisningar i lagstiftningsärenden. Parlamentet noterar med tillfredsställelse att kommittén också antog en intern plan för att bättre förutse unionens prioriteringar, förbättra den interinstitutionella samordningen, stärka spridningen och uppföljningen och mäta effekterna mer systematiskt.</w:t>
      </w:r>
    </w:p>
    <w:p w14:paraId="534E945F" w14:textId="77777777" w:rsidR="006C3330" w:rsidRPr="00432AB5" w:rsidRDefault="006C3330" w:rsidP="006C3330">
      <w:pPr>
        <w:pStyle w:val="NormalHanging12a"/>
        <w:rPr>
          <w:bCs/>
          <w:iCs/>
        </w:rPr>
      </w:pPr>
      <w:r w:rsidRPr="00432AB5">
        <w:t>19.</w:t>
      </w:r>
      <w:r w:rsidRPr="00432AB5">
        <w:tab/>
        <w:t>Europaparlamentet uppskattar de åtgärder som kommittén vidtog 2024 för att göra sina yttranden mer tillgängliga, tydliga och användbara för unionens institutioner. Parlamentet understryker att sådana åtgärder är avsedda att öka lagstiftarnas förmåga att fatta välgrundade beslut.</w:t>
      </w:r>
    </w:p>
    <w:p w14:paraId="089EF0FC" w14:textId="77777777" w:rsidR="006C3330" w:rsidRPr="00432AB5" w:rsidRDefault="006C3330" w:rsidP="006C3330">
      <w:pPr>
        <w:pStyle w:val="NormalHanging12a"/>
      </w:pPr>
      <w:r w:rsidRPr="00432AB5">
        <w:t>20.</w:t>
      </w:r>
      <w:r w:rsidRPr="00432AB5">
        <w:tab/>
        <w:t xml:space="preserve">Europaparlamentet noterar med tillfredsställelse att kommittén förde fram flera flaggskeppsinitiativ som stärkte deltagandet, inkluderingen och den politiska genomslagskraften i hela unionen. Parlamentet noterar att kommittén i september 2024 tog ledningen när det gäller att tillämpa EU:s </w:t>
      </w:r>
      <w:proofErr w:type="spellStart"/>
      <w:r w:rsidRPr="00432AB5">
        <w:t>ungdomstest</w:t>
      </w:r>
      <w:proofErr w:type="spellEnd"/>
      <w:r w:rsidRPr="00432AB5">
        <w:t xml:space="preserve"> i sin opinionsbildningsprocess, med ett nätverk av 73 ungdomsorganisationer och </w:t>
      </w:r>
      <w:proofErr w:type="spellStart"/>
      <w:r w:rsidRPr="00432AB5">
        <w:t>ungdomstester</w:t>
      </w:r>
      <w:proofErr w:type="spellEnd"/>
      <w:r w:rsidRPr="00432AB5">
        <w:t xml:space="preserve"> av omkring 40 yttranden. Parlamentet välkomnar och stöder kommitténs initiativ som syftar till att stärka ungdomars deltagande i den politiska beslutsprocessen. Parlamentet noterar vidare att kommittén utökade sitt samarbete i form av ett initiativ för en inkluderande dialog med kandidatländerna genom initiativet med kandidatlandsledamöter, vilket gjorde det möjligt för 146 företrädare för det civila samhället att bidra direkt till kommitténs yttranden, genom deltagande i studiegrupper, sektionssammanträden och plenarsessioner (som hölls i oktober 2024). Parlamentet lovordar kommittén för att ha främjat EU:s blå giv och bidragit till att sätta </w:t>
      </w:r>
      <w:proofErr w:type="spellStart"/>
      <w:r w:rsidRPr="00432AB5">
        <w:t>vattenresiliens</w:t>
      </w:r>
      <w:proofErr w:type="spellEnd"/>
      <w:r w:rsidRPr="00432AB5">
        <w:t xml:space="preserve"> på unionens agenda. Parlamentet understryker att kommittén fortsatte att leda Europeiska plattformen för berörda aktörer inom den cirkulära ekonomin och samorganiserade EU:s </w:t>
      </w:r>
      <w:proofErr w:type="spellStart"/>
      <w:r w:rsidRPr="00432AB5">
        <w:t>ekopris</w:t>
      </w:r>
      <w:proofErr w:type="spellEnd"/>
      <w:r w:rsidRPr="00432AB5">
        <w:t xml:space="preserve"> 2024, vilket stärkte kopplingarna till det civila samhällets aktörer inom ekologiskt jordbruk. Parlamentet uppmuntrar kommittén att utvidga yttrandenas tillämpningsområde till att omfatta ytterligare unionslagstiftning som rör kollektiva nyttigheter och mätbara resultat.</w:t>
      </w:r>
    </w:p>
    <w:p w14:paraId="548F994F" w14:textId="77777777" w:rsidR="006C3330" w:rsidRPr="00432AB5" w:rsidRDefault="006C3330" w:rsidP="006C3330">
      <w:pPr>
        <w:pStyle w:val="NormalHanging12a"/>
      </w:pPr>
      <w:r w:rsidRPr="00432AB5">
        <w:t>21.</w:t>
      </w:r>
      <w:r w:rsidRPr="00432AB5">
        <w:tab/>
        <w:t xml:space="preserve">Europaparlamentet uppmanar kommittén att förbättra utvecklingen av en övergripande strategi för digital omvandling som omfattar artificiell intelligens (AI), med beaktande av behovet av att säkerställa mänsklig tillsyn över användningen av AI. Strategin bör också omfatta automatisering, </w:t>
      </w:r>
      <w:proofErr w:type="spellStart"/>
      <w:r w:rsidRPr="00432AB5">
        <w:t>interoperabilitet</w:t>
      </w:r>
      <w:proofErr w:type="spellEnd"/>
      <w:r w:rsidRPr="00432AB5">
        <w:t xml:space="preserve"> och dataförvaltning, samtidigt som den åtföljs av en robust ram som säkerställer en säker, etisk, ansvarsfull och transparent användning av ny teknik.</w:t>
      </w:r>
    </w:p>
    <w:p w14:paraId="23F95A85" w14:textId="77777777" w:rsidR="006C3330" w:rsidRPr="00432AB5" w:rsidRDefault="006C3330" w:rsidP="006C3330">
      <w:pPr>
        <w:pStyle w:val="NormalHanging12a"/>
      </w:pPr>
      <w:r w:rsidRPr="00432AB5">
        <w:t>22.</w:t>
      </w:r>
      <w:r w:rsidRPr="00432AB5">
        <w:tab/>
        <w:t xml:space="preserve">Europaparlamentet noterar med intresse, på grundval av frågeformuläret, kommitténs insatser för att anta ett mer strategiskt tillvägagångssätt för att prioritera sitt effektdrivna arbete och införa effekthantering i centrum för beslutsfattandet. Parlamentet noterar i detta sammanhang anordnandet av tre strategiska seminarier på hög nivå med politiskt ledarskap under 2024 och 2025, under vilka framsynsövningar var centrala för att bland annat utveckla kriterier för prioritering eller nedprioritering av initiativ och för att säkerställa tematisk anpassning till det civila samhällets långsiktiga behov. Parlamentet </w:t>
      </w:r>
      <w:r w:rsidRPr="00432AB5">
        <w:lastRenderedPageBreak/>
        <w:t>noterar att denna prioritering kommer att integreras i kommitténs kärnverksamhet, eftersom den kommer att genomföras årligen och vart två och ett halvt år kompletteras med en översyn av kommitténs alla organ, verksamheter och större evenemang.</w:t>
      </w:r>
    </w:p>
    <w:p w14:paraId="30126C98" w14:textId="77777777" w:rsidR="006C3330" w:rsidRPr="00432AB5" w:rsidRDefault="006C3330" w:rsidP="006C3330">
      <w:pPr>
        <w:pStyle w:val="NormalHanging12a"/>
      </w:pPr>
      <w:r w:rsidRPr="00432AB5">
        <w:t>23.</w:t>
      </w:r>
      <w:r w:rsidRPr="00432AB5">
        <w:tab/>
        <w:t>Europaparlamentet noterar när det gäller 2024 års efterlevnadsarbete en hög grad av efterlevnad med en genomsnittlig grad på 85 % (87 % 2023). Parlamentet beklagar att internkontrollsystemets effektivitet minskade från 78 % 2023 till 66 % 2024. Parlamentet noterar i detta sammanhang en klyfta mellan formell efterlevnad och praktisk effektivitet i den dagliga verksamheten. Parlamentet uppmanar kommittén att ta itu med de strukturella orsakerna till den minskade effektiviteten i den interna kontrollen, bland annat genom att stärka riskmedvetenhetskulturen, förbättra de interna kommunikationskanalerna och påskynda moderniseringen av dokument- och informationshanteringssystem. Parlamentet noterar vidare att kommittén 2024 antog ett reviderat beslut om förenkling av 23 typer av kontroller, som är tillämpligt från och med januari 2025. Parlamentet välkomnar att de efterhandskontroller som redan utförts med avseende på dessa kontroller bekräftade att förenklingen inte medförde några ytterligare risker.</w:t>
      </w:r>
    </w:p>
    <w:p w14:paraId="4DDCD99C" w14:textId="77777777" w:rsidR="006C3330" w:rsidRPr="00432AB5" w:rsidRDefault="006C3330" w:rsidP="006C3330">
      <w:pPr>
        <w:pStyle w:val="NormalHanging12a"/>
      </w:pPr>
      <w:r w:rsidRPr="00432AB5">
        <w:t>24.</w:t>
      </w:r>
      <w:r w:rsidRPr="00432AB5">
        <w:tab/>
        <w:t>Europaparlamentet noterar utifrån kommitténs årliga verksamhetsrapport för 2024 (</w:t>
      </w:r>
      <w:r w:rsidRPr="00432AB5">
        <w:rPr>
          <w:i/>
          <w:iCs/>
        </w:rPr>
        <w:t>kommitténs rapport</w:t>
      </w:r>
      <w:r w:rsidRPr="00432AB5">
        <w:t>) att fem nya revisioner genomfördes under 2024 om tids- och avståndsbaserad ersättning, riskhantering, remisser, centrala verksamhets- och prestationsindikatorer och resekostnader – vilket utmynnade i totalt 14 rekommendationer. Parlamentet noterar särskilt internrevisorns iakttagelser när det gäller tids- och avståndsbaserad ersättning, såsom avsaknaden av en tydlig definition av ”stadigvarande bosättning” och avsaknaden av krav på styrkande handlingar. Parlamentet noterar vidare att 13 av rekommendationerna fortfarande var oavslutade i slutet av januari 2025. Parlamentet noterar vidare att sju rekommendationer fortfarande är oavslutade från tidigare revisioner, särskilt när det gäller etik och integritet, betalningstider, sammanträdestillstånd, delegater i det rådgivande utskottet för industriell omvandling (CCMI) och den strategiska cykeln. Parlamentet välkomnar i detta sammanhang att kommittén har antagit nya bestämmelser om sammanträdestillstånd, traktamenten och ersättningar. Parlamentet uppmanar kommittén att säkerställa ett snabbt avslutande av alla kvarstående revisionsrekommendationer, särskilt de som rör ersättningar, etik och integritet, och att fortsätta att hålla den ansvarsfrihetsbeviljande myndigheten informerad om de framsteg som görs i genomförandet av alla pågående rekommendationer.</w:t>
      </w:r>
    </w:p>
    <w:p w14:paraId="2C952012" w14:textId="77777777" w:rsidR="006C3330" w:rsidRPr="00432AB5" w:rsidRDefault="006C3330" w:rsidP="006C3330">
      <w:pPr>
        <w:pStyle w:val="NormalHanging12a"/>
        <w:rPr>
          <w:b/>
          <w:i/>
        </w:rPr>
      </w:pPr>
      <w:r w:rsidRPr="00432AB5">
        <w:rPr>
          <w:b/>
          <w:i/>
        </w:rPr>
        <w:t>Personalresurser, jämställdhet och personalens välbefinnande</w:t>
      </w:r>
    </w:p>
    <w:p w14:paraId="6FFC29AE" w14:textId="77777777" w:rsidR="006C3330" w:rsidRPr="00432AB5" w:rsidRDefault="006C3330" w:rsidP="006C3330">
      <w:pPr>
        <w:pStyle w:val="NormalHanging12a"/>
      </w:pPr>
      <w:r w:rsidRPr="00432AB5">
        <w:t>25.</w:t>
      </w:r>
      <w:r w:rsidRPr="00432AB5">
        <w:tab/>
        <w:t>Europaparlamentet noterar att kommittén i slutet av 2024 hade 713 anställda, jämfört med 707 under 2023. Parlamentet noterar vidare att 48 kontraktsanställda och 144 tillfälligt anställda (varav 42 rekryterades 2024) var anställda 2024 (jämfört med 49 kontraktsanställda och 130 tillfälligt anställda 2023). Parlamentet betonar vikten av att erbjuda fast anställning för att behålla kompetens, upprätthålla kontinuitet och sörja för en produktiv och stabil arbetsmiljö, och varnar för ett alltför stort beroende av externa tjänsteleverantörer. Parlamentet noterar dessutom att kommittén sysselsatte 10 tjänsteleverantörer och 14 externa anställda som arbetade internt, exklusive personalen inom områdena catering, underhåll, säkerhet och skydd. Parlamentet noterar att tillsättningsgraden var 96 % (95,50 % 2023) och att personalomsättningen var 5,60 % 2024 (en minskning från 7 % 2023).</w:t>
      </w:r>
    </w:p>
    <w:p w14:paraId="37D7DB91" w14:textId="375F9DB9" w:rsidR="006C3330" w:rsidRPr="00432AB5" w:rsidRDefault="006C3330" w:rsidP="006C3330">
      <w:pPr>
        <w:pStyle w:val="NormalHanging12a"/>
      </w:pPr>
      <w:r w:rsidRPr="00432AB5">
        <w:lastRenderedPageBreak/>
        <w:t>26.</w:t>
      </w:r>
      <w:r w:rsidRPr="00432AB5">
        <w:tab/>
        <w:t xml:space="preserve">Europaparlamentet lovordar kommittén för att ha varit nettoimportör av talanger från andra institutioner 2024, för tredje året i rad, till följd av genomförandet av dess handlingsplan för att rekrytera och behålla personal, medan 42 % av rekryteringarna 2024 var kopplade till interinstitutionella överföringar. Parlamentet noterar vidare utifrån uppföljningsrapporten en ökning med 11,60 % av antalet ansökningar till kommittén om fasta tjänster och om tjänster för tillfälligt anställda och kontraktsanställda med 41 %. Parlamentet välkomnar att kommittén inledde ett internt uttagningsprov, som är öppet för tillfälligt anställda och kontraktsanställda, med en reservlista som förväntas vara klar i slutet av 2025. Parlamentet understryker att interna uttagningsprov är viktiga för att behålla talanger och expertis och för att stabilisera kommitténs personalresurser i allmänhet. Parlamentet noterar med tillfredsställelse kommitténs deltagande i karriärarrangemang och -mässor (inbegripet virtuella) och öppet </w:t>
      </w:r>
      <w:proofErr w:type="spellStart"/>
      <w:r w:rsidRPr="00432AB5">
        <w:t>hus-dagar</w:t>
      </w:r>
      <w:proofErr w:type="spellEnd"/>
      <w:r w:rsidRPr="00432AB5">
        <w:t>. Parlamentet noterar att kommittén under 2024 anordnade en virtuell karriärmässa för specifika yrkesprofiler och karriärmöjligheter, som lockade 270 deltagare, medan 19 av dem också sökte den första lediga tjänst som var utlyst vid tidpunkten för evenemanget.</w:t>
      </w:r>
    </w:p>
    <w:p w14:paraId="6F0F1E1E" w14:textId="77777777" w:rsidR="006C3330" w:rsidRPr="00432AB5" w:rsidRDefault="006C3330" w:rsidP="006C3330">
      <w:pPr>
        <w:pStyle w:val="NormalHanging12a"/>
      </w:pPr>
      <w:r w:rsidRPr="00432AB5">
        <w:t>27.</w:t>
      </w:r>
      <w:r w:rsidRPr="00432AB5">
        <w:tab/>
        <w:t>Europaparlamentet välkomnar kommitténs pågående insatser för att förbättra sin personalförvaltningsram i syfte att bli en attraktiv arbetsgivare och en helt inkluderande arbetsplats där varje individ kommer till sin rätt och fullt ut kan utveckla sin potential. Parlamentet noterar att kommittén analyserade resultaten av 2023 års undersökning om personalens engagemang, identifierade olika problem och i slutändan inledde riktade uppföljningsåtgärder som vidtogs under hela 2024. Parlamentet noterar bland annat genomförandet av det nya beslutet om arbetsvillkor (hybridarbete, övertid, särskild ledighet), översynen av reglerna för bedömning och befordran, antagandet av en ny policy för rörlighet och förvaltning av känsliga befattningar, genomförandet av den nya strategin och handlingsplanen för mångfald och inkludering som antogs i slutet av 2023, översynen av policyn för frånvarohantering som ska antas 2025 och (det pågående) arbetet med kommitténs nya kompetensstrategi. Parlamentet välkomnar den ytterligare förbättringen av personalengagemangspoängen, vilket framgår av kommitténs senaste undersökning, som ökade från 70,5 % 2023 till 75 % 2025.</w:t>
      </w:r>
    </w:p>
    <w:p w14:paraId="320359F0" w14:textId="77777777" w:rsidR="006C3330" w:rsidRPr="00432AB5" w:rsidRDefault="006C3330" w:rsidP="006C3330">
      <w:pPr>
        <w:pStyle w:val="NormalHanging12a"/>
      </w:pPr>
      <w:r w:rsidRPr="00432AB5">
        <w:t>28.</w:t>
      </w:r>
      <w:r w:rsidRPr="00432AB5">
        <w:tab/>
        <w:t xml:space="preserve">Europaparlamentet noterar att kommittén under 2024 anställde personal som representerade alla EU-nationaliteter, och att vissa av dem var överrepresenterade. Parlamentet noterar med tillfredsställelse att 62,70 % av personalen var kvinnor och 37,30 % män. Parlamentet noterar utifrån uppföljningsrapporten att kvinnor innehar 52 % av de ledande befattningarna, vilket gör kommittén till en föregångare i detta avseende. Parlamentet upprepar sitt välkomnande av utnämningen av en kvinnlig generalsekreterare i januari 2024 som ett positivt steg mot att uppnå en jämn könsfördelning. Parlamentet erkänner den senaste tidens framsteg med att integrera jämställdhet och mångfald som strategiska prioriteringar för att främja en inkluderande och respektfull arbetsplatskultur. Parlamentet välkomnar genomförandet av strategin och handlingsplanen för mångfald och inkludering, tillsammans med riktade program för mentorskap och ledarskapsutveckling för kvinnor och underrepresenterade grupper. Parlamentet beklagar dock att andelen kvinnor i den högsta ledningen förblev låg under 2024, och att endast två av sju högre chefsbefattningar för närvarande innehas av kvinnor, samma antal som 2023. Parlamentet konstaterar att den låga personalomsättningen till följd av kommitténs storlek är en av orsakerna till den låga andelen kvinnor i dessa befattningar. Parlamentet välkomnar kommitténs åtagande att öka medvetenheten om denna fråga bland tillsättningsmyndigheterna, främja könsbalanserade utnämningar och delta i riktade åtgärder genom kvinnoforumet och </w:t>
      </w:r>
      <w:r w:rsidRPr="00432AB5">
        <w:lastRenderedPageBreak/>
        <w:t>ledningsforumet som stöder ledarskapsutveckling och karriärutveckling för kvinnor på mellanchefsnivå.</w:t>
      </w:r>
    </w:p>
    <w:p w14:paraId="459E1B89" w14:textId="77777777" w:rsidR="006C3330" w:rsidRPr="00432AB5" w:rsidRDefault="006C3330" w:rsidP="006C3330">
      <w:pPr>
        <w:pStyle w:val="NormalHanging12a"/>
      </w:pPr>
      <w:r w:rsidRPr="00432AB5">
        <w:t>29.</w:t>
      </w:r>
      <w:r w:rsidRPr="00432AB5">
        <w:tab/>
        <w:t>Europaparlamentet påminner om kommitténs initiativ att införa en ny strategi för strategisk personalplanering och personalfördelning, dra nytta av datainsamling om personalens kompetensområden, aktivt lyssna i hela organisationen och reflektera över strategiska prioriteringar i kommitténs politiska organ. Parlamentet noterar utifrån uppföljningsrapporten att denna nya typ av planering kommer att inledas genom ett pilotprojekt inom ett begränsat antal tjänster som väljs ut på grundval av strategiska prioriteringar. Parlamentet uppmanar kommittén att hålla den ansvarsfrihetsbeviljande myndigheten informerad om framstegen och den efterföljande utvecklingen. Parlamentet betonar vikten av strategisk personalplanering för att optimera resursfördelningen och säkerställa linjering med högnivåprioriteringar.</w:t>
      </w:r>
    </w:p>
    <w:p w14:paraId="5D933E52" w14:textId="77777777" w:rsidR="006C3330" w:rsidRPr="00432AB5" w:rsidRDefault="006C3330" w:rsidP="006C3330">
      <w:pPr>
        <w:pStyle w:val="NormalHanging12a"/>
      </w:pPr>
      <w:r w:rsidRPr="00432AB5">
        <w:t>30.</w:t>
      </w:r>
      <w:r w:rsidRPr="00432AB5">
        <w:tab/>
        <w:t>Europaparlamentet välkomnar kommitténs insatser för att skapa en sund arbetsmiljö för sin personal. Parlamentet lovordar särskilt den uppmärksamhet som kommittén ägnat åt personalens psykiska och fysiska hälsa och de insatser som gjorts för att öka medvetenheten om hälsorelaterade frågor. Parlamentet noterar kommitténs åtgärder för sjukskrivningshantering, såsom medicinskt deltidsarbete och utökat distansarbete, för att säkerställa att personal som är frånvarande på grund av långvarig sjukdom återvänder till arbetet i rätt tid. Parlamentet noterar en minskning med 7,50 % av det totala antalet registrerade sjukdagar från 10 552 dagar 2023 till 9 763 dagar 2024, samt en minskning av frånvarofrekvensen från 4,08 % 2023 till 3,75 % 2024 (den lägsta sedan 2021). Parlamentet beklagar att kommittén ännu en gång inte kan tillhandahålla uppgifter om fall av utbrändhet. Parlamentet noterar bland kommitténs argument att personalen inte är skyldig att självmant dela medicinska uppgifter, att utbrändhet inte är en erkänd medicinsk diagnos och att orsakerna till utbrändhet kanske inte är arbetsrelaterade samt medicinsk sekretess. Parlamentet noterar att kommittén samlar in anonymiserade statistiska uppgifter om fall av psykisk ohälsa, men att tillgängliga uppgifter inte gör det möjligt att skilja mellan arbetsrelaterad utbrändhet och andra problem som inte är arbetsrelaterade. Parlamentet understryker dock att utbrändhet också kan mätas utan medicinska uppgifter, att det finns arbetsrelaterade verktyg för bedömning av utbrändhet som kan användas och att Europeiska arbetsmiljöbyrån (EU</w:t>
      </w:r>
      <w:r w:rsidRPr="00432AB5">
        <w:noBreakHyphen/>
      </w:r>
      <w:proofErr w:type="spellStart"/>
      <w:r w:rsidRPr="00432AB5">
        <w:t>Osha</w:t>
      </w:r>
      <w:proofErr w:type="spellEnd"/>
      <w:r w:rsidRPr="00432AB5">
        <w:t>) stöder anonyma frågeformulär för att mäta arbetsrelaterad stress och utbrändhetsfaktorer separat från icke-arbetsrelaterade psykiska hälsoproblem. Parlamentet uppmanar med kraft kommittén att även samråda med Europeiska datatillsynsmannen (EDPS) om insamlingen av uppgifter om utbrändhet med hjälp av medicinska eller icke-medicinska verktyg, och att hålla den ansvarsfrihetsbeviljande myndigheten uppdaterad om uppföljningen.</w:t>
      </w:r>
    </w:p>
    <w:p w14:paraId="74CAAAAD" w14:textId="77777777" w:rsidR="006C3330" w:rsidRPr="00432AB5" w:rsidRDefault="006C3330" w:rsidP="006C3330">
      <w:pPr>
        <w:pStyle w:val="NormalHanging12a"/>
      </w:pPr>
      <w:r w:rsidRPr="00432AB5">
        <w:t>31.</w:t>
      </w:r>
      <w:r w:rsidRPr="00432AB5">
        <w:tab/>
        <w:t xml:space="preserve">Europaparlamentet noterar utifrån frågeformuläret att kommittén och </w:t>
      </w:r>
      <w:proofErr w:type="spellStart"/>
      <w:r w:rsidRPr="00432AB5">
        <w:t>ReK</w:t>
      </w:r>
      <w:proofErr w:type="spellEnd"/>
      <w:r w:rsidRPr="00432AB5">
        <w:t xml:space="preserve"> under 2024 lanserade </w:t>
      </w:r>
      <w:proofErr w:type="spellStart"/>
      <w:r w:rsidRPr="00432AB5">
        <w:t>SPaCES</w:t>
      </w:r>
      <w:proofErr w:type="spellEnd"/>
      <w:r w:rsidRPr="00432AB5">
        <w:t xml:space="preserve">-projektet för att modernisera och optimera sina arbetsutrymmen genom en process som bygger på fullt deltagande och transparens och involverar personalföreträdare och arbetsmarknadens parter. Parlamentet understryker att projektet utgör en långsiktig omvandling som syftar till att förbättra effektiviteten, samarbetet och flexibiliteten mellan de båda institutionerna, och i överensstämmelse med hybridarbete. Parlamentet noterar att </w:t>
      </w:r>
      <w:proofErr w:type="spellStart"/>
      <w:r w:rsidRPr="00432AB5">
        <w:t>SPaCES</w:t>
      </w:r>
      <w:proofErr w:type="spellEnd"/>
      <w:r w:rsidRPr="00432AB5">
        <w:t xml:space="preserve">-projektet genomförs genom en strategi som bygger på fullt deltagande och säkerställer personalens deltagande och representation i varje skede. Parlamentet konstaterar att den första fasen – som stöds av en extern uppdragstagare och som ska slutföras under sommaren 2025 – omfattar workshoppar med ledningen och alla tjänster från båda kommittéerna samt en detaljerad </w:t>
      </w:r>
      <w:r w:rsidRPr="00432AB5">
        <w:lastRenderedPageBreak/>
        <w:t>verksamhetsbaserad arbetsanalys för att identifiera framtida behov av arbetsytor. Parlamentet välkomnar att en särskild styrningsstruktur, en projektgrupp och ett kontaktpunktsnätverk har inrättats för att vägleda processen, säkerställa transparens och företräda alla relevanta intressen.</w:t>
      </w:r>
    </w:p>
    <w:p w14:paraId="1E02955A" w14:textId="189F997E" w:rsidR="006C3330" w:rsidRPr="00432AB5" w:rsidRDefault="006C3330" w:rsidP="006C3330">
      <w:pPr>
        <w:pStyle w:val="NormalHanging12a"/>
      </w:pPr>
      <w:r w:rsidRPr="00432AB5">
        <w:t>32.</w:t>
      </w:r>
      <w:r w:rsidRPr="00432AB5">
        <w:tab/>
        <w:t>Europaparlamentet noterar att kommittén anställde 52 praktikanter på längre kontrakt (5 månader) och två praktikanter på kortare, som alla fick en månatlig ersättning 2024, i enlighet med parlamentets resolution av den 14 juni 2023 om praktikplatser av hög kvalitet i unionen (2020/2005(INL)), där man förespråkar att alla praktikplatser i Europa bör vara avlönade.</w:t>
      </w:r>
    </w:p>
    <w:p w14:paraId="642863C0" w14:textId="77777777" w:rsidR="006C3330" w:rsidRPr="00432AB5" w:rsidRDefault="006C3330" w:rsidP="006C3330">
      <w:pPr>
        <w:pStyle w:val="NormalHanging12a"/>
        <w:rPr>
          <w:bCs/>
          <w:iCs/>
        </w:rPr>
      </w:pPr>
      <w:r w:rsidRPr="00432AB5">
        <w:t>33.</w:t>
      </w:r>
      <w:r w:rsidRPr="00432AB5">
        <w:tab/>
        <w:t>Europaparlamentet välkomnar den starka och strukturerade sociala dialogen i organisatoriska förändringsprocesser under hela 2024. Parlamentet uppmuntrar kommittén att upprätthålla och ytterligare stärka personalföreträdarnas systematiska deltagande i reformer som bland annat rör digitalisering, intern omorganisation och nya arbetsmetoder.</w:t>
      </w:r>
    </w:p>
    <w:p w14:paraId="7C87B694" w14:textId="77777777" w:rsidR="006C3330" w:rsidRPr="00432AB5" w:rsidRDefault="006C3330" w:rsidP="006C3330">
      <w:pPr>
        <w:pStyle w:val="NormalHanging12a"/>
        <w:rPr>
          <w:b/>
          <w:i/>
        </w:rPr>
      </w:pPr>
      <w:r w:rsidRPr="00432AB5">
        <w:rPr>
          <w:b/>
          <w:i/>
        </w:rPr>
        <w:t>Etisk ram och transparens</w:t>
      </w:r>
    </w:p>
    <w:p w14:paraId="7D74594D" w14:textId="77777777" w:rsidR="006C3330" w:rsidRPr="00432AB5" w:rsidRDefault="006C3330" w:rsidP="006C3330">
      <w:pPr>
        <w:pStyle w:val="NormalHanging12a"/>
      </w:pPr>
      <w:r w:rsidRPr="00432AB5">
        <w:t>34.</w:t>
      </w:r>
      <w:r w:rsidRPr="00432AB5">
        <w:tab/>
        <w:t>Europaparlamentet påminner om att kommittén och internrevisorn inom ramen för en förstärkt etisk ram har enats om en handlingsplan för revisionen av kommitténs etik och integritet, med tio rekommendationer, varav åtta avslutades i mars 2025. Parlamentet noterar utifrån uppföljningsrapporten att kommittén tog itu med de två återstående oavslutade rekommendationerna genom att se över och uppdatera vägledningen om kommittétjänstemännens skyldigheter, vars innehåll också kommer att återges på kommitténs intranät.</w:t>
      </w:r>
    </w:p>
    <w:p w14:paraId="7392E3D1" w14:textId="77777777" w:rsidR="006C3330" w:rsidRPr="00432AB5" w:rsidRDefault="006C3330" w:rsidP="006C3330">
      <w:pPr>
        <w:pStyle w:val="NormalHanging12a"/>
      </w:pPr>
      <w:r w:rsidRPr="00432AB5">
        <w:t>35.</w:t>
      </w:r>
      <w:r w:rsidRPr="00432AB5">
        <w:tab/>
        <w:t>Europaparlamentet noterar att kommittén fortsatte att utbilda personal och öka medvetenheten om etikrelaterade frågor under 2024. Parlamentet noterar med tillfredsställelse att kommittén erbjuder utbildning i etik och integritet som är obligatorisk för all personal, och att nio sådana utbildningar hade 54 deltagare under 2024. Parlamentet noterar vidare att 40 av 47 chefer under 2024 deltog i möten om respekt på arbetsplatsen och chefernas roll och att 25 anställda deltog i utbildningar som erbjöds av kommissionens utrednings- och disciplinbyrå om potentiella frestelser som får disciplinära konsekvenser. Parlamentet välkomnar att undersökningar visar på en hög grad av medvetenhet bland kommitténs personal om bland annat kommitténs starka värderingar och etiska normer, förfaranden för rapportering av missförhållanden och nätverk av konfidentiella rådgivare.</w:t>
      </w:r>
    </w:p>
    <w:p w14:paraId="653ACB13" w14:textId="77777777" w:rsidR="006C3330" w:rsidRPr="00432AB5" w:rsidRDefault="006C3330" w:rsidP="006C3330">
      <w:pPr>
        <w:pStyle w:val="NormalHanging12a"/>
      </w:pPr>
      <w:r w:rsidRPr="00432AB5">
        <w:t>36.</w:t>
      </w:r>
      <w:r w:rsidRPr="00432AB5">
        <w:tab/>
        <w:t>Europaparlamentet noterar utifrån frågeformuläret att två fall av påstådda trakasserier rapporterades 2024 och utreddes och avslutades 2025, medan det i det ena fallet inte kunde konstateras några trakasserier och i det andra godtogs en formell ursäkt för olämpligt beteende från den berörda personens sida. Parlamentet noterar vidare att ett beslut fattades om ett annat fall, som lämnades in före 2024, om trakasserier i samband med ett disciplinärt förfarande. Parlamentet noterar vidare att inga sexuella trakasserier rapporterades under 2024. Parlamentet upprepar behovet av nolltolerans mot trakasserier för att säkerställa skyddet av personalens välbefinnande och påminner om att detta är en skyldighet som åligger alla arbetsgivare.</w:t>
      </w:r>
    </w:p>
    <w:p w14:paraId="1B8D8560" w14:textId="77777777" w:rsidR="006C3330" w:rsidRPr="00432AB5" w:rsidRDefault="006C3330" w:rsidP="006C3330">
      <w:pPr>
        <w:pStyle w:val="NormalHanging12a"/>
      </w:pPr>
      <w:r w:rsidRPr="00432AB5">
        <w:t>37.</w:t>
      </w:r>
      <w:r w:rsidRPr="00432AB5">
        <w:tab/>
        <w:t xml:space="preserve">Europaparlamentet noterar utifrån uppföljningsrapporten utvecklingen i de rättsliga förfaranden som inletts av de belgiska myndigheterna mot en före detta </w:t>
      </w:r>
      <w:r w:rsidRPr="00432AB5">
        <w:lastRenderedPageBreak/>
        <w:t xml:space="preserve">kommittéledamot som anklagas för tjänstefel i samband med ett klagomål om trakasserier inom kommittén, som inleddes och avslutades av kommittén 2023. Parlamentet noterar att dessa förfaranden har vilandeförklarats eftersom den berörda belgiska domstolen har bett Europeiska unionens domstol om ett förtydligande av tolkningen av artikel 10 i protokoll nr 7 om Europeiska unionens immunitet och privilegier. Parlamentet uppmanar kommittén att hålla den ansvarsfrihetsbeviljande myndigheten uppdaterad om den fortsatta utvecklingen i denna fråga. </w:t>
      </w:r>
    </w:p>
    <w:p w14:paraId="1F4275D0" w14:textId="77777777" w:rsidR="006C3330" w:rsidRPr="00432AB5" w:rsidRDefault="006C3330" w:rsidP="006C3330">
      <w:pPr>
        <w:pStyle w:val="NormalHanging12a"/>
      </w:pPr>
      <w:r w:rsidRPr="00432AB5">
        <w:t>38.</w:t>
      </w:r>
      <w:r w:rsidRPr="00432AB5">
        <w:tab/>
        <w:t>Europaparlamentet noterar med tillfredsställelse att kommittén är en föregångare när det gäller transparens, eftersom det är det första organ, utöver de ursprungliga signatärerna, som har anslutit sig till unionens öppenhetsregister. Parlamentet välkomnar de transparensåtgärder som kommittén antagit, inbegripet rekommendationen att kommitténs ledamöter endast ska träffa registrerade intressenter, skyldigheten för dess ledamöter att offentliggöra sina sammanträden online och möjligheten för kommitténs föredragande, bland annat genom ett pilotprojekt som inleddes 2025, att bifoga ett ”lagstiftningsfotavtryck” till sina yttranden. Parlamentet noterar att kommitténs yttranden nu är synliga som milstolpar i lagstiftningsärenden i EULT. Parlamentet noterar vidare med tillfredsställelse utifrån frågeformuläret kommitténs transparensåtgärder när det gäller dess centrala administrativa verksamhet på områden som finansiering, upphandling, personal och tillgång till handlingar.</w:t>
      </w:r>
    </w:p>
    <w:p w14:paraId="53AE8068" w14:textId="77777777" w:rsidR="006C3330" w:rsidRPr="00432AB5" w:rsidRDefault="006C3330" w:rsidP="006C3330">
      <w:pPr>
        <w:pStyle w:val="NormalHanging12a"/>
      </w:pPr>
      <w:r w:rsidRPr="00432AB5">
        <w:t>39.</w:t>
      </w:r>
      <w:r w:rsidRPr="00432AB5">
        <w:tab/>
        <w:t xml:space="preserve">Europaparlamentet noterar att kommittén har en solid ram för att förebygga intressekonflikter och undvika fall av svängdörrsproblematik. Parlamentet noterar när det gäller dess personal att kommittén säkerställer att överväganden om intressekonflikter ingår i alla rekryterings- och urvalsförfaranden. Parlamentet noterar att personalen är skyldig att proaktivt deklarera alla situationer som skulle kunna ge upphov till en </w:t>
      </w:r>
      <w:bookmarkStart w:id="8" w:name="_Hlk216797257"/>
      <w:r w:rsidRPr="00432AB5">
        <w:t>intressekonflikt</w:t>
      </w:r>
      <w:bookmarkEnd w:id="8"/>
      <w:r w:rsidRPr="00432AB5">
        <w:t>. Parlamentet noterar när det gäller kommitténs ledamöter att de, om de uppgifter som de lämnat ändras, ska lämna in en ny förklaring senast två månader efter ändringen i fråga. Parlamentet noterar när det gäller kommitténs ledamöter att kommitténs etikkommitté behandlade en begäran om vägledning om en eventuell intressekonflikt. Parlamentet noterar när det gäller kommitténs personal att inga fall av intressekonflikter eller visselblåsning rapporterades under 2024.</w:t>
      </w:r>
    </w:p>
    <w:p w14:paraId="6880F96F" w14:textId="77777777" w:rsidR="006C3330" w:rsidRPr="00432AB5" w:rsidRDefault="006C3330" w:rsidP="006C3330">
      <w:pPr>
        <w:pStyle w:val="NormalHanging12a"/>
      </w:pPr>
      <w:r w:rsidRPr="00432AB5">
        <w:t>40.</w:t>
      </w:r>
      <w:r w:rsidRPr="00432AB5">
        <w:tab/>
      </w:r>
      <w:bookmarkStart w:id="9" w:name="_Hlk216869267"/>
      <w:r w:rsidRPr="00432AB5">
        <w:t>Europaparlamentet noterar med oro ett misstänkt fall av bedrägeri som involverar en extern tjänsteleverantör, som avvisades av Europeiska byrån för bedrägeribekämpning (Olaf) och därefter hänsköts till Europeiska åklagarmyndigheten (</w:t>
      </w:r>
      <w:proofErr w:type="spellStart"/>
      <w:r w:rsidRPr="00432AB5">
        <w:t>Eppo</w:t>
      </w:r>
      <w:proofErr w:type="spellEnd"/>
      <w:r w:rsidRPr="00432AB5">
        <w:t>) för potentiella brott 2024</w:t>
      </w:r>
      <w:bookmarkEnd w:id="9"/>
      <w:r w:rsidRPr="00432AB5">
        <w:t xml:space="preserve">. Parlamentet noterar med tillfredsställelse utifrån frågeformuläret att kommittén samarbetar fullt ut med </w:t>
      </w:r>
      <w:proofErr w:type="spellStart"/>
      <w:r w:rsidRPr="00432AB5">
        <w:t>Eppo</w:t>
      </w:r>
      <w:proofErr w:type="spellEnd"/>
      <w:r w:rsidRPr="00432AB5">
        <w:t xml:space="preserve"> i detta fall. Parlamentet noterar vidare att tjänsteleverantören har betalat det överenskomna avtalsvitet till kommittén. Parlamentet välkomnar i detta sammanhang de åtgärder som kommittén vidtagit för att bättre förebygga sådana fall i framtiden genom att göra striktare efterlevnadskontroller under upphandling och fullgörande av kontrakt och stärka vägledningen och utbildningen i denna fråga. Parlamentet noterar att ett Olaf-ärende från 2023 återförvisades till kommittén för en intern förenklad administrativ utredning som inleddes 2024 och ledde till en slutrapport till tillsättningsmyndigheten i juli 2025. Parlamentet uppmanar kommittén att informera den ansvarsfrihetsbeviljande myndigheten om huruvida ett slutligt beslut har fattats i detta fall. Parlamentet noterar vidare att en undersökning som inleddes av ombudsmannen 2023 avslutades 2024 med slutsatsen att det inte förelåg några administrativa missförhållanden från kommitténs sida.</w:t>
      </w:r>
    </w:p>
    <w:p w14:paraId="36EE077E" w14:textId="77777777" w:rsidR="006C3330" w:rsidRPr="00432AB5" w:rsidRDefault="006C3330" w:rsidP="006C3330">
      <w:pPr>
        <w:pStyle w:val="NormalHanging12a"/>
      </w:pPr>
      <w:r w:rsidRPr="00432AB5">
        <w:t>41.</w:t>
      </w:r>
      <w:r w:rsidRPr="00432AB5">
        <w:tab/>
        <w:t xml:space="preserve">Europaparlamentet noterar med tillfredsställelse utifrån frågeformuläret att kommittén, </w:t>
      </w:r>
      <w:r w:rsidRPr="00432AB5">
        <w:lastRenderedPageBreak/>
        <w:t xml:space="preserve">efter parlamentets tidigare uppmaningar, utarbetade en strategi för bedrägeribekämpning som omfattar en åtföljande handlingsplan med konkreta åtgärder som ska genomföras och som omfattar utbildningspolitik samt informationskampanjer och reviderade samarbetsavtal med Olaf och </w:t>
      </w:r>
      <w:proofErr w:type="spellStart"/>
      <w:r w:rsidRPr="00432AB5">
        <w:t>Eppo</w:t>
      </w:r>
      <w:proofErr w:type="spellEnd"/>
      <w:r w:rsidRPr="00432AB5">
        <w:t xml:space="preserve">, som har lämnats in till avdelningsövergripande samråds- och antagandeprocess. Parlamentet uppmanar kommittén att informera den ansvarsfrihetsbeviljande myndigheten om uppföljningen av detta. Parlamentet välkomnar att det vid kommittén anordnades två utbildningstillfällen av Olafs personal om medvetenhet om och förebyggande av bedrägerier vid offentlig upphandling, med 21 deltagare, och en informationssession, som anordnades tillsammans med </w:t>
      </w:r>
      <w:proofErr w:type="spellStart"/>
      <w:r w:rsidRPr="00432AB5">
        <w:t>Eppo</w:t>
      </w:r>
      <w:proofErr w:type="spellEnd"/>
      <w:r w:rsidRPr="00432AB5">
        <w:t xml:space="preserve">, för att göra kommitténs personal förtrogen med </w:t>
      </w:r>
      <w:proofErr w:type="spellStart"/>
      <w:r w:rsidRPr="00432AB5">
        <w:t>Eppos</w:t>
      </w:r>
      <w:proofErr w:type="spellEnd"/>
      <w:r w:rsidRPr="00432AB5">
        <w:t xml:space="preserve"> mandat och ge vägledning om hur potentiella fall ska rapporteras till </w:t>
      </w:r>
      <w:proofErr w:type="spellStart"/>
      <w:r w:rsidRPr="00432AB5">
        <w:t>Eppo</w:t>
      </w:r>
      <w:proofErr w:type="spellEnd"/>
      <w:r w:rsidRPr="00432AB5">
        <w:t>. Parlamentet uppmanar kommittén att stärka sina förfaranden för riskbedömning, förebyggande, upptäckt och uppföljning i genomförandet av strategin för bedrägeribekämpning.</w:t>
      </w:r>
    </w:p>
    <w:p w14:paraId="64A24363" w14:textId="77777777" w:rsidR="006C3330" w:rsidRPr="00432AB5" w:rsidRDefault="006C3330" w:rsidP="006C3330">
      <w:pPr>
        <w:pStyle w:val="NormalHanging12a"/>
        <w:rPr>
          <w:b/>
          <w:i/>
        </w:rPr>
      </w:pPr>
      <w:bookmarkStart w:id="10" w:name="_Hlk216263307"/>
      <w:r w:rsidRPr="00432AB5">
        <w:rPr>
          <w:b/>
          <w:i/>
        </w:rPr>
        <w:t>Digitalisering, cybersäkerhet och skydd av personuppgifter</w:t>
      </w:r>
    </w:p>
    <w:p w14:paraId="40002C45" w14:textId="77777777" w:rsidR="006C3330" w:rsidRPr="00432AB5" w:rsidRDefault="006C3330" w:rsidP="006C3330">
      <w:pPr>
        <w:pStyle w:val="NormalHanging12a"/>
      </w:pPr>
      <w:r w:rsidRPr="00432AB5">
        <w:t>42.</w:t>
      </w:r>
      <w:r w:rsidRPr="00432AB5">
        <w:tab/>
        <w:t xml:space="preserve">Europaparlamentet noterar att kommitténs och </w:t>
      </w:r>
      <w:proofErr w:type="spellStart"/>
      <w:r w:rsidRPr="00432AB5">
        <w:t>ReK:s</w:t>
      </w:r>
      <w:proofErr w:type="spellEnd"/>
      <w:r w:rsidRPr="00432AB5">
        <w:t xml:space="preserve"> sammanlagda </w:t>
      </w:r>
      <w:proofErr w:type="spellStart"/>
      <w:r w:rsidRPr="00432AB5">
        <w:t>it-budget</w:t>
      </w:r>
      <w:proofErr w:type="spellEnd"/>
      <w:r w:rsidRPr="00432AB5">
        <w:t xml:space="preserve"> för 2024 uppgick till 13 700 000 EUR, jämfört med 12 700 000 EUR för 2023, vilket innebär en ökning med 7,87 %, och att 760 000 EUR av den budgeten (cirka 6 %) gick till cybersäkerhet under 2024. Parlamentet noterar utifrån frågeformuläret att finansieringen av </w:t>
      </w:r>
      <w:proofErr w:type="spellStart"/>
      <w:r w:rsidRPr="00432AB5">
        <w:t>it-projekt</w:t>
      </w:r>
      <w:proofErr w:type="spellEnd"/>
      <w:r w:rsidRPr="00432AB5">
        <w:t xml:space="preserve"> ökade med 109 000 EUR jämfört med 2023, vilket motsvarar en ökning med 4 %, främst till stöd för arbetsplatsprogrammet M365 och omvandlingsprogrammet för cybersäkerhet (</w:t>
      </w:r>
      <w:proofErr w:type="spellStart"/>
      <w:r w:rsidRPr="00432AB5">
        <w:t>Cybersecurity</w:t>
      </w:r>
      <w:proofErr w:type="spellEnd"/>
      <w:r w:rsidRPr="00432AB5">
        <w:t xml:space="preserve"> Transformation </w:t>
      </w:r>
      <w:proofErr w:type="spellStart"/>
      <w:r w:rsidRPr="00432AB5">
        <w:t>Programme</w:t>
      </w:r>
      <w:proofErr w:type="spellEnd"/>
      <w:r w:rsidRPr="00432AB5">
        <w:t xml:space="preserve">). Parlamentet noterar vidare att utgifterna för utrustning ökade med 117 000 EUR (dvs. en ökning med 20 %), främst på grund av prisjusteringar och strategiska investeringar i telefoniinfrastruktur. </w:t>
      </w:r>
      <w:bookmarkStart w:id="11" w:name="_Hlk224229242"/>
      <w:r w:rsidRPr="00432AB5">
        <w:t>Parlamentet erkänner kommitténs oro över att den är strukturellt underfinansierad på områdena digitalisering och cybersäkerhet, och varnar för att ihållande underinvesteringar i cybersäkerhet utgör en strukturell risk för EU-institutionernas integritet</w:t>
      </w:r>
      <w:bookmarkEnd w:id="11"/>
      <w:r w:rsidRPr="00432AB5">
        <w:t xml:space="preserve">. Parlamentet uppmanar kommittén att anta en strukturerad färdplan för att gradvis uppnå utgiftsriktmärket för cybersäkerhet på 10 %, inbegripet årliga delmål, riskbaserad prioritering och regelbunden rapportering till den ansvarsfrihetsbeviljande myndigheten. Parlamentet betonar behovet av ett stärkt samarbete med cybersäkerhetstjänsten för unionens institutioner, organ och byråer (CERT-EU) och unionens institutioner, organ och byråer för att säkerställa en enhetlig och </w:t>
      </w:r>
      <w:proofErr w:type="spellStart"/>
      <w:r w:rsidRPr="00432AB5">
        <w:t>resilient</w:t>
      </w:r>
      <w:proofErr w:type="spellEnd"/>
      <w:r w:rsidRPr="00432AB5">
        <w:t xml:space="preserve"> cybersäkerhetshållning. Parlamentet beklagar i detta sammanhang att budgetmyndigheten i unionens budget för 2026 inte inkluderade det belopp på 1 176 000 EUR som krävs för att kommittén (och </w:t>
      </w:r>
      <w:proofErr w:type="spellStart"/>
      <w:r w:rsidRPr="00432AB5">
        <w:t>ReK</w:t>
      </w:r>
      <w:proofErr w:type="spellEnd"/>
      <w:r w:rsidRPr="00432AB5">
        <w:t>) ska kunna genomföra en större uppgradering av cybersäkerheten, vilket gör det omöjligt att uppnå det mål som avses i förordning (EU, Euratom) 2023/2841</w:t>
      </w:r>
      <w:r w:rsidRPr="00432AB5">
        <w:rPr>
          <w:rStyle w:val="FootnoteReference"/>
        </w:rPr>
        <w:footnoteReference w:id="7"/>
      </w:r>
      <w:r w:rsidRPr="00432AB5">
        <w:t xml:space="preserve"> om att avsätta omkring 10 % av sina totala </w:t>
      </w:r>
      <w:proofErr w:type="spellStart"/>
      <w:r w:rsidRPr="00432AB5">
        <w:t>it‑utgifter</w:t>
      </w:r>
      <w:proofErr w:type="spellEnd"/>
      <w:r w:rsidRPr="00432AB5">
        <w:t xml:space="preserve"> till cybersäkerhet. Parlamentet efterlyser lämpliga medel för att göra det möjligt för kommittén och </w:t>
      </w:r>
      <w:proofErr w:type="spellStart"/>
      <w:r w:rsidRPr="00432AB5">
        <w:t>ReK</w:t>
      </w:r>
      <w:proofErr w:type="spellEnd"/>
      <w:r w:rsidRPr="00432AB5">
        <w:t xml:space="preserve"> att genomföra en omfattande uppgradering av cybersäkerheten.</w:t>
      </w:r>
    </w:p>
    <w:p w14:paraId="61AF1DD8" w14:textId="77777777" w:rsidR="006C3330" w:rsidRPr="00432AB5" w:rsidRDefault="006C3330" w:rsidP="006C3330">
      <w:pPr>
        <w:pStyle w:val="NormalHanging12a"/>
      </w:pPr>
      <w:r w:rsidRPr="00432AB5">
        <w:t>43.</w:t>
      </w:r>
      <w:r w:rsidRPr="00432AB5">
        <w:tab/>
        <w:t xml:space="preserve">Europaparlamentet noterar viktiga förbättringar när det gäller digitalisering och </w:t>
      </w:r>
      <w:proofErr w:type="spellStart"/>
      <w:r w:rsidRPr="00432AB5">
        <w:t>it-styrning</w:t>
      </w:r>
      <w:proofErr w:type="spellEnd"/>
      <w:r w:rsidRPr="00432AB5">
        <w:t xml:space="preserve"> under 2024, bland annat en utvidgning av </w:t>
      </w:r>
      <w:proofErr w:type="spellStart"/>
      <w:r w:rsidRPr="00432AB5">
        <w:t>wifi</w:t>
      </w:r>
      <w:proofErr w:type="spellEnd"/>
      <w:r w:rsidRPr="00432AB5">
        <w:t xml:space="preserve">-täckningen, införandet av </w:t>
      </w:r>
      <w:r w:rsidRPr="00432AB5">
        <w:lastRenderedPageBreak/>
        <w:t xml:space="preserve">Microsoft 365 och AI-pilotprojekt, molnmigration och medvetandehöjande åtgärder genom cybersäkerhetsdagar. Parlamentet välkomnar den fleråriga digitala strategin (DS 2024–2026), som lanserats av direktoratet för innovation och informationsteknik och som bygger på fyra flaggskeppsprogram: M365 (programmet för en digital arbetsplats), </w:t>
      </w:r>
      <w:proofErr w:type="spellStart"/>
      <w:r w:rsidRPr="00432AB5">
        <w:t>Ares</w:t>
      </w:r>
      <w:proofErr w:type="spellEnd"/>
      <w:r w:rsidRPr="00432AB5">
        <w:t xml:space="preserve"> (kommissionens dokumenthanteringssystem), </w:t>
      </w:r>
      <w:proofErr w:type="spellStart"/>
      <w:r w:rsidRPr="00432AB5">
        <w:t>EdiT</w:t>
      </w:r>
      <w:proofErr w:type="spellEnd"/>
      <w:r w:rsidRPr="00432AB5">
        <w:t xml:space="preserve"> (gemensamt verktyg för unionens institutioner för utarbetande av lagstiftningsdokument) och cybersäkerhet. Parlamentet noterar utifrån kommitténs rapport och frågeformuläret att kommitténs digitala strategi 2024–2026 inför en reviderad digital styrningsmodell som syftar till att förbättra det institutionella samarbetet, effektivisera arbetsflödena, automatisera processerna, förbättra utarbetandet av lagstiftning och stärka </w:t>
      </w:r>
      <w:proofErr w:type="spellStart"/>
      <w:r w:rsidRPr="00432AB5">
        <w:t>resiliensen</w:t>
      </w:r>
      <w:proofErr w:type="spellEnd"/>
      <w:r w:rsidRPr="00432AB5">
        <w:t>.</w:t>
      </w:r>
    </w:p>
    <w:p w14:paraId="1618CBF3" w14:textId="77777777" w:rsidR="006C3330" w:rsidRPr="00432AB5" w:rsidRDefault="006C3330" w:rsidP="006C3330">
      <w:pPr>
        <w:pStyle w:val="NormalHanging12a"/>
      </w:pPr>
      <w:r w:rsidRPr="00432AB5">
        <w:t>44.</w:t>
      </w:r>
      <w:r w:rsidRPr="00432AB5">
        <w:tab/>
        <w:t>Europaparlamentet noterar, på grundval av frågeformuläret, genomförandet av HAN</w:t>
      </w:r>
      <w:r w:rsidRPr="00432AB5">
        <w:noBreakHyphen/>
        <w:t xml:space="preserve">systemet (HERMES-ARES-NOMCOM) för säker dokumenthantering och efterlevnad av dataskyddsreglerna och antagandet av XML-redigeringsverktyget </w:t>
      </w:r>
      <w:proofErr w:type="spellStart"/>
      <w:r w:rsidRPr="00432AB5">
        <w:t>EdiT</w:t>
      </w:r>
      <w:proofErr w:type="spellEnd"/>
      <w:r w:rsidRPr="00432AB5">
        <w:t xml:space="preserve"> för utarbetande av lagstiftning. Parlamentet välkomnar de framsteg som gjorts när det gäller dokumenthantering, där ett fullständigt införande förväntas ske senast 2026. Parlamentet erkänner förbättringarna av </w:t>
      </w:r>
      <w:proofErr w:type="spellStart"/>
      <w:r w:rsidRPr="00432AB5">
        <w:t>it-infrastrukturen</w:t>
      </w:r>
      <w:proofErr w:type="spellEnd"/>
      <w:r w:rsidRPr="00432AB5">
        <w:t xml:space="preserve">, inbegripet automatisering, molnmigration och införandet av ett nytt verktyg för personalförvaltning (HRT ersätter </w:t>
      </w:r>
      <w:proofErr w:type="spellStart"/>
      <w:r w:rsidRPr="00432AB5">
        <w:t>Sysper</w:t>
      </w:r>
      <w:proofErr w:type="spellEnd"/>
      <w:r w:rsidRPr="00432AB5">
        <w:t>) under 2024.</w:t>
      </w:r>
    </w:p>
    <w:p w14:paraId="5054F302" w14:textId="77777777" w:rsidR="006C3330" w:rsidRPr="00432AB5" w:rsidRDefault="006C3330" w:rsidP="006C3330">
      <w:pPr>
        <w:pStyle w:val="NormalHanging12a"/>
      </w:pPr>
      <w:r w:rsidRPr="00432AB5">
        <w:t>45.</w:t>
      </w:r>
      <w:r w:rsidRPr="00432AB5">
        <w:tab/>
        <w:t xml:space="preserve">Europaparlamentet noterar att kommittén använder </w:t>
      </w:r>
      <w:proofErr w:type="spellStart"/>
      <w:r w:rsidRPr="00432AB5">
        <w:t>eTranslation</w:t>
      </w:r>
      <w:proofErr w:type="spellEnd"/>
      <w:r w:rsidRPr="00432AB5">
        <w:t>, kommissionens plattform för neural maskinöversättning, för att generera översättningar automatiskt, som ett ytterligare hjälpmedel för översättarnas arbete. Parlamentet noterar att kommittén parallellt med detta framgångsrikt genomförde ett pilotprojekt om AI</w:t>
      </w:r>
      <w:r w:rsidRPr="00432AB5">
        <w:noBreakHyphen/>
        <w:t>baserad transkribering av tal till text med hjälp av programvara som utvecklats av Världsorganisationen för den intellektuella äganderätten (</w:t>
      </w:r>
      <w:proofErr w:type="spellStart"/>
      <w:r w:rsidRPr="00432AB5">
        <w:t>Wipo</w:t>
      </w:r>
      <w:proofErr w:type="spellEnd"/>
      <w:r w:rsidRPr="00432AB5">
        <w:t xml:space="preserve">) 2024. Parlamentet noterar vidare att direktoratet för översättning inledde ett ettårigt pilotprojekt i juni 2024 för att bedöma användningen av </w:t>
      </w:r>
      <w:proofErr w:type="spellStart"/>
      <w:r w:rsidRPr="00432AB5">
        <w:t>DeepL</w:t>
      </w:r>
      <w:proofErr w:type="spellEnd"/>
      <w:r w:rsidRPr="00432AB5">
        <w:t xml:space="preserve"> som ett alternativt översättningsverktyg men som inte ansågs ge något mervärde jämfört med de redan införda systemen för översättning av kommitténs dokument.</w:t>
      </w:r>
    </w:p>
    <w:p w14:paraId="65FB6360" w14:textId="77777777" w:rsidR="006C3330" w:rsidRPr="00432AB5" w:rsidRDefault="006C3330" w:rsidP="006C3330">
      <w:pPr>
        <w:pStyle w:val="NormalHanging12a"/>
      </w:pPr>
      <w:r w:rsidRPr="00432AB5">
        <w:t>46.</w:t>
      </w:r>
      <w:r w:rsidRPr="00432AB5">
        <w:tab/>
        <w:t xml:space="preserve">Europaparlamentet noterar utifrån frågeformuläret att kommittén upprätthåller ett nära samarbete med CERT-EU och använder olika verktyg och kontinuerlig övervakning för att upptäcka och åtgärda systemsårbarheter. Parlamentet noterar vidare att direktoratet för innovation och informationsteknik (DIIT) började genomföra ”Essentials 8”, cybersäkerhetsramen NIST (CSF) och OWASP som </w:t>
      </w:r>
      <w:proofErr w:type="spellStart"/>
      <w:r w:rsidRPr="00432AB5">
        <w:t>referensmodeller</w:t>
      </w:r>
      <w:proofErr w:type="spellEnd"/>
      <w:r w:rsidRPr="00432AB5">
        <w:t xml:space="preserve"> för att stärka riskhanteringen, förbättra styrningen och integrera säkerheten i identifierings-, skydds-, detektions-, insats- och återhämtningsprocesserna. Parlamentet erkänner att arbetet med att uppnå fullständig anpassning till operativa och rättsliga krav pågår. Parlamentet noterar utifrån uppföljningsrapporten att kommittén har omformulerat cybersäkerhet som ett gemensamt ansvar för all personal, med stöd av en flerårig plan, fortbildning och informationskampanjer.</w:t>
      </w:r>
    </w:p>
    <w:p w14:paraId="782036EF" w14:textId="77777777" w:rsidR="006C3330" w:rsidRPr="00432AB5" w:rsidRDefault="006C3330" w:rsidP="006C3330">
      <w:pPr>
        <w:pStyle w:val="NormalHanging12a"/>
      </w:pPr>
      <w:r w:rsidRPr="00432AB5">
        <w:t>47.</w:t>
      </w:r>
      <w:r w:rsidRPr="00432AB5">
        <w:tab/>
        <w:t>Europaparlamentet noterar med tillfredsställelse att kommitténs kommunikationskanaler också är tillgängliga för personer med funktionsnedsättning. Parlamentet noterar att kommittén tillämpar riktlinjer för tillgängligt webbinnehåll och att omfattande tillgänglighet genomförs för de flesta av dess tillämpningar. Parlamentet noterar i detta sammanhang att kommitténs webbplats regelbundet granskas av tillgänglighetsspecialister som utfärdar rekommendationer som sedan genomförs, medan nästa revision planeras äga rum 2026.</w:t>
      </w:r>
    </w:p>
    <w:p w14:paraId="06E85F98" w14:textId="77777777" w:rsidR="006C3330" w:rsidRPr="00432AB5" w:rsidRDefault="006C3330" w:rsidP="006C3330">
      <w:pPr>
        <w:pStyle w:val="NormalHanging12a"/>
      </w:pPr>
      <w:r w:rsidRPr="00432AB5">
        <w:lastRenderedPageBreak/>
        <w:t>48.</w:t>
      </w:r>
      <w:r w:rsidRPr="00432AB5">
        <w:tab/>
        <w:t>Europaparlamentet lovordar kommitténs insatser under 2024 för att säkerställa att personalen förvärvar de digitala färdigheter som krävs för en alltmer digitaliserad arbetsmiljö och för att genomföra riktade informationskampanjer, erbjuda ett omfattande utbildnings- och coachningsprogram och upprätthålla en uppdaterad it‑kunskapsbas med ett AI-drivet gränssnitt för att stödja personalutvecklingen. Parlamentet uppmuntrar till utbildning om cybersäkerhet och säker, etisk och effektiv användning av AI.</w:t>
      </w:r>
    </w:p>
    <w:p w14:paraId="1BA80BEF" w14:textId="77777777" w:rsidR="006C3330" w:rsidRPr="00432AB5" w:rsidRDefault="006C3330" w:rsidP="006C3330">
      <w:pPr>
        <w:pStyle w:val="NormalHanging12a"/>
      </w:pPr>
      <w:r w:rsidRPr="00432AB5">
        <w:t>49.</w:t>
      </w:r>
      <w:r w:rsidRPr="00432AB5">
        <w:tab/>
        <w:t>Europaparlamentet noterar utifrån uppföljningsrapporten att datatillsynsmannen under 2024 inte inledde några utredningar av kommitténs tillämpning av dataskyddsreglerna. Parlamentet noterar dock att en utredning om förvaltningen av en extern revision, som inleddes 2023, fortfarande inte har genomförts. Parlamentet uppmanar kommittén att hålla den ansvarsbefrielsebeviljande myndigheten informerad om uppföljningen av dessa ärenden.</w:t>
      </w:r>
    </w:p>
    <w:bookmarkEnd w:id="10"/>
    <w:p w14:paraId="18DE8EC4" w14:textId="77777777" w:rsidR="006C3330" w:rsidRPr="00432AB5" w:rsidRDefault="006C3330" w:rsidP="006C3330">
      <w:pPr>
        <w:pStyle w:val="NormalHanging12a"/>
        <w:rPr>
          <w:b/>
          <w:i/>
        </w:rPr>
      </w:pPr>
      <w:r w:rsidRPr="00432AB5">
        <w:rPr>
          <w:b/>
          <w:i/>
        </w:rPr>
        <w:t>Byggnader</w:t>
      </w:r>
    </w:p>
    <w:p w14:paraId="2D17BEDC" w14:textId="77777777" w:rsidR="006C3330" w:rsidRPr="00432AB5" w:rsidRDefault="006C3330" w:rsidP="006C3330">
      <w:pPr>
        <w:pStyle w:val="NormalHanging12a"/>
      </w:pPr>
      <w:r w:rsidRPr="00432AB5">
        <w:t>50.</w:t>
      </w:r>
      <w:r w:rsidRPr="00432AB5">
        <w:tab/>
        <w:t>Europaparlamentet noterar utifrån uppföljningsrapporten att kommittén arbetar med en långsiktig fastighetsstrategi med tanke på den kommande renoveringen av SPAAK</w:t>
      </w:r>
      <w:r w:rsidRPr="00432AB5">
        <w:noBreakHyphen/>
        <w:t>byggnaden och det faktum att B-100-byggnaden kommer att tömmas i augusti 2026. Parlamentet noterar vidare att resultatet av de pågående tekniska och miljömässiga revisionerna av kommitténs byggnader kommer att vara en del av denna strategi. Parlamentet uppmanar kommittén att hålla den ansvarsbefrielsebeviljande myndigheten uppdaterad om de framsteg som görs i dessa frågor.</w:t>
      </w:r>
    </w:p>
    <w:p w14:paraId="0301C69B" w14:textId="77777777" w:rsidR="006C3330" w:rsidRPr="00432AB5" w:rsidRDefault="006C3330" w:rsidP="006C3330">
      <w:pPr>
        <w:pStyle w:val="NormalHanging12a"/>
      </w:pPr>
      <w:r w:rsidRPr="00432AB5">
        <w:t>51.</w:t>
      </w:r>
      <w:r w:rsidRPr="00432AB5">
        <w:tab/>
        <w:t>Europaparlamentet uppskattar att kommittén 2024 slutförde moderniserings- och tillgänglighetsuppgraderingarna för alla sex hissar på västra sidan av JDE-byggnaden, inklusive en som var särskilt utformad för personer med nedsatt rörlighet. Parlamentet välkomnar de betydande förbättringar som införts för rullstolsanvändare, blinda och synskadade personer, döva personer och personer med nedsatt rörlighet eller andra fysiska begränsningar, inbegripet förbättrad ljudsignalering och visuell signalering, anpassade kontroller, förlängda dörrtider, speglar och säkerhetsfunktioner samt ledstänger.</w:t>
      </w:r>
    </w:p>
    <w:p w14:paraId="762CE320" w14:textId="77777777" w:rsidR="006C3330" w:rsidRPr="00432AB5" w:rsidRDefault="006C3330" w:rsidP="006C3330">
      <w:pPr>
        <w:pStyle w:val="NormalHanging12a"/>
        <w:widowControl/>
      </w:pPr>
      <w:r w:rsidRPr="00432AB5">
        <w:t>52.</w:t>
      </w:r>
      <w:r w:rsidRPr="00432AB5">
        <w:tab/>
        <w:t xml:space="preserve">Europaparlamentet noterar utifrån kommitténs rapport att ett nytt gemensamt kommunikationsutrymme skapades i JDE-byggnaden 2024 i samarbete med </w:t>
      </w:r>
      <w:proofErr w:type="spellStart"/>
      <w:r w:rsidRPr="00432AB5">
        <w:t>ReK</w:t>
      </w:r>
      <w:proofErr w:type="spellEnd"/>
      <w:r w:rsidRPr="00432AB5">
        <w:t>. Parlamentet betonar att anläggningen, som ligger i det tidigare biblioteksområdet, har en toppmodern inspelningsstudio, ett rum för stående intervjuer, och ett särskilt konferensutrymme.</w:t>
      </w:r>
    </w:p>
    <w:p w14:paraId="33123305" w14:textId="77777777" w:rsidR="006C3330" w:rsidRPr="00432AB5" w:rsidRDefault="006C3330" w:rsidP="006C3330">
      <w:pPr>
        <w:pStyle w:val="NormalHanging12a"/>
        <w:rPr>
          <w:b/>
          <w:i/>
        </w:rPr>
      </w:pPr>
      <w:r w:rsidRPr="00432AB5">
        <w:rPr>
          <w:b/>
          <w:i/>
        </w:rPr>
        <w:t>Miljö och hållbarhet</w:t>
      </w:r>
    </w:p>
    <w:p w14:paraId="5C3C230D" w14:textId="77777777" w:rsidR="006C3330" w:rsidRPr="00432AB5" w:rsidRDefault="006C3330" w:rsidP="006C3330">
      <w:pPr>
        <w:pStyle w:val="NormalHanging12a"/>
      </w:pPr>
      <w:r w:rsidRPr="00432AB5">
        <w:t>53.</w:t>
      </w:r>
      <w:r w:rsidRPr="00432AB5">
        <w:tab/>
        <w:t>Europaparlamentet noterar utifrån frågeformuläret att kommittén under 2024 öronmärkte 198 894 EUR för miljöanpassning av sin verksamhet, varav 55 % för konsult- och experttjänster inom energiförvaltning och energieffektivitet och 45 % för infrastrukturförbättringar såsom LED-belysning, cykelparkering och energimätning. Parlamentet välkomnar att dessa investeringar, tillsammans med fortsatta initiativ i innovativa byggnadsinstallationer, 100 % grön el, smart energibesparande teknik och digitalisering, bidrog till att minska energiförbrukningen och utsläppen.</w:t>
      </w:r>
    </w:p>
    <w:p w14:paraId="0A199A91" w14:textId="77777777" w:rsidR="006C3330" w:rsidRPr="00432AB5" w:rsidRDefault="006C3330" w:rsidP="006C3330">
      <w:pPr>
        <w:pStyle w:val="NormalHanging12a"/>
      </w:pPr>
      <w:r w:rsidRPr="00432AB5">
        <w:t>54.</w:t>
      </w:r>
      <w:r w:rsidRPr="00432AB5">
        <w:tab/>
        <w:t xml:space="preserve">Europaparlamentet noterar utifrån frågeformuläret en minskning av förbrukningen av el </w:t>
      </w:r>
      <w:r w:rsidRPr="00432AB5">
        <w:lastRenderedPageBreak/>
        <w:t>(-19 %), gas (-13 %) och vatten (-12 %) samt av avfallsvolymerna (-12 %) och en ökning av pappersförbrukningen (+1 %) under 2024 jämfört med 2023. Parlamentet välkomnar vidare en minskning av koldioxidutsläppen per heltidsekvivalent med 4,30 % (utsläpp från kommittéledamöternas resor ingår inte) under samma period. Parlamentet noterar utifrån frågeformuläret kommitténs åtgärder för att främja mer hållbara resealternativ bland sin personal och sina ledamöter och den pågående översynen av uppdragsguiden för personalen, som kommer att inbegripa miljöavtryck som en viktig del. Parlamentet välkomnar vidare kommitténs fokus på avfallshantering och återvinning för att främja en kultur av avfallsminskning och resurseffektivitet.</w:t>
      </w:r>
    </w:p>
    <w:p w14:paraId="134B7549" w14:textId="77777777" w:rsidR="006C3330" w:rsidRPr="00432AB5" w:rsidRDefault="006C3330" w:rsidP="006C3330">
      <w:pPr>
        <w:pStyle w:val="NormalHanging12a"/>
      </w:pPr>
      <w:r w:rsidRPr="00432AB5">
        <w:t>55.</w:t>
      </w:r>
      <w:r w:rsidRPr="00432AB5">
        <w:tab/>
        <w:t xml:space="preserve">Europaparlamentet noterar med tillfredsställelse att alla kommitténs anbudsinfordringar som överstiger 60 000 EUR och de som överstiger 25 000 EUR och som förvaltas tillsammans med </w:t>
      </w:r>
      <w:proofErr w:type="spellStart"/>
      <w:r w:rsidRPr="00432AB5">
        <w:t>ReK</w:t>
      </w:r>
      <w:proofErr w:type="spellEnd"/>
      <w:r w:rsidRPr="00432AB5">
        <w:t xml:space="preserve"> innehåller hållbarhetsklausuler i linje med standarderna för energiunionen, den europeiska gröna given och principerna för den cirkulära ekonomin. Parlamentet noterar att kommitténs nya ramavtal för cateringtjänster trädde i kraft i augusti 2024 och innehåller krav på ekologiska och lokalt producerade produkter, livsmedelsdonationer och säsongsbetonade frukter och grönsaker.</w:t>
      </w:r>
    </w:p>
    <w:p w14:paraId="50DF255F" w14:textId="77777777" w:rsidR="006C3330" w:rsidRPr="00432AB5" w:rsidRDefault="006C3330" w:rsidP="006C3330">
      <w:pPr>
        <w:pStyle w:val="NormalHanging12a"/>
      </w:pPr>
      <w:r w:rsidRPr="00432AB5">
        <w:t>56.</w:t>
      </w:r>
      <w:r w:rsidRPr="00432AB5">
        <w:tab/>
        <w:t xml:space="preserve">Europaparlamentet noterar med tillfredsställelse utifrån frågeformuläret kommitténs fortsatta insatser för att främja hållbar rörlighet bland sin personal. Parlamentet noterar särskilt att kommittén erbjuder finansiella bidrag för kollektivtrafikkort, för personal som använder en cykel för att pendla och, från och med 2024, bidrag till </w:t>
      </w:r>
      <w:proofErr w:type="spellStart"/>
      <w:r w:rsidRPr="00432AB5">
        <w:t>Flex</w:t>
      </w:r>
      <w:proofErr w:type="spellEnd"/>
      <w:r w:rsidRPr="00432AB5">
        <w:t> SNCB</w:t>
      </w:r>
      <w:r w:rsidRPr="00432AB5">
        <w:noBreakHyphen/>
        <w:t xml:space="preserve">abonnemang för att återspegla överväganden kring hybridarbetsarrangemang. Parlamentet noterar kommitténs plan att tillsammans med </w:t>
      </w:r>
      <w:proofErr w:type="spellStart"/>
      <w:r w:rsidRPr="00432AB5">
        <w:t>ReK</w:t>
      </w:r>
      <w:proofErr w:type="spellEnd"/>
      <w:r w:rsidRPr="00432AB5">
        <w:t xml:space="preserve"> delta i en anbudsinfordran (som ska inledas på nytt 2026) under ledning av kommissionen, för inköp och underhåll av </w:t>
      </w:r>
      <w:proofErr w:type="spellStart"/>
      <w:r w:rsidRPr="00432AB5">
        <w:t>elcyklar</w:t>
      </w:r>
      <w:proofErr w:type="spellEnd"/>
      <w:r w:rsidRPr="00432AB5">
        <w:t>. Parlamentet välkomnar det fortsatta samarbetet med huvudstadsregionen Bryssel om rörlighetsplanering och kommitténs deltagande i interinstitutionella initiativ, som bidrar till en kultur av hållbar pendling.</w:t>
      </w:r>
    </w:p>
    <w:p w14:paraId="1BA97BAA" w14:textId="77777777" w:rsidR="006C3330" w:rsidRPr="00432AB5" w:rsidRDefault="006C3330" w:rsidP="006C3330">
      <w:pPr>
        <w:pStyle w:val="NormalHanging12a"/>
        <w:rPr>
          <w:b/>
          <w:i/>
        </w:rPr>
      </w:pPr>
      <w:r w:rsidRPr="00432AB5">
        <w:rPr>
          <w:b/>
          <w:i/>
        </w:rPr>
        <w:t>Interinstitutionellt samarbete</w:t>
      </w:r>
    </w:p>
    <w:p w14:paraId="4FF9ED8B" w14:textId="77777777" w:rsidR="006C3330" w:rsidRPr="00432AB5" w:rsidRDefault="006C3330" w:rsidP="006C3330">
      <w:pPr>
        <w:pStyle w:val="NormalHanging12a"/>
      </w:pPr>
      <w:r w:rsidRPr="00432AB5">
        <w:t>57.</w:t>
      </w:r>
      <w:r w:rsidRPr="00432AB5">
        <w:tab/>
        <w:t xml:space="preserve">Europaparlamentet lovordar det nära samarbete kommittén har inrättat på administrativ nivå med </w:t>
      </w:r>
      <w:proofErr w:type="spellStart"/>
      <w:r w:rsidRPr="00432AB5">
        <w:t>ReK</w:t>
      </w:r>
      <w:proofErr w:type="spellEnd"/>
      <w:r w:rsidRPr="00432AB5">
        <w:t xml:space="preserve">, och det faktum att de två kommittéerna delar lokaler och samfunktioner för översättning, infrastruktur, logistik, säkerhet, upphandling, ekonomisk förvaltning och it men samtidigt behåller fullständig institutionell autonomi. Parlamentet noterar att de två kommittéerna, för att utöka samarbetet på andra områden och med tanke på budgetbegränsningarna, gemensamt har inlett två viktiga projekt 2024, nämligen </w:t>
      </w:r>
      <w:proofErr w:type="spellStart"/>
      <w:r w:rsidRPr="00432AB5">
        <w:t>SPaCES</w:t>
      </w:r>
      <w:proofErr w:type="spellEnd"/>
      <w:r w:rsidRPr="00432AB5">
        <w:t>-projektet för omvandling av kontorsmiljön och en strategisk reform av direktoratet för översättning genom strukturell omorganisation, förbättrad användning av språkteknik och en gradvis minskning av den mänskliga översättningskapaciteten för ökad effektivitet och kostnadseffektivitet.</w:t>
      </w:r>
    </w:p>
    <w:p w14:paraId="421ABD98" w14:textId="77777777" w:rsidR="006C3330" w:rsidRPr="00432AB5" w:rsidRDefault="006C3330" w:rsidP="006C3330">
      <w:pPr>
        <w:pStyle w:val="NormalHanging12a"/>
      </w:pPr>
      <w:r w:rsidRPr="00432AB5">
        <w:t>58.</w:t>
      </w:r>
      <w:r w:rsidRPr="00432AB5">
        <w:tab/>
        <w:t xml:space="preserve">Europaparlamentet välkomnar de positiva resultat som uppnåtts under det första året av genomförandet av kommitténs och </w:t>
      </w:r>
      <w:proofErr w:type="spellStart"/>
      <w:r w:rsidRPr="00432AB5">
        <w:t>ReK:s</w:t>
      </w:r>
      <w:proofErr w:type="spellEnd"/>
      <w:r w:rsidRPr="00432AB5">
        <w:t xml:space="preserve"> överenskommelse på det audiovisuella området, såsom budgetbesparingar på cirka 140 000 EUR jämfört med ett projekt som drivs självständigt och en ökad produktionskapacitet, med 85 videor som producerats redan i juni 2025 jämfört med cirka 90 för hela året 2024.</w:t>
      </w:r>
    </w:p>
    <w:p w14:paraId="16E850BB" w14:textId="77777777" w:rsidR="006C3330" w:rsidRPr="00432AB5" w:rsidRDefault="006C3330" w:rsidP="006C3330">
      <w:pPr>
        <w:pStyle w:val="NormalHanging12a"/>
      </w:pPr>
      <w:r w:rsidRPr="00432AB5">
        <w:t>59.</w:t>
      </w:r>
      <w:r w:rsidRPr="00432AB5">
        <w:tab/>
        <w:t xml:space="preserve">Europaparlamentet lovordar kommittén för de betydande besparingar som gjorts tack vare genomförandet av dess samarbetsavtal med </w:t>
      </w:r>
      <w:proofErr w:type="spellStart"/>
      <w:r w:rsidRPr="00432AB5">
        <w:t>ReK</w:t>
      </w:r>
      <w:proofErr w:type="spellEnd"/>
      <w:r w:rsidRPr="00432AB5">
        <w:t xml:space="preserve">, som har inrättat samfunktioner som främst omfattar uppgifter på områdena it, logistik och offentlig upphandling. </w:t>
      </w:r>
      <w:r w:rsidRPr="00432AB5">
        <w:lastRenderedPageBreak/>
        <w:t xml:space="preserve">Parlamentet noterar med tillfredsställelse utifrån frågeformuläret kommitténs beräknade besparingar under 2024 på områdena it (cirka 16 miljoner EUR), infrastruktur (cirka 8 miljoner EUR), tryckning (cirka 125 000 EUR) och säkerhetstjänster (cirka 800 000 EUR). Parlamentet noterar vidare att om kommittén och </w:t>
      </w:r>
      <w:proofErr w:type="spellStart"/>
      <w:r w:rsidRPr="00432AB5">
        <w:t>ReK</w:t>
      </w:r>
      <w:proofErr w:type="spellEnd"/>
      <w:r w:rsidRPr="00432AB5">
        <w:t xml:space="preserve"> hade haft separata översättnings- och upphandlingstjänster skulle de totala personalkostnaderna vara minst 30 % högre. Parlamentet upprepar sin uppmaning om att i så stor utsträckning som möjligt utvidga detta samarbete till att omfatta inrättandet av en enda administration för samfunktionerna och att hålla de avdelningar och den enhet som ansvarar för deras centrala oberoende mandat åtskilda.</w:t>
      </w:r>
    </w:p>
    <w:p w14:paraId="696DC79C" w14:textId="77777777" w:rsidR="006C3330" w:rsidRPr="00432AB5" w:rsidRDefault="006C3330" w:rsidP="006C3330">
      <w:pPr>
        <w:pStyle w:val="NormalHanging12a"/>
      </w:pPr>
      <w:r w:rsidRPr="00432AB5">
        <w:t>60.</w:t>
      </w:r>
      <w:r w:rsidRPr="00432AB5">
        <w:tab/>
        <w:t xml:space="preserve">Europaparlamentet noterar med tillfredsställelse de betydande budgetmässiga och administrativa besparingar som kommittén uppnått genom servicenivåavtal, särskilt med kommissionen, för användning av </w:t>
      </w:r>
      <w:proofErr w:type="spellStart"/>
      <w:r w:rsidRPr="00432AB5">
        <w:t>it-verktyg</w:t>
      </w:r>
      <w:proofErr w:type="spellEnd"/>
      <w:r w:rsidRPr="00432AB5">
        <w:t xml:space="preserve"> för ekonomisk förvaltning och viktiga </w:t>
      </w:r>
      <w:proofErr w:type="spellStart"/>
      <w:r w:rsidRPr="00432AB5">
        <w:t>it-verktyg</w:t>
      </w:r>
      <w:proofErr w:type="spellEnd"/>
      <w:r w:rsidRPr="00432AB5">
        <w:t xml:space="preserve"> för personalförvaltning. Parlamentet välkomnar vidare kommitténs deltagande i interinstitutionella upphandlingsförfaranden som leds av andra institutioner såsom parlamentet och kommissionen på områden såsom tjänsteresor, försäkringar, resor, it, översättning och audiovisuell utrustning. Parlamentet noterar utifrån frågeformuläret att kommitténs totala kostnader för </w:t>
      </w:r>
      <w:proofErr w:type="spellStart"/>
      <w:r w:rsidRPr="00432AB5">
        <w:t>utkontraktering</w:t>
      </w:r>
      <w:proofErr w:type="spellEnd"/>
      <w:r w:rsidRPr="00432AB5">
        <w:t xml:space="preserve"> av specifika tjänster till kommissionen ökade från 793 000 EUR 2023 till 893 000 EUR 2024.</w:t>
      </w:r>
    </w:p>
    <w:p w14:paraId="338F95EC" w14:textId="77777777" w:rsidR="006C3330" w:rsidRPr="00432AB5" w:rsidRDefault="006C3330" w:rsidP="006C3330">
      <w:pPr>
        <w:pStyle w:val="NormalHanging12a"/>
      </w:pPr>
      <w:r w:rsidRPr="00432AB5">
        <w:t>61.</w:t>
      </w:r>
      <w:r w:rsidRPr="00432AB5">
        <w:tab/>
      </w:r>
      <w:bookmarkStart w:id="12" w:name="_Hlk216940933"/>
      <w:r w:rsidRPr="00432AB5">
        <w:t xml:space="preserve">Europaparlamentet noterar viss utveckling och vissa uppgifter när det gäller samarbetet mellan kommittén och parlamentet under 2024: </w:t>
      </w:r>
      <w:bookmarkEnd w:id="12"/>
      <w:r w:rsidRPr="00432AB5">
        <w:t>antagandet av ett nytt samarbetsavtal, undertecknandet av ett samförståndsavtal om samarbete inför valet till Europaparlamentet, 55 ledamöters deltagande i 38 av kommitténs evenemang, kommitténs deltagande i 32 av parlamentets evenemang samt deltagande i olika bilaterala möten och möten i de politiska grupperna.</w:t>
      </w:r>
    </w:p>
    <w:p w14:paraId="267747F1" w14:textId="77777777" w:rsidR="006C3330" w:rsidRPr="00432AB5" w:rsidRDefault="006C3330" w:rsidP="006C3330">
      <w:pPr>
        <w:pStyle w:val="NormalHanging12a"/>
      </w:pPr>
      <w:r w:rsidRPr="00432AB5">
        <w:t>62.</w:t>
      </w:r>
      <w:r w:rsidRPr="00432AB5">
        <w:tab/>
        <w:t>Europaparlamentet noterar viss utveckling och vissa uppgifter när det gäller samarbetet mellan kommittén och kommissionen under 2024: kommissionsledamöternas deltagande i kommitténs 10 plenarsessioner och andra evenemang som anordnas av kommittén, över 30 gemensamma kommunikationsprojekt för att engagera det civila samhället, 20 särskilda gemensamma aktiviteter, kommitténs bidrag till 17 av kommissionens expertgrupper, sex förberedande yttranden och tre utvärderingsrapporter som kommittén avgett på begäran av kommissionen.</w:t>
      </w:r>
    </w:p>
    <w:p w14:paraId="490FADC9" w14:textId="77777777" w:rsidR="006C3330" w:rsidRPr="00432AB5" w:rsidRDefault="006C3330" w:rsidP="006C3330">
      <w:pPr>
        <w:pStyle w:val="NormalHanging12a"/>
      </w:pPr>
      <w:r w:rsidRPr="00432AB5">
        <w:t>63.</w:t>
      </w:r>
      <w:r w:rsidRPr="00432AB5">
        <w:tab/>
        <w:t>Europaparlamentet noterar viss utveckling och vissa uppgifter när det gäller samarbetet mellan kommittén och rådet/Europeiska rådet under 2024: tre högnivåmöten med Europeiska rådets ordförande och 21 förberedande yttranden som kommittén avgett på begäran av det belgiska och det ungerska ordförandeskapet.</w:t>
      </w:r>
    </w:p>
    <w:p w14:paraId="798ACB90" w14:textId="77777777" w:rsidR="006C3330" w:rsidRPr="00432AB5" w:rsidRDefault="006C3330" w:rsidP="006C3330">
      <w:pPr>
        <w:pStyle w:val="NormalHanging12a"/>
      </w:pPr>
      <w:r w:rsidRPr="00432AB5">
        <w:t>64.</w:t>
      </w:r>
      <w:r w:rsidRPr="00432AB5">
        <w:tab/>
        <w:t>Europaparlamentet konstaterar att budgetbesparingar och effektivitetsvinster fortsatte att uppnås genom ett aktivt samarbete mellan kommittén och andra EU-institutioner under 2024, bland annat genom anordnandet av kommitténs plenarsammanträden i kommissionens och parlamentets lokaler, där lokaler och tillhörande tjänster tillhandahålls antingen kostnadsfritt eller till priser som ligger under externa marknadspriser.</w:t>
      </w:r>
    </w:p>
    <w:p w14:paraId="5CB04175" w14:textId="77777777" w:rsidR="006C3330" w:rsidRPr="00432AB5" w:rsidRDefault="006C3330" w:rsidP="006C3330">
      <w:pPr>
        <w:pStyle w:val="NormalHanging12a"/>
      </w:pPr>
      <w:r w:rsidRPr="00432AB5">
        <w:t>65.</w:t>
      </w:r>
      <w:r w:rsidRPr="00432AB5">
        <w:tab/>
        <w:t xml:space="preserve">Europaparlamentet noterar att kommittén spelar en avgörande roll när det gäller att stärka förbindelserna med och mellan de nationella ekonomiska och sociala råden i medlemsstaterna. Parlamentet noterar i detta sammanhang inrättandet av en ny tematisk arbetsgrupp bestående av 13 nationella ekonomiska och sociala råd, offentliggörandet </w:t>
      </w:r>
      <w:r w:rsidRPr="00432AB5">
        <w:lastRenderedPageBreak/>
        <w:t>av 32 nyhetsartiklar och 26 sammanfattningar av de rapporter som antagits av de nationella ekonomiska och sociala råden, anordnandet av det årliga mötet mellan ordförandena och generalsekreterarna för de nationella ekonomiska och sociala råden i Bryssel och ett gemensamt anordnat seminarium med 100 deltagare från europeiska arbetsmarknadsparter, organisationer i det civila samhället, företrädare för unionens institutioner och akademiker under 2024. Parlamentet efterlyser fortsatt samarbete i frågor av gemensamt intresse och utbyte av bästa praxis, och betonar det civila samhällets avgörande roll när det gäller att ta itu med de utmaningar som unionen står inför.</w:t>
      </w:r>
    </w:p>
    <w:p w14:paraId="70CBFFF1" w14:textId="77777777" w:rsidR="006C3330" w:rsidRPr="00432AB5" w:rsidRDefault="006C3330" w:rsidP="006C3330">
      <w:pPr>
        <w:pStyle w:val="NormalHanging12a"/>
        <w:rPr>
          <w:b/>
          <w:i/>
        </w:rPr>
      </w:pPr>
      <w:r w:rsidRPr="00432AB5">
        <w:rPr>
          <w:b/>
          <w:i/>
        </w:rPr>
        <w:t>Kommunikation</w:t>
      </w:r>
    </w:p>
    <w:p w14:paraId="5D26A39B" w14:textId="77777777" w:rsidR="006C3330" w:rsidRPr="00432AB5" w:rsidRDefault="006C3330" w:rsidP="006C3330">
      <w:pPr>
        <w:pStyle w:val="NormalHanging12a"/>
      </w:pPr>
      <w:r w:rsidRPr="00432AB5">
        <w:t>66.</w:t>
      </w:r>
      <w:r w:rsidRPr="00432AB5">
        <w:tab/>
        <w:t>Europaparlamentet noterar utifrån frågeformuläret att kommitténs totala budget för kommunikation, publikationer och anskaffning av dokumentation uppgick till cirka 2,5 miljoner EUR 2024 (ungefär samma som 2023), vilket motsvarar 1,4 % av kommitténs totala budget efter överföringar för 2024. Parlamentet välkomnar att kommittén under 2024 inriktade sina resurser på ett begränsat antal kommunikationsprioriteringar med koppling till EU-institutionernas lagstiftningsprioriteringar, såsom överkomliga energipriser, AI, psykisk hälsa, strategiskt oberoende, ekonomiska reformer, jämställdhet, ungdomar och utvidgning, i linje med kommitténs effektdrivna kommunikation.</w:t>
      </w:r>
    </w:p>
    <w:p w14:paraId="2E5F503F" w14:textId="77777777" w:rsidR="006C3330" w:rsidRPr="00432AB5" w:rsidRDefault="006C3330" w:rsidP="006C3330">
      <w:pPr>
        <w:pStyle w:val="NormalHanging12a"/>
      </w:pPr>
      <w:r w:rsidRPr="00432AB5">
        <w:t>67.</w:t>
      </w:r>
      <w:r w:rsidRPr="00432AB5">
        <w:tab/>
        <w:t>Europaparlamentet noterar utifrån frågeformuläret och kommitténs rapport att kommittén under 2024 genomförde en omfattande kommunikationsplan inom ramen för kampanjen inför valet till Europaparlamentet genom lokala evenemang och det civila samhällets vecka. Parlamentet uppskattar i detta sammanhang att 104 kommittéledamöter deltog i 122 utåtriktade evenemang som direkt involverade omkring 350 000 medborgare utöver den utåtriktade verksamheten i sociala medier. Parlamentet lovordar vidare kommitténs rapporterade resultat när det gäller anordnandet av det civila samhällets vecka, dvs. 800 deltagare, mer än 8 000 interaktioner, mer än 1 miljon visningar och omkring 96 000 videouppspelningar, vilket markerar en stark närvaro på sociala medier.</w:t>
      </w:r>
    </w:p>
    <w:p w14:paraId="199639AF" w14:textId="77777777" w:rsidR="006C3330" w:rsidRPr="00432AB5" w:rsidRDefault="006C3330" w:rsidP="006C3330">
      <w:pPr>
        <w:pStyle w:val="NormalHanging12a"/>
        <w:rPr>
          <w:bCs/>
          <w:iCs/>
        </w:rPr>
      </w:pPr>
      <w:r w:rsidRPr="00432AB5">
        <w:t>68.</w:t>
      </w:r>
      <w:r w:rsidRPr="00432AB5">
        <w:tab/>
        <w:t xml:space="preserve">Europaparlamentet välkomnar kommitténs insatser för att öka synligheten för sitt arbete. Parlamentet anser dock att det krävs ytterligare insatser för att säkerställa att kommunikationsverksamheten tydligt förklarar kommitténs roll och konkreta bidrag till EU:s närvaro på plats, på ett sätt som är tillgängligt och meningsfullt för medborgarna. Parlamentet uppskattar lanseringen av </w:t>
      </w:r>
      <w:proofErr w:type="spellStart"/>
      <w:r w:rsidRPr="00432AB5">
        <w:t>NaviGate</w:t>
      </w:r>
      <w:proofErr w:type="spellEnd"/>
      <w:r w:rsidRPr="00432AB5">
        <w:t>-plattformen i maj 2024. Parlamentet noterar att denna plattform, som förses med webblänkar till EULT, avsevärt har ökat synligheten för kommitténs arbete och förbättrat användarupplevelsen för ledamöter, personal, besökare från andra institutioner och allmänheten, och nådde 4 600 unika besökare 2024.</w:t>
      </w:r>
    </w:p>
    <w:p w14:paraId="332FBC47" w14:textId="2BA64A05" w:rsidR="00432AB5" w:rsidRPr="00432AB5" w:rsidRDefault="006C3330" w:rsidP="00432AB5">
      <w:pPr>
        <w:pStyle w:val="NormalHanging12a"/>
      </w:pPr>
      <w:r w:rsidRPr="00432AB5">
        <w:t>69.</w:t>
      </w:r>
      <w:r w:rsidRPr="00432AB5">
        <w:tab/>
        <w:t xml:space="preserve">Europaparlamentet noterar utifrån kommitténs rapport att dess närvaro på sociala medier fortsatte att öka, och att kommitténs fyra huvudkonton totalt sett ökade antalet följare med mer än 18 % jämfört med 2023. Parlamentet betonar att engagemanget ökade avsevärt, med hela 45 % och översteg 416 000 interaktioner mellan plattformar. Parlamentet noterar vidare att kommittén i slutet av 2024 hade nått 62 868 följare på X, 79 647 på LinkedIn, 49 494 på Facebook och 29 987 på </w:t>
      </w:r>
      <w:proofErr w:type="spellStart"/>
      <w:r w:rsidRPr="00432AB5">
        <w:t>Instagram</w:t>
      </w:r>
      <w:proofErr w:type="spellEnd"/>
      <w:r w:rsidRPr="00432AB5">
        <w:t xml:space="preserve">, vilket återspeglar en stark plattformsspecifik tillväxt jämfört med 2023. Parlamentet noterar att den största ökningen av antalet följare registrerades på </w:t>
      </w:r>
      <w:proofErr w:type="spellStart"/>
      <w:r w:rsidRPr="00432AB5">
        <w:t>Instagram</w:t>
      </w:r>
      <w:proofErr w:type="spellEnd"/>
      <w:r w:rsidRPr="00432AB5">
        <w:t xml:space="preserve">-kontot 2024 (+72 %). </w:t>
      </w:r>
      <w:r w:rsidRPr="00432AB5">
        <w:lastRenderedPageBreak/>
        <w:t xml:space="preserve">Parlamentet noterar att kommittén, i linje med EU-institutionernas gemensamma strategi, öppnade sitt första </w:t>
      </w:r>
      <w:proofErr w:type="spellStart"/>
      <w:r w:rsidRPr="00432AB5">
        <w:t>Bluesky</w:t>
      </w:r>
      <w:proofErr w:type="spellEnd"/>
      <w:r w:rsidRPr="00432AB5">
        <w:t>-konto 2024 för att säkra sin officiella närvaro, med verksamhet som inleddes i januari 2025.</w:t>
      </w:r>
    </w:p>
    <w:p w14:paraId="674663DF" w14:textId="4FED9185" w:rsidR="00E365E1" w:rsidRPr="00432AB5" w:rsidRDefault="00E365E1" w:rsidP="00AF4E15"/>
    <w:sectPr w:rsidR="00E365E1" w:rsidRPr="00432AB5" w:rsidSect="00432AB5">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72D55" w14:textId="77777777" w:rsidR="00AF4E15" w:rsidRPr="00432AB5" w:rsidRDefault="00AF4E15">
      <w:r w:rsidRPr="00432AB5">
        <w:separator/>
      </w:r>
    </w:p>
  </w:endnote>
  <w:endnote w:type="continuationSeparator" w:id="0">
    <w:p w14:paraId="3A007EE7" w14:textId="77777777" w:rsidR="00AF4E15" w:rsidRPr="00432AB5" w:rsidRDefault="00AF4E15">
      <w:r w:rsidRPr="00432A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EFEA5" w14:textId="77777777" w:rsidR="006C3330" w:rsidRPr="00432AB5" w:rsidRDefault="006C3330" w:rsidP="00F26BEE">
    <w:pPr>
      <w:pStyle w:val="EPFooter"/>
    </w:pPr>
    <w:r w:rsidRPr="00432AB5">
      <w:t>PE</w:t>
    </w:r>
    <w:r w:rsidRPr="00432AB5">
      <w:rPr>
        <w:rStyle w:val="HideTWBExt"/>
      </w:rPr>
      <w:t>&lt;</w:t>
    </w:r>
    <w:proofErr w:type="spellStart"/>
    <w:r w:rsidRPr="00432AB5">
      <w:rPr>
        <w:rStyle w:val="HideTWBExt"/>
      </w:rPr>
      <w:t>NoPE</w:t>
    </w:r>
    <w:proofErr w:type="spellEnd"/>
    <w:r w:rsidRPr="00432AB5">
      <w:rPr>
        <w:rStyle w:val="HideTWBExt"/>
      </w:rPr>
      <w:t>&gt;</w:t>
    </w:r>
    <w:r w:rsidRPr="00432AB5">
      <w:t>778.063</w:t>
    </w:r>
    <w:r w:rsidRPr="00432AB5">
      <w:rPr>
        <w:rStyle w:val="HideTWBExt"/>
      </w:rPr>
      <w:t>&lt;/</w:t>
    </w:r>
    <w:proofErr w:type="spellStart"/>
    <w:r w:rsidRPr="00432AB5">
      <w:rPr>
        <w:rStyle w:val="HideTWBExt"/>
      </w:rPr>
      <w:t>NoPE</w:t>
    </w:r>
    <w:proofErr w:type="spellEnd"/>
    <w:r w:rsidRPr="00432AB5">
      <w:rPr>
        <w:rStyle w:val="HideTWBExt"/>
      </w:rPr>
      <w:t>&gt;&lt;Version&gt;</w:t>
    </w:r>
    <w:r w:rsidRPr="00432AB5">
      <w:t>v02-00</w:t>
    </w:r>
    <w:r w:rsidRPr="00432AB5">
      <w:rPr>
        <w:rStyle w:val="HideTWBExt"/>
      </w:rPr>
      <w:t>&lt;/Version&gt;</w:t>
    </w:r>
    <w:r w:rsidRPr="00432AB5">
      <w:tab/>
    </w:r>
    <w:r w:rsidRPr="00432AB5">
      <w:fldChar w:fldCharType="begin"/>
    </w:r>
    <w:r w:rsidRPr="00432AB5">
      <w:instrText xml:space="preserve"> PAGE  \* MERGEFORMAT </w:instrText>
    </w:r>
    <w:r w:rsidRPr="00432AB5">
      <w:fldChar w:fldCharType="separate"/>
    </w:r>
    <w:r w:rsidRPr="00432AB5">
      <w:rPr>
        <w:noProof/>
      </w:rPr>
      <w:t>1</w:t>
    </w:r>
    <w:r w:rsidRPr="00432AB5">
      <w:fldChar w:fldCharType="end"/>
    </w:r>
    <w:r w:rsidRPr="00432AB5">
      <w:t>/</w:t>
    </w:r>
    <w:r w:rsidR="00DE244A">
      <w:fldChar w:fldCharType="begin"/>
    </w:r>
    <w:r w:rsidR="00DE244A">
      <w:instrText xml:space="preserve"> NUMPAGES  \* MERGEFORMAT </w:instrText>
    </w:r>
    <w:r w:rsidR="00DE244A">
      <w:fldChar w:fldCharType="separate"/>
    </w:r>
    <w:r w:rsidRPr="00432AB5">
      <w:rPr>
        <w:noProof/>
      </w:rPr>
      <w:t>1</w:t>
    </w:r>
    <w:r w:rsidR="00DE244A">
      <w:rPr>
        <w:noProof/>
      </w:rPr>
      <w:fldChar w:fldCharType="end"/>
    </w:r>
    <w:r w:rsidRPr="00432AB5">
      <w:tab/>
    </w:r>
    <w:r w:rsidRPr="00432AB5">
      <w:rPr>
        <w:rStyle w:val="HideTWBExt"/>
      </w:rPr>
      <w:t>&lt;PathFdR&gt;</w:t>
    </w:r>
    <w:r w:rsidRPr="00432AB5">
      <w:t>RR\1339613SV.docx</w:t>
    </w:r>
    <w:r w:rsidRPr="00432AB5">
      <w:rPr>
        <w:rStyle w:val="HideTWBExt"/>
      </w:rPr>
      <w:t>&lt;/</w:t>
    </w:r>
    <w:proofErr w:type="spellStart"/>
    <w:r w:rsidRPr="00432AB5">
      <w:rPr>
        <w:rStyle w:val="HideTWBExt"/>
      </w:rPr>
      <w:t>PathFdR</w:t>
    </w:r>
    <w:proofErr w:type="spellEnd"/>
    <w:r w:rsidRPr="00432AB5">
      <w:rPr>
        <w:rStyle w:val="HideTWBExt"/>
      </w:rPr>
      <w:t>&gt;</w:t>
    </w:r>
  </w:p>
  <w:p w14:paraId="426BC9E5" w14:textId="77777777" w:rsidR="006C3330" w:rsidRPr="00432AB5" w:rsidRDefault="006C3330" w:rsidP="00F26BEE">
    <w:pPr>
      <w:pStyle w:val="EPFooter2"/>
    </w:pPr>
    <w:r w:rsidRPr="00432AB5">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25186" w14:textId="24CE4A31" w:rsidR="006C3330" w:rsidRPr="00432AB5" w:rsidRDefault="006C3330" w:rsidP="00F26BE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28F1D" w14:textId="77777777" w:rsidR="006C3330" w:rsidRPr="00432AB5" w:rsidRDefault="006C3330" w:rsidP="00F26BEE">
    <w:pPr>
      <w:pStyle w:val="EPFooter"/>
    </w:pPr>
    <w:r w:rsidRPr="00432AB5">
      <w:rPr>
        <w:rStyle w:val="HideTWBExt"/>
      </w:rPr>
      <w:t>&lt;PathFdR&gt;</w:t>
    </w:r>
    <w:r w:rsidRPr="00432AB5">
      <w:t>RR\1339613SV.docx</w:t>
    </w:r>
    <w:r w:rsidRPr="00432AB5">
      <w:rPr>
        <w:rStyle w:val="HideTWBExt"/>
      </w:rPr>
      <w:t>&lt;/</w:t>
    </w:r>
    <w:proofErr w:type="spellStart"/>
    <w:r w:rsidRPr="00432AB5">
      <w:rPr>
        <w:rStyle w:val="HideTWBExt"/>
      </w:rPr>
      <w:t>PathFdR</w:t>
    </w:r>
    <w:proofErr w:type="spellEnd"/>
    <w:r w:rsidRPr="00432AB5">
      <w:rPr>
        <w:rStyle w:val="HideTWBExt"/>
      </w:rPr>
      <w:t>&gt;</w:t>
    </w:r>
    <w:r w:rsidRPr="00432AB5">
      <w:tab/>
    </w:r>
    <w:r w:rsidRPr="00432AB5">
      <w:tab/>
      <w:t>PE</w:t>
    </w:r>
    <w:r w:rsidRPr="00432AB5">
      <w:rPr>
        <w:rStyle w:val="HideTWBExt"/>
      </w:rPr>
      <w:t>&lt;</w:t>
    </w:r>
    <w:proofErr w:type="spellStart"/>
    <w:r w:rsidRPr="00432AB5">
      <w:rPr>
        <w:rStyle w:val="HideTWBExt"/>
      </w:rPr>
      <w:t>NoPE</w:t>
    </w:r>
    <w:proofErr w:type="spellEnd"/>
    <w:r w:rsidRPr="00432AB5">
      <w:rPr>
        <w:rStyle w:val="HideTWBExt"/>
      </w:rPr>
      <w:t>&gt;</w:t>
    </w:r>
    <w:r w:rsidRPr="00432AB5">
      <w:t>778.063</w:t>
    </w:r>
    <w:r w:rsidRPr="00432AB5">
      <w:rPr>
        <w:rStyle w:val="HideTWBExt"/>
      </w:rPr>
      <w:t>&lt;/</w:t>
    </w:r>
    <w:proofErr w:type="spellStart"/>
    <w:r w:rsidRPr="00432AB5">
      <w:rPr>
        <w:rStyle w:val="HideTWBExt"/>
      </w:rPr>
      <w:t>NoPE</w:t>
    </w:r>
    <w:proofErr w:type="spellEnd"/>
    <w:r w:rsidRPr="00432AB5">
      <w:rPr>
        <w:rStyle w:val="HideTWBExt"/>
      </w:rPr>
      <w:t>&gt;&lt;Version&gt;</w:t>
    </w:r>
    <w:r w:rsidRPr="00432AB5">
      <w:t>v02-00</w:t>
    </w:r>
    <w:r w:rsidRPr="00432AB5">
      <w:rPr>
        <w:rStyle w:val="HideTWBExt"/>
      </w:rPr>
      <w:t>&lt;/Version&gt;</w:t>
    </w:r>
  </w:p>
  <w:p w14:paraId="75392E10" w14:textId="77777777" w:rsidR="006C3330" w:rsidRPr="00432AB5" w:rsidRDefault="006C3330" w:rsidP="00F26BEE">
    <w:pPr>
      <w:pStyle w:val="EPFooter2"/>
    </w:pPr>
    <w:r w:rsidRPr="00432AB5">
      <w:t>SV</w:t>
    </w:r>
    <w:r w:rsidRPr="00432AB5">
      <w:tab/>
    </w:r>
    <w:r w:rsidRPr="00432AB5">
      <w:rPr>
        <w:b w:val="0"/>
        <w:i/>
        <w:color w:val="C0C0C0"/>
        <w:sz w:val="22"/>
      </w:rPr>
      <w:t>Förenade i mångfalden</w:t>
    </w:r>
    <w:r w:rsidRPr="00432AB5">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12BFD" w14:textId="77777777" w:rsidR="00064002" w:rsidRPr="00432AB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A461E" w14:textId="77777777" w:rsidR="00064002" w:rsidRPr="00432AB5"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F8FB8" w14:textId="77777777" w:rsidR="00064002" w:rsidRPr="00432AB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56D88" w14:textId="77777777" w:rsidR="00AF4E15" w:rsidRPr="00432AB5" w:rsidRDefault="00AF4E15">
      <w:r w:rsidRPr="00432AB5">
        <w:separator/>
      </w:r>
    </w:p>
  </w:footnote>
  <w:footnote w:type="continuationSeparator" w:id="0">
    <w:p w14:paraId="43323805" w14:textId="77777777" w:rsidR="00AF4E15" w:rsidRPr="00432AB5" w:rsidRDefault="00AF4E15">
      <w:r w:rsidRPr="00432AB5">
        <w:continuationSeparator/>
      </w:r>
    </w:p>
  </w:footnote>
  <w:footnote w:id="1">
    <w:p w14:paraId="24714976" w14:textId="3D68B79E" w:rsidR="006C3330" w:rsidRPr="00EF0C25" w:rsidRDefault="006C3330" w:rsidP="00432AB5">
      <w:pPr>
        <w:pStyle w:val="FootnoteText"/>
        <w:ind w:left="567" w:hanging="567"/>
        <w:rPr>
          <w:sz w:val="24"/>
          <w:lang w:val="fi-FI"/>
        </w:rPr>
      </w:pPr>
      <w:r w:rsidRPr="00432AB5">
        <w:rPr>
          <w:rStyle w:val="FootnoteReference"/>
          <w:sz w:val="24"/>
          <w:lang w:val="sv-SE"/>
        </w:rPr>
        <w:footnoteRef/>
      </w:r>
      <w:r w:rsidR="00432AB5" w:rsidRPr="00EF0C25">
        <w:rPr>
          <w:sz w:val="24"/>
          <w:lang w:val="fi-FI"/>
        </w:rPr>
        <w:t xml:space="preserve"> </w:t>
      </w:r>
      <w:r w:rsidR="00432AB5" w:rsidRPr="00EF0C25">
        <w:rPr>
          <w:sz w:val="24"/>
          <w:lang w:val="fi-FI"/>
        </w:rPr>
        <w:tab/>
      </w:r>
      <w:r w:rsidRPr="00EF0C25">
        <w:rPr>
          <w:sz w:val="24"/>
          <w:lang w:val="fi-FI"/>
        </w:rPr>
        <w:t>EUT L</w:t>
      </w:r>
      <w:r w:rsidR="00687920">
        <w:rPr>
          <w:sz w:val="24"/>
          <w:lang w:val="fi-FI"/>
        </w:rPr>
        <w:t>,</w:t>
      </w:r>
      <w:r w:rsidRPr="00EF0C25">
        <w:rPr>
          <w:sz w:val="24"/>
          <w:lang w:val="fi-FI"/>
        </w:rPr>
        <w:t xml:space="preserve"> </w:t>
      </w:r>
      <w:r w:rsidR="00917CAC">
        <w:rPr>
          <w:sz w:val="24"/>
          <w:lang w:val="fi-FI"/>
        </w:rPr>
        <w:t>2024/</w:t>
      </w:r>
      <w:r w:rsidRPr="00EF0C25">
        <w:rPr>
          <w:sz w:val="24"/>
          <w:lang w:val="fi-FI"/>
        </w:rPr>
        <w:t xml:space="preserve">207, 22.2.2024, ELI: </w:t>
      </w:r>
      <w:hyperlink r:id="rId1" w:history="1">
        <w:r w:rsidRPr="00EF0C25">
          <w:rPr>
            <w:rStyle w:val="Hyperlink"/>
            <w:sz w:val="24"/>
            <w:lang w:val="fi-FI"/>
          </w:rPr>
          <w:t>http://data.europa.eu/eli/budget/2024/207/oj</w:t>
        </w:r>
      </w:hyperlink>
      <w:r w:rsidRPr="00EF0C25">
        <w:rPr>
          <w:sz w:val="24"/>
          <w:lang w:val="fi-FI"/>
        </w:rPr>
        <w:t>.</w:t>
      </w:r>
    </w:p>
  </w:footnote>
  <w:footnote w:id="2">
    <w:p w14:paraId="291C004C" w14:textId="2D1D8850" w:rsidR="006C3330" w:rsidRPr="00EF0C25" w:rsidRDefault="006C3330" w:rsidP="00432AB5">
      <w:pPr>
        <w:pStyle w:val="FootnoteText"/>
        <w:ind w:left="567" w:hanging="567"/>
        <w:rPr>
          <w:sz w:val="24"/>
          <w:lang w:val="fr-BE"/>
        </w:rPr>
      </w:pPr>
      <w:r w:rsidRPr="00432AB5">
        <w:rPr>
          <w:rStyle w:val="FootnoteReference"/>
          <w:sz w:val="24"/>
          <w:lang w:val="sv-SE"/>
        </w:rPr>
        <w:footnoteRef/>
      </w:r>
      <w:r w:rsidR="00432AB5" w:rsidRPr="00EF0C25">
        <w:rPr>
          <w:sz w:val="24"/>
          <w:lang w:val="fr-BE"/>
        </w:rPr>
        <w:t xml:space="preserve"> </w:t>
      </w:r>
      <w:r w:rsidR="00432AB5" w:rsidRPr="00EF0C25">
        <w:rPr>
          <w:sz w:val="24"/>
          <w:lang w:val="fr-BE"/>
        </w:rPr>
        <w:tab/>
      </w:r>
      <w:r w:rsidRPr="00EF0C25">
        <w:rPr>
          <w:sz w:val="24"/>
          <w:lang w:val="fr-BE"/>
        </w:rPr>
        <w:t>EUT C, C/2025/4944, 13.10.2025, ELI: </w:t>
      </w:r>
      <w:hyperlink r:id="rId2" w:tgtFrame="_blank" w:tooltip="Ger tillgång till detta dokument via dess ELI URI." w:history="1">
        <w:r w:rsidRPr="00EF0C25">
          <w:rPr>
            <w:rStyle w:val="Hyperlink"/>
            <w:sz w:val="24"/>
            <w:lang w:val="fr-BE"/>
          </w:rPr>
          <w:t>http://data.europa.eu/eli/C/2025/4944/oj</w:t>
        </w:r>
      </w:hyperlink>
      <w:r w:rsidRPr="00EF0C25">
        <w:rPr>
          <w:sz w:val="24"/>
          <w:lang w:val="fr-BE"/>
        </w:rPr>
        <w:t>.</w:t>
      </w:r>
    </w:p>
  </w:footnote>
  <w:footnote w:id="3">
    <w:p w14:paraId="32442194" w14:textId="40ED625F" w:rsidR="006C3330" w:rsidRPr="00EF0C25" w:rsidRDefault="006C3330" w:rsidP="00432AB5">
      <w:pPr>
        <w:pStyle w:val="FootnoteText"/>
        <w:ind w:left="567" w:hanging="567"/>
        <w:rPr>
          <w:sz w:val="24"/>
          <w:lang w:val="fi-FI"/>
        </w:rPr>
      </w:pPr>
      <w:r w:rsidRPr="00432AB5">
        <w:rPr>
          <w:rStyle w:val="FootnoteReference"/>
          <w:sz w:val="24"/>
          <w:lang w:val="sv-SE"/>
        </w:rPr>
        <w:footnoteRef/>
      </w:r>
      <w:r w:rsidR="00432AB5" w:rsidRPr="00EF0C25">
        <w:rPr>
          <w:sz w:val="24"/>
          <w:lang w:val="fi-FI"/>
        </w:rPr>
        <w:t xml:space="preserve"> </w:t>
      </w:r>
      <w:r w:rsidR="00432AB5" w:rsidRPr="00EF0C25">
        <w:rPr>
          <w:sz w:val="24"/>
          <w:lang w:val="fi-FI"/>
        </w:rPr>
        <w:tab/>
      </w:r>
      <w:r w:rsidR="00DE244A">
        <w:rPr>
          <w:sz w:val="24"/>
          <w:lang w:val="fi-FI"/>
        </w:rPr>
        <w:t>EUT</w:t>
      </w:r>
      <w:r w:rsidRPr="00EF0C25">
        <w:rPr>
          <w:sz w:val="24"/>
          <w:lang w:val="fi-FI"/>
        </w:rPr>
        <w:t xml:space="preserve"> C, C/2025/5409, 8.10.2025, ELI: </w:t>
      </w:r>
      <w:hyperlink r:id="rId3" w:history="1">
        <w:r w:rsidRPr="00EF0C25">
          <w:rPr>
            <w:rStyle w:val="Hyperlink"/>
            <w:sz w:val="24"/>
            <w:lang w:val="fi-FI"/>
          </w:rPr>
          <w:t>http://data.europa.eu/eli/C/2025/5409/oj</w:t>
        </w:r>
      </w:hyperlink>
      <w:r w:rsidRPr="00EF0C25">
        <w:rPr>
          <w:sz w:val="24"/>
          <w:lang w:val="fi-FI"/>
        </w:rPr>
        <w:t>.</w:t>
      </w:r>
    </w:p>
  </w:footnote>
  <w:footnote w:id="4">
    <w:p w14:paraId="7AC8E68E" w14:textId="44316C6A" w:rsidR="006C3330" w:rsidRPr="00EF0C25" w:rsidRDefault="006C3330" w:rsidP="00432AB5">
      <w:pPr>
        <w:pStyle w:val="FootnoteText"/>
        <w:ind w:left="567" w:hanging="567"/>
        <w:rPr>
          <w:sz w:val="24"/>
          <w:lang w:val="fi-FI"/>
        </w:rPr>
      </w:pPr>
      <w:r w:rsidRPr="00432AB5">
        <w:rPr>
          <w:rStyle w:val="FootnoteReference"/>
          <w:sz w:val="24"/>
          <w:lang w:val="sv-SE"/>
        </w:rPr>
        <w:footnoteRef/>
      </w:r>
      <w:r w:rsidR="00432AB5" w:rsidRPr="00EF0C25">
        <w:rPr>
          <w:sz w:val="24"/>
          <w:lang w:val="fi-FI"/>
        </w:rPr>
        <w:t xml:space="preserve"> </w:t>
      </w:r>
      <w:r w:rsidR="00432AB5" w:rsidRPr="00EF0C25">
        <w:rPr>
          <w:sz w:val="24"/>
          <w:lang w:val="fi-FI"/>
        </w:rPr>
        <w:tab/>
      </w:r>
      <w:r w:rsidRPr="00EF0C25">
        <w:rPr>
          <w:sz w:val="24"/>
          <w:lang w:val="fi-FI"/>
        </w:rPr>
        <w:t xml:space="preserve">EUT C, C/2025/5407, 13.10.2025, ELI: </w:t>
      </w:r>
      <w:hyperlink r:id="rId4" w:history="1">
        <w:r w:rsidRPr="00EF0C25">
          <w:rPr>
            <w:rStyle w:val="Hyperlink"/>
            <w:sz w:val="24"/>
            <w:lang w:val="fi-FI"/>
          </w:rPr>
          <w:t>http://data.europa.eu/eli/C/2025/5407/oj</w:t>
        </w:r>
      </w:hyperlink>
      <w:r w:rsidRPr="00EF0C25">
        <w:rPr>
          <w:sz w:val="24"/>
          <w:lang w:val="fi-FI"/>
        </w:rPr>
        <w:t>.</w:t>
      </w:r>
    </w:p>
  </w:footnote>
  <w:footnote w:id="5">
    <w:p w14:paraId="0841D3D8" w14:textId="5624272C" w:rsidR="006C3330" w:rsidRPr="00EF0C25" w:rsidRDefault="006C3330" w:rsidP="00432AB5">
      <w:pPr>
        <w:pStyle w:val="FootnoteText"/>
        <w:ind w:left="567" w:hanging="567"/>
        <w:rPr>
          <w:sz w:val="24"/>
          <w:lang w:val="fi-FI"/>
        </w:rPr>
      </w:pPr>
      <w:r w:rsidRPr="00432AB5">
        <w:rPr>
          <w:rStyle w:val="FootnoteReference"/>
          <w:sz w:val="24"/>
          <w:lang w:val="sv-SE"/>
        </w:rPr>
        <w:footnoteRef/>
      </w:r>
      <w:r w:rsidR="00432AB5" w:rsidRPr="00EF0C25">
        <w:rPr>
          <w:sz w:val="24"/>
          <w:lang w:val="fi-FI"/>
        </w:rPr>
        <w:t xml:space="preserve"> </w:t>
      </w:r>
      <w:r w:rsidR="00432AB5" w:rsidRPr="00EF0C25">
        <w:rPr>
          <w:sz w:val="24"/>
          <w:lang w:val="fi-FI"/>
        </w:rPr>
        <w:tab/>
      </w:r>
      <w:r w:rsidRPr="00EF0C25">
        <w:rPr>
          <w:sz w:val="24"/>
          <w:lang w:val="fi-FI"/>
        </w:rPr>
        <w:t xml:space="preserve">EUT L 193, 30.7.2018, s. 1, ELI: </w:t>
      </w:r>
      <w:hyperlink r:id="rId5" w:history="1">
        <w:r w:rsidRPr="00EF0C25">
          <w:rPr>
            <w:rStyle w:val="Hyperlink"/>
            <w:sz w:val="24"/>
            <w:lang w:val="fi-FI"/>
          </w:rPr>
          <w:t>http://data.europa.eu/eli/reg/2018/1046/oj</w:t>
        </w:r>
      </w:hyperlink>
      <w:r w:rsidRPr="00EF0C25">
        <w:rPr>
          <w:sz w:val="24"/>
          <w:lang w:val="fi-FI"/>
        </w:rPr>
        <w:t>.</w:t>
      </w:r>
    </w:p>
  </w:footnote>
  <w:footnote w:id="6">
    <w:p w14:paraId="6068BB7E" w14:textId="4246C445" w:rsidR="006C3330" w:rsidRPr="00EF0C25" w:rsidRDefault="006C3330" w:rsidP="00432AB5">
      <w:pPr>
        <w:pStyle w:val="FootnoteText"/>
        <w:ind w:left="567" w:hanging="567"/>
        <w:rPr>
          <w:sz w:val="24"/>
          <w:szCs w:val="24"/>
          <w:lang w:val="fi-FI"/>
        </w:rPr>
      </w:pPr>
      <w:r w:rsidRPr="00432AB5">
        <w:rPr>
          <w:rStyle w:val="FootnoteReference"/>
          <w:sz w:val="24"/>
          <w:lang w:val="sv-SE"/>
        </w:rPr>
        <w:footnoteRef/>
      </w:r>
      <w:r w:rsidR="00432AB5" w:rsidRPr="00EF0C25">
        <w:rPr>
          <w:sz w:val="24"/>
          <w:lang w:val="fi-FI"/>
        </w:rPr>
        <w:t xml:space="preserve"> </w:t>
      </w:r>
      <w:r w:rsidR="00432AB5" w:rsidRPr="00EF0C25">
        <w:rPr>
          <w:sz w:val="24"/>
          <w:lang w:val="fi-FI"/>
        </w:rPr>
        <w:tab/>
      </w:r>
      <w:r w:rsidRPr="00EF0C25">
        <w:rPr>
          <w:sz w:val="24"/>
          <w:lang w:val="fi-FI"/>
        </w:rPr>
        <w:t xml:space="preserve">EUT L, 2024/2509, 26.9.2024, ELI: </w:t>
      </w:r>
      <w:hyperlink r:id="rId6" w:history="1">
        <w:r w:rsidRPr="00EF0C25">
          <w:rPr>
            <w:rStyle w:val="Hyperlink"/>
            <w:sz w:val="24"/>
            <w:lang w:val="fi-FI"/>
          </w:rPr>
          <w:t>http://data.europa.eu/eli/reg/2024/2509/oj</w:t>
        </w:r>
      </w:hyperlink>
      <w:r w:rsidRPr="00EF0C25">
        <w:rPr>
          <w:sz w:val="24"/>
          <w:lang w:val="fi-FI"/>
        </w:rPr>
        <w:t>.</w:t>
      </w:r>
    </w:p>
  </w:footnote>
  <w:footnote w:id="7">
    <w:p w14:paraId="34807D2A" w14:textId="18DC5272" w:rsidR="006C3330" w:rsidRPr="00432AB5" w:rsidRDefault="006C3330" w:rsidP="00432AB5">
      <w:pPr>
        <w:pStyle w:val="FootnoteText"/>
        <w:ind w:left="567" w:hanging="567"/>
        <w:rPr>
          <w:sz w:val="24"/>
          <w:lang w:val="sv-SE"/>
        </w:rPr>
      </w:pPr>
      <w:r w:rsidRPr="00432AB5">
        <w:rPr>
          <w:rStyle w:val="FootnoteReference"/>
          <w:sz w:val="24"/>
          <w:lang w:val="sv-SE"/>
        </w:rPr>
        <w:footnoteRef/>
      </w:r>
      <w:r w:rsidR="00432AB5" w:rsidRPr="00432AB5">
        <w:rPr>
          <w:color w:val="333333"/>
          <w:sz w:val="24"/>
          <w:shd w:val="clear" w:color="auto" w:fill="FFFFFF"/>
          <w:lang w:val="sv-SE"/>
        </w:rPr>
        <w:t xml:space="preserve"> </w:t>
      </w:r>
      <w:r w:rsidR="00432AB5" w:rsidRPr="00432AB5">
        <w:rPr>
          <w:color w:val="333333"/>
          <w:sz w:val="24"/>
          <w:shd w:val="clear" w:color="auto" w:fill="FFFFFF"/>
          <w:lang w:val="sv-SE"/>
        </w:rPr>
        <w:tab/>
      </w:r>
      <w:r w:rsidRPr="00432AB5">
        <w:rPr>
          <w:color w:val="333333"/>
          <w:sz w:val="24"/>
          <w:shd w:val="clear" w:color="auto" w:fill="FFFFFF"/>
          <w:lang w:val="sv-SE"/>
        </w:rPr>
        <w:t>Europaparlamentets och rådets förordning (EU, Euratom) 2023/2841 av den 13 december 2023 om åtgärder för en hög gemensam cybersäkerhetsnivå vid unionens institutioner, organ och byråer (EUT L, 2023/2841, 18.12.2023, ELI: </w:t>
      </w:r>
      <w:hyperlink r:id="rId7" w:tgtFrame="_blank" w:tooltip="Ger tillgång till detta dokument via dess ELI URI." w:history="1">
        <w:r w:rsidRPr="00432AB5">
          <w:rPr>
            <w:rStyle w:val="Hyperlink"/>
            <w:sz w:val="24"/>
            <w:shd w:val="clear" w:color="auto" w:fill="FFFFFF"/>
            <w:lang w:val="sv-SE"/>
          </w:rPr>
          <w:t>http://data.europa.eu/</w:t>
        </w:r>
        <w:proofErr w:type="spellStart"/>
        <w:r w:rsidRPr="00432AB5">
          <w:rPr>
            <w:rStyle w:val="Hyperlink"/>
            <w:sz w:val="24"/>
            <w:shd w:val="clear" w:color="auto" w:fill="FFFFFF"/>
            <w:lang w:val="sv-SE"/>
          </w:rPr>
          <w:t>eli</w:t>
        </w:r>
        <w:proofErr w:type="spellEnd"/>
        <w:r w:rsidRPr="00432AB5">
          <w:rPr>
            <w:rStyle w:val="Hyperlink"/>
            <w:sz w:val="24"/>
            <w:shd w:val="clear" w:color="auto" w:fill="FFFFFF"/>
            <w:lang w:val="sv-SE"/>
          </w:rPr>
          <w:t>/</w:t>
        </w:r>
        <w:proofErr w:type="spellStart"/>
        <w:r w:rsidRPr="00432AB5">
          <w:rPr>
            <w:rStyle w:val="Hyperlink"/>
            <w:sz w:val="24"/>
            <w:shd w:val="clear" w:color="auto" w:fill="FFFFFF"/>
            <w:lang w:val="sv-SE"/>
          </w:rPr>
          <w:t>reg</w:t>
        </w:r>
        <w:proofErr w:type="spellEnd"/>
        <w:r w:rsidRPr="00432AB5">
          <w:rPr>
            <w:rStyle w:val="Hyperlink"/>
            <w:sz w:val="24"/>
            <w:shd w:val="clear" w:color="auto" w:fill="FFFFFF"/>
            <w:lang w:val="sv-SE"/>
          </w:rPr>
          <w:t>/2023/2841/oj</w:t>
        </w:r>
      </w:hyperlink>
      <w:r w:rsidRPr="00432AB5">
        <w:rPr>
          <w:color w:val="333333"/>
          <w:sz w:val="24"/>
          <w:shd w:val="clear" w:color="auto" w:fill="FFFFFF"/>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E8F39" w14:textId="77777777" w:rsidR="006C3330" w:rsidRPr="00432AB5" w:rsidRDefault="006C33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1C7DD" w14:textId="77777777" w:rsidR="006C3330" w:rsidRPr="00432AB5" w:rsidRDefault="006C33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40AFE" w14:textId="77777777" w:rsidR="006C3330" w:rsidRPr="00432AB5" w:rsidRDefault="006C33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EBA44" w14:textId="77777777" w:rsidR="00064002" w:rsidRPr="00432AB5"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EBE11" w14:textId="77777777" w:rsidR="00064002" w:rsidRPr="00432AB5"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808E8" w14:textId="77777777" w:rsidR="00064002" w:rsidRPr="00432AB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4745801">
    <w:abstractNumId w:val="9"/>
  </w:num>
  <w:num w:numId="2" w16cid:durableId="47731360">
    <w:abstractNumId w:val="9"/>
  </w:num>
  <w:num w:numId="3" w16cid:durableId="1701973973">
    <w:abstractNumId w:val="7"/>
  </w:num>
  <w:num w:numId="4" w16cid:durableId="1335766095">
    <w:abstractNumId w:val="7"/>
  </w:num>
  <w:num w:numId="5" w16cid:durableId="1576697502">
    <w:abstractNumId w:val="6"/>
  </w:num>
  <w:num w:numId="6" w16cid:durableId="642005584">
    <w:abstractNumId w:val="6"/>
  </w:num>
  <w:num w:numId="7" w16cid:durableId="802886959">
    <w:abstractNumId w:val="5"/>
  </w:num>
  <w:num w:numId="8" w16cid:durableId="405686515">
    <w:abstractNumId w:val="5"/>
  </w:num>
  <w:num w:numId="9" w16cid:durableId="182280558">
    <w:abstractNumId w:val="4"/>
  </w:num>
  <w:num w:numId="10" w16cid:durableId="281302579">
    <w:abstractNumId w:val="4"/>
  </w:num>
  <w:num w:numId="11" w16cid:durableId="2092922400">
    <w:abstractNumId w:val="8"/>
  </w:num>
  <w:num w:numId="12" w16cid:durableId="1090808768">
    <w:abstractNumId w:val="8"/>
  </w:num>
  <w:num w:numId="13" w16cid:durableId="1095175004">
    <w:abstractNumId w:val="3"/>
  </w:num>
  <w:num w:numId="14" w16cid:durableId="1652445920">
    <w:abstractNumId w:val="3"/>
  </w:num>
  <w:num w:numId="15" w16cid:durableId="355162318">
    <w:abstractNumId w:val="2"/>
  </w:num>
  <w:num w:numId="16" w16cid:durableId="886184767">
    <w:abstractNumId w:val="2"/>
  </w:num>
  <w:num w:numId="17" w16cid:durableId="2109539029">
    <w:abstractNumId w:val="1"/>
  </w:num>
  <w:num w:numId="18" w16cid:durableId="1287152770">
    <w:abstractNumId w:val="1"/>
  </w:num>
  <w:num w:numId="19" w16cid:durableId="554439162">
    <w:abstractNumId w:val="0"/>
  </w:num>
  <w:num w:numId="20" w16cid:durableId="1814714016">
    <w:abstractNumId w:val="0"/>
  </w:num>
  <w:num w:numId="21" w16cid:durableId="725253679">
    <w:abstractNumId w:val="9"/>
  </w:num>
  <w:num w:numId="22" w16cid:durableId="940645757">
    <w:abstractNumId w:val="7"/>
  </w:num>
  <w:num w:numId="23" w16cid:durableId="1421289511">
    <w:abstractNumId w:val="6"/>
  </w:num>
  <w:num w:numId="24" w16cid:durableId="1383940715">
    <w:abstractNumId w:val="5"/>
  </w:num>
  <w:num w:numId="25" w16cid:durableId="789128938">
    <w:abstractNumId w:val="4"/>
  </w:num>
  <w:num w:numId="26" w16cid:durableId="476727881">
    <w:abstractNumId w:val="8"/>
  </w:num>
  <w:num w:numId="27" w16cid:durableId="2137601672">
    <w:abstractNumId w:val="3"/>
  </w:num>
  <w:num w:numId="28" w16cid:durableId="785732072">
    <w:abstractNumId w:val="2"/>
  </w:num>
  <w:num w:numId="29" w16cid:durableId="311762196">
    <w:abstractNumId w:val="1"/>
  </w:num>
  <w:num w:numId="30" w16cid:durableId="2119791854">
    <w:abstractNumId w:val="0"/>
  </w:num>
  <w:num w:numId="31" w16cid:durableId="169760964">
    <w:abstractNumId w:val="9"/>
  </w:num>
  <w:num w:numId="32" w16cid:durableId="675231963">
    <w:abstractNumId w:val="7"/>
  </w:num>
  <w:num w:numId="33" w16cid:durableId="206381721">
    <w:abstractNumId w:val="6"/>
  </w:num>
  <w:num w:numId="34" w16cid:durableId="1799760294">
    <w:abstractNumId w:val="5"/>
  </w:num>
  <w:num w:numId="35" w16cid:durableId="288826668">
    <w:abstractNumId w:val="4"/>
  </w:num>
  <w:num w:numId="36" w16cid:durableId="576551776">
    <w:abstractNumId w:val="8"/>
  </w:num>
  <w:num w:numId="37" w16cid:durableId="1486169619">
    <w:abstractNumId w:val="3"/>
  </w:num>
  <w:num w:numId="38" w16cid:durableId="381952313">
    <w:abstractNumId w:val="2"/>
  </w:num>
  <w:num w:numId="39" w16cid:durableId="138302639">
    <w:abstractNumId w:val="1"/>
  </w:num>
  <w:num w:numId="40" w16cid:durableId="516768811">
    <w:abstractNumId w:val="0"/>
  </w:num>
  <w:num w:numId="41" w16cid:durableId="1057515953">
    <w:abstractNumId w:val="10"/>
  </w:num>
  <w:num w:numId="42" w16cid:durableId="1096823055">
    <w:abstractNumId w:val="10"/>
  </w:num>
  <w:num w:numId="43" w16cid:durableId="560020911">
    <w:abstractNumId w:val="10"/>
  </w:num>
  <w:num w:numId="44" w16cid:durableId="20882630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SV"/>
    <w:docVar w:name="dvnumam" w:val="0"/>
    <w:docVar w:name="dvpe" w:val="778.063"/>
    <w:docVar w:name="dvrapporteur" w:val="Föredragande: "/>
    <w:docVar w:name="dvtitre" w:val="Europaparlamentets beslut av den xx xx 2026 om ansvarsfrihet för genomförandet av Europeiska unionens allmänna budget för budgetåret 2024, avsnitt VI – Europeiska ekonomiska och sociala kommittén(2025/2151(DEC))"/>
  </w:docVars>
  <w:rsids>
    <w:rsidRoot w:val="00AF4E15"/>
    <w:rsid w:val="00002272"/>
    <w:rsid w:val="00064002"/>
    <w:rsid w:val="000677B9"/>
    <w:rsid w:val="000831BA"/>
    <w:rsid w:val="000A42CC"/>
    <w:rsid w:val="000E7DD9"/>
    <w:rsid w:val="0010095E"/>
    <w:rsid w:val="00125B37"/>
    <w:rsid w:val="00187494"/>
    <w:rsid w:val="001F32AE"/>
    <w:rsid w:val="00266853"/>
    <w:rsid w:val="002767FF"/>
    <w:rsid w:val="002B18FE"/>
    <w:rsid w:val="002B5493"/>
    <w:rsid w:val="00343214"/>
    <w:rsid w:val="00361C00"/>
    <w:rsid w:val="00395FA1"/>
    <w:rsid w:val="003E15D4"/>
    <w:rsid w:val="004002C0"/>
    <w:rsid w:val="00411CCE"/>
    <w:rsid w:val="0041666E"/>
    <w:rsid w:val="00421060"/>
    <w:rsid w:val="00432AB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7920"/>
    <w:rsid w:val="006C333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1E40"/>
    <w:rsid w:val="008F4CB4"/>
    <w:rsid w:val="00917CAC"/>
    <w:rsid w:val="00930C23"/>
    <w:rsid w:val="0093193B"/>
    <w:rsid w:val="00941848"/>
    <w:rsid w:val="009509D8"/>
    <w:rsid w:val="00950B64"/>
    <w:rsid w:val="00981893"/>
    <w:rsid w:val="00A1687D"/>
    <w:rsid w:val="00A43E52"/>
    <w:rsid w:val="00A4678D"/>
    <w:rsid w:val="00A65AEB"/>
    <w:rsid w:val="00A778C7"/>
    <w:rsid w:val="00AB441E"/>
    <w:rsid w:val="00AB6293"/>
    <w:rsid w:val="00AE0928"/>
    <w:rsid w:val="00AF3B82"/>
    <w:rsid w:val="00AF4E15"/>
    <w:rsid w:val="00B12E95"/>
    <w:rsid w:val="00B22876"/>
    <w:rsid w:val="00B27A7D"/>
    <w:rsid w:val="00B558F0"/>
    <w:rsid w:val="00BD48FE"/>
    <w:rsid w:val="00BD7BD8"/>
    <w:rsid w:val="00BE6ADC"/>
    <w:rsid w:val="00C05BFE"/>
    <w:rsid w:val="00C155AF"/>
    <w:rsid w:val="00C23CD4"/>
    <w:rsid w:val="00C61C0C"/>
    <w:rsid w:val="00C62C4D"/>
    <w:rsid w:val="00C941CB"/>
    <w:rsid w:val="00CC2357"/>
    <w:rsid w:val="00CF071A"/>
    <w:rsid w:val="00D058B8"/>
    <w:rsid w:val="00D2769B"/>
    <w:rsid w:val="00D56C11"/>
    <w:rsid w:val="00D834A0"/>
    <w:rsid w:val="00D872DF"/>
    <w:rsid w:val="00D91E21"/>
    <w:rsid w:val="00DA7FCD"/>
    <w:rsid w:val="00DE244A"/>
    <w:rsid w:val="00E365E1"/>
    <w:rsid w:val="00E820A4"/>
    <w:rsid w:val="00EB006A"/>
    <w:rsid w:val="00EB4772"/>
    <w:rsid w:val="00ED169E"/>
    <w:rsid w:val="00ED4235"/>
    <w:rsid w:val="00EE072E"/>
    <w:rsid w:val="00EF0C25"/>
    <w:rsid w:val="00F04346"/>
    <w:rsid w:val="00F075DC"/>
    <w:rsid w:val="00F149E9"/>
    <w:rsid w:val="00F5134D"/>
    <w:rsid w:val="00F55E0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C5BAE1"/>
  <w15:chartTrackingRefBased/>
  <w15:docId w15:val="{61AF6269-1AB3-4338-B314-9A3263EFA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C333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C3330"/>
    <w:pPr>
      <w:spacing w:before="480" w:after="240"/>
    </w:pPr>
  </w:style>
  <w:style w:type="paragraph" w:customStyle="1" w:styleId="PageHeading">
    <w:name w:val="PageHeading"/>
    <w:basedOn w:val="Normal"/>
    <w:rsid w:val="006C3330"/>
    <w:pPr>
      <w:keepNext/>
      <w:spacing w:after="480"/>
      <w:jc w:val="center"/>
    </w:pPr>
    <w:rPr>
      <w:rFonts w:ascii="Arial" w:hAnsi="Arial" w:cs="Arial"/>
      <w:b/>
    </w:rPr>
  </w:style>
  <w:style w:type="paragraph" w:customStyle="1" w:styleId="NormalBold">
    <w:name w:val="NormalBold"/>
    <w:basedOn w:val="Normal"/>
    <w:rsid w:val="006C3330"/>
    <w:rPr>
      <w:b/>
    </w:rPr>
  </w:style>
  <w:style w:type="paragraph" w:customStyle="1" w:styleId="NormalHanging12a">
    <w:name w:val="NormalHanging12a"/>
    <w:basedOn w:val="Normal"/>
    <w:link w:val="NormalHanging12aChar"/>
    <w:rsid w:val="006C3330"/>
    <w:pPr>
      <w:spacing w:after="240"/>
      <w:ind w:left="567" w:hanging="567"/>
    </w:pPr>
  </w:style>
  <w:style w:type="paragraph" w:styleId="Header">
    <w:name w:val="header"/>
    <w:basedOn w:val="Normal"/>
    <w:link w:val="HeaderChar"/>
    <w:rsid w:val="006C3330"/>
    <w:pPr>
      <w:tabs>
        <w:tab w:val="center" w:pos="4513"/>
        <w:tab w:val="right" w:pos="9026"/>
      </w:tabs>
    </w:pPr>
  </w:style>
  <w:style w:type="character" w:customStyle="1" w:styleId="HeaderChar">
    <w:name w:val="Header Char"/>
    <w:basedOn w:val="DefaultParagraphFont"/>
    <w:link w:val="Header"/>
    <w:rsid w:val="006C3330"/>
    <w:rPr>
      <w:sz w:val="24"/>
      <w:lang w:val="sv-SE"/>
    </w:rPr>
  </w:style>
  <w:style w:type="paragraph" w:customStyle="1" w:styleId="EPFooter">
    <w:name w:val="EPFooter"/>
    <w:basedOn w:val="Normal"/>
    <w:rsid w:val="006C3330"/>
    <w:pPr>
      <w:tabs>
        <w:tab w:val="center" w:pos="4535"/>
        <w:tab w:val="right" w:pos="9071"/>
      </w:tabs>
      <w:spacing w:before="240" w:after="240"/>
    </w:pPr>
    <w:rPr>
      <w:color w:val="010000"/>
      <w:sz w:val="22"/>
    </w:rPr>
  </w:style>
  <w:style w:type="character" w:styleId="Hyperlink">
    <w:name w:val="Hyperlink"/>
    <w:basedOn w:val="DefaultParagraphFont"/>
    <w:rsid w:val="006C3330"/>
    <w:rPr>
      <w:color w:val="0563C1" w:themeColor="hyperlink"/>
      <w:u w:val="single"/>
    </w:rPr>
  </w:style>
  <w:style w:type="character" w:customStyle="1" w:styleId="NormalHanging12aChar">
    <w:name w:val="NormalHanging12a Char"/>
    <w:basedOn w:val="DefaultParagraphFont"/>
    <w:link w:val="NormalHanging12a"/>
    <w:rsid w:val="006C3330"/>
    <w:rPr>
      <w:sz w:val="24"/>
      <w:lang w:val="sv-SE"/>
    </w:rPr>
  </w:style>
  <w:style w:type="paragraph" w:styleId="Revision">
    <w:name w:val="Revision"/>
    <w:hidden/>
    <w:uiPriority w:val="99"/>
    <w:semiHidden/>
    <w:rsid w:val="00EF0C25"/>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8207</Words>
  <Characters>55160</Characters>
  <Application>Microsoft Office Word</Application>
  <DocSecurity>0</DocSecurity>
  <Lines>459</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ANDERSSON Terese</cp:lastModifiedBy>
  <cp:revision>2</cp:revision>
  <cp:lastPrinted>2004-11-19T15:42:00Z</cp:lastPrinted>
  <dcterms:created xsi:type="dcterms:W3CDTF">2026-05-05T08:36:00Z</dcterms:created>
  <dcterms:modified xsi:type="dcterms:W3CDTF">2026-05-05T08:36:00Z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P10_TA(2026)0131_</vt:lpwstr>
  </property>
  <property fmtid="{D5CDD505-2E9C-101B-9397-08002B2CF9AE}" pid="4" name="&lt;Type&gt;">
    <vt:lpwstr>RR</vt:lpwstr>
  </property>
</Properties>
</file>