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297E" w14:paraId="1BA11CDB" w14:textId="77777777" w:rsidTr="0010095E">
        <w:trPr>
          <w:trHeight w:hRule="exact" w:val="1418"/>
        </w:trPr>
        <w:tc>
          <w:tcPr>
            <w:tcW w:w="6804" w:type="dxa"/>
            <w:shd w:val="clear" w:color="auto" w:fill="auto"/>
            <w:vAlign w:val="center"/>
          </w:tcPr>
          <w:p w14:paraId="156F0FD4" w14:textId="648D2AED" w:rsidR="00751A4A" w:rsidRPr="00D4297E" w:rsidRDefault="00F911ED" w:rsidP="0010095E">
            <w:pPr>
              <w:pStyle w:val="EPName"/>
            </w:pPr>
            <w:r w:rsidRPr="00D4297E">
              <w:t>Европейски</w:t>
            </w:r>
            <w:r w:rsidR="00304C4F" w:rsidRPr="00D4297E">
              <w:t xml:space="preserve"> парламент</w:t>
            </w:r>
          </w:p>
          <w:p w14:paraId="60BEF24F" w14:textId="4D38008F" w:rsidR="00751A4A" w:rsidRPr="00D4297E" w:rsidRDefault="005F1B17" w:rsidP="005F1B17">
            <w:pPr>
              <w:pStyle w:val="EPTerm"/>
              <w:rPr>
                <w:rStyle w:val="HideTWBExt"/>
                <w:noProof w:val="0"/>
                <w:vanish w:val="0"/>
                <w:color w:val="auto"/>
              </w:rPr>
            </w:pPr>
            <w:r w:rsidRPr="00D4297E">
              <w:t>2024</w:t>
            </w:r>
            <w:r w:rsidR="00F911ED">
              <w:t> – </w:t>
            </w:r>
            <w:r w:rsidR="00817416" w:rsidRPr="00D4297E">
              <w:t>202</w:t>
            </w:r>
            <w:r w:rsidRPr="00D4297E">
              <w:t>9</w:t>
            </w:r>
          </w:p>
        </w:tc>
        <w:tc>
          <w:tcPr>
            <w:tcW w:w="2268" w:type="dxa"/>
            <w:shd w:val="clear" w:color="auto" w:fill="auto"/>
          </w:tcPr>
          <w:p w14:paraId="1862A6AE" w14:textId="77777777" w:rsidR="00751A4A" w:rsidRPr="00D4297E" w:rsidRDefault="00187494" w:rsidP="0010095E">
            <w:pPr>
              <w:pStyle w:val="EPLogo"/>
            </w:pPr>
            <w:r w:rsidRPr="00D4297E">
              <w:rPr>
                <w:noProof/>
                <w:lang w:eastAsia="ja-JP"/>
              </w:rPr>
              <w:drawing>
                <wp:inline distT="0" distB="0" distL="0" distR="0" wp14:anchorId="26A39706" wp14:editId="6CE5788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DCC784" w14:textId="77777777" w:rsidR="00D058B8" w:rsidRPr="00D4297E" w:rsidRDefault="00D058B8" w:rsidP="004C5D52">
      <w:pPr>
        <w:pStyle w:val="LineTop"/>
      </w:pPr>
    </w:p>
    <w:p w14:paraId="46DED125" w14:textId="77777777" w:rsidR="00680577" w:rsidRPr="00D4297E" w:rsidRDefault="00304C4F" w:rsidP="00680577">
      <w:pPr>
        <w:pStyle w:val="EPBodyTA1"/>
      </w:pPr>
      <w:r w:rsidRPr="00D4297E">
        <w:t>ПРИЕТИ ТЕКСТОВЕ</w:t>
      </w:r>
    </w:p>
    <w:p w14:paraId="6D0A4923" w14:textId="77777777" w:rsidR="00D058B8" w:rsidRPr="00D4297E" w:rsidRDefault="00D058B8" w:rsidP="00D058B8">
      <w:pPr>
        <w:pStyle w:val="LineBottom"/>
      </w:pPr>
    </w:p>
    <w:p w14:paraId="3EA4B59B" w14:textId="5FC44233" w:rsidR="00304C4F" w:rsidRPr="00D4297E" w:rsidRDefault="00304C4F" w:rsidP="00304C4F">
      <w:pPr>
        <w:pStyle w:val="ATHeading1"/>
      </w:pPr>
      <w:bookmarkStart w:id="0" w:name="TANumber"/>
      <w:r w:rsidRPr="00D4297E">
        <w:t>P10_TA(2026)0</w:t>
      </w:r>
      <w:r w:rsidR="00CF180F">
        <w:t>132</w:t>
      </w:r>
      <w:bookmarkEnd w:id="0"/>
    </w:p>
    <w:p w14:paraId="4FD7D8BE" w14:textId="77777777" w:rsidR="00304C4F" w:rsidRPr="00D4297E" w:rsidRDefault="00304C4F" w:rsidP="00304C4F">
      <w:pPr>
        <w:pStyle w:val="ATHeading2"/>
      </w:pPr>
      <w:bookmarkStart w:id="1" w:name="title"/>
      <w:r w:rsidRPr="00D4297E">
        <w:t>Освобождаване от отговорност във връзка с изпълнението на бюджета за 2024 г.: Общ бюджет на ЕС - Комитет на регионите</w:t>
      </w:r>
      <w:bookmarkEnd w:id="1"/>
    </w:p>
    <w:p w14:paraId="26A2DE45" w14:textId="77777777" w:rsidR="00304C4F" w:rsidRPr="00D4297E" w:rsidRDefault="00304C4F" w:rsidP="00304C4F">
      <w:pPr>
        <w:rPr>
          <w:i/>
          <w:vanish/>
        </w:rPr>
      </w:pPr>
      <w:r w:rsidRPr="00D4297E">
        <w:rPr>
          <w:i/>
        </w:rPr>
        <w:fldChar w:fldCharType="begin"/>
      </w:r>
      <w:r w:rsidRPr="00D4297E">
        <w:rPr>
          <w:i/>
        </w:rPr>
        <w:instrText xml:space="preserve"> TC"(</w:instrText>
      </w:r>
      <w:bookmarkStart w:id="2" w:name="DocNumber"/>
      <w:r w:rsidRPr="00D4297E">
        <w:rPr>
          <w:i/>
        </w:rPr>
        <w:instrText>A10-0056/2026</w:instrText>
      </w:r>
      <w:bookmarkEnd w:id="2"/>
      <w:r w:rsidRPr="00D4297E">
        <w:rPr>
          <w:i/>
        </w:rPr>
        <w:instrText xml:space="preserve"> - Докладчик: Паскуале Тридико)"\l3 \n&gt; \* MERGEFORMAT </w:instrText>
      </w:r>
      <w:r w:rsidRPr="00D4297E">
        <w:rPr>
          <w:i/>
        </w:rPr>
        <w:fldChar w:fldCharType="end"/>
      </w:r>
    </w:p>
    <w:p w14:paraId="5135D076" w14:textId="77777777" w:rsidR="00304C4F" w:rsidRPr="00D4297E" w:rsidRDefault="00304C4F" w:rsidP="00304C4F">
      <w:pPr>
        <w:rPr>
          <w:vanish/>
        </w:rPr>
      </w:pPr>
      <w:bookmarkStart w:id="3" w:name="Commission"/>
      <w:r w:rsidRPr="00D4297E">
        <w:rPr>
          <w:vanish/>
        </w:rPr>
        <w:t>Комисия по бюджетен контрол</w:t>
      </w:r>
      <w:bookmarkEnd w:id="3"/>
    </w:p>
    <w:p w14:paraId="188B1F14" w14:textId="77777777" w:rsidR="00304C4F" w:rsidRPr="00D4297E" w:rsidRDefault="00304C4F" w:rsidP="00304C4F">
      <w:pPr>
        <w:rPr>
          <w:vanish/>
        </w:rPr>
      </w:pPr>
      <w:bookmarkStart w:id="4" w:name="PE"/>
      <w:r w:rsidRPr="00D4297E">
        <w:rPr>
          <w:vanish/>
        </w:rPr>
        <w:t>PE778.064</w:t>
      </w:r>
      <w:bookmarkEnd w:id="4"/>
    </w:p>
    <w:p w14:paraId="2C33FE6F" w14:textId="33FAD682" w:rsidR="00304C4F" w:rsidRPr="00D4297E" w:rsidRDefault="00AA22A6" w:rsidP="00304C4F">
      <w:pPr>
        <w:pStyle w:val="ATHeading3"/>
      </w:pPr>
      <w:bookmarkStart w:id="5" w:name="Sujet"/>
      <w:r>
        <w:t xml:space="preserve">1. </w:t>
      </w:r>
      <w:r w:rsidR="00304C4F" w:rsidRPr="00D4297E">
        <w:t xml:space="preserve">Решение на Европейския парламент от </w:t>
      </w:r>
      <w:r w:rsidR="00F911ED">
        <w:t>29 април</w:t>
      </w:r>
      <w:r w:rsidR="00304C4F" w:rsidRPr="00D4297E">
        <w:t xml:space="preserve"> 2026 г. относно освобождаването от отговорност във връзка с изпълнението на общия бюджет на Европейския съюз за финансовата 2024 година, раздел VII — Комитет на регионите</w:t>
      </w:r>
      <w:bookmarkEnd w:id="5"/>
      <w:r w:rsidR="00304C4F" w:rsidRPr="00D4297E">
        <w:t xml:space="preserve"> </w:t>
      </w:r>
      <w:bookmarkStart w:id="6" w:name="References"/>
      <w:r w:rsidR="00304C4F" w:rsidRPr="00D4297E">
        <w:t>(2025/2152(DEC))</w:t>
      </w:r>
      <w:bookmarkEnd w:id="6"/>
    </w:p>
    <w:p w14:paraId="0561F031" w14:textId="77777777" w:rsidR="00314B98" w:rsidRPr="00D4297E" w:rsidRDefault="00314B98" w:rsidP="00314B98">
      <w:pPr>
        <w:pStyle w:val="EPComma"/>
      </w:pPr>
      <w:bookmarkStart w:id="7" w:name="TextBodyBegin"/>
      <w:bookmarkEnd w:id="7"/>
      <w:r w:rsidRPr="00D4297E">
        <w:rPr>
          <w:i/>
        </w:rPr>
        <w:t>Европейският парламент</w:t>
      </w:r>
      <w:r w:rsidRPr="00D4297E">
        <w:t>,</w:t>
      </w:r>
    </w:p>
    <w:p w14:paraId="19483356" w14:textId="77777777" w:rsidR="00314B98" w:rsidRPr="00D4297E" w:rsidRDefault="00314B98" w:rsidP="00314B98">
      <w:pPr>
        <w:pStyle w:val="NormalHanging12a"/>
      </w:pPr>
      <w:r w:rsidRPr="00D4297E">
        <w:t>–</w:t>
      </w:r>
      <w:r w:rsidRPr="00D4297E">
        <w:tab/>
        <w:t>като взе предвид общия бюджет на Европейския съюз за финансовата 2024 година</w:t>
      </w:r>
      <w:r w:rsidRPr="00D4297E">
        <w:rPr>
          <w:rStyle w:val="FootnoteReference"/>
        </w:rPr>
        <w:footnoteReference w:id="1"/>
      </w:r>
      <w:r w:rsidRPr="00D4297E">
        <w:t>,</w:t>
      </w:r>
    </w:p>
    <w:p w14:paraId="01E6322D" w14:textId="77777777" w:rsidR="00314B98" w:rsidRPr="00D4297E" w:rsidRDefault="00314B98" w:rsidP="00314B98">
      <w:pPr>
        <w:pStyle w:val="NormalHanging12a"/>
      </w:pPr>
      <w:r w:rsidRPr="00D4297E">
        <w:t>–</w:t>
      </w:r>
      <w:r w:rsidRPr="00D4297E">
        <w:tab/>
        <w:t>като взе предвид консолидираните годишни отчети на Европейския съюз за финансовата 2024 година (COM(2025)0359 – C10</w:t>
      </w:r>
      <w:r w:rsidRPr="00D4297E">
        <w:noBreakHyphen/>
        <w:t>0152/2025)</w:t>
      </w:r>
      <w:r w:rsidRPr="00D4297E">
        <w:rPr>
          <w:rStyle w:val="FootnoteReference"/>
        </w:rPr>
        <w:footnoteReference w:id="2"/>
      </w:r>
      <w:r w:rsidRPr="00D4297E">
        <w:t>,</w:t>
      </w:r>
    </w:p>
    <w:p w14:paraId="771FAA35" w14:textId="77777777" w:rsidR="00314B98" w:rsidRPr="00D4297E" w:rsidRDefault="00314B98" w:rsidP="00314B98">
      <w:pPr>
        <w:pStyle w:val="NormalHanging12a"/>
      </w:pPr>
      <w:r w:rsidRPr="00D4297E">
        <w:t>–</w:t>
      </w:r>
      <w:r w:rsidRPr="00D4297E">
        <w:tab/>
        <w:t>като взе предвид годишния доклад на Комитета на регионите пред органа по освобождаване от отговорност относно вътрешните одити, осъществени през 2024 г.,</w:t>
      </w:r>
    </w:p>
    <w:p w14:paraId="14D1A680" w14:textId="77777777" w:rsidR="00314B98" w:rsidRPr="00D4297E" w:rsidRDefault="00314B98" w:rsidP="00314B98">
      <w:pPr>
        <w:pStyle w:val="NormalHanging12a"/>
      </w:pPr>
      <w:r w:rsidRPr="00D4297E">
        <w:t>–</w:t>
      </w:r>
      <w:r w:rsidRPr="00D4297E">
        <w:tab/>
        <w:t>като взе предвид годишния доклад на Сметната палата относно изпълнението на бюджета за финансовата 2024 година, придружен от отговорите на институциите</w:t>
      </w:r>
      <w:r w:rsidRPr="00D4297E">
        <w:rPr>
          <w:rStyle w:val="FootnoteReference"/>
        </w:rPr>
        <w:footnoteReference w:id="3"/>
      </w:r>
      <w:r w:rsidRPr="00D4297E">
        <w:t>,</w:t>
      </w:r>
    </w:p>
    <w:p w14:paraId="49ED2EA0" w14:textId="77777777" w:rsidR="00314B98" w:rsidRPr="00D4297E" w:rsidRDefault="00314B98" w:rsidP="00314B98">
      <w:pPr>
        <w:pStyle w:val="NormalHanging12a"/>
      </w:pPr>
      <w:r w:rsidRPr="00D4297E">
        <w:t>–</w:t>
      </w:r>
      <w:r w:rsidRPr="00D4297E">
        <w:tab/>
        <w:t>като взе предвид декларацията за достоверност</w:t>
      </w:r>
      <w:r w:rsidRPr="00D4297E">
        <w:rPr>
          <w:rStyle w:val="FootnoteReference"/>
        </w:rPr>
        <w:footnoteReference w:id="4"/>
      </w:r>
      <w:r w:rsidRPr="00D4297E">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2024 година в съответствие с член 287 от Договора за функционирането на Европейския съюз,</w:t>
      </w:r>
    </w:p>
    <w:p w14:paraId="2B229DD2" w14:textId="77777777" w:rsidR="00314B98" w:rsidRPr="00D4297E" w:rsidRDefault="00314B98" w:rsidP="00314B98">
      <w:pPr>
        <w:pStyle w:val="NormalHanging12a"/>
      </w:pPr>
      <w:r w:rsidRPr="00D4297E">
        <w:t>–</w:t>
      </w:r>
      <w:r w:rsidRPr="00D4297E">
        <w:tab/>
        <w:t>като взе предвид член 314, параграф 10 и членове 317, 318 и 319 от Договора за функционирането на Европейския съюз,</w:t>
      </w:r>
    </w:p>
    <w:p w14:paraId="6A0D5821" w14:textId="77777777" w:rsidR="00314B98" w:rsidRPr="00D4297E" w:rsidRDefault="00314B98" w:rsidP="00314B98">
      <w:pPr>
        <w:pStyle w:val="NormalHanging12a"/>
      </w:pPr>
      <w:r w:rsidRPr="00D4297E">
        <w:t>–</w:t>
      </w:r>
      <w:r w:rsidRPr="00D4297E">
        <w:tab/>
        <w:t xml:space="preserve">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w:t>
      </w:r>
      <w:r w:rsidRPr="00D4297E">
        <w:lastRenderedPageBreak/>
        <w:t>за отмяна на Регламент (ЕС, Евратом) № 966/2012</w:t>
      </w:r>
      <w:r w:rsidRPr="00D4297E">
        <w:rPr>
          <w:rStyle w:val="FootnoteReference"/>
        </w:rPr>
        <w:footnoteReference w:id="5"/>
      </w:r>
      <w:r w:rsidRPr="00D4297E">
        <w:t>, и по-специално членове 59, 118, 260, 261 и 262 от него,</w:t>
      </w:r>
    </w:p>
    <w:p w14:paraId="1CFAD7D6" w14:textId="77777777" w:rsidR="00314B98" w:rsidRPr="00D4297E" w:rsidRDefault="00314B98" w:rsidP="00314B98">
      <w:pPr>
        <w:pStyle w:val="NormalHanging12a"/>
      </w:pPr>
      <w:r w:rsidRPr="00D4297E">
        <w:t>–</w:t>
      </w:r>
      <w:r w:rsidRPr="00D4297E">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D4297E">
        <w:rPr>
          <w:rStyle w:val="FootnoteReference"/>
        </w:rPr>
        <w:footnoteReference w:id="6"/>
      </w:r>
      <w:r w:rsidRPr="00D4297E">
        <w:t>, и по-специално членове 59, 118, 266, 267 и 268 от него,</w:t>
      </w:r>
    </w:p>
    <w:p w14:paraId="5E36EB28" w14:textId="77777777" w:rsidR="00314B98" w:rsidRPr="00D4297E" w:rsidRDefault="00314B98" w:rsidP="00314B98">
      <w:pPr>
        <w:pStyle w:val="NormalHanging12a"/>
      </w:pPr>
      <w:r w:rsidRPr="00D4297E">
        <w:t>–</w:t>
      </w:r>
      <w:r w:rsidRPr="00D4297E">
        <w:tab/>
        <w:t>като взе предвид член 102 и приложение V към своя Правилник за дейността,</w:t>
      </w:r>
    </w:p>
    <w:p w14:paraId="7BE84321" w14:textId="77777777" w:rsidR="00314B98" w:rsidRPr="00D4297E" w:rsidRDefault="00314B98" w:rsidP="00314B98">
      <w:pPr>
        <w:pStyle w:val="NormalHanging12a"/>
      </w:pPr>
      <w:r w:rsidRPr="00D4297E">
        <w:t>–</w:t>
      </w:r>
      <w:r w:rsidRPr="00D4297E">
        <w:tab/>
        <w:t>като взе предвид доклада на комисията по бюджетен контрол (A10-0056/2026),</w:t>
      </w:r>
    </w:p>
    <w:p w14:paraId="186454E2" w14:textId="77777777" w:rsidR="00314B98" w:rsidRPr="00D4297E" w:rsidRDefault="00314B98" w:rsidP="00314B98">
      <w:pPr>
        <w:pStyle w:val="NormalHanging12a"/>
      </w:pPr>
      <w:r w:rsidRPr="00D4297E">
        <w:t>1.</w:t>
      </w:r>
      <w:r w:rsidRPr="00D4297E">
        <w:tab/>
        <w:t>освобождава от отговорност генералния секретар на Комитета на регионите във връзка с изпълнението на бюджета на Комитета на регионите за финансовата 2024 година;</w:t>
      </w:r>
    </w:p>
    <w:p w14:paraId="5C191A5F" w14:textId="77777777" w:rsidR="00314B98" w:rsidRPr="00D4297E" w:rsidRDefault="00314B98" w:rsidP="00314B98">
      <w:pPr>
        <w:pStyle w:val="NormalHanging12a"/>
      </w:pPr>
      <w:r w:rsidRPr="00D4297E">
        <w:t>2.</w:t>
      </w:r>
      <w:r w:rsidRPr="00D4297E">
        <w:tab/>
        <w:t>представя своите забележки в резолюцията по-долу;</w:t>
      </w:r>
    </w:p>
    <w:p w14:paraId="4A159829" w14:textId="77777777" w:rsidR="00314B98" w:rsidRPr="00D4297E" w:rsidRDefault="00314B98" w:rsidP="00314B98">
      <w:pPr>
        <w:pStyle w:val="NormalHanging12a"/>
      </w:pPr>
      <w:r w:rsidRPr="00D4297E">
        <w:t>3.</w:t>
      </w:r>
      <w:r w:rsidRPr="00D4297E">
        <w:tab/>
        <w:t>възлага на своя председател да предаде настоящото решение, както и резолюцията, която е неразделна част от него, на Комитета на регионите, на Съвета, на Комисията и на Сметната палата и да осигури публикуването им в Официален вестник на Европейския съюз (серия L).</w:t>
      </w:r>
    </w:p>
    <w:p w14:paraId="397B3B15" w14:textId="77777777" w:rsidR="00314B98" w:rsidRPr="00D4297E" w:rsidRDefault="00314B98" w:rsidP="00314B98"/>
    <w:p w14:paraId="47965478" w14:textId="77777777" w:rsidR="00314B98" w:rsidRPr="00D4297E" w:rsidRDefault="00314B98" w:rsidP="00314B98">
      <w:pPr>
        <w:pStyle w:val="PageHeading"/>
        <w:sectPr w:rsidR="00314B98" w:rsidRPr="00D4297E" w:rsidSect="00D4297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134C890" w14:textId="35726D0B" w:rsidR="00AA22A6" w:rsidRDefault="00AA22A6" w:rsidP="00CF180F">
      <w:pPr>
        <w:pStyle w:val="ATHeading3"/>
      </w:pPr>
      <w:bookmarkStart w:id="8" w:name="_Toc225499418"/>
      <w:r>
        <w:lastRenderedPageBreak/>
        <w:t>2. Резолюция на Европейския парламент от 29 април 2026 г., съдържаща забележки</w:t>
      </w:r>
      <w:r w:rsidR="0078094B">
        <w:t>те</w:t>
      </w:r>
      <w:r>
        <w:t>, които са неразделна част от решението за освобождаване от отговорност във връзка с изпълнението на общия бюджет на Европейския съюз за финансовата 2024 година, раздел VII – Комитет на регионите (2025/2152(DEC))</w:t>
      </w:r>
    </w:p>
    <w:bookmarkEnd w:id="8"/>
    <w:p w14:paraId="6798995D" w14:textId="77777777" w:rsidR="00314B98" w:rsidRPr="00D4297E" w:rsidRDefault="00314B98" w:rsidP="00314B98">
      <w:pPr>
        <w:pStyle w:val="EPComma"/>
      </w:pPr>
      <w:r w:rsidRPr="00D4297E">
        <w:rPr>
          <w:i/>
        </w:rPr>
        <w:t>Европейският парламент</w:t>
      </w:r>
      <w:r w:rsidRPr="00D4297E">
        <w:t>,</w:t>
      </w:r>
    </w:p>
    <w:p w14:paraId="64407D7E" w14:textId="77777777" w:rsidR="00314B98" w:rsidRPr="00D4297E" w:rsidRDefault="00314B98" w:rsidP="00314B98">
      <w:pPr>
        <w:pStyle w:val="NormalHanging12a"/>
      </w:pPr>
      <w:r w:rsidRPr="00D4297E">
        <w:t>–</w:t>
      </w:r>
      <w:r w:rsidRPr="00D4297E">
        <w:tab/>
        <w:t>като взе предвид своето решение за освобождаване от отговорност във връзка с изпълнението на общия бюджет на Европейския съюз за финансовата 2024 година, раздел VII ‒ Комитет на регионите,</w:t>
      </w:r>
    </w:p>
    <w:p w14:paraId="191B3C84" w14:textId="77777777" w:rsidR="00314B98" w:rsidRPr="00D4297E" w:rsidRDefault="00314B98" w:rsidP="00314B98">
      <w:pPr>
        <w:pStyle w:val="NormalHanging12a"/>
      </w:pPr>
      <w:r w:rsidRPr="00D4297E">
        <w:t>–</w:t>
      </w:r>
      <w:r w:rsidRPr="00D4297E">
        <w:tab/>
        <w:t>като взе предвид член 102 и приложение V към своя Правилник за дейността,</w:t>
      </w:r>
    </w:p>
    <w:p w14:paraId="44ED6374" w14:textId="77777777" w:rsidR="00314B98" w:rsidRPr="00D4297E" w:rsidRDefault="00314B98" w:rsidP="00314B98">
      <w:pPr>
        <w:pStyle w:val="NormalHanging12a"/>
      </w:pPr>
      <w:r w:rsidRPr="00D4297E">
        <w:t>–</w:t>
      </w:r>
      <w:r w:rsidRPr="00D4297E">
        <w:tab/>
        <w:t>като взе предвид доклада на комисията по бюджетен контрол (A10-0056/2026),</w:t>
      </w:r>
    </w:p>
    <w:p w14:paraId="620D2843" w14:textId="77777777" w:rsidR="00314B98" w:rsidRPr="00D4297E" w:rsidRDefault="00314B98" w:rsidP="00314B98">
      <w:pPr>
        <w:pStyle w:val="NormalHanging12a"/>
      </w:pPr>
      <w:r w:rsidRPr="00D4297E">
        <w:t>А.</w:t>
      </w:r>
      <w:r w:rsidRPr="00D4297E">
        <w:rPr>
          <w:b/>
          <w:i/>
        </w:rPr>
        <w:t xml:space="preserve"> </w:t>
      </w:r>
      <w:r w:rsidRPr="00D4297E">
        <w:rPr>
          <w:b/>
          <w:i/>
        </w:rPr>
        <w:tab/>
      </w:r>
      <w:r w:rsidRPr="00D4297E">
        <w:t xml:space="preserve">като има предвид, че в контекста на процедурата по освобождаване от отговорност органът по освобождаване от отговорност, като подчертава особеното значение на по-нататъшното укрепване на демократичната легитимност на институциите на Съюза, не само оценява законосъобразността и редовността на разходите, но също така оценява разходите на Съюза за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 – за измерими резултати за гражданите, особено на местно и регионално равнище; </w:t>
      </w:r>
    </w:p>
    <w:p w14:paraId="2DCE8B5A" w14:textId="77777777" w:rsidR="00314B98" w:rsidRPr="00D4297E" w:rsidRDefault="00314B98" w:rsidP="00314B98">
      <w:pPr>
        <w:pStyle w:val="NormalHanging12a"/>
      </w:pPr>
      <w:r w:rsidRPr="00D4297E">
        <w:t xml:space="preserve">Б. </w:t>
      </w:r>
      <w:r w:rsidRPr="00D4297E">
        <w:tab/>
        <w:t xml:space="preserve">като има предвид, че Комитетът на регионите („Комитетът“) е политическа асамблея, съставена от 329 членове (и 329 заместници), избрани в регионите, градовете, селата и общините на 27-те държави членки на Съюза, която играе ключова институционална роля във връзка с политиката на сближаване на Съюза, като представлява регионалните и местните органи, действа като консултативен орган за институциите на Съюза и има за задача да допринася за формирането на политиките на Съюза и за процеса на вземане на решения от гледна точка на местните и регионалните органи, като същевременно допринася за повишаване на ефективността на Съюза и приближаването му до неговите граждани; </w:t>
      </w:r>
    </w:p>
    <w:p w14:paraId="67C4BC95" w14:textId="77777777" w:rsidR="00314B98" w:rsidRPr="00D4297E" w:rsidRDefault="00314B98" w:rsidP="00314B98">
      <w:pPr>
        <w:pStyle w:val="NormalHanging12a"/>
        <w:rPr>
          <w:color w:val="000000"/>
        </w:rPr>
      </w:pPr>
      <w:r w:rsidRPr="00D4297E">
        <w:rPr>
          <w:color w:val="000000"/>
        </w:rPr>
        <w:t>В.</w:t>
      </w:r>
      <w:r w:rsidRPr="00D4297E">
        <w:rPr>
          <w:color w:val="000000"/>
        </w:rPr>
        <w:tab/>
        <w:t>като има предвид, че в някои случаи е задължително Комисията или Съветът да провеждат консултации с Комитета, като Комитетът може да приема и становища по собствена инициатива, и че с него може да се провеждат консултации по широк кръг от теми, както е определено в Договорите, съгласно които Парламентът може да се консултира с него;</w:t>
      </w:r>
    </w:p>
    <w:p w14:paraId="01838583" w14:textId="77777777" w:rsidR="00314B98" w:rsidRPr="00D4297E" w:rsidRDefault="00314B98" w:rsidP="00314B98">
      <w:pPr>
        <w:pStyle w:val="NormalHanging12a"/>
        <w:rPr>
          <w:color w:val="000000"/>
        </w:rPr>
      </w:pPr>
      <w:r w:rsidRPr="00D4297E">
        <w:rPr>
          <w:color w:val="000000"/>
        </w:rPr>
        <w:t>Г.</w:t>
      </w:r>
      <w:r w:rsidRPr="00D4297E">
        <w:rPr>
          <w:color w:val="000000"/>
        </w:rPr>
        <w:tab/>
        <w:t>като има предвид, че дейностите на Комитета се определят въз основа на неговата цялостна политическа стратегия, изложена в резолюцията му от 2 юли 2020 г. относно приоритетите му за периода 2020 — 2025 г.</w:t>
      </w:r>
      <w:r w:rsidRPr="00D4297E">
        <w:rPr>
          <w:rStyle w:val="FootnoteReference"/>
          <w:color w:val="000000"/>
        </w:rPr>
        <w:footnoteReference w:id="7"/>
      </w:r>
      <w:r w:rsidRPr="00D4297E">
        <w:rPr>
          <w:color w:val="000000"/>
        </w:rPr>
        <w:t xml:space="preserve">, и като има предвид, че Комитетът прие три политически приоритета за мандата 2020 — 2025 г., придружени от три комуникационни кампании: „Доближаване на Европа до хората“, „Изграждане на силни регионални и местни общности“ и „Насърчаване </w:t>
      </w:r>
      <w:r w:rsidRPr="00D4297E">
        <w:rPr>
          <w:color w:val="000000"/>
        </w:rPr>
        <w:lastRenderedPageBreak/>
        <w:t>на сближаването като основна ценност на ЕС“;</w:t>
      </w:r>
    </w:p>
    <w:p w14:paraId="2DA59CDA" w14:textId="77777777" w:rsidR="00314B98" w:rsidRPr="00D4297E" w:rsidRDefault="00314B98" w:rsidP="00314B98">
      <w:pPr>
        <w:pStyle w:val="NormalHanging12a"/>
        <w:rPr>
          <w:b/>
          <w:i/>
          <w:color w:val="000000"/>
        </w:rPr>
      </w:pPr>
      <w:r w:rsidRPr="00D4297E">
        <w:rPr>
          <w:color w:val="000000"/>
        </w:rPr>
        <w:t>Д.</w:t>
      </w:r>
      <w:r w:rsidRPr="00D4297E">
        <w:rPr>
          <w:b/>
          <w:i/>
          <w:color w:val="000000"/>
        </w:rPr>
        <w:t xml:space="preserve"> </w:t>
      </w:r>
      <w:r w:rsidRPr="00D4297E">
        <w:rPr>
          <w:b/>
          <w:i/>
          <w:color w:val="000000"/>
        </w:rPr>
        <w:tab/>
      </w:r>
      <w:r w:rsidRPr="00D4297E">
        <w:rPr>
          <w:color w:val="000000"/>
        </w:rPr>
        <w:t>като има предвид, че на местните и регионалните администрации се падат една трета от публичните разходи, половината от публичните инвестиции и една четвърт от данъчните приходи, като в много държави членки те притежават правомощия в ключови области като образование, икономическо развитие и сближаване, околна среда, социална закрила, здравеопазване и услуги от общ интерес, поради което координирането на местно, регионално, национално и европейско равнище увеличава легитимността на законодателството, подобрява ангажираността, работи по-ефективно в полза на гражданите и допринася за мониторинга и изпълнението на разходите на Съюза с териториално въздействие, като същевременно гарантира, че никой не е изоставен;</w:t>
      </w:r>
    </w:p>
    <w:p w14:paraId="457F1BC2" w14:textId="77777777" w:rsidR="00314B98" w:rsidRPr="00D4297E" w:rsidRDefault="00314B98" w:rsidP="00314B98">
      <w:pPr>
        <w:pStyle w:val="NormalHanging12a"/>
        <w:rPr>
          <w:color w:val="000000"/>
        </w:rPr>
      </w:pPr>
      <w:r w:rsidRPr="00D4297E">
        <w:rPr>
          <w:color w:val="000000"/>
        </w:rPr>
        <w:t>Е.</w:t>
      </w:r>
      <w:r w:rsidRPr="00D4297E">
        <w:rPr>
          <w:color w:val="000000"/>
        </w:rPr>
        <w:tab/>
        <w:t>като има предвид, че Комитетът следва политическата си цел да засили участието си в целия политически и законодателен цикъл на Съюза, като същевременно прави по-осезаема връзката между Съюза и неговите граждани, използвайки членовете на Комитета като влиятелни разпространители на информация в техните общности и в техните национални сдружения на местни и регионални органи;</w:t>
      </w:r>
    </w:p>
    <w:p w14:paraId="3858A82C" w14:textId="77777777" w:rsidR="00314B98" w:rsidRPr="00D4297E" w:rsidRDefault="00314B98" w:rsidP="00314B98">
      <w:pPr>
        <w:pStyle w:val="NormalHanging12a"/>
        <w:rPr>
          <w:color w:val="000000"/>
        </w:rPr>
      </w:pPr>
      <w:r w:rsidRPr="00D4297E">
        <w:rPr>
          <w:color w:val="000000"/>
        </w:rPr>
        <w:t>Ж.</w:t>
      </w:r>
      <w:r w:rsidRPr="00D4297E">
        <w:rPr>
          <w:color w:val="000000"/>
        </w:rPr>
        <w:tab/>
        <w:t xml:space="preserve">като има предвид, че Комитетът определи девет ключови приоритетни области, за да бъдат неговите действия по-стратегически и въздействащи през 2024 г.: </w:t>
      </w:r>
      <w:r w:rsidRPr="00D4297E">
        <w:t xml:space="preserve">разширяване на Съюза и подкрепа за Украйна; демокрация и по-добро регулиране; издръжливост; Зеленият пакт на местно равнище; конкурентоспособност, промишленост, малки и средни предприятия, регулаторни облекчения във връзка с данъчното облагане на предприятията; оптимизиране на изпълнението и популяризирането на политиката на сближаване на Съюза; справяне с тройната планетарна криза; политики по отношение на заетостта и равенството и социални политики; насърчаване на подкрепата от Съюза за регионалните иновационни екосистеми; </w:t>
      </w:r>
    </w:p>
    <w:p w14:paraId="3C38751A" w14:textId="77777777" w:rsidR="00314B98" w:rsidRPr="00D4297E" w:rsidRDefault="00314B98" w:rsidP="00314B98">
      <w:pPr>
        <w:pStyle w:val="NormalHanging12a"/>
        <w:rPr>
          <w:color w:val="000000"/>
        </w:rPr>
      </w:pPr>
      <w:r w:rsidRPr="00D4297E">
        <w:rPr>
          <w:color w:val="000000"/>
        </w:rPr>
        <w:t>З.</w:t>
      </w:r>
      <w:r w:rsidRPr="00D4297E">
        <w:rPr>
          <w:color w:val="000000"/>
        </w:rPr>
        <w:tab/>
        <w:t>като има предвид, че Регламент (ЕС) 2021/1060 на Европейския парламент и на Съвета</w:t>
      </w:r>
      <w:r w:rsidRPr="00D4297E">
        <w:rPr>
          <w:rStyle w:val="FootnoteReference"/>
          <w:color w:val="000000"/>
        </w:rPr>
        <w:footnoteReference w:id="8"/>
      </w:r>
      <w:r w:rsidRPr="00D4297E">
        <w:rPr>
          <w:color w:val="000000"/>
        </w:rPr>
        <w:t>, уреждащ политиката на сближаване на Съюза и нейното финансиране в периода 2021 – 2027 г., който влезе в сила през юли 2021 г., се позовава на принципа на партньорство и многостепенно управление, подкрепян от Комитета и Парламента и предполагащ участието на регионите на Съюза и техните местни и регионални органи;</w:t>
      </w:r>
    </w:p>
    <w:p w14:paraId="5CF14D78" w14:textId="77777777" w:rsidR="00314B98" w:rsidRPr="00D4297E" w:rsidRDefault="00314B98" w:rsidP="00314B98">
      <w:pPr>
        <w:pStyle w:val="NormalHanging12a"/>
        <w:rPr>
          <w:b/>
          <w:bCs/>
          <w:color w:val="000000"/>
        </w:rPr>
      </w:pPr>
      <w:r w:rsidRPr="00D4297E">
        <w:rPr>
          <w:color w:val="000000"/>
        </w:rPr>
        <w:t>И.</w:t>
      </w:r>
      <w:r w:rsidRPr="00D4297E">
        <w:rPr>
          <w:color w:val="000000"/>
        </w:rPr>
        <w:tab/>
        <w:t xml:space="preserve">като има предвид, че над 400 национални и регионални програми, приети за изпълнението на политиката на сближаване на Съюза през програмния период 2021 – 2027 г., предоставиха около 380 милиарда евро по линия на различни фондове за справяне с икономическите, социалните и екологичните </w:t>
      </w:r>
      <w:r w:rsidRPr="00D4297E">
        <w:rPr>
          <w:color w:val="000000"/>
        </w:rPr>
        <w:lastRenderedPageBreak/>
        <w:t>предизвикателства, пред които са изправени регионите, градовете, селата и общините на Съюза;</w:t>
      </w:r>
    </w:p>
    <w:p w14:paraId="3035EB6E" w14:textId="77777777" w:rsidR="00314B98" w:rsidRPr="00D4297E" w:rsidRDefault="00314B98" w:rsidP="00314B98">
      <w:pPr>
        <w:pStyle w:val="NormalHanging12a"/>
        <w:rPr>
          <w:color w:val="000000"/>
        </w:rPr>
      </w:pPr>
      <w:r w:rsidRPr="00D4297E">
        <w:rPr>
          <w:color w:val="000000"/>
        </w:rPr>
        <w:t>Й.</w:t>
      </w:r>
      <w:r w:rsidRPr="00D4297E">
        <w:rPr>
          <w:color w:val="000000"/>
        </w:rPr>
        <w:tab/>
      </w:r>
      <w:r w:rsidRPr="00D4297E">
        <w:t>като има предвид, че на 19 февруари 2021 г. влезе в сила Регламент (ЕС) 2021/241 на Европейския парламент и на Съвета</w:t>
      </w:r>
      <w:r w:rsidRPr="00D4297E">
        <w:rPr>
          <w:color w:val="000000"/>
          <w:vertAlign w:val="superscript"/>
        </w:rPr>
        <w:footnoteReference w:id="9"/>
      </w:r>
      <w:r w:rsidRPr="00D4297E">
        <w:t xml:space="preserve"> за създаване на Механизъм на Съюза за възстановяване и устойчивост, с който се предоставя правното основание за разпределяне на средства и заеми в размер до 672,5 милиарда евро (по цени от 2018 г.) между 2021 и 2026 г. между държавите членки, който също има за цел подпомагане на икономическото, социалното и териториалното сближаване и преодоляване на различията между регионите на Съюза;</w:t>
      </w:r>
      <w:r w:rsidRPr="00D4297E">
        <w:rPr>
          <w:color w:val="000000"/>
        </w:rPr>
        <w:t xml:space="preserve"> </w:t>
      </w:r>
    </w:p>
    <w:p w14:paraId="1F95B7F3" w14:textId="77777777" w:rsidR="00314B98" w:rsidRPr="00D4297E" w:rsidRDefault="00314B98" w:rsidP="00314B98">
      <w:pPr>
        <w:pStyle w:val="NormalHanging12a"/>
        <w:rPr>
          <w:color w:val="000000"/>
        </w:rPr>
      </w:pPr>
      <w:r w:rsidRPr="00D4297E">
        <w:rPr>
          <w:color w:val="000000"/>
        </w:rPr>
        <w:t>К.</w:t>
      </w:r>
      <w:r w:rsidRPr="00D4297E">
        <w:rPr>
          <w:color w:val="000000"/>
        </w:rPr>
        <w:tab/>
        <w:t>като има предвид, че като институция на Съюза по смисъла на Финансовия регламент Комитетът следва да приема свои собствени годишни отчети, изготвени в съответствие със счетоводните правила, приети от счетоводителя на Комисията (Счетоводните правила на Европейския Съюз), въз основа на Международните счетоводни стандарти за публичния сектор, които накрая се консолидират в тези на Съюза;</w:t>
      </w:r>
    </w:p>
    <w:p w14:paraId="4DBEA8B6" w14:textId="77777777" w:rsidR="00314B98" w:rsidRPr="00D4297E" w:rsidRDefault="00314B98" w:rsidP="00314B98">
      <w:pPr>
        <w:pStyle w:val="NormalHanging12a"/>
      </w:pPr>
      <w:r w:rsidRPr="00D4297E">
        <w:t>1.</w:t>
      </w:r>
      <w:r w:rsidRPr="00D4297E">
        <w:tab/>
        <w:t xml:space="preserve">отбелязва, че бюджетът на Комитета попада в обхвата на функция 7 от многогодишната финансова рамка („МФР“) „Европейска публична администрация“ („функция 7“), която през 2024 г. възлиза на общо 13,3 милиарда евро, т.е. 6,9% от бюджетните разходи на Съюза; отбелязва, че през 2024 г. бюджетът на Комитета представлява 0,92% от бюджетните кредити по функция 7 от МФР; </w:t>
      </w:r>
    </w:p>
    <w:p w14:paraId="265B3A3E" w14:textId="77777777" w:rsidR="00314B98" w:rsidRPr="00D4297E" w:rsidRDefault="00314B98" w:rsidP="00314B98">
      <w:pPr>
        <w:pStyle w:val="NormalHanging12a"/>
      </w:pPr>
      <w:r w:rsidRPr="00D4297E">
        <w:t>2.</w:t>
      </w:r>
      <w:r w:rsidRPr="00D4297E">
        <w:tab/>
        <w:t>отбелязва, че в своя годишен доклад за финансовата 2024 година („доклада на Палатата“) Сметната палата („Палатата“) посочва, че е проверила извадка от 70 операции в обхвата на функция „Администрация“, което е същият брой проверени операции, както през 2023 г.; отбелязва, че Палатата посочва, че административните разходи включват разходи за човешки ресурси, в т.ч. разходи за пенсии, които през 2024 г. представляват приблизително 69% от общия размер на административните разходи, и разходи за сгради, оборудване, енергия, комуникации и информационни технологии (ИТ), и че дългогодишната ѝ работа показва, че административните разходи като цяло се характеризират с ниско ниво на риск;</w:t>
      </w:r>
    </w:p>
    <w:p w14:paraId="14D61420" w14:textId="77777777" w:rsidR="00314B98" w:rsidRPr="00D4297E" w:rsidRDefault="00314B98" w:rsidP="00314B98">
      <w:pPr>
        <w:pStyle w:val="NormalHanging12a"/>
      </w:pPr>
      <w:r w:rsidRPr="00D4297E">
        <w:t>3.</w:t>
      </w:r>
      <w:r w:rsidRPr="00D4297E">
        <w:tab/>
        <w:t xml:space="preserve">отбелязва, че 16 (23%) от 70-те операции съдържат грешки, но че въз основа на трите </w:t>
      </w:r>
      <w:proofErr w:type="spellStart"/>
      <w:r w:rsidRPr="00D4297E">
        <w:t>остойностени</w:t>
      </w:r>
      <w:proofErr w:type="spellEnd"/>
      <w:r w:rsidRPr="00D4297E">
        <w:t xml:space="preserve"> грешки Палатата заключава, че изчисленият процент грешки е под прага на същественост; отбелязва, че в доклада на Палатата не са установени конкретни проблеми, засягащи Комитета;</w:t>
      </w:r>
    </w:p>
    <w:p w14:paraId="73CEBA8E" w14:textId="77777777" w:rsidR="00314B98" w:rsidRPr="00D4297E" w:rsidRDefault="00314B98" w:rsidP="00314B98">
      <w:pPr>
        <w:pStyle w:val="NormalHanging12a"/>
        <w:rPr>
          <w:bCs/>
          <w:iCs/>
        </w:rPr>
      </w:pPr>
      <w:r w:rsidRPr="00D4297E">
        <w:t>4.</w:t>
      </w:r>
      <w:r w:rsidRPr="00D4297E">
        <w:tab/>
        <w:t>отбелязва, че политиката на сближаване допринася значително за доверието на гражданите в Съюза, като постига конкретни и видими резултати чрез регионални и местни проекти и по този начин укрепва легитимността на действията на Съюза по места; подчертава, че в този контекст Комитетът играе ключова роля за доближаването на гражданите на Съюза до процеса на вземане на решения в него;</w:t>
      </w:r>
    </w:p>
    <w:p w14:paraId="5CD7DCDC" w14:textId="77777777" w:rsidR="00314B98" w:rsidRPr="00D4297E" w:rsidRDefault="00314B98" w:rsidP="004C3422">
      <w:pPr>
        <w:pStyle w:val="NormalHanging12a"/>
        <w:rPr>
          <w:b/>
          <w:i/>
        </w:rPr>
      </w:pPr>
      <w:r w:rsidRPr="00D4297E">
        <w:rPr>
          <w:b/>
          <w:i/>
        </w:rPr>
        <w:lastRenderedPageBreak/>
        <w:t>Бюджетно и финансово управление</w:t>
      </w:r>
    </w:p>
    <w:p w14:paraId="6040C6C0" w14:textId="77777777" w:rsidR="00314B98" w:rsidRPr="00D4297E" w:rsidRDefault="00314B98" w:rsidP="00314B98">
      <w:pPr>
        <w:pStyle w:val="NormalHanging12a"/>
      </w:pPr>
      <w:r w:rsidRPr="00D4297E">
        <w:t xml:space="preserve">5. </w:t>
      </w:r>
      <w:r w:rsidRPr="00D4297E">
        <w:tab/>
        <w:t xml:space="preserve">отбелязва въз основа на годишния отчет за дейността на Комитета за 2024 г. („годишния отчет“), че окончателният приет бюджет на Комитета през 2024 г. възлиза на 123 178 345 EUR, включително коригиращ бюджет № 5/2024 (свързан със заплатите), което представлява увеличение с 6 502 953 EUR (т.е. + 5,60%) спрямо 2023 г.; отбелязва със задоволство, че през 2024 г. степента на изпълнение на Комитета за бюджетните кредити за поети задължения за текущата година е 99,9% (както през 2023 г.), а степента на изпълнение за бюджетните кредити за плащания за текущата година се е увеличила от 91,20% през 2023 г. на 91,90% през 2024 г.; приветства освен това увеличаването на степента на изпълнение на бюджетните кредити C8 (пренесени от 2023 към 2024 г.) от 85% през 2023 г. на 92,20% през 2024 г., като се има предвид, че пренесените от 2023 към 2024 г. бюджетни кредити възлизаха на 12 578 853 EUR в сравнение с 10 540 464 EUR през предходната година; приветства Комитета за постоянно високата степен на изпълнение на бюджета през годините благодарение на оптимизирането на планирането и изпълнението на бюджета, като се има предвид продължаващият бюджетен натиск; потвърждава в този контекст структурния недостиг на финансиране на Комитета — по-специално с оглед на ролята му на иновативен лидер и изпитателна база за практики, които биха могли да бъдат от полза за администрацията на Съюза въобще, и признава, че той се нуждае от допълнителни ресурси, за да постигне ефективно своите цели, като същевременно спазва бюджетна дисциплина; </w:t>
      </w:r>
    </w:p>
    <w:p w14:paraId="3015A3FE" w14:textId="77777777" w:rsidR="00314B98" w:rsidRPr="00D4297E" w:rsidRDefault="00314B98" w:rsidP="00314B98">
      <w:pPr>
        <w:pStyle w:val="NormalHanging12a"/>
      </w:pPr>
      <w:r w:rsidRPr="00D4297E">
        <w:t>6.</w:t>
      </w:r>
      <w:r w:rsidRPr="00D4297E">
        <w:tab/>
        <w:t>подчертава, че високата степен на изпълнение на бюджета и ниските нива на грешки на Комитета показват, че децентрализираното изпълнение, близо до регионалните и местните органи, може да гарантира както добро финансово управление, така и осезаеми резултати за гражданите, като се признава необходимостта от допълнителни ресурси; призовава Комисията да включи изцяло Комитета, в рамките на институционалния му мандат, в мониторинга и оценката на разходите на Съюза, включително в решенията, които се отнасят до бюджета на Съюза за периода след 2027 г., за да се засилят допълнително отчетността, прозрачността и изпълнението на проектите в областта на сближаването, които имат за цел намаляване на икономическите, социалните и териториалните различия;</w:t>
      </w:r>
    </w:p>
    <w:p w14:paraId="494124DC" w14:textId="77777777" w:rsidR="00314B98" w:rsidRPr="00D4297E" w:rsidRDefault="00314B98" w:rsidP="00314B98">
      <w:pPr>
        <w:pStyle w:val="NormalHanging12a"/>
      </w:pPr>
      <w:r w:rsidRPr="00D4297E">
        <w:t>7.</w:t>
      </w:r>
      <w:r w:rsidRPr="00D4297E">
        <w:tab/>
        <w:t>отбелязва намалението на степента на изпълнение на бюджетните кредити C1 по бюджетна позиция 1 0 0 0 „Служебни разходи на членовете“ от 76,20% през 2023 г. на едва 13,90% през 2024 г.; отбелязва обяснението на Комитета, че надбавките за служебни разходи за 2024 г. са изпълнени в началото на 2025 г. с бюджетни кредити C8; отбелязва, че Комитетът преодоля ниската степен на изпълнение през 2023 г. на бюджетните кредити C8 по бюджетна позиция 2 0 0 7 („Оборудване на помещения“), като избегна започването на големи проекти в областта на недвижимите имоти в края на годината и извърши междинни плащания по дългосрочните проекти, за да се предотвратят късни фактури; отбелязва обаче намаление на степента на изпълнение на бюджетните кредити C1 по тази позиция от 99,20% през 2023 г. на 51,90% през 2024 г. поради графика за ремонта на някои от асансьорите на Комитета;</w:t>
      </w:r>
    </w:p>
    <w:p w14:paraId="632FE0BD" w14:textId="77777777" w:rsidR="00314B98" w:rsidRPr="00D4297E" w:rsidRDefault="00314B98" w:rsidP="00314B98">
      <w:pPr>
        <w:pStyle w:val="NormalHanging12a"/>
      </w:pPr>
      <w:r w:rsidRPr="00D4297E">
        <w:t>8.</w:t>
      </w:r>
      <w:r w:rsidRPr="00D4297E">
        <w:tab/>
        <w:t xml:space="preserve">отбелязва въз основа на годишния доклад, че през 2024 г. Комитетът е извършил 42 трансфера на обща стойност 2,7 милиона евро, от които 37 вътрешни </w:t>
      </w:r>
      <w:r w:rsidRPr="00D4297E">
        <w:lastRenderedPageBreak/>
        <w:t xml:space="preserve">трансфера на обща стойност 1,1 милиона евро и пет външни трансфера на обща стойност 1,6 милиона евро, от които приблизително 1 милион евро са прехвърлени към бюджетни редове, покриващи или подсилващи позиции като годишни плащания по договори за дългосрочен наем, организиране на вътрешен конкурс, разходи за ИТ и оборудване на помещения за медийно пространство за ползване както от Комитета, така и от Европейския икономически и социален комитет (ЕИСК); </w:t>
      </w:r>
    </w:p>
    <w:p w14:paraId="3ECDA42D" w14:textId="77777777" w:rsidR="00314B98" w:rsidRPr="00D4297E" w:rsidRDefault="00314B98" w:rsidP="00314B98">
      <w:pPr>
        <w:pStyle w:val="NormalHanging12a"/>
      </w:pPr>
      <w:r w:rsidRPr="00D4297E">
        <w:t>9.</w:t>
      </w:r>
      <w:r w:rsidRPr="00D4297E">
        <w:tab/>
        <w:t>отбелязва в контекста на агресивната война на Русия срещу Украйна, че през 2024 г. Комитетът продължи да бъде засегнат от нарастващите разходи за енергия, транспорт и настаняване, както и от механизмите за индексиране, свързани с процента на инфлация, които оказаха пряко или непряко въздействие върху разходите за суровини, външни изпълнители, енергия, пътуване, наеми, включително дългосрочни наеми, и поддръжка на сгради, наред с другото; отбелязва, че от 2022 до 2025 г. кумулативното увеличение на разходите, свързано с индексацията, е + 21,50% за плащанията за наем на сгради, включително дългосрочен наем, и + 15% за договорите за поддръжка и сигурност, а от 2022 до 2024 г. се отчита увеличение на средните разходи за член на Комитета, пътуващ до и от Брюксел, от 1 200 EUR на 1 620 EUR; отбелязва в този контекст увеличаването на броя на бюджетните трансфери на Комитета от 31 през 2023 г. на 42 през 2024 г., отчасти за покриване на договорите, засегнати от висока инфлация и индексация; приветства общите действия на Комитета и ЕИСК за осигуряване на по-добро междуинституционално сътрудничество чрез цифровизация и съвместни усилия за възлагане на обществени поръчки; приветства подновените мерки на Комитета за икономия на енергия през 2024 г., които са изключително важни за смекчаване на последиците от нарастващите разходи за енергия; признава обаче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p w14:paraId="7220334D" w14:textId="77777777" w:rsidR="00314B98" w:rsidRPr="00D4297E" w:rsidRDefault="00314B98" w:rsidP="00314B98">
      <w:pPr>
        <w:pStyle w:val="NormalHanging12a"/>
        <w:rPr>
          <w:bCs/>
          <w:iCs/>
        </w:rPr>
      </w:pPr>
      <w:r w:rsidRPr="00D4297E">
        <w:t>10.</w:t>
      </w:r>
      <w:r w:rsidRPr="00D4297E">
        <w:tab/>
        <w:t>призовава администрацията на Комитета активно да определя и прилага мерки за икономии на разходи, включително чрез засилена употреба на хибридни технологии за провеждане на заседания, оптимизиране на използването на сградите, консолидиране на административните дейности и намаляване на ненужните логистични разходи; изисква редовни доклади за напредъка по приложените мерки и постигнатите икономии;</w:t>
      </w:r>
    </w:p>
    <w:p w14:paraId="585D12D2" w14:textId="77777777" w:rsidR="00314B98" w:rsidRPr="00D4297E" w:rsidRDefault="00314B98" w:rsidP="00314B98">
      <w:pPr>
        <w:pStyle w:val="NormalHanging12a"/>
      </w:pPr>
      <w:r w:rsidRPr="00D4297E">
        <w:t>11.</w:t>
      </w:r>
      <w:r w:rsidRPr="00D4297E">
        <w:tab/>
        <w:t xml:space="preserve">отбелязва увеличение на плащанията в полза на членовете на Комитета от бюджетна позиция 1 0 0 4 — от 7 955 968 EUR през 2023 г. на 8 036 613 EUR през 2024 г., което представлява увеличение с 1% (намаление спрямо отчетените + 20% за предходната година); отбелязва, че през 2024 г. са извършени 8 231 плащания за пътни разноски, 4 188 плащания за пътни надбавки, 7 303 плащания за заседателни надбавки за присъствено участие и 164 плащания за дистанционно участие; отбелязва въз основа на последващите действия на Комитета във връзка с резолюцията на Парламента за освобождаването от отговорност за 2023 г. („доклада за последващите действия“), че Комитетът е приел преразгледан набор от правила относно възстановяването на пътни разноски и изплащането на надбавки на членовете на Комитета през 2024 г. с няколко мерки, насочени към намаляване на ненужните разходи и въглеродните емисии, както препоръча Парламентът в предходни резолюции за освобождаване от отговорност; </w:t>
      </w:r>
    </w:p>
    <w:p w14:paraId="05A7FA41" w14:textId="77777777" w:rsidR="00314B98" w:rsidRPr="00D4297E" w:rsidRDefault="00314B98" w:rsidP="00314B98">
      <w:pPr>
        <w:pStyle w:val="NormalHanging12a"/>
      </w:pPr>
      <w:r w:rsidRPr="00D4297E">
        <w:lastRenderedPageBreak/>
        <w:t>12.</w:t>
      </w:r>
      <w:r w:rsidRPr="00D4297E">
        <w:tab/>
        <w:t>отбелязва увеличение на бюджета за командировки (бюджетни кредити за текущата година) с 13,6% — от 420 833 EUR през 2023 г. на 478 050 EUR през 2024 г., като степента на изпълнение на този бюджет е приблизително 80% през 2024 г. (подобно на 2023 г.); отбелязва, че това увеличение се дължи на увеличаването на броя на командировките от 574 през 2023 г. на 810 през 2024 г., 268 от които са свързани с организирането от Комитета на среща на високо равнище в Монс по случай 30-ата годишнина на Комитета през 2024 г.;</w:t>
      </w:r>
    </w:p>
    <w:p w14:paraId="18383BAD" w14:textId="77777777" w:rsidR="00314B98" w:rsidRPr="00D4297E" w:rsidRDefault="00314B98" w:rsidP="00314B98">
      <w:pPr>
        <w:pStyle w:val="NormalHanging12a"/>
      </w:pPr>
      <w:r w:rsidRPr="00D4297E">
        <w:t>13.</w:t>
      </w:r>
      <w:r w:rsidRPr="00D4297E">
        <w:tab/>
        <w:t xml:space="preserve">отбелязва намаление на бюджетните кредити за услуги за устен превод за текущата година с приблизително 10% — от 4,167 милиона евро през 2023 г. на 3,737 милиона евро през 2024 г., и степен на изпълнение от 64,80% през 2024 г., което представлява намаление спрямо 67,30% през 2023 г.; </w:t>
      </w:r>
    </w:p>
    <w:p w14:paraId="405607D5" w14:textId="77777777" w:rsidR="00314B98" w:rsidRPr="00D4297E" w:rsidRDefault="00314B98" w:rsidP="00314B98">
      <w:pPr>
        <w:pStyle w:val="NormalHanging12a"/>
        <w:rPr>
          <w:bCs/>
        </w:rPr>
      </w:pPr>
      <w:r w:rsidRPr="00D4297E">
        <w:t>14.</w:t>
      </w:r>
      <w:r w:rsidRPr="00D4297E">
        <w:tab/>
        <w:t xml:space="preserve">отбелязва, че според действащите правила на Комитета фиксираната надбавка за дистанционни заседания се определя на 50% от редовната заседателна надбавка, като редовната заседателна надбавка е 367 EUR, а надбавката за дистанционни заседания — 186,50 EUR след индексация; отбелязва, че общата сума, изплатена за надбавки за дистанционни заседания, е ниска в сравнение с предходните години, след като през 2023 г. беше регистрирано значително възобновяване на присъствените заседания; въпреки това отбелязва леко увеличение на изплатената сума — от 32 632 EUR през 2023 г. на 38 104 EUR през 2024 г.; отбелязва въз основа на отговорите на Комитета на въпросника, представен от комисията по бюджетен контрол на Парламента за освобождаването от отговорност във връзка с изпълнението на бюджета за 2024 г. („въпросника“), че единствено заседанията на органи на Комитета, които не са уставни, могат да се провеждат онлайн или в комбиниран формат, а дистанционното участие се наблюдава чрез платформата </w:t>
      </w:r>
      <w:proofErr w:type="spellStart"/>
      <w:r w:rsidRPr="00D4297E">
        <w:t>Interactio</w:t>
      </w:r>
      <w:proofErr w:type="spellEnd"/>
      <w:r w:rsidRPr="00D4297E">
        <w:t xml:space="preserve"> и извличането на файлове във формат .</w:t>
      </w:r>
      <w:proofErr w:type="spellStart"/>
      <w:r w:rsidRPr="00D4297E">
        <w:t>csv</w:t>
      </w:r>
      <w:proofErr w:type="spellEnd"/>
      <w:r w:rsidRPr="00D4297E">
        <w:t xml:space="preserve"> от нея; призовава Комитета да засили прозрачността и пропорционалността на системата за надбавки за дистанционно участие, за да се укрепи общественото доверие, и подчертава, че финансовата компенсация за дистанционно участие трябва да бъде строго обоснована; счита, че макар и дистанционното присъствие да е важен инструмент за съвременните институции, тъй като намалява разходите за заседания и създава условия за по-широко участие, изплащането на намалена надбавка за органите на Комитета за дистанционно участие в заседания, ограничена до някои видове прояви, може да бъде пропорционална и справедлива мярка за отговорностите и изискванията за подготовка на членовете; отбелязва обаче, че е важно да се гарантира прозрачност и пропорционалност по отношение на равнището на тези надбавки, главно когато съществуват различия за дистанционното участие между органите на Съюза; счита, че настоящото равнище на надбавката за дистанционни заседания изисква допълнителна обосновка по отношение на разходната ефективност, пропорционалността и обществената приемливост; призовава за по-широко и по-систематично използване на онлайн и хибридни формати на заседания, когато е целесъобразно, за да се намалят разходите, свързани с пътуванията, да се повиши ефективността на разходите, да се ограничи въздействието върху околната среда и да се увеличи общественото доверие в разумното използване на средствата на Съюза, както и да се оцени възможността за хармонизиране на правилата на Комитета с тези, прилагани от ЕИСК, или да се осигури ясна и прозрачна обосновка за поддържането на диференцирана система;</w:t>
      </w:r>
    </w:p>
    <w:p w14:paraId="3F7741C2" w14:textId="77777777" w:rsidR="00314B98" w:rsidRPr="00D4297E" w:rsidRDefault="00314B98" w:rsidP="00314B98">
      <w:pPr>
        <w:pStyle w:val="NormalHanging12a"/>
      </w:pPr>
      <w:r w:rsidRPr="00D4297E">
        <w:t>15.</w:t>
      </w:r>
      <w:r w:rsidRPr="00D4297E">
        <w:tab/>
        <w:t xml:space="preserve">отбелязва със задоволство въз основа на въпросника и доклада за последващите действия, че средният срок за плащане е намалял от 21,88 дни през 2023 г. на </w:t>
      </w:r>
      <w:r w:rsidRPr="00D4297E">
        <w:lastRenderedPageBreak/>
        <w:t>18,46 дни през 2024 г. въпреки допълнителното увеличение на броя на обработените фактури; приветства Комитета за достигането на висок процент (83%) на фактурите, получени по електронен път през 2024 г.;</w:t>
      </w:r>
    </w:p>
    <w:p w14:paraId="5D227EF9" w14:textId="77777777" w:rsidR="00314B98" w:rsidRPr="00D4297E" w:rsidRDefault="00314B98" w:rsidP="00CF180F">
      <w:pPr>
        <w:pStyle w:val="NormalHanging12a"/>
        <w:rPr>
          <w:b/>
          <w:i/>
        </w:rPr>
      </w:pPr>
      <w:r w:rsidRPr="00D4297E">
        <w:rPr>
          <w:b/>
          <w:i/>
        </w:rPr>
        <w:t>Вътрешно управление, резултати от дейността и вътрешен контрол</w:t>
      </w:r>
    </w:p>
    <w:p w14:paraId="0F6E0BF3" w14:textId="77777777" w:rsidR="00314B98" w:rsidRPr="00D4297E" w:rsidRDefault="00314B98" w:rsidP="00314B98">
      <w:pPr>
        <w:pStyle w:val="NormalHanging12a"/>
      </w:pPr>
      <w:r w:rsidRPr="00D4297E">
        <w:t>16.</w:t>
      </w:r>
      <w:r w:rsidRPr="00D4297E">
        <w:tab/>
        <w:t>потвърждава, че Комитетът играе основна роля в приноса за разработването на политиките и процесите на вземане на решения на Съюза, представлявайки интересите на местните и регионалните органи в Съюза, като по този начин доближава Европа до нейните граждани и повишава демократичната легитимност на законодателството на Съюза; отбелязва въз основа на годишния доклад, че за 2024 г., като част от годишния оперативен план на Комитета, докладването за резултатите от дейността му се основава на 26 цели, чието постигане е оценено чрез 87 количествени показателя, призовава Комитета да засили допълнително показателите, ориентирани към резултатите и въздействието, за да покаже по-добре въздействието и добавената стойност на дейностите на Комитета върху политиките на Съюза; като целите за по-голямата част от тези показатели (приблизително 74%) са постигнати на 90% или повече, шест са частично постигнати на 90% или по-малко и шест не са постигнати; отбелязва въз основа на въпросника, че Комитетът е въвел всеобхватен цикъл на планиране и докладване, съобразно който в годишния оперативен план за 2024 г. е включено създаването на централен регистър на риска и оценка на риска за всички цели; насърчава Комитета да продължи да работи за подобряване на изпълнението и ефективността; приветства усилията на Комитета да въведе реформиращи и иновативни решения, да рационализира администрацията и да избегне припокриване на ролите с други органи;</w:t>
      </w:r>
    </w:p>
    <w:p w14:paraId="0BCD1590" w14:textId="77777777" w:rsidR="00314B98" w:rsidRPr="00D4297E" w:rsidRDefault="00314B98" w:rsidP="00314B98">
      <w:pPr>
        <w:pStyle w:val="NormalHanging12a"/>
      </w:pPr>
      <w:r w:rsidRPr="00D4297E">
        <w:t>17.</w:t>
      </w:r>
      <w:r w:rsidRPr="00D4297E">
        <w:tab/>
        <w:t>подчертава значението и стратегическата стойност на показателите за изпълнението и приканва Комитета да консолидира допълнително своята рамка от показатели, като гарантира докладване на резултатите и въздействието, а не само административната дейност;</w:t>
      </w:r>
    </w:p>
    <w:p w14:paraId="55C0F633" w14:textId="3BD95324" w:rsidR="00314B98" w:rsidRPr="00D4297E" w:rsidRDefault="00314B98" w:rsidP="00314B98">
      <w:pPr>
        <w:pStyle w:val="NormalHanging12a"/>
      </w:pPr>
      <w:r w:rsidRPr="00D4297E">
        <w:t>18</w:t>
      </w:r>
      <w:r w:rsidR="00B829EF">
        <w:t>.</w:t>
      </w:r>
      <w:r w:rsidRPr="00D4297E">
        <w:tab/>
        <w:t>отбелязва, че Комитетът изпълнява своята мисия чрез изготвянето на становища по законодателни предложения, внесени от Комисията (искания за консултация), становища по собствена инициатива, в които институциите на Съюза се призовават да предприемат действия, и резолюции, в които се излагат позициите на Комитета по конкретни теми; отбелязва, че през 2024 г. Комитетът прие 53 становища (както през 2023 г.) и четири резолюции (шест през 2023 г.); признава политическите постижения на Комитета през 2024 г. и неговата роля за интегрирането на местните и регионалните перспективи в изготвянето на политиките на Съюза, като по този начин се засилва участието на гражданите;</w:t>
      </w:r>
    </w:p>
    <w:p w14:paraId="66B1E7E7" w14:textId="1B5756DC" w:rsidR="00314B98" w:rsidRPr="00D4297E" w:rsidRDefault="00314B98" w:rsidP="00314B98">
      <w:pPr>
        <w:pStyle w:val="NormalHanging12a"/>
      </w:pPr>
      <w:r w:rsidRPr="00D4297E">
        <w:t>19.</w:t>
      </w:r>
      <w:r w:rsidRPr="00D4297E">
        <w:tab/>
        <w:t xml:space="preserve">отбелязва със задоволство въз основа на годишния доклад за въздействието на Комитета за 2024 г. („доклад за въздействието“) политическите постижения на Комитета през 2024 г. по отношение на трите му политически приоритета за периода 2020—2025 г., които засилват ролята му при оформянето на политиката на Съюза на регионално и местно равнище; отбелязва, че приносът на Комитета чрез декларациите и препоръките в становищата оказа въздействие върху ключови области на политиката на Съюза като изменението на климата, природата, енергетиката и екологосъобразната икономика (например чрез доклада „Зелен пакт 2.0“, който оказа влияние върху заключенията на Съвета, и </w:t>
      </w:r>
      <w:r w:rsidRPr="00D4297E">
        <w:lastRenderedPageBreak/>
        <w:t>становището на Комитета относно Регламент (ЕС) 2024/1991 на Европейския парламент и на Съвета</w:t>
      </w:r>
      <w:r w:rsidRPr="00D4297E">
        <w:rPr>
          <w:rStyle w:val="FootnoteReference"/>
        </w:rPr>
        <w:footnoteReference w:id="10"/>
      </w:r>
      <w:r w:rsidRPr="00D4297E">
        <w:t xml:space="preserve">), транспорта (например чрез становището на Комитета относно пакета за </w:t>
      </w:r>
      <w:proofErr w:type="spellStart"/>
      <w:r w:rsidRPr="00D4297E">
        <w:t>екологизиране</w:t>
      </w:r>
      <w:proofErr w:type="spellEnd"/>
      <w:r w:rsidRPr="00D4297E">
        <w:t xml:space="preserve"> на товарния транспорт, което оказа влияние върху съответните проекти на доклади на Парламента), както и здравеопазването (например чрез становището на Комитета относно Регламент (ЕС) 2025/327 на Европейския парламент и на Съвета</w:t>
      </w:r>
      <w:r w:rsidRPr="00D4297E">
        <w:rPr>
          <w:rStyle w:val="FootnoteReference"/>
        </w:rPr>
        <w:footnoteReference w:id="11"/>
      </w:r>
      <w:r w:rsidRPr="00D4297E">
        <w:t>, което оказа влияние върху окончателния компромисен текст); отбелязва със задоволство, че предложенията, направени от Комитета, оказаха влияние върху решенията на Комисията за започване на пилотен проект на стойност 23 милиона евро за съфинансиране на регионите и градовете за реинтеграцията на дълготрайно безработните лица на пазара на труда, както и за започване на изпълнението на амбициозния, първи по рода си европейски план за жилища на достъпни цени, който е насочен към енергетиката, бедността и устойчивото жилищно настаняване и утвърждава, че достъпът до жилище е основно право; отбелязва освен това, че декларацията, приета на Европейската среща на високо равнище на регионите и градовете, проведена през март 2024 г. в Монс, допринесе за стратегическата програма на Европейския съвет и политическите насоки на Комисията;</w:t>
      </w:r>
    </w:p>
    <w:p w14:paraId="521A7FE7" w14:textId="77777777" w:rsidR="00314B98" w:rsidRPr="00D4297E" w:rsidRDefault="00314B98" w:rsidP="00314B98">
      <w:pPr>
        <w:pStyle w:val="NormalHanging12a"/>
      </w:pPr>
      <w:r w:rsidRPr="00D4297E">
        <w:t xml:space="preserve">20. </w:t>
      </w:r>
      <w:r w:rsidRPr="00D4297E">
        <w:tab/>
        <w:t xml:space="preserve">подкрепя Комитета, предвид важната му роля за повишаване на демократичната легитимност на законодателството на Съюза чрез осигуряване на активна координация на регионалните и местните органи, в усилията му да предоставя целенасочени, пропорционални и основани на данни оценки на териториалното въздействие, когато те добавят ясна стойност към законодателния процес; отбелязва със задоволство, че Комитетът създаде пълноценен механизъм за консултации със заинтересованите страни, за да събира мнения, преди да публикува своите становища — благодарение на участието на различни местни и регионални мрежи, съюзи и центрове; оценява факта, че позициите на партньорите извън Съюза също се вземат предвид, например чрез Европейския алианс на градовете и регионите за възстановяване на Украйна и Евро-Средиземноморската асамблея на регионалните и местните власти; </w:t>
      </w:r>
    </w:p>
    <w:p w14:paraId="5DA9ABD7" w14:textId="77777777" w:rsidR="00314B98" w:rsidRPr="00D4297E" w:rsidRDefault="00314B98" w:rsidP="00314B98">
      <w:pPr>
        <w:pStyle w:val="NormalHanging12a"/>
      </w:pPr>
      <w:r w:rsidRPr="00D4297E">
        <w:t xml:space="preserve">21. </w:t>
      </w:r>
      <w:r w:rsidRPr="00D4297E">
        <w:tab/>
        <w:t xml:space="preserve">отбелязва по-широкия ангажимент на Комитета в целия политически и законодателен цикъл на Съюза, който е възможен благодарение на неговите рамки за сътрудничество с Комисията, Парламента и Европейската инвестиционна банка; подчертава, че е важно да се канят членове на Комитета и на ЕИСК на парламентарни заседания, които попадат в техните области на компетентност; </w:t>
      </w:r>
    </w:p>
    <w:p w14:paraId="513238A9" w14:textId="77777777" w:rsidR="00314B98" w:rsidRPr="00D4297E" w:rsidRDefault="00314B98" w:rsidP="00314B98">
      <w:pPr>
        <w:pStyle w:val="NormalHanging12a"/>
      </w:pPr>
      <w:r w:rsidRPr="00D4297E">
        <w:t>22.</w:t>
      </w:r>
      <w:r w:rsidRPr="00D4297E">
        <w:tab/>
        <w:t xml:space="preserve">отбелязва, че през 2024 г. Комитетът проведе пет консултации с регионални центрове и две консултации с Експертната група по въпросите на субсидиарността и че той изготви две оценки и две становища „Готови за бъдещето“; приканва Комитета да продължи да предоставя полезна и относима </w:t>
      </w:r>
      <w:r w:rsidRPr="00D4297E">
        <w:lastRenderedPageBreak/>
        <w:t xml:space="preserve">информация, например данни, събирани на местно равнище, и анализи, на институциите на Съюза и други </w:t>
      </w:r>
      <w:proofErr w:type="spellStart"/>
      <w:r w:rsidRPr="00D4297E">
        <w:t>бенефициери</w:t>
      </w:r>
      <w:proofErr w:type="spellEnd"/>
      <w:r w:rsidRPr="00D4297E">
        <w:t xml:space="preserve"> на политиките на Съюза;</w:t>
      </w:r>
    </w:p>
    <w:p w14:paraId="0EB49845" w14:textId="77777777" w:rsidR="00314B98" w:rsidRPr="00D4297E" w:rsidRDefault="00314B98" w:rsidP="00314B98">
      <w:pPr>
        <w:pStyle w:val="NormalHanging12a"/>
      </w:pPr>
      <w:r w:rsidRPr="00D4297E">
        <w:t>23.</w:t>
      </w:r>
      <w:r w:rsidRPr="00D4297E">
        <w:tab/>
        <w:t>оценява факта, че през 2024 г. Комитетът продължи да прилага мерки за подобряване на вътрешното си управление, модернизиране на своята администрация, рационализиране на своите процеси и повишаване на разходната ефективност; приветства подобреното използване на цифрови инструменти, по-специално усилията, насочени към опростяване, административна ефективност и намаляване на ненужни вътрешни процедури; отбелязва въз основа на въпросника и годишния доклад напредъка, постигнат през 2024 г. по отношение на цифровизацията и оптимизирането на работните процеси (например машинен превод за рутинни задачи и разширяване на инструментите на Microsoft 365 и SharePoint), икономиите на разходи за операции и съоръжения (например дистанционен устен превод, мерки за икономия на енергия и хибриден режим на работа), повишаването на ефективността (например чрез предоговаряне на договори), опростяването на правилата и процедурите с 63 от общо 73 завършени проекта и намаляване с 20% на броя на процедурите, както и няколко други действия в контекста на плана „</w:t>
      </w:r>
      <w:proofErr w:type="spellStart"/>
      <w:r w:rsidRPr="00D4297E">
        <w:t>Going</w:t>
      </w:r>
      <w:proofErr w:type="spellEnd"/>
      <w:r w:rsidRPr="00D4297E">
        <w:t xml:space="preserve"> </w:t>
      </w:r>
      <w:proofErr w:type="spellStart"/>
      <w:r w:rsidRPr="00D4297E">
        <w:t>for</w:t>
      </w:r>
      <w:proofErr w:type="spellEnd"/>
      <w:r w:rsidRPr="00D4297E">
        <w:t xml:space="preserve"> </w:t>
      </w:r>
      <w:proofErr w:type="spellStart"/>
      <w:r w:rsidRPr="00D4297E">
        <w:t>IMPact</w:t>
      </w:r>
      <w:proofErr w:type="spellEnd"/>
      <w:r w:rsidRPr="00D4297E">
        <w:t>!“ за модернизиране на администрацията на Комитета;</w:t>
      </w:r>
    </w:p>
    <w:p w14:paraId="41423F9F" w14:textId="77777777" w:rsidR="00314B98" w:rsidRPr="00D4297E" w:rsidRDefault="00314B98" w:rsidP="00314B98">
      <w:pPr>
        <w:pStyle w:val="NormalHanging12a"/>
        <w:rPr>
          <w:bCs/>
          <w:iCs/>
        </w:rPr>
      </w:pPr>
      <w:r w:rsidRPr="00D4297E">
        <w:t>24.</w:t>
      </w:r>
      <w:r w:rsidRPr="00D4297E">
        <w:tab/>
        <w:t>подчертава, че усилията за модернизация трябва да бъдат придружени от систематична оценка на постигнатите осезаеми ползи, включително измеримите ползи по отношение на ефективността, икономиите на разходи и времето за обработка; поради това призовава Комитета да установи методология за количествено определяне на тези подобрения и да докладва редовно за тях;</w:t>
      </w:r>
    </w:p>
    <w:p w14:paraId="258F8537" w14:textId="77777777" w:rsidR="00314B98" w:rsidRPr="00D4297E" w:rsidRDefault="00314B98" w:rsidP="00314B98">
      <w:pPr>
        <w:pStyle w:val="NormalHanging12a"/>
      </w:pPr>
      <w:r w:rsidRPr="00D4297E">
        <w:t>25.</w:t>
      </w:r>
      <w:r w:rsidRPr="00D4297E">
        <w:tab/>
        <w:t>отбелязва въз основа на въпросника и годишния доклад действията и мерките, които Комитетът предприема за опростена, но силна среда за вътрешен контрол; отбелязва, че процедурата за самооценка на вътрешния контрол през 2024 г. беше съсредоточена върху финансовото управление и най-важните аспекти на вътрешния контрол за лицата, които изпълняват бюджета на Комитета; отбелязва със задоволство, че Комитетът приключи прегледа на над 500 чувствителни длъжности, като това беше последвано от смекчаващи мерки, механизми за контрол и приемане на правила за мобилност през 2024 г.; отбелязва, че изпълнението на многогодишния план за действие на Комитета за преразглеждане и опростяване на неговата среда за вътрешен контрол продължи с действията по „Сближаване на проектите“ с поредица от процеси, съсредоточени върху мониторинга и докладването относно резултатите и въздействието на Комитета в реално време, като последните два от тези процеси — относно годишния отчет за дейността на Комитета и относно непрекъснатостта на дейността му — бяха изцяло изпълнени през 2024 г.; отбелязва по отношение на новата рамка за вътрешен контрол на Комитета, че са завършени и други ключови етапи, включително създаването на приложими инструменти за бързо приложение в случай на криза, обхващащи различни области, като ИТ, комуникация, финансови потоци и защита на данните, наред с другото;</w:t>
      </w:r>
    </w:p>
    <w:p w14:paraId="0DF64947" w14:textId="77777777" w:rsidR="00314B98" w:rsidRPr="00D4297E" w:rsidRDefault="00314B98" w:rsidP="00314B98">
      <w:pPr>
        <w:pStyle w:val="NormalHanging12a"/>
      </w:pPr>
      <w:r w:rsidRPr="00D4297E">
        <w:t>26.</w:t>
      </w:r>
      <w:r w:rsidRPr="00D4297E">
        <w:tab/>
        <w:t xml:space="preserve">отбелязва, че през 2024 г. Комитетът приложи частично цифровизирана и опростена процедура за финансовите работни процеси и назначаването на финансови участници; отбелязва, че през 2024 г. 5,60% от проверените предварително операции са били отхвърлени за корекция или предмет на отрицателни становища, както и че последващите проверки са били </w:t>
      </w:r>
      <w:r w:rsidRPr="00D4297E">
        <w:lastRenderedPageBreak/>
        <w:t>съсредоточени върху финансовите операции (съгласно новата методика) и не разкриха съществени проблеми; отбелязва освен това намаления брой на докладите за финансови изключения спрямо 2023 г. — регистрирани са два доклада за административни изключения за неспазване на вътрешните процедури и няма текущи съдебни спорове, свързани с решения за възлагане на обществени поръчки;</w:t>
      </w:r>
    </w:p>
    <w:p w14:paraId="3C65E868" w14:textId="77777777" w:rsidR="00314B98" w:rsidRPr="00D4297E" w:rsidRDefault="00314B98" w:rsidP="00314B98">
      <w:pPr>
        <w:pStyle w:val="NormalHanging12a"/>
      </w:pPr>
      <w:r w:rsidRPr="00D4297E">
        <w:t>27.</w:t>
      </w:r>
      <w:r w:rsidRPr="00D4297E">
        <w:tab/>
        <w:t>отбелязва, че през 2024 г. са започнати три нови одита: относно изпълнението на логистичните услуги, предоставяни на членовете на Комитета, относно оптимизирането на разпределението на човешките ресурси в дирекция „Писмени преводи“ и относно адекватността на възлагането на обществени поръчки и управлението на договорите; отбелязва въз основа на въпросника напредъка, постигнат по отношение на текущите одити на управлението на свободните длъжности, защитата на личните данни и работата на ИТ организацията в съвместните служби; призовава Комитета да информира редовно органа по освобождаване от отговорност за напредъка, постигнат по тези въпроси;</w:t>
      </w:r>
    </w:p>
    <w:p w14:paraId="2C91BFCA" w14:textId="77777777" w:rsidR="00314B98" w:rsidRPr="00D4297E" w:rsidRDefault="00314B98" w:rsidP="00314B98">
      <w:pPr>
        <w:pStyle w:val="NormalHanging12a"/>
        <w:rPr>
          <w:b/>
          <w:bCs/>
          <w:i/>
        </w:rPr>
      </w:pPr>
      <w:r w:rsidRPr="00D4297E">
        <w:rPr>
          <w:b/>
          <w:i/>
        </w:rPr>
        <w:t>Човешки ресурси, равенство и благосъстояние на служителите</w:t>
      </w:r>
    </w:p>
    <w:p w14:paraId="6E777256" w14:textId="77777777" w:rsidR="00314B98" w:rsidRPr="00D4297E" w:rsidRDefault="00314B98" w:rsidP="00314B98">
      <w:pPr>
        <w:pStyle w:val="NormalHanging12a"/>
        <w:rPr>
          <w:bCs/>
        </w:rPr>
      </w:pPr>
      <w:r w:rsidRPr="00D4297E">
        <w:t>28.</w:t>
      </w:r>
      <w:r w:rsidRPr="00D4297E">
        <w:tab/>
        <w:t>отбелязва, че в края на 2024 г. служителите на Комитета са били общо 561 (без да се включват командированите национални експерти, временно наетите лица, работещите на място експерти и стажантите) в сравнение с 559 през 2023 г.; отбелязва, че в края на 2024 г. в Комитета са работели 73 договорно наети служители в сравнение със 74 договорно наети служители през 2023 г. и 102 срочно наети служители в сравнение с 96 срочно наети служители през 2023 г., от които 22 договорно наети служители с безсрочен договор, 51 договорно наети служители със срочен договор, 49 срочно наети служители на постоянна длъжност със срочен договор, 50 срочно наети служители с безсрочен договор и трима срочно наети служители на временна длъжност; отбелязва също така, че в Комитета са работили на място 39 външни доставчици на услуги; подчертава, че е важно да се осигурят безсрочни трудови договори, когато е целесъобразно, с цел поддържането на умения, приемственост и продуктивна и стабилна работна среда, като същевременно се запазят гъвкавостта и основаното на заслуги набиране на персонал в съответствие с оперативните нужди; предупреждава да не се разчита прекомерно на външни доставчици на услуги; отбелязва, че през 2024 г. процентът на заемане на длъжностите в щатното разписание е 96,40% (което представлява намаление спрямо 98% през 2023 г.), а текучеството е съответно 7,30% (което представлява увеличение спрямо 6,60% през 2023 г.);</w:t>
      </w:r>
    </w:p>
    <w:p w14:paraId="776A31CB" w14:textId="77777777" w:rsidR="00314B98" w:rsidRPr="00D4297E" w:rsidRDefault="00314B98" w:rsidP="00314B98">
      <w:pPr>
        <w:pStyle w:val="NormalHanging12a"/>
        <w:rPr>
          <w:bCs/>
        </w:rPr>
      </w:pPr>
      <w:r w:rsidRPr="00D4297E">
        <w:t>29.</w:t>
      </w:r>
      <w:r w:rsidRPr="00D4297E">
        <w:tab/>
        <w:t>отбелязва, че през 2024 г. Комитетът е наел 51 стажанти по схемата „Цицерон“, като стажантите на Комитета получават месечна стипендия и се ползват от същите условия на труд като служителите, включително възможността за работа от разстояние; отново подчертава, че стажовете следва да бъдат платени в съответствие с резолюцията на Европейския парламент от 14 юни 2023 г. с препоръки към Комисията относно качествени стажове в ЕС (2020/2005(INL)), в която се призовава всички стажове в Съюза да бъдат платени;</w:t>
      </w:r>
    </w:p>
    <w:p w14:paraId="40052FF5" w14:textId="61E47512" w:rsidR="00314B98" w:rsidRPr="00D4297E" w:rsidRDefault="00314B98" w:rsidP="00314B98">
      <w:pPr>
        <w:pStyle w:val="NormalHanging12a"/>
        <w:rPr>
          <w:bCs/>
        </w:rPr>
      </w:pPr>
      <w:r w:rsidRPr="00D4297E">
        <w:t>30.</w:t>
      </w:r>
      <w:r w:rsidRPr="00D4297E">
        <w:tab/>
        <w:t xml:space="preserve">изразява съжаление, че Комитетът все още не е постигнал равенство между половете по отношение на ръководните длъжности, но признава значителния напредък, постигнат в рамките на петгодишната стратегия и плана за действие на </w:t>
      </w:r>
      <w:r w:rsidRPr="00D4297E">
        <w:lastRenderedPageBreak/>
        <w:t>Комитета за многообразие и приобщаване за периода 2022 — 2026 г.; приветства избирането през 2025 г. на жена председател на Комитета, като потвърждава ангажимента на институцията да постигне напредък по отношение на равенството между половете на най-високо политическо равнище, и насърчава Комитета да продължи усилията си за увеличаване на представителството на жените на ръководни длъжности, като същевременно подчертава, че заслугите и професионалните квалификации продължават да бъдат основните критерии за назначаване; отбелязва, че в края на 2024 г. в Комитета са работили 57,</w:t>
      </w:r>
      <w:r w:rsidR="0078094B">
        <w:t>2</w:t>
      </w:r>
      <w:r w:rsidRPr="00D4297E">
        <w:t>% жени и 42,8% мъже — почти същото съотношение, както през 2023 г.; отбелязва намалението на дела на жените на висши ръководни длъжности от 44,4% през 2023 г. на 33,3% през 2024 г. (като той се увеличи отново на 44,4% през 2025 г.) и намалението на дела на жените на средни ръководни длъжности от 32,50% през 2023 г. на 29,7% през 2024 г.; отбелязва въз основа на въпросника мерките за насърчаване на по-голямо представителство на жените на ръководни длъжности, включително чрез целенасочени възможности за обучение и наставничество на жените служители, които се стремят към ръководни длъжности, и насърчаване на по-гъвкави схеми на работа; отново заявява, че постигането на дългосрочен баланс между половете сред ръководните длъжности е основна институционална цел, и очаква Комитетът да приеме конкретен, обвързан със срокове план за действие с измерими цели, междинни етапни цели и годишно докладване; призовава Комитета да гарантира, че напредъкът към равенство се наблюдава и оповестява публично;</w:t>
      </w:r>
    </w:p>
    <w:p w14:paraId="220DA38C" w14:textId="77777777" w:rsidR="00314B98" w:rsidRPr="00D4297E" w:rsidRDefault="00314B98" w:rsidP="00314B98">
      <w:pPr>
        <w:pStyle w:val="NormalHanging12a"/>
        <w:rPr>
          <w:bCs/>
        </w:rPr>
      </w:pPr>
      <w:r w:rsidRPr="00D4297E">
        <w:t>31.</w:t>
      </w:r>
      <w:r w:rsidRPr="00D4297E">
        <w:tab/>
        <w:t>приветства Комитета за действията му, целящи също така да насърчават баланса между половете сред неговите членове, по-специално чрез изпращане на писма до Съвета относно свободните работни места и чрез застъпничество пред постоянните представителства и националните сдружения на местните и регионалните власти, участващи в процеса на номиниране; отбелязва въз основа на доклада за последващите действия, че междувременно процентът на жените членове се е увеличил от 23,40% през 2020 г. на 28,7% през 2025 г.; оценява факта, че новият правилник за дейността на Комитета, който влезе в сила през август 2024 г., включва изрични цели за подобряване на баланса между половете, по-специално в състава на Бюрото на Комитета; насърчава Комитета да продължи да насърчава баланса между половете, като същевременно гарантира, че назначенията се основават на заслуги, професионален опит и квалификации;</w:t>
      </w:r>
    </w:p>
    <w:p w14:paraId="0047E7A9" w14:textId="77777777" w:rsidR="00314B98" w:rsidRPr="00D4297E" w:rsidRDefault="00314B98" w:rsidP="00314B98">
      <w:pPr>
        <w:pStyle w:val="NormalHanging12a"/>
      </w:pPr>
      <w:r w:rsidRPr="00D4297E">
        <w:t>32.</w:t>
      </w:r>
      <w:r w:rsidRPr="00D4297E">
        <w:tab/>
        <w:t>приветства Комитета за организирането на вътрешен конкурс през 2024 г., за да се отговори на текущите и бъдещите нужди от набиране на персонал, да се осигури непрекъснатост на дейността и да се задържи опитният персонал, като по този начин се компенсира липсата на списъци на издържали конкурс кандидати от Европейската служба за подбор на персонал (EPSO); отбелязва въз основа на въпросника, че към 1 септември 2025 г. списъкът на Комитета на издържалите конкурса кандидати е включвал 72 души, 46 от които вече назначени на различни степени — както AST, така и AD; очаква в резултат на това считано от 2025 г. да се намали броят на срочно наетите служители и на договорно наетите служители в Комитета;</w:t>
      </w:r>
    </w:p>
    <w:p w14:paraId="618F01E7" w14:textId="77777777" w:rsidR="00314B98" w:rsidRPr="00D4297E" w:rsidRDefault="00314B98" w:rsidP="00314B98">
      <w:pPr>
        <w:pStyle w:val="NormalHanging12a"/>
      </w:pPr>
      <w:r w:rsidRPr="00D4297E">
        <w:t>33.</w:t>
      </w:r>
      <w:r w:rsidRPr="00D4297E">
        <w:tab/>
        <w:t xml:space="preserve">отбелязва, че в резултат на пилотен проект за хибриден режим на работа и проучване на удовлетвореността на служителите, започнато през 2022 г., на 1 януари 2024 г. Комитетът прие решение, приложимо от 1 февруари 2024 г., което предвижда хибриден режим на работа и персонализиран седмичен работен </w:t>
      </w:r>
      <w:r w:rsidRPr="00D4297E">
        <w:lastRenderedPageBreak/>
        <w:t>график за всеки служител, както и възможност за работа от вкъщи до 60% от работното време на служителите (с изключение на категориите служители, чиито задачи са несъвместими с работата от разстояние) и работа извън града на обичайната заетост за не повече от 15 дни годишно; признава, че тези мерки имат за цел да подобрят равновесието между професионалния и личния живот, като същевременно поддържат оперативната ефективност и удовлетвореността на служителите;</w:t>
      </w:r>
    </w:p>
    <w:p w14:paraId="4648EE02" w14:textId="77777777" w:rsidR="00314B98" w:rsidRPr="00D4297E" w:rsidRDefault="00314B98" w:rsidP="00314B98">
      <w:pPr>
        <w:pStyle w:val="NormalHanging12a"/>
      </w:pPr>
      <w:r w:rsidRPr="00D4297E">
        <w:t>34.</w:t>
      </w:r>
      <w:r w:rsidRPr="00D4297E">
        <w:tab/>
        <w:t>отбелязва със задоволство, че 89% от отговорилите на проучването сред служителите, проведено през 2025 г., посочват, че са доволни от тези гъвкави схеми на работа, като това може също така да окаже въздействие върху броя на дните отпуск по болест, ползвани от служителите на Комитета; отбелязва въз основа на доклада за последващите действия, че тенденцията на намаляване на общия брой дни на отпуск по болест се запазва — 7 303 дни през 2024 г. в сравнение със 7 544 дни през 2023 г., като: – броят на служителите, които не са вземали отпуск по болест, е намалял от 211 (или 36% от всички служители) през 2023 г. на 196 (или 34%) през 2024 г.; – броят на служителите в отпуск по болест за по-малко от седем дни се е увеличил от 201 (или 35% от всички служители) през 2023 г. на 211 (или 36%) през 2024 г.; и – броят на служителите в отпуск по болест с продължителност между 7,5 и 21 дни се е увеличил от 92 (или 16% от всички служители) през 2023 г. на 96 (или 16% от всички служители) през 2024 г.;</w:t>
      </w:r>
    </w:p>
    <w:p w14:paraId="76DFAAF3" w14:textId="77777777" w:rsidR="00314B98" w:rsidRPr="00D4297E" w:rsidRDefault="00314B98" w:rsidP="00314B98">
      <w:pPr>
        <w:pStyle w:val="NormalHanging12a"/>
      </w:pPr>
      <w:r w:rsidRPr="00D4297E">
        <w:t>35.</w:t>
      </w:r>
      <w:r w:rsidRPr="00D4297E">
        <w:tab/>
        <w:t xml:space="preserve">отбелязва въз основа на въпросника, че броят на случаите на професионално изчерпване е намалял от 18 през 2023 г. на шест през 2024 г.; приветства Комитета за проактивния му подход за предотвратяване на професионалното изчерпване, като внимателно наблюдава служителите в дългосрочен отпуск по болест чрез адаптирани мерки, които включват редовен контакт със съответните служители и съдействие от медицински експерти; отбелязва освен това, че през 2024 г. Комитетът успешно реинтегрира трима служители след дългосрочно отсъствие в резултат на професионално изчерпване благодарение на персонализирано проследяване на дългосрочния отпуск по болест; приветства превантивните действия на Комитета, предприети през 2024 г. за подобряване на здравето и благосъстоянието на работното място, например като се предлагат на служителите сесии на място с </w:t>
      </w:r>
      <w:proofErr w:type="spellStart"/>
      <w:r w:rsidRPr="00D4297E">
        <w:t>парамедицински</w:t>
      </w:r>
      <w:proofErr w:type="spellEnd"/>
      <w:r w:rsidRPr="00D4297E">
        <w:t xml:space="preserve"> специалисти (физиотерапевти, </w:t>
      </w:r>
      <w:proofErr w:type="spellStart"/>
      <w:r w:rsidRPr="00D4297E">
        <w:t>остеопати</w:t>
      </w:r>
      <w:proofErr w:type="spellEnd"/>
      <w:r w:rsidRPr="00D4297E">
        <w:t>, обучители, наети по силата на рамков договор) и се организират конференции за повишаване на осведомеността относно здравето;</w:t>
      </w:r>
    </w:p>
    <w:p w14:paraId="7DAE1F83" w14:textId="77777777" w:rsidR="00314B98" w:rsidRPr="00D4297E" w:rsidRDefault="00314B98" w:rsidP="00314B98">
      <w:pPr>
        <w:pStyle w:val="NormalHanging12a"/>
      </w:pPr>
      <w:r w:rsidRPr="00D4297E">
        <w:t>36.</w:t>
      </w:r>
      <w:r w:rsidRPr="00D4297E">
        <w:tab/>
        <w:t>отбелязва, че през 2024 г. Комитетът продължи да повишава осведомеността относно мерките, въведени за предотвратяване и борба с тормоза на работното място, в съответствие със своето решение от 26 април 2021 г. относно защитата на достойнството на работното място, управлението на конфликти и борбата с тормоза, по-специално чрез специални насоки, вътрешна комуникация (двуседмичен бюлетин от отдел „Човешки ресурси“) и организиране на няколко информационни сесии за служителите и ръководителите, включително задължително обучение относно етиката и почтеността; отбелязва, че Комитетът регистрира четири нови случая на предполагаем тормоз през 2024 г., като един случай е свързан със сексуален тормоз, а по един случай е сезирана белгийската полиция чрез официална жалба; отбелязва, че са приложени установените процедури (предварителна оценка, административно разследване, предпазни мерки и др.), и приканва Комитета да информира органа по освобождаване от отговорност за резултатите от тези случаи;</w:t>
      </w:r>
    </w:p>
    <w:p w14:paraId="1BFBF2E2" w14:textId="77777777" w:rsidR="00314B98" w:rsidRPr="00D4297E" w:rsidRDefault="00314B98" w:rsidP="00314B98">
      <w:pPr>
        <w:pStyle w:val="NormalHanging12a"/>
      </w:pPr>
      <w:r w:rsidRPr="00D4297E">
        <w:lastRenderedPageBreak/>
        <w:t>37.</w:t>
      </w:r>
      <w:r w:rsidRPr="00D4297E">
        <w:tab/>
        <w:t xml:space="preserve">приветства Комитета за това, че осигури достъп на хората с увреждания до цифровите продукти на Комитета и възможността да ги използват, като приложи указанията за достъпност на </w:t>
      </w:r>
      <w:proofErr w:type="spellStart"/>
      <w:r w:rsidRPr="00D4297E">
        <w:t>уебсъдържание</w:t>
      </w:r>
      <w:proofErr w:type="spellEnd"/>
      <w:r w:rsidRPr="00D4297E">
        <w:t xml:space="preserve">; отбелязва в този контекст модернизирането през 2024 г. на платформата </w:t>
      </w:r>
      <w:proofErr w:type="spellStart"/>
      <w:r w:rsidRPr="00D4297E">
        <w:t>HReForms</w:t>
      </w:r>
      <w:proofErr w:type="spellEnd"/>
      <w:r w:rsidRPr="00D4297E">
        <w:t xml:space="preserve"> на Комитета, като достъпността е основно изискване, а подобренията включват, наред с другото, подобрен цветови контраст, навигация с клавиатура и алтернативен текст; отбелязва със задоволство, че Комитетът възстановява разходите за настаняване на кандидатите с увреждания, като по този начин осигурява справедливи процедури за подбор;</w:t>
      </w:r>
    </w:p>
    <w:p w14:paraId="2BA1792E" w14:textId="77777777" w:rsidR="00314B98" w:rsidRPr="00D4297E" w:rsidRDefault="00314B98" w:rsidP="00314B98">
      <w:pPr>
        <w:pStyle w:val="NormalHanging12a"/>
      </w:pPr>
      <w:r w:rsidRPr="00D4297E">
        <w:t>38.</w:t>
      </w:r>
      <w:r w:rsidRPr="00D4297E">
        <w:tab/>
        <w:t xml:space="preserve">отбелязва, че всички националности на Съюза са представени сред служителите на Комитета през 2024 г. (плюс един служител с украинско гражданство), като някои са </w:t>
      </w:r>
      <w:proofErr w:type="spellStart"/>
      <w:r w:rsidRPr="00D4297E">
        <w:t>свръхпредставени</w:t>
      </w:r>
      <w:proofErr w:type="spellEnd"/>
      <w:r w:rsidRPr="00D4297E">
        <w:t>; приветства усилията на Комитета през 2024 г. да балансира географското разпределение сред своите служители чрез целенасочени информационни инициативи, които привличат кандидати от по-слабо представени държави; отбелязва сред тези инициативи засиленото използване на цифрови платформи и социални медии за повишаване на видимостта на свободните работни места, пряко взаимодействие с постоянните представителства на държавите членки, презентации пред целеви аудитории за насърчаване на участието в процедурите за подбор на Комитета и анализ на тенденциите при кандидатстването; отбелязва, че тези мерки вече са довели до положителен резултат през 2024 г., като увеличен брой получени кандидатури за работа, включително от по-слабо представени държави; приветства в допълнение сътрудничеството на Комитета с EPSO и други институции на Съюза за диверсифициране на резерва от кандидати, споделяне на най-добри практики и координиране на усилията за преодоляване на недостатъчното представителство в администрацията на Съюза като цяло; приканва Комитета да продължи да предприема мерки, насочени към по-балансирано географско разпределение, включително на управленско равнище, и да информира редовно органа по освобождаване от отговорност за различните тенденции при кандидатурите за работа, получавани от Комитета;</w:t>
      </w:r>
    </w:p>
    <w:p w14:paraId="6CB2B293" w14:textId="77777777" w:rsidR="00314B98" w:rsidRPr="00D4297E" w:rsidRDefault="00314B98" w:rsidP="00314B98">
      <w:pPr>
        <w:pStyle w:val="NormalHanging12a"/>
        <w:rPr>
          <w:bCs/>
          <w:iCs/>
        </w:rPr>
      </w:pPr>
      <w:r w:rsidRPr="00D4297E">
        <w:t>39.</w:t>
      </w:r>
      <w:r w:rsidRPr="00D4297E">
        <w:tab/>
        <w:t>приветства силния и структуриран социален диалог в процесите на организационни промени през цялата 2024 г.; насърчава Комитета да поддържа и допълнително да засили системното участие на представители на персонала в реформите, свързани, наред с другото, с цифровизацията, вътрешната реорганизация и новите методи на работа;</w:t>
      </w:r>
    </w:p>
    <w:p w14:paraId="1E799B94" w14:textId="77777777" w:rsidR="00314B98" w:rsidRPr="00D4297E" w:rsidRDefault="00314B98" w:rsidP="00314B98">
      <w:pPr>
        <w:pStyle w:val="NormalHanging12a"/>
        <w:rPr>
          <w:b/>
          <w:i/>
        </w:rPr>
      </w:pPr>
      <w:r w:rsidRPr="00D4297E">
        <w:rPr>
          <w:b/>
          <w:i/>
        </w:rPr>
        <w:t>Етична рамка и прозрачност</w:t>
      </w:r>
    </w:p>
    <w:p w14:paraId="3A523F14" w14:textId="77777777" w:rsidR="00314B98" w:rsidRPr="00D4297E" w:rsidRDefault="00314B98" w:rsidP="00314B98">
      <w:pPr>
        <w:pStyle w:val="NormalHanging12a"/>
      </w:pPr>
      <w:r w:rsidRPr="00D4297E">
        <w:t>40.</w:t>
      </w:r>
      <w:r w:rsidRPr="00D4297E">
        <w:tab/>
        <w:t>приветства работата, извършена от Комитета през 2023 г. за консолидиране на етичните правила и практики в единна етична правна рамка (Решение № 157/2023), която обхваща, наред с другото, дисциплинарната процедура, достойнството на работното място, управлението на конфликти, борбата с тормоза, външните дейности и подаването на сигнали за нередности; отбелязва, че 2024 г. беше първата година от прилагането на тази нова рамка; отбелязва, че през 2024 г. от страна на Комитета редовно са предлагани задължителни курсове за обучение по етика и почтеност, подаване на сигнали за нередности и предотвратяване на конфликти на интереси на различни групи служители — новопостъпили служители, ръководители и персонала като цяло;</w:t>
      </w:r>
    </w:p>
    <w:p w14:paraId="004AB298" w14:textId="77777777" w:rsidR="00314B98" w:rsidRPr="00D4297E" w:rsidRDefault="00314B98" w:rsidP="00314B98">
      <w:pPr>
        <w:pStyle w:val="NormalHanging12a"/>
      </w:pPr>
      <w:r w:rsidRPr="00D4297E">
        <w:lastRenderedPageBreak/>
        <w:t>41.</w:t>
      </w:r>
      <w:r w:rsidRPr="00D4297E">
        <w:tab/>
        <w:t>отбелязва, че през 2024 г. Комитетът не е докладвал случаи на Европейската служба за борба с измамите (OLAF), Европейската прокуратура или Европейския омбудсман и не е бил обект на разследване от страна на тези институции;</w:t>
      </w:r>
    </w:p>
    <w:p w14:paraId="4CB219E8" w14:textId="77777777" w:rsidR="00314B98" w:rsidRPr="00D4297E" w:rsidRDefault="00314B98" w:rsidP="00314B98">
      <w:pPr>
        <w:pStyle w:val="NormalHanging12a"/>
      </w:pPr>
      <w:r w:rsidRPr="00D4297E">
        <w:t>42.</w:t>
      </w:r>
      <w:r w:rsidRPr="00D4297E">
        <w:tab/>
        <w:t>припомня, че Комитетът прие Регламент № 6/2023 от 4 юли 2023 г. за определяне на мерки за прозрачност, насочени към членовете на мандатна длъжност и докладчиците, като тези мерки се отнасят до призива към членовете на мандатна длъжност и докладчика да се срещат само с представители на интереси, които са се регистрирали в регистъра за прозрачност, и да оповестяват публично срещите с представители на интереси, които провеждат в качеството си на членове на Комитета; отбелязва, че през 2024 г. един член на Комитета докладва за среща с представител на интереси; в този контекст приветства Комитета за това, че официално се присъедини към регистъра за прозрачност на ЕС на 1 януари 2024 г.;</w:t>
      </w:r>
    </w:p>
    <w:p w14:paraId="6798A4F5" w14:textId="77777777" w:rsidR="00314B98" w:rsidRPr="00D4297E" w:rsidRDefault="00314B98" w:rsidP="00314B98">
      <w:pPr>
        <w:pStyle w:val="NormalHanging12a"/>
        <w:rPr>
          <w:b/>
          <w:bCs/>
          <w:i/>
          <w:iCs/>
          <w:szCs w:val="24"/>
        </w:rPr>
      </w:pPr>
      <w:r w:rsidRPr="00D4297E">
        <w:t>43.</w:t>
      </w:r>
      <w:r w:rsidRPr="00D4297E">
        <w:tab/>
        <w:t>отбелязва въз основа на въпросника принципите и механизмите, приложени от Комитета през 2024 г. за насърчаване на прозрачността в различни области, например бюджетното и финансовото управление, докладването, сътрудничеството в областта на одита, човешките ресурси, обществените поръчки, публичния достъп до документи и управлението на записи;</w:t>
      </w:r>
    </w:p>
    <w:p w14:paraId="65FD44C3" w14:textId="77777777" w:rsidR="00314B98" w:rsidRPr="00D4297E" w:rsidRDefault="00314B98" w:rsidP="00314B98">
      <w:pPr>
        <w:pStyle w:val="NormalHanging12a"/>
      </w:pPr>
      <w:r w:rsidRPr="00D4297E">
        <w:t>44.</w:t>
      </w:r>
      <w:r w:rsidRPr="00D4297E">
        <w:tab/>
        <w:t>приветства подновените усилия на Комитета в областта на откриването и предотвратяването на конфликти на интереси през 2024 г.; отбелязва, че благодарение на своето Решение № 157/2023 Комитетът определи понятието „конфликт на интереси“ и въведе механизъм за откриване и предотвратяване на такива конфликти, при който от служителите се изисква да декларират дали може да имат конфликт на интереси (потенциален или възможен), като попълват формуляр в различни ключови моменти от кариерата или професионалната си дейност; отбелязва със задоволство въз основа на въпросника, че годишната информация относно професионалните дейности на бивши висши длъжностни лица се публикува по прозрачен начин на уебсайта на Комитета, както и че е забранено те да участват в лобиране или застъпничество пред Комитета през първите 12 месеца, след като напуснат своите длъжности в Комитета;</w:t>
      </w:r>
    </w:p>
    <w:p w14:paraId="4043CD0C" w14:textId="77777777" w:rsidR="00314B98" w:rsidRPr="00D4297E" w:rsidRDefault="00314B98" w:rsidP="00314B98">
      <w:pPr>
        <w:pStyle w:val="NormalHanging12a"/>
      </w:pPr>
      <w:r w:rsidRPr="00D4297E">
        <w:t>45.</w:t>
      </w:r>
      <w:r w:rsidRPr="00D4297E">
        <w:tab/>
        <w:t>отбелязва въз основа на въпросника, че през 2024 г. в Комитета не са открити случаи на конфликти на интереси; отбелязва въпреки това, че член на Комитета е изразил загриженост относно потенциален конфликт на интереси вследствие на получаването на плащане за изготвяне на проучване за техническа подкрепа за член на Парламента или политическа група на Парламента; приветства потвърждението, получено по време на процедурата по освобождаване от отговорност във връзка с изпълнението на бюджета, че въпросният член на Комитета в действителност не е приел въпросната задача;</w:t>
      </w:r>
    </w:p>
    <w:p w14:paraId="041E27E5" w14:textId="77777777" w:rsidR="00314B98" w:rsidRPr="00D4297E" w:rsidRDefault="00314B98" w:rsidP="00314B98">
      <w:pPr>
        <w:pStyle w:val="NormalHanging12a"/>
      </w:pPr>
      <w:r w:rsidRPr="00D4297E">
        <w:t>46.</w:t>
      </w:r>
      <w:r w:rsidRPr="00D4297E">
        <w:tab/>
        <w:t>отбелязва, че през 2024 г. в Комитета не са докладвани случаи на подаване на сигнали за нередности; отбелязва, че Комитетът не е приел никакви нови мерки относно подаването на сигнали за нередности през 2024 г. и е продължил да разчита на мерките, въведени от 2015 г. насам, и да ги популяризира чрез обучения по етика и повишаване на осведомеността; подкрепя редовните задължителни етични обучения както за персонала, така и за ръководството;</w:t>
      </w:r>
    </w:p>
    <w:p w14:paraId="13ED2A33" w14:textId="77777777" w:rsidR="00314B98" w:rsidRPr="00D4297E" w:rsidRDefault="00314B98" w:rsidP="00314B98">
      <w:pPr>
        <w:pStyle w:val="NormalHanging12a"/>
      </w:pPr>
      <w:r w:rsidRPr="00D4297E">
        <w:t>47.</w:t>
      </w:r>
      <w:r w:rsidRPr="00D4297E">
        <w:tab/>
        <w:t xml:space="preserve">отбелязва, че Комитетът разполага с редица мерки и действия за борба с </w:t>
      </w:r>
      <w:r w:rsidRPr="00D4297E">
        <w:lastRenderedPageBreak/>
        <w:t>измамите, които са приложими за неговите членове и служители и се изпълняват от различни служби; изразява съжаление, че през 2024 г. не е въведена стратегия за борба с измамите; въпреки това отбелязва въз основа на въпросника, че през 2025 г. Комитетът е приел консолидирана рамка за борба с измамите, която представлява междинна стъпка в разработването на всеобхватна стратегия за борба с измамите, а методиката, използвана за тази цел, ще бъде предоставена от OLAF; настоятелно призовава Комитета да даде приоритет на пълното разработване и прилагане на тази стратегия, включително оценка на риска, превенция, откриване и последващи мерки; отправя искане към Комитета да информира редовно органа по освобождаване от отговорност по този въпрос;</w:t>
      </w:r>
    </w:p>
    <w:p w14:paraId="0C78AE3D" w14:textId="77777777" w:rsidR="00314B98" w:rsidRPr="00D4297E" w:rsidRDefault="00314B98" w:rsidP="004C3422">
      <w:pPr>
        <w:pStyle w:val="NormalHanging12a"/>
        <w:rPr>
          <w:b/>
          <w:i/>
        </w:rPr>
      </w:pPr>
      <w:r w:rsidRPr="00D4297E">
        <w:rPr>
          <w:b/>
          <w:i/>
        </w:rPr>
        <w:t>Цифровизация, киберсигурност и защита на данните</w:t>
      </w:r>
    </w:p>
    <w:p w14:paraId="0CC1071F" w14:textId="77777777" w:rsidR="00314B98" w:rsidRPr="00D4297E" w:rsidRDefault="00314B98" w:rsidP="00314B98">
      <w:pPr>
        <w:pStyle w:val="NormalHanging12a"/>
      </w:pPr>
      <w:r w:rsidRPr="00D4297E">
        <w:t>48.</w:t>
      </w:r>
      <w:r w:rsidRPr="00D4297E">
        <w:tab/>
        <w:t>отбелязва, че общият бюджет за ИТ на Комитета и ЕИСК възлиза на 13,70 милиона евро през 2024 г. в сравнение с 12,70 милиона евро през 2023 г., т.е. намаление с приблизително 7,90%, като през 2024 г. 760 000 EUR от този бюджет (приблизително 6%) са изразходвани за киберсигурност;</w:t>
      </w:r>
    </w:p>
    <w:p w14:paraId="643AE323" w14:textId="77777777" w:rsidR="00314B98" w:rsidRPr="00D4297E" w:rsidRDefault="00314B98" w:rsidP="00314B98">
      <w:pPr>
        <w:pStyle w:val="NormalHanging12a"/>
      </w:pPr>
      <w:r w:rsidRPr="00D4297E">
        <w:t>49.</w:t>
      </w:r>
      <w:r w:rsidRPr="00D4297E">
        <w:tab/>
        <w:t xml:space="preserve">отбелязва въз основа на въпросника, че през 2024 г. Дирекция „Иновации и информационни технологии“ е приложила нова многогодишна стратегия в областта на цифровите технологии за периода 2024 — 2026 г., която дава приоритет на управлението на цифрови записи, електронните работни процеси, електронните подписи и основаните на изчисления в облак решения и се съсредоточава върху четири водещи програми — M365 </w:t>
      </w:r>
      <w:proofErr w:type="spellStart"/>
      <w:r w:rsidRPr="00D4297E">
        <w:t>Digital</w:t>
      </w:r>
      <w:proofErr w:type="spellEnd"/>
      <w:r w:rsidRPr="00D4297E">
        <w:t xml:space="preserve"> </w:t>
      </w:r>
      <w:proofErr w:type="spellStart"/>
      <w:r w:rsidRPr="00D4297E">
        <w:t>Workplace</w:t>
      </w:r>
      <w:proofErr w:type="spellEnd"/>
      <w:r w:rsidRPr="00D4297E">
        <w:t xml:space="preserve">, ARES, </w:t>
      </w:r>
      <w:proofErr w:type="spellStart"/>
      <w:r w:rsidRPr="00D4297E">
        <w:t>EdiT</w:t>
      </w:r>
      <w:proofErr w:type="spellEnd"/>
      <w:r w:rsidRPr="00D4297E">
        <w:t xml:space="preserve"> и </w:t>
      </w:r>
      <w:proofErr w:type="spellStart"/>
      <w:r w:rsidRPr="00D4297E">
        <w:t>Cybersecurity</w:t>
      </w:r>
      <w:proofErr w:type="spellEnd"/>
      <w:r w:rsidRPr="00D4297E">
        <w:t xml:space="preserve">, като целта е да се задълбочат сътрудничеството и автоматизацията и да се повиши институционалната устойчивост; подчертава напредъка във връзка с програмата M365, включително планирането на миграцията към SharePoint </w:t>
      </w:r>
      <w:proofErr w:type="spellStart"/>
      <w:r w:rsidRPr="00D4297E">
        <w:t>Online</w:t>
      </w:r>
      <w:proofErr w:type="spellEnd"/>
      <w:r w:rsidRPr="00D4297E">
        <w:t xml:space="preserve">, внедряването на Windows 11 и приложенията M365, както и разработването на стратегия за изкуствения интелект с пътна карта за пилотния проект M365 </w:t>
      </w:r>
      <w:proofErr w:type="spellStart"/>
      <w:r w:rsidRPr="00D4297E">
        <w:t>Copilot</w:t>
      </w:r>
      <w:proofErr w:type="spellEnd"/>
      <w:r w:rsidRPr="00D4297E">
        <w:t xml:space="preserve"> през 2025 г.; отбелязва, че Комитетът е започнал да внедрява системата за управление на документи HAN и отчита напредък във връзка с приемането на приложението за редакция </w:t>
      </w:r>
      <w:proofErr w:type="spellStart"/>
      <w:r w:rsidRPr="00D4297E">
        <w:t>EdiT</w:t>
      </w:r>
      <w:proofErr w:type="spellEnd"/>
      <w:r w:rsidRPr="00D4297E">
        <w:t xml:space="preserve"> XML за изготвяне на законодателни текстове; приветства факта, че киберсигурността вече се възприема като споделена отговорност — с нови инициативи за обучение и многогодишен план, съобразен със стандартите на Съюза; признава подобренията в управлението на записите, инфраструктурата и инструментите за сигурна комуникация, включително електронната поща SECABC, предаването на данни SACHA и системите за управление на крайни точки; отбелязва със задоволство непрекъснатия напредък на Комитета в областта на цифровите иновации, включително прехода към работна среда, която е изцяло без документи на хартиен носител и е защитена срещу кибератаки; приветства работния план на Дома на регионите за периода 2025 — 2027 г. за приоритизиране на цифровата трансформация с цел изграждане на модерна, гъвкава и основана на цифровите технологии институция;</w:t>
      </w:r>
    </w:p>
    <w:p w14:paraId="42289C5E" w14:textId="77777777" w:rsidR="00314B98" w:rsidRPr="00D4297E" w:rsidRDefault="00314B98" w:rsidP="00314B98">
      <w:pPr>
        <w:pStyle w:val="NormalHanging12a"/>
        <w:rPr>
          <w:bCs/>
        </w:rPr>
      </w:pPr>
      <w:r w:rsidRPr="00D4297E">
        <w:t>50.</w:t>
      </w:r>
      <w:r w:rsidRPr="00D4297E">
        <w:tab/>
        <w:t>отбелязва, че считано от 2024 г. Комитетът постепенно въведе пилотен проект за изкуствен интелект, наречен „</w:t>
      </w:r>
      <w:proofErr w:type="spellStart"/>
      <w:r w:rsidRPr="00D4297E">
        <w:t>Panoramic</w:t>
      </w:r>
      <w:proofErr w:type="spellEnd"/>
      <w:r w:rsidRPr="00D4297E">
        <w:t xml:space="preserve"> AI“, който създава център за рационализиране на достъпа до сложно съдържание; отбелязва освен това, че Комитетът активно използва инструментите с изкуствен интелект на Комисията за превод, изготвяне на резюмета и др. и участва като пилотен потребител за изпитване на пилотното решение за изкуствен интелект GPT@JRC; отбелязва въз </w:t>
      </w:r>
      <w:r w:rsidRPr="00D4297E">
        <w:lastRenderedPageBreak/>
        <w:t>основа на въпросника, че в насоките на Комитета за изкуствения интелект, приети през 2023 г., се определя базова линия за това как служителите биха могли да експериментират с него, за прилагането на Регламент (ЕС) 2024/1689 на Европейския парламент и на Съвета</w:t>
      </w:r>
      <w:r w:rsidRPr="00D4297E">
        <w:rPr>
          <w:rStyle w:val="FootnoteReference"/>
          <w:bCs/>
        </w:rPr>
        <w:footnoteReference w:id="12"/>
      </w:r>
      <w:r w:rsidRPr="00D4297E">
        <w:t xml:space="preserve">, който влезе в сила през август 2024 г., както и за разработването на корпоративни алтернативи, които са в съответствие със стандартите за защита на данните и етичните стандарти; приветства в този контекст факта, че през 2024 г. са организирани информационни сесии за служителите с цел разясняване на насоките за изкуствения интелект, публикувана е бележка за служителите относно грамотността в областта на изкуствения интелект и са организирани семинари за повишаване на осведомеността относно изкуствения интелект; насърчава продължаването на тази практика, включително организирането на редовни обучения относно безопасното, етично и ефективно използване на изкуствения интелект, както и на обучения относно киберсигурността; признава добавената стойност на инструментите с изкуствен интелект, които повишават личната производителност, например M365 </w:t>
      </w:r>
      <w:proofErr w:type="spellStart"/>
      <w:r w:rsidRPr="00D4297E">
        <w:t>Copilot</w:t>
      </w:r>
      <w:proofErr w:type="spellEnd"/>
      <w:r w:rsidRPr="00D4297E">
        <w:t>, и на интегрирането на способностите на изкуствения интелект в инструментите за ИТ поддръжка; подчертава, че използването на изкуствен интелект трябва да се извършва, като се гарантират строги принципи на етично използване, прозрачност, защита на данните, човешки надзор и защита срещу алгоритмични предубеждения или злоупотреба;</w:t>
      </w:r>
    </w:p>
    <w:p w14:paraId="2B039625" w14:textId="77777777" w:rsidR="00314B98" w:rsidRPr="00D4297E" w:rsidRDefault="00314B98" w:rsidP="00314B98">
      <w:pPr>
        <w:pStyle w:val="NormalHanging12a"/>
      </w:pPr>
      <w:r w:rsidRPr="00D4297E">
        <w:t>51.</w:t>
      </w:r>
      <w:r w:rsidRPr="00D4297E">
        <w:tab/>
        <w:t>отбелязва въз основа на въпросника, че поради процедурен пропуск Комитетът не е поискал предварителното съгласие на Европейския надзорен орган по защита на данните (ЕНОЗД) при смяната на своето длъжностно лице по защита на данните, като след това е признал грешката си и е предприел корективни действия; потвърждава, че прехвърлянето на функцията на длъжностно лице по защита на данните към Правната служба се основава на препоръка на вътрешен одитор; отбелязва, че Комитетът е възстановил предишното длъжностно лице по защита на данните и официално е поискал съгласието на ЕНОЗД за новото назначение, за да се осигури пълно съответствие;</w:t>
      </w:r>
    </w:p>
    <w:p w14:paraId="43A3D4AB" w14:textId="77777777" w:rsidR="00314B98" w:rsidRPr="00D4297E" w:rsidRDefault="00314B98" w:rsidP="00314B98">
      <w:pPr>
        <w:pStyle w:val="NormalHanging12a"/>
      </w:pPr>
      <w:r w:rsidRPr="00D4297E">
        <w:t>52.</w:t>
      </w:r>
      <w:r w:rsidRPr="00D4297E">
        <w:tab/>
        <w:t xml:space="preserve">отбелязва въз основа на въпросника, че Комитетът не е бил подложен на успешни кибератаки през 2024 г., тъй като съществуващите мерки за откриване и предотвратяване ефективно са противодействали на всички опити за заплахи; отбелязва, че Комитетът е предприел няколко действия за укрепване на своята рамка за киберсигурност и защита на данните, като през 2024 г. е следил отблизо последните развития и най-добри практики в тези области; отбелязва, че някои от тези действия включват участието на съответните служители в упражнението за повишаване на осведомеността относно нарушенията на сигурността на личните данни при справянето с инциденти в областта на киберсигурността, организирано от Агенцията на Европейския съюз за киберсигурност (ENISA) и ЕНОЗД, участието в Европейския месец на киберсигурността през 2024 г. и сесиите за повишаване на осведомеността, както и в присъствените въвеждащи обучения за служителите, особено за новопостъпилите служители; насърчава продължаването </w:t>
      </w:r>
      <w:r w:rsidRPr="00D4297E">
        <w:lastRenderedPageBreak/>
        <w:t xml:space="preserve">на тази практика, включително организирането на редовни обучения в областта на киберсигурността; приветства освен това въвеждането на </w:t>
      </w:r>
      <w:proofErr w:type="spellStart"/>
      <w:r w:rsidRPr="00D4297E">
        <w:t>двуфакторна</w:t>
      </w:r>
      <w:proofErr w:type="spellEnd"/>
      <w:r w:rsidRPr="00D4297E">
        <w:t xml:space="preserve"> автентификация с цел повишаване на сигурността на достъпа, миграцията на системата за управление на съдържанието на уебсайта на Комитета към нова платформа (</w:t>
      </w:r>
      <w:proofErr w:type="spellStart"/>
      <w:r w:rsidRPr="00D4297E">
        <w:t>Drupal</w:t>
      </w:r>
      <w:proofErr w:type="spellEnd"/>
      <w:r w:rsidRPr="00D4297E">
        <w:t>), която осигурява подобрена устойчивост и приспособимост, както и продължаващото тясно сътрудничество със Службата за киберсигурност за институциите, органите, службите и агенциите на Съюза (CERT-EU) за наблюдение на заплахите в реално време и защита срещу разпределени атаки тип „отказ от обслужване“ (</w:t>
      </w:r>
      <w:proofErr w:type="spellStart"/>
      <w:r w:rsidRPr="00D4297E">
        <w:t>DDoS</w:t>
      </w:r>
      <w:proofErr w:type="spellEnd"/>
      <w:r w:rsidRPr="00D4297E">
        <w:t>); отбелязва, че дирекцията „Иновации и информационни технологии“ започна изпълнението на програма за цифрова трансформация и трансформация в областта на киберсигурността в съответствие със стандартите на Съюза и международните стандарти, включително Регламент (ЕС, Евратом) 2023/2841 на Европейския парламент и на Съвета</w:t>
      </w:r>
      <w:r w:rsidRPr="00D4297E">
        <w:rPr>
          <w:vertAlign w:val="superscript"/>
        </w:rPr>
        <w:footnoteReference w:id="13"/>
      </w:r>
      <w:r w:rsidRPr="00D4297E">
        <w:t xml:space="preserve">, рамката за киберсигурност на Националния институт за стандарти и технологии (NIST) и отворения проект за сигурност на </w:t>
      </w:r>
      <w:proofErr w:type="spellStart"/>
      <w:r w:rsidRPr="00D4297E">
        <w:t>уебприложенията</w:t>
      </w:r>
      <w:proofErr w:type="spellEnd"/>
      <w:r w:rsidRPr="00D4297E">
        <w:t xml:space="preserve"> (</w:t>
      </w:r>
      <w:proofErr w:type="spellStart"/>
      <w:r w:rsidRPr="00D4297E">
        <w:t>Open</w:t>
      </w:r>
      <w:proofErr w:type="spellEnd"/>
      <w:r w:rsidRPr="00D4297E">
        <w:t xml:space="preserve"> Worldwide </w:t>
      </w:r>
      <w:proofErr w:type="spellStart"/>
      <w:r w:rsidRPr="00D4297E">
        <w:t>Application</w:t>
      </w:r>
      <w:proofErr w:type="spellEnd"/>
      <w:r w:rsidRPr="00D4297E">
        <w:t xml:space="preserve"> </w:t>
      </w:r>
      <w:proofErr w:type="spellStart"/>
      <w:r w:rsidRPr="00D4297E">
        <w:t>Security</w:t>
      </w:r>
      <w:proofErr w:type="spellEnd"/>
      <w:r w:rsidRPr="00D4297E">
        <w:t xml:space="preserve"> Project, или OWASP) с цел укрепване на издръжливостта, управлението на риска, защитата на данните и други аспекти на управлението в Комитета;</w:t>
      </w:r>
    </w:p>
    <w:p w14:paraId="7F228C0B" w14:textId="77777777" w:rsidR="00314B98" w:rsidRPr="00D4297E" w:rsidRDefault="00314B98" w:rsidP="004C3422">
      <w:pPr>
        <w:pStyle w:val="NormalHanging12a"/>
        <w:rPr>
          <w:b/>
          <w:i/>
        </w:rPr>
      </w:pPr>
      <w:r w:rsidRPr="00D4297E">
        <w:rPr>
          <w:b/>
          <w:i/>
        </w:rPr>
        <w:t>Сгради</w:t>
      </w:r>
    </w:p>
    <w:p w14:paraId="6B637FB9" w14:textId="77777777" w:rsidR="00314B98" w:rsidRPr="00D4297E" w:rsidRDefault="00314B98" w:rsidP="00314B98">
      <w:pPr>
        <w:pStyle w:val="NormalHanging12a"/>
      </w:pPr>
      <w:r w:rsidRPr="00D4297E">
        <w:t>53.</w:t>
      </w:r>
      <w:r w:rsidRPr="00D4297E">
        <w:tab/>
        <w:t>отбелязва, че бюджетът на Комитета за сгради и свързани разходи (бюджетни кредити за текущата година) през 2024 г. възлиза на 18,963 милиона евро (в сравнение с 18,594 милиона евро през 2023 г.), като степента на изпълнение на плащанията е 92% (в сравнение с 93,70% през 2023 г.); отбелязва със задоволство реализираните от Комитета икономии в размер на 108 000 EUR от услуги по почистване през периоди, когато в сградите на Комитета е имало по-малко хора;</w:t>
      </w:r>
    </w:p>
    <w:p w14:paraId="6327D49D" w14:textId="77777777" w:rsidR="00314B98" w:rsidRPr="00D4297E" w:rsidRDefault="00314B98" w:rsidP="00314B98">
      <w:pPr>
        <w:pStyle w:val="NormalHanging12a"/>
      </w:pPr>
      <w:r w:rsidRPr="00D4297E">
        <w:t>54.</w:t>
      </w:r>
      <w:r w:rsidRPr="00D4297E">
        <w:tab/>
        <w:t xml:space="preserve">отбелязва въз основа на годишния доклад заключението на Комитета, че е постигнат един от основните му приоритети, поставени през 2017 г., а именно географската концентрация на сградите; отбелязва становището на Комитета, че успешното прилагане на новия хибриден режим на работа създава условия за допълнителни икономии на разходи чрез намаляване на пространството; отбелязва в този контекст, че в края на 2024 г. Комитетът започна изпълнението на проекта </w:t>
      </w:r>
      <w:proofErr w:type="spellStart"/>
      <w:r w:rsidRPr="00D4297E">
        <w:t>SPaCES</w:t>
      </w:r>
      <w:proofErr w:type="spellEnd"/>
      <w:r w:rsidRPr="00D4297E">
        <w:t xml:space="preserve"> за трансформиране на работните практики и работните пространства в Комитета, включително чрез промяна на оборудването на помещенията, като първата стъпка от този проект е преместването на настанени в сграда „B100“ служители; отбелязва, че въз основа на съвместно решение на Комитета и ЕИСК договорът за наем на тази сграда ще бъде прекратен през август 2026 г.; приканва Комитета да информира редовно органа по освобождаване от отговорност за напредъка, постигнат по този въпрос;</w:t>
      </w:r>
    </w:p>
    <w:p w14:paraId="0A148758" w14:textId="77777777" w:rsidR="00314B98" w:rsidRPr="00D4297E" w:rsidRDefault="00314B98" w:rsidP="00314B98">
      <w:pPr>
        <w:pStyle w:val="NormalHanging12a"/>
      </w:pPr>
      <w:r w:rsidRPr="00D4297E">
        <w:t>55.</w:t>
      </w:r>
      <w:r w:rsidRPr="00D4297E">
        <w:tab/>
        <w:t xml:space="preserve">отбелязва, че през 2024 г. продължиха ремонтните дейности в сградата „VMA“; отбелязва въз основа на доклада за последващите действия, че инвестициите в интелигентни технологии, инсталирани в сградата „VMA“, ще осигурят ориентирано към бъдещето гъвкаво офис пространство и оптимален комфорт за потребителите на различни равнища, което ще допринесе за допълнително </w:t>
      </w:r>
      <w:r w:rsidRPr="00D4297E">
        <w:lastRenderedPageBreak/>
        <w:t>намаляване на потреблението на енергия с приблизително 13 000 EUR годишно (въз основа на средните цени на електроенергията и газа за 2023 г.);</w:t>
      </w:r>
    </w:p>
    <w:p w14:paraId="5098FB8E" w14:textId="77777777" w:rsidR="00314B98" w:rsidRPr="00D4297E" w:rsidRDefault="00314B98" w:rsidP="00314B98">
      <w:pPr>
        <w:pStyle w:val="NormalHanging12a"/>
      </w:pPr>
      <w:r w:rsidRPr="00D4297E">
        <w:t>56.</w:t>
      </w:r>
      <w:r w:rsidRPr="00D4297E">
        <w:tab/>
        <w:t>приветства ангажимента на Комитета и ЕИСК да прилагат систематично принципа на универсален дизайн по отношение на инфраструктурата си, като гарантират достъпността на своите сгради още при проектирането; отбелязва, че комитетите предприеха редица различни мерки, за да гарантират достъпността на своите сгради, включително асансьорите, за хора с различни видове увреждания (ползватели на инвалидни колички, слепи хора и хора с увредено зрение, глухи хора, възрастни хора с мускулни или съдови проблеми);</w:t>
      </w:r>
    </w:p>
    <w:p w14:paraId="17F76675" w14:textId="77777777" w:rsidR="00314B98" w:rsidRPr="00D4297E" w:rsidRDefault="00314B98" w:rsidP="004C3422">
      <w:pPr>
        <w:pStyle w:val="NormalHanging12a"/>
        <w:rPr>
          <w:b/>
          <w:i/>
        </w:rPr>
      </w:pPr>
      <w:r w:rsidRPr="00D4297E">
        <w:rPr>
          <w:b/>
          <w:i/>
        </w:rPr>
        <w:t>Околна среда и устойчивост</w:t>
      </w:r>
    </w:p>
    <w:p w14:paraId="09225140" w14:textId="77777777" w:rsidR="00314B98" w:rsidRPr="00D4297E" w:rsidRDefault="00314B98" w:rsidP="00314B98">
      <w:pPr>
        <w:pStyle w:val="NormalHanging12a"/>
      </w:pPr>
      <w:r w:rsidRPr="00D4297E">
        <w:t>57.</w:t>
      </w:r>
      <w:r w:rsidRPr="00D4297E">
        <w:tab/>
        <w:t>отбелязва, че Комитетът продължи да прилага през 2024 г. различни екологосъобразни практики, например инвестиции в иновативни енергийно ефективни осветителни системи, енергомери, сензори, инсталирани в съоръжения от критично значение за наблюдение на нивата на CO</w:t>
      </w:r>
      <w:r w:rsidRPr="00D4297E">
        <w:rPr>
          <w:vertAlign w:val="subscript"/>
        </w:rPr>
        <w:t>2</w:t>
      </w:r>
      <w:r w:rsidRPr="00D4297E">
        <w:t>, регулиране на температурите на сградите (климатизация, отопление) в зависимост от периода на годината и закупуване на 100% зелена електроенергия, наред с другото; отбелязва, че Комитетът прилага екологични критерии във всички процедури за възлагане на обществени поръчки и клаузи за устойчивост за обществени поръчки на стойност над 25 000 EUR, както и адаптирани клаузи за обществени поръчки с голямо въздействие върху околната среда или на стойност над 60 000 EUR; отбелязва със задоволство, че Комитетът интегрира екологичните аспекти в своята система за управление на риска и в основните си работни процеси и определи звена за контакт по Схемата на Общността за управление по околна среда и одит (EMAS);</w:t>
      </w:r>
    </w:p>
    <w:p w14:paraId="0493C751" w14:textId="77777777" w:rsidR="00314B98" w:rsidRPr="00D4297E" w:rsidRDefault="00314B98" w:rsidP="00314B98">
      <w:pPr>
        <w:pStyle w:val="NormalHanging12a"/>
      </w:pPr>
      <w:r w:rsidRPr="00D4297E">
        <w:t>58.</w:t>
      </w:r>
      <w:r w:rsidRPr="00D4297E">
        <w:tab/>
        <w:t>оценява ангажимента на Комитета да насърчава политика за устойчива мобилност за своите служители; отбелязва в този контекст, че през 2024 г. Комитетът въведе фиксирана надбавка за велосипеди в размер на 100 EUR за служителите, които използват велосипед като основно средство за пътуване до и от работното място, разшири капацитета си за паркиране на велосипеди и организира закуски и викторини по теми, свързани с мобилността; отбелязва въз основа на въпросника, че считано от 2024 г. служителите могат да поискат изплащане на 50% от абонаментните разходи за пътуване с влак във 2-ра класа (за разстояние до 60 км);</w:t>
      </w:r>
    </w:p>
    <w:p w14:paraId="34521158" w14:textId="77777777" w:rsidR="00314B98" w:rsidRPr="00D4297E" w:rsidRDefault="00314B98" w:rsidP="00314B98">
      <w:pPr>
        <w:pStyle w:val="NormalHanging12a"/>
      </w:pPr>
      <w:r w:rsidRPr="00D4297E">
        <w:t>59.</w:t>
      </w:r>
      <w:r w:rsidRPr="00D4297E">
        <w:tab/>
        <w:t>отбелязва със задоволство въз основа на въпросника, че благодарение на своите мерки за икономии на енергия потреблението на енергия на Комитета е намаляло с около 3 — 4% през 2024 г. в сравнение с 2022 г.; отбелязва преизпълнението на целите на EMAS за периода 2024 г. във всички области (електричество, газ, вода, отпадъци, сортиране на отпадъци, хартия за офис ползване, емисии на CO</w:t>
      </w:r>
      <w:r w:rsidRPr="00D4297E">
        <w:rPr>
          <w:vertAlign w:val="subscript"/>
        </w:rPr>
        <w:t>2</w:t>
      </w:r>
      <w:r w:rsidRPr="00D4297E">
        <w:t>), като базовата година е 2019 г.; отбелязва леко увеличение през 2024 г. на потреблението на вода и хартия в сравнение с 2023 г., съответно с 14 и 1%, и намаление на въглеродните емисии от административните дейности на Комитета с 4,3%, на използването на електроенергия и газ, съответно с 5 и 1%, както и на производството на отпадъци — с 12%;</w:t>
      </w:r>
    </w:p>
    <w:p w14:paraId="4B70292C" w14:textId="77777777" w:rsidR="00314B98" w:rsidRPr="00CF180F" w:rsidRDefault="00314B98" w:rsidP="0078094B">
      <w:pPr>
        <w:pStyle w:val="NormalHanging12a"/>
        <w:rPr>
          <w:b/>
          <w:bCs/>
          <w:i/>
          <w:iCs/>
        </w:rPr>
      </w:pPr>
      <w:r w:rsidRPr="00CF180F">
        <w:rPr>
          <w:b/>
          <w:i/>
          <w:iCs/>
        </w:rPr>
        <w:t xml:space="preserve">Междуинституционално сътрудничество </w:t>
      </w:r>
    </w:p>
    <w:p w14:paraId="28E84C69" w14:textId="77777777" w:rsidR="00314B98" w:rsidRPr="00D4297E" w:rsidRDefault="00314B98" w:rsidP="00314B98">
      <w:pPr>
        <w:pStyle w:val="NormalHanging12a"/>
      </w:pPr>
      <w:r w:rsidRPr="00D4297E">
        <w:t>60.</w:t>
      </w:r>
      <w:r w:rsidRPr="00D4297E">
        <w:tab/>
        <w:t xml:space="preserve">приветства подновяването през 2024 г. на споразуменията за сътрудничество на </w:t>
      </w:r>
      <w:r w:rsidRPr="00D4297E">
        <w:lastRenderedPageBreak/>
        <w:t>Комитета с Парламента и Комисията, което положи основите за по-активното институционално участие на Комитета на всички етапи от законодателния процес на Съюза по отношение на различни политики (например регионалното развитие, политиката в областта на климата и социалното сближаване), извън политиките, за които е установено дългогодишно сътрудничество; отбелязва, че тези споразумения включват също така по-строги разпоредби относно сътрудничеството в областта на оценките на териториалното въздействие; отбелязва със задоволство въз основа на въпросника, че на 13 октомври 2024 г. Председателският съвет на Комитета се е срещнал със заместник-председателя на Парламента, отговарящ за отношенията с Комитета, за да обсъди укрепването на сътрудничеството, наред с другото, чрез насърчаване на практиката на съвместни заседания, особено на равнище комисии и докладчици, участие на Комитета в тристранните обсъждания и логистично сътрудничество по време на строителните работи в сградата „СПАК“ на Парламента; отбелязва, че през 2024 г. членовете на Комитета се срещнаха също така със Съвета и постоянните представителства и участваха в проявите, организирани от председателството на Съвета, за да се гарантира, че позициите на Комитета са отразени в законодателството на Съюза;</w:t>
      </w:r>
    </w:p>
    <w:p w14:paraId="72C8204C" w14:textId="77777777" w:rsidR="00314B98" w:rsidRPr="00D4297E" w:rsidRDefault="00314B98" w:rsidP="00314B98">
      <w:pPr>
        <w:pStyle w:val="NormalHanging12a"/>
      </w:pPr>
      <w:r w:rsidRPr="00D4297E">
        <w:t>61.</w:t>
      </w:r>
      <w:r w:rsidRPr="00D4297E">
        <w:tab/>
        <w:t>приветства бюджетните и административните икономии, постигнати чрез междуинституционално сътрудничество, и по-специално тясното сътрудничество, установено на административно равнище с ЕИСК, с който Комитетът споделя помещения и съвместни служби в областта на писмения превод, инфраструктурата, медицинските услуги, кетъринга, логистиката и ИТ, както и съвместен регистър за защита на данните с 470 служители и над 68 милиона евро (140 милиона евро, ако се включат разходите, свързани със заплатите), обединени от двете институции през 2024 г.; приветства факта, че тези икономии са били преориентирани към политическите дейности на Комитета, като по този начин е бил укрепен капацитетът му да изпълнява мандата си; признава, че повишаването на ефективността и бюджетните икономии вследствие на сътрудничеството между двете институции са значителни и се оценяват на десетки милиони евро годишно в сравнение със сценарий, при който всеки комитет управлява тези услуги поотделно; отново призовава това сътрудничество да се разшири във възможно най-голяма степен, така че да се създаде единна администрация за съвместните служби и да се запази разделението между службите и отделите, отговарящи за основните независими мандати на комитетите; насърчава Комитета и ЕИСК да продължат усилията си за по-нататъшно развитие на сътрудничеството и полезните взаимодействия;</w:t>
      </w:r>
    </w:p>
    <w:p w14:paraId="028C00BE" w14:textId="77777777" w:rsidR="00314B98" w:rsidRPr="00D4297E" w:rsidRDefault="00314B98" w:rsidP="00314B98">
      <w:pPr>
        <w:pStyle w:val="NormalHanging12a"/>
      </w:pPr>
      <w:r w:rsidRPr="00D4297E">
        <w:t>62.</w:t>
      </w:r>
      <w:r w:rsidRPr="00D4297E">
        <w:tab/>
        <w:t xml:space="preserve">приветства факта, че Комитетът търси полезни взаимодействия, закупувайки услуги от други институции чрез споразумения за нивото на обслужване и чрез участие в междуинституционални координационни органи и междуинституционални процедури за възлагане на обществени поръчки; отбелязва, че Комитетът постигна значителни полезни взаимодействия в областта на проявите и комуникацията, като през 2024 г. организира съвместно с Комисията Европейската седмица на регионите и градовете, а с Парламента, Съвета и Комисията, наред с другото, годишната конференция за специалистите по публична комуникация </w:t>
      </w:r>
      <w:proofErr w:type="spellStart"/>
      <w:r w:rsidRPr="00D4297E">
        <w:t>EuroPCom</w:t>
      </w:r>
      <w:proofErr w:type="spellEnd"/>
      <w:r w:rsidRPr="00D4297E">
        <w:t>; приветства сливането през 2024 г. на Европейската мрежа на регионалните и местните съветници на Комитета и мрежата на Комисията „Изграждане на Европа с местните съветници“ в единната, съвместно управлявана мрежа „Местни съветници по въпросите на ЕС“;</w:t>
      </w:r>
    </w:p>
    <w:p w14:paraId="500539B0" w14:textId="77777777" w:rsidR="00314B98" w:rsidRPr="00D4297E" w:rsidRDefault="00314B98" w:rsidP="00314B98">
      <w:pPr>
        <w:pStyle w:val="NormalHanging12a"/>
      </w:pPr>
      <w:r w:rsidRPr="00D4297E">
        <w:lastRenderedPageBreak/>
        <w:t>63.</w:t>
      </w:r>
      <w:r w:rsidRPr="00D4297E">
        <w:tab/>
        <w:t>отбелязва, че Комитетът си сътрудничи с Комисията (срещу годишна такса) за обработването на въпроси, свързани с човешките ресурси, и използването на различни ИТ платформи за финансово управление и човешки ресурси, както и че през 2024 г. Комисията включи информационната система на Комитета, наречена LORDIMAS, като ключов ИТ инструмент за измерване на цифровата трансформация на градовете; отбелязва освен това, че Комитетът провежда пленарните си заседания в помещенията на Парламента и Комисията, за да компенсира недостига на капацитет в собствените си конферентни зали, и закупува услуги по устен превод от тези две институции;</w:t>
      </w:r>
    </w:p>
    <w:p w14:paraId="7382E569" w14:textId="77777777" w:rsidR="00314B98" w:rsidRPr="00D4297E" w:rsidRDefault="00314B98" w:rsidP="004C3422">
      <w:pPr>
        <w:pStyle w:val="NormalHanging12a"/>
        <w:rPr>
          <w:b/>
          <w:i/>
        </w:rPr>
      </w:pPr>
      <w:r w:rsidRPr="00D4297E">
        <w:rPr>
          <w:b/>
          <w:i/>
        </w:rPr>
        <w:t>Комуникация</w:t>
      </w:r>
    </w:p>
    <w:p w14:paraId="7FA7E121" w14:textId="77777777" w:rsidR="00314B98" w:rsidRPr="00D4297E" w:rsidRDefault="00314B98" w:rsidP="00314B98">
      <w:pPr>
        <w:pStyle w:val="NormalHanging12a"/>
      </w:pPr>
      <w:r w:rsidRPr="00D4297E">
        <w:t>64.</w:t>
      </w:r>
      <w:r w:rsidRPr="00D4297E">
        <w:tab/>
        <w:t>отбелязва, че комуникационните дейности на Комитета са съсредоточени върху отношенията с пресата, организирането на прояви и цифровото съдържание и социалните медии, с общ бюджет (бюджетни кредити за текущата година) от приблизително 2,3 милиона евро през 2024 г., тоест приблизително 500 000 EUR по-малко, отколкото през 2023 г.; отбелязва въз основа на доклада за последващите действия, че недостатъчното финансиране на комуникационните операции прави Комитета зависим от трансферите в края на годината и бюджетните кредити C8, което обяснява ниската степен на изпълнение (48,20%) за бюджетните кредити C1 и високата степен на изпълнение (98,90%) за бюджетните кредити C8 през 2024 г. по отношение на бюджетна позиция 2 6 („Експертен опит и [...] разпространение“);</w:t>
      </w:r>
    </w:p>
    <w:p w14:paraId="6674B615" w14:textId="77777777" w:rsidR="00314B98" w:rsidRPr="00D4297E" w:rsidRDefault="00314B98" w:rsidP="00314B98">
      <w:pPr>
        <w:pStyle w:val="NormalHanging12a"/>
      </w:pPr>
      <w:r w:rsidRPr="00D4297E">
        <w:t>65.</w:t>
      </w:r>
      <w:r w:rsidRPr="00D4297E">
        <w:tab/>
        <w:t>отбелязва със задоволство постиженията на Комитета в насърчаването на политиките и програмите на Съюза на местно и регионално равнище, подобряването на обхвата на консултативната му дейност и повишаването на неговата видимост и въздействие; отбелязва, че през 2024 г. Комитетът организира, беше домакин или подкрепи 33 диалога на местно равнище в ЕС, 53 сесии на Европейската седмица на регионите и градовете и 47 прояви; отбелязва по-специално 10-ата европейска среща на високо равнище на регионите и градовете за определяне на дневния ред за бъдещето на Съюза, в която участваха над 7 000 души; – Европейската седмица на регионите и градовете, посветена на фондовете по линия на политиката на сближаване в следващата МФР с над 2 500 участници; – 11-ата конференция по въпросите на субсидиарността, посветена на по-доброто регулиране и субсидиарността в контекста на следващата МФР; – програмата „Млади политици на изборни длъжности“ за 2024 г. с над 150 участници от всички държави членки и осем държави кандидатки; и – 15-ото издание на Европейската конференция за публична комуникация (</w:t>
      </w:r>
      <w:proofErr w:type="spellStart"/>
      <w:r w:rsidRPr="00D4297E">
        <w:t>EuroPCom</w:t>
      </w:r>
      <w:proofErr w:type="spellEnd"/>
      <w:r w:rsidRPr="00D4297E">
        <w:t>), посветено на изкуствения интелект и новите тенденции в публичната комуникация с 3 200 участници и зрители от 55 държави; отбелязва, че Комитетът също така популяризира своята работа и позиции 74 пъти на заседания или прояви с участието на други институции на Съюза;</w:t>
      </w:r>
    </w:p>
    <w:p w14:paraId="267A30A7" w14:textId="77777777" w:rsidR="00314B98" w:rsidRPr="00D4297E" w:rsidRDefault="00314B98" w:rsidP="00314B98">
      <w:pPr>
        <w:pStyle w:val="NormalHanging12a"/>
        <w:rPr>
          <w:b/>
          <w:bCs/>
          <w:i/>
          <w:iCs/>
          <w:szCs w:val="24"/>
        </w:rPr>
      </w:pPr>
      <w:r w:rsidRPr="00D4297E">
        <w:t>66.</w:t>
      </w:r>
      <w:r w:rsidRPr="00D4297E">
        <w:tab/>
        <w:t xml:space="preserve">приветства Комитета за неговите действия за подобряване на достъпността и съхранението на притежавана от него информация с историческо значение чрез: – осигуряване на достъп до всички негови документи и публикации на едно централизирано място чрез модулите на Службата за публикации, въведени на външния уебсайт на Комитета през 2024 г.; – въвеждане през 2024 г. на базираната на изкуствен интелект платформа </w:t>
      </w:r>
      <w:proofErr w:type="spellStart"/>
      <w:r w:rsidRPr="00D4297E">
        <w:t>Panoramic</w:t>
      </w:r>
      <w:proofErr w:type="spellEnd"/>
      <w:r w:rsidRPr="00D4297E">
        <w:t xml:space="preserve">-AI, която предлага подобрен лесен достъп до институционално съдържание (важни документи, </w:t>
      </w:r>
      <w:r w:rsidRPr="00D4297E">
        <w:lastRenderedPageBreak/>
        <w:t xml:space="preserve">презентации, дискусии); – мигриране на целия архив на Комитета от външни съобщения за медиите и новини към нюзрума на генералната дирекция „Съобщителни мрежи, съдържание и технологии“; както и </w:t>
      </w:r>
      <w:r w:rsidRPr="00D4297E">
        <w:rPr>
          <w:b/>
          <w:bCs/>
        </w:rPr>
        <w:t xml:space="preserve">– </w:t>
      </w:r>
      <w:r w:rsidRPr="00D4297E">
        <w:t>прехвърляне за първи път на историческия архив на Комитета към историческия архив на Съюза във Флоренция;</w:t>
      </w:r>
    </w:p>
    <w:p w14:paraId="38A93529" w14:textId="77777777" w:rsidR="00314B98" w:rsidRPr="00D4297E" w:rsidRDefault="00314B98" w:rsidP="00314B98">
      <w:pPr>
        <w:pStyle w:val="NormalHanging12a"/>
      </w:pPr>
      <w:r w:rsidRPr="00D4297E">
        <w:t>67.</w:t>
      </w:r>
      <w:r w:rsidRPr="00D4297E">
        <w:tab/>
        <w:t>потвърждава въз основа на доклада за въздействието и годишния доклад приноса на Комитета към комуникационната кампания на Парламента за европейските избори през 2024 г., като Комитетът ангажира мрежа от 750 млади политици на изборна длъжност, популяризира материалите на Парламента, създаде видеа с участието на членове на Комитета, насърчаващи хората да гласуват, създаде специална страница на уебсайта на Комитета и произведе друго визуално съдържание, популяризирано в социалните медии, което достигна до почти 5 милиона профила; приветства тези усилия за ангажиране на широка и разнообразна аудитория в целия Съюз и за повишаване на осведомеността за изборите за Европейски парламент през 2024 г.; подчертава, че подобно междуинституционално сътрудничество относно политиките на Съюза, по-специално относно работата на Парламента, е от съществено значение за достигане до гражданите във всички региони на Съюза, укрепване на демократичното участие и повишаване на демократичната легитимност на Съюза;</w:t>
      </w:r>
    </w:p>
    <w:p w14:paraId="4E692C1A" w14:textId="77777777" w:rsidR="00314B98" w:rsidRPr="00D4297E" w:rsidRDefault="00314B98" w:rsidP="00314B98">
      <w:pPr>
        <w:pStyle w:val="NormalHanging12a"/>
      </w:pPr>
      <w:r w:rsidRPr="00D4297E">
        <w:t>68.</w:t>
      </w:r>
      <w:r w:rsidRPr="00D4297E">
        <w:tab/>
        <w:t>отбелязва въз основа на годишния доклад успеха на Комитета по отношение на медийния обхват, демонстриран от общите показатели за 2024 г., например: увеличение с 28% на броя на посетителите на уебсайта, увеличение с 11,60% на последователите и увеличение с 16% на органичната цифрова ангажираност;</w:t>
      </w:r>
    </w:p>
    <w:p w14:paraId="33CDC2DA" w14:textId="412D87E1" w:rsidR="00314B98" w:rsidRPr="00D4297E" w:rsidRDefault="00314B98" w:rsidP="00314B98">
      <w:pPr>
        <w:pStyle w:val="NormalHanging12a"/>
      </w:pPr>
      <w:r w:rsidRPr="00D4297E">
        <w:t>69.</w:t>
      </w:r>
      <w:r w:rsidRPr="00D4297E">
        <w:tab/>
        <w:t>отбелязва, че Комитетът не участва в проявата „Седмица на ромите“ през 2024 г.</w:t>
      </w:r>
      <w:r w:rsidR="00781B4F">
        <w:t>;</w:t>
      </w:r>
    </w:p>
    <w:p w14:paraId="77B90420" w14:textId="100F9291" w:rsidR="00D4297E" w:rsidRPr="00D4297E" w:rsidRDefault="00314B98" w:rsidP="00D4297E">
      <w:pPr>
        <w:pStyle w:val="NormalHanging12a"/>
      </w:pPr>
      <w:r w:rsidRPr="00D4297E">
        <w:t>70.</w:t>
      </w:r>
      <w:r w:rsidRPr="00D4297E">
        <w:tab/>
        <w:t>подчертава, че като цяло комуникационната стратегия на Комитета има за цел да засили неговата институционална видимост и политическа позиция като представителен орган на регионите, градовете и общините на Съюза и да покаже ролята на неговите членове за свързването на политиките на Съюза с гражданите на местно и регионално равнище.</w:t>
      </w:r>
    </w:p>
    <w:p w14:paraId="3D5BCFD5" w14:textId="02A0D039" w:rsidR="00E365E1" w:rsidRPr="00D4297E" w:rsidRDefault="00E365E1" w:rsidP="00304C4F"/>
    <w:sectPr w:rsidR="00E365E1" w:rsidRPr="00D4297E" w:rsidSect="00D4297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45713" w14:textId="77777777" w:rsidR="00304C4F" w:rsidRPr="00D4297E" w:rsidRDefault="00304C4F">
      <w:r w:rsidRPr="00D4297E">
        <w:separator/>
      </w:r>
    </w:p>
  </w:endnote>
  <w:endnote w:type="continuationSeparator" w:id="0">
    <w:p w14:paraId="64C50ED1" w14:textId="77777777" w:rsidR="00304C4F" w:rsidRPr="00D4297E" w:rsidRDefault="00304C4F">
      <w:r w:rsidRPr="00D429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1B2C" w14:textId="77777777" w:rsidR="00314B98" w:rsidRPr="00D4297E" w:rsidRDefault="00314B98" w:rsidP="00326EBA">
    <w:pPr>
      <w:pStyle w:val="EPFooter"/>
    </w:pPr>
    <w:r w:rsidRPr="00D4297E">
      <w:t>PE</w:t>
    </w:r>
    <w:r w:rsidRPr="00D4297E">
      <w:rPr>
        <w:rStyle w:val="HideTWBExt"/>
      </w:rPr>
      <w:t>&lt;NoPE&gt;</w:t>
    </w:r>
    <w:r w:rsidRPr="00D4297E">
      <w:t>778.064</w:t>
    </w:r>
    <w:r w:rsidRPr="00D4297E">
      <w:rPr>
        <w:rStyle w:val="HideTWBExt"/>
      </w:rPr>
      <w:t>&lt;/NoPE&gt;&lt;Version&gt;</w:t>
    </w:r>
    <w:r w:rsidRPr="00D4297E">
      <w:t>v02-00</w:t>
    </w:r>
    <w:r w:rsidRPr="00D4297E">
      <w:rPr>
        <w:rStyle w:val="HideTWBExt"/>
      </w:rPr>
      <w:t>&lt;/Version&gt;</w:t>
    </w:r>
    <w:r w:rsidRPr="00D4297E">
      <w:tab/>
    </w:r>
    <w:r w:rsidRPr="00D4297E">
      <w:fldChar w:fldCharType="begin"/>
    </w:r>
    <w:r w:rsidRPr="00D4297E">
      <w:instrText xml:space="preserve"> PAGE  \* MERGEFORMAT </w:instrText>
    </w:r>
    <w:r w:rsidRPr="00D4297E">
      <w:fldChar w:fldCharType="separate"/>
    </w:r>
    <w:r w:rsidRPr="00D4297E">
      <w:rPr>
        <w:noProof/>
      </w:rPr>
      <w:t>1</w:t>
    </w:r>
    <w:r w:rsidRPr="00D4297E">
      <w:fldChar w:fldCharType="end"/>
    </w:r>
    <w:r w:rsidRPr="00D4297E">
      <w:t>/</w:t>
    </w:r>
    <w:fldSimple w:instr=" NUMPAGES  \* MERGEFORMAT ">
      <w:r w:rsidRPr="00D4297E">
        <w:rPr>
          <w:noProof/>
        </w:rPr>
        <w:t>1</w:t>
      </w:r>
    </w:fldSimple>
    <w:r w:rsidRPr="00D4297E">
      <w:tab/>
    </w:r>
    <w:r w:rsidRPr="00D4297E">
      <w:rPr>
        <w:rStyle w:val="HideTWBExt"/>
      </w:rPr>
      <w:t>&lt;PathFdR&gt;</w:t>
    </w:r>
    <w:r w:rsidRPr="00D4297E">
      <w:t>RR\1339441BG.docx</w:t>
    </w:r>
    <w:r w:rsidRPr="00D4297E">
      <w:rPr>
        <w:rStyle w:val="HideTWBExt"/>
      </w:rPr>
      <w:t>&lt;/PathFdR&gt;</w:t>
    </w:r>
  </w:p>
  <w:p w14:paraId="4D59482A" w14:textId="77777777" w:rsidR="00314B98" w:rsidRPr="00D4297E" w:rsidRDefault="00314B98" w:rsidP="00326EBA">
    <w:pPr>
      <w:pStyle w:val="EPFooter2"/>
    </w:pPr>
    <w:r w:rsidRPr="00D4297E">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4A58C" w14:textId="77777777" w:rsidR="00314B98" w:rsidRPr="00D4297E" w:rsidRDefault="00314B98" w:rsidP="00326EBA">
    <w:pPr>
      <w:pStyle w:val="EPFooter"/>
    </w:pPr>
    <w:r w:rsidRPr="00D4297E">
      <w:rPr>
        <w:rStyle w:val="HideTWBExt"/>
      </w:rPr>
      <w:t>&lt;PathFdR&gt;</w:t>
    </w:r>
    <w:r w:rsidRPr="00D4297E">
      <w:t>RR\1339441BG.docx</w:t>
    </w:r>
    <w:r w:rsidRPr="00D4297E">
      <w:rPr>
        <w:rStyle w:val="HideTWBExt"/>
      </w:rPr>
      <w:t>&lt;/PathFdR&gt;</w:t>
    </w:r>
    <w:r w:rsidRPr="00D4297E">
      <w:tab/>
    </w:r>
    <w:r w:rsidRPr="00D4297E">
      <w:tab/>
      <w:t>PE</w:t>
    </w:r>
    <w:r w:rsidRPr="00D4297E">
      <w:rPr>
        <w:rStyle w:val="HideTWBExt"/>
      </w:rPr>
      <w:t>&lt;NoPE&gt;</w:t>
    </w:r>
    <w:r w:rsidRPr="00D4297E">
      <w:t>778.064</w:t>
    </w:r>
    <w:r w:rsidRPr="00D4297E">
      <w:rPr>
        <w:rStyle w:val="HideTWBExt"/>
      </w:rPr>
      <w:t>&lt;/NoPE&gt;&lt;Version&gt;</w:t>
    </w:r>
    <w:r w:rsidRPr="00D4297E">
      <w:t>v02-00</w:t>
    </w:r>
    <w:r w:rsidRPr="00D4297E">
      <w:rPr>
        <w:rStyle w:val="HideTWBExt"/>
      </w:rPr>
      <w:t>&lt;/Version&gt;</w:t>
    </w:r>
  </w:p>
  <w:p w14:paraId="142FCC38" w14:textId="77777777" w:rsidR="00314B98" w:rsidRPr="00D4297E" w:rsidRDefault="00314B98" w:rsidP="00326EBA">
    <w:pPr>
      <w:pStyle w:val="EPFooter2"/>
    </w:pPr>
    <w:r w:rsidRPr="00D4297E">
      <w:t>BG</w:t>
    </w:r>
    <w:r w:rsidRPr="00D4297E">
      <w:tab/>
    </w:r>
    <w:r w:rsidRPr="00D4297E">
      <w:rPr>
        <w:b w:val="0"/>
        <w:i/>
        <w:color w:val="C0C0C0"/>
        <w:sz w:val="22"/>
      </w:rPr>
      <w:t>Единство в многообразието</w:t>
    </w:r>
    <w:r w:rsidRPr="00D4297E">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B917" w14:textId="77777777" w:rsidR="00064002" w:rsidRPr="00D4297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5944" w14:textId="77777777" w:rsidR="00064002" w:rsidRPr="00D4297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A65F" w14:textId="77777777" w:rsidR="00064002" w:rsidRPr="00D429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2AF3E" w14:textId="77777777" w:rsidR="00304C4F" w:rsidRPr="00D4297E" w:rsidRDefault="00304C4F">
      <w:r w:rsidRPr="00D4297E">
        <w:separator/>
      </w:r>
    </w:p>
  </w:footnote>
  <w:footnote w:type="continuationSeparator" w:id="0">
    <w:p w14:paraId="37D0B6F9" w14:textId="77777777" w:rsidR="00304C4F" w:rsidRPr="00D4297E" w:rsidRDefault="00304C4F">
      <w:r w:rsidRPr="00D4297E">
        <w:continuationSeparator/>
      </w:r>
    </w:p>
  </w:footnote>
  <w:footnote w:id="1">
    <w:p w14:paraId="29C990A8" w14:textId="5901F9CF"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OВ L</w:t>
      </w:r>
      <w:r w:rsidR="00B829EF">
        <w:rPr>
          <w:sz w:val="24"/>
          <w:lang w:val="bg-BG"/>
        </w:rPr>
        <w:t>,</w:t>
      </w:r>
      <w:r w:rsidRPr="00D4297E">
        <w:rPr>
          <w:sz w:val="24"/>
          <w:lang w:val="bg-BG"/>
        </w:rPr>
        <w:t> </w:t>
      </w:r>
      <w:r w:rsidR="0078094B">
        <w:rPr>
          <w:sz w:val="24"/>
          <w:lang w:val="bg-BG"/>
        </w:rPr>
        <w:t>2024/</w:t>
      </w:r>
      <w:r w:rsidRPr="00D4297E">
        <w:rPr>
          <w:sz w:val="24"/>
          <w:lang w:val="bg-BG"/>
        </w:rPr>
        <w:t xml:space="preserve">207, 22.2.2024 г., ELI: </w:t>
      </w:r>
      <w:hyperlink r:id="rId1" w:history="1">
        <w:r w:rsidRPr="00D4297E">
          <w:rPr>
            <w:rStyle w:val="Hyperlink"/>
            <w:sz w:val="24"/>
            <w:lang w:val="bg-BG"/>
          </w:rPr>
          <w:t>http://data.europa.eu/eli/budget/2024/207/oj</w:t>
        </w:r>
      </w:hyperlink>
      <w:r w:rsidRPr="00D4297E">
        <w:rPr>
          <w:sz w:val="24"/>
          <w:lang w:val="bg-BG"/>
        </w:rPr>
        <w:t>.</w:t>
      </w:r>
    </w:p>
  </w:footnote>
  <w:footnote w:id="2">
    <w:p w14:paraId="34BF4C4E" w14:textId="4CB76522"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ОВ C, C/2025/4944, 13.10.2025 г., ELI: </w:t>
      </w:r>
      <w:hyperlink r:id="rId2"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4297E">
          <w:rPr>
            <w:rStyle w:val="Hyperlink"/>
            <w:sz w:val="24"/>
            <w:lang w:val="bg-BG"/>
          </w:rPr>
          <w:t>http://data.europa.eu/eli/C/2025/4944/oj</w:t>
        </w:r>
      </w:hyperlink>
      <w:r w:rsidRPr="00D4297E">
        <w:rPr>
          <w:sz w:val="24"/>
          <w:lang w:val="bg-BG"/>
        </w:rPr>
        <w:t>.</w:t>
      </w:r>
    </w:p>
  </w:footnote>
  <w:footnote w:id="3">
    <w:p w14:paraId="29DF2CEC" w14:textId="1584D274"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ОВ C, C/2025/5409, 8.10.2025 г., ELI: </w:t>
      </w:r>
      <w:hyperlink r:id="rId3" w:history="1">
        <w:r w:rsidRPr="00D4297E">
          <w:rPr>
            <w:rStyle w:val="Hyperlink"/>
            <w:sz w:val="24"/>
            <w:lang w:val="bg-BG"/>
          </w:rPr>
          <w:t>http://data.europa.eu/eli/C/2025/5409/oj</w:t>
        </w:r>
      </w:hyperlink>
      <w:r w:rsidRPr="00D4297E">
        <w:rPr>
          <w:sz w:val="24"/>
          <w:lang w:val="bg-BG"/>
        </w:rPr>
        <w:t>.</w:t>
      </w:r>
    </w:p>
  </w:footnote>
  <w:footnote w:id="4">
    <w:p w14:paraId="71CB1261" w14:textId="0E0D2760"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ОВ C, C/2025/5407, 13.10.2025 г., ELI: </w:t>
      </w:r>
      <w:hyperlink r:id="rId4" w:history="1">
        <w:r w:rsidRPr="00D4297E">
          <w:rPr>
            <w:rStyle w:val="Hyperlink"/>
            <w:sz w:val="24"/>
            <w:lang w:val="bg-BG"/>
          </w:rPr>
          <w:t>http://data.europa.eu/eli/C/2025/5407/oj</w:t>
        </w:r>
      </w:hyperlink>
      <w:r w:rsidRPr="00D4297E">
        <w:rPr>
          <w:sz w:val="24"/>
          <w:lang w:val="bg-BG"/>
        </w:rPr>
        <w:t xml:space="preserve">. </w:t>
      </w:r>
    </w:p>
  </w:footnote>
  <w:footnote w:id="5">
    <w:p w14:paraId="168CF95E" w14:textId="5295B15F"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OВ L 193, 30.7.2018 г., стр. 1, ELI: </w:t>
      </w:r>
      <w:hyperlink r:id="rId5" w:history="1">
        <w:r w:rsidRPr="00D4297E">
          <w:rPr>
            <w:rStyle w:val="Hyperlink"/>
            <w:sz w:val="24"/>
            <w:lang w:val="bg-BG"/>
          </w:rPr>
          <w:t>http://data.europa.eu/eli/reg/2018/1046/oj</w:t>
        </w:r>
      </w:hyperlink>
      <w:r w:rsidRPr="00D4297E">
        <w:rPr>
          <w:sz w:val="24"/>
          <w:lang w:val="bg-BG"/>
        </w:rPr>
        <w:t>.</w:t>
      </w:r>
    </w:p>
  </w:footnote>
  <w:footnote w:id="6">
    <w:p w14:paraId="394754CE" w14:textId="65B1CB1D"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OВ L, 2024/2509, 26.9.2024 г., ELI: </w:t>
      </w:r>
      <w:hyperlink r:id="rId6" w:history="1">
        <w:r w:rsidRPr="00D4297E">
          <w:rPr>
            <w:rStyle w:val="Hyperlink"/>
            <w:sz w:val="24"/>
            <w:lang w:val="bg-BG"/>
          </w:rPr>
          <w:t>http://data.europa.eu/eli/reg/2024/2509/oj</w:t>
        </w:r>
      </w:hyperlink>
      <w:r w:rsidRPr="00D4297E">
        <w:rPr>
          <w:sz w:val="24"/>
          <w:lang w:val="bg-BG"/>
        </w:rPr>
        <w:t>.</w:t>
      </w:r>
    </w:p>
  </w:footnote>
  <w:footnote w:id="7">
    <w:p w14:paraId="008D2B85" w14:textId="0F491586"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Резолюция на Европейския комитет на регионите — Приоритетите на Европейския комитет на регионите за периода 2020 — 2025 г. — Европа по-близо до хората чрез своите села, градове и региони (ОВ C 324, 1.10.2020 г., стр. 8).</w:t>
      </w:r>
    </w:p>
  </w:footnote>
  <w:footnote w:id="8">
    <w:p w14:paraId="0B9B30C0" w14:textId="2470F205"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Регламент (ЕС)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 (ОВ L 231, 30.6.2021 г., стр. 159, ELI: </w:t>
      </w:r>
      <w:hyperlink r:id="rId7"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4297E">
          <w:rPr>
            <w:rStyle w:val="Hyperlink"/>
            <w:sz w:val="24"/>
            <w:lang w:val="bg-BG"/>
          </w:rPr>
          <w:t>http://data.europa.eu/eli/reg/2021/1060/oj</w:t>
        </w:r>
      </w:hyperlink>
      <w:r w:rsidRPr="00D4297E">
        <w:rPr>
          <w:sz w:val="24"/>
          <w:lang w:val="bg-BG"/>
        </w:rPr>
        <w:t>).</w:t>
      </w:r>
      <w:r w:rsidR="00D4297E" w:rsidRPr="00D4297E">
        <w:rPr>
          <w:sz w:val="24"/>
          <w:lang w:val="bg-BG"/>
        </w:rPr>
        <w:t xml:space="preserve"> </w:t>
      </w:r>
    </w:p>
  </w:footnote>
  <w:footnote w:id="9">
    <w:p w14:paraId="5BA9E002" w14:textId="15423077" w:rsidR="00314B98" w:rsidRPr="00D4297E" w:rsidRDefault="00314B98" w:rsidP="00D4297E">
      <w:pPr>
        <w:pStyle w:val="FootnoteText"/>
        <w:ind w:left="567" w:hanging="567"/>
        <w:rPr>
          <w:sz w:val="24"/>
          <w:szCs w:val="16"/>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Регламент (ЕС) 2021/241 на Европейския парламент и на Съвета от 12 февруари 2021 г. за създаване на Механизъм за възстановяване и устойчивост (ОВ L 57, 18.2.2021 г., стр. 17, </w:t>
      </w:r>
      <w:r w:rsidRPr="00D4297E">
        <w:rPr>
          <w:color w:val="333333"/>
          <w:sz w:val="24"/>
          <w:shd w:val="clear" w:color="auto" w:fill="FFFFFF"/>
          <w:lang w:val="bg-BG"/>
        </w:rPr>
        <w:t>ELI: </w:t>
      </w:r>
      <w:hyperlink r:id="rId8"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4297E">
          <w:rPr>
            <w:rStyle w:val="Hyperlink"/>
            <w:sz w:val="24"/>
            <w:shd w:val="clear" w:color="auto" w:fill="FFFFFF"/>
            <w:lang w:val="bg-BG"/>
          </w:rPr>
          <w:t>http://data.europa.eu/eli/reg/2021/241/oj</w:t>
        </w:r>
      </w:hyperlink>
      <w:r w:rsidRPr="00D4297E">
        <w:rPr>
          <w:sz w:val="24"/>
          <w:lang w:val="bg-BG"/>
        </w:rPr>
        <w:t>).</w:t>
      </w:r>
    </w:p>
  </w:footnote>
  <w:footnote w:id="10">
    <w:p w14:paraId="1F0397A7" w14:textId="146CFB7B"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Регламент (ЕС) 2024/1991 на Европейския парламент и на Съвета от 24 юни 2024 г. относно възстановяването на природата и за изменение на Регламент (ЕС) 2022/869 (ОВ L, 2024/1991, 29.7.2024 г., ELI: </w:t>
      </w:r>
      <w:hyperlink r:id="rId9"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4297E">
          <w:rPr>
            <w:rStyle w:val="Hyperlink"/>
            <w:sz w:val="24"/>
            <w:lang w:val="bg-BG"/>
          </w:rPr>
          <w:t>http://data.europa.eu/eli/reg/2024/1991/oj</w:t>
        </w:r>
      </w:hyperlink>
      <w:r w:rsidRPr="00D4297E">
        <w:rPr>
          <w:sz w:val="24"/>
          <w:lang w:val="bg-BG"/>
        </w:rPr>
        <w:t>).</w:t>
      </w:r>
    </w:p>
  </w:footnote>
  <w:footnote w:id="11">
    <w:p w14:paraId="67DD9CDC" w14:textId="57824CBF"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Регламент (ЕС) 2025/327 на Европейския парламент и на Съвета от 11 февруари 2025 г. относно европейското пространство на здравни данни и за изменение на Директива 2011/24/ЕС и Регламент (ЕС) 2024/2847 (ОВ L, 2025/327, 5.3.2025 г., ELI:</w:t>
      </w:r>
      <w:r w:rsidRPr="00D4297E">
        <w:rPr>
          <w:color w:val="333333"/>
          <w:sz w:val="24"/>
          <w:shd w:val="clear" w:color="auto" w:fill="FFFFFF"/>
          <w:lang w:val="bg-BG"/>
        </w:rPr>
        <w:t xml:space="preserve"> </w:t>
      </w:r>
      <w:hyperlink r:id="rId10"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4297E">
          <w:rPr>
            <w:rStyle w:val="Hyperlink"/>
            <w:sz w:val="24"/>
            <w:lang w:val="bg-BG"/>
          </w:rPr>
          <w:t>http://data.europa.eu/eli/reg/2025/327/oj</w:t>
        </w:r>
      </w:hyperlink>
      <w:r w:rsidRPr="00D4297E">
        <w:rPr>
          <w:sz w:val="24"/>
          <w:lang w:val="bg-BG"/>
        </w:rPr>
        <w:t xml:space="preserve">). </w:t>
      </w:r>
    </w:p>
  </w:footnote>
  <w:footnote w:id="12">
    <w:p w14:paraId="3BD790CB" w14:textId="400F9B01"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 </w:t>
      </w:r>
      <w:hyperlink r:id="rId11"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D4297E">
          <w:rPr>
            <w:rStyle w:val="Hyperlink"/>
            <w:sz w:val="24"/>
            <w:lang w:val="bg-BG"/>
          </w:rPr>
          <w:t>http://data.europa.eu/eli/reg/2024/1689/oj</w:t>
        </w:r>
      </w:hyperlink>
      <w:r w:rsidRPr="00D4297E">
        <w:rPr>
          <w:sz w:val="24"/>
          <w:lang w:val="bg-BG"/>
        </w:rPr>
        <w:t>).</w:t>
      </w:r>
    </w:p>
  </w:footnote>
  <w:footnote w:id="13">
    <w:p w14:paraId="57DA92A9" w14:textId="545AA59A" w:rsidR="00314B98" w:rsidRPr="00D4297E" w:rsidRDefault="00314B98" w:rsidP="00D4297E">
      <w:pPr>
        <w:pStyle w:val="FootnoteText"/>
        <w:ind w:left="567" w:hanging="567"/>
        <w:rPr>
          <w:sz w:val="24"/>
          <w:lang w:val="bg-BG"/>
        </w:rPr>
      </w:pPr>
      <w:r w:rsidRPr="00D4297E">
        <w:rPr>
          <w:rStyle w:val="FootnoteReference"/>
          <w:sz w:val="24"/>
          <w:lang w:val="bg-BG"/>
        </w:rPr>
        <w:footnoteRef/>
      </w:r>
      <w:r w:rsidR="00D4297E" w:rsidRPr="00D4297E">
        <w:rPr>
          <w:sz w:val="24"/>
          <w:lang w:val="bg-BG"/>
        </w:rPr>
        <w:t xml:space="preserve"> </w:t>
      </w:r>
      <w:r w:rsidR="00D4297E" w:rsidRPr="00D4297E">
        <w:rPr>
          <w:sz w:val="24"/>
          <w:lang w:val="bg-BG"/>
        </w:rPr>
        <w:tab/>
      </w:r>
      <w:r w:rsidRPr="00D4297E">
        <w:rPr>
          <w:sz w:val="24"/>
          <w:lang w:val="bg-BG"/>
        </w:rPr>
        <w:t xml:space="preserve">Регламент (ЕС, Евратом) 2023/2841 на Европейския парламент и на Съвета от 13 декември 2023 г. за определяне на мерки за високо общо ниво на киберсигурност в институциите, органите, службите и агенциите на Съюза (ОВ L, 2023/2841, 18.12.2023 г., ELI: </w:t>
      </w:r>
      <w:hyperlink r:id="rId12" w:history="1">
        <w:r w:rsidRPr="00D4297E">
          <w:rPr>
            <w:rStyle w:val="Hyperlink"/>
            <w:sz w:val="24"/>
            <w:lang w:val="bg-BG"/>
          </w:rPr>
          <w:t>http://data.europa.eu/eli/reg/2023/2841/oj</w:t>
        </w:r>
      </w:hyperlink>
      <w:r w:rsidRPr="00D4297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3EE0" w14:textId="77777777" w:rsidR="00064002" w:rsidRPr="00D429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BBB0" w14:textId="77777777" w:rsidR="00064002" w:rsidRPr="00D429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A9E5" w14:textId="77777777" w:rsidR="00064002" w:rsidRPr="00D429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7525530">
    <w:abstractNumId w:val="9"/>
  </w:num>
  <w:num w:numId="2" w16cid:durableId="74742759">
    <w:abstractNumId w:val="9"/>
  </w:num>
  <w:num w:numId="3" w16cid:durableId="1419906252">
    <w:abstractNumId w:val="7"/>
  </w:num>
  <w:num w:numId="4" w16cid:durableId="454369939">
    <w:abstractNumId w:val="7"/>
  </w:num>
  <w:num w:numId="5" w16cid:durableId="1549301844">
    <w:abstractNumId w:val="6"/>
  </w:num>
  <w:num w:numId="6" w16cid:durableId="250897337">
    <w:abstractNumId w:val="6"/>
  </w:num>
  <w:num w:numId="7" w16cid:durableId="417674110">
    <w:abstractNumId w:val="5"/>
  </w:num>
  <w:num w:numId="8" w16cid:durableId="1575624895">
    <w:abstractNumId w:val="5"/>
  </w:num>
  <w:num w:numId="9" w16cid:durableId="795030042">
    <w:abstractNumId w:val="4"/>
  </w:num>
  <w:num w:numId="10" w16cid:durableId="370151266">
    <w:abstractNumId w:val="4"/>
  </w:num>
  <w:num w:numId="11" w16cid:durableId="417412907">
    <w:abstractNumId w:val="8"/>
  </w:num>
  <w:num w:numId="12" w16cid:durableId="703794608">
    <w:abstractNumId w:val="8"/>
  </w:num>
  <w:num w:numId="13" w16cid:durableId="1011295107">
    <w:abstractNumId w:val="3"/>
  </w:num>
  <w:num w:numId="14" w16cid:durableId="64111928">
    <w:abstractNumId w:val="3"/>
  </w:num>
  <w:num w:numId="15" w16cid:durableId="1211266413">
    <w:abstractNumId w:val="2"/>
  </w:num>
  <w:num w:numId="16" w16cid:durableId="2119443526">
    <w:abstractNumId w:val="2"/>
  </w:num>
  <w:num w:numId="17" w16cid:durableId="2091736059">
    <w:abstractNumId w:val="1"/>
  </w:num>
  <w:num w:numId="18" w16cid:durableId="1041826058">
    <w:abstractNumId w:val="1"/>
  </w:num>
  <w:num w:numId="19" w16cid:durableId="1487670863">
    <w:abstractNumId w:val="0"/>
  </w:num>
  <w:num w:numId="20" w16cid:durableId="1103108251">
    <w:abstractNumId w:val="0"/>
  </w:num>
  <w:num w:numId="21" w16cid:durableId="1417937538">
    <w:abstractNumId w:val="9"/>
  </w:num>
  <w:num w:numId="22" w16cid:durableId="1609847059">
    <w:abstractNumId w:val="7"/>
  </w:num>
  <w:num w:numId="23" w16cid:durableId="506486082">
    <w:abstractNumId w:val="6"/>
  </w:num>
  <w:num w:numId="24" w16cid:durableId="413629797">
    <w:abstractNumId w:val="5"/>
  </w:num>
  <w:num w:numId="25" w16cid:durableId="1857116073">
    <w:abstractNumId w:val="4"/>
  </w:num>
  <w:num w:numId="26" w16cid:durableId="469640363">
    <w:abstractNumId w:val="8"/>
  </w:num>
  <w:num w:numId="27" w16cid:durableId="1546991083">
    <w:abstractNumId w:val="3"/>
  </w:num>
  <w:num w:numId="28" w16cid:durableId="1017655506">
    <w:abstractNumId w:val="2"/>
  </w:num>
  <w:num w:numId="29" w16cid:durableId="609899391">
    <w:abstractNumId w:val="1"/>
  </w:num>
  <w:num w:numId="30" w16cid:durableId="585499727">
    <w:abstractNumId w:val="0"/>
  </w:num>
  <w:num w:numId="31" w16cid:durableId="1217744275">
    <w:abstractNumId w:val="9"/>
  </w:num>
  <w:num w:numId="32" w16cid:durableId="1911236228">
    <w:abstractNumId w:val="7"/>
  </w:num>
  <w:num w:numId="33" w16cid:durableId="696925128">
    <w:abstractNumId w:val="6"/>
  </w:num>
  <w:num w:numId="34" w16cid:durableId="281960061">
    <w:abstractNumId w:val="5"/>
  </w:num>
  <w:num w:numId="35" w16cid:durableId="659816947">
    <w:abstractNumId w:val="4"/>
  </w:num>
  <w:num w:numId="36" w16cid:durableId="358240042">
    <w:abstractNumId w:val="8"/>
  </w:num>
  <w:num w:numId="37" w16cid:durableId="768499982">
    <w:abstractNumId w:val="3"/>
  </w:num>
  <w:num w:numId="38" w16cid:durableId="939990507">
    <w:abstractNumId w:val="2"/>
  </w:num>
  <w:num w:numId="39" w16cid:durableId="1787969452">
    <w:abstractNumId w:val="1"/>
  </w:num>
  <w:num w:numId="40" w16cid:durableId="1434082901">
    <w:abstractNumId w:val="0"/>
  </w:num>
  <w:num w:numId="41" w16cid:durableId="1855722623">
    <w:abstractNumId w:val="10"/>
  </w:num>
  <w:num w:numId="42" w16cid:durableId="1189834426">
    <w:abstractNumId w:val="10"/>
  </w:num>
  <w:num w:numId="43" w16cid:durableId="221329387">
    <w:abstractNumId w:val="10"/>
  </w:num>
  <w:num w:numId="44" w16cid:durableId="1101220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BG"/>
    <w:docVar w:name="dvnumam" w:val="0"/>
    <w:docVar w:name="dvpe" w:val="778.064"/>
    <w:docVar w:name="dvrapporteur" w:val="Докладчик: "/>
    <w:docVar w:name="dvtitre" w:val="Решение на Европейския парламент от ... 2026 г. относно освобождаването от отговорност във връзка с изпълнението на общия бюджет на Европейския съюз за финансовата 2024 година, раздел VII — Комитет на регионите(2025/2152(DEC))"/>
  </w:docVars>
  <w:rsids>
    <w:rsidRoot w:val="00304C4F"/>
    <w:rsid w:val="00002272"/>
    <w:rsid w:val="00064002"/>
    <w:rsid w:val="000677B9"/>
    <w:rsid w:val="000831BA"/>
    <w:rsid w:val="000A42CC"/>
    <w:rsid w:val="000E7DD9"/>
    <w:rsid w:val="0010095E"/>
    <w:rsid w:val="00105FAF"/>
    <w:rsid w:val="00125B37"/>
    <w:rsid w:val="00187494"/>
    <w:rsid w:val="001F32AE"/>
    <w:rsid w:val="002767FF"/>
    <w:rsid w:val="002B18FE"/>
    <w:rsid w:val="002B5493"/>
    <w:rsid w:val="00304C4F"/>
    <w:rsid w:val="00314B98"/>
    <w:rsid w:val="00343214"/>
    <w:rsid w:val="00361C00"/>
    <w:rsid w:val="00395FA1"/>
    <w:rsid w:val="003E15D4"/>
    <w:rsid w:val="00402D2B"/>
    <w:rsid w:val="00411CCE"/>
    <w:rsid w:val="0041666E"/>
    <w:rsid w:val="00421060"/>
    <w:rsid w:val="00471C19"/>
    <w:rsid w:val="004867E3"/>
    <w:rsid w:val="00494A28"/>
    <w:rsid w:val="004C0004"/>
    <w:rsid w:val="004C3422"/>
    <w:rsid w:val="004C5D52"/>
    <w:rsid w:val="0050519A"/>
    <w:rsid w:val="005072A1"/>
    <w:rsid w:val="00514517"/>
    <w:rsid w:val="00545827"/>
    <w:rsid w:val="00560270"/>
    <w:rsid w:val="005C2568"/>
    <w:rsid w:val="005F1B17"/>
    <w:rsid w:val="006037C0"/>
    <w:rsid w:val="006631B6"/>
    <w:rsid w:val="00680577"/>
    <w:rsid w:val="006F74FA"/>
    <w:rsid w:val="00731ADD"/>
    <w:rsid w:val="00732715"/>
    <w:rsid w:val="00734777"/>
    <w:rsid w:val="00747932"/>
    <w:rsid w:val="00751A4A"/>
    <w:rsid w:val="00756632"/>
    <w:rsid w:val="00762C74"/>
    <w:rsid w:val="0078094B"/>
    <w:rsid w:val="00781B4F"/>
    <w:rsid w:val="00786EC0"/>
    <w:rsid w:val="007D1690"/>
    <w:rsid w:val="007E22AD"/>
    <w:rsid w:val="00817416"/>
    <w:rsid w:val="008252F2"/>
    <w:rsid w:val="00842779"/>
    <w:rsid w:val="00865F67"/>
    <w:rsid w:val="00881A7B"/>
    <w:rsid w:val="008840E5"/>
    <w:rsid w:val="00887B3E"/>
    <w:rsid w:val="008C2AC6"/>
    <w:rsid w:val="00930C23"/>
    <w:rsid w:val="0093193B"/>
    <w:rsid w:val="009509D8"/>
    <w:rsid w:val="00950B64"/>
    <w:rsid w:val="00981893"/>
    <w:rsid w:val="00A12B20"/>
    <w:rsid w:val="00A1687D"/>
    <w:rsid w:val="00A43E52"/>
    <w:rsid w:val="00A4678D"/>
    <w:rsid w:val="00A778C7"/>
    <w:rsid w:val="00AA22A6"/>
    <w:rsid w:val="00AB441E"/>
    <w:rsid w:val="00AB6293"/>
    <w:rsid w:val="00AE0928"/>
    <w:rsid w:val="00AF3B82"/>
    <w:rsid w:val="00B12E95"/>
    <w:rsid w:val="00B22876"/>
    <w:rsid w:val="00B558F0"/>
    <w:rsid w:val="00B829EF"/>
    <w:rsid w:val="00BD48FE"/>
    <w:rsid w:val="00BD7BD8"/>
    <w:rsid w:val="00BE6ADC"/>
    <w:rsid w:val="00C05BFE"/>
    <w:rsid w:val="00C23CD4"/>
    <w:rsid w:val="00C61C0C"/>
    <w:rsid w:val="00C941CB"/>
    <w:rsid w:val="00CB533A"/>
    <w:rsid w:val="00CB7857"/>
    <w:rsid w:val="00CC2357"/>
    <w:rsid w:val="00CF071A"/>
    <w:rsid w:val="00CF180F"/>
    <w:rsid w:val="00D058B8"/>
    <w:rsid w:val="00D4297E"/>
    <w:rsid w:val="00D56C11"/>
    <w:rsid w:val="00D834A0"/>
    <w:rsid w:val="00D872DF"/>
    <w:rsid w:val="00D91E21"/>
    <w:rsid w:val="00DA451F"/>
    <w:rsid w:val="00DA7FCD"/>
    <w:rsid w:val="00E365E1"/>
    <w:rsid w:val="00E820A4"/>
    <w:rsid w:val="00EB006A"/>
    <w:rsid w:val="00EB4772"/>
    <w:rsid w:val="00EB6437"/>
    <w:rsid w:val="00ED169E"/>
    <w:rsid w:val="00ED4235"/>
    <w:rsid w:val="00F04346"/>
    <w:rsid w:val="00F075DC"/>
    <w:rsid w:val="00F149E9"/>
    <w:rsid w:val="00F5134D"/>
    <w:rsid w:val="00F74202"/>
    <w:rsid w:val="00F87713"/>
    <w:rsid w:val="00F911E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D9D91"/>
  <w15:chartTrackingRefBased/>
  <w15:docId w15:val="{0EF42F5E-EF88-4438-B288-0B05B5C8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14B9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4B98"/>
    <w:pPr>
      <w:spacing w:before="480" w:after="240"/>
    </w:pPr>
  </w:style>
  <w:style w:type="paragraph" w:customStyle="1" w:styleId="PageHeading">
    <w:name w:val="PageHeading"/>
    <w:basedOn w:val="Normal"/>
    <w:rsid w:val="00314B98"/>
    <w:pPr>
      <w:keepNext/>
      <w:spacing w:after="480"/>
      <w:jc w:val="center"/>
    </w:pPr>
    <w:rPr>
      <w:rFonts w:ascii="Arial" w:hAnsi="Arial" w:cs="Arial"/>
      <w:b/>
    </w:rPr>
  </w:style>
  <w:style w:type="paragraph" w:customStyle="1" w:styleId="NormalBold">
    <w:name w:val="NormalBold"/>
    <w:basedOn w:val="Normal"/>
    <w:rsid w:val="00314B98"/>
    <w:rPr>
      <w:b/>
    </w:rPr>
  </w:style>
  <w:style w:type="paragraph" w:customStyle="1" w:styleId="NormalHanging12a">
    <w:name w:val="NormalHanging12a"/>
    <w:basedOn w:val="Normal"/>
    <w:link w:val="NormalHanging12aChar"/>
    <w:qFormat/>
    <w:rsid w:val="00314B98"/>
    <w:pPr>
      <w:spacing w:after="240"/>
      <w:ind w:left="567" w:hanging="567"/>
    </w:pPr>
  </w:style>
  <w:style w:type="paragraph" w:styleId="Header">
    <w:name w:val="header"/>
    <w:basedOn w:val="Normal"/>
    <w:link w:val="HeaderChar"/>
    <w:rsid w:val="00314B98"/>
    <w:pPr>
      <w:tabs>
        <w:tab w:val="center" w:pos="4513"/>
        <w:tab w:val="right" w:pos="9026"/>
      </w:tabs>
    </w:pPr>
  </w:style>
  <w:style w:type="character" w:customStyle="1" w:styleId="HeaderChar">
    <w:name w:val="Header Char"/>
    <w:basedOn w:val="DefaultParagraphFont"/>
    <w:link w:val="Header"/>
    <w:rsid w:val="00314B98"/>
    <w:rPr>
      <w:sz w:val="24"/>
      <w:lang w:val="bg-BG"/>
    </w:rPr>
  </w:style>
  <w:style w:type="paragraph" w:customStyle="1" w:styleId="EPFooter">
    <w:name w:val="EPFooter"/>
    <w:basedOn w:val="Normal"/>
    <w:rsid w:val="00314B98"/>
    <w:pPr>
      <w:tabs>
        <w:tab w:val="center" w:pos="4535"/>
        <w:tab w:val="right" w:pos="9071"/>
      </w:tabs>
      <w:spacing w:before="240" w:after="240"/>
    </w:pPr>
    <w:rPr>
      <w:color w:val="010000"/>
      <w:sz w:val="22"/>
    </w:rPr>
  </w:style>
  <w:style w:type="character" w:styleId="Hyperlink">
    <w:name w:val="Hyperlink"/>
    <w:basedOn w:val="DefaultParagraphFont"/>
    <w:uiPriority w:val="99"/>
    <w:rsid w:val="00314B98"/>
    <w:rPr>
      <w:color w:val="0563C1" w:themeColor="hyperlink"/>
      <w:u w:val="single"/>
    </w:rPr>
  </w:style>
  <w:style w:type="character" w:customStyle="1" w:styleId="NormalHanging12aChar">
    <w:name w:val="NormalHanging12a Char"/>
    <w:basedOn w:val="DefaultParagraphFont"/>
    <w:link w:val="NormalHanging12a"/>
    <w:locked/>
    <w:rsid w:val="00314B98"/>
    <w:rPr>
      <w:sz w:val="24"/>
      <w:lang w:val="bg-BG"/>
    </w:rPr>
  </w:style>
  <w:style w:type="paragraph" w:styleId="Revision">
    <w:name w:val="Revision"/>
    <w:hidden/>
    <w:uiPriority w:val="99"/>
    <w:semiHidden/>
    <w:rsid w:val="00F911E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10257</Words>
  <Characters>58470</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2026-05-05T09:24:00Z</dcterms:created>
  <dcterms:modified xsi:type="dcterms:W3CDTF">2026-05-05T09:24:00Z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P10_TA(2026)0132_</vt:lpwstr>
  </property>
  <property fmtid="{D5CDD505-2E9C-101B-9397-08002B2CF9AE}" pid="4" name="&lt;Type&gt;">
    <vt:lpwstr>RR</vt:lpwstr>
  </property>
</Properties>
</file>