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55CA" w14:paraId="688378A6" w14:textId="77777777" w:rsidTr="0010095E">
        <w:trPr>
          <w:trHeight w:hRule="exact" w:val="1418"/>
        </w:trPr>
        <w:tc>
          <w:tcPr>
            <w:tcW w:w="6804" w:type="dxa"/>
            <w:shd w:val="clear" w:color="auto" w:fill="auto"/>
            <w:vAlign w:val="center"/>
          </w:tcPr>
          <w:p w14:paraId="31D6B96A" w14:textId="77777777" w:rsidR="00751A4A" w:rsidRPr="003555CA" w:rsidRDefault="00A857F3" w:rsidP="0010095E">
            <w:pPr>
              <w:pStyle w:val="EPName"/>
            </w:pPr>
            <w:r w:rsidRPr="003555CA">
              <w:t>Ευρωπαϊκό Κοινοβούλιο</w:t>
            </w:r>
          </w:p>
          <w:p w14:paraId="1593E3B6" w14:textId="77777777" w:rsidR="00751A4A" w:rsidRPr="003555CA" w:rsidRDefault="005F1B17" w:rsidP="005F1B17">
            <w:pPr>
              <w:pStyle w:val="EPTerm"/>
              <w:rPr>
                <w:rStyle w:val="HideTWBExt"/>
                <w:noProof w:val="0"/>
                <w:vanish w:val="0"/>
                <w:color w:val="auto"/>
              </w:rPr>
            </w:pPr>
            <w:r w:rsidRPr="003555CA">
              <w:t>2024</w:t>
            </w:r>
            <w:r w:rsidR="00817416" w:rsidRPr="003555CA">
              <w:t>-202</w:t>
            </w:r>
            <w:r w:rsidRPr="003555CA">
              <w:t>9</w:t>
            </w:r>
          </w:p>
        </w:tc>
        <w:tc>
          <w:tcPr>
            <w:tcW w:w="2268" w:type="dxa"/>
            <w:shd w:val="clear" w:color="auto" w:fill="auto"/>
          </w:tcPr>
          <w:p w14:paraId="65938C8A" w14:textId="77777777" w:rsidR="00751A4A" w:rsidRPr="003555CA" w:rsidRDefault="00187494" w:rsidP="0010095E">
            <w:pPr>
              <w:pStyle w:val="EPLogo"/>
            </w:pPr>
            <w:r w:rsidRPr="003555CA">
              <w:rPr>
                <w:noProof/>
                <w:lang w:eastAsia="ja-JP"/>
              </w:rPr>
              <w:drawing>
                <wp:inline distT="0" distB="0" distL="0" distR="0" wp14:anchorId="5D47E15C" wp14:editId="299D75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B87570" w14:textId="77777777" w:rsidR="00D058B8" w:rsidRPr="003555CA" w:rsidRDefault="00D058B8" w:rsidP="004C5D52">
      <w:pPr>
        <w:pStyle w:val="LineTop"/>
      </w:pPr>
    </w:p>
    <w:p w14:paraId="3D7E0A34" w14:textId="77777777" w:rsidR="00680577" w:rsidRPr="003555CA" w:rsidRDefault="00A857F3" w:rsidP="00680577">
      <w:pPr>
        <w:pStyle w:val="EPBodyTA1"/>
      </w:pPr>
      <w:r w:rsidRPr="003555CA">
        <w:t>ΚΕΙΜΕΝΑ ΠΟΥ ΕΓΚΡΙΘΗΚΑΝ</w:t>
      </w:r>
    </w:p>
    <w:p w14:paraId="275A2F6E" w14:textId="77777777" w:rsidR="00D058B8" w:rsidRPr="003555CA" w:rsidRDefault="00D058B8" w:rsidP="00D058B8">
      <w:pPr>
        <w:pStyle w:val="LineBottom"/>
      </w:pPr>
    </w:p>
    <w:p w14:paraId="49DA4DD3" w14:textId="598685F5" w:rsidR="00A857F3" w:rsidRPr="003555CA" w:rsidRDefault="00A857F3" w:rsidP="00A857F3">
      <w:pPr>
        <w:pStyle w:val="ATHeading1"/>
      </w:pPr>
      <w:bookmarkStart w:id="0" w:name="TANumber"/>
      <w:r w:rsidRPr="003555CA">
        <w:t>P10_TA(2026)0</w:t>
      </w:r>
      <w:r w:rsidR="003555CA" w:rsidRPr="003555CA">
        <w:t>132</w:t>
      </w:r>
      <w:bookmarkEnd w:id="0"/>
    </w:p>
    <w:p w14:paraId="56E880B3" w14:textId="7BD95093" w:rsidR="00A857F3" w:rsidRPr="003555CA" w:rsidRDefault="0096227B" w:rsidP="00A857F3">
      <w:pPr>
        <w:pStyle w:val="ATHeading2"/>
      </w:pPr>
      <w:bookmarkStart w:id="1" w:name="title"/>
      <w:r w:rsidRPr="003555CA">
        <w:t>Απαλλαγή 2024: Γενικός προϋπολογισμός της ΕΕ – Επιτροπή των Περιφερειών</w:t>
      </w:r>
      <w:bookmarkEnd w:id="1"/>
    </w:p>
    <w:p w14:paraId="309E4632" w14:textId="131B2F43" w:rsidR="00A857F3" w:rsidRPr="003555CA" w:rsidRDefault="00A857F3" w:rsidP="00A857F3">
      <w:pPr>
        <w:rPr>
          <w:i/>
          <w:vanish/>
        </w:rPr>
      </w:pPr>
      <w:r w:rsidRPr="003555CA">
        <w:rPr>
          <w:i/>
        </w:rPr>
        <w:fldChar w:fldCharType="begin"/>
      </w:r>
      <w:r w:rsidRPr="003555CA">
        <w:rPr>
          <w:i/>
        </w:rPr>
        <w:instrText xml:space="preserve"> TC"(</w:instrText>
      </w:r>
      <w:bookmarkStart w:id="2" w:name="DocNumber"/>
      <w:r w:rsidRPr="003555CA">
        <w:rPr>
          <w:i/>
        </w:rPr>
        <w:instrText>A10-0056/2026</w:instrText>
      </w:r>
      <w:bookmarkEnd w:id="2"/>
      <w:r w:rsidRPr="003555CA">
        <w:rPr>
          <w:i/>
        </w:rPr>
        <w:instrText xml:space="preserve"> - Εισηγητής: Pasquale Tridico)"\l3 \n&gt; \* MERGEFORMAT </w:instrText>
      </w:r>
      <w:r w:rsidRPr="003555CA">
        <w:rPr>
          <w:i/>
        </w:rPr>
        <w:fldChar w:fldCharType="end"/>
      </w:r>
    </w:p>
    <w:p w14:paraId="42F7A69C" w14:textId="77777777" w:rsidR="00A857F3" w:rsidRPr="003555CA" w:rsidRDefault="00A857F3" w:rsidP="00A857F3">
      <w:pPr>
        <w:rPr>
          <w:vanish/>
        </w:rPr>
      </w:pPr>
      <w:bookmarkStart w:id="3" w:name="Commission"/>
      <w:r w:rsidRPr="003555CA">
        <w:rPr>
          <w:vanish/>
        </w:rPr>
        <w:t>Επιτροπή Ελέγχου του Προϋπολογισμού</w:t>
      </w:r>
      <w:bookmarkEnd w:id="3"/>
    </w:p>
    <w:p w14:paraId="31BF7C39" w14:textId="77777777" w:rsidR="00A857F3" w:rsidRPr="003555CA" w:rsidRDefault="00A857F3" w:rsidP="00A857F3">
      <w:pPr>
        <w:rPr>
          <w:vanish/>
        </w:rPr>
      </w:pPr>
      <w:bookmarkStart w:id="4" w:name="PE"/>
      <w:r w:rsidRPr="003555CA">
        <w:rPr>
          <w:vanish/>
        </w:rPr>
        <w:t>PE778.064</w:t>
      </w:r>
      <w:bookmarkEnd w:id="4"/>
    </w:p>
    <w:p w14:paraId="1A0D7079" w14:textId="6A06D823" w:rsidR="00A857F3" w:rsidRPr="003555CA" w:rsidRDefault="0096227B" w:rsidP="00A857F3">
      <w:pPr>
        <w:pStyle w:val="ATHeading3"/>
      </w:pPr>
      <w:bookmarkStart w:id="5" w:name="Sujet"/>
      <w:r w:rsidRPr="003555CA">
        <w:t>1. Α</w:t>
      </w:r>
      <w:r w:rsidR="00A857F3" w:rsidRPr="003555CA">
        <w:t xml:space="preserve">πόφαση του Ευρωπαϊκού Κοινοβουλίου της </w:t>
      </w:r>
      <w:r w:rsidR="006F289E" w:rsidRPr="003555CA">
        <w:t xml:space="preserve">29ης Απριλίου </w:t>
      </w:r>
      <w:r w:rsidR="00A857F3" w:rsidRPr="003555CA">
        <w:t>2026 σχετικά με την απαλλαγή όσον αφορά την εκτέλεση του γενικού προϋπολογισμού της Ευρωπαϊκής Ένωσης για το οικονομικό έτος 2024, τμήμα VII – Επιτροπή των Περιφερειών</w:t>
      </w:r>
      <w:bookmarkEnd w:id="5"/>
      <w:r w:rsidR="00A857F3" w:rsidRPr="003555CA">
        <w:t xml:space="preserve"> </w:t>
      </w:r>
      <w:bookmarkStart w:id="6" w:name="References"/>
      <w:r w:rsidR="00A857F3" w:rsidRPr="003555CA">
        <w:t>(2025/2152(DEC))</w:t>
      </w:r>
      <w:bookmarkEnd w:id="6"/>
    </w:p>
    <w:p w14:paraId="62901800" w14:textId="77777777" w:rsidR="00282B10" w:rsidRPr="003555CA" w:rsidRDefault="00282B10" w:rsidP="00282B10">
      <w:pPr>
        <w:pStyle w:val="EPComma"/>
      </w:pPr>
      <w:bookmarkStart w:id="7" w:name="TextBodyBegin"/>
      <w:bookmarkEnd w:id="7"/>
      <w:r w:rsidRPr="003555CA">
        <w:rPr>
          <w:i/>
        </w:rPr>
        <w:t>Το Ευρωπαϊκό Κοινοβούλιο</w:t>
      </w:r>
      <w:r w:rsidRPr="003555CA">
        <w:t>,</w:t>
      </w:r>
    </w:p>
    <w:p w14:paraId="4CF5998E" w14:textId="77777777" w:rsidR="00282B10" w:rsidRPr="003555CA" w:rsidRDefault="00282B10" w:rsidP="0096227B">
      <w:pPr>
        <w:pStyle w:val="NormalHanging12a"/>
        <w:widowControl/>
      </w:pPr>
      <w:r w:rsidRPr="003555CA">
        <w:t>–</w:t>
      </w:r>
      <w:r w:rsidRPr="003555CA">
        <w:tab/>
        <w:t>έχοντας υπόψη τον γενικό προϋπολογισμό της Ευρωπαϊκής Ένωσης για το οικονομικό έτος 2024</w:t>
      </w:r>
      <w:r w:rsidRPr="003555CA">
        <w:rPr>
          <w:rStyle w:val="FootnoteReference"/>
        </w:rPr>
        <w:footnoteReference w:id="1"/>
      </w:r>
      <w:r w:rsidRPr="003555CA">
        <w:t>,</w:t>
      </w:r>
    </w:p>
    <w:p w14:paraId="0510C976" w14:textId="77777777" w:rsidR="00282B10" w:rsidRPr="003555CA" w:rsidRDefault="00282B10" w:rsidP="0096227B">
      <w:pPr>
        <w:pStyle w:val="NormalHanging12a"/>
        <w:widowControl/>
      </w:pPr>
      <w:r w:rsidRPr="003555CA">
        <w:t>–</w:t>
      </w:r>
      <w:r w:rsidRPr="003555CA">
        <w:tab/>
        <w:t>έχοντας υπόψη τους ενοποιημένους ετήσιους λογαριασμούς της Ευρωπαϊκής Ένωσης για το οικονομικό έτος 2024 (COM(2025)0359 – C10</w:t>
      </w:r>
      <w:r w:rsidRPr="003555CA">
        <w:noBreakHyphen/>
        <w:t>0152/2025)</w:t>
      </w:r>
      <w:r w:rsidRPr="003555CA">
        <w:rPr>
          <w:rStyle w:val="FootnoteReference"/>
        </w:rPr>
        <w:footnoteReference w:id="2"/>
      </w:r>
      <w:r w:rsidRPr="003555CA">
        <w:t>,</w:t>
      </w:r>
    </w:p>
    <w:p w14:paraId="700D646B" w14:textId="77777777" w:rsidR="00282B10" w:rsidRPr="003555CA" w:rsidRDefault="00282B10" w:rsidP="0096227B">
      <w:pPr>
        <w:pStyle w:val="NormalHanging12a"/>
        <w:widowControl/>
      </w:pPr>
      <w:r w:rsidRPr="003555CA">
        <w:t>–</w:t>
      </w:r>
      <w:r w:rsidRPr="003555CA">
        <w:tab/>
        <w:t>έχοντας υπόψη την ετήσια έκθεση της Επιτροπής των Περιφερειών προς την αρμόδια για την απαλλαγή αρχή σχετικά με τους εσωτερικούς ελέγχους που πραγματοποιήθηκαν το 2024,</w:t>
      </w:r>
    </w:p>
    <w:p w14:paraId="4CD251AF" w14:textId="77777777" w:rsidR="00282B10" w:rsidRPr="003555CA" w:rsidRDefault="00282B10" w:rsidP="0096227B">
      <w:pPr>
        <w:pStyle w:val="NormalHanging12a"/>
        <w:widowControl/>
      </w:pPr>
      <w:r w:rsidRPr="003555CA">
        <w:t>–</w:t>
      </w:r>
      <w:r w:rsidRPr="003555CA">
        <w:tab/>
        <w:t>έχοντας υπόψη την ετήσια έκθεση του Ελεγκτικού Συνεδρίου σχετικά με την εκτέλεση του προϋπολογισμού για το οικονομικό έτος 2024, που συνοδεύεται από τις απαντήσεις των οργάνων</w:t>
      </w:r>
      <w:r w:rsidRPr="003555CA">
        <w:rPr>
          <w:rStyle w:val="FootnoteReference"/>
        </w:rPr>
        <w:footnoteReference w:id="3"/>
      </w:r>
      <w:r w:rsidRPr="003555CA">
        <w:t>,</w:t>
      </w:r>
    </w:p>
    <w:p w14:paraId="3B94874F" w14:textId="77777777" w:rsidR="00282B10" w:rsidRPr="003555CA" w:rsidRDefault="00282B10" w:rsidP="0096227B">
      <w:pPr>
        <w:pStyle w:val="NormalHanging12a"/>
        <w:widowControl/>
      </w:pPr>
      <w:r w:rsidRPr="003555CA">
        <w:t>–</w:t>
      </w:r>
      <w:r w:rsidRPr="003555CA">
        <w:tab/>
        <w:t>έχοντας υπόψη τη δήλωση αξιοπιστίας</w:t>
      </w:r>
      <w:r w:rsidRPr="003555CA">
        <w:rPr>
          <w:rStyle w:val="FootnoteReference"/>
        </w:rPr>
        <w:footnoteReference w:id="4"/>
      </w:r>
      <w:r w:rsidRPr="003555CA">
        <w:t xml:space="preserve"> που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C17A848" w14:textId="77777777" w:rsidR="00282B10" w:rsidRPr="003555CA" w:rsidRDefault="00282B10" w:rsidP="0096227B">
      <w:pPr>
        <w:pStyle w:val="NormalHanging12a"/>
        <w:widowControl/>
      </w:pPr>
      <w:r w:rsidRPr="003555CA">
        <w:t>–</w:t>
      </w:r>
      <w:r w:rsidRPr="003555CA">
        <w:tab/>
        <w:t>έχοντας υπόψη το άρθρο 314 παράγραφος 10 και τα άρθρα 317, 318 και 319 της Συνθήκης για τη λειτουργία της Ευρωπαϊκής Ένωσης,</w:t>
      </w:r>
    </w:p>
    <w:p w14:paraId="429FB00B" w14:textId="77777777" w:rsidR="00282B10" w:rsidRPr="003555CA" w:rsidRDefault="00282B10" w:rsidP="0096227B">
      <w:pPr>
        <w:pStyle w:val="NormalHanging12a"/>
        <w:widowControl/>
      </w:pPr>
      <w:r w:rsidRPr="003555CA">
        <w:t>–</w:t>
      </w:r>
      <w:r w:rsidRPr="003555CA">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w:t>
      </w:r>
      <w:r w:rsidRPr="003555CA">
        <w:lastRenderedPageBreak/>
        <w:t>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3555CA">
        <w:rPr>
          <w:rStyle w:val="FootnoteReference"/>
        </w:rPr>
        <w:footnoteReference w:id="5"/>
      </w:r>
      <w:r w:rsidRPr="003555CA">
        <w:t>, και ιδίως τα άρθρα 59, 118, 260, 261 και 262,</w:t>
      </w:r>
    </w:p>
    <w:p w14:paraId="03316054" w14:textId="77777777" w:rsidR="00282B10" w:rsidRPr="003555CA" w:rsidRDefault="00282B10" w:rsidP="0096227B">
      <w:pPr>
        <w:pStyle w:val="NormalHanging12a"/>
        <w:widowControl/>
      </w:pPr>
      <w:r w:rsidRPr="003555CA">
        <w:t>–</w:t>
      </w:r>
      <w:r w:rsidRPr="003555CA">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3555CA">
        <w:rPr>
          <w:rStyle w:val="FootnoteReference"/>
        </w:rPr>
        <w:footnoteReference w:id="6"/>
      </w:r>
      <w:r w:rsidRPr="003555CA">
        <w:t>, και ιδίως τα άρθρα 59, 118, 266, 267 και 268,</w:t>
      </w:r>
    </w:p>
    <w:p w14:paraId="18493130" w14:textId="77777777" w:rsidR="00282B10" w:rsidRPr="003555CA" w:rsidRDefault="00282B10" w:rsidP="0096227B">
      <w:pPr>
        <w:pStyle w:val="NormalHanging12a"/>
        <w:widowControl/>
      </w:pPr>
      <w:r w:rsidRPr="003555CA">
        <w:t>–</w:t>
      </w:r>
      <w:r w:rsidRPr="003555CA">
        <w:tab/>
        <w:t>έχοντας υπόψη το άρθρο 102 και το παράρτημα V του Κανονισμού του,</w:t>
      </w:r>
    </w:p>
    <w:p w14:paraId="4AF0BA88" w14:textId="77777777" w:rsidR="00282B10" w:rsidRPr="003555CA" w:rsidRDefault="00282B10" w:rsidP="0096227B">
      <w:pPr>
        <w:pStyle w:val="NormalHanging12a"/>
        <w:widowControl/>
      </w:pPr>
      <w:r w:rsidRPr="003555CA">
        <w:t>–</w:t>
      </w:r>
      <w:r w:rsidRPr="003555CA">
        <w:tab/>
        <w:t>έχοντας υπόψη την έκθεση της Επιτροπής Ελέγχου του Προϋπολογισμού (A10-0056/2026),</w:t>
      </w:r>
    </w:p>
    <w:p w14:paraId="1030D7D0" w14:textId="77777777" w:rsidR="00282B10" w:rsidRPr="003555CA" w:rsidRDefault="00282B10" w:rsidP="0096227B">
      <w:pPr>
        <w:pStyle w:val="NormalHanging12a"/>
        <w:widowControl/>
      </w:pPr>
      <w:r w:rsidRPr="003555CA">
        <w:t>1.</w:t>
      </w:r>
      <w:r w:rsidRPr="003555CA">
        <w:tab/>
        <w:t>χορηγεί απαλλαγή στον Γενικό Γραμματέα της Επιτροπής των Περιφερειών όσον αφορά την εκτέλεση του προϋπολογισμού της Επιτροπής των Περιφερειών για το οικονομικό έτος 2024·</w:t>
      </w:r>
    </w:p>
    <w:p w14:paraId="3CD40953" w14:textId="77777777" w:rsidR="00282B10" w:rsidRPr="003555CA" w:rsidRDefault="00282B10" w:rsidP="0096227B">
      <w:pPr>
        <w:pStyle w:val="NormalHanging12a"/>
        <w:widowControl/>
      </w:pPr>
      <w:r w:rsidRPr="003555CA">
        <w:t>2.</w:t>
      </w:r>
      <w:r w:rsidRPr="003555CA">
        <w:tab/>
        <w:t>εκθέτει τις παρατηρήσεις του στο ψήφισμα που ακολουθεί·</w:t>
      </w:r>
    </w:p>
    <w:p w14:paraId="2D7688EC" w14:textId="77777777" w:rsidR="00282B10" w:rsidRPr="003555CA" w:rsidRDefault="00282B10" w:rsidP="0096227B">
      <w:pPr>
        <w:pStyle w:val="NormalHanging12a"/>
        <w:widowControl/>
      </w:pPr>
      <w:r w:rsidRPr="003555CA">
        <w:t>3.</w:t>
      </w:r>
      <w:r w:rsidRPr="003555CA">
        <w:tab/>
        <w:t xml:space="preserve">αναθέτει στην Πρόεδρό του να διαβιβάσει την παρούσα απόφαση και το ψήφισμα που αποτελεί αναπόσπαστο μέρος της στην Επιτροπή των Περιφερειών, στο Συμβούλιο, στην Επιτροπή και στο Ελεγκτικό Συνέδριο, και να μεριμνήσει για τη δημοσίευσή τους στην </w:t>
      </w:r>
      <w:r w:rsidRPr="003555CA">
        <w:rPr>
          <w:i/>
        </w:rPr>
        <w:t>Επίσημη Εφημερίδα της Ευρωπαϊκής Ένωσης</w:t>
      </w:r>
      <w:r w:rsidRPr="003555CA">
        <w:t xml:space="preserve"> (σειρά L).</w:t>
      </w:r>
    </w:p>
    <w:p w14:paraId="376FA26C" w14:textId="77777777" w:rsidR="00282B10" w:rsidRPr="003555CA" w:rsidRDefault="00282B10" w:rsidP="00282B10"/>
    <w:p w14:paraId="50B6D729" w14:textId="77777777" w:rsidR="00282B10" w:rsidRPr="003555CA" w:rsidRDefault="00282B10" w:rsidP="00282B10">
      <w:pPr>
        <w:pStyle w:val="PageHeading"/>
        <w:sectPr w:rsidR="00282B10" w:rsidRPr="003555CA" w:rsidSect="00004B1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8E6DB9" w14:textId="77777777" w:rsidR="00645B78" w:rsidRPr="003555CA" w:rsidRDefault="00645B78" w:rsidP="00645B78">
      <w:pPr>
        <w:pStyle w:val="ATHeading3"/>
      </w:pPr>
      <w:r w:rsidRPr="003555CA">
        <w:lastRenderedPageBreak/>
        <w:t>2. Ψήφισμα του Ευρωπαϊκού Κοινοβουλίου της 29ης Απριλίου 2026 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2024, τμήμα VII – Επιτροπή των Περιφερειών (2025/2152(DEC))</w:t>
      </w:r>
    </w:p>
    <w:p w14:paraId="30FA928A" w14:textId="77777777" w:rsidR="00282B10" w:rsidRPr="003555CA" w:rsidRDefault="00282B10" w:rsidP="00282B10">
      <w:pPr>
        <w:pStyle w:val="EPComma"/>
      </w:pPr>
      <w:r w:rsidRPr="003555CA">
        <w:rPr>
          <w:i/>
        </w:rPr>
        <w:t>Το Ευρωπαϊκό Κοινοβούλιο</w:t>
      </w:r>
      <w:r w:rsidRPr="003555CA">
        <w:t>,</w:t>
      </w:r>
    </w:p>
    <w:p w14:paraId="17D49379" w14:textId="77777777" w:rsidR="00282B10" w:rsidRPr="003555CA" w:rsidRDefault="00282B10" w:rsidP="00DE7476">
      <w:pPr>
        <w:pStyle w:val="NormalHanging12a"/>
        <w:widowControl/>
      </w:pPr>
      <w:r w:rsidRPr="003555CA">
        <w:t>–</w:t>
      </w:r>
      <w:r w:rsidRPr="003555CA">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2024, τμήμα VII – Επιτροπή των Περιφερειών,</w:t>
      </w:r>
    </w:p>
    <w:p w14:paraId="512A4C8B" w14:textId="77777777" w:rsidR="00282B10" w:rsidRPr="003555CA" w:rsidRDefault="00282B10" w:rsidP="00DE7476">
      <w:pPr>
        <w:pStyle w:val="NormalHanging12a"/>
        <w:widowControl/>
      </w:pPr>
      <w:r w:rsidRPr="003555CA">
        <w:t>–</w:t>
      </w:r>
      <w:r w:rsidRPr="003555CA">
        <w:tab/>
        <w:t>έχοντας υπόψη το άρθρο 102 και το παράρτημα V του Κανονισμού του,</w:t>
      </w:r>
    </w:p>
    <w:p w14:paraId="5EC74430" w14:textId="77777777" w:rsidR="00282B10" w:rsidRPr="003555CA" w:rsidRDefault="00282B10" w:rsidP="00DE7476">
      <w:pPr>
        <w:pStyle w:val="NormalHanging12a"/>
        <w:widowControl/>
      </w:pPr>
      <w:r w:rsidRPr="003555CA">
        <w:t>–</w:t>
      </w:r>
      <w:r w:rsidRPr="003555CA">
        <w:tab/>
        <w:t>έχοντας υπόψη την έκθεση της Επιτροπής Ελέγχου του Προϋπολογισμού (A10-0056/2026),</w:t>
      </w:r>
    </w:p>
    <w:p w14:paraId="1D8FE185" w14:textId="77777777" w:rsidR="00282B10" w:rsidRPr="003555CA" w:rsidRDefault="00282B10" w:rsidP="00DE7476">
      <w:pPr>
        <w:pStyle w:val="NormalHanging12a"/>
        <w:widowControl/>
      </w:pPr>
      <w:r w:rsidRPr="003555CA">
        <w:t>Α.</w:t>
      </w:r>
      <w:r w:rsidRPr="003555CA">
        <w:rPr>
          <w:b/>
          <w:i/>
        </w:rPr>
        <w:t xml:space="preserve"> </w:t>
      </w:r>
      <w:r w:rsidRPr="003555CA">
        <w:rPr>
          <w:b/>
          <w:i/>
        </w:rPr>
        <w:tab/>
      </w:r>
      <w:r w:rsidRPr="003555CA">
        <w:t xml:space="preserve">λαμβάνοντας υπόψη ότι, στο πλαίσιο της διαδικασίας απαλλαγής, η αρμόδια για την απαλλαγή αρχή, ενώ τονίζει την ιδιαίτερη σημασία που έχει η περαιτέρω ενίσχυση της δημοκρατικής νομιμοποίησης των θεσμικών οργάνων της Ένωσης, αξιολογεί όχι μόνο τη νομιμότητα και την κανονικότητα των δαπανών αλλά και εν γένει τις δαπάνες της Ένωσης για τη βελτίωση της διαφάνειας και της λογοδοσίας, όπως επίσης και την εφαρμογή της προσέγγισης της κατάρτισης του προϋπολογισμού βάσει επιδόσεων και της χρηστής διαχείρισης των ανθρώπινων πόρων, με στόχο μετρήσιμα αποτελέσματα για τους πολίτες, ιδίως σε τοπικό και περιφερειακό επίπεδο· </w:t>
      </w:r>
    </w:p>
    <w:p w14:paraId="33CB7D5D" w14:textId="71F3CAC4" w:rsidR="00282B10" w:rsidRPr="003555CA" w:rsidRDefault="00282B10" w:rsidP="00DE7476">
      <w:pPr>
        <w:pStyle w:val="NormalHanging12a"/>
        <w:widowControl/>
      </w:pPr>
      <w:r w:rsidRPr="003555CA">
        <w:t xml:space="preserve">Β. </w:t>
      </w:r>
      <w:r w:rsidRPr="003555CA">
        <w:tab/>
        <w:t>λαμβάνοντας υπόψη ότι η Επιτροπή των Περιφερειών (</w:t>
      </w:r>
      <w:r w:rsidR="00B4212C" w:rsidRPr="003555CA">
        <w:t>«</w:t>
      </w:r>
      <w:proofErr w:type="spellStart"/>
      <w:r w:rsidRPr="003555CA">
        <w:t>ΕτΠ</w:t>
      </w:r>
      <w:proofErr w:type="spellEnd"/>
      <w:r w:rsidR="00B4212C" w:rsidRPr="003555CA">
        <w:t>»</w:t>
      </w:r>
      <w:r w:rsidRPr="003555CA">
        <w:t xml:space="preserve">) είναι μια πολιτική συνέλευση 329 τακτικών μελών (και 329 αναπληρωματικών μελών) που εκλέγονται στις περιφέρειες, τις πόλεις, τα χωριά και τους δήμους των 27 κρατών μελών της Ένωσης, η οποία διαδραματίζει καίριο θεσμικό ρόλο σε σχέση με την πολιτική συνοχής της Ένωσης εκπροσωπώντας τις περιφερειακές και τις τοπικές αρχές και λειτουργεί ως συμβουλευτικό όργανο για τα θεσμικά όργανα της Ένωσης έχοντας ως αποστολή να συμβάλλει στις διαδικασίες διαμόρφωσης πολιτικής και λήψης αποφάσεων της Ένωσης από τη σκοπιά των τοπικών και των περιφερειακών αρχών, συμβάλλοντας παράλληλα στο να καταστεί η Ένωση πιο αποτελεσματική και πιο προσιτή στους πολίτες της· </w:t>
      </w:r>
    </w:p>
    <w:p w14:paraId="20952EA8" w14:textId="77777777" w:rsidR="00282B10" w:rsidRPr="003555CA" w:rsidRDefault="00282B10" w:rsidP="00DE7476">
      <w:pPr>
        <w:pStyle w:val="NormalHanging12a"/>
        <w:widowControl/>
        <w:rPr>
          <w:color w:val="000000"/>
        </w:rPr>
      </w:pPr>
      <w:r w:rsidRPr="003555CA">
        <w:rPr>
          <w:color w:val="000000"/>
        </w:rPr>
        <w:t>Γ.</w:t>
      </w:r>
      <w:r w:rsidRPr="003555CA">
        <w:rPr>
          <w:color w:val="000000"/>
        </w:rPr>
        <w:tab/>
        <w:t>λαμβάνοντας υπόψη ότι η Επιτροπή ή το Συμβούλιο ζητούν υποχρεωτικά τη γνώμη της ΕτΠ σε ορισμένες περιπτώσεις, ενώ η ΕτΠ δύναται να εγκρίνει γνωμοδοτήσεις και με δική της πρωτοβουλία και παράλληλα διαθέτει μεγάλη ευχέρεια όσον αφορά τις αιτήσεις γνωμοδότησης, όπως ορίζεται στις Συνθήκες, που παρέχουν τη δυνατότητα να της ζητείται η γνώμη από το Κοινοβούλιο·</w:t>
      </w:r>
    </w:p>
    <w:p w14:paraId="162B9CA7" w14:textId="77777777" w:rsidR="00282B10" w:rsidRPr="003555CA" w:rsidRDefault="00282B10" w:rsidP="00DE7476">
      <w:pPr>
        <w:pStyle w:val="NormalHanging12a"/>
        <w:widowControl/>
        <w:rPr>
          <w:color w:val="000000"/>
        </w:rPr>
      </w:pPr>
      <w:r w:rsidRPr="003555CA">
        <w:rPr>
          <w:color w:val="000000"/>
        </w:rPr>
        <w:t>Δ.</w:t>
      </w:r>
      <w:r w:rsidRPr="003555CA">
        <w:rPr>
          <w:color w:val="000000"/>
        </w:rPr>
        <w:tab/>
        <w:t>λαμβάνοντας υπόψη ότι οι δραστηριότητες της ΕτΠ καθορίζονται με βάση τη συνολική πολιτική στρατηγική της, όπως ορίζεται στο ψήφισμά της της 2ας Ιουλίου 2020 σχετικά με τις προτεραιότητές της για την περίοδο 2020-2025</w:t>
      </w:r>
      <w:r w:rsidRPr="003555CA">
        <w:rPr>
          <w:rStyle w:val="FootnoteReference"/>
          <w:color w:val="000000"/>
        </w:rPr>
        <w:footnoteReference w:id="7"/>
      </w:r>
      <w:r w:rsidRPr="003555CA">
        <w:rPr>
          <w:color w:val="000000"/>
        </w:rPr>
        <w:t xml:space="preserve">, και λαμβάνοντας υπόψη ότι η </w:t>
      </w:r>
      <w:r w:rsidRPr="003555CA">
        <w:rPr>
          <w:color w:val="000000"/>
        </w:rPr>
        <w:lastRenderedPageBreak/>
        <w:t>ΕτΠ ενέκρινε τρεις πολιτικές προτεραιότητες για τη θητεία 2020-2025, συνοδευόμενες από τρεις εκστρατείες επικοινωνίας: «Η Ευρώπη πιο κοντά στους πολίτες», «Οικοδόμηση ανθεκτικών κοινοτήτων σε περιφερειακό και τοπικό επίπεδο» και «Προώθηση της συνοχής ως θεμελιώδους αξίας της ΕΕ»·</w:t>
      </w:r>
    </w:p>
    <w:p w14:paraId="2225804C" w14:textId="77777777" w:rsidR="00282B10" w:rsidRPr="003555CA" w:rsidRDefault="00282B10" w:rsidP="00DE7476">
      <w:pPr>
        <w:pStyle w:val="NormalHanging12a"/>
        <w:widowControl/>
        <w:rPr>
          <w:b/>
          <w:i/>
          <w:color w:val="000000"/>
        </w:rPr>
      </w:pPr>
      <w:r w:rsidRPr="003555CA">
        <w:rPr>
          <w:color w:val="000000"/>
        </w:rPr>
        <w:t>Ε.</w:t>
      </w:r>
      <w:r w:rsidRPr="003555CA">
        <w:rPr>
          <w:b/>
          <w:i/>
          <w:color w:val="000000"/>
        </w:rPr>
        <w:t xml:space="preserve"> </w:t>
      </w:r>
      <w:r w:rsidRPr="003555CA">
        <w:rPr>
          <w:b/>
          <w:i/>
          <w:color w:val="000000"/>
        </w:rPr>
        <w:tab/>
      </w:r>
      <w:r w:rsidRPr="003555CA">
        <w:rPr>
          <w:color w:val="000000"/>
        </w:rPr>
        <w:t>λαμβάνοντας υπόψη ότι οι τοπικές και περιφερειακές διοικήσεις αντιπροσωπεύουν το ένα τρίτο των δημόσιων δαπανών, το ήμισυ των δημόσιων επενδύσεων και το ένα τέταρτο των φορολογικών εσόδων και, σε πολλά κράτη μέλη, διαθέτουν αρμοδιότητες σε βασικούς τομείς όπως η εκπαίδευση, η οικονομική ανάπτυξη και η συνοχή, το περιβάλλον, η κοινωνική προστασία, η υγεία και οι υπηρεσίες κοινής ωφελείας και, ως εκ τούτου, χάρη στον συντονισμό σε τοπικό, περιφερειακό, εθνικό και ενωσιακό επίπεδο ενισχύεται η νομιμότητα της νομοθεσίας, βελτιώνεται η οικειοποίηση και υπηρετείται αποτελεσματικότερα το συμφέρον των πολιτών ενώ ενισχύεται η παρακολούθηση και ο έλεγχος της εκτέλεσης των δαπανών της Ένωσης με εδαφικό αντίκτυπο, διασφαλίζοντας παράλληλα ότι κανείς δεν μένει στο περιθώριο·</w:t>
      </w:r>
    </w:p>
    <w:p w14:paraId="13B79DFB" w14:textId="77777777" w:rsidR="00282B10" w:rsidRPr="003555CA" w:rsidRDefault="00282B10" w:rsidP="00DE7476">
      <w:pPr>
        <w:pStyle w:val="NormalHanging12a"/>
        <w:widowControl/>
        <w:rPr>
          <w:color w:val="000000"/>
        </w:rPr>
      </w:pPr>
      <w:r w:rsidRPr="003555CA">
        <w:rPr>
          <w:color w:val="000000"/>
        </w:rPr>
        <w:t>ΣΤ.</w:t>
      </w:r>
      <w:r w:rsidRPr="003555CA">
        <w:rPr>
          <w:color w:val="000000"/>
        </w:rPr>
        <w:tab/>
        <w:t>λαμβάνοντας υπόψη ότι η ΕτΠ επιδιώκει τον πολιτικό της στόχο να ενισχύσει τη συμμετοχή της σε ολόκληρο τον πολιτικό και νομοθετικό κύκλο της Ένωσης, καθιστώντας παράλληλα πιο απτή τη σύνδεση με τους πολίτες της Ένωσης που χρησιμοποιούν τα μέλη της ΕτΠ ως ισχυρούς πολλαπλασιαστές στις κοινότητές τους και στις εθνικές τους ενώσεις τοπικών και περιφερειακών αρχών·</w:t>
      </w:r>
    </w:p>
    <w:p w14:paraId="06346CC5" w14:textId="77777777" w:rsidR="00282B10" w:rsidRPr="003555CA" w:rsidRDefault="00282B10" w:rsidP="00DE7476">
      <w:pPr>
        <w:pStyle w:val="NormalHanging12a"/>
        <w:widowControl/>
        <w:rPr>
          <w:color w:val="000000"/>
        </w:rPr>
      </w:pPr>
      <w:r w:rsidRPr="003555CA">
        <w:rPr>
          <w:color w:val="000000"/>
        </w:rPr>
        <w:t>Ζ.</w:t>
      </w:r>
      <w:r w:rsidRPr="003555CA">
        <w:rPr>
          <w:color w:val="000000"/>
        </w:rPr>
        <w:tab/>
        <w:t xml:space="preserve">λαμβάνοντας υπόψη ότι η ΕτΠ προσδιόρισε εννέα βασικούς τομείς προτεραιότητας για να καταστήσει τη δράση της πιο στρατηγική και πιο αποτελεσματική το 2024: </w:t>
      </w:r>
      <w:r w:rsidRPr="003555CA">
        <w:t xml:space="preserve">διεύρυνση της Ευρωπαϊκής Ένωσης και στήριξη της Ουκρανίας· δημοκρατία και βελτίωση της νομοθεσίας· ανθεκτικότητα· Πράσινη Συμφωνία και τοπική δράση· ανταγωνιστικότητα, βιομηχανία, ΜΜΕ, κανονιστικές ελαφρύνσεις και φορολόγηση των επιχειρήσεων· βελτιστοποίηση της υλοποίησης και της προβολής της πολιτικής συνοχής της Ένωσης· αντιμετώπιση της τριπλής παγκόσμιας κρίσης· απασχόληση, ισότητα και κοινωνικές πολιτικές· προώθηση της στήριξης της Ένωσης στα περιφερειακά οικοσυστήματα καινοτομίας· </w:t>
      </w:r>
    </w:p>
    <w:p w14:paraId="243D7917" w14:textId="77777777" w:rsidR="00282B10" w:rsidRPr="003555CA" w:rsidRDefault="00282B10" w:rsidP="00DE7476">
      <w:pPr>
        <w:pStyle w:val="NormalHanging12a"/>
        <w:widowControl/>
        <w:rPr>
          <w:color w:val="000000"/>
        </w:rPr>
      </w:pPr>
      <w:r w:rsidRPr="003555CA">
        <w:rPr>
          <w:color w:val="000000"/>
        </w:rPr>
        <w:t>Η.</w:t>
      </w:r>
      <w:r w:rsidRPr="003555CA">
        <w:rPr>
          <w:color w:val="000000"/>
        </w:rPr>
        <w:tab/>
        <w:t>λαμβάνοντας υπόψη ότι ο κανονισμός (ΕΕ) 2021/1060 του Ευρωπαϊκού Κοινοβουλίου και του Συμβουλίου</w:t>
      </w:r>
      <w:r w:rsidRPr="003555CA">
        <w:rPr>
          <w:rStyle w:val="FootnoteReference"/>
          <w:color w:val="000000"/>
        </w:rPr>
        <w:footnoteReference w:id="8"/>
      </w:r>
      <w:r w:rsidRPr="003555CA">
        <w:rPr>
          <w:color w:val="000000"/>
        </w:rPr>
        <w:t>, ο οποίος διέπει την πολιτική συνοχής της Ένωσης και τη χρηματοδότηση μεταξύ 2021 και 2027 και τέθηκε σε ισχύ τον Ιούλιο του 2021, περιλαμβάνει αναφορές στην αρχή της εταιρικής σχέσης και της πολυεπίπεδης διακυβέρνησης, με την υποστήριξη της ΕτΠ και του Κοινοβουλίου και συνεπάγεται τη συμμετοχή των περιφερειών της Ένωσης και των αντίστοιχων τοπικών και περιφερειακών αρχών·</w:t>
      </w:r>
    </w:p>
    <w:p w14:paraId="655B31AF" w14:textId="77777777" w:rsidR="00282B10" w:rsidRPr="003555CA" w:rsidRDefault="00282B10" w:rsidP="00DE7476">
      <w:pPr>
        <w:pStyle w:val="NormalHanging12a"/>
        <w:widowControl/>
        <w:rPr>
          <w:b/>
          <w:bCs/>
          <w:color w:val="000000"/>
        </w:rPr>
      </w:pPr>
      <w:r w:rsidRPr="003555CA">
        <w:rPr>
          <w:color w:val="000000"/>
        </w:rPr>
        <w:lastRenderedPageBreak/>
        <w:t>Θ.</w:t>
      </w:r>
      <w:r w:rsidRPr="003555CA">
        <w:rPr>
          <w:color w:val="000000"/>
        </w:rPr>
        <w:tab/>
        <w:t>λαμβάνοντας υπόψη ότι τα πάνω από 400 εθνικά και περιφερειακά προγράμματα που εφαρμόζονται για την υλοποίηση της πολιτικής συνοχής της Ένωσης κατά την περίοδο προγραμματισμού 2021-2027 διέθεσαν περίπου 380 δισεκατομμύρια EUR, στο πλαίσιο διαφόρων ταμείων, για την αντιμετώπιση των οικονομικών, κοινωνικών και περιβαλλοντικών προκλήσεων που αντιμετωπίζουν οι περιφέρειες, οι πόλεις, τα χωριά και οι δήμοι της Ένωσης·</w:t>
      </w:r>
    </w:p>
    <w:p w14:paraId="768DE79A" w14:textId="77777777" w:rsidR="00282B10" w:rsidRPr="003555CA" w:rsidRDefault="00282B10" w:rsidP="00DE7476">
      <w:pPr>
        <w:pStyle w:val="NormalHanging12a"/>
        <w:widowControl/>
        <w:rPr>
          <w:color w:val="000000"/>
        </w:rPr>
      </w:pPr>
      <w:r w:rsidRPr="003555CA">
        <w:rPr>
          <w:color w:val="000000"/>
        </w:rPr>
        <w:t>Ι.</w:t>
      </w:r>
      <w:r w:rsidRPr="003555CA">
        <w:rPr>
          <w:color w:val="000000"/>
        </w:rPr>
        <w:tab/>
      </w:r>
      <w:r w:rsidRPr="003555CA">
        <w:t>λαμβάνοντας υπόψη ότι στις 19 Φεβρουαρίου 2021 τέθηκε σε ισχύ ο κανονισμός (ΕΕ) 2021/241 του Ευρωπαϊκού Κοινοβουλίου και του Συμβουλίου</w:t>
      </w:r>
      <w:r w:rsidRPr="003555CA">
        <w:rPr>
          <w:color w:val="000000"/>
          <w:vertAlign w:val="superscript"/>
        </w:rPr>
        <w:footnoteReference w:id="9"/>
      </w:r>
      <w:r w:rsidRPr="003555CA">
        <w:t xml:space="preserve"> για τη θέσπιση του μηχανισμού ανάκαμψης και ανθεκτικότητας της Ένωσης, ο οποίος παρέχει τη νομική βάση για την κατανομή κονδυλίων και δανείων ύψους έως 672,5 δισεκατομμυρίων EUR (σε τιμές 2018) στα κράτη μέλη μεταξύ 2021 και 2026 και αποσκοπεί επίσης στη στήριξη της οικονομικής, κοινωνικής και εδαφικής συνοχής και στην αντιμετώπιση των ανισοτήτων μεταξύ των περιφερειών της Ένωσης·</w:t>
      </w:r>
      <w:r w:rsidRPr="003555CA">
        <w:rPr>
          <w:color w:val="000000"/>
        </w:rPr>
        <w:t xml:space="preserve"> </w:t>
      </w:r>
    </w:p>
    <w:p w14:paraId="3CFB07C4" w14:textId="77777777" w:rsidR="00282B10" w:rsidRPr="003555CA" w:rsidRDefault="00282B10" w:rsidP="00DE7476">
      <w:pPr>
        <w:pStyle w:val="NormalHanging12a"/>
        <w:widowControl/>
        <w:rPr>
          <w:color w:val="000000"/>
        </w:rPr>
      </w:pPr>
      <w:r w:rsidRPr="003555CA">
        <w:rPr>
          <w:color w:val="000000"/>
        </w:rPr>
        <w:t>ΙΑ.</w:t>
      </w:r>
      <w:r w:rsidRPr="003555CA">
        <w:rPr>
          <w:color w:val="000000"/>
        </w:rPr>
        <w:tab/>
        <w:t>λαμβάνοντας υπόψη ότι, ως θεσμικό όργανο της Ένωσης κατά την έννοια του δημοσιονομικού κανονισμού, η ΕτΠ υποχρεούται να εγκρίνει τους δικούς της ετήσιους λογαριασμούς, οι οποίοι καταρτίζονται σύμφωνα με τους λογιστικούς κανόνες που εγκρίνει ο υπόλογος της Επιτροπής (λογιστικοί κανόνες της ΕΕ) βάσει των Διεθνών Λογιστικών Προτύπων του Δημόσιου Τομέα, και οι οποίοι ενσωματώνονται τελικά στους ετήσιους λογαριασμούς της Ένωσης·</w:t>
      </w:r>
    </w:p>
    <w:p w14:paraId="0565B7C2" w14:textId="7BC46CFB" w:rsidR="00282B10" w:rsidRPr="003555CA" w:rsidRDefault="003555CA" w:rsidP="003555CA">
      <w:pPr>
        <w:pStyle w:val="NormalHanging12a"/>
        <w:widowControl/>
        <w:ind w:left="570" w:hanging="570"/>
      </w:pPr>
      <w:r w:rsidRPr="003555CA">
        <w:t>1.</w:t>
      </w:r>
      <w:r w:rsidRPr="003555CA">
        <w:tab/>
      </w:r>
      <w:r w:rsidR="00282B10" w:rsidRPr="003555CA">
        <w:t xml:space="preserve">σημειώνει ότι ο προϋπολογισμός της ΕτΠ εντάσσεται στον τομέα 7 του πολυετούς δημοσιονομικού πλαισίου (ΠΔΠ) «Ευρωπαϊκή δημόσια διοίκηση» («τομέας 7»), ο οποίος ανήλθε συνολικά σε 13,3 δισεκατομμύρια EUR, δηλαδή στο 6,9 % των δαπανών του προϋπολογισμού της Ένωσης, το 2024· σημειώνει ότι ο προϋπολογισμός της ΕτΠ αντιπροσώπευε το 0,92 % των πιστώσεων του τομέα 7 του ΠΔΠ το 2024· </w:t>
      </w:r>
    </w:p>
    <w:p w14:paraId="2A4740E1" w14:textId="1E7EA674" w:rsidR="00282B10" w:rsidRPr="003555CA" w:rsidRDefault="003555CA" w:rsidP="003555CA">
      <w:pPr>
        <w:pStyle w:val="NormalHanging12a"/>
        <w:widowControl/>
        <w:ind w:left="570" w:hanging="570"/>
      </w:pPr>
      <w:r w:rsidRPr="003555CA">
        <w:t>2.</w:t>
      </w:r>
      <w:r w:rsidRPr="003555CA">
        <w:tab/>
      </w:r>
      <w:r w:rsidR="00282B10" w:rsidRPr="003555CA">
        <w:t>σημειώνει ότι το Ελεγκτικό Συνέδριο, στην ετήσια έκθεσή του για το οικονομικό έτος 2024 (</w:t>
      </w:r>
      <w:r w:rsidR="00B4212C" w:rsidRPr="003555CA">
        <w:t>«</w:t>
      </w:r>
      <w:r w:rsidR="00282B10" w:rsidRPr="003555CA">
        <w:t>έκθεση του Ελεγκτικού Συνεδρίου</w:t>
      </w:r>
      <w:r w:rsidR="00B4212C" w:rsidRPr="003555CA">
        <w:t>»</w:t>
      </w:r>
      <w:r w:rsidR="00282B10" w:rsidRPr="003555CA">
        <w:t>), εξέτασε δείγμα 70 πράξεων υπό τον τίτλο «Διοίκηση», τον ίδιο αριθμό με το 2023· λαμβάνοντας υπόψη ότι το Ελεγκτικό Συνέδριο αναφέρει ότι οι διοικητικές δαπάνες περιλαμβάνουν τις δαπάνες για ανθρώπινους πόρους, συμπεριλαμβανομένων των δαπανών για συντάξεις, οι οποίες το 2024 αντιπροσώπευαν περίπου το 69 % των συνολικών διοικητικών δαπανών, καθώς και δαπάνες για κτίρια, εξοπλισμό, ενέργεια, επικοινωνίες και τεχνολογία των πληροφοριών, και ότι το έργο του επί σειρά ετών δείχνει ότι, συνολικά, οι διοικητικές δαπάνες είναι χαμηλού κινδύνου·</w:t>
      </w:r>
    </w:p>
    <w:p w14:paraId="0A90C272" w14:textId="16FDB7BE" w:rsidR="00282B10" w:rsidRPr="003555CA" w:rsidRDefault="003555CA" w:rsidP="003555CA">
      <w:pPr>
        <w:pStyle w:val="NormalHanging12a"/>
        <w:widowControl/>
        <w:ind w:left="570" w:hanging="570"/>
      </w:pPr>
      <w:r w:rsidRPr="003555CA">
        <w:t>3.</w:t>
      </w:r>
      <w:r w:rsidRPr="003555CA">
        <w:tab/>
      </w:r>
      <w:r w:rsidR="00282B10" w:rsidRPr="003555CA">
        <w:t>σημειώνει ότι 16 (23 %) από τις 70 πράξεις περιείχαν σφάλματα, αλλά ότι το Ελεγκτικό Συνέδριο, βάσει των τριών σφαλμάτων που ποσοτικοποιήθηκαν, εκτιμά ότι το επίπεδο σφάλματος είναι χαμηλότερο από το όριο σημαντικότητας· σημειώνει ότι η έκθεση του Ελεγκτικού Συνεδρίου δεν εντόπισε συγκεκριμένα ζητήματα σχετικά με την ΕτΠ·</w:t>
      </w:r>
    </w:p>
    <w:p w14:paraId="6E80468F" w14:textId="32CA53CD" w:rsidR="00282B10" w:rsidRPr="003555CA" w:rsidRDefault="003555CA" w:rsidP="003555CA">
      <w:pPr>
        <w:pStyle w:val="NormalHanging12a"/>
        <w:widowControl/>
        <w:ind w:left="570" w:hanging="570"/>
        <w:rPr>
          <w:bCs/>
          <w:iCs/>
        </w:rPr>
      </w:pPr>
      <w:r w:rsidRPr="003555CA">
        <w:rPr>
          <w:bCs/>
          <w:iCs/>
        </w:rPr>
        <w:t>4.</w:t>
      </w:r>
      <w:r w:rsidRPr="003555CA">
        <w:rPr>
          <w:bCs/>
          <w:iCs/>
        </w:rPr>
        <w:tab/>
      </w:r>
      <w:r w:rsidR="00282B10" w:rsidRPr="003555CA">
        <w:t xml:space="preserve">σημειώνει ότι η πολιτική συνοχής συμβάλλει σημαντικά στην εμπιστοσύνη των πολιτών στην Ένωση, επιτυγχάνοντας απτά και ορατά αποτελέσματα μέσω περιφερειακών και τοπικών έργων, ενισχύοντας έτσι τη νομιμότητα της επιτόπιας </w:t>
      </w:r>
      <w:r w:rsidR="00282B10" w:rsidRPr="003555CA">
        <w:lastRenderedPageBreak/>
        <w:t>δράσης της Ένωσης· υπογραμμίζει ότι, στο πλαίσιο αυτό, η ΕτΠ διαδραματίζει καίριο ρόλο στην προσέγγιση των πολιτών της Ένωσης με την ευρωπαϊκή διαδικασία λήψης αποφάσεων·</w:t>
      </w:r>
    </w:p>
    <w:p w14:paraId="4A1FD02A" w14:textId="77777777" w:rsidR="00282B10" w:rsidRPr="003555CA" w:rsidRDefault="00282B10" w:rsidP="00DE7476">
      <w:pPr>
        <w:pStyle w:val="NormalHanging12a"/>
        <w:widowControl/>
        <w:rPr>
          <w:b/>
          <w:i/>
        </w:rPr>
      </w:pPr>
      <w:r w:rsidRPr="003555CA">
        <w:rPr>
          <w:b/>
          <w:i/>
        </w:rPr>
        <w:t>Διαχείριση του προϋπολογισμού και χρηματοοικονομική διαχείριση</w:t>
      </w:r>
    </w:p>
    <w:p w14:paraId="4181AA9B" w14:textId="543FE894" w:rsidR="00282B10" w:rsidRPr="003555CA" w:rsidRDefault="003555CA" w:rsidP="003555CA">
      <w:pPr>
        <w:pStyle w:val="NormalHanging12a"/>
        <w:widowControl/>
        <w:ind w:left="570" w:hanging="570"/>
      </w:pPr>
      <w:r w:rsidRPr="003555CA">
        <w:t>5.</w:t>
      </w:r>
      <w:r w:rsidRPr="003555CA">
        <w:tab/>
      </w:r>
      <w:r w:rsidR="00282B10" w:rsidRPr="003555CA">
        <w:t>σημειώνει, με βάση την ετήσια έκθεση δραστηριοτήτων της ΕτΠ για το 2024 (</w:t>
      </w:r>
      <w:r w:rsidR="00B4212C" w:rsidRPr="003555CA">
        <w:t>«</w:t>
      </w:r>
      <w:r w:rsidR="00282B10" w:rsidRPr="003555CA">
        <w:t>ετήσια έκθεση</w:t>
      </w:r>
      <w:r w:rsidR="00B4212C" w:rsidRPr="003555CA">
        <w:t>»</w:t>
      </w:r>
      <w:r w:rsidR="00282B10" w:rsidRPr="003555CA">
        <w:t xml:space="preserve">), ότι ο οριστικός εγκριθείς προϋπολογισμός της ΕτΠ ανήλθε σε 123 178 345 EUR το 2024, συμπεριλαμβανομένου του διορθωτικού προϋπολογισμού 5/2024 (σχετικά με τους μισθούς), ποσό που συνιστά αύξηση κατά 6 502 953 EUR (δηλ. +5,60 %) σε σύγκριση με το 2023· σημειώνει με ικανοποίηση ότι το ποσοστό εκτέλεσης του προϋπολογισμού της ΕτΠ για τις πιστώσεις αναλήψεων υποχρεώσεων του τρέχοντος έτους ήταν 99,9 % το 2024 (ίδιο με το 2023), και ότι το ποσοστό εκτέλεσης των πιστώσεων πληρωμών του τρέχοντος έτους αυξήθηκε από 91,20 % το 2023 σε 91,90 % το 2024· επικροτεί, επιπλέον, την αύξηση του ποσοστού εκτέλεσης των πιστώσεων C8 (που μεταφέρθηκαν από το 2023 στο 2024) από 85 % το 2023 σε 92,20 % το 2024, ενώ οι πιστώσεις που μεταφέρθηκαν από το 2023 στο 2024 ανήλθαν σε 12 578 853 EUR σε σύγκριση με 10 540 464 EUR το προηγούμενο έτος· συγχαίρει την ΕτΠ για το σταθερά υψηλό ποσοστό εκτέλεσης του προϋπολογισμού της με την πάροδο των ετών λόγω της βελτιστοποίησης του σχεδιασμού και της εκτέλεσης του προϋπολογισμού, υπό το πρίσμα των συνεχιζόμενων δημοσιονομικών πιέσεων· αναγνωρίζει, στο πλαίσιο αυτό, τη διαρθρωτική υποχρηματοδότηση της ΕτΠ, ιδίως υπό το πρίσμα του ρόλου της ως καινοτόμου πρωτοπόρου και ως πεδίου δοκιμών για πρακτικές που θα μπορούσαν να ωφελήσουν την ευρύτερη διοίκηση της Ένωσης, και αναγνωρίζει την ανάγκη της για πρόσθετους πόρους με στόχο την αποτελεσματική επίτευξη των στόχων της, με παράλληλη τήρηση της δημοσιονομικής πειθαρχίας· </w:t>
      </w:r>
    </w:p>
    <w:p w14:paraId="267AE3DD" w14:textId="36BB8DE9" w:rsidR="00282B10" w:rsidRPr="003555CA" w:rsidRDefault="003555CA" w:rsidP="003555CA">
      <w:pPr>
        <w:pStyle w:val="NormalHanging12a"/>
        <w:widowControl/>
        <w:ind w:left="570" w:hanging="570"/>
      </w:pPr>
      <w:r w:rsidRPr="003555CA">
        <w:t>6.</w:t>
      </w:r>
      <w:r w:rsidRPr="003555CA">
        <w:tab/>
      </w:r>
      <w:r w:rsidR="00282B10" w:rsidRPr="003555CA">
        <w:t>υπογραμμίζει ότι τα υψηλά ποσοστά εκτέλεσης του προϋπολογισμού της ΕτΠ και τα χαμηλά επίπεδα σφάλματος καταδεικνύουν ότι η αποκεντρωμένη εκτέλεση, κοντά στις περιφερειακές και τοπικές αρχές, μπορεί να διασφαλίσει τόσο τη χρηστή δημοσιονομική διαχείριση όσο και απτά αποτελέσματα για τους πολίτες, αναγνωρίζοντας παράλληλα την ανάγκη για πρόσθετους πόρους· καλεί την Επιτροπή να μεριμνήσει για την πλήρη συμμετοχή της ΕτΠ, στο πλαίσιο της θεσμικής εντολής της, στην παρακολούθηση και την αξιολόγηση των δαπανών της Ένωσης, μεταξύ άλλων στις αποφάσεις που αφορούν τον προϋπολογισμό της ΕΕ για την περίοδο μετά το 2027, προκειμένου να ενισχυθούν περαιτέρω η λογοδοσία, η διαφάνεια και οι επιδόσεις των έργων συνοχής που αποσκοπούν στη μείωση των οικονομικών, κοινωνικών και εδαφικών ανισοτήτων·</w:t>
      </w:r>
    </w:p>
    <w:p w14:paraId="538449CF" w14:textId="0F9DE088" w:rsidR="00282B10" w:rsidRPr="003555CA" w:rsidRDefault="003555CA" w:rsidP="003555CA">
      <w:pPr>
        <w:pStyle w:val="NormalHanging12a"/>
        <w:widowControl/>
        <w:ind w:left="570" w:hanging="570"/>
      </w:pPr>
      <w:r w:rsidRPr="003555CA">
        <w:t>7.</w:t>
      </w:r>
      <w:r w:rsidRPr="003555CA">
        <w:tab/>
      </w:r>
      <w:r w:rsidR="00282B10" w:rsidRPr="003555CA">
        <w:t>σημειώνει ότι το ποσοστό εκτέλεσης των πιστώσεων C1 της θέσης 1 0 0 0 του προϋπολογισμού «Έξοδα γραφείου των μελών» μειώθηκε από 76,20 % το 2023 σε μόλις 13,90 % το 2024· σημειώνει την εξήγηση της ΕτΠ, σύμφωνα με την οποία οι αποζημιώσεις για έξοδα γραφείου για το 2024 εκτελέστηκαν στις αρχές του 2025 με πιστώσεις C8· σημειώνει ότι η ΕτΠ αντιμετώπισε το χαμηλό ποσοστό εκτέλεσης των πιστώσεων C8 της θέσης 2 0 0 7 του προϋπολογισμού το 2023 «Εξοπλισμός των χώρων» αποφεύγοντας τη δρομολόγηση μεγάλων κατασκευαστικών έργων στο τέλος του έτους και πραγματοποιώντας ενδιάμεσες πληρωμές για μακροπρόθεσμα έργα προκειμένου να αποτραπεί η καθυστερημένη υποβολή τιμολογίων· σημειώνει, ωστόσο, μείωση του ποσοστού εκτέλεσης των πιστώσεων C1 της εν λόγω θέσης από 99,20 % το 2023 σε 51,90 % το 2024 λόγω του χρονοδιαγράμματος της ανακαίνισης ορισμένων ανελκυστήρων της ΕτΠ·</w:t>
      </w:r>
    </w:p>
    <w:p w14:paraId="151070B4" w14:textId="0BD543FC" w:rsidR="00282B10" w:rsidRPr="003555CA" w:rsidRDefault="003555CA" w:rsidP="003555CA">
      <w:pPr>
        <w:pStyle w:val="NormalHanging12a"/>
        <w:widowControl/>
        <w:ind w:left="570" w:hanging="570"/>
      </w:pPr>
      <w:r w:rsidRPr="003555CA">
        <w:t>8.</w:t>
      </w:r>
      <w:r w:rsidRPr="003555CA">
        <w:tab/>
      </w:r>
      <w:r w:rsidR="00282B10" w:rsidRPr="003555CA">
        <w:t>σημειώνει, με βάση την ετήσια έκθεση, ότι κατά τη διάρκεια του 2024 η ΕτΠ εκτέλεσε 42 μεταφορές συνολικού ύψους 2,7 εκατομμυρίων EUR, εκ των οποίων 37 εσωτερικές μεταφορές συνολικού ύψους 1,1 εκατομμυρίου EUR και πέντε εξωτερικές μεταφορές συνολικού ύψους 1,6 εκατομμυρίων EUR, εκ των οποίων περίπου 1 εκατομμύριο EUR μεταφέρθηκε σε γραμμές του προϋπολογισμού που καλύπτουν ή ενισχύουν θέσεις όπως οι ετήσιες μισθώσεις, η διοργάνωση εσωτερικού διαγωνισμού, οι δαπάνες ΤΠ και ο εξοπλισμός χώρου μέσων ενημέρωσης προς χρήση τόσο από την ΕτΠ όσο και από την Ευρωπαϊκή Οικονομική και Κοινωνική Επιτροπή (</w:t>
      </w:r>
      <w:r w:rsidR="00B4212C" w:rsidRPr="003555CA">
        <w:t>«</w:t>
      </w:r>
      <w:r w:rsidR="00282B10" w:rsidRPr="003555CA">
        <w:t>ΕΟΚΕ</w:t>
      </w:r>
      <w:r w:rsidR="00B4212C" w:rsidRPr="003555CA">
        <w:t>»</w:t>
      </w:r>
      <w:r w:rsidR="00282B10" w:rsidRPr="003555CA">
        <w:t xml:space="preserve">)· </w:t>
      </w:r>
    </w:p>
    <w:p w14:paraId="32C06F73" w14:textId="4F65B4C8" w:rsidR="00282B10" w:rsidRPr="003555CA" w:rsidRDefault="003555CA" w:rsidP="003555CA">
      <w:pPr>
        <w:pStyle w:val="NormalHanging12a"/>
        <w:widowControl/>
        <w:ind w:left="570" w:hanging="570"/>
      </w:pPr>
      <w:r w:rsidRPr="003555CA">
        <w:t>9.</w:t>
      </w:r>
      <w:r w:rsidRPr="003555CA">
        <w:tab/>
      </w:r>
      <w:r w:rsidR="00282B10" w:rsidRPr="003555CA">
        <w:t>σημειώνει, στο πλαίσιο του επιθετικού πολέμου της Ρωσίας κατά της Ουκρανίας, ότι η ΕτΠ εξακολούθησε να πλήττεται το 2024 από την αύξηση του κόστους της ενέργειας, των μεταφορών, της στέγασης και από μηχανισμούς τιμαριθμικής αναπροσαρμογής που συνδέονται με το ποσοστό πληθωρισμού, οι οποίοι είχαν άμεσο ή έμμεσο αντίκτυπο στις δαπάνες για πρώτες ύλες, εξωτερικούς αναδόχους, ενέργεια, ταξίδια, ενοικιάσεις, μισθώσεις και συντήρηση κτιρίων, μεταξύ άλλων· σημειώνει ότι, από το 2022 έως το 2025, η σωρευτική αύξηση του κόστους που συνδέεται με την τιμαριθμική αναπροσαρμογή ήταν +21,50 % για τις ενοικιάσεις και τις μισθώσεις κτιρίων και +15 % για τις συμβάσεις συντήρησης και ασφάλειας, και από το 2022 έως το 2024 το μέσο κόστος για ένα μέλος που ταξιδεύει από και προς τις Βρυξέλλες αυξήθηκε από 1 200 EUR σε 1 620 EUR· σημειώνει, στο πλαίσιο αυτό, την αύξηση του αριθμού των μεταφορών πιστώσεων της ΕτΠ από 31 το 2023 σε 42 το 2024, εν μέρει για την κάλυψη συμβάσεων που πλήττονται από τον υψηλό πληθωρισμό και την τιμαριθμική αναπροσαρμογή· επαινεί τις κοινές δράσεις της ΕτΠ και της ΕΟΚΕ για τη διασφάλιση καλύτερων διοργανικών συνεργασιών μέσω της ψηφιοποίησης και των προσπαθειών για από κοινού προμήθειες· επικροτεί τα ανανεωμένα μέτρα εξοικονόμησης ενέργειας της ΕτΠ το 2024, τα οποία είναι καίριας σημασίας για τον μετριασμό των επιπτώσεων της αύξησης του κόστους της ενέργειας· αναγνωρίζει, ωστόσο, την ανάγκη να βελτιώσουν όλα τα θεσμικά όργανα της Ένωσης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w:t>
      </w:r>
    </w:p>
    <w:p w14:paraId="1B806240" w14:textId="6E0BA27E" w:rsidR="00282B10" w:rsidRPr="003555CA" w:rsidRDefault="003555CA" w:rsidP="003555CA">
      <w:pPr>
        <w:pStyle w:val="NormalHanging12a"/>
        <w:widowControl/>
        <w:ind w:left="570" w:hanging="570"/>
        <w:rPr>
          <w:bCs/>
          <w:iCs/>
        </w:rPr>
      </w:pPr>
      <w:r w:rsidRPr="003555CA">
        <w:rPr>
          <w:bCs/>
          <w:iCs/>
        </w:rPr>
        <w:t>10.</w:t>
      </w:r>
      <w:r w:rsidRPr="003555CA">
        <w:rPr>
          <w:bCs/>
          <w:iCs/>
        </w:rPr>
        <w:tab/>
      </w:r>
      <w:r w:rsidR="00282B10" w:rsidRPr="003555CA">
        <w:t>καλεί τη διοίκηση της ΕτΠ να προσδιορίσει και να εφαρμόσει ενεργά μέτρα εξοικονόμησης κόστους, μεταξύ άλλων μέσω της αυξημένης χρήσης υβριδικών τεχνολογιών συνεδριάσεων, της βελτιστοποίησης της χρήσης των κτηρίων, της εδραίωσης των διοικητικών δραστηριοτήτων και της μείωσης των περιττών δαπανών υλικοτεχνικής υποστήριξης· ζητεί τακτικές εκθέσεις προόδου σχετικά με τα μέτρα που εφαρμόζονται και τις εξοικονομήσεις που επιτυγχάνονται·</w:t>
      </w:r>
    </w:p>
    <w:p w14:paraId="2745F211" w14:textId="7DD84CEA" w:rsidR="00282B10" w:rsidRPr="003555CA" w:rsidRDefault="003555CA" w:rsidP="003555CA">
      <w:pPr>
        <w:pStyle w:val="NormalHanging12a"/>
        <w:widowControl/>
        <w:ind w:left="570" w:hanging="570"/>
      </w:pPr>
      <w:r w:rsidRPr="003555CA">
        <w:t>11.</w:t>
      </w:r>
      <w:r w:rsidRPr="003555CA">
        <w:tab/>
      </w:r>
      <w:r w:rsidR="00282B10" w:rsidRPr="003555CA">
        <w:t>σημειώνει την αύξηση των πληρωμών που πραγματοποιήθηκαν για τα μέλη της ΕτΠ από τη θέση 1 0 0 4 του προϋπολογισμού από 7 955 968 EUR το 2023 σε 8 036 613 EUR το 2024, η οποία αντιπροσωπεύει αύξηση κατά 1 % (από +20 % το προηγούμενο έτος)· σημειώνει ότι πραγματοποιήθηκαν 8 231 πληρωμές για έξοδα ταξιδίου, 4 188 πληρωμές για αποζημιώσεις ταξιδίου, 7 303 πληρωμές για αποζημιώσεις συνεδριάσεων για διά ζώσης συμμετοχή και 164 πληρωμές για εξ αποστάσεως συμμετοχή το 2024· σημειώνει, με βάση την παρακολούθηση από την ΕτΠ των παρατηρήσεων που περιέχονται στο ψήφισμα του Κοινοβουλίου σχετικά με την απαλλαγή για το 2023 (</w:t>
      </w:r>
      <w:r w:rsidR="00B4212C" w:rsidRPr="003555CA">
        <w:t>«</w:t>
      </w:r>
      <w:r w:rsidR="00282B10" w:rsidRPr="003555CA">
        <w:t>έκθεση παρακολούθησης</w:t>
      </w:r>
      <w:r w:rsidR="00B4212C" w:rsidRPr="003555CA">
        <w:t>»</w:t>
      </w:r>
      <w:r w:rsidR="00282B10" w:rsidRPr="003555CA">
        <w:t xml:space="preserve">), ότι η ΕτΠ ενέκρινε αναθεωρημένο σύνολο κανόνων σχετικά με την επιστροφή των εξόδων ταξιδίου και την καταβολή αποζημίωσης στα μέλη της το 2024 με διάφορα μέτρα που αποσκοπούν στη μείωση του περιττού κόστους και των εκπομπών διοξειδίου του άνθρακα, όπως συνέστησε το Κοινοβούλιο σε προηγούμενα ψηφίσματα απαλλαγής· </w:t>
      </w:r>
    </w:p>
    <w:p w14:paraId="41642E39" w14:textId="240F6667" w:rsidR="00282B10" w:rsidRPr="003555CA" w:rsidRDefault="003555CA" w:rsidP="003555CA">
      <w:pPr>
        <w:pStyle w:val="NormalHanging12a"/>
        <w:widowControl/>
        <w:ind w:left="570" w:hanging="570"/>
      </w:pPr>
      <w:r w:rsidRPr="003555CA">
        <w:t>12.</w:t>
      </w:r>
      <w:r w:rsidRPr="003555CA">
        <w:tab/>
      </w:r>
      <w:r w:rsidR="00282B10" w:rsidRPr="003555CA">
        <w:t>σημειώνει ότι ο προϋπολογισμός για τις αποστολές (πιστώσεις του τρέχοντος έτους) αυξήθηκε κατά 13,60 % από 420 833 EUR το 2023 σε 478 050 EUR το 2024 και το ποσοστό εκτέλεσης του εν λόγω προϋπολογισμού ήταν περίπου 80 % το 2024 (παρόμοιο με το 2023)· σημειώνει ότι η αύξηση αυτή οφείλεται στην αύξηση του αριθμού των αποστολών από 574 το 2023 σε 810 το 2024, εκ των οποίων 268 αποστολές συνδέονταν με τη διοργάνωση συνόδου κορυφής από την ΕτΠ στη Μονς για την 30ή επέτειό της το 2024·</w:t>
      </w:r>
    </w:p>
    <w:p w14:paraId="3B4E1574" w14:textId="11988ABE" w:rsidR="00282B10" w:rsidRPr="003555CA" w:rsidRDefault="003555CA" w:rsidP="003555CA">
      <w:pPr>
        <w:pStyle w:val="NormalHanging12a"/>
        <w:widowControl/>
        <w:ind w:left="570" w:hanging="570"/>
      </w:pPr>
      <w:r w:rsidRPr="003555CA">
        <w:t>13.</w:t>
      </w:r>
      <w:r w:rsidRPr="003555CA">
        <w:tab/>
      </w:r>
      <w:r w:rsidR="00282B10" w:rsidRPr="003555CA">
        <w:t xml:space="preserve">παρατηρεί μείωση των πιστώσεων του τρέχοντος έτους για υπηρεσίες διερμηνείας κατά περίπου 10 %, από 4,167 εκατομμύρια EUR το 2023 σε 3,737 εκατομμύρια EUR το 2024 και ποσοστό εκτέλεσης 64,80 % το 2024, από 67,30 % το 2023· </w:t>
      </w:r>
    </w:p>
    <w:p w14:paraId="3D99C753" w14:textId="61ABA9A8" w:rsidR="00282B10" w:rsidRPr="003555CA" w:rsidRDefault="003555CA" w:rsidP="003555CA">
      <w:pPr>
        <w:pStyle w:val="NormalHanging12a"/>
        <w:widowControl/>
        <w:ind w:left="570" w:hanging="570"/>
        <w:rPr>
          <w:bCs/>
        </w:rPr>
      </w:pPr>
      <w:r w:rsidRPr="003555CA">
        <w:rPr>
          <w:bCs/>
        </w:rPr>
        <w:t>14.</w:t>
      </w:r>
      <w:r w:rsidRPr="003555CA">
        <w:rPr>
          <w:bCs/>
        </w:rPr>
        <w:tab/>
      </w:r>
      <w:r w:rsidR="00282B10" w:rsidRPr="003555CA">
        <w:t xml:space="preserve">σημειώνει ότι οι ισχύοντες κανόνες της ΕτΠ ορίζουν την κατ’ αποκοπή αποζημίωση εξ αποστάσεως συνεδριάσεων στο 50 % της τακτικής αποζημίωσης συνεδριάσεων, με τη δεύτερη να ανέρχεται σε 367 EUR και την πρώτη σε 186,50 EUR μετά την τιμαριθμική αναπροσαρμογή· σημειώνει ότι το συνολικό ποσό που καταβλήθηκε για αποζημιώσεις εξ αποστάσεως συνεδριάσεων παρέμεινε χαμηλό σε σύγκριση με τα προηγούμενα έτη, μετά τη σημαντική επιστροφή στις διά ζώσης συνεδριάσεις που καταγράφηκε το 2023· σημειώνει, ωστόσο, ελαφρά αύξηση του καταβληθέντος ποσού από 32 632 EUR το 2023 σε 38 104 EUR το 2024· σημειώνει, με βάση τις απαντήσεις της ΕτΠ στο ερωτηματολόγιο της Επιτροπής Ελέγχου του Προϋπολογισμού του Κοινοβουλίου για την απαλλαγή για την εκτέλεση του προϋπολογισμού 2024 («ερωτηματολόγιο»), ότι μόνο οι συνεδριάσεις των μη καταστατικών οργάνων της ΕτΠ μπορούν να διεξάγονται διαδικτυακά ή σε υβριδική μορφή, ενώ η εξ αποστάσεως συμμετοχή παρακολουθείται μέσω της πλατφόρμας </w:t>
      </w:r>
      <w:proofErr w:type="spellStart"/>
      <w:r w:rsidR="00282B10" w:rsidRPr="003555CA">
        <w:t>Interactio</w:t>
      </w:r>
      <w:proofErr w:type="spellEnd"/>
      <w:r w:rsidR="00282B10" w:rsidRPr="003555CA">
        <w:t xml:space="preserve"> και με την εξαγωγή αρχείων.csv από αυτήν· καλεί την ΕτΠ να ενισχύσει τη διαφάνεια και την αναλογικότητα του συστήματος επιδόματος για την εξ αποστάσεως συμμετοχή, προκειμένου να ενισχυθεί η εμπιστοσύνη του κοινού, και τονίζει ότι η χορήγηση του εν λόγω επιδόματος πρέπει να αιτιολογείται αυστηρά· θεωρεί ότι, παρόλο που η εξ αποστάσεως συμμετοχή αποτελεί σημαντικό μέσο για τα σύγχρονα θεσμικά όργανα, δεδομένου ότι μειώνει το κόστος των συνεδριάσεων και καθιστά δυνατή την ευρύτερη συμμετοχή, η χορήγηση μειωμένου επιδόματος σε φορείς της ΕτΠ για την εξ αποστάσεως συμμετοχή σε συνεδριάσεις, που περιορίζεται σε ορισμένα είδη εκδηλώσεων, μπορεί να αποτελέσει αναλογικό και δίκαιο μέτρο για την ευθύνη και τις απαιτήσεις προετοιμασίας των μελών· σημειώνει, ωστόσο, ότι είναι σημαντικό να διασφαλιστεί η διαφάνεια και η αναλογικότητα όσον αφορά το επίπεδο των εν λόγω αποζημιώσεων, κυρίως όταν υπάρχουν διαφορές μεταξύ των οργάνων της Ένωσης για εξ αποστάσεως συμμετοχή· θεωρεί ότι το τρέχον επίπεδο της αποζημίωσης για εξ αποστάσεως συνεδριάσεις απαιτεί περαιτέρω αιτιολόγηση όσον αφορά τη σχέση κόστους-αποτελεσματικότητας, την αναλογικότητα και την αποδοχή από το κοινό· ζητεί ευρύτερη και συστηματικότερη χρήση διαδικτυακών και υβριδικών μορφών συνεδριάσεων, κατά περίπτωση, προκειμένου να μειωθούν οι δαπάνες που σχετίζονται με τα ταξίδια, να ενισχυθεί η οικονομική αποδοτικότητα, να περιοριστούν οι περιβαλλοντικές επιπτώσεις, να βελτιωθεί η εμπιστοσύνη του κοινού στη συνετή χρήση των κονδυλίων της Ένωσης, καθώς και να αξιολογηθεί η δυνατότητα ευθυγράμμισης των κανόνων της ΕτΠ με εκείνους που εφαρμόζει η ΕΟΚΕ ή να αιτιολογηθεί σαφώς και χωρίς κανένα περιθώριο αμφισβήτησης η διατήρηση ενός διαφοροποιημένου συστήματος·</w:t>
      </w:r>
    </w:p>
    <w:p w14:paraId="4F80A03B" w14:textId="2970A661" w:rsidR="00282B10" w:rsidRPr="003555CA" w:rsidRDefault="003555CA" w:rsidP="003555CA">
      <w:pPr>
        <w:pStyle w:val="NormalHanging12a"/>
        <w:widowControl/>
        <w:ind w:left="570" w:hanging="570"/>
      </w:pPr>
      <w:r w:rsidRPr="003555CA">
        <w:t>15.</w:t>
      </w:r>
      <w:r w:rsidRPr="003555CA">
        <w:tab/>
      </w:r>
      <w:r w:rsidR="00282B10" w:rsidRPr="003555CA">
        <w:t>παρατηρεί με ικανοποίηση, με βάση το ερωτηματολόγιο και την έκθεση παρακολούθησης, ότι ο μέσος χρόνος πληρωμής μειώθηκε από 21,88 ημέρες το 2023 σε 18,46 ημέρες το 2024, παρά την περαιτέρω αύξηση του αριθμού των τιμολογίων που υποβλήθηκαν σε επεξεργασία· συγχαίρει την ΕτΠ για την επίτευξη υψηλού ποσοστού (83 %) τιμολογίων που ελήφθησαν ηλεκτρονικά το 2024·</w:t>
      </w:r>
    </w:p>
    <w:p w14:paraId="148FD28D" w14:textId="77777777" w:rsidR="00282B10" w:rsidRPr="003555CA" w:rsidRDefault="00282B10" w:rsidP="00DE7476">
      <w:pPr>
        <w:pStyle w:val="NormalHanging12a"/>
        <w:widowControl/>
        <w:rPr>
          <w:b/>
          <w:i/>
        </w:rPr>
      </w:pPr>
      <w:r w:rsidRPr="003555CA">
        <w:rPr>
          <w:b/>
          <w:i/>
        </w:rPr>
        <w:t>Εσωτερική διαχείριση, επιδόσεις και εσωτερικός έλεγχος</w:t>
      </w:r>
    </w:p>
    <w:p w14:paraId="6C8D19E7" w14:textId="50034B68" w:rsidR="00282B10" w:rsidRPr="003555CA" w:rsidRDefault="003555CA" w:rsidP="003555CA">
      <w:pPr>
        <w:pStyle w:val="NormalHanging12a"/>
        <w:widowControl/>
        <w:ind w:left="570" w:hanging="570"/>
      </w:pPr>
      <w:r w:rsidRPr="003555CA">
        <w:t>16.</w:t>
      </w:r>
      <w:r w:rsidRPr="003555CA">
        <w:tab/>
      </w:r>
      <w:r w:rsidR="00282B10" w:rsidRPr="003555CA">
        <w:t xml:space="preserve">αναγνωρίζει ότι η </w:t>
      </w:r>
      <w:proofErr w:type="spellStart"/>
      <w:r w:rsidR="00282B10" w:rsidRPr="003555CA">
        <w:t>ΕτΠ</w:t>
      </w:r>
      <w:proofErr w:type="spellEnd"/>
      <w:r w:rsidR="00282B10" w:rsidRPr="003555CA">
        <w:t xml:space="preserve"> διαδραματίζει θεμελιώδη ρόλο με τη συμβολή της στις διαδικασίες χάραξης πολιτικής και λήψης αποφάσεων της Ένωσης, εκπροσωπώντας τα συμφέροντα των τοπικών και των περιφερειακών αρχών εντός της Ένωσης, αυξάνοντας έτσι την εγγύτητα της Ευρώπης με τους πολίτες της και ενισχύοντας τη δημοκρατική νομιμότητα της νομοθεσίας της Ένωσης· σημειώνει, με βάση την ετήσια έκθεση, ότι για το 2024, στο πλαίσιο του ετήσιου επιχειρησιακού σχεδίου της, η υποβολή εκθέσεων σχετικά με τις επιδόσεις της ΕτΠ βασίστηκε σε 26 στόχους, η επίτευξη των οποίων αξιολογήθηκε μέσω 87 ποσοτικών δεικτών· καλεί την ΕτΠ να ενισχύσει περαιτέρω τους δείκτες που είναι προσανατολισμένοι στα αποτελέσματα και τον αντίκτυπο, ώστε να καταδεικνύεται καλύτερα ο αντίκτυπος και η προστιθέμενη αξία των δραστηριοτήτων της ΕτΠ στις πολιτικές της Ένωσης· λαμβάνοντας υπόψη ότι οι στόχοι της πλειονότητας των εν λόγω δεικτών (περίπου 74 %) επιτεύχθηκαν κατά 90 % ή περισσότερο, έξι επιτεύχθηκαν εν μέρει κατά λιγότερο του 90 % και έξι δεν επιτεύχθηκαν· σημειώνει, με βάση το ερωτηματολόγιο, ότι εφάρμοσε έναν ολοκληρωμένο κύκλο σχεδιασμού και υποβολής εκθέσεων, ο οποίος περιλάμβανε τη δημιουργία κεντρικού μητρώου κινδύνων και τη διενέργεια αξιολόγησης κινδύνου για όλους τους στόχους του ετήσιου επιχειρησιακού σχεδίου το 2024· ενθαρρύνει την ΕτΠ να συνεχίσει να εργάζεται για τη βελτίωση των επιδόσεων, καθώς και της αποτελεσματικότητας· εκφράζει την ικανοποίησή του για τις προσπάθειες της ΕτΠ να εισαγάγει μεταρρυθμιστικές και καινοτόμες λύσεις, να εξορθολογήσει τη διοίκηση και να αποφύγει την αλληλοεπικάλυψη ρόλων με άλλα όργανα·</w:t>
      </w:r>
    </w:p>
    <w:p w14:paraId="7C2792F9" w14:textId="7D01FAE6" w:rsidR="00282B10" w:rsidRPr="003555CA" w:rsidRDefault="003555CA" w:rsidP="003555CA">
      <w:pPr>
        <w:pStyle w:val="NormalHanging12a"/>
        <w:widowControl/>
        <w:ind w:left="570" w:hanging="570"/>
      </w:pPr>
      <w:r w:rsidRPr="003555CA">
        <w:t>17.</w:t>
      </w:r>
      <w:r w:rsidRPr="003555CA">
        <w:tab/>
      </w:r>
      <w:r w:rsidR="00282B10" w:rsidRPr="003555CA">
        <w:t>υπογραμμίζει τη συνάφεια και τη στρατηγική αξία των δεικτών επιδόσεων και καλεί την ΕτΠ να ενοποιήσει περαιτέρω το πλαίσιο δεικτών της, διασφαλίζοντας την υποβολή εκθέσεων σχετικά με τα αποτελέσματα και τον αντίκτυπο και όχι μόνο τη διοικητική δραστηριότητα·</w:t>
      </w:r>
    </w:p>
    <w:p w14:paraId="153E5591" w14:textId="777FCDAA" w:rsidR="00282B10" w:rsidRPr="003555CA" w:rsidRDefault="003555CA" w:rsidP="003555CA">
      <w:pPr>
        <w:pStyle w:val="NormalHanging12a"/>
        <w:widowControl/>
        <w:ind w:left="570" w:hanging="570"/>
      </w:pPr>
      <w:r w:rsidRPr="003555CA">
        <w:t>18.</w:t>
      </w:r>
      <w:r w:rsidRPr="003555CA">
        <w:tab/>
      </w:r>
      <w:r w:rsidR="00282B10" w:rsidRPr="003555CA">
        <w:t xml:space="preserve">σημειώνει ότι η </w:t>
      </w:r>
      <w:proofErr w:type="spellStart"/>
      <w:r w:rsidR="00282B10" w:rsidRPr="003555CA">
        <w:t>ΕτΠ</w:t>
      </w:r>
      <w:proofErr w:type="spellEnd"/>
      <w:r w:rsidR="00282B10" w:rsidRPr="003555CA">
        <w:t xml:space="preserve"> εκπληρώνει την αποστολή της μέσω γνωμοδοτήσεων, οι οποίες αναφέρονται σε νομοθετικές προτάσεις της Επιτροπής (αιτήσεις γνωμοδότησης), γνωμοδοτήσεις ιδίας πρωτοβουλίας με τις οποίες καλούνται τα θεσμικά όργανα της Ένωσης να αναλάβουν δράση, και εγκρίνοντας ψηφίσματα στα οποία επισημαίνονται οι θέσεις της ΕτΠ για συγκεκριμένα θέματα· σημειώνει ότι το 2024 η ΕτΠ ενέκρινε 53 γνωμοδοτήσεις (ίδιος αριθμός με το 2023) και τέσσερα ψηφίσματα (σε σύγκριση με έξι το 2023)· αναγνωρίζει τα πολιτικά επιτεύγματα της ΕτΠ το 2024 και τον ρόλο της στην ενσωμάτωση των τοπικών και περιφερειακών προοπτικών στη χάραξη πολιτικής της Ένωσης, που έχει ως αποτέλεσμα να ενισχύεται η συμμετοχή των πολιτών·</w:t>
      </w:r>
    </w:p>
    <w:p w14:paraId="13655FF0" w14:textId="480EB698" w:rsidR="00282B10" w:rsidRPr="003555CA" w:rsidRDefault="003555CA" w:rsidP="003555CA">
      <w:pPr>
        <w:pStyle w:val="NormalHanging12a"/>
        <w:widowControl/>
        <w:ind w:left="570" w:hanging="570"/>
      </w:pPr>
      <w:r w:rsidRPr="003555CA">
        <w:t>19.</w:t>
      </w:r>
      <w:r w:rsidRPr="003555CA">
        <w:tab/>
      </w:r>
      <w:r w:rsidR="00282B10" w:rsidRPr="003555CA">
        <w:t>σημειώνει με ικανοποίηση, με βάση την ετήσια έκθεση αντικτύπου της ΕτΠ για το 2024 (</w:t>
      </w:r>
      <w:r w:rsidR="00B4212C" w:rsidRPr="003555CA">
        <w:t>«</w:t>
      </w:r>
      <w:r w:rsidR="00282B10" w:rsidRPr="003555CA">
        <w:t>έκθεση αντικτύπου</w:t>
      </w:r>
      <w:r w:rsidR="00B4212C" w:rsidRPr="003555CA">
        <w:t>»</w:t>
      </w:r>
      <w:r w:rsidR="00282B10" w:rsidRPr="003555CA">
        <w:t>), τα πολιτικά επιτεύγματα της ΕτΠ το 2024 όσον αφορά τις τρεις πολιτικές προτεραιότητές της για την περίοδο 2020-2025, με αποτέλεσμα να ενισχυθεί έτσι ο ρόλος της ΕτΠ στη διαμόρφωση της πολιτικής της Ένωσης σε περιφερειακό και τοπικό επίπεδο· σημειώνει ότι η συμβολή της ΕτΠ με δηλώσεις και συστάσεις γνωμοδοτήσεων είχε αντίκτυπο σε βασικούς τομείς πολιτικής της Ένωσης, όπως η κλιματική αλλαγή, η φύση, η ενέργεια και η πράσινη οικονομία (π.χ. μέσω της έκθεσης «Πράσινη Συμφωνία 2.0», η οποία επηρέασε τα συμπεράσματα του Συμβουλίου και της γνωμοδότησης της ΕτΠ σχετικά με τον κανονισμό (ΕΕ) 2024/1991 του Ευρωπαϊκού Κοινοβουλίου και του Συμβουλίου</w:t>
      </w:r>
      <w:r w:rsidR="00282B10" w:rsidRPr="003555CA">
        <w:rPr>
          <w:rStyle w:val="FootnoteReference"/>
        </w:rPr>
        <w:footnoteReference w:id="10"/>
      </w:r>
      <w:r w:rsidR="00282B10" w:rsidRPr="003555CA">
        <w:t>), οι μεταφορές (π.χ. μέσω της γνωμοδότησης της ΕτΠ σχετικά με τη δέσμη μέτρων για τον οικολογικό προσανατολισμό των εμπορευματικών μεταφορών, η οποία επηρέασε τα σχετικά σχέδια εκθέσεων του Κοινοβουλίου) και η υγεία (π.χ. μέσω της γνωμοδότησης της ΕτΠ σχετικά με τον κανονισμό (ΕΕ) 2025/327 του Ευρωπαϊκού Κοινοβουλίου και του Συμβουλίου</w:t>
      </w:r>
      <w:r w:rsidR="00282B10" w:rsidRPr="003555CA">
        <w:rPr>
          <w:rStyle w:val="FootnoteReference"/>
        </w:rPr>
        <w:footnoteReference w:id="11"/>
      </w:r>
      <w:r w:rsidR="00282B10" w:rsidRPr="003555CA">
        <w:t>, η οποία επηρέασε το τελικό συμβιβαστικό κείμενο)· σημειώνει με ικανοποίηση ότι οι προτάσεις που υπέβαλε η ΕτΠ επηρέασαν τις αποφάσεις της Επιτροπής να δρομολογήσει πιλοτικό έργο ύψους 23 εκατομμυρίων EUR για τη συγχρηματοδότηση περιφερειών και πόλεων με σκοπό την επανένταξη των μακροχρόνια ανέργων στην αγορά εργασίας, καθώς και να δρομολογήσει το φιλόδοξο, πρώτο στην ιστορία ευρωπαϊκό σχέδιο οικονομικά προσιτής στέγασης για την αντιμετώπιση της ενέργειας, της φτώχειας και της βιώσιμης στέγασης, ενώ βεβαιώνει εκ νέου ότι η πρόσβαση στη στέγαση αποτελεί θεμελιώδες δικαίωμα· σημειώνει περαιτέρω ότι η δήλωση που εγκρίθηκε στην Ευρωπαϊκή Διάσκεψη Κορυφής των Δήμων και των Περιφερειών που πραγματοποιήθηκε στη Μονς τον Μάρτιο του 2024 συνέβαλε στο στρατηγικό θεματολόγιο του Ευρωπαϊκού Συμβουλίου και στις πολιτικές κατευθύνσεις της Επιτροπής·</w:t>
      </w:r>
    </w:p>
    <w:p w14:paraId="331E3FDF" w14:textId="08C9FD7F" w:rsidR="00282B10" w:rsidRPr="003555CA" w:rsidRDefault="003555CA" w:rsidP="003555CA">
      <w:pPr>
        <w:pStyle w:val="NormalHanging12a"/>
        <w:widowControl/>
        <w:ind w:left="570" w:hanging="570"/>
      </w:pPr>
      <w:r w:rsidRPr="003555CA">
        <w:t>20.</w:t>
      </w:r>
      <w:r w:rsidRPr="003555CA">
        <w:tab/>
      </w:r>
      <w:r w:rsidR="00282B10" w:rsidRPr="003555CA">
        <w:t xml:space="preserve">λαμβάνοντας υπόψη τον σημαντικό ρόλο της ΕτΠ στην ενίσχυση της δημοκρατικής νομιμότητας της νομοθεσίας της Ένωσης μέσω του ενεργού συντονισμού των περιφερειακών και τοπικών αρχών, υποστηρίζει την προσπάθεια της ΕτΠ να παράσχει στοχευμένες, αναλογικές και βασιζόμενες σε στοιχεία εκτιμήσεις εδαφικού αντικτύπου, όταν προσθέτουν σαφή αξία στη νομοθετική διαδικασία· σημειώνει με ικανοποίηση ότι η ΕτΠ έχει δημιουργήσει έναν ολοκληρωμένο μηχανισμό διαβούλευσης με τα ενδιαφερόμενα μέρη για τη συγκέντρωση απόψεων πριν από την έκδοση των γνωμοδοτήσεών της, χάρη στη συμμετοχή διαφόρων τοπικών και περιφερειακών δικτύων, συμμαχιών και κόμβων· εκτιμά το γεγονός ότι λαμβάνονται επίσης υπόψη οι φωνές των εταίρων εκτός Ένωσης, π.χ. μέσω της Ευρωπαϊκής Συμμαχίας Δήμων και Περιφερειών για την Ανασυγκρότηση της Ουκρανίας, καθώς και της Ευρωμεσογειακής Περιφερειακής και Τοπικής Συνέλευσης· </w:t>
      </w:r>
    </w:p>
    <w:p w14:paraId="2A852501" w14:textId="726ADDC0" w:rsidR="00282B10" w:rsidRPr="003555CA" w:rsidRDefault="003555CA" w:rsidP="003555CA">
      <w:pPr>
        <w:pStyle w:val="NormalHanging12a"/>
        <w:widowControl/>
        <w:ind w:left="570" w:hanging="570"/>
      </w:pPr>
      <w:r w:rsidRPr="003555CA">
        <w:t>21.</w:t>
      </w:r>
      <w:r w:rsidRPr="003555CA">
        <w:tab/>
      </w:r>
      <w:r w:rsidR="00282B10" w:rsidRPr="003555CA">
        <w:t xml:space="preserve">σημειώνει την ευρύτερη δέσμευση της ΕτΠ σε ολόκληρο τον πολιτικό και νομοθετικό κύκλο της Ένωσης, η οποία καθίσταται δυνατή χάρη στα πλαίσια συνεργασίας της με την Επιτροπή, το Κοινοβούλιο και την Ευρωπαϊκή Τράπεζα Επενδύσεων· υπογραμμίζει τη σημασία της πρόσκλησης μελών της ΕτΠ και της ΕΟΚΕ σε κοινοβουλευτικές συνεδριάσεις που εμπίπτουν στους τομείς αρμοδιότητάς τους· </w:t>
      </w:r>
    </w:p>
    <w:p w14:paraId="50E96CC8" w14:textId="0CB40D32" w:rsidR="00282B10" w:rsidRPr="003555CA" w:rsidRDefault="003555CA" w:rsidP="003555CA">
      <w:pPr>
        <w:pStyle w:val="NormalHanging12a"/>
        <w:widowControl/>
        <w:ind w:left="570" w:hanging="570"/>
      </w:pPr>
      <w:r w:rsidRPr="003555CA">
        <w:t>22.</w:t>
      </w:r>
      <w:r w:rsidRPr="003555CA">
        <w:tab/>
      </w:r>
      <w:r w:rsidR="00282B10" w:rsidRPr="003555CA">
        <w:t xml:space="preserve">σημειώνει ότι το 2024 η ΕτΠ διεξήγαγε πέντε διαβουλεύσεις με το δίκτυο περιφερειακών κόμβων, δύο διαβουλεύσεις με την ομάδα εμπειρογνωμόνων για την επικουρικότητα και ολοκλήρωσε δύο αξιολογήσεις, καθώς και δύο γνωμοδοτήσεις </w:t>
      </w:r>
      <w:r w:rsidR="00B4212C" w:rsidRPr="003555CA">
        <w:t>«</w:t>
      </w:r>
      <w:proofErr w:type="spellStart"/>
      <w:r w:rsidR="00282B10" w:rsidRPr="003555CA">
        <w:t>Fit</w:t>
      </w:r>
      <w:proofErr w:type="spellEnd"/>
      <w:r w:rsidR="00282B10" w:rsidRPr="003555CA">
        <w:t xml:space="preserve"> for </w:t>
      </w:r>
      <w:proofErr w:type="spellStart"/>
      <w:r w:rsidR="00282B10" w:rsidRPr="003555CA">
        <w:t>Future</w:t>
      </w:r>
      <w:proofErr w:type="spellEnd"/>
      <w:r w:rsidR="00B4212C" w:rsidRPr="003555CA">
        <w:t>»</w:t>
      </w:r>
      <w:r w:rsidR="00282B10" w:rsidRPr="003555CA">
        <w:t>· καλεί την ΕτΠ να συνεχίσει να παρέχει χρήσιμα και συναφή στοιχεία, όπως επιτόπια δεδομένα και αναλύσεις, στα θεσμικά όργανα της Ένωσης και σε άλλους αποδέκτες των πολιτικών της Ένωσης·</w:t>
      </w:r>
    </w:p>
    <w:p w14:paraId="25FF1132" w14:textId="76AAACCC" w:rsidR="00282B10" w:rsidRPr="003555CA" w:rsidRDefault="003555CA" w:rsidP="003555CA">
      <w:pPr>
        <w:pStyle w:val="NormalHanging12a"/>
        <w:widowControl/>
        <w:ind w:left="570" w:hanging="570"/>
      </w:pPr>
      <w:r w:rsidRPr="003555CA">
        <w:t>23.</w:t>
      </w:r>
      <w:r w:rsidRPr="003555CA">
        <w:tab/>
      </w:r>
      <w:r w:rsidR="00282B10" w:rsidRPr="003555CA">
        <w:t>σημειώνει με ικανοποίηση ότι το 2024 η ΕτΠ συνέχισε να εφαρμόζει μέτρα για τη βελτίωση της εσωτερικής της διαχείρισης και τον εκσυγχρονισμό της διοίκησής της, τον εξορθολογισμό των διαδικασιών της και την ενίσχυση της οικονομικής αποδοτικότητας· εκφράζει την ικανοποίησή του για τη βελτιωμένη χρήση των ψηφιακών εργαλείων, ιδίως για τις προσπάθειες που αποσκοπούν στην απλούστευση, τη διοικητική αποδοτικότητα και τη μείωση των περιττών εσωτερικών διαδικασιών· σημειώνει, με βάση το ερωτηματολόγιο και την ετήσια έκθεση, την πρόοδο που σημειώθηκε το 2024 όσον αφορά την ψηφιοποίηση και τη βελτιστοποίηση της ροής εργασιών (π.χ. χρήση της αυτόματης μετάφρασης για εργασίες ρουτίνας και επέκταση των εργαλείων Microsoft 365 και του SharePoint), την εξοικονόμηση κόστους σε λειτουργίες και εγκαταστάσεις (π.χ. εξ αποστάσεως διερμηνεία, μέτρα εξοικονόμησης ενέργειας και υβριδικό καθεστώς εργασίας), τη βελτίωση της αποδοτικότητας (π.χ. μέσω επαναδιαπραγμάτευσης των συμβάσεων), την απλούστευση των κανόνων και των διαδικασιών με την ολοκλήρωση 63 από τα 73 έργα και τη μείωση κατά 20 % του αριθμού των διαδικασιών, καθώς και διάφορες άλλες δράσεις στο πλαίσιο του σχεδίου «</w:t>
      </w:r>
      <w:proofErr w:type="spellStart"/>
      <w:r w:rsidR="00282B10" w:rsidRPr="003555CA">
        <w:t>Going</w:t>
      </w:r>
      <w:proofErr w:type="spellEnd"/>
      <w:r w:rsidR="00282B10" w:rsidRPr="003555CA">
        <w:t xml:space="preserve"> for </w:t>
      </w:r>
      <w:proofErr w:type="spellStart"/>
      <w:r w:rsidR="00282B10" w:rsidRPr="003555CA">
        <w:t>IMPact</w:t>
      </w:r>
      <w:proofErr w:type="spellEnd"/>
      <w:r w:rsidR="00282B10" w:rsidRPr="003555CA">
        <w:t>!» για τον εκσυγχρονισμό της διοίκησης της ΕτΠ·</w:t>
      </w:r>
    </w:p>
    <w:p w14:paraId="45436B27" w14:textId="02C5BB2F" w:rsidR="00282B10" w:rsidRPr="003555CA" w:rsidRDefault="003555CA" w:rsidP="003555CA">
      <w:pPr>
        <w:pStyle w:val="NormalHanging12a"/>
        <w:widowControl/>
        <w:ind w:left="570" w:hanging="570"/>
        <w:rPr>
          <w:bCs/>
          <w:iCs/>
        </w:rPr>
      </w:pPr>
      <w:r w:rsidRPr="003555CA">
        <w:rPr>
          <w:bCs/>
          <w:iCs/>
        </w:rPr>
        <w:t>24.</w:t>
      </w:r>
      <w:r w:rsidRPr="003555CA">
        <w:rPr>
          <w:bCs/>
          <w:iCs/>
        </w:rPr>
        <w:tab/>
      </w:r>
      <w:r w:rsidR="00282B10" w:rsidRPr="003555CA">
        <w:t>τονίζει ότι οι προσπάθειες εκσυγχρονισμού πρέπει να συνοδεύονται από συστηματική αξιολόγηση των απτών οφελών που επιτυγχάνονται, συμπεριλαμβανομένων μετρήσιμων οφελών όσον αφορά την αποδοτικότητα, την εξοικονόμηση κόστους και τους χρόνους διεκπεραίωσης· καλεί, ως εκ τούτου, την ΕτΠ να θεσπίσει μεθοδολογία για την ποσοτικοποίηση αυτών των βελτιώσεων και να υποβάλλει τακτικά σχετικές εκθέσεις·</w:t>
      </w:r>
    </w:p>
    <w:p w14:paraId="467295A7" w14:textId="3A26EFAE" w:rsidR="00282B10" w:rsidRPr="003555CA" w:rsidRDefault="003555CA" w:rsidP="003555CA">
      <w:pPr>
        <w:pStyle w:val="NormalHanging12a"/>
        <w:widowControl/>
        <w:ind w:left="570" w:hanging="570"/>
      </w:pPr>
      <w:r w:rsidRPr="003555CA">
        <w:t>25.</w:t>
      </w:r>
      <w:r w:rsidRPr="003555CA">
        <w:tab/>
      </w:r>
      <w:r w:rsidR="00282B10" w:rsidRPr="003555CA">
        <w:t>σημειώνει, με βάση το ερωτηματολόγιο και την ετήσια έκθεση, τις δράσεις και τα μέτρα που λαμβάνει η ΕτΠ για την απλούστευση αλλά και την ενίσχυση του περιβάλλοντος εσωτερικού ελέγχου· σημειώνει ότι η διαδικασία αυτοαξιολόγησης του εσωτερικού ελέγχου το 2024 επικεντρώθηκε στη δημοσιονομική διαχείριση και στις σημαντικότερες πτυχές εσωτερικού ελέγχου για όσους εκτελούν τον προϋπολογισμό της ΕτΠ· σημειώνει με ικανοποίηση ότι η ΕτΠ ολοκλήρωσε τον έλεγχο πάνω από 500 ευαίσθητων θέσεων, διαδικασία στην οποία δόθηκε συνέχεια με μέτρα μετριασμού, μηχανισμούς ελέγχου και την έγκριση κανόνων κινητικότητας το 2024· σημειώνει ότι το πολυετές σχέδιο δράσης της ΕτΠ για την αναθεώρηση και την απλούστευση του περιβάλλοντος εσωτερικού ελέγχου της συνεχίστηκε μέσω της «Σύγκλισης έργων», η οποία περιλαμβάνει σειρά διαδικασιών που επικεντρώνονται στην παρακολούθηση και την υποβολή εκθέσεων σχετικά με τις επιδόσεις και τον αντίκτυπο της ΕτΠ σε πραγματικό χρόνο· λαμβάνοντας υπόψη ότι οι δύο τελευταίες από τις εν λόγω διαδικασίες σχετικά με την ετήσια έκθεση δραστηριοτήτων της ΕτΠ και την επιχειρησιακή συνέχεια εφαρμόστηκαν πλήρως το 2024· σημειώνει, όσον αφορά το νέο πλαίσιο εσωτερικού ελέγχου της ΕτΠ, ότι επιτεύχθηκαν και άλλα ορόσημα, συμπεριλαμβανομένης της δημιουργίας αξιοποιήσιμων εργαλείων για ταχεία εφαρμογή σε περίπτωση κρίσης, τα οποία καλύπτουν διάφορους τομείς, όπως η ΤΠ, η επικοινωνία, τα χρηματοπιστωτικά κυκλώματα και η προστασία των δεδομένων, μεταξύ άλλων·</w:t>
      </w:r>
    </w:p>
    <w:p w14:paraId="34E40362" w14:textId="3AFDEAD6" w:rsidR="00282B10" w:rsidRPr="003555CA" w:rsidRDefault="003555CA" w:rsidP="003555CA">
      <w:pPr>
        <w:pStyle w:val="NormalHanging12a"/>
        <w:widowControl/>
        <w:ind w:left="570" w:hanging="570"/>
      </w:pPr>
      <w:r w:rsidRPr="003555CA">
        <w:t>26.</w:t>
      </w:r>
      <w:r w:rsidRPr="003555CA">
        <w:tab/>
      </w:r>
      <w:r w:rsidR="00282B10" w:rsidRPr="003555CA">
        <w:t>σημειώνει ότι το 2024 η ΕτΠ εφάρμοσε μια μερικώς ψηφιοποιημένη και απλουστευμένη διαδικασία για τις χρηματοοικονομικές ροές εργασίας και τον διορισμό δημοσιονομικών παραγόντων· σημειώνει ότι το 2024 το 5,60 % των συναλλαγών που επαληθεύτηκαν εκ των προτέρων απορρίφθηκαν για διόρθωση ή αποτέλεσαν αντικείμενο αρνητικών γνωμοδοτήσεων και ότι οι εκ των υστέρων έλεγχοι επικεντρώθηκαν στις χρηματοοικονομικές συναλλαγές (σύμφωνα με τη νέα μεθοδολογία) και δεν αποκάλυψαν σημαντικά προβλήματα· σημειώνει, επιπλέον, ότι ο αριθμός των εκθέσεων οικονομικών εξαιρέσεων μειώθηκε σε σύγκριση με το 2023, ότι καταχωρίστηκαν δύο εκθέσεις διοικητικών εξαιρέσεων για μη συμμόρφωση με τις εσωτερικές διαδικασίες και ότι δεν εκκρεμούν δικαστικές διαφορές σχετικά με αποφάσεις σύναψης συμβάσεων·</w:t>
      </w:r>
    </w:p>
    <w:p w14:paraId="2A6286AB" w14:textId="78C865FF" w:rsidR="00282B10" w:rsidRPr="003555CA" w:rsidRDefault="003555CA" w:rsidP="003555CA">
      <w:pPr>
        <w:pStyle w:val="NormalHanging12a"/>
        <w:widowControl/>
        <w:ind w:left="570" w:hanging="570"/>
      </w:pPr>
      <w:r w:rsidRPr="003555CA">
        <w:t>27.</w:t>
      </w:r>
      <w:r w:rsidRPr="003555CA">
        <w:tab/>
      </w:r>
      <w:r w:rsidR="00282B10" w:rsidRPr="003555CA">
        <w:t>σημειώνει ότι το 2024 ξεκίνησαν τρεις νέοι έλεγχοι: σχετικά με τις επιδόσεις των υπηρεσιών υλικοτεχνικής υποστήριξης που παρέχονται στα μέλη της ΕτΠ, τη βελτιστοποίηση της κατανομής των ανθρώπινων πόρων στη Διεύθυνση Μετάφρασης και την επάρκεια της διαχείρισης προμηθειών και συμβάσεων· σημειώνει, με βάση το ερωτηματολόγιο, την πρόοδο που έχει σημειωθεί όσον αφορά τους εν εξελίξει ελέγχους σχετικά με τη διαχείριση των κενών θέσεων, την προστασία των δεδομένων προσωπικού χαρακτήρα και τις επιδόσεις του οργανισμού ΤΠ σε κοινές υπηρεσίες· καλεί την ΕτΠ να τηρεί ενήμερη την αρμόδια για την απαλλαγή αρχή σχετικά με την πρόοδο που σημειώνεται στα εν λόγω ζητήματα·</w:t>
      </w:r>
    </w:p>
    <w:p w14:paraId="20D50D37" w14:textId="77777777" w:rsidR="00282B10" w:rsidRPr="003555CA" w:rsidRDefault="00282B10" w:rsidP="00DE7476">
      <w:pPr>
        <w:pStyle w:val="NormalHanging12a"/>
        <w:widowControl/>
        <w:rPr>
          <w:b/>
          <w:bCs/>
          <w:i/>
        </w:rPr>
      </w:pPr>
      <w:r w:rsidRPr="003555CA">
        <w:rPr>
          <w:b/>
          <w:i/>
        </w:rPr>
        <w:t>Ανθρώπινοι πόροι, ισότητα και ευημερία του προσωπικού</w:t>
      </w:r>
    </w:p>
    <w:p w14:paraId="2868A836" w14:textId="0EEEC356" w:rsidR="00282B10" w:rsidRPr="003555CA" w:rsidRDefault="003555CA" w:rsidP="003555CA">
      <w:pPr>
        <w:pStyle w:val="NormalHanging12a"/>
        <w:widowControl/>
        <w:ind w:left="570" w:hanging="570"/>
        <w:rPr>
          <w:bCs/>
        </w:rPr>
      </w:pPr>
      <w:r w:rsidRPr="003555CA">
        <w:rPr>
          <w:bCs/>
        </w:rPr>
        <w:t>28.</w:t>
      </w:r>
      <w:r w:rsidRPr="003555CA">
        <w:rPr>
          <w:bCs/>
        </w:rPr>
        <w:tab/>
      </w:r>
      <w:r w:rsidR="00282B10" w:rsidRPr="003555CA">
        <w:t>σημειώνει ότι, στο τέλος του 2024, η ΕτΠ είχε συνολικά 561 μέλη προσωπικού (δεν περιλαμβάνονται αποσπασμένοι εθνικοί εμπειρογνώμονες, προσωρινοί εμπειρογνώμονες, εσωτερικοί εμπειρογνώμονες και ασκούμενοι), σε σύγκριση με 559 το 2023· σημειώνει ότι 73 συμβασιούχοι υπάλληλοι, σε σύγκριση με 74 συμβασιούχους υπαλλήλους το 2023, και 102 έκτακτοι υπάλληλοι, σε σύγκριση με 96 έκτακτους υπαλλήλους το 2023, απασχολούνταν από την ΕτΠ στο τέλος του 2024, εκ των οποίων 22 συμβασιούχοι υπάλληλοι είχαν σύμβαση αορίστου χρόνου, 51 συμβασιούχοι υπάλληλοι είχαν σύμβαση ορισμένου χρόνου, 49 έκτακτοι υπάλληλοι βρίσκονταν σε μόνιμες θέσεις με σύμβαση ορισμένου χρόνου, 50 έκτακτοι υπάλληλοι είχαν σύμβαση αορίστου χρόνου και 3 έκτακτοι υπάλληλοι απασχολούνταν σε έκτακτη θέση· σημειώνει, επιπλέον, ότι η ΕτΠ απασχολούσε 39 εξωτερικούς παρόχους υπηρεσιών που εργάζονταν επιτόπου· τονίζει ότι είναι σημαντικό να παρέχονται συμβάσεις αορίστου χρόνου, κατά περίπτωση, ώστε να διατηρούνται οι δεξιότητες, η συνέχεια και ένα παραγωγικό και σταθερό εργασιακό περιβάλλον, ενώ παράλληλα θα πρέπει να διατηρούνται η ευελιξία και οι αξιοκρατικές προσλήψεις σύμφωνα με τις επιχειρησιακές ανάγκες· προειδοποιεί για την υπερβολική εξάρτηση από εξωτερικούς παρόχους υπηρεσιών· σημειώνει ότι το 2024 το ποσοστό κάλυψης των θέσεων στον πίνακα προσωπικού ήταν 96,40 % (μείωση από 98 % το 2023) και το ποσοστό εναλλαγής ήταν 7,30 % (αύξηση από 6,60 % το 2023), αντίστοιχα·</w:t>
      </w:r>
    </w:p>
    <w:p w14:paraId="5209E00E" w14:textId="527FE130" w:rsidR="00282B10" w:rsidRPr="003555CA" w:rsidRDefault="003555CA" w:rsidP="003555CA">
      <w:pPr>
        <w:pStyle w:val="NormalHanging12a"/>
        <w:widowControl/>
        <w:ind w:left="570" w:hanging="570"/>
        <w:rPr>
          <w:bCs/>
        </w:rPr>
      </w:pPr>
      <w:r w:rsidRPr="003555CA">
        <w:rPr>
          <w:bCs/>
        </w:rPr>
        <w:t>29.</w:t>
      </w:r>
      <w:r w:rsidRPr="003555CA">
        <w:rPr>
          <w:bCs/>
        </w:rPr>
        <w:tab/>
      </w:r>
      <w:r w:rsidR="00282B10" w:rsidRPr="003555CA">
        <w:t xml:space="preserve">σημειώνει ότι το 2024 η ΕτΠ προσέλαβε 51 ασκούμενους στο πλαίσιο του προγράμματος </w:t>
      </w:r>
      <w:proofErr w:type="spellStart"/>
      <w:r w:rsidR="00282B10" w:rsidRPr="003555CA">
        <w:t>Cicero</w:t>
      </w:r>
      <w:proofErr w:type="spellEnd"/>
      <w:r w:rsidR="00282B10" w:rsidRPr="003555CA">
        <w:t>, καθώς και ότι οι ασκούμενοι της ΕτΠ λαμβάνουν μηνιαία επιχορήγηση και επωφελούνται από τους ίδιους όρους εργασίας με το προσωπικό, συμπεριλαμβανομένης της δυνατότητας τηλεργασίας· τονίζει εκ νέου ότι η πρακτική άσκηση θα πρέπει να αμείβεται σύμφωνα με το ψήφισμα του Ευρωπαϊκού Κοινοβουλίου της 14ης Ιουνίου 2023, που περιέχει συστάσεις προς την Επιτροπή για ποιοτικές θέσεις πρακτικής άσκησης στην Ένωση (2020/2005(INL)), στο οποίο διατυπώνεται το αίτημα να αμείβονται όλοι οι ασκούμενοι στην Ένωση·</w:t>
      </w:r>
    </w:p>
    <w:p w14:paraId="5FE55B04" w14:textId="16B25552" w:rsidR="00282B10" w:rsidRPr="003555CA" w:rsidRDefault="003555CA" w:rsidP="003555CA">
      <w:pPr>
        <w:pStyle w:val="NormalHanging12a"/>
        <w:widowControl/>
        <w:ind w:left="570" w:hanging="570"/>
        <w:rPr>
          <w:bCs/>
        </w:rPr>
      </w:pPr>
      <w:r w:rsidRPr="003555CA">
        <w:rPr>
          <w:bCs/>
        </w:rPr>
        <w:t>30.</w:t>
      </w:r>
      <w:r w:rsidRPr="003555CA">
        <w:rPr>
          <w:bCs/>
        </w:rPr>
        <w:tab/>
      </w:r>
      <w:r w:rsidR="00282B10" w:rsidRPr="003555CA">
        <w:t xml:space="preserve">σημειώνει με λύπη ότι η ΕτΠ δεν έχει επιτύχει ακόμη ισότητα των φύλων σε ηγετικές θέσεις, αλλά αναγνωρίζει τη σημαντική πρόοδο που έχει σημειωθεί στο πλαίσιο της πενταετούς στρατηγικής και του σχεδίου δράσης της ΕτΠ για τη διαφορετικότητα και τη συμπερίληψη για την περίοδο 2022-2026· εκφράζει την ικανοποίησή του για το γεγονός ότι εξελέγη γυναίκα πρόεδρος της ΕτΠ το 2025, γεγονός που επιβεβαιώνει εκ νέου τη δέσμευση του θεσμικού οργάνου για την προώθηση της ισότητας των φύλων στο υψηλότερο πολιτικό επίπεδο και ενθαρρύνει την ΕτΠ να συνεχίσει τις προσπάθειές της για την αύξηση της εκπροσώπησης των γυναικών σε ηγετικές θέσεις, τονίζοντας παράλληλα ότι η αξία και τα επαγγελματικά προσόντα παραμένουν τα πρωταρχικά κριτήρια για τους διορισμούς· σημειώνει ότι, στο τέλος του 2024, η </w:t>
      </w:r>
      <w:proofErr w:type="spellStart"/>
      <w:r w:rsidR="00282B10" w:rsidRPr="003555CA">
        <w:t>ΕτΠ</w:t>
      </w:r>
      <w:proofErr w:type="spellEnd"/>
      <w:r w:rsidR="00282B10" w:rsidRPr="003555CA">
        <w:t xml:space="preserve"> απασχολούσε 57,</w:t>
      </w:r>
      <w:r w:rsidR="00C76FEF" w:rsidRPr="003555CA">
        <w:t>2</w:t>
      </w:r>
      <w:r w:rsidR="00282B10" w:rsidRPr="003555CA">
        <w:t> % γυναίκες και 42,78 % άνδρες, ποσοστά σχεδόν ίδια με εκείνα του 2023· σημειώνει ότι το ποσοστό των γυναικών σε ανώτερες διευθυντικές θέσεις μειώθηκε από 44,4 % το 2023 σε 33,3 % το 2024 (αυξήθηκε εκ νέου σε 44,4 % το 2025) και το ποσοστό των γυναικών σε μεσαίες διευθυντικές θέσεις μειώθηκε από 32,50 % το 2023 σε 29,7 % το 2024· σημειώνει, σύμφωνα με το ερωτηματολόγιο, τα μέτρα για την ενθάρρυνση της μεγαλύτερης συμμετοχής των γυναικών σε διευθυντικές θέσεις, μεταξύ άλλων με στοχευμένες ευκαιρίες κατάρτισης και καθοδήγησης για γυναίκες που επιθυμούν να αναλάβουν διευθυντικές θέσεις, και την προώθηση πιο ευέλικτων ρυθμίσεων εργασίας· επαναλαμβάνει ότι η επίτευξη μακροπρόθεσμης ισόρροπης εκπροσώπησης των φύλων σε διευθυντικές θέσεις αποτελεί βασικό θεσμικό στόχο και αναμένει από την ΕτΠ να εγκρίνει συγκεκριμένο, χρονικά δεσμευτικό σχέδιο δράσης με μετρήσιμους στόχους, ενδιάμεσα ορόσημα και ετήσια υποβολή εκθέσεων· καλεί την ΕτΠ να διασφαλίσει ότι η πρόοδος προς την ισότητα παρακολουθείται και δημοσιοποιείται·</w:t>
      </w:r>
    </w:p>
    <w:p w14:paraId="7CE191CD" w14:textId="1970C7EC" w:rsidR="00282B10" w:rsidRPr="003555CA" w:rsidRDefault="003555CA" w:rsidP="003555CA">
      <w:pPr>
        <w:pStyle w:val="NormalHanging12a"/>
        <w:widowControl/>
        <w:ind w:left="570" w:hanging="570"/>
        <w:rPr>
          <w:bCs/>
        </w:rPr>
      </w:pPr>
      <w:r w:rsidRPr="003555CA">
        <w:rPr>
          <w:bCs/>
        </w:rPr>
        <w:t>31.</w:t>
      </w:r>
      <w:r w:rsidRPr="003555CA">
        <w:rPr>
          <w:bCs/>
        </w:rPr>
        <w:tab/>
      </w:r>
      <w:r w:rsidR="00282B10" w:rsidRPr="003555CA">
        <w:t xml:space="preserve">συγχαίρει την </w:t>
      </w:r>
      <w:proofErr w:type="spellStart"/>
      <w:r w:rsidR="00282B10" w:rsidRPr="003555CA">
        <w:t>ΕτΠ</w:t>
      </w:r>
      <w:proofErr w:type="spellEnd"/>
      <w:r w:rsidR="00282B10" w:rsidRPr="003555CA">
        <w:t xml:space="preserve"> για τις δράσεις της για την προώθηση της ισόρροπης εκπροσώπησης των φύλων μεταξύ των μελών της, ιδίως με τη διαβίβαση επιστολών στο Συμβούλιο σχετικά με τις κενές θέσεις εργασίας και με την υποστήριξη των μόνιμων αντιπροσωπειών και των εθνικών ενώσεων τοπικών και περιφερειακών αρχών που συμμετέχουν στη διαδικασία διορισμού· σημειώνει, με βάση την έκθεση παρακολούθησης, ότι, στο μεταξύ, το ποσοστό των γυναικών μελών αυξήθηκε από 23,40 % το 2020 σε 28,7 % το 2025· εκτιμά το γεγονός ότι ο νέος εσωτερικός κανονισμός της ΕτΠ, ο οποίος τέθηκε σε ισχύ τον Αύγουστο του 2024, περιλαμβάνει ρητούς στόχους για την ενίσχυση της ισόρροπης εκπροσώπησης των φύλων, ιδίως στη σύνθεση του Προεδρείου της ΕτΠ· ενθαρρύνει την ΕτΠ να συνεχίσει να προωθεί την ισόρροπη εκπροσώπηση των φύλων, διασφαλίζοντας παράλληλα ότι οι διορισμοί βασίζονται στην αξία, την επαγγελματική πείρα και τα προσόντα·</w:t>
      </w:r>
    </w:p>
    <w:p w14:paraId="74A34E25" w14:textId="4B871D03" w:rsidR="00282B10" w:rsidRPr="003555CA" w:rsidRDefault="003555CA" w:rsidP="003555CA">
      <w:pPr>
        <w:pStyle w:val="NormalHanging12a"/>
        <w:widowControl/>
        <w:ind w:left="570" w:hanging="570"/>
      </w:pPr>
      <w:r w:rsidRPr="003555CA">
        <w:t>32.</w:t>
      </w:r>
      <w:r w:rsidRPr="003555CA">
        <w:tab/>
      </w:r>
      <w:r w:rsidR="00282B10" w:rsidRPr="003555CA">
        <w:t xml:space="preserve">συγχαίρει την </w:t>
      </w:r>
      <w:proofErr w:type="spellStart"/>
      <w:r w:rsidR="00282B10" w:rsidRPr="003555CA">
        <w:t>ΕτΠ</w:t>
      </w:r>
      <w:proofErr w:type="spellEnd"/>
      <w:r w:rsidR="00282B10" w:rsidRPr="003555CA">
        <w:t xml:space="preserve"> για τη διοργάνωση εσωτερικού διαγωνισμού το 2024 για την αντιμετώπιση των τρεχουσών και μελλοντικών αναγκών όσον αφορά τις προσλήψεις, τη διασφάλιση της επιχειρησιακής συνέχειας και τη διατήρηση έμπειρου προσωπικού, καλύπτοντας έτσι το κενό που δημιουργήθηκε από την απουσία πινάκων επιτυχόντων από την Ευρωπαϊκή Υπηρεσία Επιλογής Προσωπικού (EPSO)· σημειώνει, με βάση το ερωτηματολόγιο, ότι 72 υποψήφιοι συμπεριλήφθηκαν στον πίνακα επιτυχόντων της ΕτΠ, εκ των οποίων 46 είχαν ήδη προσληφθεί σε διάφορους βαθμούς, τόσο AST όσο και AD, την 1η Σεπτεμβρίου 2025· αναμένει, συνεπώς, μείωση του αριθμού των έκτακτων και των συμβασιούχων υπαλλήλων που απασχολεί η ΕτΠ από το 2025·</w:t>
      </w:r>
    </w:p>
    <w:p w14:paraId="37F9D834" w14:textId="07E3DC4D" w:rsidR="00282B10" w:rsidRPr="003555CA" w:rsidRDefault="003555CA" w:rsidP="003555CA">
      <w:pPr>
        <w:pStyle w:val="NormalHanging12a"/>
        <w:widowControl/>
        <w:ind w:left="570" w:hanging="570"/>
      </w:pPr>
      <w:r w:rsidRPr="003555CA">
        <w:t>33.</w:t>
      </w:r>
      <w:r w:rsidRPr="003555CA">
        <w:tab/>
      </w:r>
      <w:r w:rsidR="00282B10" w:rsidRPr="003555CA">
        <w:t>σημειώνει ότι, ως αποτέλεσμα ενός πιλοτικού έργου για ένα υβριδικό καθεστώς εργασίας και μιας έρευνας ικανοποίησης του προσωπικού που δρομολογήθηκε το 2022, η ΕτΠ ενέκρινε την 1η Ιανουαρίου 2024 απόφαση που εφαρμόζεται από την 1η Φεβρουαρίου 2024 και η οποία προβλέπει υβριδικό καθεστώς εργασίας και εξατομικευμένο εβδομαδιαίο πρόγραμμα εργασίας για κάθε μέλος του προσωπικού, καθώς και τη δυνατότητα να εργάζεται από το σπίτι για έως και το 60 % του χρόνου εργασίας του μέλους (εξαιρουμένων των κατηγοριών προσωπικού τα καθήκοντα των οποίων δεν συνάδουν με την τηλεργασία) και να εργάζεται, για έως και 15 ημέρες ετησίως, σε μέρος εκτός της πόλης στην οποία απασχολείται· αναγνωρίζει ότι τα μέτρα αυτά αποσκοπούν στην ενίσχυση της ισορροπίας μεταξύ επαγγελματικής και προσωπικής ζωής, διατηρώντας παράλληλα την επιχειρησιακή αποδοτικότητα και την ικανοποίηση του προσωπικού·</w:t>
      </w:r>
    </w:p>
    <w:p w14:paraId="06E818FD" w14:textId="0A62B5C4" w:rsidR="00282B10" w:rsidRPr="003555CA" w:rsidRDefault="003555CA" w:rsidP="003555CA">
      <w:pPr>
        <w:pStyle w:val="NormalHanging12a"/>
        <w:widowControl/>
        <w:ind w:left="570" w:hanging="570"/>
      </w:pPr>
      <w:r w:rsidRPr="003555CA">
        <w:t>34.</w:t>
      </w:r>
      <w:r w:rsidRPr="003555CA">
        <w:tab/>
      </w:r>
      <w:r w:rsidR="00282B10" w:rsidRPr="003555CA">
        <w:t>σημειώνει με ικανοποίηση ότι το 89 % όσων απάντησαν στην έρευνα προσωπικού του 2025 εξέφρασαν την ικανοποίησή τους για τις ευέλικτες ρυθμίσεις εργασίας της ΕτΠ· λαμβάνοντας υπόψη ότι οι εν λόγω ρυθμίσεις μπορούν επίσης να έχουν αντίκτυπο στον αριθμό των ημερών αναρρωτικής άδειας που λαμβάνουν οι υπάλληλοι της ΕτΠ· σημειώνει, με βάση την έκθεση παρακολούθησης, ότι η πτωτική τάση του συνολικού αριθμού των ημερών αναρρωτικής άδειας διατηρείται, με 7 303 ημέρες το 2024 σε σύγκριση με 7 544 ημέρες το 2023, ενώ: ο αριθμός των υπαλλήλων που δεν έκαναν χρήση αναρρωτικής άδειας μειώθηκε από 211 (ή 36 % του συνόλου του προσωπικού) το 2023 σε 196 (ή 34 %) το 2024· ο αριθμός των υπαλλήλων που έκαναν χρήση αναρρωτικής άδειας για λιγότερες από επτά ημέρες αυξήθηκε από 201 (ή 35 % του συνόλου του προσωπικού) το 2023 σε 211 (ή 36 %) το 2024· και ο αριθμός των υπαλλήλων που έκαναν χρήση αναρρωτικής άδειας για 7,5 έως 21 ημέρες αυξήθηκε από 92 (ή 16 % του συνόλου του προσωπικού) το 2023 σε 96 (ή 16 % του συνόλου του προσωπικού) το 2024·</w:t>
      </w:r>
    </w:p>
    <w:p w14:paraId="11134A13" w14:textId="3F2505F7" w:rsidR="00282B10" w:rsidRPr="003555CA" w:rsidRDefault="003555CA" w:rsidP="003555CA">
      <w:pPr>
        <w:pStyle w:val="NormalHanging12a"/>
        <w:widowControl/>
        <w:ind w:left="570" w:hanging="570"/>
      </w:pPr>
      <w:r w:rsidRPr="003555CA">
        <w:t>35.</w:t>
      </w:r>
      <w:r w:rsidRPr="003555CA">
        <w:tab/>
      </w:r>
      <w:r w:rsidR="00282B10" w:rsidRPr="003555CA">
        <w:t>σημειώνει, με βάση το ερωτηματολόγιο, ότι ο αριθμός περιπτώσεων επαγγελματικής εξουθένωσης μειώθηκε από 18 το 2023 σε 6 το 2024· συγχαίρει την ΕτΠ για την προορατική προσέγγισή της όσον αφορά την πρόληψη της επαγγελματικής εξουθένωσης, με τη στενή παρακολούθηση του προσωπικού που βρίσκεται σε μακροχρόνια αναρρωτική άδεια μέσω προσαρμοσμένων μέτρων που συνεπάγονται τακτικές επαφές με το αντίστοιχο προσωπικό και τη συμβολή ιατρικών εμπειρογνωμόνων· σημειώνει περαιτέρω ότι το 2024 η ΕτΠ κατόρθωσε να επανεντάξει με επιτυχία τρία μέλη του προσωπικού μετά από μακροχρόνια απουσία ως αποτέλεσμα επαγγελματικής εξουθένωσης, χάρη σε εξατομικευμένη επακολούθηση μακροχρόνιας αναρρωτικής άδειας· εκφράζει την ικανοποίησή του για τα προληπτικά μέτρα που έλαβε η ΕτΠ το 2024 για τη βελτίωση της υγείας και της ευεξίας στην εργασία, όπως η παροχή επιτόπιων συνεδριών στο προσωπικό με επαγγελματίες του παραϊατρικού κλάδου (φυσιοθεραπευτές, οστεοπαθητικούς, εκπαιδευτές που προσλαμβάνονται βάσει σύμβασης-πλαισίου) και η διοργάνωση συνεδρίων ευαισθητοποίησης για την υγεία·</w:t>
      </w:r>
    </w:p>
    <w:p w14:paraId="2C0D7C2B" w14:textId="739BE820" w:rsidR="00282B10" w:rsidRPr="003555CA" w:rsidRDefault="003555CA" w:rsidP="003555CA">
      <w:pPr>
        <w:pStyle w:val="NormalHanging12a"/>
        <w:widowControl/>
        <w:ind w:left="570" w:hanging="570"/>
      </w:pPr>
      <w:r w:rsidRPr="003555CA">
        <w:t>36.</w:t>
      </w:r>
      <w:r w:rsidRPr="003555CA">
        <w:tab/>
      </w:r>
      <w:r w:rsidR="00282B10" w:rsidRPr="003555CA">
        <w:t>σημειώνει ότι το 2024 η ΕτΠ συνέχισε τις ενημερωτικές εκστρατείες σχετικά με τα μέτρα που θεσπίστηκαν όσον αφορά την πρόληψη και την καταπολέμηση της παρενόχλησης στον χώρο εργασίας, σύμφωνα με την από 26ης Απριλίου 2021 απόφασή της σχετικά με την προστασία της αξιοπρέπειας στην εργασία, τη διαχείριση συγκρούσεων και την καταπολέμηση της παρενόχλησης, ιδίως μέσω ειδικών κατευθυντήριων γραμμών, εσωτερικής επικοινωνίας (ενημερωτικό δελτίο σε δεκαπενθήμερη βάση) και διοργάνωσης διαφόρων ενημερωτικών συναντήσεων για το προσωπικό και τα διευθυντικά στελέχη, συμπεριλαμβανομένης υποχρεωτικής κατάρτισης σχετικά με τη δεοντολογία και την ακεραιότητα· σημειώνει ότι η ΕτΠ κατέγραψε τέσσερις νέες υποθέσεις εικαζόμενης παρενόχλησης το 2024, ενώ μία υπόθεση αφορούσε σεξουαλική παρενόχληση και μία υπόθεση παραπέμφθηκε στη βελγική αστυνομία μέσω επίσημης καταγγελίας· σημειώνει ότι εφαρμόστηκαν οι καθιερωμένες διαδικασίες (προκαταρκτική αξιολόγηση, διοικητική έρευνα, προληπτικά μέτρα κ.λπ.) και καλεί την ΕτΠ να τηρεί ενήμερη την αρμόδια για την απαλλαγή αρχή σχετικά με την έκβαση των εν λόγω υποθέσεων·</w:t>
      </w:r>
    </w:p>
    <w:p w14:paraId="1C61391E" w14:textId="5CD507DF" w:rsidR="00282B10" w:rsidRPr="003555CA" w:rsidRDefault="003555CA" w:rsidP="003555CA">
      <w:pPr>
        <w:pStyle w:val="NormalHanging12a"/>
        <w:widowControl/>
        <w:ind w:left="570" w:hanging="570"/>
      </w:pPr>
      <w:r w:rsidRPr="003555CA">
        <w:t>37.</w:t>
      </w:r>
      <w:r w:rsidRPr="003555CA">
        <w:tab/>
      </w:r>
      <w:r w:rsidR="00282B10" w:rsidRPr="003555CA">
        <w:t xml:space="preserve">συγχαίρει την </w:t>
      </w:r>
      <w:proofErr w:type="spellStart"/>
      <w:r w:rsidR="00282B10" w:rsidRPr="003555CA">
        <w:t>ΕτΠ</w:t>
      </w:r>
      <w:proofErr w:type="spellEnd"/>
      <w:r w:rsidR="00282B10" w:rsidRPr="003555CA">
        <w:t xml:space="preserve"> που διασφαλίζει ότι τα άτομα με αναπηρία μπορούν να έχουν πρόσβαση ή να χρησιμοποιούν οποιοδήποτε από τα ψηφιακά προϊόντα της, εφαρμόζοντας τις κατευθυντήριες γραμμές για την προσβασιμότητα του περιεχομένου του Ιστού· σημειώνει, στο πλαίσιο αυτό, ότι το 2024 η πλατφόρμα </w:t>
      </w:r>
      <w:proofErr w:type="spellStart"/>
      <w:r w:rsidR="00282B10" w:rsidRPr="003555CA">
        <w:t>HReForms</w:t>
      </w:r>
      <w:proofErr w:type="spellEnd"/>
      <w:r w:rsidR="00282B10" w:rsidRPr="003555CA">
        <w:t xml:space="preserve"> της </w:t>
      </w:r>
      <w:proofErr w:type="spellStart"/>
      <w:r w:rsidR="00282B10" w:rsidRPr="003555CA">
        <w:t>ΕτΠ</w:t>
      </w:r>
      <w:proofErr w:type="spellEnd"/>
      <w:r w:rsidR="00282B10" w:rsidRPr="003555CA">
        <w:t xml:space="preserve"> αναβαθμίστηκε με βασική απαίτηση την προσβασιμότητα και με χαρακτηριστικά που περιλαμβάνουν, μεταξύ άλλων, βελτιωμένη χρωματική αντίθεση, πλοήγηση με πληκτρολόγιο και εναλλακτικό κείμενο· σημειώνει με ικανοποίηση ότι η ΕτΠ καταβάλλει ποσά για την προσαρμογή των υποψηφίων με αναπηρία, διασφαλίζοντας έτσι δίκαιες διαδικασίες επιλογής·</w:t>
      </w:r>
    </w:p>
    <w:p w14:paraId="58D8EFEA" w14:textId="4B4979DE" w:rsidR="00282B10" w:rsidRPr="003555CA" w:rsidRDefault="003555CA" w:rsidP="003555CA">
      <w:pPr>
        <w:pStyle w:val="NormalHanging12a"/>
        <w:widowControl/>
        <w:ind w:left="570" w:hanging="570"/>
      </w:pPr>
      <w:r w:rsidRPr="003555CA">
        <w:t>38.</w:t>
      </w:r>
      <w:r w:rsidRPr="003555CA">
        <w:tab/>
      </w:r>
      <w:r w:rsidR="00282B10" w:rsidRPr="003555CA">
        <w:t>σημειώνει ότι, το 2024, η ΕτΠ απασχολούσε προσωπικό που εκπροσωπούσε όλες τις ιθαγένειες της Ένωσης (και ένα μέλος του προσωπικού ουκρανικής ιθαγένειας), ενώ ορισμένες ιθαγένειες υπερεκπροσωπούνται· χαιρετίζει τις προσπάθειες της ΕτΠ που αποσκοπούν στην εξισορρόπηση της γεωγραφικής κατανομής μεταξύ του προσωπικού της το 2024, μέσω στοχευμένων πρωτοβουλιών προβολής που προσελκύουν υποψηφίους από υποεκπροσωπούμενες χώρες· σημειώνει ότι οι εν λόγω πρωτοβουλίες περιλάμβαναν την αυξημένη χρήση ψηφιακών πλατφορμών και μέσων κοινωνικής δικτύωσης για την ενίσχυση της προβολής των κενών θέσεων εργασίας, την άμεση συνεργασία με τις μόνιμες αντιπροσωπείες των κρατών μελών, παρουσιάσεις σε στοχευμένο κοινό για την ενθάρρυνση της συμμετοχής στις διαδικασίες επιλογής της ΕτΠ και ανάλυση των τάσεων των αιτήσεων· σημειώνει ότι τα μέτρα αυτά είχαν ήδη θετικό αποτέλεσμα το 2024, όπως η αύξηση του αριθμού των αιτήσεων εργασίας που ελήφθησαν, μεταξύ άλλων από υποεκπροσωπούμενες χώρες· επικροτεί, επιπλέον, τη συνεργασία της ΕτΠ με την EPSO και άλλα θεσμικά όργανα της Ένωσης για τη διαφοροποίηση της δεξαμενής υποψηφίων, την ανταλλαγή βέλτιστων πρακτικών και τον συντονισμό των προσπαθειών για να αντιμετωπιστούν τα κενά εκπροσώπησης σε ολόκληρη τη διοίκηση της Ένωσης· καλεί την ΕτΠ να συνεχίσει να λαμβάνει μέτρα που επιδιώκουν πιο ισορροπημένη γεωγραφική κατανομή, μεταξύ άλλων σε επίπεδο διοίκησης, και να τηρεί ενήμερη την αρμόδια για την απαλλαγή αρχή σχετικά με τις τάσεις των αιτήσεων εργασίας που λαμβάνει η ΕτΠ από περίοδο σε περίοδο·</w:t>
      </w:r>
    </w:p>
    <w:p w14:paraId="1578D0CE" w14:textId="19C8E6C3" w:rsidR="00282B10" w:rsidRPr="003555CA" w:rsidRDefault="003555CA" w:rsidP="003555CA">
      <w:pPr>
        <w:pStyle w:val="NormalHanging12a"/>
        <w:widowControl/>
        <w:ind w:left="570" w:hanging="570"/>
        <w:rPr>
          <w:bCs/>
          <w:iCs/>
        </w:rPr>
      </w:pPr>
      <w:r w:rsidRPr="003555CA">
        <w:rPr>
          <w:bCs/>
          <w:iCs/>
        </w:rPr>
        <w:t>39.</w:t>
      </w:r>
      <w:r w:rsidRPr="003555CA">
        <w:rPr>
          <w:bCs/>
          <w:iCs/>
        </w:rPr>
        <w:tab/>
      </w:r>
      <w:r w:rsidR="00282B10" w:rsidRPr="003555CA">
        <w:t>εκφράζει την ικανοποίησή του για τον ισχυρό και διαρθρωμένο κοινωνικό διάλογο στις διαδικασίες οργανωτικών αλλαγών καθ’ όλη τη διάρκεια του 2024· ενθαρρύνει την ΕτΠ να διατηρήσει και να ενισχύσει περαιτέρω τη συστηματική συμμετοχή των εκπροσώπων του προσωπικού σε μεταρρυθμίσεις που σχετίζονται, μεταξύ άλλων, με την ψηφιοποίηση, την εσωτερική αναδιοργάνωση και τις νέες μεθόδους εργασίας·</w:t>
      </w:r>
    </w:p>
    <w:p w14:paraId="56EF3EC9" w14:textId="77777777" w:rsidR="00282B10" w:rsidRPr="003555CA" w:rsidRDefault="00282B10" w:rsidP="00DE7476">
      <w:pPr>
        <w:pStyle w:val="NormalHanging12a"/>
        <w:widowControl/>
        <w:rPr>
          <w:b/>
          <w:i/>
        </w:rPr>
      </w:pPr>
      <w:r w:rsidRPr="003555CA">
        <w:rPr>
          <w:b/>
          <w:i/>
        </w:rPr>
        <w:t>Δεοντολογικό πλαίσιο και διαφάνεια</w:t>
      </w:r>
    </w:p>
    <w:p w14:paraId="33487797" w14:textId="528A2C0E" w:rsidR="00282B10" w:rsidRPr="003555CA" w:rsidRDefault="003555CA" w:rsidP="003555CA">
      <w:pPr>
        <w:pStyle w:val="NormalHanging12a"/>
        <w:widowControl/>
        <w:ind w:left="570" w:hanging="570"/>
      </w:pPr>
      <w:r w:rsidRPr="003555CA">
        <w:t>40.</w:t>
      </w:r>
      <w:r w:rsidRPr="003555CA">
        <w:tab/>
      </w:r>
      <w:r w:rsidR="00282B10" w:rsidRPr="003555CA">
        <w:t>εκφράζει την ικανοποίησή του για το έργο που επιτέλεσε η ΕτΠ το 2023 για την ενοποίηση των δεοντολογικών κανόνων και πρακτικών σε ένα ενιαίο δεοντολογικό νομικό πλαίσιο (απόφαση αριθ. 157/2023) που καλύπτει, μεταξύ άλλων, την πειθαρχική διαδικασία, την αξιοπρέπεια στην εργασία, τη διαχείριση συγκρούσεων, την καταπολέμηση της παρενόχλησης, τις εξωτερικές δραστηριότητες και την καταγγελία δυσλειτουργιών· σημειώνει ότι το 2024 ήταν το πρώτο έτος εφαρμογής του εν λόγω νέου πλαισίου· σημειώνει ότι η ΕτΠ προσέφερε συχνά υποχρεωτικά μαθήματα κατάρτισης σχετικά με τη δεοντολογία και την ακεραιότητα, την καταγγελία δυσλειτουργιών και την πρόληψη των συγκρούσεων συμφερόντων σε διάφορες ομάδες προσωπικού, από νεοπροσληφθέντες, διευθυντικά στελέχη και προσωπικό εν γένει το 2024·</w:t>
      </w:r>
    </w:p>
    <w:p w14:paraId="7E20BC23" w14:textId="624029A3" w:rsidR="00282B10" w:rsidRPr="003555CA" w:rsidRDefault="003555CA" w:rsidP="003555CA">
      <w:pPr>
        <w:pStyle w:val="NormalHanging12a"/>
        <w:widowControl/>
        <w:ind w:left="570" w:hanging="570"/>
      </w:pPr>
      <w:r w:rsidRPr="003555CA">
        <w:t>41.</w:t>
      </w:r>
      <w:r w:rsidRPr="003555CA">
        <w:tab/>
      </w:r>
      <w:r w:rsidR="00282B10" w:rsidRPr="003555CA">
        <w:t xml:space="preserve">σημειώνει ότι η </w:t>
      </w:r>
      <w:proofErr w:type="spellStart"/>
      <w:r w:rsidR="00282B10" w:rsidRPr="003555CA">
        <w:t>ΕτΠ</w:t>
      </w:r>
      <w:proofErr w:type="spellEnd"/>
      <w:r w:rsidR="00282B10" w:rsidRPr="003555CA">
        <w:t xml:space="preserve"> δεν ανέφερε καμία υπόθεση ούτε αποτέλεσε αντικείμενο έρευνας από την Ευρωπαϊκή Υπηρεσία Καταπολέμησης της Απάτης (OLAF), την Ευρωπαϊκή Εισαγγελία ή τον Ευρωπαίο Διαμεσολαβητή το 2024·</w:t>
      </w:r>
    </w:p>
    <w:p w14:paraId="48DE7437" w14:textId="2F260FFD" w:rsidR="00282B10" w:rsidRPr="003555CA" w:rsidRDefault="003555CA" w:rsidP="003555CA">
      <w:pPr>
        <w:pStyle w:val="NormalHanging12a"/>
        <w:widowControl/>
        <w:ind w:left="570" w:hanging="570"/>
      </w:pPr>
      <w:r w:rsidRPr="003555CA">
        <w:t>42.</w:t>
      </w:r>
      <w:r w:rsidRPr="003555CA">
        <w:tab/>
      </w:r>
      <w:r w:rsidR="00282B10" w:rsidRPr="003555CA">
        <w:t xml:space="preserve">υπενθυμίζει ότι η </w:t>
      </w:r>
      <w:proofErr w:type="spellStart"/>
      <w:r w:rsidR="00282B10" w:rsidRPr="003555CA">
        <w:t>ΕτΠ</w:t>
      </w:r>
      <w:proofErr w:type="spellEnd"/>
      <w:r w:rsidR="00282B10" w:rsidRPr="003555CA">
        <w:t xml:space="preserve"> ενέκρινε τον κανονισμό αριθ. 6/2023, της 4ης Ιουλίου 2023, σχετικά με τη θέσπιση μέτρων διαφάνειας που επικεντρώνονται στα μέλη που κατέχουν αξιώματα και στους εισηγητές· λαμβάνοντας υπόψη ότι τα εν λόγω μέτρα καλούν τα μέλη που κατέχουν αξιώματα και τους εισηγητές να συναντώνται μόνο με εκπροσώπους συμφερόντων που έχουν εγγραφεί στο Μητρώο Διαφάνειας και να δημοσιοποιήσουν τυχόν συναντήσεις με εκπροσώπους συμφερόντων που πραγματοποιούν υπό την ιδιότητά τους ως μέλη της ΕτΠ· σημειώνει ότι το 2024 ένα μέλος της ΕτΠ ανέφερε συνάντηση με εκπρόσωπο συμφερόντων· επαινεί, στο πλαίσιο αυτό, την ΕτΠ για την επίσημη ένταξή της στο Μητρώο Διαφάνειας της ΕΕ την 1η</w:t>
      </w:r>
      <w:r w:rsidR="00B4212C" w:rsidRPr="003555CA">
        <w:t> </w:t>
      </w:r>
      <w:r w:rsidR="00282B10" w:rsidRPr="003555CA">
        <w:t>Ιανουαρίου 2024·</w:t>
      </w:r>
    </w:p>
    <w:p w14:paraId="191D323B" w14:textId="587582C1" w:rsidR="00282B10" w:rsidRPr="003555CA" w:rsidRDefault="003555CA" w:rsidP="003555CA">
      <w:pPr>
        <w:pStyle w:val="NormalHanging12a"/>
        <w:widowControl/>
        <w:ind w:left="570" w:hanging="570"/>
        <w:rPr>
          <w:szCs w:val="24"/>
        </w:rPr>
      </w:pPr>
      <w:r w:rsidRPr="003555CA">
        <w:rPr>
          <w:szCs w:val="24"/>
        </w:rPr>
        <w:t>43.</w:t>
      </w:r>
      <w:r w:rsidRPr="003555CA">
        <w:rPr>
          <w:szCs w:val="24"/>
        </w:rPr>
        <w:tab/>
      </w:r>
      <w:r w:rsidR="00282B10" w:rsidRPr="003555CA">
        <w:t>σημειώνει, με βάση το ερωτηματολόγιο, τις αρχές και τους μηχανισμούς που εφάρμοσε η ΕτΠ το 2024 για την προώθηση της διαφάνειας σε διάφορους τομείς, όπως η δημοσιονομική και χρηματοοικονομική διαχείριση, η υποβολή εκθέσεων, η συνεργασία στον τομέα του ελέγχου, οι ανθρώπινοι πόροι, οι δημόσιες συμβάσεις, η πρόσβαση του κοινού σε έγγραφα και η διαχείριση αρχείων·</w:t>
      </w:r>
    </w:p>
    <w:p w14:paraId="101CC985" w14:textId="5090A778" w:rsidR="00282B10" w:rsidRPr="003555CA" w:rsidRDefault="003555CA" w:rsidP="003555CA">
      <w:pPr>
        <w:pStyle w:val="NormalHanging12a"/>
        <w:widowControl/>
        <w:ind w:left="570" w:hanging="570"/>
      </w:pPr>
      <w:r w:rsidRPr="003555CA">
        <w:t>44.</w:t>
      </w:r>
      <w:r w:rsidRPr="003555CA">
        <w:tab/>
      </w:r>
      <w:r w:rsidR="00282B10" w:rsidRPr="003555CA">
        <w:t>εκφράζει την ικανοποίησή του για το γεγονός ότι το 2024 η ΕτΠ ανανέωσε τις προσπάθειές της στον τομέα του εντοπισμού και της πρόληψης των συγκρούσεων συμφερόντων· σημειώνει ότι, με την απόφασή της αριθ. 157/2023, η ΕτΠ όρισε την έννοια της σύγκρουσης συμφερόντων και έθεσε σε εφαρμογή έναν μηχανισμό για τον εντοπισμό και την πρόληψη τέτοιων συγκρούσεων, μέσω του οποίου τα μέλη του προσωπικού υποχρεούνται να δηλώνουν αν ενδέχεται να υπάρχει σύγκρουση συμφερόντων (δυνητική ή πιθανή), συμπληρώνοντας ένα έντυπο σε διάφορες σημαντικές στιγμές της σταδιοδρομίας τους ή των επαγγελματικών τους δραστηριοτήτων· σημειώνει με ικανοποίηση, με βάση το ερωτηματολόγιο, ότι οι ετήσιες πληροφορίες σχετικά με τις επαγγελματικές δραστηριότητες πρώην ανώτερων υπαλλήλων δημοσιεύονται με διαφανή τρόπο στον ιστότοπο της ΕτΠ και ότι τους απαγορεύεται να συμμετέχουν σε οποιαδήποτε εκπροσώπηση ή υπεράσπιση συμφερόντων έναντι της ΕτΠ για τους πρώτους 12 μήνες μετά την αποχώρησή τους από τις θέσεις εργασίας τους στην ΕτΠ·</w:t>
      </w:r>
    </w:p>
    <w:p w14:paraId="3B6B9CC1" w14:textId="28188AC6" w:rsidR="00282B10" w:rsidRPr="003555CA" w:rsidRDefault="003555CA" w:rsidP="003555CA">
      <w:pPr>
        <w:pStyle w:val="NormalHanging12a"/>
        <w:widowControl/>
        <w:ind w:left="570" w:hanging="570"/>
      </w:pPr>
      <w:r w:rsidRPr="003555CA">
        <w:t>45.</w:t>
      </w:r>
      <w:r w:rsidRPr="003555CA">
        <w:tab/>
      </w:r>
      <w:r w:rsidR="00282B10" w:rsidRPr="003555CA">
        <w:t>διαπιστώνει, με βάση το ερωτηματολόγιο, ότι δεν εντοπίστηκε σύγκρουση συμφερόντων στην ΕτΠ το 2024· ωστόσο, σημειώνει, επιπλέον, ότι μέλος της ΕτΠ εξέφρασε ανησυχία σχετικά με πιθανή σύγκρουση συμφερόντων που προκύπτει από την είσπραξη πληρωμής για την εκπόνηση μελέτης τεχνικής υποστήριξης για βουλευτή του Κοινοβουλίου ή πολιτική ομάδα του Κοινοβουλίου· εκφράζει την ικανοποίησή του για την επιβεβαίωση που ελήφθη κατά τη διαδικασία απαλλαγής, σύμφωνα με την οποία το εν λόγω μέλος της ΕτΠ δεν αποδέχθηκε στην πραγματικότητα την επίμαχη θέση·</w:t>
      </w:r>
    </w:p>
    <w:p w14:paraId="2A695CC0" w14:textId="7F3179BF" w:rsidR="00282B10" w:rsidRPr="003555CA" w:rsidRDefault="003555CA" w:rsidP="003555CA">
      <w:pPr>
        <w:pStyle w:val="NormalHanging12a"/>
        <w:widowControl/>
        <w:ind w:left="570" w:hanging="570"/>
      </w:pPr>
      <w:r w:rsidRPr="003555CA">
        <w:t>46.</w:t>
      </w:r>
      <w:r w:rsidRPr="003555CA">
        <w:tab/>
      </w:r>
      <w:r w:rsidR="00282B10" w:rsidRPr="003555CA">
        <w:t>διαπιστώνει ότι δεν αναφέρθηκαν περιπτώσεις καταγγελίας δυσλειτουργιών στην ΕτΠ το 2024· επισημαίνει ότι η ΕτΠ δεν ενέκρινε νέα μέτρα σχετικά με την καταγγελία δυσλειτουργιών το 2024 και συνέχισε να βασίζεται στα μέτρα που ισχύουν από το 2015 και να τα προωθεί μέσω κατάρτισης σε θέματα δεοντολογίας και ευαισθητοποίησης· υποστηρίζει την τακτική υποχρεωτική κατάρτιση σε θέματα δεοντολογίας τόσο για το προσωπικό όσο και για τα διευθυντικά στελέχη·</w:t>
      </w:r>
    </w:p>
    <w:p w14:paraId="2717F3EA" w14:textId="06477A74" w:rsidR="00282B10" w:rsidRPr="003555CA" w:rsidRDefault="003555CA" w:rsidP="003555CA">
      <w:pPr>
        <w:pStyle w:val="NormalHanging12a"/>
        <w:widowControl/>
        <w:ind w:left="570" w:hanging="570"/>
      </w:pPr>
      <w:r w:rsidRPr="003555CA">
        <w:t>47.</w:t>
      </w:r>
      <w:r w:rsidRPr="003555CA">
        <w:tab/>
      </w:r>
      <w:r w:rsidR="00282B10" w:rsidRPr="003555CA">
        <w:t xml:space="preserve">σημειώνει ότι η </w:t>
      </w:r>
      <w:proofErr w:type="spellStart"/>
      <w:r w:rsidR="00282B10" w:rsidRPr="003555CA">
        <w:t>ΕτΠ</w:t>
      </w:r>
      <w:proofErr w:type="spellEnd"/>
      <w:r w:rsidR="00282B10" w:rsidRPr="003555CA">
        <w:t xml:space="preserve"> διαθέτει σειρά μέτρων και δράσεων για την καταπολέμηση της απάτης που ισχύουν για τα μέλη της και το προσωπικό της, και τα οποία έχουν εφαρμοστεί από διάφορες υπηρεσίες· αποδοκιμάζει το γεγονός ότι το 2024 δεν εφαρμόστηκε στρατηγική για την καταπολέμηση της απάτης· σημειώνει, ωστόσο, με βάση το ερωτηματολόγιο, ότι το 2025 η ΕτΠ ενέκρινε ενοποιημένο πλαίσιο για την καταπολέμηση της απάτης, το οποίο αποτελεί ενδιάμεσο βήμα για την ανάπτυξη μιας ολοκληρωμένης στρατηγικής για την καταπολέμηση της απάτης, ενώ η μεθοδολογία που θα χρησιμοποιηθεί για τον στόχο αυτό θα παρασχεθεί από την OLAF· παροτρύνει την ΕτΠ να δώσει προτεραιότητα στην πλήρη ανάπτυξη και εφαρμογή αυτής της στρατηγικής, συμπεριλαμβανομένων μέτρων εκτίμησης κινδύνου, πρόληψης, εντοπισμού και παρακολούθησης· καλεί την ΕτΠ να τηρεί ενήμερη την αρμόδια για την απαλλαγή αρχή σχετικά με το θέμα·</w:t>
      </w:r>
    </w:p>
    <w:p w14:paraId="5CF51A65" w14:textId="77777777" w:rsidR="00282B10" w:rsidRPr="003555CA" w:rsidRDefault="00282B10" w:rsidP="00DE7476">
      <w:pPr>
        <w:pStyle w:val="NormalHanging12a"/>
        <w:widowControl/>
        <w:rPr>
          <w:b/>
          <w:i/>
        </w:rPr>
      </w:pPr>
      <w:r w:rsidRPr="003555CA">
        <w:rPr>
          <w:b/>
          <w:i/>
        </w:rPr>
        <w:t>Ψηφιοποίηση, κυβερνοασφάλεια και προστασία δεδομένων</w:t>
      </w:r>
    </w:p>
    <w:p w14:paraId="42026BFC" w14:textId="2F5FB8F6" w:rsidR="00282B10" w:rsidRPr="003555CA" w:rsidRDefault="003555CA" w:rsidP="003555CA">
      <w:pPr>
        <w:pStyle w:val="NormalHanging12a"/>
        <w:widowControl/>
        <w:ind w:left="570" w:hanging="570"/>
      </w:pPr>
      <w:r w:rsidRPr="003555CA">
        <w:t>48.</w:t>
      </w:r>
      <w:r w:rsidRPr="003555CA">
        <w:tab/>
      </w:r>
      <w:r w:rsidR="00282B10" w:rsidRPr="003555CA">
        <w:t>σημειώνει ότι ο συνδυασμένος προϋπολογισμός ΤΠ της ΕτΠ και της ΕΟΚΕ ανήλθε σε 13,70 εκατομμύρια EUR το 2024, έναντι 12,70 εκατομμυρίων EUR το 2023, σημειώνοντας μείωση κατά 7,90 %, ενώ 760 000 EUR από τον εν λόγω προϋπολογισμό (ή περίπου το 6 %) καταβλήθηκαν για την κυβερνοασφάλεια το 2024·</w:t>
      </w:r>
    </w:p>
    <w:p w14:paraId="71F56D79" w14:textId="11A62ED7" w:rsidR="00282B10" w:rsidRPr="003555CA" w:rsidRDefault="003555CA" w:rsidP="003555CA">
      <w:pPr>
        <w:pStyle w:val="NormalHanging12a"/>
        <w:widowControl/>
        <w:ind w:left="570" w:hanging="570"/>
      </w:pPr>
      <w:r w:rsidRPr="003555CA">
        <w:t>49.</w:t>
      </w:r>
      <w:r w:rsidRPr="003555CA">
        <w:tab/>
      </w:r>
      <w:r w:rsidR="00282B10" w:rsidRPr="003555CA">
        <w:t xml:space="preserve">σημειώνει, με βάση το ερωτηματολόγιο, ότι το 2024 η Διεύθυνση Καινοτομίας και Τεχνολογίας των Πληροφοριών εφάρμοσε μια νέα πολυετή ψηφιακή στρατηγική για την περίοδο 2024-2026, η οποία δίνει προτεραιότητα στη διαχείριση ψηφιακών αρχείων, στις ηλεκτρονικές ροές εργασίας, στις ηλεκτρονικές υπογραφές και στις λύσεις που βασίζονται στο υπολογιστικό νέφος και επικεντρώνεται σε τέσσερα εμβληματικά προγράμματα —το M365 </w:t>
      </w:r>
      <w:proofErr w:type="spellStart"/>
      <w:r w:rsidR="00282B10" w:rsidRPr="003555CA">
        <w:t>Digital</w:t>
      </w:r>
      <w:proofErr w:type="spellEnd"/>
      <w:r w:rsidR="00282B10" w:rsidRPr="003555CA">
        <w:t xml:space="preserve"> </w:t>
      </w:r>
      <w:proofErr w:type="spellStart"/>
      <w:r w:rsidR="00282B10" w:rsidRPr="003555CA">
        <w:t>Workplace</w:t>
      </w:r>
      <w:proofErr w:type="spellEnd"/>
      <w:r w:rsidR="00282B10" w:rsidRPr="003555CA">
        <w:t xml:space="preserve">, το ARES, το </w:t>
      </w:r>
      <w:proofErr w:type="spellStart"/>
      <w:r w:rsidR="00282B10" w:rsidRPr="003555CA">
        <w:t>EdiT</w:t>
      </w:r>
      <w:proofErr w:type="spellEnd"/>
      <w:r w:rsidR="00282B10" w:rsidRPr="003555CA">
        <w:t xml:space="preserve"> και το </w:t>
      </w:r>
      <w:proofErr w:type="spellStart"/>
      <w:r w:rsidR="00282B10" w:rsidRPr="003555CA">
        <w:t>Cybersecurity</w:t>
      </w:r>
      <w:proofErr w:type="spellEnd"/>
      <w:r w:rsidR="00282B10" w:rsidRPr="003555CA">
        <w:t xml:space="preserve">— για την ενίσχυση της συνεργασίας, της αυτοματοποίησης και της θεσμικής ανθεκτικότητας· επισημαίνει την πρόοδο του προγράμματος M365, συμπεριλαμβανομένου του σχεδιασμού μετάβασης στο SharePoint </w:t>
      </w:r>
      <w:proofErr w:type="spellStart"/>
      <w:r w:rsidR="00282B10" w:rsidRPr="003555CA">
        <w:t>Online</w:t>
      </w:r>
      <w:proofErr w:type="spellEnd"/>
      <w:r w:rsidR="00282B10" w:rsidRPr="003555CA">
        <w:t xml:space="preserve">, της ανάπτυξης των εφαρμογών Windows 11 και M365 και της χάραξης στρατηγικής για την ΤΝ με χάρτη πορείας για το πιλοτικό έργο M365 </w:t>
      </w:r>
      <w:proofErr w:type="spellStart"/>
      <w:r w:rsidR="00282B10" w:rsidRPr="003555CA">
        <w:t>Copilot</w:t>
      </w:r>
      <w:proofErr w:type="spellEnd"/>
      <w:r w:rsidR="00282B10" w:rsidRPr="003555CA">
        <w:t xml:space="preserve"> το 2025· σημειώνει ότι η ΕτΠ άρχισε να χρησιμοποιεί το σύστημα διαχείρισης εγγράφων HAN και προχώρησε στην υιοθέτηση του </w:t>
      </w:r>
      <w:proofErr w:type="spellStart"/>
      <w:r w:rsidR="00282B10" w:rsidRPr="003555CA">
        <w:t>EdiT</w:t>
      </w:r>
      <w:proofErr w:type="spellEnd"/>
      <w:r w:rsidR="00282B10" w:rsidRPr="003555CA">
        <w:t xml:space="preserve"> για την επεξεργασία XML για τη σύνταξη νομοθετικών κειμένων· χαιρετίζει τη στροφή προς την κυβερνοασφάλεια ως κοινή ευθύνη, με νέες πρωτοβουλίες κατάρτισης και πολυετές σχέδιο που ευθυγραμμίζεται με τα πρότυπα της Ένωσης· αναγνωρίζει τις βελτιώσεις στη διαχείριση αρχείων, τις υποδομές και τα ασφαλή εργαλεία επικοινωνίας, συμπεριλαμβανομένων του ηλεκτρονικού ταχυδρομείου SECABC, της μεταφοράς δεδομένων SACHA και των συστημάτων διαχείρισης τελικών σημείων· σημειώνει με ικανοποίηση τη συνεχιζόμενη πρόοδο της ΕτΠ όσον αφορά την ψηφιακή καινοτομία, συμπεριλαμβανομένης της μετάβασης σε ένα πλήρως ασφαλές διαδικτυακό εργασιακό περιβάλλον χωρίς χαρτί· επαινεί το πρόγραμμα εργασίας «Οίκος των Περιφερειών» για την περίοδο 2025-2027 για την ιεράρχηση του ψηφιακού μετασχηματισμού με σκοπό την οικοδόμηση ενός σύγχρονου, ευέλικτου και ψηφιακά καθοδηγούμενου θεσμικού οργάνου·</w:t>
      </w:r>
    </w:p>
    <w:p w14:paraId="6F75AD5F" w14:textId="710CC31D" w:rsidR="00282B10" w:rsidRPr="003555CA" w:rsidRDefault="003555CA" w:rsidP="003555CA">
      <w:pPr>
        <w:pStyle w:val="NormalHanging12a"/>
        <w:widowControl/>
        <w:ind w:left="570" w:hanging="570"/>
        <w:rPr>
          <w:bCs/>
        </w:rPr>
      </w:pPr>
      <w:r w:rsidRPr="003555CA">
        <w:rPr>
          <w:bCs/>
        </w:rPr>
        <w:t>50.</w:t>
      </w:r>
      <w:r w:rsidRPr="003555CA">
        <w:rPr>
          <w:bCs/>
        </w:rPr>
        <w:tab/>
      </w:r>
      <w:r w:rsidR="00282B10" w:rsidRPr="003555CA">
        <w:t xml:space="preserve">σημειώνει ότι η </w:t>
      </w:r>
      <w:proofErr w:type="spellStart"/>
      <w:r w:rsidR="00282B10" w:rsidRPr="003555CA">
        <w:t>ΕτΠ</w:t>
      </w:r>
      <w:proofErr w:type="spellEnd"/>
      <w:r w:rsidR="00282B10" w:rsidRPr="003555CA">
        <w:t xml:space="preserve"> εισήγαγε σταδιακά ένα πιλοτικό έργο τεχνητής νοημοσύνης με την ονομασία </w:t>
      </w:r>
      <w:proofErr w:type="spellStart"/>
      <w:r w:rsidR="00282B10" w:rsidRPr="003555CA">
        <w:t>Panoramic</w:t>
      </w:r>
      <w:proofErr w:type="spellEnd"/>
      <w:r w:rsidR="00282B10" w:rsidRPr="003555CA">
        <w:t xml:space="preserve"> AI, το οποίο δημιουργεί έναν κεντρικό κόμβο που εξορθολογίζει την πρόσβαση σε σύνθετο περιεχόμενο από το 2024· σημειώνει, επιπλέον, ότι η ΕτΠ χρησιμοποιεί ενεργά τα εργαλεία ΤΝ της Επιτροπής για μετάφραση, περιλήψεις κ.λπ. και έχει συμμετάσχει ως πιλοτικός χρήστης στη δοκιμή της πιλοτικής λύσης για την ΤΝ «GPT@JRC»· σημειώνει, με βάση το ερωτηματολόγιο, ότι οι κατευθυντήριες γραμμές της ΕτΠ για την ΤΝ που εγκρίθηκαν το 2023 καθόρισαν μια βάση αναφοράς για τον τρόπο με τον οποίο το προσωπικό θα μπορούσε να πειραματιστεί με την ΤΝ, για τον εκτελεστικό κανονισμό (ΕΕ) 2024/1689 του Ευρωπαϊκού Κοινοβουλίου και του Συμβουλίου</w:t>
      </w:r>
      <w:r w:rsidR="00282B10" w:rsidRPr="003555CA">
        <w:rPr>
          <w:rStyle w:val="FootnoteReference"/>
          <w:bCs/>
        </w:rPr>
        <w:footnoteReference w:id="12"/>
      </w:r>
      <w:r w:rsidR="00282B10" w:rsidRPr="003555CA">
        <w:t xml:space="preserve">, ο οποίος τέθηκε σε ισχύ τον Αύγουστο του 2024, και για την ανάπτυξη εταιρικών εναλλακτικών λύσεων που ευθυγραμμίζονται με τα πρότυπα προστασίας των δεδομένων και δεοντολογίας· επικροτεί, στο πλαίσιο αυτό, τη διοργάνωση ενημερωτικών συναντήσεων για το προσωπικό με σκοπό την επεξήγηση των κατευθυντήριων γραμμών για την ΤΝ, τη δημοσίευση σημειώματος σχετικά με τον γραμματισμό του προσωπικού στον τομέα της ΤΝ και τη διοργάνωση εργαστηρίων για την ενημέρωση σχετικά με την ΤΝ το 2024 και ενθαρρύνει τη συνέχιση αυτής της πρακτικής, συμπεριλαμβανομένης της διοργάνωσης τακτικών προγραμμάτων κατάρτισης σχετικά με την ασφαλή, δεοντολογική και αποδοτική χρήση της τεχνητής νοημοσύνης αλλά και σχετικά με την κυβερνοασφάλεια· αναγνωρίζει την προστιθέμενη αξία των εργαλείων ΤΝ που ενισχύουν την προσωπική παραγωγικότητα, όπως το M365 </w:t>
      </w:r>
      <w:proofErr w:type="spellStart"/>
      <w:r w:rsidR="00282B10" w:rsidRPr="003555CA">
        <w:t>Copilot</w:t>
      </w:r>
      <w:proofErr w:type="spellEnd"/>
      <w:r w:rsidR="00282B10" w:rsidRPr="003555CA">
        <w:t>, και της ενσωμάτωσης ικανοτήτων ΤΝ σε εργαλεία υποστήριξης ΤΠ· τονίζει ότι η χρήση της τεχνητής νοημοσύνης πρέπει να πραγματοποιείται με τη διασφάλιση αυστηρών αρχών δεοντολογικής χρήσης, διαφάνειας, προστασίας των δεδομένων, ανθρώπινης εποπτείας και προστασίας από αλγοριθμική μεροληψία ή κατάχρηση·</w:t>
      </w:r>
    </w:p>
    <w:p w14:paraId="1088FD71" w14:textId="1997D681" w:rsidR="00282B10" w:rsidRPr="003555CA" w:rsidRDefault="003555CA" w:rsidP="003555CA">
      <w:pPr>
        <w:pStyle w:val="NormalHanging12a"/>
        <w:widowControl/>
        <w:ind w:left="570" w:hanging="570"/>
      </w:pPr>
      <w:r w:rsidRPr="003555CA">
        <w:t>51.</w:t>
      </w:r>
      <w:r w:rsidRPr="003555CA">
        <w:tab/>
      </w:r>
      <w:r w:rsidR="00282B10" w:rsidRPr="003555CA">
        <w:t>σημειώνει, με βάση το ερωτηματολόγιο, ότι, μετά από διαδικαστική εποπτεία όσον αφορά την αλλαγή του υπευθύνου προστασίας δεδομένων χωρίς την προηγούμενη συγκατάθεση του Ευρωπαίου Επόπτη Προστασίας Δεδομένων (ΕΕΠΔ), η ΕτΠ αναγνώρισε το σφάλμα και έλαβε διορθωτικά μέτρα· αναγνωρίζει ότι η μεταβίβαση των καθηκόντων του υπευθύνου προστασίας δεδομένων στη Νομική Υπηρεσία βασίστηκε σε σύσταση εσωτερικού ελεγκτή· σημειώνει ότι η ΕτΠ επανέφερε τον πρώην υπεύθυνο προστασίας δεδομένων και ζήτησε επίσημα τη συγκατάθεση του ΕΕΠΔ για τον νέο διορισμό, ώστε να διασφαλιστεί η πλήρης συμμόρφωση·</w:t>
      </w:r>
    </w:p>
    <w:p w14:paraId="726F8920" w14:textId="037AD05B" w:rsidR="00282B10" w:rsidRPr="003555CA" w:rsidRDefault="003555CA" w:rsidP="003555CA">
      <w:pPr>
        <w:pStyle w:val="NormalHanging12a"/>
        <w:widowControl/>
        <w:ind w:left="570" w:hanging="570"/>
      </w:pPr>
      <w:r w:rsidRPr="003555CA">
        <w:t>52.</w:t>
      </w:r>
      <w:r w:rsidRPr="003555CA">
        <w:tab/>
      </w:r>
      <w:r w:rsidR="00282B10" w:rsidRPr="003555CA">
        <w:t xml:space="preserve">σημειώνει, με βάση το ερωτηματολόγιο, ότι η ΕτΠ δεν αντιμετώπισε επιτυχημένες κυβερνοεπιθέσεις το 2024, καθώς τα υφιστάμενα μέτρα εντοπισμού και πρόληψης περιόρισαν αποτελεσματικά όλες τις απόπειρες απειλής· σημειώνει ότι η ΕτΠ έλαβε διάφορα μέτρα για να ενισχύει το πλαίσιό της για την κυβερνοασφάλεια και την προστασία των δεδομένων, επικαιροποιώντας τις τελευταίες εξελίξεις και τις βέλτιστες πρακτικές στους εν λόγω τομείς το 2024· σημειώνει ότι ορισμένες από τις δράσεις αυτές περιλάμβαναν τη συμμετοχή του σχετικού προσωπικού στην άσκηση «Ευαισθητοποίηση σχετικά με την παραβίαση δεδομένων προσωπικού χαρακτήρα στον χειρισμό περιστατικών κυβερνοασφάλειας» που διοργανώθηκε από τον Οργανισμό της Ευρωπαϊκής Ένωσης για την Κυβερνοασφάλεια (ENISA) και τον ΕΕΠΔ, τη συμμετοχή στον ευρωπαϊκό μήνα κυβερνοασφάλειας 2024, καθώς και στις συνεδρίες ευαισθητοποίησης και σε εισαγωγικά σεμινάρια διά ζώσης κατάρτισης για το προσωπικό, ιδίως για τους νεοπροσληφθέντες· ενθαρρύνει τη συνέχιση αυτής της πρακτικής, συμπεριλαμβανομένης της διοργάνωσης τακτικών προγραμμάτων κατάρτισης σχετικά με την κυβερνοασφάλεια· επικροτεί, επιπλέον, την καθιέρωση του </w:t>
      </w:r>
      <w:proofErr w:type="spellStart"/>
      <w:r w:rsidR="00282B10" w:rsidRPr="003555CA">
        <w:t>διπαραγοντικού</w:t>
      </w:r>
      <w:proofErr w:type="spellEnd"/>
      <w:r w:rsidR="00282B10" w:rsidRPr="003555CA">
        <w:t xml:space="preserve"> ελέγχου γνησιότητας για την ενίσχυση της ασφάλειας της πρόσβασης, τη μεταφορά του συστήματος διαχείρισης περιεχομένου ιστοτόπων της ΕτΠ σε νέα πλατφόρμα (</w:t>
      </w:r>
      <w:proofErr w:type="spellStart"/>
      <w:r w:rsidR="00282B10" w:rsidRPr="003555CA">
        <w:t>Drupal</w:t>
      </w:r>
      <w:proofErr w:type="spellEnd"/>
      <w:r w:rsidR="00282B10" w:rsidRPr="003555CA">
        <w:t xml:space="preserve">) που διασφαλίζει βελτιωμένη ανθεκτικότητα και προσαρμοστικότητα, και τη συνεχή στενή συνεργασία με τη CERT-ΕΕ για την παρακολούθηση απειλών σε πραγματικό χρόνο και την προστασία από κατανεμημένες επιθέσεις </w:t>
      </w:r>
      <w:proofErr w:type="spellStart"/>
      <w:r w:rsidR="00282B10" w:rsidRPr="003555CA">
        <w:t>DDoS</w:t>
      </w:r>
      <w:proofErr w:type="spellEnd"/>
      <w:r w:rsidR="00282B10" w:rsidRPr="003555CA">
        <w:t>· σημειώνει ότι η Διεύθυνση Καινοτομίας και Τεχνολογίας των Πληροφοριών δρομολόγησε πρόγραμμα ψηφιακού μετασχηματισμού και μετασχηματισμού της κυβερνοασφάλειας σύμφωνα με τα ενωσιακά και διεθνή πρότυπα, συμπεριλαμβανομένων του κανονισμού (ΕΕ, Ευρατόμ) 2023/2841 του Ευρωπαϊκού Κοινοβουλίου και του Συμβουλίου</w:t>
      </w:r>
      <w:r w:rsidR="00282B10" w:rsidRPr="003555CA">
        <w:rPr>
          <w:vertAlign w:val="superscript"/>
        </w:rPr>
        <w:footnoteReference w:id="13"/>
      </w:r>
      <w:r w:rsidR="00282B10" w:rsidRPr="003555CA">
        <w:t xml:space="preserve">, του πλαισίου κυβερνοασφάλειας του NIST και του </w:t>
      </w:r>
      <w:proofErr w:type="spellStart"/>
      <w:r w:rsidR="00282B10" w:rsidRPr="003555CA">
        <w:t>Open</w:t>
      </w:r>
      <w:proofErr w:type="spellEnd"/>
      <w:r w:rsidR="00282B10" w:rsidRPr="003555CA">
        <w:t xml:space="preserve"> </w:t>
      </w:r>
      <w:proofErr w:type="spellStart"/>
      <w:r w:rsidR="00282B10" w:rsidRPr="003555CA">
        <w:t>Worldwide</w:t>
      </w:r>
      <w:proofErr w:type="spellEnd"/>
      <w:r w:rsidR="00282B10" w:rsidRPr="003555CA">
        <w:t xml:space="preserve"> </w:t>
      </w:r>
      <w:proofErr w:type="spellStart"/>
      <w:r w:rsidR="00282B10" w:rsidRPr="003555CA">
        <w:t>Application</w:t>
      </w:r>
      <w:proofErr w:type="spellEnd"/>
      <w:r w:rsidR="00282B10" w:rsidRPr="003555CA">
        <w:t xml:space="preserve"> </w:t>
      </w:r>
      <w:proofErr w:type="spellStart"/>
      <w:r w:rsidR="00282B10" w:rsidRPr="003555CA">
        <w:t>Security</w:t>
      </w:r>
      <w:proofErr w:type="spellEnd"/>
      <w:r w:rsidR="00282B10" w:rsidRPr="003555CA">
        <w:t xml:space="preserve"> Project (OWASP), με στόχο την ενίσχυση της ανθεκτικότητας, της διαχείρισης κινδύνων, της προστασίας των δεδομένων και άλλων πτυχών διακυβέρνησης σε ολόκληρη την ΕτΠ·</w:t>
      </w:r>
    </w:p>
    <w:p w14:paraId="3BEC8FDB" w14:textId="77777777" w:rsidR="00282B10" w:rsidRPr="003555CA" w:rsidRDefault="00282B10" w:rsidP="00DE7476">
      <w:pPr>
        <w:pStyle w:val="NormalHanging12a"/>
        <w:widowControl/>
        <w:rPr>
          <w:b/>
          <w:i/>
        </w:rPr>
      </w:pPr>
      <w:r w:rsidRPr="003555CA">
        <w:rPr>
          <w:b/>
          <w:i/>
        </w:rPr>
        <w:t>Κτιριακές εγκαταστάσεις</w:t>
      </w:r>
    </w:p>
    <w:p w14:paraId="7D578884" w14:textId="71D13F6B" w:rsidR="00282B10" w:rsidRPr="003555CA" w:rsidRDefault="003555CA" w:rsidP="003555CA">
      <w:pPr>
        <w:pStyle w:val="NormalHanging12a"/>
        <w:widowControl/>
        <w:ind w:left="570" w:hanging="570"/>
      </w:pPr>
      <w:r w:rsidRPr="003555CA">
        <w:t>53.</w:t>
      </w:r>
      <w:r w:rsidRPr="003555CA">
        <w:tab/>
      </w:r>
      <w:r w:rsidR="00282B10" w:rsidRPr="003555CA">
        <w:t>σημειώνει ότι ο προϋπολογισμός της ΕτΠ για τα κτίρια και τις συναφείς δαπάνες (πιστώσεις του τρέχοντος έτους) το 2024 ανήλθε σε 18,963 εκατομμύρια EUR (σε σύγκριση με 18,594 εκατομμύρια EUR το 2023), με ποσοστό εκτέλεσης πληρωμών 92 % (σε σύγκριση με 93,70 % το 2023)· σημειώνει με ικανοποίηση ότι η ΕτΠ εξοικονόμησε 108 000 EUR σε υπηρεσίες καθαρισμού κατά τις περιόδους όπου υπήρχαν λιγότερα άτομα στα κτίριά της·</w:t>
      </w:r>
    </w:p>
    <w:p w14:paraId="221D267E" w14:textId="52D934F3" w:rsidR="00282B10" w:rsidRPr="003555CA" w:rsidRDefault="003555CA" w:rsidP="003555CA">
      <w:pPr>
        <w:pStyle w:val="NormalHanging12a"/>
        <w:widowControl/>
        <w:ind w:left="570" w:hanging="570"/>
      </w:pPr>
      <w:r w:rsidRPr="003555CA">
        <w:t>54.</w:t>
      </w:r>
      <w:r w:rsidRPr="003555CA">
        <w:tab/>
      </w:r>
      <w:r w:rsidR="00282B10" w:rsidRPr="003555CA">
        <w:t xml:space="preserve">σημειώνει, με βάση την ετήσια έκθεση, το συμπέρασμα της ΕτΠ ότι έχει επιτευχθεί μία από τις βασικές προτεραιότητές της που τέθηκαν το 2017, δηλαδή η «γεωγραφική συγκέντρωση των κτιρίων»· σημειώνει την άποψη της ΕτΠ ότι η επιτυχής εφαρμογή του νέου υβριδικού καθεστώτος εργασίας θέτει τις βάσεις για περαιτέρω εξοικονόμηση κόστους μέσω της μείωσης του χώρου· σημειώνει, στο πλαίσιο αυτό, ότι στο τέλος του 2024 η ΕτΠ δρομολόγησε το έργο </w:t>
      </w:r>
      <w:proofErr w:type="spellStart"/>
      <w:r w:rsidR="00282B10" w:rsidRPr="003555CA">
        <w:t>SPaCES</w:t>
      </w:r>
      <w:proofErr w:type="spellEnd"/>
      <w:r w:rsidR="00282B10" w:rsidRPr="003555CA">
        <w:t xml:space="preserve"> για τον μετασχηματισμό τόσο των εργασιακών πρακτικών όσο και των χώρων εργασίας εντός της ΕτΠ, μεταξύ άλλων με την τροποποίηση του εξοπλισμού των εγκαταστάσεων, ενώ το πρώτο βήμα του έργου αυτού είναι η μετεγκατάσταση του προσωπικού που βρίσκεται στο κτίριο B100· σημειώνει ότι, μετά από κοινή απόφαση της ΕτΠ και της ΕΟΚΕ, η μίσθωση του εν λόγω κτιρίου θα λήξει τον Αύγουστο του 2026· ζητεί από την ΕτΠ να ενημερώνει την αρμόδια για την απαλλαγή αρχή σχετικά με την πρόοδο που σημειώνεται στο ζήτημα αυτό·</w:t>
      </w:r>
    </w:p>
    <w:p w14:paraId="535A7109" w14:textId="29A5A5DF" w:rsidR="00282B10" w:rsidRPr="003555CA" w:rsidRDefault="003555CA" w:rsidP="003555CA">
      <w:pPr>
        <w:pStyle w:val="NormalHanging12a"/>
        <w:widowControl/>
        <w:ind w:left="570" w:hanging="570"/>
      </w:pPr>
      <w:r w:rsidRPr="003555CA">
        <w:t>55.</w:t>
      </w:r>
      <w:r w:rsidRPr="003555CA">
        <w:tab/>
      </w:r>
      <w:r w:rsidR="00282B10" w:rsidRPr="003555CA">
        <w:t>σημειώνει ότι οι εργασίες ανακαίνισης του κτιρίου VMA συνεχίστηκαν το 2024· σημειώνει, με βάση την έκθεση παρακολούθησης, ότι οι επενδύσεις σε έξυπνες τεχνολογίες που εγκαθίστανται στο VMA θα διασφαλίσουν ανθεκτικούς στις μελλοντικές εξελίξεις ευέλικτους χώρους γραφείων και βέλτιστη άνεση για τους χρήστες σε διάφορα επίπεδα, γεγονός που θα συμβάλει σε περαιτέρω μειώσεις όσον αφορά την κατανάλωση ενέργειας κατά περίπου 13 000 EUR ετησίως (με βάση τις μέσες τιμές ηλεκτρικής ενέργειας και φυσικού αερίου για το 2023)·</w:t>
      </w:r>
    </w:p>
    <w:p w14:paraId="4FAF4820" w14:textId="1E4A7636" w:rsidR="00282B10" w:rsidRPr="003555CA" w:rsidRDefault="003555CA" w:rsidP="003555CA">
      <w:pPr>
        <w:pStyle w:val="NormalHanging12a"/>
        <w:widowControl/>
        <w:ind w:left="570" w:hanging="570"/>
      </w:pPr>
      <w:r w:rsidRPr="003555CA">
        <w:t>56.</w:t>
      </w:r>
      <w:r w:rsidRPr="003555CA">
        <w:tab/>
      </w:r>
      <w:r w:rsidR="00282B10" w:rsidRPr="003555CA">
        <w:t>εκφράζει την ικανοποίηση του για τη δέσμευση της ΕτΠ και της ΕΟΚΕ να εφαρμόζουν συστηματικά την αρχή του «καθολικού σχεδιασμού» στις υποδομές τους, διασφαλίζοντας την προσβασιμότητα των κτιρίων τους ήδη από τον σχεδιασμό· σημειώνει ότι η ΕτΠ και η ΕΟΚΕ έλαβαν διάφορα μέτρα για να διασφαλίσουν την προσβασιμότητα των κτιρίων τους, συμπεριλαμβανομένων των ανελκυστήρων, σε άτομα με διάφορα είδη αναπηρίας (χρήστες αναπηρικών αμαξιδίων, τυφλοί και άτομα με προβλήματα όρασης, κωφά άτομα, ηλικιωμένοι με μυϊκά ή αγγειακά προβλήματα)·</w:t>
      </w:r>
    </w:p>
    <w:p w14:paraId="126ED602" w14:textId="77777777" w:rsidR="00282B10" w:rsidRPr="003555CA" w:rsidRDefault="00282B10" w:rsidP="00DE7476">
      <w:pPr>
        <w:pStyle w:val="NormalHanging12a"/>
        <w:widowControl/>
        <w:rPr>
          <w:b/>
          <w:i/>
        </w:rPr>
      </w:pPr>
      <w:r w:rsidRPr="003555CA">
        <w:rPr>
          <w:b/>
          <w:i/>
        </w:rPr>
        <w:t>Περιβάλλον και βιωσιμότητα</w:t>
      </w:r>
    </w:p>
    <w:p w14:paraId="4114D129" w14:textId="4361E993" w:rsidR="00282B10" w:rsidRPr="003555CA" w:rsidRDefault="003555CA" w:rsidP="003555CA">
      <w:pPr>
        <w:pStyle w:val="NormalHanging12a"/>
        <w:widowControl/>
        <w:ind w:left="570" w:hanging="570"/>
      </w:pPr>
      <w:r w:rsidRPr="003555CA">
        <w:t>57.</w:t>
      </w:r>
      <w:r w:rsidRPr="003555CA">
        <w:tab/>
      </w:r>
      <w:r w:rsidR="00282B10" w:rsidRPr="003555CA">
        <w:t xml:space="preserve">σημειώνει ότι η </w:t>
      </w:r>
      <w:proofErr w:type="spellStart"/>
      <w:r w:rsidR="00282B10" w:rsidRPr="003555CA">
        <w:t>ΕτΠ</w:t>
      </w:r>
      <w:proofErr w:type="spellEnd"/>
      <w:r w:rsidR="00282B10" w:rsidRPr="003555CA">
        <w:t xml:space="preserve"> συνέχισε να εφαρμόζει διάφορες πράσινες πρακτικές το 2024, όπως επενδύσεις σε καινοτόμα ενεργειακά αποδοτικά συστήματα φωτισμού, μετρητές ενέργειας, αισθητήρες εγκατεστημένους σε κρίσιμες εγκαταστάσεις για την παρακολούθηση των επιπέδων CO</w:t>
      </w:r>
      <w:r w:rsidR="00282B10" w:rsidRPr="003555CA">
        <w:rPr>
          <w:vertAlign w:val="subscript"/>
        </w:rPr>
        <w:t>2</w:t>
      </w:r>
      <w:r w:rsidR="00282B10" w:rsidRPr="003555CA">
        <w:t>, ρύθμιση της θερμοκρασίας των κτιρίων (κλιματισμός, θέρμανση) ανάλογα με την περίοδο του έτους και αγορά 100 % πράσινης ηλεκτρικής ενέργειας, μεταξύ άλλων· σημειώνει ότι η ΕτΠ εφαρμόζει περιβαλλοντικά κριτήρια σε όλες τις διαδικασίες υποβολής προσφορών και ρήτρες βιωσιμότητας για προσφορές άνω των 25 000 EUR, καθώς και εξατομικευμένες ρήτρες για προσφορές με υψηλό περιβαλλοντικό αντίκτυπο ή για προσφορές που υπερβαίνουν τα 60 000 EUR· σημειώνει με ικανοποίηση ότι η ΕτΠ ενσωματώνει περιβαλλοντικές πτυχές στο σύστημα διαχείρισης κινδύνων και στις βασικές επιχειρησιακές διαδικασίες της και έχει ορίσει σημεία επαφής όσον αφορά το σύστημα οικολογικής διαχείρισης και οικολογικού ελέγχου (EMAS)·</w:t>
      </w:r>
    </w:p>
    <w:p w14:paraId="56A8E1D8" w14:textId="640588E7" w:rsidR="00282B10" w:rsidRPr="003555CA" w:rsidRDefault="003555CA" w:rsidP="003555CA">
      <w:pPr>
        <w:pStyle w:val="NormalHanging12a"/>
        <w:widowControl/>
        <w:ind w:left="570" w:hanging="570"/>
      </w:pPr>
      <w:r w:rsidRPr="003555CA">
        <w:t>58.</w:t>
      </w:r>
      <w:r w:rsidRPr="003555CA">
        <w:tab/>
      </w:r>
      <w:r w:rsidR="00282B10" w:rsidRPr="003555CA">
        <w:t>εκτιμά τη δέσμευση της ΕτΠ για την προώθηση πολιτικής βιώσιμης κινητικότητας για το προσωπικό της· σημειώνει, στο πλαίσιο αυτό, ότι το 2024 η ΕτΠ θέσπισε κατ’ αποκοπή αποζημίωση ποδηλάτου ύψους 100 EUR για τους εργαζομένους που χρησιμοποιούν ποδήλατο ως κύριο μέσο μετακίνησης, επέκτεινε τις θέσεις στάθμευσης ποδηλάτων της και διοργάνωσε πρόγευμα και κουίζ με θέμα την κινητικότητα· σημειώνει, με βάση το ερωτηματολόγιο, ότι, από το 2024 το προσωπικό μπορεί να ζητήσει εκταμίευση του 50 % του κόστους συνδρομής για σιδηροδρομικά ταξίδια δεύτερης θέσης (για μέγιστη απόσταση 60 </w:t>
      </w:r>
      <w:proofErr w:type="spellStart"/>
      <w:r w:rsidR="00282B10" w:rsidRPr="003555CA">
        <w:t>χλμ</w:t>
      </w:r>
      <w:proofErr w:type="spellEnd"/>
      <w:r w:rsidR="00282B10" w:rsidRPr="003555CA">
        <w:t>)·</w:t>
      </w:r>
    </w:p>
    <w:p w14:paraId="27ECEE0B" w14:textId="09823A5C" w:rsidR="00282B10" w:rsidRPr="003555CA" w:rsidRDefault="003555CA" w:rsidP="003555CA">
      <w:pPr>
        <w:pStyle w:val="NormalHanging12a"/>
        <w:widowControl/>
        <w:ind w:left="570" w:hanging="570"/>
      </w:pPr>
      <w:r w:rsidRPr="003555CA">
        <w:t>59.</w:t>
      </w:r>
      <w:r w:rsidRPr="003555CA">
        <w:tab/>
      </w:r>
      <w:r w:rsidR="00282B10" w:rsidRPr="003555CA">
        <w:t>σημειώνει με ικανοποίηση, με βάση το ερωτηματολόγιο, ότι χάρη στα μέτρα εξοικονόμησης ενέργειας η κατανάλωση ενέργειας της ΕτΠ μειώθηκε κατά 3-4 % το 2024 σε σύγκριση με το 2022· σημειώνει ότι η ΕτΠ έχει υπερβεί τους στόχους του EMAS για το 2024 σε όλους τους τομείς (ηλεκτρικό ρεύμα, φυσικό αέριο, νερό, απόβλητα, διαλογή αποβλήτων, χαρτί για χρήση γραφείου, εκπομπές CO</w:t>
      </w:r>
      <w:r w:rsidR="00282B10" w:rsidRPr="003555CA">
        <w:rPr>
          <w:vertAlign w:val="subscript"/>
        </w:rPr>
        <w:t>2</w:t>
      </w:r>
      <w:r w:rsidR="00282B10" w:rsidRPr="003555CA">
        <w:t>), με έτος αναφοράς το 2019· σημειώνει ότι, σε σύγκριση με το 2023, η κατανάλωση νερού και χαρτιού αυξήθηκε ελαφρώς κατά 14 % και 1 %, αντίστοιχα, ενώ οι εκπομπές διοξειδίου του άνθρακα από τις διοικητικές δραστηριότητες της ΕτΠ μειώθηκαν κατά 4,3 %, και η χρήση ηλεκτρικής ενέργειας και φυσικού αερίου μειώθηκε κατά 5 % και 1 %, αντίστοιχα, ενώ η παραγωγή αποβλήτων μειώθηκε επίσης κατά 12 % το 2024·</w:t>
      </w:r>
    </w:p>
    <w:p w14:paraId="4774D5EA" w14:textId="77777777" w:rsidR="00282B10" w:rsidRPr="003555CA" w:rsidRDefault="00282B10" w:rsidP="00DE7476">
      <w:pPr>
        <w:pStyle w:val="NormalHanging12a"/>
        <w:widowControl/>
        <w:rPr>
          <w:b/>
          <w:bCs/>
          <w:i/>
          <w:iCs/>
        </w:rPr>
      </w:pPr>
      <w:r w:rsidRPr="003555CA">
        <w:rPr>
          <w:b/>
          <w:i/>
          <w:iCs/>
        </w:rPr>
        <w:t xml:space="preserve">Διοργανική συνεργασία </w:t>
      </w:r>
    </w:p>
    <w:p w14:paraId="683F5B81" w14:textId="266B9D67" w:rsidR="00282B10" w:rsidRPr="003555CA" w:rsidRDefault="003555CA" w:rsidP="003555CA">
      <w:pPr>
        <w:pStyle w:val="NormalHanging12a"/>
        <w:widowControl/>
        <w:ind w:left="570" w:hanging="570"/>
      </w:pPr>
      <w:r w:rsidRPr="003555CA">
        <w:t>60.</w:t>
      </w:r>
      <w:r w:rsidRPr="003555CA">
        <w:tab/>
      </w:r>
      <w:r w:rsidR="00282B10" w:rsidRPr="003555CA">
        <w:t>χαιρετίζει την ανανέωση των συμφωνιών συνεργασίας της ΕτΠ με το Κοινοβούλιο και την Επιτροπή το 2024, οι οποίες θέτουν τα θεμέλια για την ισχυρότερη θεσμική συμμετοχή της ΕτΠ σε όλα τα στάδια της νομοθετικής διαδικασίας της Ένωσης σε διάφορες πολιτικές (όπως η περιφερειακή ανάπτυξη, η πολιτική για το κλίμα και η κοινωνική συνοχή) που δεν περιορίζονται στις πολιτικές για τις οποίες υπάρχει μακρά ιστορία συνεργασίας· σημειώνει ότι οι εν λόγω συμφωνίες περιλαμβάνουν επίσης ισχυρότερες διατάξεις σχετικά με τη συνεργασία για τις εκτιμήσεις εδαφικού αντικτύπου· σημειώνει με ικανοποίηση, με βάση το ερωτηματολόγιο, ότι, στις 13</w:t>
      </w:r>
      <w:r w:rsidR="000774CB" w:rsidRPr="003555CA">
        <w:t> </w:t>
      </w:r>
      <w:r w:rsidR="00282B10" w:rsidRPr="003555CA">
        <w:t>Οκτωβρίου 2024, η Διάσκεψη των Προέδρων της ΕτΠ συναντήθηκε με τον Αντιπρόεδρο του Κοινοβουλίου που είναι αρμόδιος για τις σχέσεις με την ΕτΠ για να συζητήσουν την ενίσχυση της συνεργασίας, μεταξύ άλλων, ενθαρρύνοντας την πρακτική των κοινών συνεδριάσεων, ιδίως σε επίπεδο επιτροπών και εισηγητών, τη συμμετοχή της ΕτΠ σε τριμερείς συζητήσεις και την υλικοτεχνική συνεργασία κατά τη διάρκεια των εργασιών στο κτίριο SPAAK του Κοινοβουλίου· σημειώνει ότι, το 2024, τα μέλη της ΕτΠ συναντήθηκαν επίσης με το Συμβούλιο και τις μόνιμες αντιπροσωπείες και συμμετείχαν σε εκδηλώσεις που διοργάνωσε η Προεδρία του Συμβουλίου, προκειμένου να διασφαλιστεί ότι οι θέσεις της ΕτΠ αντικατοπτρίζονται στη νομοθεσία της Ένωσης·</w:t>
      </w:r>
    </w:p>
    <w:p w14:paraId="61A65A79" w14:textId="69ACD4C6" w:rsidR="00282B10" w:rsidRPr="003555CA" w:rsidRDefault="003555CA" w:rsidP="003555CA">
      <w:pPr>
        <w:pStyle w:val="NormalHanging12a"/>
        <w:widowControl/>
        <w:ind w:left="570" w:hanging="570"/>
      </w:pPr>
      <w:r w:rsidRPr="003555CA">
        <w:t>61.</w:t>
      </w:r>
      <w:r w:rsidRPr="003555CA">
        <w:tab/>
      </w:r>
      <w:r w:rsidR="00282B10" w:rsidRPr="003555CA">
        <w:t>εκφράζει την ικανοποίησή του για την εξοικονόμηση δημοσιονομικών και διοικητικών πόρων που επιτεύχθηκε μέσω της διοργανικής συνεργασίας, ιδίως δε για τη στενή συνεργασία που εδραιώθηκε σε διοικητικό επίπεδο με την ΕΟΚΕ, με την οποία η ΕτΠ συστεγάζεται και μοιράζεται υπηρεσίες στους τομείς της μετάφρασης, των υποδομών, των ιατρικών υπηρεσιών, της εστίασης, της υλικοτεχνικής υποστήριξης και της ΤΠ, καθώς κοινό μητρώο προστασίας δεδομένων, ενώ χρησιμοποιήθηκαν 470 μέλη του προσωπικού και περισσότερα από 68 εκατομμύρια EUR (140 εκατομμύρια EUR εάν συνεκτιμηθούν οι μισθολογικές δαπάνες) από κοινού και από τα δύο θεσμικά όργανα το 2024· επικροτεί το γεγονός ότι οι εξοικονομήσεις αυτές αναπροσανατολίστηκαν προς τις πολιτικές δραστηριότητες της ΕτΠ, ενισχύοντας έτσι την ικανότητά της να εκπληρώνει την εντολή της· αναγνωρίζει ότι η βελτίωση της αποτελεσματικότητας και η εξοικονόμηση δημοσιονομικών πόρων από τη συνεργασία των δύο θεσμικών οργάνων είναι σημαντικές και εκτιμώνται σε δεκάδες εκατομμύρια ευρώ ετησίως σε σύγκριση με την ανεξάρτητη λειτουργία των εν λόγω υπηρεσιών από κάθε επιτροπή· επαναλαμβάνει την έκκλησή του να επεκταθεί όσο το δυνατόν περισσότερο η συνεργασία αυτή, στον βαθμό που αφορά τη σύσταση ενιαίας διοίκησης για τις κοινές υπηρεσίες και τη διατήρηση του διαχωρισμού των υπηρεσιών και της μονάδας που είναι επιφορτισμένες με τις βασικές ανεξάρτητες εντολές τους· ενθαρρύνει την ΕτΠ και την ΕΟΚΕ να συνεχίσουν τις προσπάθειές τους για την ανάπτυξη περαιτέρω συνεργασίας και συνεργειών·</w:t>
      </w:r>
    </w:p>
    <w:p w14:paraId="45E9C267" w14:textId="5992A410" w:rsidR="00282B10" w:rsidRPr="003555CA" w:rsidRDefault="003555CA" w:rsidP="003555CA">
      <w:pPr>
        <w:pStyle w:val="NormalHanging12a"/>
        <w:widowControl/>
        <w:ind w:left="570" w:hanging="570"/>
      </w:pPr>
      <w:r w:rsidRPr="003555CA">
        <w:t>62.</w:t>
      </w:r>
      <w:r w:rsidRPr="003555CA">
        <w:tab/>
      </w:r>
      <w:r w:rsidR="00282B10" w:rsidRPr="003555CA">
        <w:t xml:space="preserve">επικροτεί την αναζήτηση συνεργειών από την ΕτΠ με την αγορά υπηρεσιών από άλλα θεσμικά όργανα μέσω συμφωνιών επιπέδου υπηρεσιών και με τη συμμετοχή σε διοργανικούς συντονιστικούς φορείς και διοργανικές διαδικασίες σύναψης συμβάσεων· σημειώνει ότι η ΕτΠ ανέπτυξε σημαντικές συνέργειες στον τομέα των εκδηλώσεων και της επικοινωνίας διοργανώνοντας από κοινού με την Επιτροπή την ευρωπαϊκή εβδομάδα των δήμων και των περιφερειών, καθώς και, μεταξύ άλλων, την ετήσια διάσκεψη για τους υπεύθυνους δημόσιας επικοινωνίας με την ονομασία </w:t>
      </w:r>
      <w:proofErr w:type="spellStart"/>
      <w:r w:rsidR="00282B10" w:rsidRPr="003555CA">
        <w:t>EuroPCom</w:t>
      </w:r>
      <w:proofErr w:type="spellEnd"/>
      <w:r w:rsidR="00282B10" w:rsidRPr="003555CA">
        <w:t xml:space="preserve"> από κοινού με το Κοινοβούλιο, το Συμβούλιο και την Επιτροπή το 2024· χαιρετίζει τη συγχώνευση του Ευρωπαϊκού Δικτύου Περιφερειακών και Τοπικών Συμβούλων της ΕτΠ και του δικτύου της Επιτροπής «Οικοδόμηση της Ευρώπης με τοπικούς συμβούλους» σε ένα ενιαίο, υπό κοινή διαχείριση δίκτυο «Τοπικών Συμβούλων της ΕΕ» το 2024·</w:t>
      </w:r>
    </w:p>
    <w:p w14:paraId="33D3B938" w14:textId="1507714F" w:rsidR="00282B10" w:rsidRPr="003555CA" w:rsidRDefault="003555CA" w:rsidP="003555CA">
      <w:pPr>
        <w:pStyle w:val="NormalHanging12a"/>
        <w:widowControl/>
        <w:ind w:left="570" w:hanging="570"/>
      </w:pPr>
      <w:r w:rsidRPr="003555CA">
        <w:t>63.</w:t>
      </w:r>
      <w:r w:rsidRPr="003555CA">
        <w:tab/>
      </w:r>
      <w:r w:rsidR="00282B10" w:rsidRPr="003555CA">
        <w:t xml:space="preserve">σημειώνει ότι η </w:t>
      </w:r>
      <w:proofErr w:type="spellStart"/>
      <w:r w:rsidR="00282B10" w:rsidRPr="003555CA">
        <w:t>ΕτΠ</w:t>
      </w:r>
      <w:proofErr w:type="spellEnd"/>
      <w:r w:rsidR="00282B10" w:rsidRPr="003555CA">
        <w:t xml:space="preserve"> συνεργάζεται με την Επιτροπή (έναντι ετήσιου τέλους) για τον χειρισμό θεμάτων ανθρώπινων πόρων και τη χρήση διαφόρων πλατφορμών ΤΠ για τη δημοσιονομική διαχείριση και τους ανθρώπινους πόρους και ότι το 2024 η Επιτροπή συμπεριέλαβε το σύστημα ΤΠ της ΕτΠ με την ονομασία LORDIMAS ως βασικό εργαλείο ΤΠ για τη μέτρηση του ψηφιακού μετασχηματισμού των πόλεων· σημειώνει επίσης ότι η ΕτΠ πραγματοποιεί τις συνόδους ολομέλειάς της στους χώρους του Κοινοβουλίου και της Επιτροπής για να αντισταθμίσει την έλλειψη χωρητικότητας των δικών της αιθουσών συνεδριάσεων, και αγοράζει υπηρεσίες διερμηνείας από τα δύο αυτά θεσμικά όργανα·</w:t>
      </w:r>
    </w:p>
    <w:p w14:paraId="5C755DFA" w14:textId="77777777" w:rsidR="00282B10" w:rsidRPr="003555CA" w:rsidRDefault="00282B10" w:rsidP="00DE7476">
      <w:pPr>
        <w:pStyle w:val="NormalHanging12a"/>
        <w:widowControl/>
        <w:rPr>
          <w:b/>
          <w:i/>
        </w:rPr>
      </w:pPr>
      <w:r w:rsidRPr="003555CA">
        <w:rPr>
          <w:b/>
          <w:i/>
        </w:rPr>
        <w:t>Επικοινωνία</w:t>
      </w:r>
    </w:p>
    <w:p w14:paraId="1DA32859" w14:textId="5F352634" w:rsidR="00282B10" w:rsidRPr="003555CA" w:rsidRDefault="003555CA" w:rsidP="003555CA">
      <w:pPr>
        <w:pStyle w:val="NormalHanging12a"/>
        <w:widowControl/>
        <w:ind w:left="570" w:hanging="570"/>
      </w:pPr>
      <w:r w:rsidRPr="003555CA">
        <w:t>64.</w:t>
      </w:r>
      <w:r w:rsidRPr="003555CA">
        <w:tab/>
      </w:r>
      <w:r w:rsidR="00282B10" w:rsidRPr="003555CA">
        <w:t>σημειώνει ότι οι επικοινωνιακές δραστηριότητες της ΕτΠ επικεντρώνονται στη σχέση με τον Τύπο, στη διοργάνωση εκδηλώσεων και στο ψηφιακό περιεχόμενο και τα μέσα κοινωνικής δικτύωσης με συνολικό προϋπολογισμό (πιστώσεις του τρέχοντος έτους) ύψους περίπου 2,3 εκατομμυρίων EUR το 2024, δηλαδή περίπου 500 000 EUR λιγότερα από το 2023· σημειώνει, με βάση την έκθεση παρακολούθησης, ότι η υποχρηματοδότηση των δράσεων επικοινωνίας καθιστά την ΕτΠ εξαρτημένη από τις μεταφορές στο τέλος του έτους και τις πιστώσεις C8, γεγονός που εξηγεί το χαμηλό ποσοστό εκτέλεσης του προϋπολογισμού (48,20 %) των πιστώσεων C1 και το υψηλό ποσοστό εκτέλεσης (98,90 %) των πιστώσεων C8 το 2024 όσον αφορά τη θέση 2 6 του προϋπολογισμού («Εμπειρογνωμοσύνη και [...] κατανομή»)·</w:t>
      </w:r>
    </w:p>
    <w:p w14:paraId="174FA0B9" w14:textId="25F91206" w:rsidR="00282B10" w:rsidRPr="003555CA" w:rsidRDefault="003555CA" w:rsidP="003555CA">
      <w:pPr>
        <w:pStyle w:val="NormalHanging12a"/>
        <w:widowControl/>
        <w:ind w:left="570" w:hanging="570"/>
      </w:pPr>
      <w:r w:rsidRPr="003555CA">
        <w:t>65.</w:t>
      </w:r>
      <w:r w:rsidRPr="003555CA">
        <w:tab/>
      </w:r>
      <w:r w:rsidR="00282B10" w:rsidRPr="003555CA">
        <w:t xml:space="preserve">σημειώνει με ικανοποίηση τα επιτεύγματα της ΕτΠ όσον αφορά την προώθηση των πολιτικών και των προγραμμάτων της Ένωσης σε τοπικό και περιφερειακό επίπεδο, τη βελτίωση της απήχησης των συμβουλευτικών εργασιών της και την ενίσχυση της προβολής και του αντικτύπου της· σημειώνει ότι το 2024 η ΕτΠ διοργάνωσε, φιλοξένησε ή υποστήριξε 33 τοπικούς διαλόγους της ΕΕ, 53 συνεδρίες της ευρωπαϊκής εβδομάδας των δήμων και των περιφερειών και 47 εκδηλώσεις· σημειώνει ειδικότερα την 10η Ευρωπαϊκή Διάσκεψη Κορυφής των Δήμων και των Περιφερειών για τη διαμόρφωση του θεματολογίου για το μέλλον της Ένωσης, στην οποία συμμετείχαν περισσότερα από 7 000 άτομα· </w:t>
      </w:r>
      <w:r w:rsidR="000774CB" w:rsidRPr="003555CA">
        <w:t>–</w:t>
      </w:r>
      <w:r w:rsidR="00282B10" w:rsidRPr="003555CA">
        <w:t xml:space="preserve"> την ευρωπαϊκή εβδομάδα των δήμων και των περιφερειών η οποία θα ασχοληθεί με τα ταμεία συνοχής στο επόμενο ΠΔΠ, στην οποία συμμετείχαν περισσότερα από 2 500 άτομα· </w:t>
      </w:r>
      <w:r w:rsidR="000774CB" w:rsidRPr="003555CA">
        <w:t>–</w:t>
      </w:r>
      <w:r w:rsidR="00282B10" w:rsidRPr="003555CA">
        <w:t xml:space="preserve"> την 11η διάσκεψη για την επικουρικότητα για τη βελτίωση της νομοθεσίας και την επικουρικότητα στο πλαίσιο του επόμενου ΠΔΠ· </w:t>
      </w:r>
      <w:r w:rsidR="000774CB" w:rsidRPr="003555CA">
        <w:t>–</w:t>
      </w:r>
      <w:r w:rsidR="00282B10" w:rsidRPr="003555CA">
        <w:t xml:space="preserve"> το πρόγραμμα «Νέοι αιρετοί πολιτικοί» για το 2024, στο οποίο συμμετείχαν περισσότερα από 150 άτομα από όλα τα κράτη μέλη και οκτώ υποψήφιες χώρες· και </w:t>
      </w:r>
      <w:r w:rsidR="000774CB" w:rsidRPr="003555CA">
        <w:t>–</w:t>
      </w:r>
      <w:r w:rsidR="00282B10" w:rsidRPr="003555CA">
        <w:t xml:space="preserve"> τη 15η διοργάνωση της Ευρωπαϊκής Διάσκεψης Δημόσιας Επικοινωνίας (</w:t>
      </w:r>
      <w:proofErr w:type="spellStart"/>
      <w:r w:rsidR="00282B10" w:rsidRPr="003555CA">
        <w:t>EuroPCom</w:t>
      </w:r>
      <w:proofErr w:type="spellEnd"/>
      <w:r w:rsidR="00282B10" w:rsidRPr="003555CA">
        <w:t>) για την τεχνητή νοημοσύνη και τις νέες τάσεις στη δημόσια επικοινωνία, με 3 200 συμμετέχοντες και θεατές από 55 χώρες· σημειώνει ότι η ΕτΠ προώθησε επίσης το έργο και τις απόψεις της 74 φορές σε συνεδριάσεις ή εκδηλώσεις στις οποίες συμμετείχαν άλλα θεσμικά όργανα της Ένωσης·</w:t>
      </w:r>
    </w:p>
    <w:p w14:paraId="64D58A22" w14:textId="4F6D0F84" w:rsidR="00282B10" w:rsidRPr="003555CA" w:rsidRDefault="003555CA" w:rsidP="003555CA">
      <w:pPr>
        <w:pStyle w:val="NormalHanging12a"/>
        <w:widowControl/>
        <w:ind w:left="570" w:hanging="570"/>
        <w:rPr>
          <w:szCs w:val="24"/>
        </w:rPr>
      </w:pPr>
      <w:r w:rsidRPr="003555CA">
        <w:rPr>
          <w:szCs w:val="24"/>
        </w:rPr>
        <w:t>66.</w:t>
      </w:r>
      <w:r w:rsidRPr="003555CA">
        <w:rPr>
          <w:szCs w:val="24"/>
        </w:rPr>
        <w:tab/>
      </w:r>
      <w:r w:rsidR="00282B10" w:rsidRPr="003555CA">
        <w:t xml:space="preserve">συγχαίρει την </w:t>
      </w:r>
      <w:proofErr w:type="spellStart"/>
      <w:r w:rsidR="00282B10" w:rsidRPr="003555CA">
        <w:t>ΕτΠ</w:t>
      </w:r>
      <w:proofErr w:type="spellEnd"/>
      <w:r w:rsidR="00282B10" w:rsidRPr="003555CA">
        <w:t xml:space="preserve"> για τις δράσεις της όσον αφορά την ενίσχυση της προσβασιμότητας και την ιστορική διαφύλαξη των πληροφοριών της με τους εξής τρόπους: - διάθεση όλων των εγγράφων και των δημοσιεύσεών της σε μία κεντρική τοποθεσία μέσω των γραφικών στοιχείων (</w:t>
      </w:r>
      <w:proofErr w:type="spellStart"/>
      <w:r w:rsidR="00282B10" w:rsidRPr="003555CA">
        <w:t>widget</w:t>
      </w:r>
      <w:proofErr w:type="spellEnd"/>
      <w:r w:rsidR="00282B10" w:rsidRPr="003555CA">
        <w:t xml:space="preserve">) της Υπηρεσίας Εκδόσεων που ενσωματώθηκαν στον εξωτερικό ιστότοπο της </w:t>
      </w:r>
      <w:proofErr w:type="spellStart"/>
      <w:r w:rsidR="00282B10" w:rsidRPr="003555CA">
        <w:t>ΕτΠ</w:t>
      </w:r>
      <w:proofErr w:type="spellEnd"/>
      <w:r w:rsidR="00282B10" w:rsidRPr="003555CA">
        <w:t xml:space="preserve"> το 2024· </w:t>
      </w:r>
      <w:r w:rsidR="000774CB" w:rsidRPr="003555CA">
        <w:t>–</w:t>
      </w:r>
      <w:r w:rsidR="00282B10" w:rsidRPr="003555CA">
        <w:t xml:space="preserve"> εισαγωγή της πλατφόρμας </w:t>
      </w:r>
      <w:proofErr w:type="spellStart"/>
      <w:r w:rsidR="00282B10" w:rsidRPr="003555CA">
        <w:t>Panoramic</w:t>
      </w:r>
      <w:proofErr w:type="spellEnd"/>
      <w:r w:rsidR="00282B10" w:rsidRPr="003555CA">
        <w:t xml:space="preserve"> AI που βασίζεται στην ΤΝ, η οποία προσφέρει ενισχυμένη φιλική προς τον χρήστη πρόσβαση σε θεσμικό περιεχόμενο (σχετικά έγγραφα, παρουσιάσεις, συζητήσεις) το 2024· </w:t>
      </w:r>
      <w:r w:rsidR="000774CB" w:rsidRPr="003555CA">
        <w:t>–</w:t>
      </w:r>
      <w:r w:rsidR="00282B10" w:rsidRPr="003555CA">
        <w:t xml:space="preserve"> μεταφορά του πλήρους αρχείου εξωτερικών δελτίων Τύπου και ειδήσεων της ΕτΠ στην αίθουσα Τύπου της Γενικής Διεύθυνσης Επικοινωνιακών Δικτύων, Περιεχομένου και Τεχνολογιών (ΓΔ </w:t>
      </w:r>
      <w:proofErr w:type="spellStart"/>
      <w:r w:rsidR="00282B10" w:rsidRPr="003555CA">
        <w:t>Connect</w:t>
      </w:r>
      <w:proofErr w:type="spellEnd"/>
      <w:r w:rsidR="00282B10" w:rsidRPr="003555CA">
        <w:t xml:space="preserve">)· και </w:t>
      </w:r>
      <w:r w:rsidR="000774CB" w:rsidRPr="003555CA">
        <w:t>–</w:t>
      </w:r>
      <w:r w:rsidR="00282B10" w:rsidRPr="003555CA">
        <w:t xml:space="preserve"> μεταφορά για πρώτη φορά των ιστορικών αρχείων της ΕτΠ στο ιστορικό αρχείο της Ένωσης στη Φλωρεντία·</w:t>
      </w:r>
    </w:p>
    <w:p w14:paraId="6F212BA4" w14:textId="56427AC7" w:rsidR="00282B10" w:rsidRPr="003555CA" w:rsidRDefault="003555CA" w:rsidP="003555CA">
      <w:pPr>
        <w:pStyle w:val="NormalHanging12a"/>
        <w:widowControl/>
        <w:ind w:left="570" w:hanging="570"/>
      </w:pPr>
      <w:r w:rsidRPr="003555CA">
        <w:t>67.</w:t>
      </w:r>
      <w:r w:rsidRPr="003555CA">
        <w:tab/>
      </w:r>
      <w:r w:rsidR="00282B10" w:rsidRPr="003555CA">
        <w:t>αναγνωρίζει, με βάση την έκθεση αντικτύπου και την ετήσια έκθεση, τη συμβολή της ΕτΠ στην επικοινωνιακή εκστρατεία του Κοινοβουλίου για τις ευρωπαϊκές εκλογές του 2024, με τη συμμετοχή δικτύου 750 νέων αιρετών πολιτικών, την προώθηση του υλικού του Κοινοβουλίου, την παραγωγή βίντεο για την ενθάρρυνση της άσκησης του εκλογικού δικαιώματος με μέλη της ΕτΠ, τη διάθεση ιστοσελίδας στον ιστότοπο της ΕτΠ και την παραγωγή άλλου οπτικού περιεχομένου που προωθείται στα μέσα κοινωνικής δικτύωσης, το οποίο έφτασε σχεδόν τους 5 εκατομμύρια λογαριασμούς· επικροτεί τις προσπάθειες αυτές για τη συμμετοχή ευρέος και ποικιλόμορφου κοινού σε ολόκληρη την Ένωση και για την ευαισθητοποίηση σχετικά με τις ευρωπαϊκές εκλογές του 2024· υπογραμμίζει ότι η εν λόγω διοργανική συνεργασία σχετικά με τις πολιτικές της Ένωσης, ιδίως όσον αφορά το έργο του Κοινοβουλίου, είναι απαραίτητη για την προσέγγιση των πολιτών σε όλες τις περιφέρειες της ΕΕ, την ενίσχυση της δημοκρατικής συμμετοχής και την ενίσχυση της δημοκρατικής νομιμότητας της Ένωσης·</w:t>
      </w:r>
    </w:p>
    <w:p w14:paraId="669424FE" w14:textId="6CE63314" w:rsidR="00282B10" w:rsidRPr="003555CA" w:rsidRDefault="003555CA" w:rsidP="003555CA">
      <w:pPr>
        <w:pStyle w:val="NormalHanging12a"/>
        <w:widowControl/>
        <w:ind w:left="570" w:hanging="570"/>
      </w:pPr>
      <w:r w:rsidRPr="003555CA">
        <w:t>68.</w:t>
      </w:r>
      <w:r w:rsidRPr="003555CA">
        <w:tab/>
      </w:r>
      <w:r w:rsidR="00282B10" w:rsidRPr="003555CA">
        <w:t>σημειώνει, με βάση την ετήσια έκθεση, την επιτυχία της ΕτΠ όσον αφορά την απήχηση στα μέσα ενημέρωσης, όπως καταδεικνύεται από τους συνολικούς δείκτες μέτρησης για το 2024, όπως: αύξηση κατά 28 % των διαδικτυακών επισκεπτών, αύξηση κατά 11,60 % των ακολούθων και αύξηση κατά 16 % της οργανικής ψηφιακής συμμετοχής·</w:t>
      </w:r>
    </w:p>
    <w:p w14:paraId="4E886F6C" w14:textId="0BD7B277" w:rsidR="00DE7476" w:rsidRPr="003555CA" w:rsidRDefault="003555CA" w:rsidP="003555CA">
      <w:pPr>
        <w:pStyle w:val="NormalHanging12a"/>
        <w:widowControl/>
        <w:ind w:left="570" w:hanging="570"/>
      </w:pPr>
      <w:r w:rsidRPr="003555CA">
        <w:t>69.</w:t>
      </w:r>
      <w:r w:rsidRPr="003555CA">
        <w:tab/>
      </w:r>
      <w:r w:rsidR="00282B10" w:rsidRPr="003555CA">
        <w:t xml:space="preserve">σημειώνει ότι η </w:t>
      </w:r>
      <w:proofErr w:type="spellStart"/>
      <w:r w:rsidR="00282B10" w:rsidRPr="003555CA">
        <w:t>ΕτΠ</w:t>
      </w:r>
      <w:proofErr w:type="spellEnd"/>
      <w:r w:rsidR="00282B10" w:rsidRPr="003555CA">
        <w:t xml:space="preserve"> δεν συμμετείχε στην εκδήλωση της Εβδομάδας Ρομά το 2024·</w:t>
      </w:r>
    </w:p>
    <w:p w14:paraId="28757E22" w14:textId="288EDD97" w:rsidR="00E365E1" w:rsidRPr="003555CA" w:rsidRDefault="003555CA" w:rsidP="003555CA">
      <w:pPr>
        <w:widowControl/>
        <w:spacing w:after="240"/>
        <w:ind w:left="570" w:hanging="570"/>
      </w:pPr>
      <w:r w:rsidRPr="003555CA">
        <w:t>70.</w:t>
      </w:r>
      <w:r w:rsidRPr="003555CA">
        <w:tab/>
      </w:r>
      <w:r w:rsidR="00282B10" w:rsidRPr="003555CA">
        <w:t>επισημαίνει ότι όλα τα στοιχεία της επικοινωνιακής στρατηγικής της ΕτΠ αποσκοπούν στην ενίσχυση της θεσμικής προβολής και της πολιτικής θέσης της ως αντιπροσωπευτικού οργάνου των περιφερειών, των πόλεων, των κωμοπόλεων και των δήμων της Ένωσης, καθώς και στην ανάδειξη του ρόλου των μελών της στη σύνδεση των πολιτικών της Ένωσης με τους πολίτες σε τοπικό και περιφερειακό επίπεδο.</w:t>
      </w:r>
    </w:p>
    <w:sectPr w:rsidR="00E365E1" w:rsidRPr="003555CA" w:rsidSect="00004B1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F0B45" w14:textId="77777777" w:rsidR="00A857F3" w:rsidRPr="00004B16" w:rsidRDefault="00A857F3">
      <w:r w:rsidRPr="00004B16">
        <w:separator/>
      </w:r>
    </w:p>
  </w:endnote>
  <w:endnote w:type="continuationSeparator" w:id="0">
    <w:p w14:paraId="600A5C56" w14:textId="77777777" w:rsidR="00A857F3" w:rsidRPr="00004B16" w:rsidRDefault="00A857F3">
      <w:r w:rsidRPr="00004B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12D66" w14:textId="77777777" w:rsidR="00282B10" w:rsidRPr="00004B16" w:rsidRDefault="00282B10" w:rsidP="009B264A">
    <w:pPr>
      <w:pStyle w:val="EPFooter"/>
    </w:pPr>
    <w:r w:rsidRPr="00004B16">
      <w:t>PE</w:t>
    </w:r>
    <w:r w:rsidRPr="00004B16">
      <w:rPr>
        <w:rStyle w:val="HideTWBExt"/>
      </w:rPr>
      <w:t>&lt;NoPE&gt;</w:t>
    </w:r>
    <w:r w:rsidRPr="00004B16">
      <w:t>778.064</w:t>
    </w:r>
    <w:r w:rsidRPr="00004B16">
      <w:rPr>
        <w:rStyle w:val="HideTWBExt"/>
      </w:rPr>
      <w:t>&lt;/NoPE&gt;&lt;Version&gt;</w:t>
    </w:r>
    <w:r w:rsidRPr="00004B16">
      <w:t>v02-00</w:t>
    </w:r>
    <w:r w:rsidRPr="00004B16">
      <w:rPr>
        <w:rStyle w:val="HideTWBExt"/>
      </w:rPr>
      <w:t>&lt;/Version&gt;</w:t>
    </w:r>
    <w:r w:rsidRPr="00004B16">
      <w:tab/>
    </w:r>
    <w:r w:rsidRPr="00004B16">
      <w:fldChar w:fldCharType="begin"/>
    </w:r>
    <w:r w:rsidRPr="00004B16">
      <w:instrText xml:space="preserve"> PAGE  \* MERGEFORMAT </w:instrText>
    </w:r>
    <w:r w:rsidRPr="00004B16">
      <w:fldChar w:fldCharType="separate"/>
    </w:r>
    <w:r w:rsidRPr="00004B16">
      <w:rPr>
        <w:noProof/>
      </w:rPr>
      <w:t>1</w:t>
    </w:r>
    <w:r w:rsidRPr="00004B16">
      <w:fldChar w:fldCharType="end"/>
    </w:r>
    <w:r w:rsidRPr="00004B16">
      <w:t>/</w:t>
    </w:r>
    <w:fldSimple w:instr=" NUMPAGES  \* MERGEFORMAT ">
      <w:r w:rsidRPr="00004B16">
        <w:rPr>
          <w:noProof/>
        </w:rPr>
        <w:t>1</w:t>
      </w:r>
    </w:fldSimple>
    <w:r w:rsidRPr="00004B16">
      <w:tab/>
    </w:r>
    <w:r w:rsidRPr="00004B16">
      <w:rPr>
        <w:rStyle w:val="HideTWBExt"/>
      </w:rPr>
      <w:t>&lt;PathFdR&gt;</w:t>
    </w:r>
    <w:r w:rsidRPr="00004B16">
      <w:t>RR\1339441EL.docx</w:t>
    </w:r>
    <w:r w:rsidRPr="00004B16">
      <w:rPr>
        <w:rStyle w:val="HideTWBExt"/>
      </w:rPr>
      <w:t>&lt;/PathFdR&gt;</w:t>
    </w:r>
  </w:p>
  <w:p w14:paraId="009785A3" w14:textId="77777777" w:rsidR="00282B10" w:rsidRPr="00004B16" w:rsidRDefault="00282B10" w:rsidP="009B264A">
    <w:pPr>
      <w:pStyle w:val="EPFooter2"/>
    </w:pPr>
    <w:r w:rsidRPr="00004B16">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89A6" w14:textId="77777777" w:rsidR="00282B10" w:rsidRPr="00004B16" w:rsidRDefault="00282B10" w:rsidP="009B264A">
    <w:pPr>
      <w:pStyle w:val="EPFooter"/>
    </w:pPr>
    <w:r w:rsidRPr="00004B16">
      <w:rPr>
        <w:rStyle w:val="HideTWBExt"/>
      </w:rPr>
      <w:t>&lt;PathFdR&gt;</w:t>
    </w:r>
    <w:r w:rsidRPr="00004B16">
      <w:t>RR\1339441EL.docx</w:t>
    </w:r>
    <w:r w:rsidRPr="00004B16">
      <w:rPr>
        <w:rStyle w:val="HideTWBExt"/>
      </w:rPr>
      <w:t>&lt;/PathFdR&gt;</w:t>
    </w:r>
    <w:r w:rsidRPr="00004B16">
      <w:tab/>
    </w:r>
    <w:r w:rsidRPr="00004B16">
      <w:tab/>
      <w:t>PE</w:t>
    </w:r>
    <w:r w:rsidRPr="00004B16">
      <w:rPr>
        <w:rStyle w:val="HideTWBExt"/>
      </w:rPr>
      <w:t>&lt;NoPE&gt;</w:t>
    </w:r>
    <w:r w:rsidRPr="00004B16">
      <w:t>778.064</w:t>
    </w:r>
    <w:r w:rsidRPr="00004B16">
      <w:rPr>
        <w:rStyle w:val="HideTWBExt"/>
      </w:rPr>
      <w:t>&lt;/NoPE&gt;&lt;Version&gt;</w:t>
    </w:r>
    <w:r w:rsidRPr="00004B16">
      <w:t>v02-00</w:t>
    </w:r>
    <w:r w:rsidRPr="00004B16">
      <w:rPr>
        <w:rStyle w:val="HideTWBExt"/>
      </w:rPr>
      <w:t>&lt;/Version&gt;</w:t>
    </w:r>
  </w:p>
  <w:p w14:paraId="0FC095DA" w14:textId="77777777" w:rsidR="00282B10" w:rsidRPr="00004B16" w:rsidRDefault="00282B10" w:rsidP="009B264A">
    <w:pPr>
      <w:pStyle w:val="EPFooter2"/>
    </w:pPr>
    <w:r w:rsidRPr="00004B16">
      <w:t>EL</w:t>
    </w:r>
    <w:r w:rsidRPr="00004B16">
      <w:tab/>
    </w:r>
    <w:r w:rsidRPr="00004B16">
      <w:rPr>
        <w:b w:val="0"/>
        <w:i/>
        <w:color w:val="C0C0C0"/>
        <w:sz w:val="22"/>
      </w:rPr>
      <w:t>Ενωμένη στην πολυμορφία</w:t>
    </w:r>
    <w:r w:rsidRPr="00004B16">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9DC7" w14:textId="77777777" w:rsidR="00064002" w:rsidRPr="00004B1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2592D" w14:textId="77777777" w:rsidR="00064002" w:rsidRPr="00004B1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E6E50" w14:textId="77777777" w:rsidR="00064002" w:rsidRPr="00004B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AB8FD" w14:textId="77777777" w:rsidR="00A857F3" w:rsidRPr="00004B16" w:rsidRDefault="00A857F3">
      <w:r w:rsidRPr="00004B16">
        <w:separator/>
      </w:r>
    </w:p>
  </w:footnote>
  <w:footnote w:type="continuationSeparator" w:id="0">
    <w:p w14:paraId="525D24AB" w14:textId="77777777" w:rsidR="00A857F3" w:rsidRPr="00004B16" w:rsidRDefault="00A857F3">
      <w:r w:rsidRPr="00004B16">
        <w:continuationSeparator/>
      </w:r>
    </w:p>
  </w:footnote>
  <w:footnote w:id="1">
    <w:p w14:paraId="69033E16" w14:textId="4963D68B" w:rsidR="00282B10" w:rsidRPr="003555CA" w:rsidRDefault="00282B10" w:rsidP="00DE7476">
      <w:pPr>
        <w:pStyle w:val="FootnoteText"/>
        <w:spacing w:line="240" w:lineRule="auto"/>
        <w:ind w:left="567" w:hanging="567"/>
        <w:rPr>
          <w:sz w:val="24"/>
          <w:lang w:val="fi-FI"/>
        </w:rPr>
      </w:pPr>
      <w:r w:rsidRPr="00004B16">
        <w:rPr>
          <w:rStyle w:val="FootnoteReference"/>
          <w:sz w:val="24"/>
          <w:lang w:val="el-GR"/>
        </w:rPr>
        <w:footnoteRef/>
      </w:r>
      <w:r w:rsidR="00004B16" w:rsidRPr="003555CA">
        <w:rPr>
          <w:sz w:val="24"/>
          <w:lang w:val="fi-FI"/>
        </w:rPr>
        <w:t xml:space="preserve"> </w:t>
      </w:r>
      <w:r w:rsidR="00004B16" w:rsidRPr="003555CA">
        <w:rPr>
          <w:sz w:val="24"/>
          <w:lang w:val="fi-FI"/>
        </w:rPr>
        <w:tab/>
      </w:r>
      <w:r w:rsidRPr="00004B16">
        <w:rPr>
          <w:sz w:val="24"/>
          <w:lang w:val="el-GR"/>
        </w:rPr>
        <w:t>ΕΕ</w:t>
      </w:r>
      <w:r w:rsidRPr="003555CA">
        <w:rPr>
          <w:sz w:val="24"/>
          <w:lang w:val="fi-FI"/>
        </w:rPr>
        <w:t xml:space="preserve"> L</w:t>
      </w:r>
      <w:r w:rsidR="00F94D51" w:rsidRPr="003555CA">
        <w:rPr>
          <w:sz w:val="24"/>
          <w:lang w:val="fi-FI"/>
        </w:rPr>
        <w:t>, 2024/</w:t>
      </w:r>
      <w:r w:rsidRPr="003555CA">
        <w:rPr>
          <w:sz w:val="24"/>
          <w:lang w:val="fi-FI"/>
        </w:rPr>
        <w:t xml:space="preserve">207, 22.2.2024, ELI: </w:t>
      </w:r>
      <w:hyperlink r:id="rId1" w:history="1">
        <w:r w:rsidRPr="003555CA">
          <w:rPr>
            <w:rStyle w:val="Hyperlink"/>
            <w:sz w:val="24"/>
            <w:lang w:val="fi-FI"/>
          </w:rPr>
          <w:t>http://data.europa.eu/eli/budget/2024/207/oj</w:t>
        </w:r>
      </w:hyperlink>
      <w:r w:rsidRPr="003555CA">
        <w:rPr>
          <w:sz w:val="24"/>
          <w:lang w:val="fi-FI"/>
        </w:rPr>
        <w:t>.</w:t>
      </w:r>
    </w:p>
  </w:footnote>
  <w:footnote w:id="2">
    <w:p w14:paraId="3C71C04A" w14:textId="7AF2BD31" w:rsidR="00282B10" w:rsidRPr="00004B16" w:rsidRDefault="00282B10" w:rsidP="00DE7476">
      <w:pPr>
        <w:pStyle w:val="FootnoteText"/>
        <w:spacing w:line="240" w:lineRule="auto"/>
        <w:ind w:left="567" w:hanging="567"/>
        <w:rPr>
          <w:sz w:val="24"/>
          <w:lang w:val="el-GR"/>
        </w:rPr>
      </w:pPr>
      <w:r w:rsidRPr="00004B16">
        <w:rPr>
          <w:rStyle w:val="FootnoteReference"/>
          <w:sz w:val="24"/>
          <w:lang w:val="el-GR"/>
        </w:rPr>
        <w:footnoteRef/>
      </w:r>
      <w:r w:rsidR="00004B16" w:rsidRPr="00004B16">
        <w:rPr>
          <w:sz w:val="24"/>
          <w:lang w:val="el-GR"/>
        </w:rPr>
        <w:t xml:space="preserve"> </w:t>
      </w:r>
      <w:r w:rsidR="00004B16" w:rsidRPr="00004B16">
        <w:rPr>
          <w:sz w:val="24"/>
          <w:lang w:val="el-GR"/>
        </w:rPr>
        <w:tab/>
      </w:r>
      <w:r w:rsidRPr="00004B16">
        <w:rPr>
          <w:sz w:val="24"/>
          <w:lang w:val="el-GR"/>
        </w:rPr>
        <w:t>ΕΕ C, C/2025/4944, 13.10.2025, ELI: </w:t>
      </w:r>
      <w:hyperlink r:id="rId2" w:tgtFrame="_blank" w:tooltip="Πρόσβαση στο έγγραφο μέσω URI τύπου ELI." w:history="1">
        <w:r w:rsidRPr="00004B16">
          <w:rPr>
            <w:rStyle w:val="Hyperlink"/>
            <w:sz w:val="24"/>
            <w:lang w:val="el-GR"/>
          </w:rPr>
          <w:t>http://data.europa.eu/eli/C/2025/4944/oj</w:t>
        </w:r>
      </w:hyperlink>
      <w:r w:rsidRPr="00004B16">
        <w:rPr>
          <w:sz w:val="24"/>
          <w:lang w:val="el-GR"/>
        </w:rPr>
        <w:t>.</w:t>
      </w:r>
    </w:p>
  </w:footnote>
  <w:footnote w:id="3">
    <w:p w14:paraId="72EA98BE" w14:textId="33FFDECF" w:rsidR="00282B10" w:rsidRPr="003555CA" w:rsidRDefault="00282B10" w:rsidP="00DE7476">
      <w:pPr>
        <w:pStyle w:val="FootnoteText"/>
        <w:spacing w:line="240" w:lineRule="auto"/>
        <w:ind w:left="567" w:hanging="567"/>
        <w:rPr>
          <w:sz w:val="24"/>
          <w:lang w:val="fi-FI"/>
        </w:rPr>
      </w:pPr>
      <w:r w:rsidRPr="00004B16">
        <w:rPr>
          <w:rStyle w:val="FootnoteReference"/>
          <w:sz w:val="24"/>
          <w:lang w:val="el-GR"/>
        </w:rPr>
        <w:footnoteRef/>
      </w:r>
      <w:r w:rsidR="00004B16" w:rsidRPr="003555CA">
        <w:rPr>
          <w:sz w:val="24"/>
          <w:lang w:val="fi-FI"/>
        </w:rPr>
        <w:t xml:space="preserve"> </w:t>
      </w:r>
      <w:r w:rsidR="00004B16" w:rsidRPr="003555CA">
        <w:rPr>
          <w:sz w:val="24"/>
          <w:lang w:val="fi-FI"/>
        </w:rPr>
        <w:tab/>
      </w:r>
      <w:r w:rsidRPr="00004B16">
        <w:rPr>
          <w:sz w:val="24"/>
          <w:lang w:val="el-GR"/>
        </w:rPr>
        <w:t>ΕΕ</w:t>
      </w:r>
      <w:r w:rsidRPr="003555CA">
        <w:rPr>
          <w:sz w:val="24"/>
          <w:lang w:val="fi-FI"/>
        </w:rPr>
        <w:t xml:space="preserve"> C, C/2025/5409, 8.10.2025, ELI: </w:t>
      </w:r>
      <w:hyperlink r:id="rId3" w:history="1">
        <w:r w:rsidRPr="003555CA">
          <w:rPr>
            <w:rStyle w:val="Hyperlink"/>
            <w:sz w:val="24"/>
            <w:lang w:val="fi-FI"/>
          </w:rPr>
          <w:t>http://data.europa.eu/eli/C/2025/5409/oj</w:t>
        </w:r>
      </w:hyperlink>
      <w:r w:rsidRPr="003555CA">
        <w:rPr>
          <w:sz w:val="24"/>
          <w:lang w:val="fi-FI"/>
        </w:rPr>
        <w:t>.</w:t>
      </w:r>
    </w:p>
  </w:footnote>
  <w:footnote w:id="4">
    <w:p w14:paraId="2CF2A444" w14:textId="5814D720" w:rsidR="00282B10" w:rsidRPr="003555CA" w:rsidRDefault="00282B10" w:rsidP="00DE7476">
      <w:pPr>
        <w:pStyle w:val="FootnoteText"/>
        <w:spacing w:line="240" w:lineRule="auto"/>
        <w:ind w:left="567" w:hanging="567"/>
        <w:rPr>
          <w:sz w:val="24"/>
          <w:lang w:val="fi-FI"/>
        </w:rPr>
      </w:pPr>
      <w:r w:rsidRPr="00004B16">
        <w:rPr>
          <w:rStyle w:val="FootnoteReference"/>
          <w:sz w:val="24"/>
          <w:lang w:val="el-GR"/>
        </w:rPr>
        <w:footnoteRef/>
      </w:r>
      <w:r w:rsidR="00004B16" w:rsidRPr="003555CA">
        <w:rPr>
          <w:sz w:val="24"/>
          <w:lang w:val="fi-FI"/>
        </w:rPr>
        <w:t xml:space="preserve"> </w:t>
      </w:r>
      <w:r w:rsidR="00004B16" w:rsidRPr="003555CA">
        <w:rPr>
          <w:sz w:val="24"/>
          <w:lang w:val="fi-FI"/>
        </w:rPr>
        <w:tab/>
      </w:r>
      <w:r w:rsidRPr="00004B16">
        <w:rPr>
          <w:sz w:val="24"/>
          <w:lang w:val="el-GR"/>
        </w:rPr>
        <w:t>ΕΕ</w:t>
      </w:r>
      <w:r w:rsidRPr="003555CA">
        <w:rPr>
          <w:sz w:val="24"/>
          <w:lang w:val="fi-FI"/>
        </w:rPr>
        <w:t xml:space="preserve"> C, C/2025/5407, 13.10.2025, ELI: </w:t>
      </w:r>
      <w:hyperlink r:id="rId4" w:history="1">
        <w:r w:rsidRPr="003555CA">
          <w:rPr>
            <w:rStyle w:val="Hyperlink"/>
            <w:sz w:val="24"/>
            <w:lang w:val="fi-FI"/>
          </w:rPr>
          <w:t>http://data.europa.eu/eli/C/2025/5407/oj</w:t>
        </w:r>
      </w:hyperlink>
      <w:r w:rsidRPr="003555CA">
        <w:rPr>
          <w:sz w:val="24"/>
          <w:lang w:val="fi-FI"/>
        </w:rPr>
        <w:t xml:space="preserve">. </w:t>
      </w:r>
    </w:p>
  </w:footnote>
  <w:footnote w:id="5">
    <w:p w14:paraId="73948643" w14:textId="04C11406" w:rsidR="00282B10" w:rsidRPr="00004B16" w:rsidRDefault="00282B10" w:rsidP="00DE7476">
      <w:pPr>
        <w:pStyle w:val="FootnoteText"/>
        <w:spacing w:line="240" w:lineRule="auto"/>
        <w:ind w:left="567" w:hanging="567"/>
        <w:rPr>
          <w:sz w:val="24"/>
          <w:lang w:val="el-GR"/>
        </w:rPr>
      </w:pPr>
      <w:r w:rsidRPr="00004B16">
        <w:rPr>
          <w:rStyle w:val="FootnoteReference"/>
          <w:sz w:val="24"/>
          <w:lang w:val="el-GR"/>
        </w:rPr>
        <w:footnoteRef/>
      </w:r>
      <w:r w:rsidR="00004B16" w:rsidRPr="00004B16">
        <w:rPr>
          <w:sz w:val="24"/>
          <w:lang w:val="el-GR"/>
        </w:rPr>
        <w:t xml:space="preserve"> </w:t>
      </w:r>
      <w:r w:rsidR="00004B16" w:rsidRPr="00004B16">
        <w:rPr>
          <w:sz w:val="24"/>
          <w:lang w:val="el-GR"/>
        </w:rPr>
        <w:tab/>
      </w:r>
      <w:r w:rsidRPr="00004B16">
        <w:rPr>
          <w:sz w:val="24"/>
          <w:lang w:val="el-GR"/>
        </w:rPr>
        <w:t xml:space="preserve">ΕΕ L 193 της 30.7.2018, σ. </w:t>
      </w:r>
      <w:r w:rsidRPr="00004B16">
        <w:rPr>
          <w:sz w:val="24"/>
          <w:lang w:val="el-GR"/>
        </w:rPr>
        <w:t xml:space="preserve">1, ELI: </w:t>
      </w:r>
      <w:hyperlink r:id="rId5" w:history="1">
        <w:r w:rsidRPr="00004B16">
          <w:rPr>
            <w:rStyle w:val="Hyperlink"/>
            <w:sz w:val="24"/>
            <w:lang w:val="el-GR"/>
          </w:rPr>
          <w:t>http://data.europa.eu/eli/reg/2018/1046/oj</w:t>
        </w:r>
      </w:hyperlink>
      <w:r w:rsidRPr="00004B16">
        <w:rPr>
          <w:sz w:val="24"/>
          <w:lang w:val="el-GR"/>
        </w:rPr>
        <w:t>.</w:t>
      </w:r>
    </w:p>
  </w:footnote>
  <w:footnote w:id="6">
    <w:p w14:paraId="23EFB612" w14:textId="28E9B388" w:rsidR="00282B10" w:rsidRPr="003555CA" w:rsidRDefault="00282B10" w:rsidP="00DE7476">
      <w:pPr>
        <w:pStyle w:val="FootnoteText"/>
        <w:spacing w:line="240" w:lineRule="auto"/>
        <w:ind w:left="567" w:hanging="567"/>
        <w:rPr>
          <w:sz w:val="24"/>
          <w:lang w:val="fi-FI"/>
        </w:rPr>
      </w:pPr>
      <w:r w:rsidRPr="00004B16">
        <w:rPr>
          <w:rStyle w:val="FootnoteReference"/>
          <w:sz w:val="24"/>
          <w:lang w:val="el-GR"/>
        </w:rPr>
        <w:footnoteRef/>
      </w:r>
      <w:r w:rsidR="00004B16" w:rsidRPr="003555CA">
        <w:rPr>
          <w:sz w:val="24"/>
          <w:lang w:val="fi-FI"/>
        </w:rPr>
        <w:t xml:space="preserve"> </w:t>
      </w:r>
      <w:r w:rsidR="00004B16" w:rsidRPr="003555CA">
        <w:rPr>
          <w:sz w:val="24"/>
          <w:lang w:val="fi-FI"/>
        </w:rPr>
        <w:tab/>
      </w:r>
      <w:r w:rsidRPr="00004B16">
        <w:rPr>
          <w:sz w:val="24"/>
          <w:lang w:val="el-GR"/>
        </w:rPr>
        <w:t>ΕΕ</w:t>
      </w:r>
      <w:r w:rsidRPr="003555CA">
        <w:rPr>
          <w:sz w:val="24"/>
          <w:lang w:val="fi-FI"/>
        </w:rPr>
        <w:t xml:space="preserve"> L, 2024/2509, 26.9.2024, ELI: </w:t>
      </w:r>
      <w:hyperlink r:id="rId6" w:history="1">
        <w:r w:rsidRPr="003555CA">
          <w:rPr>
            <w:rStyle w:val="Hyperlink"/>
            <w:sz w:val="24"/>
            <w:lang w:val="fi-FI"/>
          </w:rPr>
          <w:t>http://data.europa.eu/eli/reg/2024/2509/oj</w:t>
        </w:r>
      </w:hyperlink>
      <w:r w:rsidRPr="003555CA">
        <w:rPr>
          <w:sz w:val="24"/>
          <w:lang w:val="fi-FI"/>
        </w:rPr>
        <w:t>.</w:t>
      </w:r>
    </w:p>
  </w:footnote>
  <w:footnote w:id="7">
    <w:p w14:paraId="3E28A296" w14:textId="16286F42" w:rsidR="00282B10" w:rsidRPr="00004B16" w:rsidRDefault="00282B10" w:rsidP="00DE7476">
      <w:pPr>
        <w:pStyle w:val="FootnoteText"/>
        <w:spacing w:line="240" w:lineRule="auto"/>
        <w:ind w:left="567" w:hanging="567"/>
        <w:rPr>
          <w:sz w:val="24"/>
          <w:lang w:val="el-GR"/>
        </w:rPr>
      </w:pPr>
      <w:r w:rsidRPr="00004B16">
        <w:rPr>
          <w:rStyle w:val="FootnoteReference"/>
          <w:sz w:val="24"/>
          <w:lang w:val="el-GR"/>
        </w:rPr>
        <w:footnoteRef/>
      </w:r>
      <w:r w:rsidR="00004B16" w:rsidRPr="00004B16">
        <w:rPr>
          <w:sz w:val="24"/>
          <w:lang w:val="el-GR"/>
        </w:rPr>
        <w:t xml:space="preserve"> </w:t>
      </w:r>
      <w:r w:rsidR="00004B16" w:rsidRPr="00004B16">
        <w:rPr>
          <w:sz w:val="24"/>
          <w:lang w:val="el-GR"/>
        </w:rPr>
        <w:tab/>
      </w:r>
      <w:r w:rsidRPr="00004B16">
        <w:rPr>
          <w:sz w:val="24"/>
          <w:lang w:val="el-GR"/>
        </w:rPr>
        <w:t>Ψήφισμα της Ευρωπαϊκής Επιτροπής των Περιφερειών — Οι προτεραιότητες της Ευρωπαϊκής Επιτροπής των Περιφερειών για την περίοδο 2020-2025 — Η Ευρώπη πιο κοντά στους πολίτες μέσω των χωριών, των πόλεων και των περιφερειών της (ΕΕ C 324 της 1.10.2020, σ. 8).</w:t>
      </w:r>
    </w:p>
  </w:footnote>
  <w:footnote w:id="8">
    <w:p w14:paraId="37F22A5C" w14:textId="5DFEEF58" w:rsidR="00282B10" w:rsidRPr="00004B16" w:rsidRDefault="00282B10" w:rsidP="00DE7476">
      <w:pPr>
        <w:pStyle w:val="FootnoteText"/>
        <w:spacing w:line="240" w:lineRule="auto"/>
        <w:ind w:left="567" w:hanging="567"/>
        <w:rPr>
          <w:sz w:val="24"/>
          <w:lang w:val="el-GR"/>
        </w:rPr>
      </w:pPr>
      <w:r w:rsidRPr="00004B16">
        <w:rPr>
          <w:rStyle w:val="FootnoteReference"/>
          <w:sz w:val="24"/>
          <w:lang w:val="el-GR"/>
        </w:rPr>
        <w:footnoteRef/>
      </w:r>
      <w:r w:rsidR="00004B16" w:rsidRPr="00004B16">
        <w:rPr>
          <w:sz w:val="24"/>
          <w:lang w:val="el-GR"/>
        </w:rPr>
        <w:t xml:space="preserve"> </w:t>
      </w:r>
      <w:r w:rsidR="00004B16" w:rsidRPr="00004B16">
        <w:rPr>
          <w:sz w:val="24"/>
          <w:lang w:val="el-GR"/>
        </w:rPr>
        <w:tab/>
      </w:r>
      <w:r w:rsidRPr="00004B16">
        <w:rPr>
          <w:sz w:val="24"/>
          <w:lang w:val="el-GR"/>
        </w:rPr>
        <w:t>Κανονισμός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 (ΕΕ L 231 της 30.6.2021, σ. </w:t>
      </w:r>
      <w:r w:rsidRPr="00004B16">
        <w:rPr>
          <w:sz w:val="24"/>
          <w:lang w:val="el-GR"/>
        </w:rPr>
        <w:t>159, ELI: </w:t>
      </w:r>
      <w:hyperlink r:id="rId7" w:tooltip="Πρόσβαση στο έγγραφο μέσω URI τύπου ELI." w:history="1">
        <w:r w:rsidRPr="00004B16">
          <w:rPr>
            <w:rStyle w:val="Hyperlink"/>
            <w:sz w:val="24"/>
            <w:lang w:val="el-GR"/>
          </w:rPr>
          <w:t>http://data.europa.eu/eli/reg/2021/1060/oj</w:t>
        </w:r>
      </w:hyperlink>
      <w:r w:rsidRPr="00004B16">
        <w:rPr>
          <w:sz w:val="24"/>
          <w:lang w:val="el-GR"/>
        </w:rPr>
        <w:t>).</w:t>
      </w:r>
    </w:p>
  </w:footnote>
  <w:footnote w:id="9">
    <w:p w14:paraId="604FEB67" w14:textId="74461930" w:rsidR="00282B10" w:rsidRPr="00004B16" w:rsidRDefault="00282B10" w:rsidP="00DE7476">
      <w:pPr>
        <w:pStyle w:val="FootnoteText"/>
        <w:spacing w:line="240" w:lineRule="auto"/>
        <w:ind w:left="567" w:hanging="567"/>
        <w:rPr>
          <w:sz w:val="24"/>
          <w:szCs w:val="16"/>
          <w:lang w:val="el-GR"/>
        </w:rPr>
      </w:pPr>
      <w:r w:rsidRPr="00004B16">
        <w:rPr>
          <w:rStyle w:val="FootnoteReference"/>
          <w:sz w:val="24"/>
          <w:lang w:val="el-GR"/>
        </w:rPr>
        <w:footnoteRef/>
      </w:r>
      <w:r w:rsidR="00004B16" w:rsidRPr="00004B16">
        <w:rPr>
          <w:sz w:val="24"/>
          <w:lang w:val="el-GR"/>
        </w:rPr>
        <w:t xml:space="preserve"> </w:t>
      </w:r>
      <w:r w:rsidR="00004B16" w:rsidRPr="00004B16">
        <w:rPr>
          <w:sz w:val="24"/>
          <w:lang w:val="el-GR"/>
        </w:rPr>
        <w:tab/>
      </w:r>
      <w:r w:rsidRPr="00004B16">
        <w:rPr>
          <w:sz w:val="24"/>
          <w:lang w:val="el-GR"/>
        </w:rPr>
        <w:t xml:space="preserve">Κανονισμός (ΕΕ) 2021/241 του Ευρωπαϊκού Κοινοβουλίου και του Συμβουλίου, της 12ης Φεβρουαρίου 2021, για τη θέσπιση του μηχανισμού ανάκαμψης και ανθεκτικότητας (ΕΕ L 57 της 18.2.2021, σ. </w:t>
      </w:r>
      <w:r w:rsidRPr="00004B16">
        <w:rPr>
          <w:sz w:val="24"/>
          <w:lang w:val="el-GR"/>
        </w:rPr>
        <w:t xml:space="preserve">17, </w:t>
      </w:r>
      <w:r w:rsidRPr="00004B16">
        <w:rPr>
          <w:color w:val="333333"/>
          <w:sz w:val="24"/>
          <w:shd w:val="clear" w:color="auto" w:fill="FFFFFF"/>
          <w:lang w:val="el-GR"/>
        </w:rPr>
        <w:t>ELI:  </w:t>
      </w:r>
      <w:hyperlink r:id="rId8" w:tooltip="Πρόσβαση στο έγγραφο μέσω URI τύπου ELI." w:history="1">
        <w:r w:rsidRPr="00004B16">
          <w:rPr>
            <w:rStyle w:val="Hyperlink"/>
            <w:sz w:val="24"/>
            <w:shd w:val="clear" w:color="auto" w:fill="FFFFFF"/>
            <w:lang w:val="el-GR"/>
          </w:rPr>
          <w:t>http://data.europa.eu/eli/reg/2021/241/oj</w:t>
        </w:r>
      </w:hyperlink>
      <w:r w:rsidRPr="00004B16">
        <w:rPr>
          <w:sz w:val="24"/>
          <w:lang w:val="el-GR"/>
        </w:rPr>
        <w:t>).</w:t>
      </w:r>
    </w:p>
  </w:footnote>
  <w:footnote w:id="10">
    <w:p w14:paraId="7506C267" w14:textId="407343B8" w:rsidR="00282B10" w:rsidRPr="00004B16" w:rsidRDefault="00282B10" w:rsidP="00DE7476">
      <w:pPr>
        <w:pStyle w:val="FootnoteText"/>
        <w:spacing w:line="240" w:lineRule="auto"/>
        <w:ind w:left="567" w:hanging="567"/>
        <w:rPr>
          <w:sz w:val="24"/>
          <w:lang w:val="el-GR"/>
        </w:rPr>
      </w:pPr>
      <w:r w:rsidRPr="00004B16">
        <w:rPr>
          <w:rStyle w:val="FootnoteReference"/>
          <w:sz w:val="24"/>
          <w:lang w:val="el-GR"/>
        </w:rPr>
        <w:footnoteRef/>
      </w:r>
      <w:r w:rsidR="00004B16" w:rsidRPr="00004B16">
        <w:rPr>
          <w:sz w:val="24"/>
          <w:lang w:val="el-GR"/>
        </w:rPr>
        <w:t xml:space="preserve"> </w:t>
      </w:r>
      <w:r w:rsidR="00004B16" w:rsidRPr="00004B16">
        <w:rPr>
          <w:sz w:val="24"/>
          <w:lang w:val="el-GR"/>
        </w:rPr>
        <w:tab/>
      </w:r>
      <w:r w:rsidRPr="00004B16">
        <w:rPr>
          <w:sz w:val="24"/>
          <w:lang w:val="el-GR"/>
        </w:rPr>
        <w:t xml:space="preserve">Κανονισμός (ΕΕ) 2024/1991 του Ευρωπαϊκού Κοινοβουλίου και του Συμβουλίου, της 24ης Ιουνίου 2024, για την αποκατάσταση της φύσης και την τροποποίηση του κανονισμού (ΕΕ) 2022/869 (ΕΕ L, 2024/1991, 29.7.2024, ELI: </w:t>
      </w:r>
      <w:hyperlink r:id="rId9" w:tooltip="Πρόσβαση στο έγγραφο μέσω URI τύπου ELI." w:history="1">
        <w:r w:rsidRPr="00004B16">
          <w:rPr>
            <w:rStyle w:val="Hyperlink"/>
            <w:sz w:val="24"/>
            <w:lang w:val="el-GR"/>
          </w:rPr>
          <w:t>http://data.europa.eu/eli/reg/2024/1991/oj</w:t>
        </w:r>
      </w:hyperlink>
      <w:r w:rsidRPr="00004B16">
        <w:rPr>
          <w:sz w:val="24"/>
          <w:lang w:val="el-GR"/>
        </w:rPr>
        <w:t>).</w:t>
      </w:r>
    </w:p>
  </w:footnote>
  <w:footnote w:id="11">
    <w:p w14:paraId="1F5CF084" w14:textId="26ACFB14" w:rsidR="00282B10" w:rsidRPr="00004B16" w:rsidRDefault="00282B10" w:rsidP="00DE7476">
      <w:pPr>
        <w:pStyle w:val="FootnoteText"/>
        <w:spacing w:line="240" w:lineRule="auto"/>
        <w:ind w:left="567" w:hanging="567"/>
        <w:rPr>
          <w:sz w:val="24"/>
          <w:lang w:val="el-GR"/>
        </w:rPr>
      </w:pPr>
      <w:r w:rsidRPr="00004B16">
        <w:rPr>
          <w:rStyle w:val="FootnoteReference"/>
          <w:sz w:val="24"/>
          <w:lang w:val="el-GR"/>
        </w:rPr>
        <w:footnoteRef/>
      </w:r>
      <w:r w:rsidR="00004B16" w:rsidRPr="00004B16">
        <w:rPr>
          <w:sz w:val="24"/>
          <w:lang w:val="el-GR"/>
        </w:rPr>
        <w:t xml:space="preserve"> </w:t>
      </w:r>
      <w:r w:rsidR="00004B16" w:rsidRPr="00004B16">
        <w:rPr>
          <w:sz w:val="24"/>
          <w:lang w:val="el-GR"/>
        </w:rPr>
        <w:tab/>
      </w:r>
      <w:r w:rsidRPr="00004B16">
        <w:rPr>
          <w:sz w:val="24"/>
          <w:lang w:val="el-GR"/>
        </w:rPr>
        <w:t>Κανονισμός (ΕΕ) 2025/327 του Ευρωπαϊκού Κοινοβουλίου και του Συμβουλίου, της 11ης Φεβρουαρίου 2025, σχετικά με τη μείωση των εκπομπών μεθανίου στον τομέα της ενέργειας και την τροποποίηση της οδηγίας 2011/24/ΕΕ και του κανονισμού (ΕΕ) 2024/2847 (ΕΕ L, 2025/327, 5.3.2025, ELI:</w:t>
      </w:r>
      <w:r w:rsidRPr="00004B16">
        <w:rPr>
          <w:color w:val="333333"/>
          <w:sz w:val="24"/>
          <w:shd w:val="clear" w:color="auto" w:fill="FFFFFF"/>
          <w:lang w:val="el-GR"/>
        </w:rPr>
        <w:t xml:space="preserve"> </w:t>
      </w:r>
      <w:hyperlink r:id="rId10" w:tooltip="Πρόσβαση στο έγγραφο μέσω URI τύπου ELI." w:history="1">
        <w:r w:rsidRPr="00004B16">
          <w:rPr>
            <w:rStyle w:val="Hyperlink"/>
            <w:sz w:val="24"/>
            <w:lang w:val="el-GR"/>
          </w:rPr>
          <w:t>http://data.europa.eu/eli/reg/2025/327/oj</w:t>
        </w:r>
      </w:hyperlink>
      <w:r w:rsidRPr="00004B16">
        <w:rPr>
          <w:sz w:val="24"/>
          <w:lang w:val="el-GR"/>
        </w:rPr>
        <w:t xml:space="preserve">). </w:t>
      </w:r>
    </w:p>
  </w:footnote>
  <w:footnote w:id="12">
    <w:p w14:paraId="4B83BE9C" w14:textId="162A7EB2" w:rsidR="00282B10" w:rsidRPr="00004B16" w:rsidRDefault="00282B10" w:rsidP="00DE7476">
      <w:pPr>
        <w:pStyle w:val="FootnoteText"/>
        <w:spacing w:line="240" w:lineRule="auto"/>
        <w:ind w:left="567" w:hanging="567"/>
        <w:rPr>
          <w:sz w:val="24"/>
          <w:lang w:val="el-GR"/>
        </w:rPr>
      </w:pPr>
      <w:r w:rsidRPr="00004B16">
        <w:rPr>
          <w:rStyle w:val="FootnoteReference"/>
          <w:sz w:val="24"/>
          <w:lang w:val="el-GR"/>
        </w:rPr>
        <w:footnoteRef/>
      </w:r>
      <w:r w:rsidR="00004B16" w:rsidRPr="00004B16">
        <w:rPr>
          <w:sz w:val="24"/>
          <w:lang w:val="el-GR"/>
        </w:rPr>
        <w:t xml:space="preserve"> </w:t>
      </w:r>
      <w:r w:rsidR="00004B16" w:rsidRPr="00004B16">
        <w:rPr>
          <w:sz w:val="24"/>
          <w:lang w:val="el-GR"/>
        </w:rPr>
        <w:tab/>
      </w:r>
      <w:r w:rsidRPr="00004B16">
        <w:rPr>
          <w:sz w:val="24"/>
          <w:lang w:val="el-GR"/>
        </w:rPr>
        <w:t xml:space="preserve">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w:t>
      </w:r>
      <w:r w:rsidRPr="00004B16">
        <w:rPr>
          <w:sz w:val="24"/>
          <w:lang w:val="el-GR"/>
        </w:rPr>
        <w:t>168/2013, (ΕΕ) 2018/858, (ΕΕ) 2018/1139 και (ΕΕ) 2019/2144 και των οδηγιών 2014/90/ΕΕ, (ΕΕ) 2016/797 και (ΕΕ) 2020/1828 (κανονισμός για την τεχνητή νοημοσύνη) (ΕΕ L, 2024/1689</w:t>
      </w:r>
      <w:r w:rsidR="00B4212C">
        <w:rPr>
          <w:sz w:val="24"/>
          <w:lang w:val="el-GR"/>
        </w:rPr>
        <w:t>,</w:t>
      </w:r>
      <w:r w:rsidRPr="00004B16">
        <w:rPr>
          <w:sz w:val="24"/>
          <w:lang w:val="el-GR"/>
        </w:rPr>
        <w:t xml:space="preserve"> 12.7.2024, ELI: </w:t>
      </w:r>
      <w:hyperlink r:id="rId11" w:tgtFrame="_blank" w:tooltip="Πρόσβαση στο έγγραφο μέσω URI τύπου ELI." w:history="1">
        <w:r w:rsidRPr="00004B16">
          <w:rPr>
            <w:rStyle w:val="Hyperlink"/>
            <w:sz w:val="24"/>
            <w:lang w:val="el-GR"/>
          </w:rPr>
          <w:t>http://data.europa.eu/eli/reg/2024/1689/oj</w:t>
        </w:r>
      </w:hyperlink>
      <w:r w:rsidRPr="00004B16">
        <w:rPr>
          <w:sz w:val="24"/>
          <w:lang w:val="el-GR"/>
        </w:rPr>
        <w:t>).</w:t>
      </w:r>
    </w:p>
  </w:footnote>
  <w:footnote w:id="13">
    <w:p w14:paraId="18344B87" w14:textId="774B313A" w:rsidR="00282B10" w:rsidRPr="00004B16" w:rsidRDefault="00282B10" w:rsidP="00DE7476">
      <w:pPr>
        <w:pStyle w:val="FootnoteText"/>
        <w:spacing w:line="240" w:lineRule="auto"/>
        <w:ind w:left="567" w:hanging="567"/>
        <w:rPr>
          <w:sz w:val="24"/>
          <w:lang w:val="el-GR"/>
        </w:rPr>
      </w:pPr>
      <w:r w:rsidRPr="00004B16">
        <w:rPr>
          <w:rStyle w:val="FootnoteReference"/>
          <w:sz w:val="24"/>
          <w:lang w:val="el-GR"/>
        </w:rPr>
        <w:footnoteRef/>
      </w:r>
      <w:r w:rsidR="00004B16" w:rsidRPr="00004B16">
        <w:rPr>
          <w:sz w:val="24"/>
          <w:lang w:val="el-GR"/>
        </w:rPr>
        <w:t xml:space="preserve"> </w:t>
      </w:r>
      <w:r w:rsidR="00004B16" w:rsidRPr="00004B16">
        <w:rPr>
          <w:sz w:val="24"/>
          <w:lang w:val="el-GR"/>
        </w:rPr>
        <w:tab/>
      </w:r>
      <w:r w:rsidRPr="00004B16">
        <w:rPr>
          <w:sz w:val="24"/>
          <w:lang w:val="el-GR"/>
        </w:rPr>
        <w:t>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w:t>
      </w:r>
      <w:r w:rsidR="000774CB">
        <w:rPr>
          <w:sz w:val="24"/>
          <w:lang w:val="el-GR"/>
        </w:rPr>
        <w:t>ΕΕ</w:t>
      </w:r>
      <w:r w:rsidRPr="00004B16">
        <w:rPr>
          <w:sz w:val="24"/>
          <w:lang w:val="el-GR"/>
        </w:rPr>
        <w:t xml:space="preserve"> L, 2023/2841, 18.12.2023, ELI: </w:t>
      </w:r>
      <w:hyperlink r:id="rId12" w:history="1">
        <w:r w:rsidRPr="00004B16">
          <w:rPr>
            <w:rStyle w:val="Hyperlink"/>
            <w:sz w:val="24"/>
            <w:lang w:val="el-GR"/>
          </w:rPr>
          <w:t>http://data.europa.eu/eli/reg/2023/2841/oj</w:t>
        </w:r>
      </w:hyperlink>
      <w:r w:rsidRPr="00004B16">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8115" w14:textId="77777777" w:rsidR="00064002" w:rsidRPr="00004B1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6D982" w14:textId="77777777" w:rsidR="00064002" w:rsidRPr="00004B1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0913F" w14:textId="77777777" w:rsidR="00064002" w:rsidRPr="00004B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4561D8"/>
    <w:multiLevelType w:val="hybridMultilevel"/>
    <w:tmpl w:val="A184B6EA"/>
    <w:lvl w:ilvl="0" w:tplc="33547BE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1328008">
    <w:abstractNumId w:val="0"/>
  </w:num>
  <w:num w:numId="2" w16cid:durableId="1608078113">
    <w:abstractNumId w:val="2"/>
  </w:num>
  <w:num w:numId="3" w16cid:durableId="73177550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EL"/>
    <w:docVar w:name="dvnumam" w:val="0"/>
    <w:docVar w:name="dvpe" w:val="778.064"/>
    <w:docVar w:name="dvrapporteur" w:val="Εισηγητής: "/>
    <w:docVar w:name="dvtitre" w:val="Απόφαση του Ευρωπαϊκού Κοινοβουλίου της ... 2026 σχετικά με την απαλλαγή όσον αφορά την εκτέλεση του γενικού προϋπολογισμού της Ευρωπαϊκής Ένωσης για το οικονομικό έτος 2024, τμήμα VII – Επιτροπή των Περιφερειών(2025/2152(DEC))"/>
  </w:docVars>
  <w:rsids>
    <w:rsidRoot w:val="00A857F3"/>
    <w:rsid w:val="00002272"/>
    <w:rsid w:val="00004B16"/>
    <w:rsid w:val="00064002"/>
    <w:rsid w:val="000677B9"/>
    <w:rsid w:val="000774CB"/>
    <w:rsid w:val="000831BA"/>
    <w:rsid w:val="000A42CC"/>
    <w:rsid w:val="000E7DD9"/>
    <w:rsid w:val="0010095E"/>
    <w:rsid w:val="00125B37"/>
    <w:rsid w:val="00187494"/>
    <w:rsid w:val="001F32AE"/>
    <w:rsid w:val="002767FF"/>
    <w:rsid w:val="00282B10"/>
    <w:rsid w:val="002B18FE"/>
    <w:rsid w:val="002B5493"/>
    <w:rsid w:val="00343214"/>
    <w:rsid w:val="003555C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5B78"/>
    <w:rsid w:val="006631B6"/>
    <w:rsid w:val="006646FF"/>
    <w:rsid w:val="00680577"/>
    <w:rsid w:val="00692CC8"/>
    <w:rsid w:val="006F289E"/>
    <w:rsid w:val="006F629F"/>
    <w:rsid w:val="006F74FA"/>
    <w:rsid w:val="00731ADD"/>
    <w:rsid w:val="00734777"/>
    <w:rsid w:val="00747932"/>
    <w:rsid w:val="00751A4A"/>
    <w:rsid w:val="00756632"/>
    <w:rsid w:val="00762C74"/>
    <w:rsid w:val="00786EC0"/>
    <w:rsid w:val="007D1690"/>
    <w:rsid w:val="007E22AD"/>
    <w:rsid w:val="007E6705"/>
    <w:rsid w:val="00817416"/>
    <w:rsid w:val="00842779"/>
    <w:rsid w:val="00865F67"/>
    <w:rsid w:val="00881A7B"/>
    <w:rsid w:val="008840E5"/>
    <w:rsid w:val="00887B3E"/>
    <w:rsid w:val="008C2AC6"/>
    <w:rsid w:val="00930C23"/>
    <w:rsid w:val="0093193B"/>
    <w:rsid w:val="009509D8"/>
    <w:rsid w:val="00950B64"/>
    <w:rsid w:val="0096227B"/>
    <w:rsid w:val="00981893"/>
    <w:rsid w:val="00A1687D"/>
    <w:rsid w:val="00A43E52"/>
    <w:rsid w:val="00A4678D"/>
    <w:rsid w:val="00A778C7"/>
    <w:rsid w:val="00A857F3"/>
    <w:rsid w:val="00AB441E"/>
    <w:rsid w:val="00AB6293"/>
    <w:rsid w:val="00AE0928"/>
    <w:rsid w:val="00AF3B82"/>
    <w:rsid w:val="00B12E95"/>
    <w:rsid w:val="00B22876"/>
    <w:rsid w:val="00B4212C"/>
    <w:rsid w:val="00B558F0"/>
    <w:rsid w:val="00BD48FE"/>
    <w:rsid w:val="00BD7BD8"/>
    <w:rsid w:val="00BE6ADC"/>
    <w:rsid w:val="00C05BFE"/>
    <w:rsid w:val="00C23CD4"/>
    <w:rsid w:val="00C61C0C"/>
    <w:rsid w:val="00C76FEF"/>
    <w:rsid w:val="00C941CB"/>
    <w:rsid w:val="00CC2357"/>
    <w:rsid w:val="00CF071A"/>
    <w:rsid w:val="00D058B8"/>
    <w:rsid w:val="00D56C11"/>
    <w:rsid w:val="00D834A0"/>
    <w:rsid w:val="00D872DF"/>
    <w:rsid w:val="00D91E21"/>
    <w:rsid w:val="00DA7FCD"/>
    <w:rsid w:val="00DB0178"/>
    <w:rsid w:val="00DC3EC4"/>
    <w:rsid w:val="00DE7476"/>
    <w:rsid w:val="00E365E1"/>
    <w:rsid w:val="00E820A4"/>
    <w:rsid w:val="00EB006A"/>
    <w:rsid w:val="00EB4772"/>
    <w:rsid w:val="00ED169E"/>
    <w:rsid w:val="00ED4235"/>
    <w:rsid w:val="00F016D5"/>
    <w:rsid w:val="00F04346"/>
    <w:rsid w:val="00F075DC"/>
    <w:rsid w:val="00F149E9"/>
    <w:rsid w:val="00F5134D"/>
    <w:rsid w:val="00F74202"/>
    <w:rsid w:val="00F87713"/>
    <w:rsid w:val="00F94D5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2A05AE"/>
  <w15:chartTrackingRefBased/>
  <w15:docId w15:val="{B625C4F8-C1D0-4AE7-A3A0-A43D93DB6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82B1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82B10"/>
    <w:pPr>
      <w:spacing w:before="480" w:after="240"/>
    </w:pPr>
  </w:style>
  <w:style w:type="paragraph" w:customStyle="1" w:styleId="PageHeading">
    <w:name w:val="PageHeading"/>
    <w:basedOn w:val="Normal"/>
    <w:rsid w:val="00282B10"/>
    <w:pPr>
      <w:keepNext/>
      <w:spacing w:after="480"/>
      <w:jc w:val="center"/>
    </w:pPr>
    <w:rPr>
      <w:rFonts w:ascii="Arial" w:hAnsi="Arial" w:cs="Arial"/>
      <w:b/>
    </w:rPr>
  </w:style>
  <w:style w:type="paragraph" w:customStyle="1" w:styleId="NormalBold">
    <w:name w:val="NormalBold"/>
    <w:basedOn w:val="Normal"/>
    <w:rsid w:val="00282B10"/>
    <w:rPr>
      <w:b/>
    </w:rPr>
  </w:style>
  <w:style w:type="paragraph" w:customStyle="1" w:styleId="NormalHanging12a">
    <w:name w:val="NormalHanging12a"/>
    <w:basedOn w:val="Normal"/>
    <w:link w:val="NormalHanging12aChar"/>
    <w:qFormat/>
    <w:rsid w:val="00282B10"/>
    <w:pPr>
      <w:spacing w:after="240"/>
      <w:ind w:left="567" w:hanging="567"/>
    </w:pPr>
  </w:style>
  <w:style w:type="paragraph" w:styleId="Header">
    <w:name w:val="header"/>
    <w:basedOn w:val="Normal"/>
    <w:link w:val="HeaderChar"/>
    <w:rsid w:val="00282B10"/>
    <w:pPr>
      <w:tabs>
        <w:tab w:val="center" w:pos="4513"/>
        <w:tab w:val="right" w:pos="9026"/>
      </w:tabs>
    </w:pPr>
  </w:style>
  <w:style w:type="character" w:customStyle="1" w:styleId="HeaderChar">
    <w:name w:val="Header Char"/>
    <w:basedOn w:val="DefaultParagraphFont"/>
    <w:link w:val="Header"/>
    <w:rsid w:val="00282B10"/>
    <w:rPr>
      <w:sz w:val="24"/>
      <w:lang w:val="el-GR"/>
    </w:rPr>
  </w:style>
  <w:style w:type="paragraph" w:customStyle="1" w:styleId="EPFooter">
    <w:name w:val="EPFooter"/>
    <w:basedOn w:val="Normal"/>
    <w:rsid w:val="00282B10"/>
    <w:pPr>
      <w:tabs>
        <w:tab w:val="center" w:pos="4535"/>
        <w:tab w:val="right" w:pos="9071"/>
      </w:tabs>
      <w:spacing w:before="240" w:after="240"/>
    </w:pPr>
    <w:rPr>
      <w:color w:val="010000"/>
      <w:sz w:val="22"/>
    </w:rPr>
  </w:style>
  <w:style w:type="character" w:styleId="Hyperlink">
    <w:name w:val="Hyperlink"/>
    <w:basedOn w:val="DefaultParagraphFont"/>
    <w:uiPriority w:val="99"/>
    <w:rsid w:val="00282B10"/>
    <w:rPr>
      <w:color w:val="0563C1" w:themeColor="hyperlink"/>
      <w:u w:val="single"/>
    </w:rPr>
  </w:style>
  <w:style w:type="character" w:customStyle="1" w:styleId="NormalHanging12aChar">
    <w:name w:val="NormalHanging12a Char"/>
    <w:basedOn w:val="DefaultParagraphFont"/>
    <w:link w:val="NormalHanging12a"/>
    <w:locked/>
    <w:rsid w:val="00282B10"/>
    <w:rPr>
      <w:sz w:val="24"/>
      <w:lang w:val="el-GR"/>
    </w:rPr>
  </w:style>
  <w:style w:type="paragraph" w:styleId="Revision">
    <w:name w:val="Revision"/>
    <w:hidden/>
    <w:uiPriority w:val="99"/>
    <w:semiHidden/>
    <w:rsid w:val="0096227B"/>
    <w:rPr>
      <w:sz w:val="24"/>
      <w:lang w:val="el-GR"/>
    </w:rPr>
  </w:style>
  <w:style w:type="paragraph" w:styleId="ListParagraph">
    <w:name w:val="List Paragraph"/>
    <w:basedOn w:val="Normal"/>
    <w:uiPriority w:val="34"/>
    <w:qFormat/>
    <w:rsid w:val="00DE74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10442</Words>
  <Characters>60569</Characters>
  <Application>Microsoft Office Word</Application>
  <DocSecurity>0</DocSecurity>
  <Lines>2523</Lines>
  <Paragraphs>724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 Amalia</dc:creator>
  <cp:keywords/>
  <cp:lastModifiedBy>Amalia</cp:lastModifiedBy>
  <cp:revision>2</cp:revision>
  <cp:lastPrinted>2004-11-19T15:42:00Z</cp:lastPrinted>
  <dcterms:created xsi:type="dcterms:W3CDTF">2026-04-29T12:03:00Z</dcterms:created>
  <dcterms:modified xsi:type="dcterms:W3CDTF">2026-04-29T12:03:00Z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A10-0056/2026</vt:lpwstr>
  </property>
  <property fmtid="{D5CDD505-2E9C-101B-9397-08002B2CF9AE}" pid="4" name="&lt;Type&gt;">
    <vt:lpwstr>RR</vt:lpwstr>
  </property>
</Properties>
</file>