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025F" w14:paraId="26958961" w14:textId="77777777" w:rsidTr="0010095E">
        <w:trPr>
          <w:trHeight w:hRule="exact" w:val="1418"/>
        </w:trPr>
        <w:tc>
          <w:tcPr>
            <w:tcW w:w="6804" w:type="dxa"/>
            <w:shd w:val="clear" w:color="auto" w:fill="auto"/>
            <w:vAlign w:val="center"/>
          </w:tcPr>
          <w:p w14:paraId="4201EE80" w14:textId="77777777" w:rsidR="00751A4A" w:rsidRPr="000F025F" w:rsidRDefault="009C1446" w:rsidP="0010095E">
            <w:pPr>
              <w:pStyle w:val="EPName"/>
            </w:pPr>
            <w:r w:rsidRPr="000F025F">
              <w:t>Európai Parlament</w:t>
            </w:r>
          </w:p>
          <w:p w14:paraId="5F276A55" w14:textId="77777777" w:rsidR="00751A4A" w:rsidRPr="000F025F" w:rsidRDefault="005F1B17" w:rsidP="005F1B17">
            <w:pPr>
              <w:pStyle w:val="EPTerm"/>
              <w:rPr>
                <w:rStyle w:val="HideTWBExt"/>
                <w:noProof w:val="0"/>
                <w:vanish w:val="0"/>
                <w:color w:val="auto"/>
              </w:rPr>
            </w:pPr>
            <w:r w:rsidRPr="000F025F">
              <w:t>2024</w:t>
            </w:r>
            <w:r w:rsidR="00817416" w:rsidRPr="000F025F">
              <w:t>-202</w:t>
            </w:r>
            <w:r w:rsidRPr="000F025F">
              <w:t>9</w:t>
            </w:r>
          </w:p>
        </w:tc>
        <w:tc>
          <w:tcPr>
            <w:tcW w:w="2268" w:type="dxa"/>
            <w:shd w:val="clear" w:color="auto" w:fill="auto"/>
          </w:tcPr>
          <w:p w14:paraId="062723D0" w14:textId="77777777" w:rsidR="00751A4A" w:rsidRPr="000F025F" w:rsidRDefault="00187494" w:rsidP="0010095E">
            <w:pPr>
              <w:pStyle w:val="EPLogo"/>
            </w:pPr>
            <w:r w:rsidRPr="000F025F">
              <w:rPr>
                <w:noProof/>
                <w:lang w:eastAsia="ja-JP"/>
              </w:rPr>
              <w:drawing>
                <wp:inline distT="0" distB="0" distL="0" distR="0" wp14:anchorId="78D62E51" wp14:editId="4BBBC4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C40529" w14:textId="77777777" w:rsidR="00D058B8" w:rsidRPr="000F025F" w:rsidRDefault="00D058B8" w:rsidP="004C5D52">
      <w:pPr>
        <w:pStyle w:val="LineTop"/>
      </w:pPr>
    </w:p>
    <w:p w14:paraId="6806D534" w14:textId="77777777" w:rsidR="00680577" w:rsidRPr="000F025F" w:rsidRDefault="009C1446" w:rsidP="00680577">
      <w:pPr>
        <w:pStyle w:val="EPBodyTA1"/>
      </w:pPr>
      <w:r w:rsidRPr="000F025F">
        <w:t>ELFOGADOTT SZÖVEGEK</w:t>
      </w:r>
    </w:p>
    <w:p w14:paraId="692E0787" w14:textId="77777777" w:rsidR="00D058B8" w:rsidRPr="000F025F" w:rsidRDefault="00D058B8" w:rsidP="00D058B8">
      <w:pPr>
        <w:pStyle w:val="LineBottom"/>
      </w:pPr>
    </w:p>
    <w:p w14:paraId="25E3A581" w14:textId="5985798C" w:rsidR="009C1446" w:rsidRPr="000F025F" w:rsidRDefault="009C1446" w:rsidP="009C1446">
      <w:pPr>
        <w:pStyle w:val="ATHeading1"/>
      </w:pPr>
      <w:bookmarkStart w:id="0" w:name="TANumber"/>
      <w:r w:rsidRPr="000F025F">
        <w:t>P10_</w:t>
      </w:r>
      <w:proofErr w:type="gramStart"/>
      <w:r w:rsidRPr="000F025F">
        <w:t>TA(</w:t>
      </w:r>
      <w:proofErr w:type="gramEnd"/>
      <w:r w:rsidRPr="000F025F">
        <w:t>2026)0</w:t>
      </w:r>
      <w:r w:rsidR="000F025F" w:rsidRPr="000F025F">
        <w:t>132</w:t>
      </w:r>
      <w:bookmarkEnd w:id="0"/>
    </w:p>
    <w:p w14:paraId="29510913" w14:textId="77777777" w:rsidR="009C1446" w:rsidRPr="000F025F" w:rsidRDefault="009C1446" w:rsidP="009C1446">
      <w:pPr>
        <w:pStyle w:val="ATHeading2"/>
      </w:pPr>
      <w:bookmarkStart w:id="1" w:name="title"/>
      <w:r w:rsidRPr="000F025F">
        <w:t>2024. évi mentesítés: Az EU általános költségvetése – Régiók Bizottsága</w:t>
      </w:r>
      <w:bookmarkEnd w:id="1"/>
    </w:p>
    <w:p w14:paraId="24D5F51F" w14:textId="77777777" w:rsidR="009C1446" w:rsidRPr="000F025F" w:rsidRDefault="009C1446" w:rsidP="009C1446">
      <w:pPr>
        <w:rPr>
          <w:i/>
          <w:vanish/>
        </w:rPr>
      </w:pPr>
      <w:r w:rsidRPr="000F025F">
        <w:rPr>
          <w:i/>
        </w:rPr>
        <w:fldChar w:fldCharType="begin"/>
      </w:r>
      <w:r w:rsidRPr="000F025F">
        <w:rPr>
          <w:i/>
        </w:rPr>
        <w:instrText xml:space="preserve"> TC"(</w:instrText>
      </w:r>
      <w:bookmarkStart w:id="2" w:name="DocNumber"/>
      <w:r w:rsidRPr="000F025F">
        <w:rPr>
          <w:i/>
        </w:rPr>
        <w:instrText>A10-0056/2026</w:instrText>
      </w:r>
      <w:bookmarkEnd w:id="2"/>
      <w:r w:rsidRPr="000F025F">
        <w:rPr>
          <w:i/>
        </w:rPr>
        <w:instrText xml:space="preserve"> - Előadó: Pasquale </w:instrText>
      </w:r>
      <w:proofErr w:type="spellStart"/>
      <w:r w:rsidRPr="000F025F">
        <w:rPr>
          <w:i/>
        </w:rPr>
        <w:instrText>Tridico</w:instrText>
      </w:r>
      <w:proofErr w:type="spellEnd"/>
      <w:r w:rsidRPr="000F025F">
        <w:rPr>
          <w:i/>
        </w:rPr>
        <w:instrText xml:space="preserve">)"\l3 \n&gt; \* MERGEFORMAT </w:instrText>
      </w:r>
      <w:r w:rsidRPr="000F025F">
        <w:rPr>
          <w:i/>
        </w:rPr>
        <w:fldChar w:fldCharType="end"/>
      </w:r>
    </w:p>
    <w:p w14:paraId="3F296A39" w14:textId="77777777" w:rsidR="009C1446" w:rsidRPr="000F025F" w:rsidRDefault="009C1446" w:rsidP="009C1446">
      <w:pPr>
        <w:rPr>
          <w:vanish/>
        </w:rPr>
      </w:pPr>
      <w:bookmarkStart w:id="3" w:name="Commission"/>
      <w:r w:rsidRPr="000F025F">
        <w:rPr>
          <w:vanish/>
        </w:rPr>
        <w:t>Költségvetési Ellenőrző Bizottság</w:t>
      </w:r>
      <w:bookmarkEnd w:id="3"/>
    </w:p>
    <w:p w14:paraId="32DCDCE2" w14:textId="77777777" w:rsidR="009C1446" w:rsidRPr="000F025F" w:rsidRDefault="009C1446" w:rsidP="009C1446">
      <w:pPr>
        <w:rPr>
          <w:vanish/>
        </w:rPr>
      </w:pPr>
      <w:bookmarkStart w:id="4" w:name="PE"/>
      <w:r w:rsidRPr="000F025F">
        <w:rPr>
          <w:vanish/>
        </w:rPr>
        <w:t>PE778.064</w:t>
      </w:r>
      <w:bookmarkEnd w:id="4"/>
    </w:p>
    <w:p w14:paraId="5E128B36" w14:textId="6AEB297E" w:rsidR="009C1446" w:rsidRPr="000F025F" w:rsidRDefault="0038537B" w:rsidP="009C1446">
      <w:pPr>
        <w:pStyle w:val="ATHeading3"/>
      </w:pPr>
      <w:bookmarkStart w:id="5" w:name="Sujet"/>
      <w:r w:rsidRPr="000F025F">
        <w:t xml:space="preserve">1. </w:t>
      </w:r>
      <w:r w:rsidR="009C1446" w:rsidRPr="000F025F">
        <w:t xml:space="preserve">Az Európai Parlament 2026. április </w:t>
      </w:r>
      <w:r w:rsidR="00994206" w:rsidRPr="000F025F">
        <w:t>29-</w:t>
      </w:r>
      <w:r w:rsidR="009C1446" w:rsidRPr="000F025F">
        <w:t>i határozata az Európai Unió 2024. évi pénzügyi évre szóló általános költségvetésének végrehajtására vonatkozó mentesítésről, VII. szakasz – Régiók Bizottsága</w:t>
      </w:r>
      <w:bookmarkEnd w:id="5"/>
      <w:r w:rsidR="009C1446" w:rsidRPr="000F025F">
        <w:t xml:space="preserve"> </w:t>
      </w:r>
      <w:bookmarkStart w:id="6" w:name="References"/>
      <w:r w:rsidR="009C1446" w:rsidRPr="000F025F">
        <w:t>(2025/2152(DEC))</w:t>
      </w:r>
      <w:bookmarkEnd w:id="6"/>
    </w:p>
    <w:p w14:paraId="432C7F2E" w14:textId="77777777" w:rsidR="00DD31EB" w:rsidRPr="000F025F" w:rsidRDefault="00DD31EB" w:rsidP="00DD31EB">
      <w:pPr>
        <w:pStyle w:val="EPComma"/>
      </w:pPr>
      <w:bookmarkStart w:id="7" w:name="TextBodyBegin"/>
      <w:bookmarkEnd w:id="7"/>
      <w:r w:rsidRPr="000F025F">
        <w:rPr>
          <w:i/>
        </w:rPr>
        <w:t>Az Európai Parlament</w:t>
      </w:r>
      <w:r w:rsidRPr="000F025F">
        <w:t>,</w:t>
      </w:r>
    </w:p>
    <w:p w14:paraId="1D17E141" w14:textId="77777777" w:rsidR="00DD31EB" w:rsidRPr="000F025F" w:rsidRDefault="00DD31EB" w:rsidP="000F025F">
      <w:pPr>
        <w:pStyle w:val="NormalHanging12a"/>
        <w:widowControl/>
      </w:pPr>
      <w:r w:rsidRPr="000F025F">
        <w:t>–</w:t>
      </w:r>
      <w:r w:rsidRPr="000F025F">
        <w:tab/>
        <w:t>tekintettel az Európai Unió 2024. évi pénzügyi évre vonatkozó általános költségvetésére</w:t>
      </w:r>
      <w:r w:rsidRPr="000F025F">
        <w:rPr>
          <w:rStyle w:val="FootnoteReference"/>
        </w:rPr>
        <w:footnoteReference w:id="1"/>
      </w:r>
      <w:r w:rsidRPr="000F025F">
        <w:t>,</w:t>
      </w:r>
    </w:p>
    <w:p w14:paraId="3829306A" w14:textId="77777777" w:rsidR="00DD31EB" w:rsidRPr="000F025F" w:rsidRDefault="00DD31EB" w:rsidP="000F025F">
      <w:pPr>
        <w:pStyle w:val="NormalHanging12a"/>
        <w:widowControl/>
      </w:pPr>
      <w:r w:rsidRPr="000F025F">
        <w:t>–</w:t>
      </w:r>
      <w:r w:rsidRPr="000F025F">
        <w:tab/>
        <w:t>tekintettel az Európai Unió 2024. évi pénzügyi évre vonatkozó összevont éves beszámolójára (</w:t>
      </w:r>
      <w:proofErr w:type="gramStart"/>
      <w:r w:rsidRPr="000F025F">
        <w:t>COM(</w:t>
      </w:r>
      <w:proofErr w:type="gramEnd"/>
      <w:r w:rsidRPr="000F025F">
        <w:t>2025)0359 – C10</w:t>
      </w:r>
      <w:r w:rsidRPr="000F025F">
        <w:noBreakHyphen/>
        <w:t>0152/2025)</w:t>
      </w:r>
      <w:r w:rsidRPr="000F025F">
        <w:rPr>
          <w:rStyle w:val="FootnoteReference"/>
        </w:rPr>
        <w:footnoteReference w:id="2"/>
      </w:r>
      <w:r w:rsidRPr="000F025F">
        <w:t>,</w:t>
      </w:r>
    </w:p>
    <w:p w14:paraId="1F331605" w14:textId="77777777" w:rsidR="00DD31EB" w:rsidRPr="000F025F" w:rsidRDefault="00DD31EB" w:rsidP="000F025F">
      <w:pPr>
        <w:pStyle w:val="NormalHanging12a"/>
        <w:widowControl/>
      </w:pPr>
      <w:r w:rsidRPr="000F025F">
        <w:t>–</w:t>
      </w:r>
      <w:r w:rsidRPr="000F025F">
        <w:tab/>
        <w:t>tekintettel a Régiók Bizottságának a 2024-ben elvégzett belső ellenőrzésekről a mentesítésért felelős hatóság számára készített éves jelentésére,</w:t>
      </w:r>
    </w:p>
    <w:p w14:paraId="05E08A8C" w14:textId="77777777" w:rsidR="00DD31EB" w:rsidRPr="000F025F" w:rsidRDefault="00DD31EB" w:rsidP="000F025F">
      <w:pPr>
        <w:pStyle w:val="NormalHanging12a"/>
        <w:widowControl/>
      </w:pPr>
      <w:r w:rsidRPr="000F025F">
        <w:t>–</w:t>
      </w:r>
      <w:r w:rsidRPr="000F025F">
        <w:tab/>
        <w:t>tekintettel a Számvevőszéknek a 2024. évi pénzügyi év költségvetésének végrehajtásáról szóló éves jelentésére, az intézmények válaszaival együtt</w:t>
      </w:r>
      <w:r w:rsidRPr="000F025F">
        <w:rPr>
          <w:rStyle w:val="FootnoteReference"/>
        </w:rPr>
        <w:footnoteReference w:id="3"/>
      </w:r>
      <w:r w:rsidRPr="000F025F">
        <w:t>,</w:t>
      </w:r>
    </w:p>
    <w:p w14:paraId="122FD057" w14:textId="612B21DB" w:rsidR="00DD31EB" w:rsidRPr="000F025F" w:rsidRDefault="00DD31EB" w:rsidP="000F025F">
      <w:pPr>
        <w:pStyle w:val="NormalHanging12a"/>
        <w:widowControl/>
      </w:pPr>
      <w:r w:rsidRPr="000F025F">
        <w:t>–</w:t>
      </w:r>
      <w:r w:rsidRPr="000F025F">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0F025F">
        <w:rPr>
          <w:rStyle w:val="FootnoteReference"/>
        </w:rPr>
        <w:footnoteReference w:id="4"/>
      </w:r>
      <w:r w:rsidR="0038537B" w:rsidRPr="000F025F">
        <w:t>,</w:t>
      </w:r>
    </w:p>
    <w:p w14:paraId="4F5844EA" w14:textId="77777777" w:rsidR="00DD31EB" w:rsidRPr="000F025F" w:rsidRDefault="00DD31EB" w:rsidP="000F025F">
      <w:pPr>
        <w:pStyle w:val="NormalHanging12a"/>
        <w:widowControl/>
      </w:pPr>
      <w:r w:rsidRPr="000F025F">
        <w:t>–</w:t>
      </w:r>
      <w:r w:rsidRPr="000F025F">
        <w:tab/>
        <w:t>tekintettel az Európai Unió működéséről szóló szerződés 314. cikkének (10) bekezdésére, valamint 317., 318. és 319. cikkére,</w:t>
      </w:r>
    </w:p>
    <w:p w14:paraId="08589E67" w14:textId="77777777" w:rsidR="00DD31EB" w:rsidRPr="000F025F" w:rsidRDefault="00DD31EB" w:rsidP="000F025F">
      <w:pPr>
        <w:pStyle w:val="NormalHanging12a"/>
        <w:widowControl/>
      </w:pPr>
      <w:r w:rsidRPr="000F025F">
        <w:t>–</w:t>
      </w:r>
      <w:r w:rsidRPr="000F025F">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0F025F">
        <w:lastRenderedPageBreak/>
        <w:t>parlamenti és tanácsi rendeletre</w:t>
      </w:r>
      <w:r w:rsidRPr="000F025F">
        <w:rPr>
          <w:rStyle w:val="FootnoteReference"/>
        </w:rPr>
        <w:footnoteReference w:id="5"/>
      </w:r>
      <w:r w:rsidRPr="000F025F">
        <w:t xml:space="preserve"> és különösen annak 59., 118., 260., 261. és 262. cikkére,</w:t>
      </w:r>
    </w:p>
    <w:p w14:paraId="4AC17D48" w14:textId="77777777" w:rsidR="00DD31EB" w:rsidRPr="000F025F" w:rsidRDefault="00DD31EB" w:rsidP="000F025F">
      <w:pPr>
        <w:pStyle w:val="NormalHanging12a"/>
        <w:widowControl/>
      </w:pPr>
      <w:r w:rsidRPr="000F025F">
        <w:t>–</w:t>
      </w:r>
      <w:r w:rsidRPr="000F025F">
        <w:tab/>
        <w:t>tekintettel az Unió általános költségvetésére alkalmazandó pénzügyi szabályokról szóló, 2024. szeptember 23-i (EU, Euratom) 2024/2509 európai parlamenti és tanácsi rendeletre</w:t>
      </w:r>
      <w:r w:rsidRPr="000F025F">
        <w:rPr>
          <w:rStyle w:val="FootnoteReference"/>
        </w:rPr>
        <w:footnoteReference w:id="6"/>
      </w:r>
      <w:r w:rsidRPr="000F025F">
        <w:t xml:space="preserve"> és különösen annak 59., 118., 266., 267. és 268. cikkére,</w:t>
      </w:r>
    </w:p>
    <w:p w14:paraId="7BEFFEE8" w14:textId="77777777" w:rsidR="00DD31EB" w:rsidRPr="000F025F" w:rsidRDefault="00DD31EB" w:rsidP="000F025F">
      <w:pPr>
        <w:pStyle w:val="NormalHanging12a"/>
        <w:widowControl/>
      </w:pPr>
      <w:r w:rsidRPr="000F025F">
        <w:t>–</w:t>
      </w:r>
      <w:r w:rsidRPr="000F025F">
        <w:tab/>
        <w:t>tekintettel eljárási szabályzata 102. cikkére és V. mellékletére,</w:t>
      </w:r>
    </w:p>
    <w:p w14:paraId="4112FC9F" w14:textId="77777777" w:rsidR="00DD31EB" w:rsidRPr="000F025F" w:rsidRDefault="00DD31EB" w:rsidP="000F025F">
      <w:pPr>
        <w:pStyle w:val="NormalHanging12a"/>
        <w:widowControl/>
      </w:pPr>
      <w:r w:rsidRPr="000F025F">
        <w:t>–</w:t>
      </w:r>
      <w:r w:rsidRPr="000F025F">
        <w:tab/>
        <w:t>tekintettel a Költségvetési Ellenőrző Bizottság jelentésére (A10-0056/2026),</w:t>
      </w:r>
    </w:p>
    <w:p w14:paraId="107240CC" w14:textId="77777777" w:rsidR="00DD31EB" w:rsidRPr="000F025F" w:rsidRDefault="00DD31EB" w:rsidP="000F025F">
      <w:pPr>
        <w:pStyle w:val="NormalHanging12a"/>
        <w:widowControl/>
      </w:pPr>
      <w:r w:rsidRPr="000F025F">
        <w:t>1.</w:t>
      </w:r>
      <w:r w:rsidRPr="000F025F">
        <w:tab/>
        <w:t>mentesítést ad a Régiók Bizottsága főtitkára számára a Régiók Bizottsága 2024. évi pénzügyi évre szóló költségvetésének végrehajtására vonatkozóan;</w:t>
      </w:r>
    </w:p>
    <w:p w14:paraId="0A2C8E35" w14:textId="77777777" w:rsidR="00DD31EB" w:rsidRPr="000F025F" w:rsidRDefault="00DD31EB" w:rsidP="000F025F">
      <w:pPr>
        <w:pStyle w:val="NormalHanging12a"/>
        <w:widowControl/>
      </w:pPr>
      <w:r w:rsidRPr="000F025F">
        <w:t>2.</w:t>
      </w:r>
      <w:r w:rsidRPr="000F025F">
        <w:tab/>
        <w:t>megjegyzéseit a mellékelt állásfoglalásban foglalja össze;</w:t>
      </w:r>
    </w:p>
    <w:p w14:paraId="6A582E4A" w14:textId="77777777" w:rsidR="00DD31EB" w:rsidRPr="000F025F" w:rsidRDefault="00DD31EB" w:rsidP="000F025F">
      <w:pPr>
        <w:pStyle w:val="NormalHanging12a"/>
        <w:widowControl/>
      </w:pPr>
      <w:r w:rsidRPr="000F025F">
        <w:t>3.</w:t>
      </w:r>
      <w:r w:rsidRPr="000F025F">
        <w:tab/>
        <w:t xml:space="preserve">utasítja elnökét, hogy továbbítsa ezt a határozatot, valamint az annak szerves részét képező állásfoglalást a Régiók Bizottságának, a Tanácsnak, a Bizottságnak és a Számvevőszéknek, és gondoskodjon az </w:t>
      </w:r>
      <w:r w:rsidRPr="000F025F">
        <w:rPr>
          <w:i/>
        </w:rPr>
        <w:t>Európai Unió Hivatalos Lapjában</w:t>
      </w:r>
      <w:r w:rsidRPr="000F025F">
        <w:t xml:space="preserve"> (L sorozat) való közzétételükről.</w:t>
      </w:r>
    </w:p>
    <w:p w14:paraId="53F4BF13" w14:textId="77777777" w:rsidR="00DD31EB" w:rsidRPr="000F025F" w:rsidRDefault="00DD31EB" w:rsidP="00DD31EB"/>
    <w:p w14:paraId="6F530ED8" w14:textId="77777777" w:rsidR="00DD31EB" w:rsidRPr="000F025F" w:rsidRDefault="00DD31EB" w:rsidP="00DD31EB">
      <w:pPr>
        <w:pStyle w:val="PageHeading"/>
        <w:sectPr w:rsidR="00DD31EB" w:rsidRPr="000F025F" w:rsidSect="00C60DD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658A23" w14:textId="21267EB4" w:rsidR="0038537B" w:rsidRPr="000F025F" w:rsidRDefault="00DD31EB" w:rsidP="0038537B">
      <w:pPr>
        <w:pStyle w:val="ATHeading3"/>
      </w:pPr>
      <w:bookmarkStart w:id="8" w:name="_Toc225503802"/>
      <w:r w:rsidRPr="000F025F">
        <w:lastRenderedPageBreak/>
        <w:t xml:space="preserve">2. </w:t>
      </w:r>
      <w:bookmarkEnd w:id="8"/>
      <w:r w:rsidR="0038537B" w:rsidRPr="000F025F">
        <w:t xml:space="preserve">Az Európai Parlament 2026. április </w:t>
      </w:r>
      <w:r w:rsidR="00994206" w:rsidRPr="000F025F">
        <w:t>29-</w:t>
      </w:r>
      <w:r w:rsidR="0038537B" w:rsidRPr="000F025F">
        <w:t xml:space="preserve">i állásfoglalása </w:t>
      </w:r>
      <w:r w:rsidRPr="000F025F">
        <w:t>az Európai Unió 2024. évi pénzügyi évre szóló általános költségvetésének végrehajtására vonatkozó mentesítésről szóló határozat szerves részét képező megjegyzésekkel, VII. szakasz – Régiók Bizottsága</w:t>
      </w:r>
      <w:r w:rsidR="0038537B" w:rsidRPr="000F025F">
        <w:t xml:space="preserve"> </w:t>
      </w:r>
      <w:r w:rsidRPr="000F025F">
        <w:t>(2025/2152(DEC))</w:t>
      </w:r>
    </w:p>
    <w:p w14:paraId="5267EEA6" w14:textId="77777777" w:rsidR="00DD31EB" w:rsidRPr="000F025F" w:rsidRDefault="00DD31EB" w:rsidP="00DD31EB">
      <w:pPr>
        <w:pStyle w:val="EPComma"/>
      </w:pPr>
      <w:r w:rsidRPr="000F025F">
        <w:rPr>
          <w:i/>
        </w:rPr>
        <w:t>Az Európai Parlament</w:t>
      </w:r>
      <w:r w:rsidRPr="000F025F">
        <w:t>,</w:t>
      </w:r>
    </w:p>
    <w:p w14:paraId="783B32EA" w14:textId="77777777" w:rsidR="00DD31EB" w:rsidRPr="000F025F" w:rsidRDefault="00DD31EB" w:rsidP="00DD31EB">
      <w:pPr>
        <w:pStyle w:val="NormalHanging12a"/>
      </w:pPr>
      <w:r w:rsidRPr="000F025F">
        <w:t>–</w:t>
      </w:r>
      <w:r w:rsidRPr="000F025F">
        <w:tab/>
        <w:t>tekintettel az Európai Unió 2024. évi pénzügyi évre szóló általános költségvetésének végrehajtására vonatkozó mentesítésről szóló határozatára, VII. szakasz – Régiók Bizottsága,</w:t>
      </w:r>
    </w:p>
    <w:p w14:paraId="121D2855" w14:textId="77777777" w:rsidR="00DD31EB" w:rsidRPr="000F025F" w:rsidRDefault="00DD31EB" w:rsidP="00DD31EB">
      <w:pPr>
        <w:pStyle w:val="NormalHanging12a"/>
      </w:pPr>
      <w:r w:rsidRPr="000F025F">
        <w:t>–</w:t>
      </w:r>
      <w:r w:rsidRPr="000F025F">
        <w:tab/>
        <w:t>tekintettel eljárási szabályzata 102. cikkére és V. mellékletére,</w:t>
      </w:r>
    </w:p>
    <w:p w14:paraId="03A0F8F5" w14:textId="77777777" w:rsidR="00DD31EB" w:rsidRPr="000F025F" w:rsidRDefault="00DD31EB" w:rsidP="00DD31EB">
      <w:pPr>
        <w:pStyle w:val="NormalHanging12a"/>
      </w:pPr>
      <w:r w:rsidRPr="000F025F">
        <w:t>–</w:t>
      </w:r>
      <w:r w:rsidRPr="000F025F">
        <w:tab/>
        <w:t>tekintettel a Költségvetési Ellenőrző Bizottság jelentésére (A10-0056/2026),</w:t>
      </w:r>
    </w:p>
    <w:p w14:paraId="517B8BB2" w14:textId="5CD79615" w:rsidR="00DD31EB" w:rsidRPr="000F025F" w:rsidRDefault="00DD31EB" w:rsidP="00DD31EB">
      <w:pPr>
        <w:pStyle w:val="NormalHanging12a"/>
      </w:pPr>
      <w:r w:rsidRPr="000F025F">
        <w:t>A.</w:t>
      </w:r>
      <w:r w:rsidRPr="000F025F">
        <w:rPr>
          <w:b/>
          <w:i/>
        </w:rPr>
        <w:tab/>
      </w:r>
      <w:r w:rsidRPr="000F025F">
        <w:t xml:space="preserve">mivel a mentesítésért felelős hatóság a mentesítési eljárás keretében – miközben hangsúlyozza, hogy különösen fontos az uniós intézmények demokratikus legitimitásának további erősítése – nemcsak a kiadások jogszerűségét és szabályszerűségét értékeli, hanem az átláthatóság és az elszámoltathatóság javítására, a teljesítményalapú költségvetés-tervezés koncepciójának végrehajtására és az emberi erőforrások megfelelő irányítására fordított uniós kiadásokat is, hogy mérhető eredményeket érjen el a polgárok számára, különösen helyi és regionális szinten; </w:t>
      </w:r>
    </w:p>
    <w:p w14:paraId="0BAB0A74" w14:textId="77777777" w:rsidR="00DD31EB" w:rsidRPr="000F025F" w:rsidRDefault="00DD31EB" w:rsidP="00DD31EB">
      <w:pPr>
        <w:pStyle w:val="NormalHanging12a"/>
      </w:pPr>
      <w:r w:rsidRPr="000F025F">
        <w:t xml:space="preserve">B. </w:t>
      </w:r>
      <w:r w:rsidRPr="000F025F">
        <w:tab/>
        <w:t xml:space="preserve">mivel a Régiók Bizottsága (a továbbiakban: RB) az Unió 27 tagállamának régióiban, városaiban, falvaiban és településein megválasztott 329 tagból (és 329 póttagból) álló politikai közgyűlés, amely kulcsfontosságú intézményi szerepet játszik az Unió kohéziós politikájával kapcsolatban azáltal, hogy képviseli a regionális és helyi önkormányzatokat, az uniós intézmények tanácsadó szerveként működik, és küldetése, hogy a helyi és regionális önkormányzatok szempontjából hozzájáruljon az uniós politika alakításához és a döntéshozatali folyamathoz, ugyanakkor hozzájáruljon ahhoz, hogy az Unió hatékonyabbá váljon és közelebb kerüljön polgáraihoz; </w:t>
      </w:r>
    </w:p>
    <w:p w14:paraId="3BBCAF00" w14:textId="77777777" w:rsidR="00DD31EB" w:rsidRPr="000F025F" w:rsidRDefault="00DD31EB" w:rsidP="00DD31EB">
      <w:pPr>
        <w:pStyle w:val="NormalHanging12a"/>
        <w:rPr>
          <w:color w:val="000000"/>
        </w:rPr>
      </w:pPr>
      <w:r w:rsidRPr="000F025F">
        <w:rPr>
          <w:color w:val="000000"/>
        </w:rPr>
        <w:t>C.</w:t>
      </w:r>
      <w:r w:rsidRPr="000F025F">
        <w:rPr>
          <w:color w:val="000000"/>
        </w:rPr>
        <w:tab/>
        <w:t>mivel az Európai Bizottsággal vagy a Tanáccsal folytatott konzultáció bizonyos esetekben kötelező, miközben az RB saját kezdeményezésére is elfogadhat véleményt, és a Szerződésekben meghatározottak szerint tág teret élvez a felkérések tekintetében, ami lehetővé teszi, hogy a Parlament konzultáljon vele;</w:t>
      </w:r>
    </w:p>
    <w:p w14:paraId="509268F1" w14:textId="77777777" w:rsidR="00DD31EB" w:rsidRPr="000F025F" w:rsidRDefault="00DD31EB" w:rsidP="00DD31EB">
      <w:pPr>
        <w:pStyle w:val="NormalHanging12a"/>
        <w:rPr>
          <w:color w:val="000000"/>
        </w:rPr>
      </w:pPr>
      <w:r w:rsidRPr="000F025F">
        <w:rPr>
          <w:color w:val="000000"/>
        </w:rPr>
        <w:t>D.</w:t>
      </w:r>
      <w:r w:rsidRPr="000F025F">
        <w:rPr>
          <w:color w:val="000000"/>
        </w:rPr>
        <w:tab/>
        <w:t>mivel az RB a tevékenységeit a 2020 és 2025 közötti időszakra vonatkozó prioritásairól szóló, 2020. július 2-i állásfoglalásában</w:t>
      </w:r>
      <w:r w:rsidRPr="000F025F">
        <w:rPr>
          <w:rStyle w:val="FootnoteReference"/>
          <w:color w:val="000000"/>
        </w:rPr>
        <w:footnoteReference w:id="7"/>
      </w:r>
      <w:r w:rsidRPr="000F025F">
        <w:rPr>
          <w:color w:val="000000"/>
        </w:rPr>
        <w:t xml:space="preserve"> meghatározott átfogó politikai stratégiája alapján határozza meg, és mivel az RB három politikai prioritást fogadott el a 2020 és 2025 közötti megbízatási időszakára vonatkozóan, amelyeket három kommunikációs kampány kísért: „Emberközelibb Európa”, „</w:t>
      </w:r>
      <w:proofErr w:type="spellStart"/>
      <w:r w:rsidRPr="000F025F">
        <w:rPr>
          <w:color w:val="000000"/>
        </w:rPr>
        <w:t>Reziliens</w:t>
      </w:r>
      <w:proofErr w:type="spellEnd"/>
      <w:r w:rsidRPr="000F025F">
        <w:rPr>
          <w:color w:val="000000"/>
        </w:rPr>
        <w:t xml:space="preserve"> regionális és helyi közösségek építése”, valamint „A </w:t>
      </w:r>
      <w:proofErr w:type="gramStart"/>
      <w:r w:rsidRPr="000F025F">
        <w:rPr>
          <w:color w:val="000000"/>
        </w:rPr>
        <w:t>kohézió</w:t>
      </w:r>
      <w:proofErr w:type="gramEnd"/>
      <w:r w:rsidRPr="000F025F">
        <w:rPr>
          <w:color w:val="000000"/>
        </w:rPr>
        <w:t xml:space="preserve"> mint az EU alapvető értékének előmozdítása”;</w:t>
      </w:r>
    </w:p>
    <w:p w14:paraId="1BD0CC81" w14:textId="77777777" w:rsidR="00DD31EB" w:rsidRPr="000F025F" w:rsidRDefault="00DD31EB" w:rsidP="00DD31EB">
      <w:pPr>
        <w:pStyle w:val="NormalHanging12a"/>
        <w:rPr>
          <w:b/>
          <w:i/>
          <w:color w:val="000000"/>
        </w:rPr>
      </w:pPr>
      <w:r w:rsidRPr="000F025F">
        <w:rPr>
          <w:color w:val="000000"/>
        </w:rPr>
        <w:t>E.</w:t>
      </w:r>
      <w:r w:rsidRPr="000F025F">
        <w:rPr>
          <w:b/>
          <w:i/>
          <w:color w:val="000000"/>
        </w:rPr>
        <w:t xml:space="preserve"> </w:t>
      </w:r>
      <w:r w:rsidRPr="000F025F">
        <w:rPr>
          <w:b/>
          <w:i/>
          <w:color w:val="000000"/>
        </w:rPr>
        <w:tab/>
      </w:r>
      <w:r w:rsidRPr="000F025F">
        <w:rPr>
          <w:color w:val="000000"/>
        </w:rPr>
        <w:t xml:space="preserve">mivel a helyi és regionális közigazgatás a közkiadások egyharmadát, a közberuházások felét és az adóbevételek egynegyedét teszi ki, és számos tagállamban hatáskörrel rendelkezik olyan kulcsfontosságú területeken, mint az oktatás, a gazdasági fejlődés és </w:t>
      </w:r>
      <w:r w:rsidRPr="000F025F">
        <w:rPr>
          <w:color w:val="000000"/>
        </w:rPr>
        <w:lastRenderedPageBreak/>
        <w:t>kohézió, a környezetvédelem, a szociális védelem, az egészségügy és az általános érdekű szolgáltatások, ezért a helyi, regionális, nemzeti és uniós szintű koordináció növeli a jogszabályok legitimitását, javítja a felelősségvállalást és hatékonyabban szolgálja a polgárok javát, valamint hozzájárul a területi hatással járó uniós kiadások nyomon követéséhez és végrehajtásához, biztosítva ugyanakkor, hogy senki se maradjon le;</w:t>
      </w:r>
    </w:p>
    <w:p w14:paraId="34423A5E" w14:textId="77777777" w:rsidR="00DD31EB" w:rsidRPr="000F025F" w:rsidRDefault="00DD31EB" w:rsidP="00DD31EB">
      <w:pPr>
        <w:pStyle w:val="NormalHanging12a"/>
        <w:rPr>
          <w:color w:val="000000"/>
        </w:rPr>
      </w:pPr>
      <w:r w:rsidRPr="000F025F">
        <w:rPr>
          <w:color w:val="000000"/>
        </w:rPr>
        <w:t>F.</w:t>
      </w:r>
      <w:r w:rsidRPr="000F025F">
        <w:rPr>
          <w:color w:val="000000"/>
        </w:rPr>
        <w:tab/>
        <w:t>mivel az RB politikai célja, hogy megerősítse részvételét az Unió teljes politikai és jogalkotási ciklusában, miközben kézzelfoghatóbbá teszi a kapcsolatot az uniós polgárokkal az RB tagjainak segítségével, akik közösségükben és a helyi és regionális önkormányzatok nemzeti szövetségeiben erőteljes multiplikátorként működnek;</w:t>
      </w:r>
    </w:p>
    <w:p w14:paraId="6BC60941" w14:textId="77777777" w:rsidR="00DD31EB" w:rsidRPr="000F025F" w:rsidRDefault="00DD31EB" w:rsidP="00DD31EB">
      <w:pPr>
        <w:pStyle w:val="NormalHanging12a"/>
        <w:rPr>
          <w:color w:val="000000"/>
        </w:rPr>
      </w:pPr>
      <w:r w:rsidRPr="000F025F">
        <w:rPr>
          <w:color w:val="000000"/>
        </w:rPr>
        <w:t>G.</w:t>
      </w:r>
      <w:r w:rsidRPr="000F025F">
        <w:rPr>
          <w:color w:val="000000"/>
        </w:rPr>
        <w:tab/>
        <w:t xml:space="preserve">mivel az RB kilenc kiemelt kezdeményezést határozott meg annak érdekében, hogy 2024-ben fokozza a fellépése stratégiai jellegét és hatását: </w:t>
      </w:r>
      <w:r w:rsidRPr="000F025F">
        <w:t xml:space="preserve">Az Unió bővítése és az Ukrajnának nyújtott támogatás; Demokrácia és minőségi jogalkotás; </w:t>
      </w:r>
      <w:proofErr w:type="spellStart"/>
      <w:r w:rsidRPr="000F025F">
        <w:t>Reziliencia</w:t>
      </w:r>
      <w:proofErr w:type="spellEnd"/>
      <w:r w:rsidRPr="000F025F">
        <w:t xml:space="preserve">; A zöld megállapodás helyi szintű végrehajtása; Versenyképesség, ipar, kkv-k, szabályozási könnyítések és a vállalkozások adózása; Az uniós kohéziós politika megvalósításának és kommunikációjának optimalizálása; Szembenézés a hármas környezeti válsággal; Foglalkoztatás-, esélyegyenlőségi és szociálpolitikák; A regionális innovációs ökoszisztémáknak nyújtott uniós támogatás előmozdítása; </w:t>
      </w:r>
    </w:p>
    <w:p w14:paraId="275DEC0A" w14:textId="77777777" w:rsidR="00DD31EB" w:rsidRPr="000F025F" w:rsidRDefault="00DD31EB" w:rsidP="00DD31EB">
      <w:pPr>
        <w:pStyle w:val="NormalHanging12a"/>
        <w:rPr>
          <w:color w:val="000000"/>
        </w:rPr>
      </w:pPr>
      <w:r w:rsidRPr="000F025F">
        <w:rPr>
          <w:color w:val="000000"/>
        </w:rPr>
        <w:t>H.</w:t>
      </w:r>
      <w:r w:rsidRPr="000F025F">
        <w:rPr>
          <w:color w:val="000000"/>
        </w:rPr>
        <w:tab/>
        <w:t>mivel a 2021 és 2027 közötti uniós kohéziós politikát és finanszírozást szabályozó, 2021 júliusában hatályba lépett (EU) 2021/1060 európai parlamenti és tanácsi rendelet</w:t>
      </w:r>
      <w:r w:rsidRPr="000F025F">
        <w:rPr>
          <w:rStyle w:val="FootnoteReference"/>
          <w:color w:val="000000"/>
        </w:rPr>
        <w:footnoteReference w:id="8"/>
      </w:r>
      <w:r w:rsidRPr="000F025F">
        <w:rPr>
          <w:color w:val="000000"/>
        </w:rPr>
        <w:t xml:space="preserve"> hivatkozik a partnerség és a többszintű kormányzás elvére, amelyet az RB és a Parlament is támogat, és amely együtt jár az uniós régiók és helyi és regionális önkormányzataik bevonásával;</w:t>
      </w:r>
    </w:p>
    <w:p w14:paraId="593504FD" w14:textId="77777777" w:rsidR="00DD31EB" w:rsidRPr="000F025F" w:rsidRDefault="00DD31EB" w:rsidP="00DD31EB">
      <w:pPr>
        <w:pStyle w:val="NormalHanging12a"/>
        <w:rPr>
          <w:b/>
          <w:bCs/>
          <w:color w:val="000000"/>
        </w:rPr>
      </w:pPr>
      <w:r w:rsidRPr="000F025F">
        <w:rPr>
          <w:color w:val="000000"/>
        </w:rPr>
        <w:t>I.</w:t>
      </w:r>
      <w:r w:rsidRPr="000F025F">
        <w:rPr>
          <w:color w:val="000000"/>
        </w:rPr>
        <w:tab/>
        <w:t>mivel a 2021–2027-es programozási időszakban az uniós kohéziós politika megvalósítására szolgáló több mint 400 nemzeti és regionális program különböző alapok keretében mintegy 380 milliárd EUR-t bocsátott rendelkezésre az uniós régiók, városok, falvak és önkormányzatok előtt álló gazdasági, társadalmi és környezeti kihívások kezelése céljából;</w:t>
      </w:r>
    </w:p>
    <w:p w14:paraId="620D3114" w14:textId="77777777" w:rsidR="00DD31EB" w:rsidRPr="000F025F" w:rsidRDefault="00DD31EB" w:rsidP="00DD31EB">
      <w:pPr>
        <w:pStyle w:val="NormalHanging12a"/>
        <w:rPr>
          <w:color w:val="000000"/>
        </w:rPr>
      </w:pPr>
      <w:r w:rsidRPr="000F025F">
        <w:rPr>
          <w:color w:val="000000"/>
        </w:rPr>
        <w:t>J.</w:t>
      </w:r>
      <w:r w:rsidRPr="000F025F">
        <w:rPr>
          <w:color w:val="000000"/>
        </w:rPr>
        <w:tab/>
      </w:r>
      <w:r w:rsidRPr="000F025F">
        <w:t xml:space="preserve">mivel 2021. február 19-én hatályba lépett az uniós Helyreállítási és </w:t>
      </w:r>
      <w:proofErr w:type="spellStart"/>
      <w:r w:rsidRPr="000F025F">
        <w:t>Rezilienciaépítési</w:t>
      </w:r>
      <w:proofErr w:type="spellEnd"/>
      <w:r w:rsidRPr="000F025F">
        <w:t xml:space="preserve"> Eszköz létrehozásáról szóló (EU) 2021/241 európai parlamenti és tanácsi rendelet</w:t>
      </w:r>
      <w:r w:rsidRPr="000F025F">
        <w:rPr>
          <w:color w:val="000000"/>
          <w:vertAlign w:val="superscript"/>
        </w:rPr>
        <w:footnoteReference w:id="9"/>
      </w:r>
      <w:r w:rsidRPr="000F025F">
        <w:t>, amely megteremti a jogalapot arra, hogy 2021 és 2026 között pénzeszközöket és kölcsönöket osszanak szét a tagállamok között legfeljebb 672,5 milliárd EUR összegben (2018-as árakon), és amelynek célja az is, hogy támogassa a gazdasági, társadalmi és területi kohéziót, és kezelje az Unió régiói közötti egyenlőtlenségeket;</w:t>
      </w:r>
      <w:r w:rsidRPr="000F025F">
        <w:rPr>
          <w:color w:val="000000"/>
        </w:rPr>
        <w:t xml:space="preserve"> </w:t>
      </w:r>
    </w:p>
    <w:p w14:paraId="2F20BDEF" w14:textId="77777777" w:rsidR="00DD31EB" w:rsidRPr="000F025F" w:rsidRDefault="00DD31EB" w:rsidP="00DD31EB">
      <w:pPr>
        <w:pStyle w:val="NormalHanging12a"/>
        <w:rPr>
          <w:color w:val="000000"/>
        </w:rPr>
      </w:pPr>
      <w:r w:rsidRPr="000F025F">
        <w:rPr>
          <w:color w:val="000000"/>
        </w:rPr>
        <w:lastRenderedPageBreak/>
        <w:t>K.</w:t>
      </w:r>
      <w:r w:rsidRPr="000F025F">
        <w:rPr>
          <w:color w:val="000000"/>
        </w:rPr>
        <w:tab/>
        <w:t>mivel a költségvetési rendelet értelmében vett uniós intézményként az RB-</w:t>
      </w:r>
      <w:proofErr w:type="spellStart"/>
      <w:r w:rsidRPr="000F025F">
        <w:rPr>
          <w:color w:val="000000"/>
        </w:rPr>
        <w:t>nek</w:t>
      </w:r>
      <w:proofErr w:type="spellEnd"/>
      <w:r w:rsidRPr="000F025F">
        <w:rPr>
          <w:color w:val="000000"/>
        </w:rPr>
        <w:t xml:space="preserve"> el kell fogadnia saját éves beszámolóját, amelyet a Bizottság számvitelért felelős tisztviselője által elfogadott számviteli szabályoknak (az európai uniós számviteli szabályoknak) megfelelően kell elkészítenie, amelyek a nemzetközi költségvetési számviteli standardokon alapulnak, és amelyeket végül konszolidálják az uniós számviteli standardokkal;</w:t>
      </w:r>
    </w:p>
    <w:p w14:paraId="1623425C" w14:textId="77777777" w:rsidR="00DD31EB" w:rsidRPr="000F025F" w:rsidRDefault="00DD31EB" w:rsidP="00DD31EB">
      <w:pPr>
        <w:pStyle w:val="NormalHanging12a"/>
      </w:pPr>
      <w:r w:rsidRPr="000F025F">
        <w:t>1.</w:t>
      </w:r>
      <w:r w:rsidRPr="000F025F">
        <w:tab/>
        <w:t>megjegyzi, hogy az RB költségvetése a többéves pénzügyi keret „Európai közigazgatás” elnevezésű 7. fejezetébe tartozik, amely 2024-ben összesen 13,3 milliárd EUR összeget tett ki, ami az uniós költségvetési kiadások 6,9%-</w:t>
      </w:r>
      <w:proofErr w:type="spellStart"/>
      <w:r w:rsidRPr="000F025F">
        <w:t>ának</w:t>
      </w:r>
      <w:proofErr w:type="spellEnd"/>
      <w:r w:rsidRPr="000F025F">
        <w:t xml:space="preserve"> felel meg; megállapítja, hogy az RB költségvetése 2024-ben a többéves pénzügyi keret 7. fejezete szerinti előirányzatok 0,92%-át tette ki; </w:t>
      </w:r>
    </w:p>
    <w:p w14:paraId="61B5704D" w14:textId="55A58389" w:rsidR="00DD31EB" w:rsidRPr="000F025F" w:rsidRDefault="00DD31EB" w:rsidP="00DD31EB">
      <w:pPr>
        <w:pStyle w:val="NormalHanging12a"/>
      </w:pPr>
      <w:r w:rsidRPr="000F025F">
        <w:t>2.</w:t>
      </w:r>
      <w:r w:rsidRPr="000F025F">
        <w:tab/>
        <w:t xml:space="preserve">megjegyzi, hogy a Számvevőszék a 2024. évi pénzügyi évre vonatkozó éves jelentésében (a továbbiakban: </w:t>
      </w:r>
      <w:r w:rsidR="00915B4E" w:rsidRPr="000F025F">
        <w:t xml:space="preserve">a </w:t>
      </w:r>
      <w:r w:rsidRPr="000F025F">
        <w:t>számvevőszéki jelentés) az „Igazgatás” fejezeten belül 70 ügyletből álló mintát vizsgált, azaz ugyanannyit, mint 2023-ban; mivel a Számvevőszék megjegyzi, hogy az igazgatási kiadások magukban foglalják a humánerőforrásokkal kapcsolatos kiadásokat, beleértve a nyugdíjakkal kapcsolatosakat is, amelyek 2024-ben az összes igazgatási kiadás mintegy 69%-át tették ki, valamint az épületekre, berendezésekre, energiára, kommunikációra és információtechnológiára fordított kiadásokat, és hogy az évek során végzett munkája azt jelzi, hogy összességében az igazgatási kiadás alacsony kockázatú;</w:t>
      </w:r>
    </w:p>
    <w:p w14:paraId="08A2329C" w14:textId="77777777" w:rsidR="00DD31EB" w:rsidRPr="000F025F" w:rsidRDefault="00DD31EB" w:rsidP="00DD31EB">
      <w:pPr>
        <w:pStyle w:val="NormalHanging12a"/>
      </w:pPr>
      <w:r w:rsidRPr="000F025F">
        <w:t>3.</w:t>
      </w:r>
      <w:r w:rsidRPr="000F025F">
        <w:tab/>
        <w:t>megjegyzi, hogy a 70 tranzakcióból 16 (23%) tartalmazott hibákat, de a Számvevőszék a számszerűsített három hiba alapján úgy becsüli, hogy a hibaszint a lényegességi küszöb alatt van; megjegyzi, hogy a számvevőszéki jelentés nem tárt fel konkrét problémát az RB-t illetően;</w:t>
      </w:r>
    </w:p>
    <w:p w14:paraId="517C4F15" w14:textId="77777777" w:rsidR="00DD31EB" w:rsidRPr="000F025F" w:rsidRDefault="00DD31EB" w:rsidP="00DD31EB">
      <w:pPr>
        <w:pStyle w:val="NormalHanging12a"/>
        <w:rPr>
          <w:bCs/>
          <w:iCs/>
        </w:rPr>
      </w:pPr>
      <w:r w:rsidRPr="000F025F">
        <w:t>4.</w:t>
      </w:r>
      <w:r w:rsidRPr="000F025F">
        <w:tab/>
        <w:t>megjegyzi, hogy a kohéziós politika jelentősen hozzájárul a polgárok Unióba vetett bizalmához azáltal, hogy regionális és helyi projektek révén konkrét és látható eredményeket ér el, ezáltal erősítve a helyszínen végzett uniós tevékenység legitimitását; hangsúlyozza, hogy ebben az összefüggésben a Régiók Bizottsága kulcsszerepet játszik abban, hogy az uniós polgárok közelebb kerüljenek az uniós döntéshozatalhoz;</w:t>
      </w:r>
    </w:p>
    <w:p w14:paraId="28F2AC40" w14:textId="77777777" w:rsidR="00DD31EB" w:rsidRPr="000F025F" w:rsidRDefault="00DD31EB" w:rsidP="000F025F">
      <w:pPr>
        <w:pStyle w:val="NormalHanging12a"/>
        <w:rPr>
          <w:b/>
          <w:i/>
        </w:rPr>
      </w:pPr>
      <w:r w:rsidRPr="000F025F">
        <w:rPr>
          <w:b/>
          <w:i/>
        </w:rPr>
        <w:t>Költségvetési és pénzgazdálkodás</w:t>
      </w:r>
    </w:p>
    <w:p w14:paraId="00C6E201" w14:textId="77777777" w:rsidR="00DD31EB" w:rsidRPr="000F025F" w:rsidRDefault="00DD31EB" w:rsidP="00DD31EB">
      <w:pPr>
        <w:pStyle w:val="NormalHanging12a"/>
      </w:pPr>
      <w:r w:rsidRPr="000F025F">
        <w:t xml:space="preserve">5. </w:t>
      </w:r>
      <w:r w:rsidRPr="000F025F">
        <w:tab/>
        <w:t>az RB 2024. évi éves tevékenységi jelentése (a továbbiakban: az éves jelentés) alapján megállapítja, hogy az RB végleges elfogadott költségvetése 2024-ben 123 178 345 EUR volt, beleértve a (bérekkel kapcsolatos) 5/2024. sz. költségvetés-módosítást is, ami 2023-hoz képest 6 502 953 EUR összegű (azaz +5,60%-os) növekedést jelent; megelégedéssel veszi tudomásul, hogy a folyó évi kötelezettségvállalási előirányzatok RB általi végrehajtási aránya 2024-ben 99,9% volt (ugyanannyi, mint 2023-ban), a folyó évi kifizetési előirányzatok végrehajtási aránya pedig a 2023. évi 91,20%-</w:t>
      </w:r>
      <w:proofErr w:type="spellStart"/>
      <w:r w:rsidRPr="000F025F">
        <w:t>ról</w:t>
      </w:r>
      <w:proofErr w:type="spellEnd"/>
      <w:r w:rsidRPr="000F025F">
        <w:t xml:space="preserve"> 2024-ben 91,90%-</w:t>
      </w:r>
      <w:proofErr w:type="spellStart"/>
      <w:r w:rsidRPr="000F025F">
        <w:t>ra</w:t>
      </w:r>
      <w:proofErr w:type="spellEnd"/>
      <w:r w:rsidRPr="000F025F">
        <w:t xml:space="preserve"> nőtt; üdvözli, hogy a 2023-ról 2024-re átvitt C8-as előirányzatok végrehajtási aránya a 2023. évi 85%-</w:t>
      </w:r>
      <w:proofErr w:type="spellStart"/>
      <w:r w:rsidRPr="000F025F">
        <w:t>ról</w:t>
      </w:r>
      <w:proofErr w:type="spellEnd"/>
      <w:r w:rsidRPr="000F025F">
        <w:t xml:space="preserve"> 2024-ben 92,20%-</w:t>
      </w:r>
      <w:proofErr w:type="spellStart"/>
      <w:r w:rsidRPr="000F025F">
        <w:t>ra</w:t>
      </w:r>
      <w:proofErr w:type="spellEnd"/>
      <w:r w:rsidRPr="000F025F">
        <w:t xml:space="preserve"> nőtt, mivel a 2023-ról 2024-re átvitt előirányzatok 12 578 853 EUR-t tettek ki, szemben az előző évi 10 540 464 EUR-val; elismerését fejezi ki az RB-</w:t>
      </w:r>
      <w:proofErr w:type="spellStart"/>
      <w:r w:rsidRPr="000F025F">
        <w:t>nek</w:t>
      </w:r>
      <w:proofErr w:type="spellEnd"/>
      <w:r w:rsidRPr="000F025F">
        <w:t xml:space="preserve"> azért, hogy a költségvetés tervezésének és végrehajtásának optimalizálása miatt az évek során következetesen magas volt a költségvetés végrehajtási aránya, figyelembe véve a költségvetésre tartósan nehezedő nyomást; ezzel összefüggésben elismeri az RB strukturális </w:t>
      </w:r>
      <w:r w:rsidRPr="000F025F">
        <w:lastRenderedPageBreak/>
        <w:t xml:space="preserve">alulfinanszírozottságát, különösen annak fényében, hogy élen jár az innováció terén és teszteli azokat a gyakorlatokat, amelyek előnyösek lehetnek a tágabb uniós közigazgatás számára, és elismeri, hogy további forrásokra van szüksége célkitűzéseinek hatékony eléréséhez, a költségvetési fegyelem tiszteletben tartása mellett; </w:t>
      </w:r>
    </w:p>
    <w:p w14:paraId="68D8F02A" w14:textId="77777777" w:rsidR="00DD31EB" w:rsidRPr="000F025F" w:rsidRDefault="00DD31EB" w:rsidP="00DD31EB">
      <w:pPr>
        <w:pStyle w:val="NormalHanging12a"/>
      </w:pPr>
      <w:r w:rsidRPr="000F025F">
        <w:t>6.</w:t>
      </w:r>
      <w:r w:rsidRPr="000F025F">
        <w:tab/>
        <w:t>hangsúlyozza, hogy az RB költségvetésének magas végrehajtási aránya és alacsony hibaszintje azt mutatja, hogy a regionális és helyi hatóságokhoz közeli decentralizált végrehajtás biztosíthatja mind a hatékony és eredményes pénzgazdálkodást, mind pedig a kézzelfogható eredményeket a polgárok számára, elismerve ugyanakkor, hogy további forrásokra van szükség; felhívja a Bizottságot, hogy intézményi megbízatásán belül teljes mértékben vonja be a Régiók Bizottságát az uniós kiadások nyomon követésébe és értékelésébe, többek között a 2027 utáni uniós költségvetést érintő döntésekbe a gazdasági, társadalmi és területi egyenlőtlenségek csökkentését célzó kohéziós projektek elszámoltathatóságának, átláthatóságának és teljesítményének további megerősítése érdekében;</w:t>
      </w:r>
    </w:p>
    <w:p w14:paraId="6582771D" w14:textId="77777777" w:rsidR="00DD31EB" w:rsidRPr="000F025F" w:rsidRDefault="00DD31EB" w:rsidP="00DD31EB">
      <w:pPr>
        <w:pStyle w:val="NormalHanging12a"/>
      </w:pPr>
      <w:r w:rsidRPr="000F025F">
        <w:t>7.</w:t>
      </w:r>
      <w:r w:rsidRPr="000F025F">
        <w:tab/>
        <w:t>megjegyzi, hogy az 1 0 0 0. költségvetési jogcím (A tagok irodai költségei) C1-es előirányzatainak végrehajtási aránya a 2023. évi 76,20%-</w:t>
      </w:r>
      <w:proofErr w:type="spellStart"/>
      <w:r w:rsidRPr="000F025F">
        <w:t>ról</w:t>
      </w:r>
      <w:proofErr w:type="spellEnd"/>
      <w:r w:rsidRPr="000F025F">
        <w:t xml:space="preserve"> 2024-ben 13,90%-</w:t>
      </w:r>
      <w:proofErr w:type="spellStart"/>
      <w:r w:rsidRPr="000F025F">
        <w:t>ra</w:t>
      </w:r>
      <w:proofErr w:type="spellEnd"/>
      <w:r w:rsidRPr="000F025F">
        <w:t xml:space="preserve"> csökkent; tudomásul veszi az RB magyarázatát, amely szerint a 2024. évi irodai költségek megtérítését 2025 elején C8-as előirányzatokkal hajtották végre; megjegyzi, hogy az RB kezelte a 2 0 0 7. költségvetési jogcím (A helyiségek berendezése) C8-as előirányzatainak 2023. évi alacsony végrehajtási arányát azáltal, hogy elkerülte a nagy ingatlanprojektek év végi elindítását, és időközi kifizetéseket teljesített a hosszú távú projektekhez a késedelmes számlák megelőzése érdekében; megjegyzi azonban, hogy e jogcím C1-es előirányzatainak végrehajtási aránya a 2023. évi 99,20%-</w:t>
      </w:r>
      <w:proofErr w:type="spellStart"/>
      <w:r w:rsidRPr="000F025F">
        <w:t>ról</w:t>
      </w:r>
      <w:proofErr w:type="spellEnd"/>
      <w:r w:rsidRPr="000F025F">
        <w:t xml:space="preserve"> 2024-ben 51,90%-</w:t>
      </w:r>
      <w:proofErr w:type="spellStart"/>
      <w:r w:rsidRPr="000F025F">
        <w:t>ra</w:t>
      </w:r>
      <w:proofErr w:type="spellEnd"/>
      <w:r w:rsidRPr="000F025F">
        <w:t xml:space="preserve"> csökkent az RB épületeiben lévő egyes felvonók felújításának időzítése miatt;</w:t>
      </w:r>
    </w:p>
    <w:p w14:paraId="59208281" w14:textId="77777777" w:rsidR="00DD31EB" w:rsidRPr="000F025F" w:rsidRDefault="00DD31EB" w:rsidP="00DD31EB">
      <w:pPr>
        <w:pStyle w:val="NormalHanging12a"/>
      </w:pPr>
      <w:r w:rsidRPr="000F025F">
        <w:t>8.</w:t>
      </w:r>
      <w:r w:rsidRPr="000F025F">
        <w:tab/>
        <w:t xml:space="preserve">az éves jelentés alapján megállapítja, hogy 2024 folyamán az RB 42 átcsoportosítást hajtott végre összesen 2,7 millió EUR értékben, amelyből 37 belső átcsoportosítás összesen 1,1 millió EUR-t, öt külső átcsoportosítás pedig összesen 1,6 millió EUR-t tett ki, amelyből körülbelül 1 millió EUR-t olyan költségvetési sorokra csoportosítottak át, amelyek olyan tételeket fedeznek vagy erősítenek meg, mint az éves bérleti díjak, belső versenyvizsga szervezése, informatikai kiadások, valamint az RB és az Európai Gazdasági és Szociális Bizottság (EGSZB) általi használatra szánt médiahelyiségek berendezése; </w:t>
      </w:r>
    </w:p>
    <w:p w14:paraId="4F3B6914" w14:textId="4A71FB46" w:rsidR="00DD31EB" w:rsidRPr="000F025F" w:rsidRDefault="00DD31EB" w:rsidP="00DD31EB">
      <w:pPr>
        <w:pStyle w:val="NormalHanging12a"/>
      </w:pPr>
      <w:r w:rsidRPr="000F025F">
        <w:t>9.</w:t>
      </w:r>
      <w:r w:rsidRPr="000F025F">
        <w:tab/>
        <w:t>Oroszország Ukrajna elleni agressziós háborújával összefüggésben megjegyzi, hogy az RB-t 2024-ben továbbra is érintették többek között az energia, a közlekedés és a lakhatás növekvő költségei, valamint az inflációs rátához kapcsolódó indexálási mechanizmusok, amelyek közvetlenül vagy közvetve hatással voltak a nyersanyagokra, a külső vállalkozókra, az energiára, az utazásra, a bérleti díjakra, az épületek lízingjére és karbantartására fordított kiadásokra; megjegyzi, hogy 2022 és 2025 között az indexáláshoz kapcsolódó kumulatív költségnövekedés a bérleti díjak és az épületlízing-kifizetések esetében +21,50%, a karbantartási és biztonsági szerződések esetében pedig +15% volt, és 2022 és 2024 között a Brüsszelbe és Brüsszelből utazó tagok átlagos költsége 1</w:t>
      </w:r>
      <w:r w:rsidR="0038537B" w:rsidRPr="000F025F">
        <w:t> </w:t>
      </w:r>
      <w:r w:rsidRPr="000F025F">
        <w:t>200 EUR-ról 1</w:t>
      </w:r>
      <w:r w:rsidR="0038537B" w:rsidRPr="000F025F">
        <w:t> </w:t>
      </w:r>
      <w:r w:rsidRPr="000F025F">
        <w:t xml:space="preserve">620 EUR-ra nőtt; ezzel összefüggésben megjegyzi, hogy az RB költségvetési átcsoportosításainak száma a 2023. évi 31-ről 2024-ben 42-re nőtt, részben a magas infláció és indexálás által érintett szerződések fedezése érdekében; elismerését fejezi ki az RB és az EGSZB közös intézkedéseiért, amelyek célja, hogy a digitalizáció és a közös közbeszerzési erőfeszítések révén jobb intézményközi </w:t>
      </w:r>
      <w:r w:rsidRPr="000F025F">
        <w:lastRenderedPageBreak/>
        <w:t xml:space="preserve">együttműködést biztosítsanak; üdvözli az RB 2024-ben megújított energiatakarékossági intézkedéseit, amelyek kulcsfontosságúak az emelkedő energiaköltségek hatásainak enyhítése szempontjából; elismeri azonban, hogy valamennyi uniós intézménynek javítania kell költségvetési gazdálkodását azáltal, hogy a szolgáltatókkal való szerződéskötéskor figyelembe veszi az </w:t>
      </w:r>
      <w:proofErr w:type="spellStart"/>
      <w:r w:rsidRPr="000F025F">
        <w:t>áringadozást</w:t>
      </w:r>
      <w:proofErr w:type="spellEnd"/>
      <w:r w:rsidRPr="000F025F">
        <w:t xml:space="preserve"> is, különösen az energiaágazatban;</w:t>
      </w:r>
    </w:p>
    <w:p w14:paraId="353AF26B" w14:textId="77777777" w:rsidR="00DD31EB" w:rsidRPr="000F025F" w:rsidRDefault="00DD31EB" w:rsidP="00DD31EB">
      <w:pPr>
        <w:pStyle w:val="NormalHanging12a"/>
        <w:rPr>
          <w:bCs/>
          <w:iCs/>
        </w:rPr>
      </w:pPr>
      <w:r w:rsidRPr="000F025F">
        <w:t>10.</w:t>
      </w:r>
      <w:r w:rsidRPr="000F025F">
        <w:tab/>
        <w:t>felhívja az RB igazgatását, hogy aktívan azonosítsa és hajtsa végre a költségmegtakarítási intézkedéseket, többek között a hibrid ülések technológiáinak fokozott használata, az épülethasználat optimalizálása, az adminisztratív tevékenységek megszilárdítása és a szükségtelen logisztikai költségek csökkentése révén; rendszeres eredményjelentést kér a végrehajtott intézkedésekről és az elért megtakarításokról;</w:t>
      </w:r>
    </w:p>
    <w:p w14:paraId="3172B7A8" w14:textId="41E5AB1C" w:rsidR="00DD31EB" w:rsidRPr="000F025F" w:rsidRDefault="00DD31EB" w:rsidP="00DD31EB">
      <w:pPr>
        <w:pStyle w:val="NormalHanging12a"/>
      </w:pPr>
      <w:r w:rsidRPr="000F025F">
        <w:t>11.</w:t>
      </w:r>
      <w:r w:rsidRPr="000F025F">
        <w:tab/>
        <w:t>megjegyzi, hogy az RB tagjai számára az 1 0 0 4. költségvetési jogcímből teljesített kifizetések a 2023. évi 7 955 968 EUR-ról 2024-ben 8 036 613 EUR-ra nőttek, ami 1%-os növekedést jelent (az előző évi +20%-kal szemben); megjegyzi, hogy 2024-ben 8</w:t>
      </w:r>
      <w:r w:rsidR="0038537B" w:rsidRPr="000F025F">
        <w:t> </w:t>
      </w:r>
      <w:r w:rsidRPr="000F025F">
        <w:t>231 kifizetést teljesítettek az utazási költségekre, 4</w:t>
      </w:r>
      <w:r w:rsidR="0038537B" w:rsidRPr="000F025F">
        <w:t> </w:t>
      </w:r>
      <w:r w:rsidRPr="000F025F">
        <w:t>188 kifizetést az utazási ellátmányokra, 7</w:t>
      </w:r>
      <w:r w:rsidR="0038537B" w:rsidRPr="000F025F">
        <w:t> </w:t>
      </w:r>
      <w:r w:rsidRPr="000F025F">
        <w:t xml:space="preserve">303 kifizetést a személyes részvétellel zajló ülések idejére járó ellátmányokra és 164 kifizetést a távoli részvételre; a 2023. évi mentesítésről szóló parlamenti állásfoglalásban tett észrevételek RB általi nyomon követése (a továbbiakban: </w:t>
      </w:r>
      <w:proofErr w:type="spellStart"/>
      <w:r w:rsidRPr="000F025F">
        <w:t>nyomonkövetési</w:t>
      </w:r>
      <w:proofErr w:type="spellEnd"/>
      <w:r w:rsidRPr="000F025F">
        <w:t xml:space="preserve"> jelentés) alapján megjegyzi, hogy az RB 2024-ben felülvizsgált szabályokat fogadott el az utazási költségtérítésre és az RB tagjainak járó ellátmányok kifizetésére vonatkozóan, amelyek intézkedéseket tartalmaznak a szükségtelen költségek és a szén-dioxid-kibocsátás csökkentésére, amint azt a Parlament korábbi mentesítési állásfoglalásaiban javasolta; </w:t>
      </w:r>
    </w:p>
    <w:p w14:paraId="18FC7822" w14:textId="77777777" w:rsidR="00DD31EB" w:rsidRPr="000F025F" w:rsidRDefault="00DD31EB" w:rsidP="00DD31EB">
      <w:pPr>
        <w:pStyle w:val="NormalHanging12a"/>
      </w:pPr>
      <w:r w:rsidRPr="000F025F">
        <w:t>12.</w:t>
      </w:r>
      <w:r w:rsidRPr="000F025F">
        <w:tab/>
        <w:t xml:space="preserve">megjegyzi, hogy a kiküldetés költségvetése (folyó évi előirányzatok) a 2023. évi 420 833 EUR-ról 2024-ben 13,60%-kal, 478 050 EUR-ra nőtt, és e költségvetés végrehajtási aránya 2024-ben körülbelül 80%-os volt (2023-hoz hasonlóan); megjegyzi, hogy ez a növekedés annak tudható be, hogy a kiküldetések száma a 2023. évi 574-ről 2024-ben 810-re nőtt, amelyből 268 kiküldetés kapcsolódott ahhoz, hogy az RB 2024-ben </w:t>
      </w:r>
      <w:proofErr w:type="spellStart"/>
      <w:r w:rsidRPr="000F025F">
        <w:t>Monsban</w:t>
      </w:r>
      <w:proofErr w:type="spellEnd"/>
      <w:r w:rsidRPr="000F025F">
        <w:t xml:space="preserve"> csúcstalálkozót szervezett az RB fennállásának 30. évfordulója alkalmából;</w:t>
      </w:r>
    </w:p>
    <w:p w14:paraId="28996A7F" w14:textId="77777777" w:rsidR="00DD31EB" w:rsidRPr="000F025F" w:rsidRDefault="00DD31EB" w:rsidP="00DD31EB">
      <w:pPr>
        <w:pStyle w:val="NormalHanging12a"/>
      </w:pPr>
      <w:r w:rsidRPr="000F025F">
        <w:t>13.</w:t>
      </w:r>
      <w:r w:rsidRPr="000F025F">
        <w:tab/>
        <w:t xml:space="preserve">megállapítja, hogy a tolmácsolási szolgáltatásokra vonatkozó folyó évi előirányzatok a 2023. évi 4,167 millió EUR-ról 2024-ben mintegy 10%-kal, 3,737 millió EUR-ra csökkentek, 2024-ben pedig 64,80%-os volt a végrehajtási arány, szemben a 2023. évi 67,30%-kal; </w:t>
      </w:r>
    </w:p>
    <w:p w14:paraId="2097622E" w14:textId="77777777" w:rsidR="00DD31EB" w:rsidRPr="000F025F" w:rsidRDefault="00DD31EB" w:rsidP="00DD31EB">
      <w:pPr>
        <w:pStyle w:val="NormalHanging12a"/>
        <w:rPr>
          <w:bCs/>
        </w:rPr>
      </w:pPr>
      <w:r w:rsidRPr="000F025F">
        <w:t>14.</w:t>
      </w:r>
      <w:r w:rsidRPr="000F025F">
        <w:tab/>
        <w:t>megjegyzi, hogy az RB jelenlegi szabályai a távülések idejére járó átalányösszegű ellátmányt a rendes ülések idejére járó ellátmány 50%-</w:t>
      </w:r>
      <w:proofErr w:type="spellStart"/>
      <w:r w:rsidRPr="000F025F">
        <w:t>ában</w:t>
      </w:r>
      <w:proofErr w:type="spellEnd"/>
      <w:r w:rsidRPr="000F025F">
        <w:t xml:space="preserve"> határozzák meg, amely utóbbi 367 EUR, az előbbi 186,50 EUR, indexálás után; megjegyzi, hogy a távülések idejére járó ellátmányok teljes összege a korábbi évekhez képest alacsony maradt, miután 2023-ban azt tapasztalták, hogy jelentős mértékben visszatértek a személyes ülésekhez; megjegyzi azonban, hogy a kifizetett összeg a 2023. évi 32 632 EUR-ról 2024-ben kismértékben, 38 104 EUR-ra nőtt; az RB-</w:t>
      </w:r>
      <w:proofErr w:type="spellStart"/>
      <w:r w:rsidRPr="000F025F">
        <w:t>nek</w:t>
      </w:r>
      <w:proofErr w:type="spellEnd"/>
      <w:r w:rsidRPr="000F025F">
        <w:t xml:space="preserve"> a Parlament Költségvetési Ellenőrző Bizottsága által a 2024. évi költségvetési mentesítésre vonatkozóan benyújtott kérdőívre (a továbbiakban: a kérdőív) adott válaszai alapján megjegyzi, hogy csak az RB alapszabályában nem előírt szerveinek üléseit lehet online vagy hibrid formában megtartani, míg a távoli részvételt az </w:t>
      </w:r>
      <w:proofErr w:type="spellStart"/>
      <w:r w:rsidRPr="000F025F">
        <w:t>Interactio</w:t>
      </w:r>
      <w:proofErr w:type="spellEnd"/>
      <w:r w:rsidRPr="000F025F">
        <w:t xml:space="preserve"> platformon keresztül és a .</w:t>
      </w:r>
      <w:proofErr w:type="spellStart"/>
      <w:r w:rsidRPr="000F025F">
        <w:t>csv</w:t>
      </w:r>
      <w:proofErr w:type="spellEnd"/>
      <w:r w:rsidRPr="000F025F">
        <w:t xml:space="preserve"> fájlok kinyerésével követik nyomon; felhívja az RB-t, hogy a közvélemény bizalmának megerősítése érdekében erősítse meg a távoli részvételi juttatás rendszerének </w:t>
      </w:r>
      <w:r w:rsidRPr="000F025F">
        <w:lastRenderedPageBreak/>
        <w:t>átláthatóságát és arányosságát, és hangsúlyozza, hogy a távoli részvételért járó pénzügyi ellentételezést szigorúan meg kell indokolni; úgy véli, hogy bár a távoli részvétel fontos eszköz a modern intézmények számára, mivel csökkenti az ülések költségeit és szélesebb körű részvételt tesz lehetővé, az üléseken való távoli részvételért járó csökkentett ellátmány, amely bizonyos típusú rendezvényekre korlátozódik, arányos és méltányos intézkedés lehet, amely tükrözi a tagok felelősségét és az előkészületekre vonatkozó követelményeket; megjegyzi azonban, hogy fontos biztosítani az átláthatóságot és az arányosságot az ilyen juttatások szintje tekintetében, főként ott, ahol különbségek vannak az uniós szervek között a távoli részvétel tekintetében; úgy véli, hogy a távülések idejére járó ellátmány jelenlegi szintje további indokolást igényel a költséghatékonyság, az arányosság és a nyilvánosság általi elfogadhatóság tekintetében; felszólít adott esetben az online és a hibrid ülésformátum szélesebb körű és szisztematikusabb használatára az utazással kapcsolatos kiadások csökkentése, a költséghatékonyság növelése, a környezeti hatás korlátozása és az uniós források körültekintő felhasználásába vetett közbizalom növelése, valamint annak értékelése érdekében, hogy lehetséges-e harmonizálni az RB szabályait az EGSZB által alkalmazott szabályokkal, vagy hogy egyértelmű és átlátható indokolást lehessen adni a differenciált rendszer fenntartása mellett;</w:t>
      </w:r>
    </w:p>
    <w:p w14:paraId="6A9E4298" w14:textId="77777777" w:rsidR="00DD31EB" w:rsidRPr="000F025F" w:rsidRDefault="00DD31EB" w:rsidP="00DD31EB">
      <w:pPr>
        <w:pStyle w:val="NormalHanging12a"/>
      </w:pPr>
      <w:r w:rsidRPr="000F025F">
        <w:t>15.</w:t>
      </w:r>
      <w:r w:rsidRPr="000F025F">
        <w:tab/>
        <w:t xml:space="preserve">a kérdőív és a </w:t>
      </w:r>
      <w:proofErr w:type="spellStart"/>
      <w:r w:rsidRPr="000F025F">
        <w:t>nyomonkövetési</w:t>
      </w:r>
      <w:proofErr w:type="spellEnd"/>
      <w:r w:rsidRPr="000F025F">
        <w:t xml:space="preserve"> jelentés alapján megelégedéssel állapítja meg, hogy az átlagos kifizetési idő a 2023. évi 21,88 napról 2024-ben 18,46 napra csökkent, annak ellenére, hogy a feldolgozott számlák száma tovább nőtt; elismerését fejezi ki az RB-</w:t>
      </w:r>
      <w:proofErr w:type="spellStart"/>
      <w:r w:rsidRPr="000F025F">
        <w:t>nek</w:t>
      </w:r>
      <w:proofErr w:type="spellEnd"/>
      <w:r w:rsidRPr="000F025F">
        <w:t xml:space="preserve"> azért, hogy 2024-ben az elektronikusan beérkezett számlák magas százalékos arányát érte el (83%);</w:t>
      </w:r>
    </w:p>
    <w:p w14:paraId="546DB0C9" w14:textId="77777777" w:rsidR="00DD31EB" w:rsidRPr="000F025F" w:rsidRDefault="00DD31EB" w:rsidP="000F025F">
      <w:pPr>
        <w:pStyle w:val="NormalHanging12a"/>
        <w:rPr>
          <w:b/>
          <w:i/>
        </w:rPr>
      </w:pPr>
      <w:r w:rsidRPr="000F025F">
        <w:rPr>
          <w:b/>
          <w:i/>
        </w:rPr>
        <w:t>Belső irányítás, teljesítmény és belső kontroll</w:t>
      </w:r>
    </w:p>
    <w:p w14:paraId="0F23FA9F" w14:textId="77777777" w:rsidR="00DD31EB" w:rsidRPr="000F025F" w:rsidRDefault="00DD31EB" w:rsidP="00DD31EB">
      <w:pPr>
        <w:pStyle w:val="NormalHanging12a"/>
      </w:pPr>
      <w:r w:rsidRPr="000F025F">
        <w:t>16.</w:t>
      </w:r>
      <w:r w:rsidRPr="000F025F">
        <w:tab/>
        <w:t>elismeri, hogy az RB alapvető szerepet játszik az uniós politika kidolgozásához és a döntéshozatali folyamatokhoz való hozzájárulásban azáltal, hogy az Unión belül képviseli a helyi és regionális önkormányzatok érdekeit, ezáltal közelebb hozza Európát a polgárokhoz, és növeli az uniós jogszabályok demokratikus legitimitását; az éves jelentés alapján megjegyzi, hogy 2024-re vonatkozóan az éves működési terv részeként az RB teljesítményéről szóló jelentéstétel 26 célkitűzésen alapult, amelyek elérését 87 mennyiségi mutató segítségével értékelték; felhívja az RB-t, hogy erősítse tovább az eredmény- és hatásorientált mutatókat annak érdekében, hogy jobban érzékeltesse az RB tevékenységeinek az uniós szakpolitikákra gyakorolt hatását és hozzáadott értékét; mivel e mutatók többségének (körülbelül 74%-</w:t>
      </w:r>
      <w:proofErr w:type="spellStart"/>
      <w:r w:rsidRPr="000F025F">
        <w:t>ának</w:t>
      </w:r>
      <w:proofErr w:type="spellEnd"/>
      <w:r w:rsidRPr="000F025F">
        <w:t>) célértékeit 90%-ban vagy azt meghaladó mértékben érték el, hatot részben, 90%-</w:t>
      </w:r>
      <w:proofErr w:type="spellStart"/>
      <w:r w:rsidRPr="000F025F">
        <w:t>nál</w:t>
      </w:r>
      <w:proofErr w:type="spellEnd"/>
      <w:r w:rsidRPr="000F025F">
        <w:t xml:space="preserve"> alacsonyabb mértékben teljesítettek, hatot pedig nem értek el; a kérdőív alapján megjegyzi, hogy az RB 2024-ben átfogó tervezési és jelentéstételi ciklust hajtott végre, amely magában foglalta egy központi kockázati nyilvántartás létrehozását és egy kockázatértékelési eljárást az éves működési tervben szereplő valamennyi célkitűzésre vonatkozóan; ösztönzi az RB-t, hogy folytassa a teljesítmény és a hatékonyság javítását célzó munkát; üdvözli az RB arra irányuló erőfeszítéseit, hogy reformmegoldásokat és innovatív megoldásokat vezessen be, észszerűsítse az adminisztrációt, és elkerülje az egymást átfedő szerepeket más szervekkel;</w:t>
      </w:r>
    </w:p>
    <w:p w14:paraId="725252F1" w14:textId="77777777" w:rsidR="00DD31EB" w:rsidRPr="000F025F" w:rsidRDefault="00DD31EB" w:rsidP="00DD31EB">
      <w:pPr>
        <w:pStyle w:val="NormalHanging12a"/>
      </w:pPr>
      <w:r w:rsidRPr="000F025F">
        <w:t>17.</w:t>
      </w:r>
      <w:r w:rsidRPr="000F025F">
        <w:tab/>
        <w:t>hangsúlyozza a teljesítménymutatók relevanciáját és stratégiai értékét, és felkéri az RB-t, hogy erősítse tovább mutatórendszerét, biztosítva az eredményekről és hatásokról, nem csupán az adminisztratív tevékenységről való jelentéstételt;</w:t>
      </w:r>
    </w:p>
    <w:p w14:paraId="5B44D5B2" w14:textId="42F92BFE" w:rsidR="00DD31EB" w:rsidRPr="000F025F" w:rsidRDefault="00DD31EB" w:rsidP="00DD31EB">
      <w:pPr>
        <w:pStyle w:val="NormalHanging12a"/>
      </w:pPr>
      <w:r w:rsidRPr="000F025F">
        <w:lastRenderedPageBreak/>
        <w:t>18</w:t>
      </w:r>
      <w:r w:rsidR="00FA5FCB">
        <w:t>.</w:t>
      </w:r>
      <w:r w:rsidRPr="000F025F">
        <w:tab/>
        <w:t>megjegyzi, hogy az RB az Európai Bizottság által benyújtott jogalkotási javaslatokra vonatkozó vélemények (felkérések) és az uniós intézményeket cselekvésre felszólító saját kezdeményezésű vélemények, valamint állásfoglalások révén látja el feladatát, amelyek az RB meghatározott témákra vonatkozó álláspontját ismertetik; megjegyzi, hogy 2024-ben az RB 53 véleményt (ugyanannyit, mint 2023-ban) és négy állásfoglalást fogadott el (2023-ban hatot); elismeri az RB 2024. évi politikai eredményeit és szerepét a helyi és regionális szempontoknak az uniós szakpolitikai döntéshozatalba való integrálásában, ezáltal erősítve a polgárok részvételét;</w:t>
      </w:r>
    </w:p>
    <w:p w14:paraId="7AC6E819" w14:textId="49B40BCA" w:rsidR="00DD31EB" w:rsidRPr="000F025F" w:rsidRDefault="00DD31EB" w:rsidP="00DD31EB">
      <w:pPr>
        <w:pStyle w:val="NormalHanging12a"/>
      </w:pPr>
      <w:r w:rsidRPr="000F025F">
        <w:t xml:space="preserve">19. </w:t>
      </w:r>
      <w:r w:rsidRPr="000F025F">
        <w:tab/>
        <w:t>megelégedéssel veszi tudomásul az RB 2024. évi éves hatásvizsgálati jelentését (a továbbiakban: a hatásvizsgálati jelentés), amely szerint az RB 2024-ben politikai eredményeket ért el a 2020–2025 közötti időszakra vonatkozó három politikai prioritása tekintetében, ezáltal megerősítve az RB szerepét az uniós politika regionális és helyi szintű alakításában; megjegyzi, hogy a véleményekben szereplő nyilatkozatokból és ajánlásokból származó RB-hozzájárulások hatással voltak az olyan kulcsfontosságú uniós szakpolitikai területekre, mint az éghajlatváltozás, a természet, az energia és a zöld gazdaság (pl. a „Zöld megállapodás 2.0” című jelentés révén, amely befolyásolta a tanácsi következtetéseket és az (EU) 2024/1991 európai parlamenti és tanácsi rendeletről</w:t>
      </w:r>
      <w:r w:rsidRPr="000F025F">
        <w:rPr>
          <w:rStyle w:val="FootnoteReference"/>
        </w:rPr>
        <w:footnoteReference w:id="10"/>
      </w:r>
      <w:r w:rsidRPr="000F025F">
        <w:t xml:space="preserve"> szóló RB-véleményt), a közlekedés (pl. az árufuvarozás </w:t>
      </w:r>
      <w:proofErr w:type="spellStart"/>
      <w:r w:rsidRPr="000F025F">
        <w:t>környezetbarátabbá</w:t>
      </w:r>
      <w:proofErr w:type="spellEnd"/>
      <w:r w:rsidRPr="000F025F">
        <w:t xml:space="preserve"> tételéről szóló csomagra vonatkozó RB-vélemény révén, amely befolyásolta a Parlament vonatkozó jelentéstervezeteit) és az egészségügy (pl. az (EU) 2025/327 európai parlamenti és tanácsi rendeletről</w:t>
      </w:r>
      <w:r w:rsidRPr="000F025F">
        <w:rPr>
          <w:rStyle w:val="FootnoteReference"/>
        </w:rPr>
        <w:footnoteReference w:id="11"/>
      </w:r>
      <w:r w:rsidRPr="000F025F">
        <w:t xml:space="preserve"> szóló RB-vélemény révén, amely befolyásolta a végleges kompromisszumos szöveget); megelégedéssel állapítja meg, hogy az RB javaslatai befolyással voltak az Európai Bizottság azon döntésére, hogy 23 millió EUR összegű kísérleti projektet indít a régiók és városok társfinanszírozására a tartósan munkanélküli személyek munkaerőpiaci </w:t>
      </w:r>
      <w:proofErr w:type="spellStart"/>
      <w:r w:rsidRPr="000F025F">
        <w:t>reintegrációja</w:t>
      </w:r>
      <w:proofErr w:type="spellEnd"/>
      <w:r w:rsidRPr="000F025F">
        <w:t xml:space="preserve"> érdekében, valamint elindítja a megfizethető lakhatásra vonatkozó első ambiciózus európai tervet, amely az energiaszegénységgel, a szegénységgel és a fenntartható lakhatással foglalkozik, és amely megerősíti, hogy a lakhatáshoz való hozzáférés alapvető jog; megjegyzi továbbá, hogy a Régiók és Városok Európai Csúcstalálkozóján (2024 márciusa, </w:t>
      </w:r>
      <w:proofErr w:type="spellStart"/>
      <w:r w:rsidRPr="000F025F">
        <w:t>Mons</w:t>
      </w:r>
      <w:proofErr w:type="spellEnd"/>
      <w:r w:rsidRPr="000F025F">
        <w:t>) elfogadott nyilatkozat hozzájárult az Európai Tanács stratégiai menetrendjéhez és a Bizottság politikai iránymutatásaihoz;</w:t>
      </w:r>
    </w:p>
    <w:p w14:paraId="3BC31080" w14:textId="77777777" w:rsidR="00DD31EB" w:rsidRPr="000F025F" w:rsidRDefault="00DD31EB" w:rsidP="00DD31EB">
      <w:pPr>
        <w:pStyle w:val="NormalHanging12a"/>
      </w:pPr>
      <w:r w:rsidRPr="000F025F">
        <w:t xml:space="preserve">20. </w:t>
      </w:r>
      <w:r w:rsidRPr="000F025F">
        <w:tab/>
        <w:t xml:space="preserve">tekintettel arra, hogy az RB fontos szerepet játszik az uniós jogszabályok demokratikus legitimitásának növelésében azáltal, hogy aktív koordinációt biztosít a regionális és helyi önkormányzatok között, támogatja az RB arra irányuló erőfeszítéseit, hogy célzott, arányos és tényeken alapuló területi hatásvizsgálatokat végezzen, amelyekkel egyértelmű hozzáadott értéket teremtenek a jogalkotási folyamathoz; megelégedéssel veszi tudomásul, hogy az RB a különböző helyi és regionális hálózatok, szövetségek és központok bevonásának köszönhetően teljes körű mechanizmust hozott létre az érdekelt felekkel folytatott konzultációra, hogy véleményei kiadása előtt összegyűjtse a különböző meglátásokat; nagyra értékeli, hogy a nem uniós partnerek véleményét is figyelembe veszik, például a Városok és Régiók Európai Szövetsége Ukrajna </w:t>
      </w:r>
      <w:r w:rsidRPr="000F025F">
        <w:lastRenderedPageBreak/>
        <w:t xml:space="preserve">Újjáépítéséért és a Helyi és Regionális Önkormányzatok Euromediterrán Közgyűlése révén; </w:t>
      </w:r>
    </w:p>
    <w:p w14:paraId="455CDD6F" w14:textId="77777777" w:rsidR="00DD31EB" w:rsidRPr="000F025F" w:rsidRDefault="00DD31EB" w:rsidP="00DD31EB">
      <w:pPr>
        <w:pStyle w:val="NormalHanging12a"/>
      </w:pPr>
      <w:r w:rsidRPr="000F025F">
        <w:t xml:space="preserve">21. </w:t>
      </w:r>
      <w:r w:rsidRPr="000F025F">
        <w:tab/>
        <w:t xml:space="preserve">tudomásul veszi az RB szélesebb körű szerepvállalását az Unió politikai és jogalkotási ciklusában, amelyet a Bizottsággal, a Parlamenttel és az Európai Beruházási Bankkal való együttműködési kerete tesz lehetővé; hangsúlyozza annak fontosságát, hogy az RB és az EGSZB tagjait meghívják a hatáskörükbe tartozó parlamenti ülésekre; </w:t>
      </w:r>
    </w:p>
    <w:p w14:paraId="16A7CA7C" w14:textId="77777777" w:rsidR="00DD31EB" w:rsidRPr="000F025F" w:rsidRDefault="00DD31EB" w:rsidP="00DD31EB">
      <w:pPr>
        <w:pStyle w:val="NormalHanging12a"/>
      </w:pPr>
      <w:r w:rsidRPr="000F025F">
        <w:t>22.</w:t>
      </w:r>
      <w:r w:rsidRPr="000F025F">
        <w:tab/>
        <w:t>megjegyzi, hogy 2024-ben az RB öt konzultációt folytatott a regionális központokkal, két konzultációt a szubszidiaritási szakértői csoporttal, és két értékelést, valamint két „jövőállósági” véleményt dolgozott ki; felkéri az RB-t, hogy folytassa a hasznos és releváns információk – például helyszíni adatok és elemzések – biztosítását az uniós intézmények és az uniós politikák egyéb kedvezményezettjei számára;</w:t>
      </w:r>
    </w:p>
    <w:p w14:paraId="3E0FC4BF" w14:textId="77777777" w:rsidR="00DD31EB" w:rsidRPr="000F025F" w:rsidRDefault="00DD31EB" w:rsidP="00DD31EB">
      <w:pPr>
        <w:pStyle w:val="NormalHanging12a"/>
      </w:pPr>
      <w:r w:rsidRPr="000F025F">
        <w:t>23.</w:t>
      </w:r>
      <w:r w:rsidRPr="000F025F">
        <w:tab/>
        <w:t>elismeréssel veszi tudomásul, hogy 2024-ben az RB folytatta a belső irányításának javítására és igazgatásának korszerűsítésére, folyamatainak észszerűsítésére és a költséghatékonyság növelésére irányuló intézkedések végrehajtását; üdvözli a digitális eszközök jobb használatát, különösen az egyszerűsítésre, az adminisztratív hatékonyságra és a szükségtelen belső eljárások csökkentésére irányuló erőfeszítéseket; a kérdőív és az éves jelentés alapján tudomásul veszi a 2024-ben a digitalizáció és a munkafolyamatok optimalizálása (pl. a rutinfeladatok gépi fordítása, valamint a Microsoft 365 eszközök és a SharePoint bővítése), a műveletek és létesítmények költségmegtakarítása (pl. távtolmácsolás, energiatakarékossági intézkedések és hibrid munkarend), a hatékonyság javítása (pl. a szerződések újratárgyalása révén), a szabályok és eljárások egyszerűsítése (73 projektből 63 lezárult és az eljárások száma 20%-kal csökkent), valamint az RB igazgatásának korszerűsítésére irányuló „</w:t>
      </w:r>
      <w:proofErr w:type="spellStart"/>
      <w:r w:rsidRPr="000F025F">
        <w:t>Going</w:t>
      </w:r>
      <w:proofErr w:type="spellEnd"/>
      <w:r w:rsidRPr="000F025F">
        <w:t xml:space="preserve"> </w:t>
      </w:r>
      <w:proofErr w:type="spellStart"/>
      <w:r w:rsidRPr="000F025F">
        <w:t>for</w:t>
      </w:r>
      <w:proofErr w:type="spellEnd"/>
      <w:r w:rsidRPr="000F025F">
        <w:t xml:space="preserve"> </w:t>
      </w:r>
      <w:proofErr w:type="spellStart"/>
      <w:r w:rsidRPr="000F025F">
        <w:t>IMPact</w:t>
      </w:r>
      <w:proofErr w:type="spellEnd"/>
      <w:r w:rsidRPr="000F025F">
        <w:t>!” tervvel kapcsolatos számos egyéb intézkedés terén elért eredményeket;</w:t>
      </w:r>
    </w:p>
    <w:p w14:paraId="7DFBBB16" w14:textId="77777777" w:rsidR="00DD31EB" w:rsidRPr="000F025F" w:rsidRDefault="00DD31EB" w:rsidP="00DD31EB">
      <w:pPr>
        <w:pStyle w:val="NormalHanging12a"/>
        <w:rPr>
          <w:bCs/>
          <w:iCs/>
        </w:rPr>
      </w:pPr>
      <w:r w:rsidRPr="000F025F">
        <w:t>24.</w:t>
      </w:r>
      <w:r w:rsidRPr="000F025F">
        <w:tab/>
        <w:t>hangsúlyozza, hogy a modernizációs erőfeszítéseket az elért kézzelfogható előnyök, többek között a hatékonyság, a költségmegtakarítás és a feldolgozási idő terén elért mérhető előnyök szisztematikus értékelésének kell kísérnie; felhívja ezért az RB-t, hogy dolgozzon ki módszertant e fejlesztések számszerűsítésére, és azokról rendszeresen tegyen jelentést;</w:t>
      </w:r>
    </w:p>
    <w:p w14:paraId="3D4523D1" w14:textId="77777777" w:rsidR="00DD31EB" w:rsidRPr="000F025F" w:rsidRDefault="00DD31EB" w:rsidP="00DD31EB">
      <w:pPr>
        <w:pStyle w:val="NormalHanging12a"/>
      </w:pPr>
      <w:r w:rsidRPr="000F025F">
        <w:t>25.</w:t>
      </w:r>
      <w:r w:rsidRPr="000F025F">
        <w:tab/>
        <w:t>a kérdőív és az éves jelentés alapján tudomásul veszi az RB által az egyszerűsített, de erős belsőkontroll-környezet érdekében tett intézkedéseket; megjegyzi, hogy a 2024. évi, a belső kontrollra vonatkozó önértékelés a pénzgazdálkodásra és az RB költségvetését végrehajtók legfontosabb belsőkontroll-szempontjaira összpontosított; megelégedéssel veszi tudomásul, hogy az RB befejezte több mint 500 bizalmas jellegű álláshely átvilágítását, amelyet 2024-ben kockázatcsökkentő intézkedések, ellenőrzési mechanizmusok és mobilitási szabályok elfogadása követett; megjegyzi, hogy az RB belsőkontroll-környezetének felülvizsgálatára és egyszerűsítésére irányuló többéves cselekvési terve a „Projektkonvergencia” révén folytatódott, amely egy sor olyan folyamatot foglal magában, amelyek az RB teljesítményének és hatásának valós idejű nyomon követésére és jelentésére összpontosítanak; mivel az RB éves tevékenységi jelentésével és üzletmenet-folytonosságával kapcsolatos folyamatok közül az utolsó kettőt 2024-ben teljes mértékben végrehajtották; az RB új belsőkontroll-keretével kapcsolatban megjegyzi, hogy más mérföldköveket is sikerült elérni, beleértve a válság esetén történő gyors végrehajtást szolgáló, megvalósítható eszközök létrehozását, amelyek többek között az informatikára, a kommunikációra, a pénzügyi folyamatokra és az adatvédelemre terjednek ki;</w:t>
      </w:r>
    </w:p>
    <w:p w14:paraId="207BE743" w14:textId="77777777" w:rsidR="00DD31EB" w:rsidRPr="000F025F" w:rsidRDefault="00DD31EB" w:rsidP="00DD31EB">
      <w:pPr>
        <w:pStyle w:val="NormalHanging12a"/>
      </w:pPr>
      <w:r w:rsidRPr="000F025F">
        <w:lastRenderedPageBreak/>
        <w:t>26.</w:t>
      </w:r>
      <w:r w:rsidRPr="000F025F">
        <w:tab/>
        <w:t>megjegyzi, hogy 2024-ben az RB részben digitalizált és egyszerűsített eljárást vezetett be a pénzügyi munkafolyamatokra és a pénzügyi szereplők kinevezésére vonatkozóan; megjegyzi, hogy 2024-ben az előzetesen ellenőrzött tranzakciók 5,60%-a esetében megtagadták a korrekciót vagy negatív véleményt adtak ki, és hogy az utólagos ellenőrzések (az új módszertan szerint) a pénzügyi tranzakciókra összpontosítottak, és nem tártak fel jelentős problémákat; megjegyzi továbbá, hogy 2023-hoz képest csökkent a pénzügyi kivételről szóló jelentések száma, két adminisztratív kivételről szóló jelentést vettek nyilvántartásba a belső eljárásoknak való meg nem felelés miatt, és nem volt folyamatban peres eljárás a közbeszerzési határozatokkal kapcsolatban;</w:t>
      </w:r>
    </w:p>
    <w:p w14:paraId="4C63C31D" w14:textId="77777777" w:rsidR="00DD31EB" w:rsidRPr="000F025F" w:rsidRDefault="00DD31EB" w:rsidP="00DD31EB">
      <w:pPr>
        <w:pStyle w:val="NormalHanging12a"/>
      </w:pPr>
      <w:r w:rsidRPr="000F025F">
        <w:t>27.</w:t>
      </w:r>
      <w:r w:rsidRPr="000F025F">
        <w:tab/>
        <w:t>megjegyzi, hogy 2024-ben három új ellenőrzés indult: az RB tagjainak nyújtott logisztikai szolgáltatások teljesítményéről, a Fordítási Igazgatóság humánerőforrás-elosztásának optimalizálásáról, valamint a közbeszerzés és a szerződéskezelés megfelelőségéről; a kérdőív alapján tudomásul veszi a betöltetlen álláshelyek kezelésére, a személyes adatok védelmére és a közös szolgálatok informatikai szervezetének teljesítményére vonatkozó, folyamatban lévő ellenőrzések terén elért eredményeket; felhívja az RB-t, hogy folyamatosan tájékoztassa a mentesítésért felelős hatóságot az ezekkel kapcsolatban elért haladásról;</w:t>
      </w:r>
    </w:p>
    <w:p w14:paraId="2A411E35" w14:textId="77777777" w:rsidR="00DD31EB" w:rsidRPr="000F025F" w:rsidRDefault="00DD31EB" w:rsidP="00DD31EB">
      <w:pPr>
        <w:pStyle w:val="NormalHanging12a"/>
        <w:rPr>
          <w:b/>
          <w:bCs/>
          <w:i/>
        </w:rPr>
      </w:pPr>
      <w:r w:rsidRPr="000F025F">
        <w:rPr>
          <w:b/>
          <w:i/>
        </w:rPr>
        <w:t>Emberi erőforrások, egyenlőség és a személyzet jólléte</w:t>
      </w:r>
    </w:p>
    <w:p w14:paraId="1F309599" w14:textId="77777777" w:rsidR="00DD31EB" w:rsidRPr="000F025F" w:rsidRDefault="00DD31EB" w:rsidP="00DD31EB">
      <w:pPr>
        <w:pStyle w:val="NormalHanging12a"/>
        <w:rPr>
          <w:bCs/>
        </w:rPr>
      </w:pPr>
      <w:r w:rsidRPr="000F025F">
        <w:t>28.</w:t>
      </w:r>
      <w:r w:rsidRPr="000F025F">
        <w:tab/>
        <w:t>megjegyzi, hogy 2024 végén az RB-</w:t>
      </w:r>
      <w:proofErr w:type="spellStart"/>
      <w:r w:rsidRPr="000F025F">
        <w:t>nek</w:t>
      </w:r>
      <w:proofErr w:type="spellEnd"/>
      <w:r w:rsidRPr="000F025F">
        <w:t xml:space="preserve"> összesen 561 alkalmazottja volt (a kirendelt nemzeti szakértők, ideiglenes, belső szakemberek és gyakornokok kivételével), szemben a 2023. évi 559 fővel; megjegyzi, hogy 2024 végén az RB 73 szerződéses alkalmazottat foglalkoztatott, szemben a 2023. évi 74 szerződéses alkalmazottal és 102 ideiglenes alkalmazottat, szemben a 2023. évi 96 ideiglenes alkalmazottal, akik közül 22 szerződéses alkalmazott határozatlan idejű szerződéssel, 51 szerződéses alkalmazott határozott idejű szerződéssel, 49 ideiglenes alkalmazott határozatlan idejű szerződéssel, 50 ideiglenes alkalmazott határozatlan idejű szerződéssel és 3 ideiglenes alkalmazott ideiglenes álláshellyel rendelkezett; megjegyzi továbbá, hogy a bizottság 39 külső szolgáltatót foglalkoztatott, akik házon belül dolgoztak; hangsúlyozza annak fontosságát, hogy adott esetben állandó szerződéseket biztosítsanak a készségek, a folytonosság és a produktív munkakörnyezet fenntartása érdekében, megőrizve ugyanakkor a rugalmasságot és az érdemeken alapuló munkaerő-felvételt, összhangban az operatív igényekkel; óva int a külső szolgáltatóktól való túlzott függéstől; megjegyzi, hogy 2024-ben a létszámtervben szereplő álláshelyek betöltöttségi aránya 96,40% volt (csökkenés a 2023. évi 98%-hoz képest), a fluktuációs arány pedig 7,30% volt (növekedés a 2023. évi 6,60%-hoz képest);</w:t>
      </w:r>
    </w:p>
    <w:p w14:paraId="25E7C6DB" w14:textId="77777777" w:rsidR="00DD31EB" w:rsidRPr="000F025F" w:rsidRDefault="00DD31EB" w:rsidP="00DD31EB">
      <w:pPr>
        <w:pStyle w:val="NormalHanging12a"/>
        <w:rPr>
          <w:bCs/>
        </w:rPr>
      </w:pPr>
      <w:r w:rsidRPr="000F025F">
        <w:t>29.</w:t>
      </w:r>
      <w:r w:rsidRPr="000F025F">
        <w:tab/>
        <w:t>megjegyzi, hogy 2024-ben az RB 51 gyakornokot vett fel a Cicero program keretében, mivel az RB gyakornokai havi ösztöndíjat kapnak, és ugyanolyan munkafeltételeket biztosítanak számukra, mint a személyzetnek, beleértve a távmunka lehetőségét is; ismételten hangsúlyozza, hogy a szakmai gyakorlatokat javadalmazásban kell részesíteni, az Európai Parlament az Unióban folytatott minőségi szakmai gyakorlatokról szóló, 2023. június 14-i, a Bizottsághoz intézett ajánlásokat tartalmazó állásfoglalásával (2020/2005(INL)) összhangban, amely szorgalmazza, hogy az Unióban folytatott valamennyi szakmai gyakorlat részesüljön javadalmazásban;</w:t>
      </w:r>
    </w:p>
    <w:p w14:paraId="47C482D8" w14:textId="617BCF5E" w:rsidR="00DD31EB" w:rsidRPr="000F025F" w:rsidRDefault="00DD31EB" w:rsidP="00DD31EB">
      <w:pPr>
        <w:pStyle w:val="NormalHanging12a"/>
        <w:rPr>
          <w:bCs/>
        </w:rPr>
      </w:pPr>
      <w:r w:rsidRPr="000F025F">
        <w:t>30.</w:t>
      </w:r>
      <w:r w:rsidRPr="000F025F">
        <w:tab/>
        <w:t xml:space="preserve">sajnálattal állapítja meg, hogy az RB még nem érte el a nemek közötti egyenlőséget a vezetői pozíciókban, de elismeri az RB 2022–2026-os időszakra szóló ötéves sokszínűségi és befogadási stratégiája és cselekvési terve keretében elért jelentős </w:t>
      </w:r>
      <w:r w:rsidRPr="000F025F">
        <w:lastRenderedPageBreak/>
        <w:t>előrelépést; üdvözli, hogy 2025-ben női elnököt választottak az EB élére, megerősítve az intézmény elkötelezettségét a nemek közötti egyenlőség legmagasabb politikai szinten történő előmozdítása mellett, és ösztönzi az RB-t, hogy folytassa a nők vezetői pozíciókban való képviseletének növelésére irányuló erőfeszítéseit, ugyanakkor hangsúlyozza, hogy továbbra is az érdemek és a szakmai képesítések a kinevezés elsődleges kritériumai; megjegyzi, hogy 2024 végén az RB 57,</w:t>
      </w:r>
      <w:r w:rsidR="00176D88" w:rsidRPr="000F025F">
        <w:t>2</w:t>
      </w:r>
      <w:r w:rsidRPr="000F025F">
        <w:t>%-ban nőket és 42,8%-ban férfiakat foglalkoztatott, ami majdnem megegyezik a 2023. évi arányokkal; megállapítja, hogy a felsővezetői pozíciókban lévő nők aránya a 2023. évi 44,4%-</w:t>
      </w:r>
      <w:proofErr w:type="spellStart"/>
      <w:r w:rsidRPr="000F025F">
        <w:t>ról</w:t>
      </w:r>
      <w:proofErr w:type="spellEnd"/>
      <w:r w:rsidRPr="000F025F">
        <w:t xml:space="preserve"> 2024-ben 33,3%-</w:t>
      </w:r>
      <w:proofErr w:type="spellStart"/>
      <w:r w:rsidRPr="000F025F">
        <w:t>ra</w:t>
      </w:r>
      <w:proofErr w:type="spellEnd"/>
      <w:r w:rsidRPr="000F025F">
        <w:t xml:space="preserve"> csökkent (2025-ben ismét 44,4%-</w:t>
      </w:r>
      <w:proofErr w:type="spellStart"/>
      <w:r w:rsidRPr="000F025F">
        <w:t>ra</w:t>
      </w:r>
      <w:proofErr w:type="spellEnd"/>
      <w:r w:rsidRPr="000F025F">
        <w:t xml:space="preserve"> nőtt), a középvezetői pozíciókban lévő nők aránya pedig a 2023. évi 32,50%-</w:t>
      </w:r>
      <w:proofErr w:type="spellStart"/>
      <w:r w:rsidRPr="000F025F">
        <w:t>ról</w:t>
      </w:r>
      <w:proofErr w:type="spellEnd"/>
      <w:r w:rsidRPr="000F025F">
        <w:t xml:space="preserve"> 2024-ben 29,7%-</w:t>
      </w:r>
      <w:proofErr w:type="spellStart"/>
      <w:r w:rsidRPr="000F025F">
        <w:t>ra</w:t>
      </w:r>
      <w:proofErr w:type="spellEnd"/>
      <w:r w:rsidRPr="000F025F">
        <w:t xml:space="preserve"> csökkent; a kérdőív alapján tudomásul veszi a nők vezetői pozíciókban való nagyobb arányú részvételének ösztönzésére irányuló intézkedéseket, amelyek többek között a vezetői pozíciókra pályázó női alkalmazottak számára nyújtott célzott képzési és </w:t>
      </w:r>
      <w:proofErr w:type="spellStart"/>
      <w:r w:rsidRPr="000F025F">
        <w:t>coaching</w:t>
      </w:r>
      <w:proofErr w:type="spellEnd"/>
      <w:r w:rsidRPr="000F025F">
        <w:t xml:space="preserve"> lehetőségek, valamint a rugalmasabb munkafeltételek előmozdítása révén valósulnak meg; megismétli, hogy a nemek közötti hosszú távú egyensúly elérése a vezetői pozíciókban alapvető intézményi célkitűzés, és elvárja, hogy az RB konkrét, határidőhöz kötött cselekvési tervet fogadjon el, amely mérhető célokat, köztes mérföldköveket és éves jelentéseket tartalmaz; felhívja az RB-t annak biztosítására, hogy az egyenlőség felé tett előrehaladást nyomon kövessék és nyilvánosan ismertessék;</w:t>
      </w:r>
    </w:p>
    <w:p w14:paraId="58DC76A7" w14:textId="77777777" w:rsidR="00DD31EB" w:rsidRPr="000F025F" w:rsidRDefault="00DD31EB" w:rsidP="00DD31EB">
      <w:pPr>
        <w:pStyle w:val="NormalHanging12a"/>
        <w:rPr>
          <w:bCs/>
        </w:rPr>
      </w:pPr>
      <w:r w:rsidRPr="000F025F">
        <w:t>31.</w:t>
      </w:r>
      <w:r w:rsidRPr="000F025F">
        <w:tab/>
        <w:t>elismerését fejezi ki az RB-</w:t>
      </w:r>
      <w:proofErr w:type="spellStart"/>
      <w:r w:rsidRPr="000F025F">
        <w:t>nek</w:t>
      </w:r>
      <w:proofErr w:type="spellEnd"/>
      <w:r w:rsidRPr="000F025F">
        <w:t xml:space="preserve"> a tagjai körében a nemek közötti egyensúly előmozdítására irányuló intézkedéseiért, különösen annak bevezetéséért, hogy levelet küld a Tanácsnak a betöltetlen álláshelyekről, és támogatja a helyi és regionális önkormányzatok kinevezési folyamatban részt vevő állandó képviseleteit és nemzeti szövetségeit; a </w:t>
      </w:r>
      <w:proofErr w:type="spellStart"/>
      <w:r w:rsidRPr="000F025F">
        <w:t>nyomonkövetési</w:t>
      </w:r>
      <w:proofErr w:type="spellEnd"/>
      <w:r w:rsidRPr="000F025F">
        <w:t xml:space="preserve"> jelentés alapján megjegyzi, hogy időközben a női tagok aránya a 2020. évi 23,40%-</w:t>
      </w:r>
      <w:proofErr w:type="spellStart"/>
      <w:r w:rsidRPr="000F025F">
        <w:t>ról</w:t>
      </w:r>
      <w:proofErr w:type="spellEnd"/>
      <w:r w:rsidRPr="000F025F">
        <w:t xml:space="preserve"> 2025-ben 28,7%-</w:t>
      </w:r>
      <w:proofErr w:type="spellStart"/>
      <w:r w:rsidRPr="000F025F">
        <w:t>ra</w:t>
      </w:r>
      <w:proofErr w:type="spellEnd"/>
      <w:r w:rsidRPr="000F025F">
        <w:t xml:space="preserve"> nőtt; nagyra értékeli, hogy az RB 2024 augusztusában hatályba lépett új eljárási szabályzata kifejezett célokat tartalmaz a nemek közötti egyensúly javítására, különösen az RB Elnökségének összetételében; ösztönzi az RB-t, hogy továbbra is mozdítsa elő a nemek közötti egyensúlyt, biztosítva ugyanakkor, hogy a kinevezések érdemeken, szakmai tapasztalaton és képesítéseken alapuljanak;</w:t>
      </w:r>
    </w:p>
    <w:p w14:paraId="1CC0CADF" w14:textId="77777777" w:rsidR="00DD31EB" w:rsidRPr="000F025F" w:rsidRDefault="00DD31EB" w:rsidP="00DD31EB">
      <w:pPr>
        <w:pStyle w:val="NormalHanging12a"/>
      </w:pPr>
      <w:r w:rsidRPr="000F025F">
        <w:t>32.</w:t>
      </w:r>
      <w:r w:rsidRPr="000F025F">
        <w:tab/>
        <w:t>elismerését fejezi ki az RB-</w:t>
      </w:r>
      <w:proofErr w:type="spellStart"/>
      <w:r w:rsidRPr="000F025F">
        <w:t>nek</w:t>
      </w:r>
      <w:proofErr w:type="spellEnd"/>
      <w:r w:rsidRPr="000F025F">
        <w:t xml:space="preserve"> azért, hogy 2024-ben belső versenyvizsgát szervezett a jelenlegi és jövőbeli munkaerő-felvételi igények kezelése, az üzletmenet-folytonosság biztosítása és a tapasztalt személyzet megtartása érdekében, ezáltal orvosolva az Európai Személyzeti Felvételi Hivatal (EPSO) tartaléklistáinak hiányát; a kérdőív alapján megállapítja, hogy 72 jelöltet vettek fel az RB tartaléklistájára, akik közül 2025. szeptember 1-jén 46 jelöltet már felvettek különböző, mind AST, mind AD besorolási fokozatokba; ennek eredményeként arra számít, hogy 2025-től csökkenni fog az RB által alkalmazott ideiglenes és szerződéses alkalmazottak száma;</w:t>
      </w:r>
    </w:p>
    <w:p w14:paraId="2B339D90" w14:textId="77777777" w:rsidR="00DD31EB" w:rsidRPr="000F025F" w:rsidRDefault="00DD31EB" w:rsidP="00DD31EB">
      <w:pPr>
        <w:pStyle w:val="NormalHanging12a"/>
      </w:pPr>
      <w:r w:rsidRPr="000F025F">
        <w:t>33.</w:t>
      </w:r>
      <w:r w:rsidRPr="000F025F">
        <w:tab/>
        <w:t>megjegyzi, hogy a hibrid munkavégzési rendszerrel kapcsolatos kísérleti projekt és a 2022-ben indított személyzeti elégedettségi felmérés eredményeként az RB 2024. január 1-jén 2024. február 1-jétől alkalmazandó határozatot fogadott el, amely hibrid munkarendet és személyre szabott heti munkaidő-beosztást ír elő a személyzet minden tagja számára, valamint lehetővé teszi, hogy a személyzet tagjai munkaidejük akár 60 %-</w:t>
      </w:r>
      <w:proofErr w:type="spellStart"/>
      <w:r w:rsidRPr="000F025F">
        <w:t>ában</w:t>
      </w:r>
      <w:proofErr w:type="spellEnd"/>
      <w:r w:rsidRPr="000F025F">
        <w:t xml:space="preserve"> otthonról dolgozzanak (a távmunkával össze nem egyeztethető személyzeti kategóriák kivételével), és az alkalmazás helye szerinti városon kívülről dolgozzanak évente legfeljebb 15 napig; elismeri, hogy ezeknek az intézkedéseknek a célja a munka és a magánélet közötti egyensúly javítása a működési hatékonyság és az alkalmazottak </w:t>
      </w:r>
      <w:r w:rsidRPr="000F025F">
        <w:lastRenderedPageBreak/>
        <w:t>elégedettségének fenntartása mellett;</w:t>
      </w:r>
    </w:p>
    <w:p w14:paraId="76305AE7" w14:textId="77777777" w:rsidR="00DD31EB" w:rsidRPr="000F025F" w:rsidRDefault="00DD31EB" w:rsidP="00DD31EB">
      <w:pPr>
        <w:pStyle w:val="NormalHanging12a"/>
      </w:pPr>
      <w:r w:rsidRPr="000F025F">
        <w:t>34.</w:t>
      </w:r>
      <w:r w:rsidRPr="000F025F">
        <w:tab/>
        <w:t xml:space="preserve">megelégedéssel veszi tudomásul, hogy a 2025. évi személyzeti elégedettségi felmérésre válaszolók 89 %-a jelezte, hogy elégedett az RB rugalmas munkarendjével; mivel ez utóbbi hatással lehet az RB személyzete által kivett betegszabadsági napok számára is; a </w:t>
      </w:r>
      <w:proofErr w:type="spellStart"/>
      <w:r w:rsidRPr="000F025F">
        <w:t>nyomonkövetési</w:t>
      </w:r>
      <w:proofErr w:type="spellEnd"/>
      <w:r w:rsidRPr="000F025F">
        <w:t xml:space="preserve"> jelentés alapján megállapítja, hogy a betegszabadságra kivett napok teljes számának csökkenő tendenciája továbbra is tart: 2024-ben 7 303 nap volt, szemben a 2023. évi 7 544 nappal, mivel: – a betegszabadságot egyáltalán nem kérő alkalmazottak száma a 2023. évi 211-ről (a teljes személyzet 36 %-a) 2024-ben 196-ra (vagyis a teljes személyzet 34 %-ára) csökkent, – a hét napnál rövidebb betegszabadságon lévő alkalmazottak száma a 2023. évi 201-ről (vagyis a teljes személyzet 35 %-</w:t>
      </w:r>
      <w:proofErr w:type="spellStart"/>
      <w:r w:rsidRPr="000F025F">
        <w:t>áról</w:t>
      </w:r>
      <w:proofErr w:type="spellEnd"/>
      <w:r w:rsidRPr="000F025F">
        <w:t>) 2024-ben 211-re (vagyis a teljes személyzet 36 %-ára) nőtt, valamint – a 7,5 és 21 nap közötti időtartamú betegszabadságon lévő alkalmazottak száma a 2023. évi 92-ről (vagy a teljes személyzet 16 %-</w:t>
      </w:r>
      <w:proofErr w:type="spellStart"/>
      <w:r w:rsidRPr="000F025F">
        <w:t>áról</w:t>
      </w:r>
      <w:proofErr w:type="spellEnd"/>
      <w:r w:rsidRPr="000F025F">
        <w:t>) 2024-re 96-ra nőtt (amely szintén a teljes személyzet 16 %-</w:t>
      </w:r>
      <w:proofErr w:type="spellStart"/>
      <w:r w:rsidRPr="000F025F">
        <w:t>ának</w:t>
      </w:r>
      <w:proofErr w:type="spellEnd"/>
      <w:r w:rsidRPr="000F025F">
        <w:t xml:space="preserve"> felel meg);</w:t>
      </w:r>
    </w:p>
    <w:p w14:paraId="381C3599" w14:textId="77777777" w:rsidR="00DD31EB" w:rsidRPr="000F025F" w:rsidRDefault="00DD31EB" w:rsidP="00DD31EB">
      <w:pPr>
        <w:pStyle w:val="NormalHanging12a"/>
      </w:pPr>
      <w:r w:rsidRPr="000F025F">
        <w:t>35.</w:t>
      </w:r>
      <w:r w:rsidRPr="000F025F">
        <w:tab/>
        <w:t>a kérdőív alapján megjegyzi, hogy a kiégési esetek száma a 2023. évi 18-ról 2024-ben 6-ra csökkent; elismerését fejezi ki az RB-</w:t>
      </w:r>
      <w:proofErr w:type="spellStart"/>
      <w:r w:rsidRPr="000F025F">
        <w:t>nek</w:t>
      </w:r>
      <w:proofErr w:type="spellEnd"/>
      <w:r w:rsidRPr="000F025F">
        <w:t xml:space="preserve"> a kiégés megelőzésére irányuló proaktív megközelítéséért azáltal, hogy testre szabott intézkedések révén szorosan nyomon követi a hosszú távú betegszabadságon lévő személyzeti tagokat, ami magában foglalja az érintett tagokkal való rendszeres kapcsolatot és az egészségügyi szakértők hozzájárulását; megjegyzi továbbá, hogy az RB-</w:t>
      </w:r>
      <w:proofErr w:type="spellStart"/>
      <w:r w:rsidRPr="000F025F">
        <w:t>nek</w:t>
      </w:r>
      <w:proofErr w:type="spellEnd"/>
      <w:r w:rsidRPr="000F025F">
        <w:t xml:space="preserve"> a tartós betegszabadságok személyre szabott nyomon követése révén 2024-ben három alkalmazottat eredményesen sikerült visszaintegrálnia a kiégés miatti tartós távollét után; üdvözli az RB által 2024-ben a munkahelyi egészség és jóllét javítása érdekében hozott megelőző intézkedéseket, például azt, hogy a személyzet számára helyszíni üléseket kínálnak </w:t>
      </w:r>
      <w:proofErr w:type="spellStart"/>
      <w:r w:rsidRPr="000F025F">
        <w:t>paramedicinális</w:t>
      </w:r>
      <w:proofErr w:type="spellEnd"/>
      <w:r w:rsidRPr="000F025F">
        <w:t xml:space="preserve"> szakemberekkel (</w:t>
      </w:r>
      <w:proofErr w:type="spellStart"/>
      <w:r w:rsidRPr="000F025F">
        <w:t>fizikoterapeuta</w:t>
      </w:r>
      <w:proofErr w:type="spellEnd"/>
      <w:r w:rsidRPr="000F025F">
        <w:t xml:space="preserve">, </w:t>
      </w:r>
      <w:proofErr w:type="spellStart"/>
      <w:r w:rsidRPr="000F025F">
        <w:t>oszteopátiás</w:t>
      </w:r>
      <w:proofErr w:type="spellEnd"/>
      <w:r w:rsidRPr="000F025F">
        <w:t xml:space="preserve"> szakemberek, keretszerződés alapján felvett oktatók), és figyelemfelkeltő konferenciákat szerveznek az egészség témájában;</w:t>
      </w:r>
    </w:p>
    <w:p w14:paraId="2D40F4CB" w14:textId="77777777" w:rsidR="00DD31EB" w:rsidRPr="000F025F" w:rsidRDefault="00DD31EB" w:rsidP="00DD31EB">
      <w:pPr>
        <w:pStyle w:val="NormalHanging12a"/>
      </w:pPr>
      <w:r w:rsidRPr="000F025F">
        <w:t>36.</w:t>
      </w:r>
      <w:r w:rsidRPr="000F025F">
        <w:tab/>
        <w:t>megjegyzi, hogy 2024-ben az RB folytatta a munkahelyi zaklatás megelőzése és a zaklatás elleni küzdelem érdekében bevezetett intézkedésekre való figyelemfelhívást, összhangban a munkahelyi méltóság védelméről, a konfliktusok kezeléséről és a zaklatás elleni küzdelemről szóló, 2021. április 26-i határozatával, különösen célzott iránymutatás, belső kommunikáció (kéthetente megjelenő HR-hírlevél), valamint a személyzet és a vezetők számára szervezett számos tájékoztató ülés, többek között az etikáról és a feddhetetlenségről szóló kötelező képzés révén; megjegyzi, hogy az RB 2024-ben négy új állítólagos zaklatási ügyet vett nyilvántartásba: egy ügy szexuális zaklatással volt kapcsolatos, egy ügyet pedig hivatalos panasz útján terjesztettek a belga rendőrség elé; megjegyzi, hogy a bevett eljárásokat (előzetes értékelés, igazgatási vizsgálat, óvintézkedések stb.) alkalmazták, és felkéri az RB-t, hogy folyamatosan tájékoztassa a mentesítésért felelős hatóságot ezen esetek kimeneteléről;</w:t>
      </w:r>
    </w:p>
    <w:p w14:paraId="2FFBCACA" w14:textId="77777777" w:rsidR="00DD31EB" w:rsidRPr="000F025F" w:rsidRDefault="00DD31EB" w:rsidP="00DD31EB">
      <w:pPr>
        <w:pStyle w:val="NormalHanging12a"/>
      </w:pPr>
      <w:r w:rsidRPr="000F025F">
        <w:t>37.</w:t>
      </w:r>
      <w:r w:rsidRPr="000F025F">
        <w:tab/>
        <w:t>elismerését fejezi ki az RB-</w:t>
      </w:r>
      <w:proofErr w:type="spellStart"/>
      <w:r w:rsidRPr="000F025F">
        <w:t>nek</w:t>
      </w:r>
      <w:proofErr w:type="spellEnd"/>
      <w:r w:rsidRPr="000F025F">
        <w:t xml:space="preserve"> annak biztosításáért, hogy a fogyatékossággal élő személyek a Web-akadálymentesítési útmutató alkalmazásával hozzáférnek a bizottság bármely digitális termékéhez vagy használhatják azokat; ezzel összefüggésben megjegyzi, hogy 2024-ben az RB </w:t>
      </w:r>
      <w:proofErr w:type="spellStart"/>
      <w:r w:rsidRPr="000F025F">
        <w:t>HReForms</w:t>
      </w:r>
      <w:proofErr w:type="spellEnd"/>
      <w:r w:rsidRPr="000F025F">
        <w:t xml:space="preserve"> platformját frissítették, és ennek során alapvető követelményként határozták meg az akadálymentességet, amelyet többek között olyan funkciókkal értek el, mint a jobb színkontraszt, a billentyűzetes navigáció és az alternatív szöveg; megelégedéssel veszi tudomásul, hogy az RB megtéríti a fogyatékossággal élő jelöltek számára a szállás költségeit, ezáltal biztosítva a tisztességes kiválasztási eljárásokat;</w:t>
      </w:r>
    </w:p>
    <w:p w14:paraId="699F8651" w14:textId="77777777" w:rsidR="00DD31EB" w:rsidRPr="000F025F" w:rsidRDefault="00DD31EB" w:rsidP="00DD31EB">
      <w:pPr>
        <w:pStyle w:val="NormalHanging12a"/>
      </w:pPr>
      <w:r w:rsidRPr="000F025F">
        <w:lastRenderedPageBreak/>
        <w:t>38.</w:t>
      </w:r>
      <w:r w:rsidRPr="000F025F">
        <w:tab/>
        <w:t xml:space="preserve">megjegyzi, hogy 2024-ben az RB által személyzetében valamennyi uniós állampolgárság képviselve volt, köztük néhány állampolgárság felülreprezentált volt (és egy ukrán állampolgárságú alkalmazott); üdvözli az RB arra irányuló erőfeszítéseit, hogy 2024-ben kiegyensúlyozza a személyzet földrajzi szempontú eloszlását olyan célzott tájékoztatási kezdeményezések révén, amelyek vonzzák az </w:t>
      </w:r>
      <w:proofErr w:type="spellStart"/>
      <w:r w:rsidRPr="000F025F">
        <w:t>alulreprezentált</w:t>
      </w:r>
      <w:proofErr w:type="spellEnd"/>
      <w:r w:rsidRPr="000F025F">
        <w:t xml:space="preserve"> országokból származó jelölteket; megjegyzi, hogy az ilyen kezdeményezések közé tartozott a digitális platformok és a közösségi média fokozott használata a betöltetlen álláshelyek láthatóságának növelése érdekében, a tagállamok állandó képviseleteivel való közvetlen együttműködés, a célzott közönségnek szóló előadások az RB kiválasztási eljárásaiban való részvétel ösztönzése érdekében, valamint a pályázati tendenciák elemzése; megjegyzi, hogy ezek az intézkedések már 2024-ben pozitív eredményhez vezettek, például nőtt a beérkezett álláspályázatok száma, az </w:t>
      </w:r>
      <w:proofErr w:type="spellStart"/>
      <w:r w:rsidRPr="000F025F">
        <w:t>alulreprezentált</w:t>
      </w:r>
      <w:proofErr w:type="spellEnd"/>
      <w:r w:rsidRPr="000F025F">
        <w:t xml:space="preserve"> országokból is; üdvözli továbbá, hogy az RB együttműködik az EPSO-</w:t>
      </w:r>
      <w:proofErr w:type="spellStart"/>
      <w:r w:rsidRPr="000F025F">
        <w:t>val</w:t>
      </w:r>
      <w:proofErr w:type="spellEnd"/>
      <w:r w:rsidRPr="000F025F">
        <w:t xml:space="preserve"> és más uniós intézményekkel a jelöltek körének diverzifikálása, a bevált gyakorlatok megosztása és az uniós közigazgatáson belüli képviseleti hiányosságok kezelésére irányuló erőfeszítések koordinálása érdekében; felkéri az RB-t, hogy továbbra is hozzon intézkedéseket a kiegyensúlyozottabb földrajzi eloszlás érdekében, többek között vezetői szinten is, és folyamatosan tájékoztassa a mentesítésért felelős hatóságot az RB-</w:t>
      </w:r>
      <w:proofErr w:type="spellStart"/>
      <w:r w:rsidRPr="000F025F">
        <w:t>hez</w:t>
      </w:r>
      <w:proofErr w:type="spellEnd"/>
      <w:r w:rsidRPr="000F025F">
        <w:t xml:space="preserve"> az egyes időszakokban beérkezett álláspályázatok tendenciáiról;</w:t>
      </w:r>
    </w:p>
    <w:p w14:paraId="27F0B096" w14:textId="77777777" w:rsidR="00DD31EB" w:rsidRPr="000F025F" w:rsidRDefault="00DD31EB" w:rsidP="00DD31EB">
      <w:pPr>
        <w:pStyle w:val="NormalHanging12a"/>
        <w:rPr>
          <w:bCs/>
          <w:iCs/>
        </w:rPr>
      </w:pPr>
      <w:r w:rsidRPr="000F025F">
        <w:t>39.</w:t>
      </w:r>
      <w:r w:rsidRPr="000F025F">
        <w:tab/>
        <w:t>üdvözli a szervezetváltási folyamatokban 2024 folyamán folytatott intenzív és strukturált szociális párbeszédet; ösztönzi az RB-t, hogy tartsa fenn és erősítse tovább a személyzet képviselőinek szisztematikus bevonását a többek között a digitalizációval, a belső átszervezéssel és az új munkamódszerekkel kapcsolatos reformokba;</w:t>
      </w:r>
    </w:p>
    <w:p w14:paraId="57B33831" w14:textId="77777777" w:rsidR="00DD31EB" w:rsidRPr="000F025F" w:rsidRDefault="00DD31EB" w:rsidP="00DD31EB">
      <w:pPr>
        <w:pStyle w:val="NormalHanging12a"/>
        <w:rPr>
          <w:b/>
          <w:i/>
        </w:rPr>
      </w:pPr>
      <w:r w:rsidRPr="000F025F">
        <w:rPr>
          <w:b/>
          <w:i/>
        </w:rPr>
        <w:t>Etikai keret és átláthatóság</w:t>
      </w:r>
    </w:p>
    <w:p w14:paraId="117F9781" w14:textId="77777777" w:rsidR="00DD31EB" w:rsidRPr="000F025F" w:rsidRDefault="00DD31EB" w:rsidP="00DD31EB">
      <w:pPr>
        <w:pStyle w:val="NormalHanging12a"/>
      </w:pPr>
      <w:r w:rsidRPr="000F025F">
        <w:t>40.</w:t>
      </w:r>
      <w:r w:rsidRPr="000F025F">
        <w:tab/>
        <w:t>üdvözli az RB által 2023-ban annak érdekében végzett munkát, hogy egységes etikai jogi keretbe foglalják az etikai szabályokat és gyakorlatokat (157/2023. sz. határozat), amelyek kiterjednek többek között a fegyelmi eljárásra, a munkahelyi méltóságra, a konfliktuskezelésre, a zaklatás elleni küzdelemre, a külső tevékenységekre és a visszaélések bejelentésére; megjegyzi, hogy 2024 volt ezen új keret végrehajtásának első éve; megjegyzi, hogy az RB 2024-ben gyakran szervezett kötelező képzéseket az etikáról és a feddhetetlenségről, a visszaélések bejelentéséről és az összeférhetetlenség megelőzéséről a személyzet különböző csoportjai számára, az újonnan érkezőket, a vezetőket és a teljes személyzetet beleértve;</w:t>
      </w:r>
    </w:p>
    <w:p w14:paraId="66E3F253" w14:textId="77777777" w:rsidR="00DD31EB" w:rsidRPr="000F025F" w:rsidRDefault="00DD31EB" w:rsidP="00DD31EB">
      <w:pPr>
        <w:pStyle w:val="NormalHanging12a"/>
      </w:pPr>
      <w:r w:rsidRPr="000F025F">
        <w:t>41.</w:t>
      </w:r>
      <w:r w:rsidRPr="000F025F">
        <w:tab/>
        <w:t>megjegyzi, hogy az RB 2024-ben nem jelentett egyetlen ügyet sem az Európai Csalás Elleni Hivatalnak (OLAF), az Európai Ügyészségnek (EPPO) vagy az európai ombudsmannak, és nem is volt általuk lefolytatott vizsgálatok tárgya;</w:t>
      </w:r>
    </w:p>
    <w:p w14:paraId="51D43869" w14:textId="77777777" w:rsidR="00DD31EB" w:rsidRPr="000F025F" w:rsidRDefault="00DD31EB" w:rsidP="00DD31EB">
      <w:pPr>
        <w:pStyle w:val="NormalHanging12a"/>
      </w:pPr>
      <w:r w:rsidRPr="000F025F">
        <w:t>42.</w:t>
      </w:r>
      <w:r w:rsidRPr="000F025F">
        <w:tab/>
        <w:t>emlékeztet arra, hogy az RB elfogadta a hivatalban lévő tagokra és előadókra összpontosító átláthatósági intézkedések megállapításáról szóló, 2023. július 4-i 6/2023. sz. rendeletet; mivel ezek az intézkedések a hivatalban lévő tagok és az előadó arra való felkérésére vonatkoznak, hogy csak az átláthatósági nyilvántartásba bejegyzett érdekképviselőkkel találkozzanak, és hozzák nyilvánosságra az érdekképviselőkkel az RB tagjaként tartott találkozóikat; megjegyzi, hogy 2024-ben az RB egy tagja számolt be egy érdekképviselővel tartott találkozóról; ezzel összefüggésben elismerését fejezi ki az RB-</w:t>
      </w:r>
      <w:proofErr w:type="spellStart"/>
      <w:r w:rsidRPr="000F025F">
        <w:t>nek</w:t>
      </w:r>
      <w:proofErr w:type="spellEnd"/>
      <w:r w:rsidRPr="000F025F">
        <w:t xml:space="preserve"> azért, hogy 2024. január 1-jén hivatalosan csatlakozott az uniós átláthatósági nyilvántartáshoz;</w:t>
      </w:r>
    </w:p>
    <w:p w14:paraId="55850150" w14:textId="77777777" w:rsidR="00DD31EB" w:rsidRPr="000F025F" w:rsidRDefault="00DD31EB" w:rsidP="00DD31EB">
      <w:pPr>
        <w:pStyle w:val="NormalHanging12a"/>
        <w:rPr>
          <w:b/>
          <w:bCs/>
          <w:i/>
          <w:iCs/>
          <w:szCs w:val="24"/>
        </w:rPr>
      </w:pPr>
      <w:r w:rsidRPr="000F025F">
        <w:lastRenderedPageBreak/>
        <w:t>43.</w:t>
      </w:r>
      <w:r w:rsidRPr="000F025F">
        <w:tab/>
        <w:t>a kérdőív alapján tudomásul veszi az RB által 2024-ben a különböző területek – például a költségvetési és pénzgazdálkodás, a jelentéstétel, az ellenőrzési együttműködés, a HR, a közbeszerzés, a dokumentumokhoz való nyilvános hozzáférés és a nyilvántartás-kezelés – átláthatóságának előmozdítása érdekében végrehajtott elveket és mechanizmusokat;</w:t>
      </w:r>
    </w:p>
    <w:p w14:paraId="6A904CDA" w14:textId="77777777" w:rsidR="00DD31EB" w:rsidRPr="000F025F" w:rsidRDefault="00DD31EB" w:rsidP="00DD31EB">
      <w:pPr>
        <w:pStyle w:val="NormalHanging12a"/>
      </w:pPr>
      <w:r w:rsidRPr="000F025F">
        <w:t>44.</w:t>
      </w:r>
      <w:r w:rsidRPr="000F025F">
        <w:tab/>
        <w:t>üdvözli az RB 2024. évi megújult erőfeszítéseit az összeférhetetlenségek felderítése és megelőzése terén; megjegyzi, hogy a 157/2023. sz. határozatának köszönhetően az RB meghatározta az összeférhetetlenség fogalmát, és mechanizmust vezetett be az összeférhetetlenségek felderítésére és megelőzésére, amely mechanizmus keretében a személyzet tagjainak a karrierjük vagy szakmai tevékenységük különböző kulcsfontosságú szakaszaiban kitöltendő formanyomtatványon nyilatkozniuk kell arról, hogy fennáll-e (potenciális vagy lehetséges) összeférhetetlenség; megelégedéssel veszi tudomásul a kérdőív alapján, hogy a volt vezető tisztviselők foglalkozásával kapcsolatos éves információkat átlátható módon közzéteszik az RB honlapján, és hogy az RB-nél betöltött pozíciójuk megszűnését követő első 12 hónapban nem folytathatnak lobbitevékenységet vagy érdekképviseletet az RB-nél;</w:t>
      </w:r>
    </w:p>
    <w:p w14:paraId="3CE12B86" w14:textId="77777777" w:rsidR="00DD31EB" w:rsidRPr="000F025F" w:rsidRDefault="00DD31EB" w:rsidP="00DD31EB">
      <w:pPr>
        <w:pStyle w:val="NormalHanging12a"/>
      </w:pPr>
      <w:r w:rsidRPr="000F025F">
        <w:t>45.</w:t>
      </w:r>
      <w:r w:rsidRPr="000F025F">
        <w:tab/>
        <w:t>a kérdőív alapján megjegyzi, hogy 2024-ben nem tártak fel összeférhetetlenséget az RB-n belül; megjegyzi azonban, hogy az RB egy tagja aggodalmát fejezte ki egy parlamenti képviselő vagy egy parlamenti képviselőcsoport számára készített technikai támogatási tanulmány elkészítéséért járó kifizetésből eredő esetleges összeférhetetlenség miatt; üdvözli a mentesítési eljárás során kapott megerősítést, amely szerint az RB szóban forgó tagja valójában nem fogadta el a szóban forgó állást;</w:t>
      </w:r>
    </w:p>
    <w:p w14:paraId="254F95D6" w14:textId="77777777" w:rsidR="00DD31EB" w:rsidRPr="000F025F" w:rsidRDefault="00DD31EB" w:rsidP="00DD31EB">
      <w:pPr>
        <w:pStyle w:val="NormalHanging12a"/>
      </w:pPr>
      <w:r w:rsidRPr="000F025F">
        <w:t>46.</w:t>
      </w:r>
      <w:r w:rsidRPr="000F025F">
        <w:tab/>
        <w:t>megállapítja, hogy 2024-ben nem jelentettek be visszaélést az RB-</w:t>
      </w:r>
      <w:proofErr w:type="spellStart"/>
      <w:r w:rsidRPr="000F025F">
        <w:t>nek</w:t>
      </w:r>
      <w:proofErr w:type="spellEnd"/>
      <w:r w:rsidRPr="000F025F">
        <w:t>; megjegyzi, hogy az RB 2024-ben nem fogadott el új intézkedéseket a visszaélések bejelentésére vonatkozóan, és továbbra is a 2015 óta érvényben lévő intézkedésekre támaszkodott, amelyek alkalmazását etikai képzésen és figyelemfelhíváson keresztül mozdította elő; támogatja a rendszeres kötelező etikai képzéseket mind az alkalmazottak, mind pedig a vezetői szint számára;</w:t>
      </w:r>
    </w:p>
    <w:p w14:paraId="79340AA1" w14:textId="77777777" w:rsidR="00DD31EB" w:rsidRPr="000F025F" w:rsidRDefault="00DD31EB" w:rsidP="00DD31EB">
      <w:pPr>
        <w:pStyle w:val="NormalHanging12a"/>
      </w:pPr>
      <w:r w:rsidRPr="000F025F">
        <w:t>47.</w:t>
      </w:r>
      <w:r w:rsidRPr="000F025F">
        <w:tab/>
        <w:t xml:space="preserve">megjegyzi, hogy az RB számos csalás elleni intézkedést és fellépést vezetett be tagjaira és személyzetére vonatkozóan, amelyeket különböző szolgálatok hajtanak végre; sajnálja, hogy 2024-ben nem állt rendelkezésre csalás elleni stratégia; a kérdőív alapján azonban megjegyzi, hogy az RB 2025-ben konszolidált csalásellenes keretrendszert fogadott el, amely köztes lépést jelent egy átfogó csalásellenes stratégia kidolgozásában, míg az e célkitűzés eléréséhez használt módszertant az OLAF fogja biztosítani; sürgeti az RB-t, hogy kezelje prioritásként e stratégia teljes kidolgozását és végrehajtását, beleértve a kockázatértékelést, a megelőzést, a felderítést és a </w:t>
      </w:r>
      <w:proofErr w:type="spellStart"/>
      <w:r w:rsidRPr="000F025F">
        <w:t>nyomonkövetési</w:t>
      </w:r>
      <w:proofErr w:type="spellEnd"/>
      <w:r w:rsidRPr="000F025F">
        <w:t xml:space="preserve"> intézkedéseket; kéri az RB-t, hogy a továbbiakban is tájékoztassa a mentesítésért felelős hatóságot erről a témáról;</w:t>
      </w:r>
    </w:p>
    <w:p w14:paraId="5C88C529" w14:textId="77777777" w:rsidR="00DD31EB" w:rsidRPr="000F025F" w:rsidRDefault="00DD31EB" w:rsidP="000F025F">
      <w:pPr>
        <w:pStyle w:val="NormalHanging12a"/>
        <w:rPr>
          <w:b/>
          <w:i/>
        </w:rPr>
      </w:pPr>
      <w:r w:rsidRPr="000F025F">
        <w:rPr>
          <w:b/>
          <w:i/>
        </w:rPr>
        <w:t xml:space="preserve">Digitalizáció, </w:t>
      </w:r>
      <w:proofErr w:type="spellStart"/>
      <w:r w:rsidRPr="000F025F">
        <w:rPr>
          <w:b/>
          <w:i/>
        </w:rPr>
        <w:t>kiberbiztonság</w:t>
      </w:r>
      <w:proofErr w:type="spellEnd"/>
      <w:r w:rsidRPr="000F025F">
        <w:rPr>
          <w:b/>
          <w:i/>
        </w:rPr>
        <w:t xml:space="preserve"> és adatvédelem</w:t>
      </w:r>
    </w:p>
    <w:p w14:paraId="0600ADB5" w14:textId="77777777" w:rsidR="00DD31EB" w:rsidRPr="000F025F" w:rsidRDefault="00DD31EB" w:rsidP="00DD31EB">
      <w:pPr>
        <w:pStyle w:val="NormalHanging12a"/>
      </w:pPr>
      <w:r w:rsidRPr="000F025F">
        <w:t>48.</w:t>
      </w:r>
      <w:r w:rsidRPr="000F025F">
        <w:tab/>
        <w:t xml:space="preserve">megjegyzi, hogy az RB és az EGSZB együttes informatikai költségvetése 2024-ben 13,70 millió EUR volt, szemben a 2023. évi 12,70 millió EUR-val, ami mintegy 7,90%-os csökkenést jelent, míg e költségvetésből 2024-ben 760 000 EUR-t (azaz mintegy 6%-ot) fizettek ki </w:t>
      </w:r>
      <w:proofErr w:type="spellStart"/>
      <w:r w:rsidRPr="000F025F">
        <w:t>kiberbiztonsági</w:t>
      </w:r>
      <w:proofErr w:type="spellEnd"/>
      <w:r w:rsidRPr="000F025F">
        <w:t xml:space="preserve"> célokra;</w:t>
      </w:r>
    </w:p>
    <w:p w14:paraId="6314BD3D" w14:textId="77777777" w:rsidR="00DD31EB" w:rsidRPr="000F025F" w:rsidRDefault="00DD31EB" w:rsidP="00DD31EB">
      <w:pPr>
        <w:pStyle w:val="NormalHanging12a"/>
      </w:pPr>
      <w:r w:rsidRPr="000F025F">
        <w:t>49.</w:t>
      </w:r>
      <w:r w:rsidRPr="000F025F">
        <w:tab/>
        <w:t xml:space="preserve">a kérdőív alapján megállapítja, hogy 2024-ben az Innovációs és Információtechnológiai </w:t>
      </w:r>
      <w:r w:rsidRPr="000F025F">
        <w:lastRenderedPageBreak/>
        <w:t xml:space="preserve">Igazgatóság új többéves digitális stratégiát hajtott végre a 2024–2026-os időszakra, amely prioritásként kezeli a digitális nyilvántartás-kezelést, az elektronikus munkafolyamatokat, az elektronikus aláírásokat és a felhőalapú megoldásokat, és négy kiemelt programra összpontosít – M365 Digitális munkahely, ARES, </w:t>
      </w:r>
      <w:proofErr w:type="spellStart"/>
      <w:r w:rsidRPr="000F025F">
        <w:t>EdiT</w:t>
      </w:r>
      <w:proofErr w:type="spellEnd"/>
      <w:r w:rsidRPr="000F025F">
        <w:t xml:space="preserve"> és </w:t>
      </w:r>
      <w:proofErr w:type="spellStart"/>
      <w:r w:rsidRPr="000F025F">
        <w:t>Kiberbiztonság</w:t>
      </w:r>
      <w:proofErr w:type="spellEnd"/>
      <w:r w:rsidRPr="000F025F">
        <w:t xml:space="preserve"> – az együttműködés, az automatizálás és az intézményi </w:t>
      </w:r>
      <w:proofErr w:type="spellStart"/>
      <w:r w:rsidRPr="000F025F">
        <w:t>reziliencia</w:t>
      </w:r>
      <w:proofErr w:type="spellEnd"/>
      <w:r w:rsidRPr="000F025F">
        <w:t xml:space="preserve"> fokozása érdekében; kiemeli az M365 program előrehaladását, beleértve a SharePoint Online-</w:t>
      </w:r>
      <w:proofErr w:type="spellStart"/>
      <w:r w:rsidRPr="000F025F">
        <w:t>ra</w:t>
      </w:r>
      <w:proofErr w:type="spellEnd"/>
      <w:r w:rsidRPr="000F025F">
        <w:t xml:space="preserve"> való átállás tervezését, a Windows 11 és az M365 applikációk bevezetését, valamint az M365 </w:t>
      </w:r>
      <w:proofErr w:type="spellStart"/>
      <w:r w:rsidRPr="000F025F">
        <w:t>Copilot</w:t>
      </w:r>
      <w:proofErr w:type="spellEnd"/>
      <w:r w:rsidRPr="000F025F">
        <w:t xml:space="preserve"> kísérleti projekt 2025-ös ütemtervét tartalmazó MI-stratégia kidolgozását; megjegyzi, hogy az RB megkezdte a HAN dokumentumkezelő rendszer bevezetését, és előrehaladást ért el a jogszabály-szövegezésre szolgáló </w:t>
      </w:r>
      <w:proofErr w:type="spellStart"/>
      <w:r w:rsidRPr="000F025F">
        <w:t>EdiT</w:t>
      </w:r>
      <w:proofErr w:type="spellEnd"/>
      <w:r w:rsidRPr="000F025F">
        <w:t xml:space="preserve"> XML szerkesztő elfogadása terén; üdvözli a </w:t>
      </w:r>
      <w:proofErr w:type="spellStart"/>
      <w:r w:rsidRPr="000F025F">
        <w:t>kiberbiztonság</w:t>
      </w:r>
      <w:proofErr w:type="spellEnd"/>
      <w:r w:rsidRPr="000F025F">
        <w:t xml:space="preserve"> mint közös felelősség felé való elmozdulást, amely új képzési kezdeményezéseket és az uniós szabványokkal összhangban lévő többéves tervet foglal magában; elismeri a nyilvántartás-kezelés, az infrastruktúra és a biztonságos kommunikációs eszközök – többek között a SECABC-e-mail, a SACHA adatátvitel és a végpont-kezelési rendszerek – terén elért javulást; elismeréssel veszi tudomásul az RB folyamatos előrehaladását a digitális innováció terén, beleértve a teljesen papírmentes és </w:t>
      </w:r>
      <w:proofErr w:type="spellStart"/>
      <w:r w:rsidRPr="000F025F">
        <w:t>kiberbiztonságot</w:t>
      </w:r>
      <w:proofErr w:type="spellEnd"/>
      <w:r w:rsidRPr="000F025F">
        <w:t xml:space="preserve"> biztosító munkakörnyezetre való átállást; elismerését fejezi ki a Régiók Házának 2025–2027-es munkatervéért, amely prioritásként kezeli a digitalizációt egy modern, agilis és digitálisan vezérelt intézmény kiépítése érdekében;</w:t>
      </w:r>
    </w:p>
    <w:p w14:paraId="2DACA7C0" w14:textId="77777777" w:rsidR="00DD31EB" w:rsidRPr="000F025F" w:rsidRDefault="00DD31EB" w:rsidP="00DD31EB">
      <w:pPr>
        <w:pStyle w:val="NormalHanging12a"/>
        <w:rPr>
          <w:bCs/>
        </w:rPr>
      </w:pPr>
      <w:r w:rsidRPr="000F025F">
        <w:t>50.</w:t>
      </w:r>
      <w:r w:rsidRPr="000F025F">
        <w:tab/>
        <w:t>megjegyzi, hogy az RB fokozatosan bevezette a mesterséges intelligenciával kapcsolatos, „</w:t>
      </w:r>
      <w:proofErr w:type="spellStart"/>
      <w:r w:rsidRPr="000F025F">
        <w:t>Panoramic</w:t>
      </w:r>
      <w:proofErr w:type="spellEnd"/>
      <w:r w:rsidRPr="000F025F">
        <w:t xml:space="preserve"> AI” elnevezésű kísérleti projektet, amely 2024-től az összetett tartalmakhoz való hozzáférést egyszerűsítő központot hoz létre; megjegyzi továbbá, hogy az RB aktívan használta az Európai Bizottság MI-eszközeit fordításhoz, összefoglalókhoz stb., és kísérleti felhasználóként részt vett a GPT@JRC kísérleti MI-megoldás tesztelésében; a kérdőív alapján megállapítja, hogy az RB 2023-ban elfogadott, mesterséges intelligenciára vonatkozó iránymutatásai meghatároztak egy kiindulási alapot arra vonatkozóan, hogy a személyzet hogyan kísérletezhet a mesterséges intelligenciával, hogyan hajthatja végre a 2024 augusztusában hatályba lépett (EU) 2024/1689 európai parlamenti és tanácsi rendeletet</w:t>
      </w:r>
      <w:r w:rsidRPr="000F025F">
        <w:rPr>
          <w:rStyle w:val="FootnoteReference"/>
          <w:bCs/>
        </w:rPr>
        <w:footnoteReference w:id="12"/>
      </w:r>
      <w:r w:rsidRPr="000F025F">
        <w:t xml:space="preserve">, és hogyan dolgozhat ki olyan vállalati alternatívákat, amelyek összhangban vannak az adatvédelmi és etikai normákkal; ezzel összefüggésben üdvözli, hogy 2024-ben tájékoztató előadásokat szerveztek a személyzet számára, hogy elmagyarázzák a mesterséges intelligenciára vonatkozó iránymutatásokat, feljegyzést tettek közzé a személyzet mesterséges intelligenciával kapcsolatos jártasságáról, és munkaértekezleteket szerveztek a mesterséges intelligenciával kapcsolatos tudatosság növelése érdekében, és ösztönzi e gyakorlat folytatását, beleértve a mesterséges intelligencia biztonságos, etikus és hatékony használatáról, valamint a </w:t>
      </w:r>
      <w:proofErr w:type="spellStart"/>
      <w:r w:rsidRPr="000F025F">
        <w:t>kiberbiztonságról</w:t>
      </w:r>
      <w:proofErr w:type="spellEnd"/>
      <w:r w:rsidRPr="000F025F">
        <w:t xml:space="preserve"> szóló rendszeres képzések szervezését is; elismeri a személyes termelékenységet fokozó MI-eszközök, például az M365 </w:t>
      </w:r>
      <w:proofErr w:type="spellStart"/>
      <w:r w:rsidRPr="000F025F">
        <w:t>Copilot</w:t>
      </w:r>
      <w:proofErr w:type="spellEnd"/>
      <w:r w:rsidRPr="000F025F">
        <w:t xml:space="preserve"> hozzáadott értékét, valamint azt, hogy az MI-képességeket beépítik az informatikai támogató eszközökbe; hangsúlyozza, hogy a mesterséges intelligencia használata során biztosítani kell az etikus felhasználás, az átláthatóság, az adatvédelem, az emberi felügyelet és az algoritmikus torzítással vagy visszaéléssel szembeni védelem </w:t>
      </w:r>
      <w:r w:rsidRPr="000F025F">
        <w:lastRenderedPageBreak/>
        <w:t>szigorú elveit;</w:t>
      </w:r>
    </w:p>
    <w:p w14:paraId="53AC3B61" w14:textId="77777777" w:rsidR="00DD31EB" w:rsidRPr="000F025F" w:rsidRDefault="00DD31EB" w:rsidP="00DD31EB">
      <w:pPr>
        <w:pStyle w:val="NormalHanging12a"/>
      </w:pPr>
      <w:r w:rsidRPr="000F025F">
        <w:t>51.</w:t>
      </w:r>
      <w:r w:rsidRPr="000F025F">
        <w:tab/>
        <w:t>a kérdőív alapján megállapítja, hogy az adatvédelmi tisztviselőnek az európai adatvédelmi biztos előzetes hozzájárulása nélküli leváltásával kapcsolatos eljárási felügyeletet követően az RB elismerte a hibát, és korrekciós intézkedéseket hozott; elismeri, hogy az adatvédelmi tisztviselő feladatkörének a Jogi Szolgálathoz való áthelyezése egy belső ellenőr ajánlásán alapult; megjegyzi, hogy az RB visszavette a korábbi adatvédelmi tisztviselőt, és a teljes megfelelés biztosítása érdekében hivatalosan kérte az európai adatvédelmi biztos hozzájárulását az új kinevezéshez;</w:t>
      </w:r>
    </w:p>
    <w:p w14:paraId="116ECEC9" w14:textId="77777777" w:rsidR="00DD31EB" w:rsidRPr="000F025F" w:rsidRDefault="00DD31EB" w:rsidP="00DD31EB">
      <w:pPr>
        <w:pStyle w:val="NormalHanging12a"/>
      </w:pPr>
      <w:r w:rsidRPr="000F025F">
        <w:t>52.</w:t>
      </w:r>
      <w:r w:rsidRPr="000F025F">
        <w:tab/>
        <w:t xml:space="preserve">a kérdőív alapján megjegyzi, hogy az RB 2024-ben nem tapasztalt sikeres </w:t>
      </w:r>
      <w:proofErr w:type="spellStart"/>
      <w:r w:rsidRPr="000F025F">
        <w:t>kibertámadásokat</w:t>
      </w:r>
      <w:proofErr w:type="spellEnd"/>
      <w:r w:rsidRPr="000F025F">
        <w:t xml:space="preserve">, mivel a meglévő felderítési és megelőző intézkedések hatékonyan kezelték az összes megkísérelt fenyegetést; megjegyzi, hogy az RB számos intézkedést hozott </w:t>
      </w:r>
      <w:proofErr w:type="spellStart"/>
      <w:r w:rsidRPr="000F025F">
        <w:t>kiberbiztonsági</w:t>
      </w:r>
      <w:proofErr w:type="spellEnd"/>
      <w:r w:rsidRPr="000F025F">
        <w:t xml:space="preserve"> és adatvédelmi keretének megerősítése érdekében azáltal, hogy 2024-ben naprakész volt az e területeken bekövetkezett legújabb fejlemények és bevált gyakorlatok tekintetében; megjegyzi, hogy ezen intézkedések némelyike magában foglalta az érintett személyzet részvételét az Európai Uniós </w:t>
      </w:r>
      <w:proofErr w:type="spellStart"/>
      <w:r w:rsidRPr="000F025F">
        <w:t>Kiberbiztonsági</w:t>
      </w:r>
      <w:proofErr w:type="spellEnd"/>
      <w:r w:rsidRPr="000F025F">
        <w:t xml:space="preserve"> Ügynökség (ENISA) és az európai adatvédelmi biztos által szervezett „Adatvédelmi incidensekkel kapcsolatos tájékozottság a </w:t>
      </w:r>
      <w:proofErr w:type="spellStart"/>
      <w:r w:rsidRPr="000F025F">
        <w:t>kiberbiztonsági</w:t>
      </w:r>
      <w:proofErr w:type="spellEnd"/>
      <w:r w:rsidRPr="000F025F">
        <w:t xml:space="preserve"> események kezelésében” elnevezésű gyakorlaton, a 2024-es Európai </w:t>
      </w:r>
      <w:proofErr w:type="spellStart"/>
      <w:r w:rsidRPr="000F025F">
        <w:t>Kiberbiztonsági</w:t>
      </w:r>
      <w:proofErr w:type="spellEnd"/>
      <w:r w:rsidRPr="000F025F">
        <w:t xml:space="preserve"> Hónapon, valamint a személyzetnek, különösen az újonnan érkezőknek szóló tájékoztató előadásokon és személyes bevezető képzéseken való részvételt; ösztönzi e gyakorlat folytatását, beleértve a </w:t>
      </w:r>
      <w:proofErr w:type="spellStart"/>
      <w:r w:rsidRPr="000F025F">
        <w:t>kiberbiztonsággal</w:t>
      </w:r>
      <w:proofErr w:type="spellEnd"/>
      <w:r w:rsidRPr="000F025F">
        <w:t xml:space="preserve"> kapcsolatos rendszeres képzések szervezését; üdvözli továbbá a kéttényezős hitelesítés bevezetését a hozzáférés biztonságának fokozása érdekében, az RB weboldala tartalomkezelő rendszerének egy új platformra (</w:t>
      </w:r>
      <w:proofErr w:type="spellStart"/>
      <w:r w:rsidRPr="000F025F">
        <w:t>Drupal</w:t>
      </w:r>
      <w:proofErr w:type="spellEnd"/>
      <w:r w:rsidRPr="000F025F">
        <w:t xml:space="preserve">) való átállását, amely nagyobb </w:t>
      </w:r>
      <w:proofErr w:type="spellStart"/>
      <w:r w:rsidRPr="000F025F">
        <w:t>rezilienciát</w:t>
      </w:r>
      <w:proofErr w:type="spellEnd"/>
      <w:r w:rsidRPr="000F025F">
        <w:t xml:space="preserve"> és alkalmazkodóképességet biztosít, valamint a CERT-EU-</w:t>
      </w:r>
      <w:proofErr w:type="spellStart"/>
      <w:r w:rsidRPr="000F025F">
        <w:t>val</w:t>
      </w:r>
      <w:proofErr w:type="spellEnd"/>
      <w:r w:rsidRPr="000F025F">
        <w:t xml:space="preserve"> való folyamatos szoros együttműködést a fenyegetések valós idejű nyomon követése és az elosztott </w:t>
      </w:r>
      <w:proofErr w:type="spellStart"/>
      <w:r w:rsidRPr="000F025F">
        <w:t>szolgáltatásmegtagadásos</w:t>
      </w:r>
      <w:proofErr w:type="spellEnd"/>
      <w:r w:rsidRPr="000F025F">
        <w:t xml:space="preserve"> (</w:t>
      </w:r>
      <w:proofErr w:type="spellStart"/>
      <w:r w:rsidRPr="000F025F">
        <w:t>DDoS</w:t>
      </w:r>
      <w:proofErr w:type="spellEnd"/>
      <w:r w:rsidRPr="000F025F">
        <w:t>) támadásokkal szembeni védelem érdekében; megjegyzi, hogy az Innovációs és Információtechnológiai Igazgatóság az uniós és nemzetközi szabványokkal, többek között az (EU, Euratom) 2023/2841 európai parlamenti és tanácsi rendelettel</w:t>
      </w:r>
      <w:r w:rsidRPr="000F025F">
        <w:rPr>
          <w:vertAlign w:val="superscript"/>
        </w:rPr>
        <w:footnoteReference w:id="13"/>
      </w:r>
      <w:r w:rsidRPr="000F025F">
        <w:t xml:space="preserve">, a NIST </w:t>
      </w:r>
      <w:proofErr w:type="spellStart"/>
      <w:r w:rsidRPr="000F025F">
        <w:t>kiberbiztonsági</w:t>
      </w:r>
      <w:proofErr w:type="spellEnd"/>
      <w:r w:rsidRPr="000F025F">
        <w:t xml:space="preserve"> kerettel és az Open </w:t>
      </w:r>
      <w:proofErr w:type="spellStart"/>
      <w:r w:rsidRPr="000F025F">
        <w:t>Worldwide</w:t>
      </w:r>
      <w:proofErr w:type="spellEnd"/>
      <w:r w:rsidRPr="000F025F">
        <w:t xml:space="preserve"> </w:t>
      </w:r>
      <w:proofErr w:type="spellStart"/>
      <w:r w:rsidRPr="000F025F">
        <w:t>Application</w:t>
      </w:r>
      <w:proofErr w:type="spellEnd"/>
      <w:r w:rsidRPr="000F025F">
        <w:t xml:space="preserve"> </w:t>
      </w:r>
      <w:proofErr w:type="spellStart"/>
      <w:r w:rsidRPr="000F025F">
        <w:t>Security</w:t>
      </w:r>
      <w:proofErr w:type="spellEnd"/>
      <w:r w:rsidRPr="000F025F">
        <w:t xml:space="preserve"> Projecttel (OWASP) összhangban digitális átállási és </w:t>
      </w:r>
      <w:proofErr w:type="spellStart"/>
      <w:r w:rsidRPr="000F025F">
        <w:t>kiberbiztonsági</w:t>
      </w:r>
      <w:proofErr w:type="spellEnd"/>
      <w:r w:rsidRPr="000F025F">
        <w:t xml:space="preserve"> programot indított azzal a céllal, hogy az egész RB-ben megerősítse a </w:t>
      </w:r>
      <w:proofErr w:type="spellStart"/>
      <w:r w:rsidRPr="000F025F">
        <w:t>rezilienciát</w:t>
      </w:r>
      <w:proofErr w:type="spellEnd"/>
      <w:r w:rsidRPr="000F025F">
        <w:t>, a kockázatkezelést, az adatvédelmet és az irányítás egyéb aspektusait;</w:t>
      </w:r>
    </w:p>
    <w:p w14:paraId="62FFA0A0" w14:textId="77777777" w:rsidR="00DD31EB" w:rsidRPr="000F025F" w:rsidRDefault="00DD31EB" w:rsidP="00915B4E">
      <w:pPr>
        <w:pStyle w:val="NormalHanging12a"/>
        <w:rPr>
          <w:b/>
          <w:i/>
        </w:rPr>
      </w:pPr>
      <w:r w:rsidRPr="000F025F">
        <w:rPr>
          <w:b/>
          <w:i/>
        </w:rPr>
        <w:t>Épületek</w:t>
      </w:r>
    </w:p>
    <w:p w14:paraId="03C20F64" w14:textId="77777777" w:rsidR="00DD31EB" w:rsidRPr="000F025F" w:rsidRDefault="00DD31EB" w:rsidP="00DD31EB">
      <w:pPr>
        <w:pStyle w:val="NormalHanging12a"/>
      </w:pPr>
      <w:r w:rsidRPr="000F025F">
        <w:t>53.</w:t>
      </w:r>
      <w:r w:rsidRPr="000F025F">
        <w:tab/>
        <w:t>megjegyzi, hogy az RB épületekre és kapcsolódó költségekre szánt költségvetése (folyó évi előirányzatok) 2024-ben 18,963 millió EUR volt (szemben a 2023. évi 18,594 millió EUR összeggel), ahol a kifizetések végrehajtási aránya 92% volt (szemben a 2023. évi 93,70%-kal); megelégedéssel veszi tudomásul, hogy az RB 108 000 EUR megtakarítást ért el a takarítási szolgáltatások terén azokban az időszakokban, amikor kevesebben voltak jelen az RB épületeiben;</w:t>
      </w:r>
    </w:p>
    <w:p w14:paraId="46D52D12" w14:textId="77777777" w:rsidR="00DD31EB" w:rsidRPr="000F025F" w:rsidRDefault="00DD31EB" w:rsidP="00DD31EB">
      <w:pPr>
        <w:pStyle w:val="NormalHanging12a"/>
      </w:pPr>
      <w:r w:rsidRPr="000F025F">
        <w:t>54.</w:t>
      </w:r>
      <w:r w:rsidRPr="000F025F">
        <w:tab/>
        <w:t xml:space="preserve">az éves jelentés alapján tudomásul veszi az RB azon következtetését, hogy a 2017-ben meghatározott egyik fő prioritása, az „épületek földrajzi koncentrációja” megvalósult; </w:t>
      </w:r>
      <w:r w:rsidRPr="000F025F">
        <w:lastRenderedPageBreak/>
        <w:t xml:space="preserve">tudomásul veszi az RB azon véleményét, hogy az új hibrid munkavégzési rendszer sikeres végrehajtása megalapozza a további költségmegtakarítást az irodaterületek csökkentése révén; ezzel összefüggésben megjegyzi, hogy 2024 végén az RB elindította a </w:t>
      </w:r>
      <w:proofErr w:type="spellStart"/>
      <w:r w:rsidRPr="000F025F">
        <w:t>SPaCES</w:t>
      </w:r>
      <w:proofErr w:type="spellEnd"/>
      <w:r w:rsidRPr="000F025F">
        <w:t xml:space="preserve"> projektet, hogy átalakítsa az RB-n belüli munkamódszereket és munkaterületeket, többek között a helyiségek berendezésének átalakításával, mivel e projekt első lépése a B100 épületben dolgozó személyzet áthelyezése; megjegyzi, hogy az RB és az EGSZB közös határozatát követően az épület bérleti szerződése 2026 augusztusában megszűnik; kéri az RB-t, hogy folyamatosan tájékoztassa a mentesítésért felelős hatóságot az ezzel kapcsolatban elért haladásról;</w:t>
      </w:r>
    </w:p>
    <w:p w14:paraId="7B2ED8C9" w14:textId="77777777" w:rsidR="00DD31EB" w:rsidRPr="000F025F" w:rsidRDefault="00DD31EB" w:rsidP="00DD31EB">
      <w:pPr>
        <w:pStyle w:val="NormalHanging12a"/>
      </w:pPr>
      <w:r w:rsidRPr="000F025F">
        <w:t>55.</w:t>
      </w:r>
      <w:r w:rsidRPr="000F025F">
        <w:tab/>
        <w:t xml:space="preserve">megjegyzi, hogy a VMA épület felújítási munkálatai 2024-ben folytatódtak; a </w:t>
      </w:r>
      <w:proofErr w:type="spellStart"/>
      <w:r w:rsidRPr="000F025F">
        <w:t>nyomonkövetési</w:t>
      </w:r>
      <w:proofErr w:type="spellEnd"/>
      <w:r w:rsidRPr="000F025F">
        <w:t xml:space="preserve"> jelentés alapján megállapítja, hogy a VMA épületben telepített intelligens technológiákba történő beruházások időtálló, rugalmas irodahelyiségeket és optimális felhasználói kényelmet fognak biztosítani különböző szinteken, ami hozzá fog járulni az energiafogyasztás további, mintegy évi 13 000 EUR összegű csökkentéséhez (a 2023. évi átlagos villamosenergia- és gázárak alapján);</w:t>
      </w:r>
    </w:p>
    <w:p w14:paraId="4F3FA1A3" w14:textId="77777777" w:rsidR="00DD31EB" w:rsidRPr="000F025F" w:rsidRDefault="00DD31EB" w:rsidP="00DD31EB">
      <w:pPr>
        <w:pStyle w:val="NormalHanging12a"/>
      </w:pPr>
      <w:r w:rsidRPr="000F025F">
        <w:t>56.</w:t>
      </w:r>
      <w:r w:rsidRPr="000F025F">
        <w:tab/>
        <w:t>üdvözli az RB és az EGSZB azon kötelezettségvállalását, hogy infrastruktúrájukban szisztematikusan alkalmazzák a „mindenki számára történő tervezés” elvét, biztosítva épületük beépített akadálymentességét; megjegyzi, hogy az RB számos különböző intézkedést hozott annak biztosítása érdekében, hogy épületei – beleértve a felvonókat – akadálymentesek legyenek a különböző fogyatékossággal élő személyek (kerekesszékesek, vakok és látássérültek, siketek, izom- vagy érrendszeri problémákkal küzdő idősek) számára;</w:t>
      </w:r>
    </w:p>
    <w:p w14:paraId="5728C58D" w14:textId="77777777" w:rsidR="00DD31EB" w:rsidRPr="000F025F" w:rsidRDefault="00DD31EB" w:rsidP="000F025F">
      <w:pPr>
        <w:pStyle w:val="NormalHanging12a"/>
        <w:rPr>
          <w:b/>
          <w:i/>
        </w:rPr>
      </w:pPr>
      <w:r w:rsidRPr="000F025F">
        <w:rPr>
          <w:b/>
          <w:i/>
        </w:rPr>
        <w:t>Környezetvédelem és fenntarthatóság</w:t>
      </w:r>
    </w:p>
    <w:p w14:paraId="522F9C2C" w14:textId="77777777" w:rsidR="00DD31EB" w:rsidRPr="000F025F" w:rsidRDefault="00DD31EB" w:rsidP="00DD31EB">
      <w:pPr>
        <w:pStyle w:val="NormalHanging12a"/>
      </w:pPr>
      <w:r w:rsidRPr="000F025F">
        <w:t>57.</w:t>
      </w:r>
      <w:r w:rsidRPr="000F025F">
        <w:tab/>
        <w:t>megjegyzi, hogy az RB 2024-ben folytatta számos zöld gyakorlat végrehajtását, például az innovatív energiahatékony világítási rendszerekbe, energiafogyasztás-mérőkbe, a kritikus létesítményekben a szén-dioxid-szintek nyomon követésére telepített érzékelőkbe, az épületek hőmérsékletének az év adott időszakától függő szabályozásába (légkondicionálás, fűtés) és a 100%-ban zöld villamos energia vásárlásába történő beruházásokat; megjegyzi, hogy az RB valamennyi pályázati eljárás során környezetvédelmi kritériumokat, a 25 000 EUR-t meghaladó értékű pályázatok esetében pedig fenntarthatósági záradékokat alkalmaz, valamint igényre szabott záradékokat a jelentős környezeti hatással járó vagy a 60 000 EUR-t meghaladó értékű pályázatok esetében; megelégedéssel veszi tudomásul, hogy az RB a környezetvédelmi szempontokat beépíti kockázatkezelési rendszerébe és alapvető üzleti folyamataiba, és kapcsolattartó pontokat jelölt ki a környezetvédelmi vezetési és hitelesítési rendszer (EMAS) számára;</w:t>
      </w:r>
    </w:p>
    <w:p w14:paraId="078717AF" w14:textId="77777777" w:rsidR="00DD31EB" w:rsidRPr="000F025F" w:rsidRDefault="00DD31EB" w:rsidP="00DD31EB">
      <w:pPr>
        <w:pStyle w:val="NormalHanging12a"/>
      </w:pPr>
      <w:r w:rsidRPr="000F025F">
        <w:t>58.</w:t>
      </w:r>
      <w:r w:rsidRPr="000F025F">
        <w:tab/>
        <w:t>nagyra értékeli az RB elkötelezettségét aziránt, hogy fenntartható mobilitási politikát népszerűsítsen a személyzete körében; ezzel összefüggésben megjegyzi, hogy 2024-ben az RB 100 EUR átalányösszegű kerékpár-támogatást vezetett be azon munkavállalók számára, akik az ingázás elsődleges eszközeként kerékpárt használnak, bővítette kerékpárparkoló-kapacitását, valamint reggeliket és mobilitási témájú kvízeket szervezett; a kérdőív alapján megjegyzi, hogy 2024-től a személyzet kérheti a másodosztályú vasúti utazás előfizetési költségének 50%-</w:t>
      </w:r>
      <w:proofErr w:type="spellStart"/>
      <w:r w:rsidRPr="000F025F">
        <w:t>ának</w:t>
      </w:r>
      <w:proofErr w:type="spellEnd"/>
      <w:r w:rsidRPr="000F025F">
        <w:t xml:space="preserve"> megtérítését (legfeljebb 60 km távolságig);</w:t>
      </w:r>
    </w:p>
    <w:p w14:paraId="64A443ED" w14:textId="77777777" w:rsidR="00DD31EB" w:rsidRPr="000F025F" w:rsidRDefault="00DD31EB" w:rsidP="00DD31EB">
      <w:pPr>
        <w:pStyle w:val="NormalHanging12a"/>
      </w:pPr>
      <w:r w:rsidRPr="000F025F">
        <w:t>59.</w:t>
      </w:r>
      <w:r w:rsidRPr="000F025F">
        <w:tab/>
        <w:t xml:space="preserve">a kérdőív alapján megelégedéssel veszi tudomásul, hogy energiatakarékossági </w:t>
      </w:r>
      <w:r w:rsidRPr="000F025F">
        <w:lastRenderedPageBreak/>
        <w:t>intézkedéseinek köszönhetően az RB energiafogyasztása a becslések szerint 2024-ben 3-4%-kal csökkent 2022-höz képest; megjegyzi, hogy az RB minden területen (villamos energia, gáz, víz, hulladék, szelektív hulladékgyűjtés, irodai felhasználásra szánt papír, szén-dioxid-kibocsátás) túllépte az EMAS 2024. évi célkitűzéseit, a 2019-es referenciaév alkalmazásával; megjegyzi, hogy 2023-hoz képest a víz- és papírfogyasztás kismértékben, 14%-kal, illetve 1%-kal nőtt, míg az RB igazgatási tevékenységeiből származó szén-dioxid-kibocsátás 4,3%-kal, a villamosenergia- és gázfelhasználás pedig 5%-kal, illetve 1%-kal csökkent, és a hulladéktermelés is 12%-kal csökkent 2024-ben;</w:t>
      </w:r>
    </w:p>
    <w:p w14:paraId="0CCED383" w14:textId="77777777" w:rsidR="00DD31EB" w:rsidRPr="000F025F" w:rsidRDefault="00DD31EB" w:rsidP="000F025F">
      <w:pPr>
        <w:pStyle w:val="NormalHanging12a"/>
        <w:rPr>
          <w:b/>
          <w:bCs/>
          <w:i/>
          <w:iCs/>
        </w:rPr>
      </w:pPr>
      <w:r w:rsidRPr="000F025F">
        <w:rPr>
          <w:b/>
          <w:i/>
          <w:iCs/>
        </w:rPr>
        <w:t xml:space="preserve">Intézményközi együttműködés </w:t>
      </w:r>
    </w:p>
    <w:p w14:paraId="7594F817" w14:textId="77777777" w:rsidR="00DD31EB" w:rsidRPr="000F025F" w:rsidRDefault="00DD31EB" w:rsidP="00DD31EB">
      <w:pPr>
        <w:pStyle w:val="NormalHanging12a"/>
      </w:pPr>
      <w:r w:rsidRPr="000F025F">
        <w:t>60.</w:t>
      </w:r>
      <w:r w:rsidRPr="000F025F">
        <w:tab/>
        <w:t>üdvözli, hogy 2024-ben megújították az RB és a Parlament, valamint az Európai Bizottság közötti együttműködési megállapodásokat, amelyek megteremtik az RB erősebb intézményi részvételének alapjait az uniós jogalkotási folyamat valamennyi szakaszában olyan különböző szakpolitikákkal (például a regionális fejlesztéssel, az éghajlat-politikával és a társadalmi kohézióval) kapcsolatban, amelyek túlmutatnak azokon a szakpolitikákon, amelyekkel kapcsolatban az együttműködés hosszú múltra tekint vissza; megjegyzi, hogy ezek a megállapodások szigorúbb rendelkezéseket is tartalmaznak a területi hatásvizsgálatokkal kapcsolatos együttműködésre vonatkozóan; a kérdőív alapján megelégedéssel veszi tudomásul, hogy 2024. október 13-án az Elnökök Értekezlete találkozott a Parlament RB-vel fenntartott kapcsolatokért felelős alelnökével, hogy megvitassák az együttműködés megerősítését, többek között a közös ülések gyakorlatának ösztönzésével, különösen bizottsági és előadói szinten, az RB háromoldalú egyeztetésekbe való bevonásával és a Parlament SPAAK épületében végzett munkálatok során folytatott logisztikai együttműködéssel; megjegyzi, hogy 2024-ben az RB tagjai találkoztak a Tanáccsal és az állandó képviseletekkel is, és részt vettek a Tanács elnöksége által szervezett rendezvényeken annak biztosítása érdekében, hogy az RB álláspontjai tükröződjenek az uniós jogszabályokban;</w:t>
      </w:r>
    </w:p>
    <w:p w14:paraId="6EFE90B3" w14:textId="65CF2A8E" w:rsidR="00DD31EB" w:rsidRPr="000F025F" w:rsidRDefault="00DD31EB" w:rsidP="00DD31EB">
      <w:pPr>
        <w:pStyle w:val="NormalHanging12a"/>
      </w:pPr>
      <w:r w:rsidRPr="000F025F">
        <w:t>61.</w:t>
      </w:r>
      <w:r w:rsidRPr="000F025F">
        <w:tab/>
        <w:t xml:space="preserve">üdvözli az intézményközi együttműködés révén elért költségvetési és adminisztratív megtakarításokat, és különösen az EGSZB-vel igazgatási szinten létrehozott szoros együttműködést, amelynek keretében az RB közös helyiségeket és közös szolgálatokat használ a fordítás, az infrastruktúra, az orvosi szolgáltatások, az étkeztetés, a logisztika és az informatika területén, valamint egy közös adatvédelmi nyilvántartást, amely szerint a két intézmény 2024-ben összesen 470 alkalmazottal és több mint 68 millió EUR (ha a bérjellegű költségeket is beleszámítjuk, 140 millió EUR) költségvetéssel rendelkezik; üdvözli, hogy ezeket a megtakarításokat az RB politikai tevékenységei felé irányították át, ezáltal erősítve az RB azon képességét, hogy teljesítse megbízatását; elismeri, hogy a két intézmény együttműködéséből származó hatékonyságnövekedés és költségvetési megtakarítások </w:t>
      </w:r>
      <w:proofErr w:type="spellStart"/>
      <w:r w:rsidRPr="000F025F">
        <w:t>jelentősek</w:t>
      </w:r>
      <w:proofErr w:type="spellEnd"/>
      <w:r w:rsidRPr="000F025F">
        <w:t xml:space="preserve">, a becslések szerint évente több tízmillió </w:t>
      </w:r>
      <w:r w:rsidR="0038537B" w:rsidRPr="000F025F">
        <w:t xml:space="preserve">EUR-t </w:t>
      </w:r>
      <w:r w:rsidRPr="000F025F">
        <w:t>tesznek ki ahhoz képest, ha az egyes bizottságok függetlenül működtetnék ezeket a szolgáltatásokat; megismétli arra irányuló felhívását, hogy ezt az együttműködést a lehető legnagyobb mértékben terjesszék ki a közös szolgálatok egységes igazgatásának létrehozására, valamint az alapvető független megbízatásukért felelős szolgálatok és szervezeti egység elkülönítésére; arra bátorítja az RB-t és az EGSZB-t, hogy folytassák a további együttműködés és szinergiák kialakítására irányuló erőfeszítéseiket;</w:t>
      </w:r>
    </w:p>
    <w:p w14:paraId="37021718" w14:textId="77777777" w:rsidR="00DD31EB" w:rsidRPr="000F025F" w:rsidRDefault="00DD31EB" w:rsidP="00DD31EB">
      <w:pPr>
        <w:pStyle w:val="NormalHanging12a"/>
      </w:pPr>
      <w:r w:rsidRPr="000F025F">
        <w:t>62.</w:t>
      </w:r>
      <w:r w:rsidRPr="000F025F">
        <w:tab/>
        <w:t xml:space="preserve">üdvözli, hogy az RB szinergiák kialakítására törekszik azáltal, hogy szolgáltatásokat vásárol más intézményektől szolgáltatási szintre vonatkozó megállapodások révén, valamint részt vesz intézményközi koordinációs szervekben és intézményközi </w:t>
      </w:r>
      <w:r w:rsidRPr="000F025F">
        <w:lastRenderedPageBreak/>
        <w:t>közbeszerzési eljárásokban; megjegyzi, hogy az RB jelentős szinergiákat ért el a rendezvények és a kommunikáció terén azáltal, hogy az Európai Bizottsággal közösen megszervezte a Régiók és Városok Európai Hetét, valamint a Parlamenttel, a Tanáccsal és az Európai Bizottsággal közösen 2024-ben „</w:t>
      </w:r>
      <w:proofErr w:type="spellStart"/>
      <w:r w:rsidRPr="000F025F">
        <w:t>EuroPCom</w:t>
      </w:r>
      <w:proofErr w:type="spellEnd"/>
      <w:r w:rsidRPr="000F025F">
        <w:t xml:space="preserve">” címmel éves konferenciát szervezett a </w:t>
      </w:r>
      <w:proofErr w:type="spellStart"/>
      <w:r w:rsidRPr="000F025F">
        <w:t>közszférabeli</w:t>
      </w:r>
      <w:proofErr w:type="spellEnd"/>
      <w:r w:rsidRPr="000F025F">
        <w:t xml:space="preserve"> kommunikációs szakemberek számára; üdvözli, hogy 2024-ben az RB „regionális és helyi önkormányzati képviselők európai hálózata” kezdeményezését és az Európai Bizottság „Európa építése helyi képviselőkkel” hálózatát egyetlen, közösen irányított „uniós helyi önkormányzati képviselők hálózatává” egyesítették;</w:t>
      </w:r>
    </w:p>
    <w:p w14:paraId="663CB521" w14:textId="77777777" w:rsidR="00DD31EB" w:rsidRPr="000F025F" w:rsidRDefault="00DD31EB" w:rsidP="00DD31EB">
      <w:pPr>
        <w:pStyle w:val="NormalHanging12a"/>
      </w:pPr>
      <w:r w:rsidRPr="000F025F">
        <w:t>63.</w:t>
      </w:r>
      <w:r w:rsidRPr="000F025F">
        <w:tab/>
        <w:t>megjegyzi, hogy az RB (éves díj ellenében) együttműködik az Európai Bizottsággal a humánerőforrás-ügyek kezelésében, valamint a pénzgazdálkodásra és a humánerőforrásra szolgáló különböző informatikai platformok használatában, és hogy 2024-ben az Európai Bizottság beépítette az RB LORDIMAS elnevezésű informatikai rendszerét a városok digitális átalakulásának mérésére szolgáló kulcsfontosságú informatikai eszközként; megjegyzi, hogy az RB plenáris üléseit a Parlament és a Bizottság épületeiben tartja, hogy kompenzálja saját konferenciatermeinek kapacitáshiányát, és hogy tolmácsolási szolgáltatásokat szerez be e két intézménytől;</w:t>
      </w:r>
    </w:p>
    <w:p w14:paraId="41FDA2C8" w14:textId="77777777" w:rsidR="00DD31EB" w:rsidRPr="000F025F" w:rsidRDefault="00DD31EB" w:rsidP="000F025F">
      <w:pPr>
        <w:pStyle w:val="NormalHanging12a"/>
        <w:rPr>
          <w:b/>
          <w:i/>
        </w:rPr>
      </w:pPr>
      <w:r w:rsidRPr="000F025F">
        <w:rPr>
          <w:b/>
          <w:i/>
        </w:rPr>
        <w:t>Kommunikáció</w:t>
      </w:r>
    </w:p>
    <w:p w14:paraId="3A5AACCC" w14:textId="77777777" w:rsidR="00DD31EB" w:rsidRPr="000F025F" w:rsidRDefault="00DD31EB" w:rsidP="00DD31EB">
      <w:pPr>
        <w:pStyle w:val="NormalHanging12a"/>
      </w:pPr>
      <w:r w:rsidRPr="000F025F">
        <w:t>64.</w:t>
      </w:r>
      <w:r w:rsidRPr="000F025F">
        <w:tab/>
        <w:t xml:space="preserve">megjegyzi, hogy az RB kommunikációs tevékenységei a sajtóval való kapcsolatra, rendezvények szervezésére, valamint a digitális tartalmakra és a közösségi médiára összpontosítanak, 2024-ben (folyó évi előirányzatok) mintegy 2,3 millió EUR teljes költségvetéssel, amely mintegy 500 000 EUR-val kevesebb, mint 2023-ban; a </w:t>
      </w:r>
      <w:proofErr w:type="spellStart"/>
      <w:r w:rsidRPr="000F025F">
        <w:t>nyomonkövetési</w:t>
      </w:r>
      <w:proofErr w:type="spellEnd"/>
      <w:r w:rsidRPr="000F025F">
        <w:t xml:space="preserve"> jelentés alapján megállapítja, hogy a kommunikációs tevékenységek alulfinanszírozottsága miatt az RB az év végi átcsoportosításoktól és a C8-as előirányzatoktól függ, ami megmagyarázza a C1-es előirányzatok alacsony költségvetési végrehajtási arányát (48,20%) és a C8-as előirányzatok magas végrehajtási arányát (98,90%) 2024-ben a2 6. költségvetési jogcím („Szakértelem és […] eloszlás”) tekintetében;</w:t>
      </w:r>
    </w:p>
    <w:p w14:paraId="43A3D54B" w14:textId="5CAAFFAB" w:rsidR="00DD31EB" w:rsidRPr="000F025F" w:rsidRDefault="00DD31EB" w:rsidP="00DD31EB">
      <w:pPr>
        <w:pStyle w:val="NormalHanging12a"/>
      </w:pPr>
      <w:r w:rsidRPr="000F025F">
        <w:t>65.</w:t>
      </w:r>
      <w:r w:rsidRPr="000F025F">
        <w:tab/>
        <w:t xml:space="preserve">elégedetten veszi tudomásul az RB által az uniós politikák és programok helyi és regionális szintű előmozdítása, konzultatív munkája hatókörének javítása, valamint láthatóságának és hatásának növelése terén elért eredményeket; megjegyzi, hogy 2024-ben az RB 33 uniós helyi párbeszédet, 53 </w:t>
      </w:r>
      <w:proofErr w:type="spellStart"/>
      <w:r w:rsidRPr="000F025F">
        <w:t>EURegionsWeek</w:t>
      </w:r>
      <w:proofErr w:type="spellEnd"/>
      <w:r w:rsidRPr="000F025F">
        <w:t>-ülést és 47 rendezvényt szervezett vagy támogatott, illetve szolgált e rendezvények helyszínéül; megemlíti különösen az alábbi rendezvényeket: a Régiók és Városok 10. Európai Csúcstalálkozója, amelynek célja az Unió jövőjére vonatkozó menetrend kialakítása, több mint 7</w:t>
      </w:r>
      <w:r w:rsidR="0038537B" w:rsidRPr="000F025F">
        <w:t> </w:t>
      </w:r>
      <w:r w:rsidRPr="000F025F">
        <w:t>000 résztvevővel; – a Régiók és Városok Európai Hete a kohéziós alapokkal foglalkozik a következő többéves pénzügyi keretben, több mint 2</w:t>
      </w:r>
      <w:r w:rsidR="0038537B" w:rsidRPr="000F025F">
        <w:t> </w:t>
      </w:r>
      <w:r w:rsidRPr="000F025F">
        <w:t>500 résztvevővel; – a 11. szubszidiaritási konferencia, amelynek célja, hogy a következő többéves pénzügyi keret összefüggésében foglalkozzon a minőségi jogalkotással és a szubszidiaritással; – a fiatal választott politikusoknak szóló 2024.évi program (YEP), amelyben több mint 150-en vesznek részt valamennyi tagállamból és nyolc tagjelölt országból, valamint – a közszféra kommunikációs szakembereinek tartott 15. európai konferencia (</w:t>
      </w:r>
      <w:proofErr w:type="spellStart"/>
      <w:r w:rsidRPr="000F025F">
        <w:t>EuroPCom</w:t>
      </w:r>
      <w:proofErr w:type="spellEnd"/>
      <w:r w:rsidRPr="000F025F">
        <w:t>), amely a mesterséges intelligenciával és a nyilvános kommunikáció új tendenciáival foglalkozik, 55 országból 3</w:t>
      </w:r>
      <w:r w:rsidR="0038537B" w:rsidRPr="000F025F">
        <w:t> </w:t>
      </w:r>
      <w:r w:rsidRPr="000F025F">
        <w:t>200 résztvevővel és nézővel; megjegyzi, hogy az RB 74 alkalommal népszerűsítette munkáját és véleményeit más uniós intézményeket bevonó üléseken vagy rendezvényeken is;</w:t>
      </w:r>
    </w:p>
    <w:p w14:paraId="7F3A6726" w14:textId="77777777" w:rsidR="00DD31EB" w:rsidRPr="000F025F" w:rsidRDefault="00DD31EB" w:rsidP="00DD31EB">
      <w:pPr>
        <w:pStyle w:val="NormalHanging12a"/>
        <w:rPr>
          <w:b/>
          <w:bCs/>
          <w:i/>
          <w:iCs/>
          <w:szCs w:val="24"/>
        </w:rPr>
      </w:pPr>
      <w:r w:rsidRPr="000F025F">
        <w:lastRenderedPageBreak/>
        <w:t>66.</w:t>
      </w:r>
      <w:r w:rsidRPr="000F025F">
        <w:tab/>
        <w:t>elismerését fejezi ki az RB-</w:t>
      </w:r>
      <w:proofErr w:type="spellStart"/>
      <w:r w:rsidRPr="000F025F">
        <w:t>nek</w:t>
      </w:r>
      <w:proofErr w:type="spellEnd"/>
      <w:r w:rsidRPr="000F025F">
        <w:t xml:space="preserve"> az információi hozzáférhetőségének és archiválásának javítása érdekében az alábbiak révén tett intézkedéseiért: – valamennyi dokumentumának és kiadványának egyetlen központosított helyen történő elérhetővé tétele a Kiadóhivatal </w:t>
      </w:r>
      <w:proofErr w:type="spellStart"/>
      <w:r w:rsidRPr="000F025F">
        <w:t>widgetén</w:t>
      </w:r>
      <w:proofErr w:type="spellEnd"/>
      <w:r w:rsidRPr="000F025F">
        <w:t xml:space="preserve"> keresztül, amelyet 2024-ben vezettek be az RB külső honlapján; – a mesterséges intelligencián alapuló </w:t>
      </w:r>
      <w:proofErr w:type="spellStart"/>
      <w:r w:rsidRPr="000F025F">
        <w:t>Panoramic</w:t>
      </w:r>
      <w:proofErr w:type="spellEnd"/>
      <w:r w:rsidRPr="000F025F">
        <w:t>-AI platform bevezetése 2024-ben, amely fokozottan felhasználóbarát hozzáférést kínált az intézményi tartalmakhoz (releváns dokumentumok, prezentációk, megbeszélések); – a külső sajtóközlemények és hírek RB-s teljes archívumának a Tartalmak, Technológiák és Kommunikációs Hálózatok Főigazgatósága hírszobájába való áthelyezése, valamint – az RB archívumainak első alkalommal történő áthelyezése az Unió firenzei Történeti Irattárába;</w:t>
      </w:r>
    </w:p>
    <w:p w14:paraId="7E9412E3" w14:textId="77777777" w:rsidR="00DD31EB" w:rsidRPr="000F025F" w:rsidRDefault="00DD31EB" w:rsidP="00DD31EB">
      <w:pPr>
        <w:pStyle w:val="NormalHanging12a"/>
      </w:pPr>
      <w:r w:rsidRPr="000F025F">
        <w:t>67.</w:t>
      </w:r>
      <w:r w:rsidRPr="000F025F">
        <w:tab/>
        <w:t>a hatásvizsgálati jelentés és az éves jelentés alapján elismeri az RB hozzájárulását a Parlament 2024-es európai választásokkal kapcsolatos kommunikációs kampányához azáltal, hogy 750 fiatal választott politikusból álló hálózatot vont be, népszerűsítette a Parlament anyagait, szavazásra buzdító videókat készített az RB tagjaival, külön weboldalt hozott létre az RB honlapján, és egyéb, a közösségi médiában népszerűsített vizuális tartalmakat készített, amelyek közel 5 millió felhasználót értek el; üdvözli ezeket az erőfeszítéseket, amelyek célja az volt, hogy Unió-szerte széles és sokszínű közönséget vonjanak be, és felhívják a figyelmet a 2024-es európai választásokra; hangsúlyozza, hogy az uniós szakpolitikákkal, különösen a Parlament munkájával kapcsolatos ilyen intézményközi együttműködés elengedhetetlen a polgárok eléréséhez az Unió valamennyi régiójában, megerősítve a demokratikus részvételt és növelve az Unió demokratikus legitimitását;</w:t>
      </w:r>
    </w:p>
    <w:p w14:paraId="11A598DC" w14:textId="77777777" w:rsidR="00DD31EB" w:rsidRPr="000F025F" w:rsidRDefault="00DD31EB" w:rsidP="00DD31EB">
      <w:pPr>
        <w:pStyle w:val="NormalHanging12a"/>
      </w:pPr>
      <w:r w:rsidRPr="000F025F">
        <w:t>68.</w:t>
      </w:r>
      <w:r w:rsidRPr="000F025F">
        <w:tab/>
        <w:t>az éves jelentés alapján tudomásul veszi az RB sikerét a médiaelérések terén, amint azt a 2024-re vonatkozó átfogó mérőszámok is mutatják, például: a webes látogatók számának 28%-os növekedése, a követők számának 11,60%-os növekedése és az organikus digitális jelenlét 16%-os növekedése;</w:t>
      </w:r>
    </w:p>
    <w:p w14:paraId="18E5F648" w14:textId="77777777" w:rsidR="00DD31EB" w:rsidRPr="000F025F" w:rsidRDefault="00DD31EB" w:rsidP="00DD31EB">
      <w:pPr>
        <w:pStyle w:val="NormalHanging12a"/>
      </w:pPr>
      <w:r w:rsidRPr="000F025F">
        <w:t>69.</w:t>
      </w:r>
      <w:r w:rsidRPr="000F025F">
        <w:tab/>
        <w:t>megjegyzi, hogy az RB 2024-ben nem vett részt a Roma Hét rendezvényén;</w:t>
      </w:r>
    </w:p>
    <w:p w14:paraId="4925F123" w14:textId="5A666BE2" w:rsidR="00C60DD0" w:rsidRPr="00C60DD0" w:rsidRDefault="00DD31EB" w:rsidP="00C60DD0">
      <w:pPr>
        <w:pStyle w:val="NormalHanging12a"/>
      </w:pPr>
      <w:r w:rsidRPr="000F025F">
        <w:t>70.</w:t>
      </w:r>
      <w:r w:rsidRPr="000F025F">
        <w:tab/>
        <w:t>kiemeli, hogy végső soron az RB kommunikációs stratégiájának az a célja, hogy megerősítse intézményi láthatóságát és politikai tekintélyét az uniós régiók, városok és települések képviseleti szerveként, és bemutassa tagjainak szerepét az uniós szakpolitikák polgárokkal való helyi és regionális szintű összekapcsolásában.</w:t>
      </w:r>
    </w:p>
    <w:p w14:paraId="67E25464" w14:textId="764A4A19" w:rsidR="00E365E1" w:rsidRPr="00C60DD0" w:rsidRDefault="00E365E1" w:rsidP="009C1446"/>
    <w:sectPr w:rsidR="00E365E1" w:rsidRPr="00C60DD0" w:rsidSect="00C60DD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B4DAB" w14:textId="77777777" w:rsidR="009C1446" w:rsidRPr="00C60DD0" w:rsidRDefault="009C1446">
      <w:r w:rsidRPr="00C60DD0">
        <w:separator/>
      </w:r>
    </w:p>
  </w:endnote>
  <w:endnote w:type="continuationSeparator" w:id="0">
    <w:p w14:paraId="58E1F7B4" w14:textId="77777777" w:rsidR="009C1446" w:rsidRPr="00C60DD0" w:rsidRDefault="009C1446">
      <w:r w:rsidRPr="00C60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5F77" w14:textId="77777777" w:rsidR="00DD31EB" w:rsidRPr="00C60DD0" w:rsidRDefault="00DD31EB" w:rsidP="007C021D">
    <w:pPr>
      <w:pStyle w:val="EPFooter"/>
    </w:pPr>
    <w:r w:rsidRPr="00C60DD0">
      <w:t>PE</w:t>
    </w:r>
    <w:r w:rsidRPr="00C60DD0">
      <w:rPr>
        <w:rStyle w:val="HideTWBExt"/>
      </w:rPr>
      <w:t>&lt;</w:t>
    </w:r>
    <w:proofErr w:type="spellStart"/>
    <w:r w:rsidRPr="00C60DD0">
      <w:rPr>
        <w:rStyle w:val="HideTWBExt"/>
      </w:rPr>
      <w:t>NoPE</w:t>
    </w:r>
    <w:proofErr w:type="spellEnd"/>
    <w:r w:rsidRPr="00C60DD0">
      <w:rPr>
        <w:rStyle w:val="HideTWBExt"/>
      </w:rPr>
      <w:t>&gt;</w:t>
    </w:r>
    <w:r w:rsidRPr="00C60DD0">
      <w:t>778.064</w:t>
    </w:r>
    <w:r w:rsidRPr="00C60DD0">
      <w:rPr>
        <w:rStyle w:val="HideTWBExt"/>
      </w:rPr>
      <w:t>&lt;/</w:t>
    </w:r>
    <w:proofErr w:type="spellStart"/>
    <w:r w:rsidRPr="00C60DD0">
      <w:rPr>
        <w:rStyle w:val="HideTWBExt"/>
      </w:rPr>
      <w:t>NoPE</w:t>
    </w:r>
    <w:proofErr w:type="spellEnd"/>
    <w:r w:rsidRPr="00C60DD0">
      <w:rPr>
        <w:rStyle w:val="HideTWBExt"/>
      </w:rPr>
      <w:t>&gt;&lt;Version&gt;</w:t>
    </w:r>
    <w:r w:rsidRPr="00C60DD0">
      <w:t>v02-00</w:t>
    </w:r>
    <w:r w:rsidRPr="00C60DD0">
      <w:rPr>
        <w:rStyle w:val="HideTWBExt"/>
      </w:rPr>
      <w:t>&lt;/Version&gt;</w:t>
    </w:r>
    <w:r w:rsidRPr="00C60DD0">
      <w:tab/>
    </w:r>
    <w:r w:rsidRPr="00C60DD0">
      <w:fldChar w:fldCharType="begin"/>
    </w:r>
    <w:r w:rsidRPr="00C60DD0">
      <w:instrText xml:space="preserve"> PAGE  \* MERGEFORMAT </w:instrText>
    </w:r>
    <w:r w:rsidRPr="00C60DD0">
      <w:fldChar w:fldCharType="separate"/>
    </w:r>
    <w:r w:rsidRPr="00C60DD0">
      <w:rPr>
        <w:noProof/>
      </w:rPr>
      <w:t>1</w:t>
    </w:r>
    <w:r w:rsidRPr="00C60DD0">
      <w:fldChar w:fldCharType="end"/>
    </w:r>
    <w:r w:rsidRPr="00C60DD0">
      <w:t>/</w:t>
    </w:r>
    <w:fldSimple w:instr=" NUMPAGES  \* MERGEFORMAT ">
      <w:r w:rsidRPr="00C60DD0">
        <w:rPr>
          <w:noProof/>
        </w:rPr>
        <w:t>1</w:t>
      </w:r>
    </w:fldSimple>
    <w:r w:rsidRPr="00C60DD0">
      <w:tab/>
    </w:r>
    <w:r w:rsidRPr="00C60DD0">
      <w:rPr>
        <w:rStyle w:val="HideTWBExt"/>
      </w:rPr>
      <w:t>&lt;PathFdR&gt;</w:t>
    </w:r>
    <w:r w:rsidRPr="00C60DD0">
      <w:t>RR\1339441HU.docx</w:t>
    </w:r>
    <w:r w:rsidRPr="00C60DD0">
      <w:rPr>
        <w:rStyle w:val="HideTWBExt"/>
      </w:rPr>
      <w:t>&lt;/</w:t>
    </w:r>
    <w:proofErr w:type="spellStart"/>
    <w:r w:rsidRPr="00C60DD0">
      <w:rPr>
        <w:rStyle w:val="HideTWBExt"/>
      </w:rPr>
      <w:t>PathFdR</w:t>
    </w:r>
    <w:proofErr w:type="spellEnd"/>
    <w:r w:rsidRPr="00C60DD0">
      <w:rPr>
        <w:rStyle w:val="HideTWBExt"/>
      </w:rPr>
      <w:t>&gt;</w:t>
    </w:r>
  </w:p>
  <w:p w14:paraId="3A7E10F4" w14:textId="77777777" w:rsidR="00DD31EB" w:rsidRPr="00C60DD0" w:rsidRDefault="00DD31EB" w:rsidP="007C021D">
    <w:pPr>
      <w:pStyle w:val="EPFooter2"/>
    </w:pPr>
    <w:r w:rsidRPr="00C60DD0">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B0C3" w14:textId="77777777" w:rsidR="00DD31EB" w:rsidRPr="00C60DD0" w:rsidRDefault="00DD31EB" w:rsidP="007C021D">
    <w:pPr>
      <w:pStyle w:val="EPFooter"/>
    </w:pPr>
    <w:r w:rsidRPr="00C60DD0">
      <w:rPr>
        <w:rStyle w:val="HideTWBExt"/>
      </w:rPr>
      <w:t>&lt;PathFdR&gt;</w:t>
    </w:r>
    <w:r w:rsidRPr="00C60DD0">
      <w:t>RR\1339441HU.docx</w:t>
    </w:r>
    <w:r w:rsidRPr="00C60DD0">
      <w:rPr>
        <w:rStyle w:val="HideTWBExt"/>
      </w:rPr>
      <w:t>&lt;/</w:t>
    </w:r>
    <w:proofErr w:type="spellStart"/>
    <w:r w:rsidRPr="00C60DD0">
      <w:rPr>
        <w:rStyle w:val="HideTWBExt"/>
      </w:rPr>
      <w:t>PathFdR</w:t>
    </w:r>
    <w:proofErr w:type="spellEnd"/>
    <w:r w:rsidRPr="00C60DD0">
      <w:rPr>
        <w:rStyle w:val="HideTWBExt"/>
      </w:rPr>
      <w:t>&gt;</w:t>
    </w:r>
    <w:r w:rsidRPr="00C60DD0">
      <w:tab/>
    </w:r>
    <w:r w:rsidRPr="00C60DD0">
      <w:tab/>
      <w:t>PE</w:t>
    </w:r>
    <w:r w:rsidRPr="00C60DD0">
      <w:rPr>
        <w:rStyle w:val="HideTWBExt"/>
      </w:rPr>
      <w:t>&lt;</w:t>
    </w:r>
    <w:proofErr w:type="spellStart"/>
    <w:r w:rsidRPr="00C60DD0">
      <w:rPr>
        <w:rStyle w:val="HideTWBExt"/>
      </w:rPr>
      <w:t>NoPE</w:t>
    </w:r>
    <w:proofErr w:type="spellEnd"/>
    <w:r w:rsidRPr="00C60DD0">
      <w:rPr>
        <w:rStyle w:val="HideTWBExt"/>
      </w:rPr>
      <w:t>&gt;</w:t>
    </w:r>
    <w:r w:rsidRPr="00C60DD0">
      <w:t>778.064</w:t>
    </w:r>
    <w:r w:rsidRPr="00C60DD0">
      <w:rPr>
        <w:rStyle w:val="HideTWBExt"/>
      </w:rPr>
      <w:t>&lt;/</w:t>
    </w:r>
    <w:proofErr w:type="spellStart"/>
    <w:r w:rsidRPr="00C60DD0">
      <w:rPr>
        <w:rStyle w:val="HideTWBExt"/>
      </w:rPr>
      <w:t>NoPE</w:t>
    </w:r>
    <w:proofErr w:type="spellEnd"/>
    <w:r w:rsidRPr="00C60DD0">
      <w:rPr>
        <w:rStyle w:val="HideTWBExt"/>
      </w:rPr>
      <w:t>&gt;&lt;Version&gt;</w:t>
    </w:r>
    <w:r w:rsidRPr="00C60DD0">
      <w:t>v02-00</w:t>
    </w:r>
    <w:r w:rsidRPr="00C60DD0">
      <w:rPr>
        <w:rStyle w:val="HideTWBExt"/>
      </w:rPr>
      <w:t>&lt;/Version&gt;</w:t>
    </w:r>
  </w:p>
  <w:p w14:paraId="3AD0FF4F" w14:textId="77777777" w:rsidR="00DD31EB" w:rsidRPr="00C60DD0" w:rsidRDefault="00DD31EB" w:rsidP="007C021D">
    <w:pPr>
      <w:pStyle w:val="EPFooter2"/>
    </w:pPr>
    <w:r w:rsidRPr="00C60DD0">
      <w:t>HU</w:t>
    </w:r>
    <w:r w:rsidRPr="00C60DD0">
      <w:tab/>
    </w:r>
    <w:r w:rsidRPr="00C60DD0">
      <w:rPr>
        <w:b w:val="0"/>
        <w:i/>
        <w:color w:val="C0C0C0"/>
        <w:sz w:val="22"/>
      </w:rPr>
      <w:t>Egyesülve a sokféleségben</w:t>
    </w:r>
    <w:r w:rsidRPr="00C60DD0">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11DF" w14:textId="77777777" w:rsidR="00064002" w:rsidRPr="00C60DD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0DACC" w14:textId="77777777" w:rsidR="00064002" w:rsidRPr="00C60DD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95C5" w14:textId="77777777" w:rsidR="00064002" w:rsidRPr="00C60D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63A3B" w14:textId="77777777" w:rsidR="009C1446" w:rsidRPr="00C60DD0" w:rsidRDefault="009C1446">
      <w:r w:rsidRPr="00C60DD0">
        <w:separator/>
      </w:r>
    </w:p>
  </w:footnote>
  <w:footnote w:type="continuationSeparator" w:id="0">
    <w:p w14:paraId="52186C74" w14:textId="77777777" w:rsidR="009C1446" w:rsidRPr="00C60DD0" w:rsidRDefault="009C1446">
      <w:r w:rsidRPr="00C60DD0">
        <w:continuationSeparator/>
      </w:r>
    </w:p>
  </w:footnote>
  <w:footnote w:id="1">
    <w:p w14:paraId="60834FB0" w14:textId="386983FC"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HL L</w:t>
      </w:r>
      <w:r w:rsidR="00FA5FCB">
        <w:rPr>
          <w:sz w:val="24"/>
          <w:lang w:val="hu-HU"/>
        </w:rPr>
        <w:t>,</w:t>
      </w:r>
      <w:r w:rsidRPr="00C60DD0">
        <w:rPr>
          <w:sz w:val="24"/>
          <w:lang w:val="hu-HU"/>
        </w:rPr>
        <w:t> </w:t>
      </w:r>
      <w:r w:rsidR="00444493">
        <w:rPr>
          <w:sz w:val="24"/>
          <w:lang w:val="hu-HU"/>
        </w:rPr>
        <w:t>2024/</w:t>
      </w:r>
      <w:r w:rsidRPr="00C60DD0">
        <w:rPr>
          <w:sz w:val="24"/>
          <w:lang w:val="hu-HU"/>
        </w:rPr>
        <w:t xml:space="preserve">207, 2024.2.22., ELI: </w:t>
      </w:r>
      <w:hyperlink r:id="rId1" w:history="1">
        <w:r w:rsidRPr="00C60DD0">
          <w:rPr>
            <w:rStyle w:val="Hyperlink"/>
            <w:sz w:val="24"/>
            <w:lang w:val="hu-HU"/>
          </w:rPr>
          <w:t>http://data.europa.eu/eli/budget/2024/207/oj</w:t>
        </w:r>
      </w:hyperlink>
      <w:r w:rsidRPr="00C60DD0">
        <w:rPr>
          <w:sz w:val="24"/>
          <w:lang w:val="hu-HU"/>
        </w:rPr>
        <w:t>.</w:t>
      </w:r>
    </w:p>
  </w:footnote>
  <w:footnote w:id="2">
    <w:p w14:paraId="2894FFF6" w14:textId="64F85694"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HL C, C/2025/4944, 2025.10.13., ELI: </w:t>
      </w:r>
      <w:hyperlink r:id="rId2" w:tgtFrame="_blank" w:tooltip="Hozzáférést nyújt ehhez a dokumentumhoz annak ELI URI-jén keresztül." w:history="1">
        <w:r w:rsidRPr="00C60DD0">
          <w:rPr>
            <w:rStyle w:val="Hyperlink"/>
            <w:sz w:val="24"/>
            <w:lang w:val="hu-HU"/>
          </w:rPr>
          <w:t>http://data.europa.eu/eli/C/2025/4944/oj</w:t>
        </w:r>
      </w:hyperlink>
      <w:r w:rsidRPr="00C60DD0">
        <w:rPr>
          <w:sz w:val="24"/>
          <w:lang w:val="hu-HU"/>
        </w:rPr>
        <w:t>.</w:t>
      </w:r>
    </w:p>
  </w:footnote>
  <w:footnote w:id="3">
    <w:p w14:paraId="772C3EDB" w14:textId="7377F06F"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HL C, C/2025/5409, 2025.10.8., ELI: </w:t>
      </w:r>
      <w:hyperlink r:id="rId3" w:history="1">
        <w:r w:rsidRPr="00C60DD0">
          <w:rPr>
            <w:rStyle w:val="Hyperlink"/>
            <w:sz w:val="24"/>
            <w:lang w:val="hu-HU"/>
          </w:rPr>
          <w:t>http://data.europa.eu/eli/C/2025/5409/oj</w:t>
        </w:r>
      </w:hyperlink>
      <w:r w:rsidRPr="00C60DD0">
        <w:rPr>
          <w:sz w:val="24"/>
          <w:lang w:val="hu-HU"/>
        </w:rPr>
        <w:t>.</w:t>
      </w:r>
    </w:p>
  </w:footnote>
  <w:footnote w:id="4">
    <w:p w14:paraId="77744420" w14:textId="1DD11373"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HL C, C/2025/5407, 2025.10.13., ELI: </w:t>
      </w:r>
      <w:hyperlink r:id="rId4" w:history="1">
        <w:r w:rsidRPr="00C60DD0">
          <w:rPr>
            <w:rStyle w:val="Hyperlink"/>
            <w:sz w:val="24"/>
            <w:lang w:val="hu-HU"/>
          </w:rPr>
          <w:t>http://data.europa.eu/eli/C/2025/5407/oj</w:t>
        </w:r>
      </w:hyperlink>
      <w:r w:rsidRPr="00C60DD0">
        <w:rPr>
          <w:sz w:val="24"/>
          <w:lang w:val="hu-HU"/>
        </w:rPr>
        <w:t xml:space="preserve">. </w:t>
      </w:r>
    </w:p>
  </w:footnote>
  <w:footnote w:id="5">
    <w:p w14:paraId="42668778" w14:textId="58266735"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HL L 193., 2018.7.30., 1. o., ELI: </w:t>
      </w:r>
      <w:hyperlink r:id="rId5" w:history="1">
        <w:r w:rsidRPr="00C60DD0">
          <w:rPr>
            <w:rStyle w:val="Hyperlink"/>
            <w:sz w:val="24"/>
            <w:lang w:val="hu-HU"/>
          </w:rPr>
          <w:t>http://data.europa.eu/eli/reg/2018/1046/oj</w:t>
        </w:r>
      </w:hyperlink>
      <w:r w:rsidRPr="00C60DD0">
        <w:rPr>
          <w:sz w:val="24"/>
          <w:lang w:val="hu-HU"/>
        </w:rPr>
        <w:t>.</w:t>
      </w:r>
    </w:p>
  </w:footnote>
  <w:footnote w:id="6">
    <w:p w14:paraId="7267EC92" w14:textId="709BCC45"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HL L, 2024/2509, 2024.9.26., ELI: </w:t>
      </w:r>
      <w:hyperlink r:id="rId6" w:history="1">
        <w:r w:rsidRPr="00C60DD0">
          <w:rPr>
            <w:rStyle w:val="Hyperlink"/>
            <w:sz w:val="24"/>
            <w:lang w:val="hu-HU"/>
          </w:rPr>
          <w:t>http://data.europa.eu/eli/reg/2024/2509/oj</w:t>
        </w:r>
      </w:hyperlink>
      <w:r w:rsidRPr="00C60DD0">
        <w:rPr>
          <w:sz w:val="24"/>
          <w:lang w:val="hu-HU"/>
        </w:rPr>
        <w:t>.</w:t>
      </w:r>
    </w:p>
  </w:footnote>
  <w:footnote w:id="7">
    <w:p w14:paraId="17EB7F0C" w14:textId="08E1A411"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A Régiók Európai Bizottsága állásfoglalása – „A Régiók Európai Bizottsága prioritásai a 2020–2025 közötti időszakra – A polgáraihoz falvain, városain és régióin keresztül közelebb álló Európa” (HL C 324., 2020.10.1., 8. o.).</w:t>
      </w:r>
    </w:p>
  </w:footnote>
  <w:footnote w:id="8">
    <w:p w14:paraId="7F53169D" w14:textId="1A5F4E3B"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Az Európai Parlament és a Tanács (EU) 2021/1060 rendelete (2021. június 24.) az Európai Regionális Fejlesztési Alapra, az Európai Szociális Alap Pluszra, a Kohéziós Alapra, az Igazságos Átmenet Alapra és az Európai Tengerügyi, Halászati és </w:t>
      </w:r>
      <w:proofErr w:type="spellStart"/>
      <w:r w:rsidRPr="00C60DD0">
        <w:rPr>
          <w:sz w:val="24"/>
          <w:lang w:val="hu-HU"/>
        </w:rPr>
        <w:t>Akvakultúra</w:t>
      </w:r>
      <w:proofErr w:type="spellEnd"/>
      <w:r w:rsidRPr="00C60DD0">
        <w:rPr>
          <w:sz w:val="24"/>
          <w:lang w:val="hu-HU"/>
        </w:rPr>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(HL L 231., 2021.6.30., 159. o., ELI: </w:t>
      </w:r>
      <w:hyperlink r:id="rId7" w:tooltip="Hozzáférést nyújt ehhez a dokumentumhoz annak ELI URI-jén keresztül." w:history="1">
        <w:r w:rsidRPr="00C60DD0">
          <w:rPr>
            <w:rStyle w:val="Hyperlink"/>
            <w:sz w:val="24"/>
            <w:lang w:val="hu-HU"/>
          </w:rPr>
          <w:t>http://data.europa.eu/eli/reg/2021/1060/oj</w:t>
        </w:r>
      </w:hyperlink>
      <w:r w:rsidRPr="00C60DD0">
        <w:rPr>
          <w:sz w:val="24"/>
          <w:lang w:val="hu-HU"/>
        </w:rPr>
        <w:t>).</w:t>
      </w:r>
    </w:p>
  </w:footnote>
  <w:footnote w:id="9">
    <w:p w14:paraId="31977C19" w14:textId="773E5E7D" w:rsidR="00DD31EB" w:rsidRPr="00C60DD0" w:rsidRDefault="00DD31EB" w:rsidP="00C60DD0">
      <w:pPr>
        <w:pStyle w:val="FootnoteText"/>
        <w:ind w:left="567" w:hanging="567"/>
        <w:rPr>
          <w:sz w:val="24"/>
          <w:szCs w:val="16"/>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Az Európai Parlament és a Tanács (EU) 2021/241 rendelete (2021. február 12.) a Helyreállítási és </w:t>
      </w:r>
      <w:proofErr w:type="spellStart"/>
      <w:r w:rsidRPr="00C60DD0">
        <w:rPr>
          <w:sz w:val="24"/>
          <w:lang w:val="hu-HU"/>
        </w:rPr>
        <w:t>Rezilienciaépítési</w:t>
      </w:r>
      <w:proofErr w:type="spellEnd"/>
      <w:r w:rsidRPr="00C60DD0">
        <w:rPr>
          <w:sz w:val="24"/>
          <w:lang w:val="hu-HU"/>
        </w:rPr>
        <w:t xml:space="preserve"> Eszköz létrehozásáról (HL L 57., 2021.2.18., 17. o., </w:t>
      </w:r>
      <w:r w:rsidRPr="00C60DD0">
        <w:rPr>
          <w:color w:val="333333"/>
          <w:sz w:val="24"/>
          <w:shd w:val="clear" w:color="auto" w:fill="FFFFFF"/>
          <w:lang w:val="hu-HU"/>
        </w:rPr>
        <w:t>ELI:  </w:t>
      </w:r>
      <w:hyperlink r:id="rId8" w:tooltip="Hozzáférést nyújt ehhez a dokumentumhoz annak ELI URI-jén keresztül." w:history="1">
        <w:r w:rsidRPr="00C60DD0">
          <w:rPr>
            <w:rStyle w:val="Hyperlink"/>
            <w:sz w:val="24"/>
            <w:shd w:val="clear" w:color="auto" w:fill="FFFFFF"/>
            <w:lang w:val="hu-HU"/>
          </w:rPr>
          <w:t>http://data.europa.eu/eli/reg/2021/241/oj</w:t>
        </w:r>
      </w:hyperlink>
      <w:r w:rsidRPr="00C60DD0">
        <w:rPr>
          <w:sz w:val="24"/>
          <w:lang w:val="hu-HU"/>
        </w:rPr>
        <w:t>).</w:t>
      </w:r>
    </w:p>
  </w:footnote>
  <w:footnote w:id="10">
    <w:p w14:paraId="1B8096B0" w14:textId="74FF817E"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Az Európai Parlament és a Tanács (EU) 2024/1991 rendelete (2024. június 24.) a természet helyreállításáról és az (EU) 2022/869 rendelet módosításáról (HL L, 2024/1991, 2024.7.29., ELI: </w:t>
      </w:r>
      <w:hyperlink r:id="rId9" w:tooltip="Hozzáférést nyújt ehhez a dokumentumhoz annak ELI URI-jén keresztül." w:history="1">
        <w:r w:rsidRPr="00C60DD0">
          <w:rPr>
            <w:rStyle w:val="Hyperlink"/>
            <w:sz w:val="24"/>
            <w:lang w:val="hu-HU"/>
          </w:rPr>
          <w:t>http://data.europa.eu/eli/reg/2024/1991/oj</w:t>
        </w:r>
      </w:hyperlink>
      <w:r w:rsidRPr="00C60DD0">
        <w:rPr>
          <w:sz w:val="24"/>
          <w:lang w:val="hu-HU"/>
        </w:rPr>
        <w:t>).</w:t>
      </w:r>
    </w:p>
  </w:footnote>
  <w:footnote w:id="11">
    <w:p w14:paraId="2F219BFB" w14:textId="6C06D105"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Az Európai Parlament és a Tanács (EU) 2025/327 rendelete (2025. február 11.) az európai egészségügyi adattérről, valamint a 2011/24/EU irányelv és az (EU) 2024/2847 rendelet módosításáról (HL L, 2025/327, 2025.3.5., ELI:</w:t>
      </w:r>
      <w:r w:rsidRPr="00C60DD0">
        <w:rPr>
          <w:color w:val="333333"/>
          <w:sz w:val="24"/>
          <w:shd w:val="clear" w:color="auto" w:fill="FFFFFF"/>
          <w:lang w:val="hu-HU"/>
        </w:rPr>
        <w:t xml:space="preserve"> </w:t>
      </w:r>
      <w:hyperlink r:id="rId10" w:tooltip="Hozzáférést nyújt ehhez a dokumentumhoz annak ELI URI-jén keresztül." w:history="1">
        <w:r w:rsidRPr="00C60DD0">
          <w:rPr>
            <w:rStyle w:val="Hyperlink"/>
            <w:sz w:val="24"/>
            <w:lang w:val="hu-HU"/>
          </w:rPr>
          <w:t>http://data.europa.eu/eli/reg/2025/327/oj</w:t>
        </w:r>
      </w:hyperlink>
      <w:r w:rsidRPr="00C60DD0">
        <w:rPr>
          <w:sz w:val="24"/>
          <w:lang w:val="hu-HU"/>
        </w:rPr>
        <w:t xml:space="preserve">). </w:t>
      </w:r>
    </w:p>
  </w:footnote>
  <w:footnote w:id="12">
    <w:p w14:paraId="3769AEF2" w14:textId="404DA07F"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2024.7.12., ELI: </w:t>
      </w:r>
      <w:hyperlink r:id="rId11" w:tgtFrame="_blank" w:tooltip="Hozzáférést nyújt ehhez a dokumentumhoz annak ELI URI-jén keresztül." w:history="1">
        <w:r w:rsidRPr="00C60DD0">
          <w:rPr>
            <w:rStyle w:val="Hyperlink"/>
            <w:sz w:val="24"/>
            <w:lang w:val="hu-HU"/>
          </w:rPr>
          <w:t>http://data.europa.eu/eli/reg/2024/1689/oj</w:t>
        </w:r>
      </w:hyperlink>
      <w:r w:rsidRPr="00C60DD0">
        <w:rPr>
          <w:sz w:val="24"/>
          <w:lang w:val="hu-HU"/>
        </w:rPr>
        <w:t>).</w:t>
      </w:r>
    </w:p>
  </w:footnote>
  <w:footnote w:id="13">
    <w:p w14:paraId="6C694DAE" w14:textId="69282DF6" w:rsidR="00DD31EB" w:rsidRPr="00C60DD0" w:rsidRDefault="00DD31EB" w:rsidP="00C60DD0">
      <w:pPr>
        <w:pStyle w:val="FootnoteText"/>
        <w:ind w:left="567" w:hanging="567"/>
        <w:rPr>
          <w:sz w:val="24"/>
          <w:lang w:val="hu-HU"/>
        </w:rPr>
      </w:pPr>
      <w:r w:rsidRPr="00C60DD0">
        <w:rPr>
          <w:rStyle w:val="FootnoteReference"/>
          <w:sz w:val="24"/>
          <w:lang w:val="hu-HU"/>
        </w:rPr>
        <w:footnoteRef/>
      </w:r>
      <w:r w:rsidR="00C60DD0" w:rsidRPr="00C60DD0">
        <w:rPr>
          <w:sz w:val="24"/>
          <w:lang w:val="hu-HU"/>
        </w:rPr>
        <w:t xml:space="preserve"> </w:t>
      </w:r>
      <w:r w:rsidR="00C60DD0" w:rsidRPr="00C60DD0">
        <w:rPr>
          <w:sz w:val="24"/>
          <w:lang w:val="hu-HU"/>
        </w:rPr>
        <w:tab/>
      </w:r>
      <w:r w:rsidRPr="00C60DD0">
        <w:rPr>
          <w:sz w:val="24"/>
          <w:lang w:val="hu-HU"/>
        </w:rPr>
        <w:t xml:space="preserve">Az Európai Parlament és a Tanács (EU, Euratom) 2023/2841 rendelete (2023. december 13.) az uniós intézmények, szervek, hivatalok és ügynökségek egységesen magas szintű </w:t>
      </w:r>
      <w:proofErr w:type="spellStart"/>
      <w:r w:rsidRPr="00C60DD0">
        <w:rPr>
          <w:sz w:val="24"/>
          <w:lang w:val="hu-HU"/>
        </w:rPr>
        <w:t>kiberbiztonságát</w:t>
      </w:r>
      <w:proofErr w:type="spellEnd"/>
      <w:r w:rsidRPr="00C60DD0">
        <w:rPr>
          <w:sz w:val="24"/>
          <w:lang w:val="hu-HU"/>
        </w:rPr>
        <w:t xml:space="preserve"> biztosító intézkedések meghatározásáról (</w:t>
      </w:r>
      <w:r w:rsidR="0038537B">
        <w:rPr>
          <w:sz w:val="24"/>
          <w:lang w:val="hu-HU"/>
        </w:rPr>
        <w:t>HL</w:t>
      </w:r>
      <w:r w:rsidR="0038537B" w:rsidRPr="00C60DD0">
        <w:rPr>
          <w:sz w:val="24"/>
          <w:lang w:val="hu-HU"/>
        </w:rPr>
        <w:t xml:space="preserve"> </w:t>
      </w:r>
      <w:r w:rsidRPr="00C60DD0">
        <w:rPr>
          <w:sz w:val="24"/>
          <w:lang w:val="hu-HU"/>
        </w:rPr>
        <w:t>L, 2023/2841, 2023</w:t>
      </w:r>
      <w:r w:rsidR="0038537B">
        <w:rPr>
          <w:sz w:val="24"/>
          <w:lang w:val="hu-HU"/>
        </w:rPr>
        <w:t>.12.18.</w:t>
      </w:r>
      <w:r w:rsidRPr="00C60DD0">
        <w:rPr>
          <w:sz w:val="24"/>
          <w:lang w:val="hu-HU"/>
        </w:rPr>
        <w:t xml:space="preserve">, ELI: </w:t>
      </w:r>
      <w:hyperlink r:id="rId12" w:history="1">
        <w:r w:rsidRPr="00C60DD0">
          <w:rPr>
            <w:rStyle w:val="Hyperlink"/>
            <w:sz w:val="24"/>
            <w:lang w:val="hu-HU"/>
          </w:rPr>
          <w:t>http://data.europa.eu/eli/reg/2023/2841/oj</w:t>
        </w:r>
      </w:hyperlink>
      <w:r w:rsidRPr="00C60DD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55FB" w14:textId="77777777" w:rsidR="00064002" w:rsidRPr="00C60D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BB3B" w14:textId="77777777" w:rsidR="00064002" w:rsidRPr="00C60D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CEAA" w14:textId="77777777" w:rsidR="00064002" w:rsidRPr="00C60D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0806082">
    <w:abstractNumId w:val="9"/>
  </w:num>
  <w:num w:numId="2" w16cid:durableId="1571497682">
    <w:abstractNumId w:val="9"/>
  </w:num>
  <w:num w:numId="3" w16cid:durableId="2113544414">
    <w:abstractNumId w:val="7"/>
  </w:num>
  <w:num w:numId="4" w16cid:durableId="1467895782">
    <w:abstractNumId w:val="7"/>
  </w:num>
  <w:num w:numId="5" w16cid:durableId="1790933093">
    <w:abstractNumId w:val="6"/>
  </w:num>
  <w:num w:numId="6" w16cid:durableId="785738000">
    <w:abstractNumId w:val="6"/>
  </w:num>
  <w:num w:numId="7" w16cid:durableId="727730111">
    <w:abstractNumId w:val="5"/>
  </w:num>
  <w:num w:numId="8" w16cid:durableId="1116171620">
    <w:abstractNumId w:val="5"/>
  </w:num>
  <w:num w:numId="9" w16cid:durableId="1035734437">
    <w:abstractNumId w:val="4"/>
  </w:num>
  <w:num w:numId="10" w16cid:durableId="580530154">
    <w:abstractNumId w:val="4"/>
  </w:num>
  <w:num w:numId="11" w16cid:durableId="1214389474">
    <w:abstractNumId w:val="8"/>
  </w:num>
  <w:num w:numId="12" w16cid:durableId="474177364">
    <w:abstractNumId w:val="8"/>
  </w:num>
  <w:num w:numId="13" w16cid:durableId="527180825">
    <w:abstractNumId w:val="3"/>
  </w:num>
  <w:num w:numId="14" w16cid:durableId="1771315703">
    <w:abstractNumId w:val="3"/>
  </w:num>
  <w:num w:numId="15" w16cid:durableId="1278024043">
    <w:abstractNumId w:val="2"/>
  </w:num>
  <w:num w:numId="16" w16cid:durableId="507184668">
    <w:abstractNumId w:val="2"/>
  </w:num>
  <w:num w:numId="17" w16cid:durableId="1563561519">
    <w:abstractNumId w:val="1"/>
  </w:num>
  <w:num w:numId="18" w16cid:durableId="1803964322">
    <w:abstractNumId w:val="1"/>
  </w:num>
  <w:num w:numId="19" w16cid:durableId="1005283598">
    <w:abstractNumId w:val="0"/>
  </w:num>
  <w:num w:numId="20" w16cid:durableId="2008941900">
    <w:abstractNumId w:val="0"/>
  </w:num>
  <w:num w:numId="21" w16cid:durableId="1974015942">
    <w:abstractNumId w:val="9"/>
  </w:num>
  <w:num w:numId="22" w16cid:durableId="254553843">
    <w:abstractNumId w:val="7"/>
  </w:num>
  <w:num w:numId="23" w16cid:durableId="1161577996">
    <w:abstractNumId w:val="6"/>
  </w:num>
  <w:num w:numId="24" w16cid:durableId="423303093">
    <w:abstractNumId w:val="5"/>
  </w:num>
  <w:num w:numId="25" w16cid:durableId="1791557809">
    <w:abstractNumId w:val="4"/>
  </w:num>
  <w:num w:numId="26" w16cid:durableId="1160385368">
    <w:abstractNumId w:val="8"/>
  </w:num>
  <w:num w:numId="27" w16cid:durableId="1560821057">
    <w:abstractNumId w:val="3"/>
  </w:num>
  <w:num w:numId="28" w16cid:durableId="809058751">
    <w:abstractNumId w:val="2"/>
  </w:num>
  <w:num w:numId="29" w16cid:durableId="903682571">
    <w:abstractNumId w:val="1"/>
  </w:num>
  <w:num w:numId="30" w16cid:durableId="992412255">
    <w:abstractNumId w:val="0"/>
  </w:num>
  <w:num w:numId="31" w16cid:durableId="1271620638">
    <w:abstractNumId w:val="9"/>
  </w:num>
  <w:num w:numId="32" w16cid:durableId="1126505838">
    <w:abstractNumId w:val="7"/>
  </w:num>
  <w:num w:numId="33" w16cid:durableId="1757483939">
    <w:abstractNumId w:val="6"/>
  </w:num>
  <w:num w:numId="34" w16cid:durableId="1539733271">
    <w:abstractNumId w:val="5"/>
  </w:num>
  <w:num w:numId="35" w16cid:durableId="1245529959">
    <w:abstractNumId w:val="4"/>
  </w:num>
  <w:num w:numId="36" w16cid:durableId="775833997">
    <w:abstractNumId w:val="8"/>
  </w:num>
  <w:num w:numId="37" w16cid:durableId="641009035">
    <w:abstractNumId w:val="3"/>
  </w:num>
  <w:num w:numId="38" w16cid:durableId="767238543">
    <w:abstractNumId w:val="2"/>
  </w:num>
  <w:num w:numId="39" w16cid:durableId="1274095179">
    <w:abstractNumId w:val="1"/>
  </w:num>
  <w:num w:numId="40" w16cid:durableId="62680456">
    <w:abstractNumId w:val="0"/>
  </w:num>
  <w:num w:numId="41" w16cid:durableId="820736367">
    <w:abstractNumId w:val="10"/>
  </w:num>
  <w:num w:numId="42" w16cid:durableId="1847868183">
    <w:abstractNumId w:val="10"/>
  </w:num>
  <w:num w:numId="43" w16cid:durableId="1750542610">
    <w:abstractNumId w:val="10"/>
  </w:num>
  <w:num w:numId="44" w16cid:durableId="11744155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HU"/>
    <w:docVar w:name="dvnumam" w:val="0"/>
    <w:docVar w:name="dvpe" w:val="778.064"/>
    <w:docVar w:name="dvrapporteur" w:val="Előadó: "/>
    <w:docVar w:name="dvtitre" w:val="Az Európai Parlament 2026. április ...-i határozata az Európai Unió 2024. évi pénzügyi évre szóló általános költségvetésének végrehajtására vonatkozó mentesítésről, VII. szakasz – Régiók Bizottsága(2025/2152(DEC))"/>
  </w:docVars>
  <w:rsids>
    <w:rsidRoot w:val="009C1446"/>
    <w:rsid w:val="00002272"/>
    <w:rsid w:val="00064002"/>
    <w:rsid w:val="000677B9"/>
    <w:rsid w:val="000831BA"/>
    <w:rsid w:val="000A42CC"/>
    <w:rsid w:val="000E7DD9"/>
    <w:rsid w:val="000F025F"/>
    <w:rsid w:val="0010095E"/>
    <w:rsid w:val="00125B37"/>
    <w:rsid w:val="00176D88"/>
    <w:rsid w:val="00187494"/>
    <w:rsid w:val="001F32AE"/>
    <w:rsid w:val="0021318C"/>
    <w:rsid w:val="002767FF"/>
    <w:rsid w:val="002B18FE"/>
    <w:rsid w:val="002B5493"/>
    <w:rsid w:val="003365EF"/>
    <w:rsid w:val="00343214"/>
    <w:rsid w:val="00361C00"/>
    <w:rsid w:val="0038537B"/>
    <w:rsid w:val="00395FA1"/>
    <w:rsid w:val="003E15D4"/>
    <w:rsid w:val="00411CCE"/>
    <w:rsid w:val="0041666E"/>
    <w:rsid w:val="00421060"/>
    <w:rsid w:val="0044449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B4E"/>
    <w:rsid w:val="00930C23"/>
    <w:rsid w:val="0093193B"/>
    <w:rsid w:val="00944AE6"/>
    <w:rsid w:val="009509D8"/>
    <w:rsid w:val="00950B64"/>
    <w:rsid w:val="00981893"/>
    <w:rsid w:val="00994206"/>
    <w:rsid w:val="009C1446"/>
    <w:rsid w:val="00A1687D"/>
    <w:rsid w:val="00A43CD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7AF"/>
    <w:rsid w:val="00C23CD4"/>
    <w:rsid w:val="00C60DD0"/>
    <w:rsid w:val="00C61C0C"/>
    <w:rsid w:val="00C941CB"/>
    <w:rsid w:val="00CC2357"/>
    <w:rsid w:val="00CF071A"/>
    <w:rsid w:val="00D058B8"/>
    <w:rsid w:val="00D56C11"/>
    <w:rsid w:val="00D834A0"/>
    <w:rsid w:val="00D872DF"/>
    <w:rsid w:val="00D91E21"/>
    <w:rsid w:val="00DA7FCD"/>
    <w:rsid w:val="00DD31EB"/>
    <w:rsid w:val="00E24970"/>
    <w:rsid w:val="00E365E1"/>
    <w:rsid w:val="00E820A4"/>
    <w:rsid w:val="00EB006A"/>
    <w:rsid w:val="00EB4772"/>
    <w:rsid w:val="00ED169E"/>
    <w:rsid w:val="00ED4235"/>
    <w:rsid w:val="00F04346"/>
    <w:rsid w:val="00F075DC"/>
    <w:rsid w:val="00F149E9"/>
    <w:rsid w:val="00F42041"/>
    <w:rsid w:val="00F5134D"/>
    <w:rsid w:val="00F74202"/>
    <w:rsid w:val="00F87713"/>
    <w:rsid w:val="00FA5FC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C797C"/>
  <w15:chartTrackingRefBased/>
  <w15:docId w15:val="{93706EDF-3EBF-4733-BA07-21B3D8AD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31E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31EB"/>
    <w:pPr>
      <w:spacing w:before="480" w:after="240"/>
    </w:pPr>
  </w:style>
  <w:style w:type="paragraph" w:customStyle="1" w:styleId="PageHeading">
    <w:name w:val="PageHeading"/>
    <w:basedOn w:val="Normal"/>
    <w:rsid w:val="00DD31EB"/>
    <w:pPr>
      <w:keepNext/>
      <w:spacing w:after="480"/>
      <w:jc w:val="center"/>
    </w:pPr>
    <w:rPr>
      <w:rFonts w:ascii="Arial" w:hAnsi="Arial" w:cs="Arial"/>
      <w:b/>
    </w:rPr>
  </w:style>
  <w:style w:type="paragraph" w:customStyle="1" w:styleId="NormalBold">
    <w:name w:val="NormalBold"/>
    <w:basedOn w:val="Normal"/>
    <w:rsid w:val="00DD31EB"/>
    <w:rPr>
      <w:b/>
    </w:rPr>
  </w:style>
  <w:style w:type="paragraph" w:customStyle="1" w:styleId="NormalHanging12a">
    <w:name w:val="NormalHanging12a"/>
    <w:basedOn w:val="Normal"/>
    <w:link w:val="NormalHanging12aChar"/>
    <w:qFormat/>
    <w:rsid w:val="00DD31EB"/>
    <w:pPr>
      <w:spacing w:after="240"/>
      <w:ind w:left="567" w:hanging="567"/>
    </w:pPr>
  </w:style>
  <w:style w:type="paragraph" w:styleId="Header">
    <w:name w:val="header"/>
    <w:basedOn w:val="Normal"/>
    <w:link w:val="HeaderChar"/>
    <w:rsid w:val="00DD31EB"/>
    <w:pPr>
      <w:tabs>
        <w:tab w:val="center" w:pos="4513"/>
        <w:tab w:val="right" w:pos="9026"/>
      </w:tabs>
    </w:pPr>
  </w:style>
  <w:style w:type="character" w:customStyle="1" w:styleId="HeaderChar">
    <w:name w:val="Header Char"/>
    <w:basedOn w:val="DefaultParagraphFont"/>
    <w:link w:val="Header"/>
    <w:rsid w:val="00DD31EB"/>
    <w:rPr>
      <w:sz w:val="24"/>
      <w:lang w:val="hu-HU"/>
    </w:rPr>
  </w:style>
  <w:style w:type="paragraph" w:customStyle="1" w:styleId="EPFooter">
    <w:name w:val="EPFooter"/>
    <w:basedOn w:val="Normal"/>
    <w:rsid w:val="00DD31EB"/>
    <w:pPr>
      <w:tabs>
        <w:tab w:val="center" w:pos="4535"/>
        <w:tab w:val="right" w:pos="9071"/>
      </w:tabs>
      <w:spacing w:before="240" w:after="240"/>
    </w:pPr>
    <w:rPr>
      <w:color w:val="010000"/>
      <w:sz w:val="22"/>
    </w:rPr>
  </w:style>
  <w:style w:type="character" w:styleId="Hyperlink">
    <w:name w:val="Hyperlink"/>
    <w:basedOn w:val="DefaultParagraphFont"/>
    <w:rsid w:val="00DD31EB"/>
    <w:rPr>
      <w:color w:val="0563C1" w:themeColor="hyperlink"/>
      <w:u w:val="single"/>
    </w:rPr>
  </w:style>
  <w:style w:type="character" w:customStyle="1" w:styleId="NormalHanging12aChar">
    <w:name w:val="NormalHanging12a Char"/>
    <w:basedOn w:val="DefaultParagraphFont"/>
    <w:link w:val="NormalHanging12a"/>
    <w:locked/>
    <w:rsid w:val="00DD31EB"/>
    <w:rPr>
      <w:sz w:val="24"/>
      <w:lang w:val="hu-HU"/>
    </w:rPr>
  </w:style>
  <w:style w:type="paragraph" w:styleId="Footer">
    <w:name w:val="footer"/>
    <w:basedOn w:val="Normal"/>
    <w:link w:val="FooterChar"/>
    <w:rsid w:val="0038537B"/>
    <w:pPr>
      <w:tabs>
        <w:tab w:val="center" w:pos="4513"/>
        <w:tab w:val="right" w:pos="9026"/>
      </w:tabs>
    </w:pPr>
  </w:style>
  <w:style w:type="character" w:customStyle="1" w:styleId="FooterChar">
    <w:name w:val="Footer Char"/>
    <w:basedOn w:val="DefaultParagraphFont"/>
    <w:link w:val="Footer"/>
    <w:rsid w:val="0038537B"/>
    <w:rPr>
      <w:sz w:val="24"/>
      <w:lang w:val="hu-HU"/>
    </w:rPr>
  </w:style>
  <w:style w:type="paragraph" w:styleId="Revision">
    <w:name w:val="Revision"/>
    <w:hidden/>
    <w:uiPriority w:val="99"/>
    <w:semiHidden/>
    <w:rsid w:val="0038537B"/>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8387</Words>
  <Characters>59379</Characters>
  <Application>Microsoft Office Word</Application>
  <DocSecurity>0</DocSecurity>
  <Lines>494</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2026-04-30T08:59:00Z</dcterms:created>
  <dcterms:modified xsi:type="dcterms:W3CDTF">2026-04-30T08:59:00Z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P10_TA(2026)0132_</vt:lpwstr>
  </property>
  <property fmtid="{D5CDD505-2E9C-101B-9397-08002B2CF9AE}" pid="4" name="&lt;Type&gt;">
    <vt:lpwstr>RR</vt:lpwstr>
  </property>
</Properties>
</file>