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657EA" w14:paraId="6F5C3905" w14:textId="77777777" w:rsidTr="0010095E">
        <w:trPr>
          <w:trHeight w:hRule="exact" w:val="1418"/>
        </w:trPr>
        <w:tc>
          <w:tcPr>
            <w:tcW w:w="6804" w:type="dxa"/>
            <w:shd w:val="clear" w:color="auto" w:fill="auto"/>
            <w:vAlign w:val="center"/>
          </w:tcPr>
          <w:p w14:paraId="337B6FA8" w14:textId="7EAC22B9" w:rsidR="00751A4A" w:rsidRPr="000657EA" w:rsidRDefault="0079024C" w:rsidP="0010095E">
            <w:pPr>
              <w:pStyle w:val="EPName"/>
            </w:pPr>
            <w:r w:rsidRPr="000657EA">
              <w:t>Europos Parlamentas</w:t>
            </w:r>
          </w:p>
          <w:p w14:paraId="21774E2F" w14:textId="77777777" w:rsidR="00751A4A" w:rsidRPr="000657EA" w:rsidRDefault="005F1B17" w:rsidP="005F1B17">
            <w:pPr>
              <w:pStyle w:val="EPTerm"/>
              <w:rPr>
                <w:rStyle w:val="HideTWBExt"/>
                <w:noProof w:val="0"/>
                <w:vanish w:val="0"/>
                <w:color w:val="auto"/>
              </w:rPr>
            </w:pPr>
            <w:r w:rsidRPr="000657EA">
              <w:t>2024</w:t>
            </w:r>
            <w:r w:rsidR="00817416" w:rsidRPr="000657EA">
              <w:t>-202</w:t>
            </w:r>
            <w:r w:rsidRPr="000657EA">
              <w:t>9</w:t>
            </w:r>
          </w:p>
        </w:tc>
        <w:tc>
          <w:tcPr>
            <w:tcW w:w="2268" w:type="dxa"/>
            <w:shd w:val="clear" w:color="auto" w:fill="auto"/>
          </w:tcPr>
          <w:p w14:paraId="78FF25DB" w14:textId="77777777" w:rsidR="00751A4A" w:rsidRPr="000657EA" w:rsidRDefault="00187494" w:rsidP="0010095E">
            <w:pPr>
              <w:pStyle w:val="EPLogo"/>
            </w:pPr>
            <w:r w:rsidRPr="000657EA">
              <w:rPr>
                <w:noProof/>
                <w:lang w:eastAsia="ja-JP"/>
              </w:rPr>
              <w:drawing>
                <wp:inline distT="0" distB="0" distL="0" distR="0" wp14:anchorId="0A237619" wp14:editId="0D7643C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0045566" w14:textId="77777777" w:rsidR="00D058B8" w:rsidRPr="000657EA" w:rsidRDefault="00D058B8" w:rsidP="004C5D52">
      <w:pPr>
        <w:pStyle w:val="LineTop"/>
      </w:pPr>
    </w:p>
    <w:p w14:paraId="014D0925" w14:textId="6BD82947" w:rsidR="00680577" w:rsidRPr="000657EA" w:rsidRDefault="0079024C" w:rsidP="00680577">
      <w:pPr>
        <w:pStyle w:val="EPBodyTA1"/>
      </w:pPr>
      <w:r w:rsidRPr="000657EA">
        <w:t>PRIIMTI TEKSTAI</w:t>
      </w:r>
    </w:p>
    <w:p w14:paraId="036470D1" w14:textId="77777777" w:rsidR="00D058B8" w:rsidRPr="000657EA" w:rsidRDefault="00D058B8" w:rsidP="00D058B8">
      <w:pPr>
        <w:pStyle w:val="LineBottom"/>
      </w:pPr>
    </w:p>
    <w:p w14:paraId="273B0B2A" w14:textId="0823E2E8" w:rsidR="0079024C" w:rsidRPr="000657EA" w:rsidRDefault="0079024C" w:rsidP="0079024C">
      <w:pPr>
        <w:pStyle w:val="ATHeading1"/>
      </w:pPr>
      <w:bookmarkStart w:id="0" w:name="TANumber"/>
      <w:r w:rsidRPr="000657EA">
        <w:t>P10_TA(2026)0</w:t>
      </w:r>
      <w:r w:rsidR="003D767F">
        <w:t>132</w:t>
      </w:r>
      <w:bookmarkEnd w:id="0"/>
    </w:p>
    <w:p w14:paraId="62DD7B4A" w14:textId="77777777" w:rsidR="0079024C" w:rsidRPr="000657EA" w:rsidRDefault="0079024C" w:rsidP="0079024C">
      <w:pPr>
        <w:pStyle w:val="ATHeading2"/>
      </w:pPr>
      <w:bookmarkStart w:id="1" w:name="title"/>
      <w:r w:rsidRPr="000657EA">
        <w:t>2024 m. biudžeto įvykdymo patvirtinimas: ES bendrasis biudžetas – Regionų komitetas</w:t>
      </w:r>
      <w:bookmarkEnd w:id="1"/>
    </w:p>
    <w:p w14:paraId="2D0780A2" w14:textId="77777777" w:rsidR="0079024C" w:rsidRPr="000657EA" w:rsidRDefault="0079024C" w:rsidP="0079024C">
      <w:pPr>
        <w:rPr>
          <w:i/>
          <w:vanish/>
        </w:rPr>
      </w:pPr>
      <w:r w:rsidRPr="000657EA">
        <w:rPr>
          <w:i/>
        </w:rPr>
        <w:fldChar w:fldCharType="begin"/>
      </w:r>
      <w:r w:rsidRPr="000657EA">
        <w:rPr>
          <w:i/>
        </w:rPr>
        <w:instrText xml:space="preserve"> TC"(</w:instrText>
      </w:r>
      <w:bookmarkStart w:id="2" w:name="DocNumber"/>
      <w:r w:rsidRPr="000657EA">
        <w:rPr>
          <w:i/>
        </w:rPr>
        <w:instrText>A10-0056/2026</w:instrText>
      </w:r>
      <w:bookmarkEnd w:id="2"/>
      <w:r w:rsidRPr="000657EA">
        <w:rPr>
          <w:i/>
        </w:rPr>
        <w:instrText xml:space="preserve"> - Pranešėjas: Pasquale Tridico)"\l3 \n&gt; \* MERGEFORMAT </w:instrText>
      </w:r>
      <w:r w:rsidRPr="000657EA">
        <w:rPr>
          <w:i/>
        </w:rPr>
        <w:fldChar w:fldCharType="end"/>
      </w:r>
    </w:p>
    <w:p w14:paraId="27D4DA72" w14:textId="77777777" w:rsidR="0079024C" w:rsidRPr="000657EA" w:rsidRDefault="0079024C" w:rsidP="0079024C">
      <w:pPr>
        <w:rPr>
          <w:vanish/>
        </w:rPr>
      </w:pPr>
      <w:bookmarkStart w:id="3" w:name="Commission"/>
      <w:r w:rsidRPr="000657EA">
        <w:rPr>
          <w:vanish/>
        </w:rPr>
        <w:t>Biudžeto kontrolės komitetas</w:t>
      </w:r>
      <w:bookmarkEnd w:id="3"/>
    </w:p>
    <w:p w14:paraId="2E552CE8" w14:textId="77777777" w:rsidR="0079024C" w:rsidRPr="000657EA" w:rsidRDefault="0079024C" w:rsidP="0079024C">
      <w:pPr>
        <w:rPr>
          <w:vanish/>
        </w:rPr>
      </w:pPr>
      <w:bookmarkStart w:id="4" w:name="PE"/>
      <w:r w:rsidRPr="000657EA">
        <w:rPr>
          <w:vanish/>
        </w:rPr>
        <w:t>PE778.064</w:t>
      </w:r>
      <w:bookmarkEnd w:id="4"/>
    </w:p>
    <w:p w14:paraId="15427ECC" w14:textId="5D6FA9E6" w:rsidR="0079024C" w:rsidRPr="000657EA" w:rsidRDefault="0079024C" w:rsidP="00F11024">
      <w:pPr>
        <w:pStyle w:val="ATHeading3"/>
      </w:pPr>
      <w:bookmarkStart w:id="5" w:name="Sujet"/>
      <w:r w:rsidRPr="000657EA">
        <w:t xml:space="preserve">1. 2026 m. </w:t>
      </w:r>
      <w:r w:rsidR="000041C4" w:rsidRPr="000657EA">
        <w:t>balandžio</w:t>
      </w:r>
      <w:r w:rsidRPr="000657EA">
        <w:t xml:space="preserve"> 29 d. Europos Parlamento sprendimas dėl 2024 finansinių metų Europos Sąjungos bendrojo biudžeto įvykdymo patvirtinimo, VII skirsnis – Regionų komitetas</w:t>
      </w:r>
      <w:bookmarkEnd w:id="5"/>
      <w:r w:rsidRPr="000657EA">
        <w:t xml:space="preserve"> </w:t>
      </w:r>
      <w:bookmarkStart w:id="6" w:name="References"/>
      <w:r w:rsidRPr="000657EA">
        <w:t>(2025/2152(DEC))</w:t>
      </w:r>
      <w:bookmarkEnd w:id="6"/>
    </w:p>
    <w:p w14:paraId="61213812" w14:textId="77777777" w:rsidR="007F5615" w:rsidRPr="000657EA" w:rsidRDefault="007F5615" w:rsidP="007F5615">
      <w:pPr>
        <w:pStyle w:val="EPComma"/>
      </w:pPr>
      <w:bookmarkStart w:id="7" w:name="TextBodyBegin"/>
      <w:bookmarkEnd w:id="7"/>
      <w:r w:rsidRPr="000657EA">
        <w:rPr>
          <w:i/>
        </w:rPr>
        <w:t>Europos Parlamentas</w:t>
      </w:r>
      <w:r w:rsidRPr="000657EA">
        <w:t>,</w:t>
      </w:r>
    </w:p>
    <w:p w14:paraId="5270F935" w14:textId="77777777" w:rsidR="007F5615" w:rsidRPr="000657EA" w:rsidRDefault="007F5615" w:rsidP="007F5615">
      <w:pPr>
        <w:pStyle w:val="NormalHanging12a"/>
      </w:pPr>
      <w:r w:rsidRPr="000657EA">
        <w:t>–</w:t>
      </w:r>
      <w:r w:rsidRPr="000657EA">
        <w:tab/>
        <w:t>atsižvelgdamas į 2024 finansinių metų Europos Sąjungos bendrąjį biudžetą</w:t>
      </w:r>
      <w:r w:rsidRPr="000657EA">
        <w:rPr>
          <w:rStyle w:val="FootnoteReference"/>
        </w:rPr>
        <w:footnoteReference w:id="1"/>
      </w:r>
      <w:r w:rsidRPr="000657EA">
        <w:t>,</w:t>
      </w:r>
    </w:p>
    <w:p w14:paraId="53154AF5" w14:textId="77777777" w:rsidR="007F5615" w:rsidRPr="000657EA" w:rsidRDefault="007F5615" w:rsidP="007F5615">
      <w:pPr>
        <w:pStyle w:val="NormalHanging12a"/>
      </w:pPr>
      <w:r w:rsidRPr="000657EA">
        <w:t>–</w:t>
      </w:r>
      <w:r w:rsidRPr="000657EA">
        <w:tab/>
        <w:t>atsižvelgdamas į 2024 finansinių metų Europos Sąjungos konsoliduotąsias metines ataskaitas (COM(2025)0359 – C10</w:t>
      </w:r>
      <w:r w:rsidRPr="000657EA">
        <w:noBreakHyphen/>
        <w:t>0152/2025)</w:t>
      </w:r>
      <w:r w:rsidRPr="000657EA">
        <w:rPr>
          <w:rStyle w:val="FootnoteReference"/>
        </w:rPr>
        <w:footnoteReference w:id="2"/>
      </w:r>
      <w:r w:rsidRPr="000657EA">
        <w:t>,</w:t>
      </w:r>
    </w:p>
    <w:p w14:paraId="72E977A3" w14:textId="77777777" w:rsidR="007F5615" w:rsidRPr="000657EA" w:rsidRDefault="007F5615" w:rsidP="007F5615">
      <w:pPr>
        <w:pStyle w:val="NormalHanging12a"/>
      </w:pPr>
      <w:r w:rsidRPr="000657EA">
        <w:t>–</w:t>
      </w:r>
      <w:r w:rsidRPr="000657EA">
        <w:tab/>
        <w:t>atsižvelgdamas į Regionų komiteto metinę 2024 m. atlikto vidaus audito ataskaitą biudžeto įvykdymą tvirtinančiai institucijai,</w:t>
      </w:r>
    </w:p>
    <w:p w14:paraId="019F91DE" w14:textId="77777777" w:rsidR="007F5615" w:rsidRPr="000657EA" w:rsidRDefault="007F5615" w:rsidP="007F5615">
      <w:pPr>
        <w:pStyle w:val="NormalHanging12a"/>
      </w:pPr>
      <w:r w:rsidRPr="000657EA">
        <w:t>–</w:t>
      </w:r>
      <w:r w:rsidRPr="000657EA">
        <w:tab/>
        <w:t>atsižvelgdamas į Audito Rūmų metinę ataskaitą dėl 2024 finansinių metų biudžeto vykdymo kartu su institucijų atsakymais</w:t>
      </w:r>
      <w:r w:rsidRPr="000657EA">
        <w:rPr>
          <w:rStyle w:val="FootnoteReference"/>
        </w:rPr>
        <w:footnoteReference w:id="3"/>
      </w:r>
      <w:r w:rsidRPr="000657EA">
        <w:t>,</w:t>
      </w:r>
    </w:p>
    <w:p w14:paraId="61ABA99E" w14:textId="77777777" w:rsidR="007F5615" w:rsidRPr="000657EA" w:rsidRDefault="007F5615" w:rsidP="007F5615">
      <w:pPr>
        <w:pStyle w:val="NormalHanging12a"/>
      </w:pPr>
      <w:r w:rsidRPr="000657EA">
        <w:t>–</w:t>
      </w:r>
      <w:r w:rsidRPr="000657EA">
        <w:tab/>
        <w:t>atsižvelgdamas į Audito Rūmų pagal Sutarties dėl Europos Sąjungos veikimo 287 straipsnį pateiktą 2024 finansinių metų sąskaitų patikimumo ir pagal jas atliktų operacijų teisėtumo ir tvarkingumo patikinimo pareiškimą</w:t>
      </w:r>
      <w:r w:rsidRPr="000657EA">
        <w:rPr>
          <w:rStyle w:val="FootnoteReference"/>
        </w:rPr>
        <w:footnoteReference w:id="4"/>
      </w:r>
      <w:r w:rsidRPr="000657EA">
        <w:t>,</w:t>
      </w:r>
    </w:p>
    <w:p w14:paraId="1197068B" w14:textId="77777777" w:rsidR="007F5615" w:rsidRPr="000657EA" w:rsidRDefault="007F5615" w:rsidP="007F5615">
      <w:pPr>
        <w:pStyle w:val="NormalHanging12a"/>
      </w:pPr>
      <w:r w:rsidRPr="000657EA">
        <w:t>–</w:t>
      </w:r>
      <w:r w:rsidRPr="000657EA">
        <w:tab/>
        <w:t>atsižvelgdamas į Sutarties dėl Europos Sąjungos veikimo 314 straipsnio 10 dalį ir 317, 318 ir 319 straipsnius,</w:t>
      </w:r>
    </w:p>
    <w:p w14:paraId="69E2AFE7" w14:textId="77777777" w:rsidR="007F5615" w:rsidRPr="000657EA" w:rsidRDefault="007F5615" w:rsidP="007F5615">
      <w:pPr>
        <w:pStyle w:val="NormalHanging12a"/>
      </w:pPr>
      <w:r w:rsidRPr="000657EA">
        <w:t>–</w:t>
      </w:r>
      <w:r w:rsidRPr="000657EA">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Pr="000657EA">
        <w:rPr>
          <w:rStyle w:val="FootnoteReference"/>
        </w:rPr>
        <w:footnoteReference w:id="5"/>
      </w:r>
      <w:r w:rsidRPr="000657EA">
        <w:t>, ypač į jo 59, 118, 260, 261 ir 262 straipsnius,</w:t>
      </w:r>
    </w:p>
    <w:p w14:paraId="38830D9B" w14:textId="45C15386" w:rsidR="007F5615" w:rsidRPr="000657EA" w:rsidRDefault="007F5615" w:rsidP="007F5615">
      <w:pPr>
        <w:pStyle w:val="NormalHanging12a"/>
      </w:pPr>
      <w:r w:rsidRPr="000657EA">
        <w:lastRenderedPageBreak/>
        <w:t>–</w:t>
      </w:r>
      <w:r w:rsidRPr="000657EA">
        <w:tab/>
        <w:t>atsižvelgdamas į 2024 m. rugsėjo 23 d. Europos Parlamento ir Tarybos reglamentą (ES, Euratomas) 2024/2509 dėl Sąjungos bendrajam biudžetui taikomų finansinių taisyklių</w:t>
      </w:r>
      <w:r w:rsidRPr="000657EA">
        <w:rPr>
          <w:rStyle w:val="FootnoteReference"/>
        </w:rPr>
        <w:footnoteReference w:id="6"/>
      </w:r>
      <w:r w:rsidRPr="000657EA">
        <w:t>, ypač į jo 59, 118, 266, 267 ir 268 straipsnius,</w:t>
      </w:r>
    </w:p>
    <w:p w14:paraId="16ADC13D" w14:textId="77777777" w:rsidR="007F5615" w:rsidRPr="000657EA" w:rsidRDefault="007F5615" w:rsidP="007F5615">
      <w:pPr>
        <w:pStyle w:val="NormalHanging12a"/>
      </w:pPr>
      <w:r w:rsidRPr="000657EA">
        <w:t>–</w:t>
      </w:r>
      <w:r w:rsidRPr="000657EA">
        <w:tab/>
        <w:t>atsižvelgdamas į Darbo tvarkos taisyklių 102 straipsnį ir V priedą,</w:t>
      </w:r>
    </w:p>
    <w:p w14:paraId="22DAF10B" w14:textId="77777777" w:rsidR="007F5615" w:rsidRPr="000657EA" w:rsidRDefault="007F5615" w:rsidP="007F5615">
      <w:pPr>
        <w:pStyle w:val="NormalHanging12a"/>
      </w:pPr>
      <w:r w:rsidRPr="000657EA">
        <w:t>–</w:t>
      </w:r>
      <w:r w:rsidRPr="000657EA">
        <w:tab/>
        <w:t>atsižvelgdamas į Biudžeto kontrolės komiteto pranešimą (A10</w:t>
      </w:r>
      <w:r w:rsidRPr="000657EA">
        <w:noBreakHyphen/>
        <w:t>0056/2026),</w:t>
      </w:r>
    </w:p>
    <w:p w14:paraId="445DE918" w14:textId="77777777" w:rsidR="007F5615" w:rsidRPr="000657EA" w:rsidRDefault="007F5615" w:rsidP="007F5615">
      <w:pPr>
        <w:pStyle w:val="NormalHanging12a"/>
      </w:pPr>
      <w:r w:rsidRPr="000657EA">
        <w:t>1.</w:t>
      </w:r>
      <w:r w:rsidRPr="000657EA">
        <w:tab/>
        <w:t>patvirtina Regionų komiteto generaliniam sekretoriui, kad Regionų komiteto 2024 finansinių metų biudžetas įvykdytas;</w:t>
      </w:r>
    </w:p>
    <w:p w14:paraId="61C41D1A" w14:textId="77777777" w:rsidR="007F5615" w:rsidRPr="000657EA" w:rsidRDefault="007F5615" w:rsidP="007F5615">
      <w:pPr>
        <w:pStyle w:val="NormalHanging12a"/>
      </w:pPr>
      <w:r w:rsidRPr="000657EA">
        <w:t>2.</w:t>
      </w:r>
      <w:r w:rsidRPr="000657EA">
        <w:tab/>
        <w:t>išdėsto savo pastabas toliau pateikiamoje rezoliucijoje;</w:t>
      </w:r>
    </w:p>
    <w:p w14:paraId="3B9D510D" w14:textId="77777777" w:rsidR="007F5615" w:rsidRPr="000657EA" w:rsidRDefault="007F5615" w:rsidP="007F5615">
      <w:pPr>
        <w:pStyle w:val="NormalHanging12a"/>
      </w:pPr>
      <w:r w:rsidRPr="000657EA">
        <w:t>3.</w:t>
      </w:r>
      <w:r w:rsidRPr="000657EA">
        <w:tab/>
        <w:t xml:space="preserve">paveda Pirmininkei perduoti šį sprendimą ir rezoliuciją, kuri yra neatskiriama jo dalis, </w:t>
      </w:r>
      <w:r w:rsidRPr="000657EA">
        <w:rPr>
          <w:color w:val="000000"/>
        </w:rPr>
        <w:t>Regionų komitetui,</w:t>
      </w:r>
      <w:r w:rsidRPr="000657EA">
        <w:t xml:space="preserve"> Tarybai, Komisijai ir Audito Rūmams ir pasirūpinti, kad jie būtų paskelbti </w:t>
      </w:r>
      <w:r w:rsidRPr="000657EA">
        <w:rPr>
          <w:i/>
        </w:rPr>
        <w:t>Europos Sąjungos oficialiajame leidinyje</w:t>
      </w:r>
      <w:r w:rsidRPr="000657EA">
        <w:t xml:space="preserve"> (L serijoje).</w:t>
      </w:r>
    </w:p>
    <w:p w14:paraId="1D3B3B10" w14:textId="77777777" w:rsidR="007F5615" w:rsidRPr="000657EA" w:rsidRDefault="007F5615" w:rsidP="007F5615"/>
    <w:p w14:paraId="04559867" w14:textId="77777777" w:rsidR="007F5615" w:rsidRPr="000657EA" w:rsidRDefault="007F5615" w:rsidP="007F5615">
      <w:pPr>
        <w:pStyle w:val="PageHeading"/>
        <w:sectPr w:rsidR="007F5615" w:rsidRPr="000657EA" w:rsidSect="000657EA">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06810A4" w14:textId="0657F260" w:rsidR="007F5615" w:rsidRDefault="007F5615" w:rsidP="00F11024">
      <w:pPr>
        <w:pStyle w:val="ATHeading3"/>
      </w:pPr>
      <w:bookmarkStart w:id="8" w:name="_Toc225491328"/>
      <w:r w:rsidRPr="000657EA">
        <w:t xml:space="preserve">2. </w:t>
      </w:r>
      <w:r w:rsidR="0044343E" w:rsidRPr="000657EA">
        <w:t xml:space="preserve">2026 m. balandžio 29 d. Europos Parlamento </w:t>
      </w:r>
      <w:r w:rsidR="0044343E">
        <w:t xml:space="preserve">rezoliucija </w:t>
      </w:r>
      <w:bookmarkEnd w:id="8"/>
      <w:r w:rsidRPr="000657EA">
        <w:t>su pastabomis, sudarančiomis neatskiriamą sprendimo dėl 2024 finansinių metų Europos Sąjungos bendrojo biudžeto įvykdymo patvirtinimo, VII skirsnis – Regionų komitetas, dalį</w:t>
      </w:r>
      <w:r w:rsidR="009E21F0">
        <w:t xml:space="preserve"> </w:t>
      </w:r>
      <w:r w:rsidRPr="000657EA">
        <w:t>(2025/2152(DEC))</w:t>
      </w:r>
    </w:p>
    <w:p w14:paraId="43533972" w14:textId="77777777" w:rsidR="007F5615" w:rsidRPr="000657EA" w:rsidRDefault="007F5615" w:rsidP="007F5615">
      <w:pPr>
        <w:pStyle w:val="EPComma"/>
      </w:pPr>
      <w:r w:rsidRPr="000657EA">
        <w:rPr>
          <w:i/>
        </w:rPr>
        <w:t>Europos Parlamentas</w:t>
      </w:r>
      <w:r w:rsidRPr="000657EA">
        <w:t>,</w:t>
      </w:r>
    </w:p>
    <w:p w14:paraId="6ACFAA65" w14:textId="77777777" w:rsidR="007F5615" w:rsidRPr="000657EA" w:rsidRDefault="007F5615" w:rsidP="007F5615">
      <w:pPr>
        <w:pStyle w:val="NormalHanging12a"/>
      </w:pPr>
      <w:r w:rsidRPr="000657EA">
        <w:t>–</w:t>
      </w:r>
      <w:r w:rsidRPr="000657EA">
        <w:tab/>
        <w:t>atsižvelgdamas į savo sprendimą dėl 2024 finansinių metų Europos Sąjungos bendrojo biudžeto įvykdymo patvirtinimo, VII skirsnis – Regionų komitetas,</w:t>
      </w:r>
    </w:p>
    <w:p w14:paraId="3BC8D8AE" w14:textId="77777777" w:rsidR="007F5615" w:rsidRPr="000657EA" w:rsidRDefault="007F5615" w:rsidP="007F5615">
      <w:pPr>
        <w:pStyle w:val="NormalHanging12a"/>
      </w:pPr>
      <w:r w:rsidRPr="000657EA">
        <w:t>–</w:t>
      </w:r>
      <w:r w:rsidRPr="000657EA">
        <w:tab/>
        <w:t>atsižvelgdamas į Darbo tvarkos taisyklių 102 straipsnį ir V priedą,</w:t>
      </w:r>
    </w:p>
    <w:p w14:paraId="232D6BF2" w14:textId="77777777" w:rsidR="007F5615" w:rsidRPr="000657EA" w:rsidRDefault="007F5615" w:rsidP="007F5615">
      <w:pPr>
        <w:pStyle w:val="NormalHanging12a"/>
      </w:pPr>
      <w:r w:rsidRPr="000657EA">
        <w:t>–</w:t>
      </w:r>
      <w:r w:rsidRPr="000657EA">
        <w:tab/>
        <w:t>atsižvelgdamas į Biudžeto kontrolės komiteto pranešimą (A10</w:t>
      </w:r>
      <w:r w:rsidRPr="000657EA">
        <w:noBreakHyphen/>
        <w:t>0056/2026),</w:t>
      </w:r>
    </w:p>
    <w:p w14:paraId="2092E980" w14:textId="76F9FD6D" w:rsidR="007F5615" w:rsidRPr="000657EA" w:rsidRDefault="007F5615" w:rsidP="007F5615">
      <w:pPr>
        <w:pStyle w:val="NormalHanging12a"/>
      </w:pPr>
      <w:r w:rsidRPr="000657EA">
        <w:t>A.</w:t>
      </w:r>
      <w:r w:rsidRPr="000657EA">
        <w:rPr>
          <w:b/>
          <w:i/>
        </w:rPr>
        <w:tab/>
      </w:r>
      <w:r w:rsidRPr="000657EA">
        <w:t xml:space="preserve">kadangi biudžeto įvykdymo patvirtinimo procedūros metu biudžeto įvykdymą tvirtinanti institucija pabrėždama, kad ypač svarbu toliau stiprinti Sąjungos institucijų demokratinį teisėtumą ne tik vertina išlaidų teisėtumą ir tvarkingumą, bet ir Sąjungos išlaidas didinant skaidrumą ir atskaitomybę, įgyvendinant rezultatais grindžiamo biudžeto sudarymo koncepciją ir užtikrinant gerą žmogiškųjų išteklių valdymą siekiant išmatuojamų rezultatų piliečiams, ypač vietos ir regioniniu lygmeniu; </w:t>
      </w:r>
    </w:p>
    <w:p w14:paraId="3F148B06" w14:textId="6F7C3369" w:rsidR="007F5615" w:rsidRPr="000657EA" w:rsidRDefault="007F5615" w:rsidP="007F5615">
      <w:pPr>
        <w:pStyle w:val="NormalHanging12a"/>
      </w:pPr>
      <w:r w:rsidRPr="000657EA">
        <w:t>B.</w:t>
      </w:r>
      <w:r w:rsidRPr="000657EA">
        <w:tab/>
        <w:t xml:space="preserve">kadangi Europos regionų komitetas (toliau – Komitetas) yra politinė asamblėja, kurią sudaro 329 nariai (ir 329 pakaitiniai nariai), išrinkti 27 Sąjungos valstybių narių regionuose, miestuose, kaimuose ir savivaldybėse, atliekanti svarbų institucinį vaidmenį atsižvelgiant į Sąjungos sanglaudos politiką, atstovaujanti regionų ir vietos valdžios institucijoms ir veikianti kaip Sąjungos institucijų patariamasis organas, kurio misija – prisidėti prie Sąjungos politikos formavimo ir sprendimų priėmimo proceso vietos ir regionų valdžios institucijų požiūriu ir kartu prisidėti prie to, kad Sąjunga taptų veiksmingesnė ir artimesnė piliečiams; </w:t>
      </w:r>
    </w:p>
    <w:p w14:paraId="12262F83" w14:textId="77777777" w:rsidR="007F5615" w:rsidRPr="000657EA" w:rsidRDefault="007F5615" w:rsidP="007F5615">
      <w:pPr>
        <w:pStyle w:val="NormalHanging12a"/>
        <w:rPr>
          <w:color w:val="000000"/>
        </w:rPr>
      </w:pPr>
      <w:r w:rsidRPr="000657EA">
        <w:rPr>
          <w:color w:val="000000"/>
        </w:rPr>
        <w:t>C.</w:t>
      </w:r>
      <w:r w:rsidRPr="000657EA">
        <w:rPr>
          <w:color w:val="000000"/>
        </w:rPr>
        <w:tab/>
        <w:t>kadangi tam tikrais atvejais Komisija arba Taryba privalo konsultuotis su Komitetu, o Komitetas taip pat gali priimti nuomones savo iniciatyva, be to, Sutartyse nustatyta plati klausimų, kuriais gali būti prašoma Komiteto pateikti savo nuomonę, sritis, tokiu būdu sudarant sąlygas Parlamentui su juo konsultuotis;</w:t>
      </w:r>
    </w:p>
    <w:p w14:paraId="5DF96F42" w14:textId="77777777" w:rsidR="007F5615" w:rsidRPr="000657EA" w:rsidRDefault="007F5615" w:rsidP="007F5615">
      <w:pPr>
        <w:pStyle w:val="NormalHanging12a"/>
        <w:rPr>
          <w:color w:val="000000"/>
        </w:rPr>
      </w:pPr>
      <w:r w:rsidRPr="000657EA">
        <w:rPr>
          <w:color w:val="000000"/>
        </w:rPr>
        <w:t>D.</w:t>
      </w:r>
      <w:r w:rsidRPr="000657EA">
        <w:rPr>
          <w:color w:val="000000"/>
        </w:rPr>
        <w:tab/>
        <w:t>kadangi Komiteto veikla nustatyta remiantis jo bendra politine strategija, išdėstyta 2020 m. liepos 2 d. rezoliucijoje dėl jo 2020–2025 m. prioritetų</w:t>
      </w:r>
      <w:r w:rsidRPr="000657EA">
        <w:rPr>
          <w:rStyle w:val="FootnoteReference"/>
          <w:color w:val="000000"/>
        </w:rPr>
        <w:footnoteReference w:id="7"/>
      </w:r>
      <w:r w:rsidRPr="000657EA">
        <w:rPr>
          <w:color w:val="000000"/>
        </w:rPr>
        <w:t>, ir kadangi Komitetas patvirtino tris 2020–2025 m. kadencijos politinius prioritetus ir tris susijusias komunikacijos kampanijas: Europos priartinimo prie žmonių, atsparių regionų ir vietos bendruomenių kūrimo ir sanglaudos, kaip pagrindinės Europos Sąjungos vertybės, propagavimo temomis;</w:t>
      </w:r>
    </w:p>
    <w:p w14:paraId="452E196F" w14:textId="0ACD23E1" w:rsidR="007F5615" w:rsidRPr="000657EA" w:rsidRDefault="007F5615" w:rsidP="007F5615">
      <w:pPr>
        <w:pStyle w:val="NormalHanging12a"/>
        <w:rPr>
          <w:b/>
          <w:i/>
          <w:color w:val="000000"/>
        </w:rPr>
      </w:pPr>
      <w:r w:rsidRPr="000657EA">
        <w:rPr>
          <w:color w:val="000000"/>
        </w:rPr>
        <w:t>E.</w:t>
      </w:r>
      <w:r w:rsidRPr="000657EA">
        <w:rPr>
          <w:b/>
          <w:i/>
          <w:color w:val="000000"/>
        </w:rPr>
        <w:tab/>
      </w:r>
      <w:r w:rsidRPr="000657EA">
        <w:rPr>
          <w:color w:val="000000"/>
        </w:rPr>
        <w:t>kadangi vietos ir regionų administracijos yra atsakingos už vieną trečdalį viešųjų išlaidų, pusę viešųjų investicijų ir vieną ketvirtadalį mokestinių pajamų, o daugelyje valstybių narių turi kompetenciją tokiose svarbiose srityse kaip švietimas, ekonominis vystymasis ir sanglauda, aplinka, socialinė apsauga, sveikata ir bendrojo intereso paslaugos, todėl vietos, regionų, nacionalinio ir Sąjungos lygmenų koordinavimu didinamas teisės aktų teisėtumas, stiprinama atsakomybė ir veiksmingiau siekiama naudos piliečiams, taip pat prisidedama prie teritorinį poveikį darančių Sąjungos išlaidų stebėsenos ir įgyvendinimo kartu užtikrinant, kad nė vienas nebūtų paliktas nuošalyje;</w:t>
      </w:r>
    </w:p>
    <w:p w14:paraId="149284BA" w14:textId="77777777" w:rsidR="007F5615" w:rsidRPr="000657EA" w:rsidRDefault="007F5615" w:rsidP="007F5615">
      <w:pPr>
        <w:pStyle w:val="NormalHanging12a"/>
        <w:rPr>
          <w:color w:val="000000"/>
        </w:rPr>
      </w:pPr>
      <w:r w:rsidRPr="000657EA">
        <w:rPr>
          <w:color w:val="000000"/>
        </w:rPr>
        <w:t>F.</w:t>
      </w:r>
      <w:r w:rsidRPr="000657EA">
        <w:rPr>
          <w:color w:val="000000"/>
        </w:rPr>
        <w:tab/>
        <w:t>kadangi Komitetas siekia savo politinio tikslo stiprinti savo dalyvavimą visame Sąjungos politiniame ir teisėkūros cikle, sykiu užtikrindamas, kad ryšys su Sąjungos piliečiais būtų apčiuopiamesnis, pasitelkdamas Komiteto narius kaip galingus nuomonės skleidėjus savo bendruomenėse ir nacionalinėse vietos bei regionų valdžios institucijų asociacijose;</w:t>
      </w:r>
    </w:p>
    <w:p w14:paraId="53FA9F66" w14:textId="77777777" w:rsidR="007F5615" w:rsidRPr="000657EA" w:rsidRDefault="007F5615" w:rsidP="007F5615">
      <w:pPr>
        <w:pStyle w:val="NormalHanging12a"/>
        <w:rPr>
          <w:color w:val="000000"/>
        </w:rPr>
      </w:pPr>
      <w:r w:rsidRPr="000657EA">
        <w:rPr>
          <w:color w:val="000000"/>
        </w:rPr>
        <w:t>G.</w:t>
      </w:r>
      <w:r w:rsidRPr="000657EA">
        <w:rPr>
          <w:color w:val="000000"/>
        </w:rPr>
        <w:tab/>
        <w:t xml:space="preserve">kadangi Komitetas, siekdamas, kad 2024 m. jo veiksmai būtų strategiškesni ir veiksmingesni, nustatė vienuolika pagrindinių prioritetinių sričių: </w:t>
      </w:r>
      <w:r w:rsidRPr="000657EA">
        <w:t xml:space="preserve">Sąjungos plėtra ir parama Ukrainai; demokratija ir geresnis reglamentavimas; atsparumas; žaliasis kursas vietos lygmeniu; konkurencingumas, pramonė, MVĮ, reguliavimo palengvinimas ir verslo apmokestinimas; Sąjungos sanglaudos politikos įgyvendinimo ir komunikacijos optimizavimas; kova su trimis planetos krizėmis; užimtumas, lygybė ir socialinė politika; Sąjungos paramos regioninėms inovacijų ekosistemoms skatinimas; </w:t>
      </w:r>
    </w:p>
    <w:p w14:paraId="50C1DF00" w14:textId="77777777" w:rsidR="007F5615" w:rsidRPr="000657EA" w:rsidRDefault="007F5615" w:rsidP="007F5615">
      <w:pPr>
        <w:pStyle w:val="NormalHanging12a"/>
        <w:rPr>
          <w:color w:val="000000"/>
        </w:rPr>
      </w:pPr>
      <w:r w:rsidRPr="000657EA">
        <w:rPr>
          <w:color w:val="000000"/>
        </w:rPr>
        <w:t>H.</w:t>
      </w:r>
      <w:r w:rsidRPr="000657EA">
        <w:rPr>
          <w:color w:val="000000"/>
        </w:rPr>
        <w:tab/>
        <w:t>kadangi 2021 m. liepos mėn. įsigaliojusiame Europos Parlamento ir Tarybos reglamente (ES) 2021/1060</w:t>
      </w:r>
      <w:r w:rsidRPr="000657EA">
        <w:rPr>
          <w:rStyle w:val="FootnoteReference"/>
          <w:color w:val="000000"/>
        </w:rPr>
        <w:footnoteReference w:id="8"/>
      </w:r>
      <w:r w:rsidRPr="000657EA">
        <w:rPr>
          <w:color w:val="000000"/>
        </w:rPr>
        <w:t>, reglamentuojančiame Sąjungos sanglaudos politiką ir finansavimą 2021–2027 m., yra nuorodų į partnerystės ir daugiapakopio valdymo principą, kuriam pritaria Komitetas ir Parlamentas ir pagal kurį numatomas Sąjungos regionų bei jų vietos ir regionų valdžios institucijų dalyvavimas;</w:t>
      </w:r>
    </w:p>
    <w:p w14:paraId="3894DFC3" w14:textId="77777777" w:rsidR="007F5615" w:rsidRPr="000657EA" w:rsidRDefault="007F5615" w:rsidP="007F5615">
      <w:pPr>
        <w:pStyle w:val="NormalHanging12a"/>
        <w:rPr>
          <w:b/>
          <w:bCs/>
          <w:color w:val="000000"/>
        </w:rPr>
      </w:pPr>
      <w:r w:rsidRPr="000657EA">
        <w:rPr>
          <w:color w:val="000000"/>
        </w:rPr>
        <w:t>I.</w:t>
      </w:r>
      <w:r w:rsidRPr="000657EA">
        <w:rPr>
          <w:color w:val="000000"/>
        </w:rPr>
        <w:tab/>
        <w:t>kadangi pagal daugiau kaip keturis šimtus vykdomų nacionalinių ir regioninių programų, skirtų Sąjungos sanglaudos politikai 2021–2027 m. programavimo laikotarpiu įgyvendinti, iš įvairių fondų skirta apie 380 mlrd. EUR ekonominėms, socialinėms ir aplinkosaugos problemoms, su kuriomis susiduria Sąjungos regionai, miestai, kaimai ir savivaldybės, spręsti;</w:t>
      </w:r>
    </w:p>
    <w:p w14:paraId="425910BC" w14:textId="77777777" w:rsidR="007F5615" w:rsidRPr="000657EA" w:rsidRDefault="007F5615" w:rsidP="007F5615">
      <w:pPr>
        <w:pStyle w:val="NormalHanging12a"/>
        <w:rPr>
          <w:color w:val="000000"/>
        </w:rPr>
      </w:pPr>
      <w:r w:rsidRPr="000657EA">
        <w:rPr>
          <w:color w:val="000000"/>
        </w:rPr>
        <w:t>J.</w:t>
      </w:r>
      <w:r w:rsidRPr="000657EA">
        <w:rPr>
          <w:color w:val="000000"/>
        </w:rPr>
        <w:tab/>
      </w:r>
      <w:r w:rsidRPr="000657EA">
        <w:t>kadangi 2021 m. vasario 19 d. įsigaliojo Europos Parlamento ir Tarybos reglamentas (ES) 2021/241</w:t>
      </w:r>
      <w:r w:rsidRPr="000657EA">
        <w:rPr>
          <w:color w:val="000000"/>
          <w:vertAlign w:val="superscript"/>
        </w:rPr>
        <w:footnoteReference w:id="9"/>
      </w:r>
      <w:r w:rsidRPr="000657EA">
        <w:t>, kuriuo nustatoma Sąjungos ekonomikos gaivinimo ir atsparumo didinimo priemonė, suteikiantis teisinį pagrindą 2021–2026 m. valstybėms narėms paskirstyti iki 672,5 mlrd. EUR lėšų ir paskolų (2018 m. kainomis), kuriuo taip pat siekiama remti ekonominę, socialinę ir teritorinę sanglaudą ir šalinti Sąjungos regionų skirtumus;</w:t>
      </w:r>
      <w:r w:rsidRPr="000657EA">
        <w:rPr>
          <w:color w:val="000000"/>
        </w:rPr>
        <w:t xml:space="preserve"> </w:t>
      </w:r>
    </w:p>
    <w:p w14:paraId="6DE3CE6A" w14:textId="77777777" w:rsidR="007F5615" w:rsidRPr="000657EA" w:rsidRDefault="007F5615" w:rsidP="007F5615">
      <w:pPr>
        <w:pStyle w:val="NormalHanging12a"/>
        <w:rPr>
          <w:color w:val="000000"/>
        </w:rPr>
      </w:pPr>
      <w:r w:rsidRPr="000657EA">
        <w:rPr>
          <w:color w:val="000000"/>
        </w:rPr>
        <w:t>K.</w:t>
      </w:r>
      <w:r w:rsidRPr="000657EA">
        <w:rPr>
          <w:color w:val="000000"/>
        </w:rPr>
        <w:tab/>
        <w:t>kadangi Komitetas, kaip Sąjungos institucija, kaip tai suprantama Finansiniame reglamente, privalo patvirtinti savo metines ataskaitas, parengtas pagal Komisijos apskaitos pareigūno patvirtintas apskaitos taisykles (Europos Sąjungos apskaitos taisyklės), grindžiamas tarptautiniais viešojo sektoriaus apskaitos standartais, ir šios ataskaitos galiausiai konsoliduojamos į Sąjungos finansines ataskaitas;</w:t>
      </w:r>
    </w:p>
    <w:p w14:paraId="5772BBB5" w14:textId="77777777" w:rsidR="007F5615" w:rsidRPr="000657EA" w:rsidRDefault="007F5615" w:rsidP="007F5615">
      <w:pPr>
        <w:pStyle w:val="NormalHanging12a"/>
      </w:pPr>
      <w:r w:rsidRPr="000657EA">
        <w:t>1.</w:t>
      </w:r>
      <w:r w:rsidRPr="000657EA">
        <w:tab/>
        <w:t xml:space="preserve">pažymi, kad Komiteto biudžetas patenka į daugiametės finansinės programos (DFP) 7 išlaidų kategoriją „Europos viešasis administravimas“ (toliau – 7 išlaidų kategorija), kurią 2024 m. iš viso sudarė 13,3 mlrd. EUR, t. y. 6,9 proc. Sąjungos biudžeto išlaidų; pažymi, kad 2024 m. Komiteto biudžetas sudarė 0,92 proc. DFP 7 išlaidų kategorijos asignavimų; </w:t>
      </w:r>
    </w:p>
    <w:p w14:paraId="6797EAB0" w14:textId="77777777" w:rsidR="007F5615" w:rsidRPr="000657EA" w:rsidRDefault="007F5615" w:rsidP="007F5615">
      <w:pPr>
        <w:pStyle w:val="NormalHanging12a"/>
      </w:pPr>
      <w:r w:rsidRPr="000657EA">
        <w:t>2.</w:t>
      </w:r>
      <w:r w:rsidRPr="000657EA">
        <w:tab/>
        <w:t>pažymi, kad Audito Rūmai savo 2024 finansinių metų metinėje ataskaitoje (toliau – Audito Rūmų ataskaita) išanalizavo 70 išlaidų kategorijos „Administravimas“ operacijų imtį – tiek pat kaip 2023 m.; kadangi Audito Rūmai nurodo, kad administracines išlaidas sudaro išlaidos žmogiškiesiems ištekliams, įskaitant išlaidas pensijoms, kurios 2024 m. sudarė apie 69 proc. visų administracinių išlaidų, taip pat išlaidos pastatams, įrangai, energijai, komunikacijai ir informacinėms technologijoms (IT), ir kad jų daugelio metų darbo patirtis rodo, jog apskritai administracinės išlaidos yra nedidelės rizikos išlaidos;</w:t>
      </w:r>
    </w:p>
    <w:p w14:paraId="4A135D45" w14:textId="77777777" w:rsidR="007F5615" w:rsidRPr="000657EA" w:rsidRDefault="007F5615" w:rsidP="007F5615">
      <w:pPr>
        <w:pStyle w:val="NormalHanging12a"/>
      </w:pPr>
      <w:r w:rsidRPr="000657EA">
        <w:t>3.</w:t>
      </w:r>
      <w:r w:rsidRPr="000657EA">
        <w:tab/>
        <w:t>pažymi, kad 16 (23 proc.) iš 70 operacijų buvo klaidų, tačiau Audito Rūmai, remdamiesi trimis kiekybiškai įvertintomis klaidomis, apskaičiavo, kad klaidų lygis nesiekia reikšmingumo ribos; pažymi, kad Audito Rūmų ataskaitoje nenustatyta jokių konkrečių su Komitetu susijusių problemų;</w:t>
      </w:r>
    </w:p>
    <w:p w14:paraId="63EDF927" w14:textId="77777777" w:rsidR="007F5615" w:rsidRPr="000657EA" w:rsidRDefault="007F5615" w:rsidP="007F5615">
      <w:pPr>
        <w:pStyle w:val="NormalHanging12a"/>
        <w:rPr>
          <w:bCs/>
          <w:iCs/>
        </w:rPr>
      </w:pPr>
      <w:r w:rsidRPr="000657EA">
        <w:t>4.</w:t>
      </w:r>
      <w:r w:rsidRPr="000657EA">
        <w:tab/>
        <w:t>pažymi, kad sanglaudos politika labai prisideda prie piliečių pasitikėjimo Sąjunga, nes įgyvendinant regioninius ir vietos projektus pasiekiami konkretūs ir matomi rezultatai, taip sustiprinant Sąjungos veiksmų vietoje teisėtumą; atkreipia dėmesį į tai, kad šiomis aplinkybėmis Komitetas atlieka svarbų vaidmenį priartinant Sąjungos piliečius prie Sąjungos sprendimų priėmimo proceso;</w:t>
      </w:r>
    </w:p>
    <w:p w14:paraId="3B7C4C3F" w14:textId="77777777" w:rsidR="007F5615" w:rsidRPr="000657EA" w:rsidRDefault="007F5615" w:rsidP="00B14697">
      <w:pPr>
        <w:pStyle w:val="NormalHanging12a"/>
        <w:ind w:left="0" w:firstLine="0"/>
        <w:rPr>
          <w:b/>
          <w:i/>
        </w:rPr>
      </w:pPr>
      <w:r w:rsidRPr="000657EA">
        <w:rPr>
          <w:b/>
          <w:i/>
        </w:rPr>
        <w:t>Biudžeto ir finansų valdymas</w:t>
      </w:r>
    </w:p>
    <w:p w14:paraId="2A85E920" w14:textId="7AE63564" w:rsidR="007F5615" w:rsidRPr="000657EA" w:rsidRDefault="007F5615" w:rsidP="007F5615">
      <w:pPr>
        <w:pStyle w:val="NormalHanging12a"/>
      </w:pPr>
      <w:r w:rsidRPr="000657EA">
        <w:t>5.</w:t>
      </w:r>
      <w:r w:rsidRPr="000657EA">
        <w:tab/>
        <w:t xml:space="preserve">remdamasis Komiteto 2024 m. metine veiklos ataskaita (toliau – metinė ataskaita) pažymi, kad 2024 m. galutinis patvirtintas Komiteto biudžetas buvo 123 178 345 EUR, įskaitant Taisomąjį biudžetą Nr. 5/2024 (susijusį su darbo užmokesčiu), o tai reiškia, kad jis buvo 6 502 953 EUR (t. y. +5,60 proc.) didesnis, palyginti su 2023 m.; su pasitenkinimu pažymi, kad Komiteto biudžeto vykdymo lygis einamųjų metų įsipareigojimų asignavimų atveju 2024 m. buvo 99,9 proc. (toks pat, kaip ir 2023 m.), o einamųjų metų mokėjimų asignavimų vykdymo lygis padidėjo nuo 91,20 proc. 2023 m. iki 91,90 proc. 2024 m.; taip pat palankiai vertina tolesnį C8 asignavimų (perkeltų iš 2023 m. į 2024 m.) vykdymo lygio padidėjimą nuo 85 proc. 2023 m. iki 92,20 proc. 2024 m., kadangi iš 2023 m. į 2024 m. perkelti asignavimai sudarė 12 578 853 EUR, palyginti su 10 540 464 EUR praėjusiais metais; giria Komitetą už nuosekliai aukštą biudžeto vykdymo lygį per pastaruosius metus, pasiektą optimizavus biudžeto planavimą ir vykdymą, atsižvelgiant į nuolatinį spaudimą biudžetui; šiuo atžvilgiu patvirtina, kad Komitetas susiduria su struktūriniu nepakankamu finansavimu, ypač atsižvelgiant į jo, kaip novatoriško lyderio, išbandančio praktiką, kuri galėtų būti naudinga platesnei Sąjungos administracijai, vaidmenį, ir pripažįsta, kad jam reikia papildomų išteklių, kad galėtų veiksmingai įgyvendinti savo tikslus, laikantis biudžetinės drausmės; </w:t>
      </w:r>
    </w:p>
    <w:p w14:paraId="6E4D3B1A" w14:textId="77777777" w:rsidR="007F5615" w:rsidRPr="000657EA" w:rsidRDefault="007F5615" w:rsidP="007F5615">
      <w:pPr>
        <w:pStyle w:val="NormalHanging12a"/>
      </w:pPr>
      <w:r w:rsidRPr="000657EA">
        <w:t>6.</w:t>
      </w:r>
      <w:r w:rsidRPr="000657EA">
        <w:tab/>
        <w:t>pabrėžia, kad aukštas Komiteto biudžeto įvykdymo lygis ir žemas klaidų lygis rodo, kad decentralizuotas įgyvendinimas arti regionų ir vietos valdžios institucijų gali užtikrinti patikimą finansų valdymą ir apčiuopiamus rezultatus piliečiams, kartu pripažįstant, kad reikia papildomų išteklių; ragina Komisiją pagal savo institucinius įgaliojimus visapusiškai įtraukti Komitetą į Sąjungos išlaidų stebėseną ir vertinimą, be kita ko, priimant sprendimus, susijusius su Sąjungos biudžetu po 2027 m., siekiant toliau stiprinti sanglaudos projektų, kuriais siekiama mažinti ekonominius, socialinius ir teritorinius skirtumus, atskaitomybę, skaidrumą ir veiklos rezultatus;</w:t>
      </w:r>
    </w:p>
    <w:p w14:paraId="23E1436B" w14:textId="77777777" w:rsidR="007F5615" w:rsidRPr="000657EA" w:rsidRDefault="007F5615" w:rsidP="007F5615">
      <w:pPr>
        <w:pStyle w:val="NormalHanging12a"/>
      </w:pPr>
      <w:r w:rsidRPr="000657EA">
        <w:t>7.</w:t>
      </w:r>
      <w:r w:rsidRPr="000657EA">
        <w:tab/>
        <w:t>atkreipia dėmesį į tai, kad pagal 1 0 0 0 biudžeto punktą „Narių biuro išlaidos“ C1 asignavimų panaudojimo lygis sumažėjo nuo 76,20 proc. 2023 m. iki vos 13,90 proc. 2024 m.; atkreipia dėmesį į Komiteto paaiškinimą, kad 2024 m. biuro išlaidoms skirtos išmokos buvo įvykdytos 2025 m. pradžioje iš C8 asignavimų; pažymi, kad Komitetas išsprendė klausimą dėl žemo 2023 m. C8 asignavimų panaudojimo lygio pagal 2 0 0 7 biudžeto punktą „Patalpų įrengimas“, vengdamas pradėti didelius statybos projektus metų pabaigoje ir atlikdamas tarpinius mokėjimus už ilgalaikius projektus, kad išvengtų vėlai pateikiamų sąskaitų; tačiau pažymi, kad šio punkto C1 asignavimų panaudojimo lygis sumažėjo nuo 99,20 proc. 2023 m. iki 51,90 proc. 2024 m. dėl kai kurių Komiteto liftų renovacijos atlikimo laiko;</w:t>
      </w:r>
    </w:p>
    <w:p w14:paraId="13E413CD" w14:textId="77777777" w:rsidR="007F5615" w:rsidRPr="000657EA" w:rsidRDefault="007F5615" w:rsidP="007F5615">
      <w:pPr>
        <w:pStyle w:val="NormalHanging12a"/>
      </w:pPr>
      <w:r w:rsidRPr="000657EA">
        <w:t>8.</w:t>
      </w:r>
      <w:r w:rsidRPr="000657EA">
        <w:tab/>
        <w:t xml:space="preserve">remdamasis metine ataskaita pažymi, kad 2024 m. Komitetas įvykdė 42 pervedimus, kurių bendra suma sudarė 2,7 mln. EUR, iš jų – 37 vidinius pervedimus, kurių bendra suma sudarė 1,1 mln. EUR, ir penkis išorinius pervedimus, kurių bendra suma sudarė 1,6 mln. EUR, iš kurių maždaug 1 mln. EUR buvo pervesta į biudžeto eilutes, siekiant padengti ar padidinti punktų, susijusių su metiniais nuomos mokesčiais, vidaus konkurso organizavimu, IT išlaidomis ir patalpų įrengimu žiniasklaidos erdvei, kurią naudoja tiek Komitetas, tiek Europos ekonomikos ir socialinių reikalų komitetas (EESRK), finansavimą; </w:t>
      </w:r>
    </w:p>
    <w:p w14:paraId="2FD84E3B" w14:textId="77777777" w:rsidR="007F5615" w:rsidRPr="000657EA" w:rsidRDefault="007F5615" w:rsidP="007F5615">
      <w:pPr>
        <w:pStyle w:val="NormalHanging12a"/>
      </w:pPr>
      <w:r w:rsidRPr="000657EA">
        <w:t>9.</w:t>
      </w:r>
      <w:r w:rsidRPr="000657EA">
        <w:tab/>
        <w:t>pažymi, kad, atsižvelgiant į Rusijos agresiją prieš Ukrainą, 2024 m. Komitetas ir toliau patyrė energijos, transporto, apgyvendinimo išlaidų didėjimo ir su infliacijos lygiu susietų indeksavimo mechanizmų poveikį, kuris darė tiesioginį ar netiesioginį poveikį išlaidoms, be kita ko, žaliavoms, išorės rangovams, energijai, kelionėms, nuomai, pastatų nuomai ir priežiūrai; pažymi, kad nuo 2022 m. iki 2025 m. su indeksavimu susijusios bendrosios išlaidos nuomos ir pastatų nuomos mokesčiams padidėjo 21,50 proc., priežiūrai ir saugumo sutartims skirtos išlaidos – 15 proc., o nuo 2022 m. iki 2024 m. vidutinės išlaidos vienam nariui, keliaujančiam į Briuselį ir atgal, padidėjo nuo 1 200 EUR iki 1 620 EUR; šiomis aplinkybėmis atkreipia dėmesį į Komiteto atliktų biudžeto lėšų perkėlimų skaičiaus padidėjimą nuo 31 perkėlimo 2023 m. iki 42 perkėlimų 2024 m., iš dalies siekiant finansuoti sutartis, kurioms turėjo įtakos didelė infliacija ir indeksavimas; giria bendrus Komiteto ir EESRK veiksmus, kuriais siekiama užtikrinti geresnį tarpinstitucinį bendradarbiavimą skaitmeninimo ir bendrų viešųjų pirkimų pastangomis; palankiai vertina Komiteto 2024 m. atnaujintas energijos taupymo priemones, kurios yra labai svarbios siekiant sušvelninti didėjančių energijos kainų poveikį; tačiau pripažįsta, kad visos Sąjungos institucijos turi gerinti savo biudžeto valdymą, kad sudarydamos sutartis su paslaugų teikėjais taip pat atsižvelgtų į kainų svyravimus, ypač energetikos sektoriuje;</w:t>
      </w:r>
    </w:p>
    <w:p w14:paraId="183DEE19" w14:textId="77777777" w:rsidR="007F5615" w:rsidRPr="000657EA" w:rsidRDefault="007F5615" w:rsidP="007F5615">
      <w:pPr>
        <w:pStyle w:val="NormalHanging12a"/>
        <w:rPr>
          <w:bCs/>
          <w:iCs/>
        </w:rPr>
      </w:pPr>
      <w:r w:rsidRPr="000657EA">
        <w:t>10.</w:t>
      </w:r>
      <w:r w:rsidRPr="000657EA">
        <w:tab/>
        <w:t>ragina Komiteto administraciją aktyviai nustatyti ir įgyvendinti išlaidų mažinimo priemones, be kita ko, dažniau naudojant mišrių posėdžių technologijas, optimizuojant pastatų naudojimą, konsoliduojant administracinę veiklą ir mažinant nereikalingas logistikos išlaidas; prašo reguliariai teikti įgyvendintų priemonių ir sutaupytų lėšų pažangos ataskaitas;</w:t>
      </w:r>
    </w:p>
    <w:p w14:paraId="1AE4058F" w14:textId="77777777" w:rsidR="007F5615" w:rsidRPr="000657EA" w:rsidRDefault="007F5615" w:rsidP="007F5615">
      <w:pPr>
        <w:pStyle w:val="NormalHanging12a"/>
      </w:pPr>
      <w:r w:rsidRPr="000657EA">
        <w:t>11.</w:t>
      </w:r>
      <w:r w:rsidRPr="000657EA">
        <w:tab/>
        <w:t xml:space="preserve">atkreipia dėmesį į Komiteto nariams pagal 1 0 0 4 biudžeto punktą mokamų išmokų padidėjimą nuo 7 955 968 EUR 2023 m. iki 8 036 613 EUR 2024 m., t. y. jos padidėjo 1 proc. (sumažėjo, palyginti su +20 proc. praėjusiais metais); pažymi, kad 2024 m. buvo atliktas 8 231 mokėjimas kelionių išlaidoms, 4 188 mokėjimai kelionių dienpinigiams, 7 303 mokėjimai dienpinigiams už fizinį dalyvavimą posėdžiuose padengti ir 164 mokėjimai už nuotolinį dalyvavimą; remdamasis Komiteto tolesniais veiksmais atsižvelgiant į Parlamento rezoliucijoje dėl 2023 m. biudžeto įvykdymo patvirtinimo pateiktas pastabas (toliau – ataskaita dėl tolesnių veiksmų) pažymi, kad Komitetas 2024 m. priėmė peržiūrėtas taisykles dėl komiteto narių kelionių išlaidų kompensavimo ir išmokų mokėjimo ir įtraukė keletą priemonių, kuriomis siekiama sumažinti nereikalingas išlaidas ir išmetamo anglies dioksido kiekį, kaip rekomendavo Parlamentas ankstesnėse rezoliucijose dėl biudžeto įvykdymo patvirtinimo; </w:t>
      </w:r>
    </w:p>
    <w:p w14:paraId="38B5F593" w14:textId="77777777" w:rsidR="007F5615" w:rsidRPr="000657EA" w:rsidRDefault="007F5615" w:rsidP="007F5615">
      <w:pPr>
        <w:pStyle w:val="NormalHanging12a"/>
      </w:pPr>
      <w:r w:rsidRPr="000657EA">
        <w:t>12.</w:t>
      </w:r>
      <w:r w:rsidRPr="000657EA">
        <w:tab/>
        <w:t>pažymi, kad komandiruočių biudžetas (einamųjų metų asignavimai) padidėjo 13,60 proc. nuo 420 833 EUR 2023 m. iki 478 050 EUR 2024 m., o šio biudžeto įvykdymo lygis 2024 m. buvo maždaug 80 proc. (panašus kaip 2023 m.); pažymi, kad šis padidėjimas buvo susijęs su misijų skaičiaus padidėjimu nuo 574 misijų 2023 m. iki 810 misijų 2024 m., iš kurių 268 misijos buvo susijusios su Komiteto organizuotu aukščiausiojo lygio susitikimu Monse, skirtu Komiteto 30-osioms metinėms 2024 m. paminėti;</w:t>
      </w:r>
    </w:p>
    <w:p w14:paraId="379ACBD7" w14:textId="77777777" w:rsidR="007F5615" w:rsidRPr="000657EA" w:rsidRDefault="007F5615" w:rsidP="007F5615">
      <w:pPr>
        <w:pStyle w:val="NormalHanging12a"/>
      </w:pPr>
      <w:r w:rsidRPr="000657EA">
        <w:t>13.</w:t>
      </w:r>
      <w:r w:rsidRPr="000657EA">
        <w:tab/>
        <w:t xml:space="preserve">pastebi, kad einamųjų metų asignavimai vertimo žodžiu paslaugoms sumažėjo maždaug 10 proc. nuo 4 167 mln. EUR 2023 m. iki 3 737 mln. EUR 2024 m., o įgyvendinimo lygis 2024 m. sumažėjo nuo 67,30 proc. iki 64,80 proc., palyginti su 2023 m.; </w:t>
      </w:r>
    </w:p>
    <w:p w14:paraId="488ABCDD" w14:textId="77777777" w:rsidR="007F5615" w:rsidRPr="000657EA" w:rsidRDefault="007F5615" w:rsidP="007F5615">
      <w:pPr>
        <w:pStyle w:val="NormalHanging12a"/>
        <w:rPr>
          <w:bCs/>
        </w:rPr>
      </w:pPr>
      <w:r w:rsidRPr="000657EA">
        <w:t>14.</w:t>
      </w:r>
      <w:r w:rsidRPr="000657EA">
        <w:tab/>
        <w:t>atkreipia dėmesį į tai, kad pagal dabartines Komiteto taisykles vienodo dydžio išmoka už dalyvavimą nuotoliniuose posėdžiuose sudaro 50 proc. įprastos išmokos už dalyvavimą posėdžiuose, taigi pastaroji po indeksavimo siekia 367 EUR ir pirmoji – 186,50 EUR; pažymi, kad po to, kai 2023 m. buvo užregistruota itin daug posėdžiuose vėl fiziškai dalyvavusių narių, bendra išmokų už dalyvavimą nuotoliniuose posėdžiuose suma išliko maža, palyginti su ankstesniais metais; vis dėlto pažymi, kad 2024 m. išmokėta suma šiek tiek padidėjo, t. y. nuo 32 632 EUR 2023 m. iki 38 104 EUR 2024 m.; remdamasis Komiteto atsakymais į Parlamento Biudžeto kontrolės komiteto pateiktą klausimyną 2024 m. biudžeto įvykdymo patvirtinimo klausimu (toliau – klausimynas) pažymi, kad tik nestatutinių Komiteto organų posėdžiai gali būti rengiami internetu arba mišriu formatu, o nuotolinis dalyvavimas stebimas per platformą „Interactio“ ir iš jos parsisiuntus „.csv“ rinkmenas; ragina Komitetą didinti išmokų už dalyvavimą nuotoliniu būdu sistemos skaidrumą ir gerinti proporcingumą, kad būtų sustiprintas visuomenės pasitikėjimas, ir pabrėžia, kad finansinė kompensacija už dalyvavimą nuotoliniu būdu turi būti griežtai pagrįsta; mano, kad, nors nuotolinis dalyvavimas yra svarbi šiuolaikinių institucijų priemonė, nes ji padeda sumažinti posėdžių išlaidas ir sudaryti sąlygas platesniam dalyvavimui, Komiteto organams skiriama sumažinta išmoka už nuotolinį dalyvavimą posėdžiuose ir taikoma tik tam tikrų rūšių renginiams gali būti proporcinga ir sąžininga priemonė siekiant atlyginti nariams už atsakomybę ir pasirengimo pastangas; vis dėlto pažymi, kad svarbu užtikrinti tokių išmokų dydžio skaidrumą ir proporcingumą, daugiausia tais atvejais, kai esama Sąjungos įstaigų nuotolinio dalyvavimo srities skirtumų; mano, kad dabartinį išmokų už dalyvavimą nuotoliniuose posėdžiuose dydį reikia papildomai pagrįsti atsižvelgiant į išlaidų efektyvumą, proporcingumą ir priimtinumą visuomenei; ragina plačiau ir sistemingiau naudoti internetinius ir mišrius posėdžių formatus, kai tinkama, siekiant sumažinti su kelionėmis susijusias išlaidas, padidinti išlaidų efektyvumą, apriboti poveikį aplinkai ir padidinti visuomenės pasitikėjimą apdairiu Sąjungos lėšų naudojimu, taip pat įvertinti galimybę suderinti Komiteto taisykles su EESRK taikomomis taisyklėmis arba pateikti aiškų ir skaidrų pagrindimą, kodėl reikia išlaikyti diferencijuotą sistemą;</w:t>
      </w:r>
    </w:p>
    <w:p w14:paraId="0D7C4840" w14:textId="77777777" w:rsidR="007F5615" w:rsidRPr="000657EA" w:rsidRDefault="007F5615" w:rsidP="007F5615">
      <w:pPr>
        <w:pStyle w:val="NormalHanging12a"/>
      </w:pPr>
      <w:r w:rsidRPr="000657EA">
        <w:t>15.</w:t>
      </w:r>
      <w:r w:rsidRPr="000657EA">
        <w:tab/>
        <w:t>remdamasis klausimynu ir ataskaita dėl tolesnių veiksmų su pasitenkinimu konstatuoja, kad vidutinis apmokėjimo laikas sutrumpėjo nuo 21,88 dienos 2023 m. iki 18,46 dienos 2024 m., nepaisant to, kad tvarkomų sąskaitų faktūrų skaičius toliau didėjo; giria Komitetą už tai, kad 2024 m. elektroniniu būdu gautų sąskaitų faktūrų procentinė dalis buvo didelė (83 proc.);</w:t>
      </w:r>
    </w:p>
    <w:p w14:paraId="73EC6A2E" w14:textId="77777777" w:rsidR="007F5615" w:rsidRPr="000657EA" w:rsidRDefault="007F5615" w:rsidP="00F11024">
      <w:pPr>
        <w:pStyle w:val="NormalHanging12a"/>
        <w:ind w:left="0" w:firstLine="0"/>
        <w:rPr>
          <w:b/>
          <w:i/>
        </w:rPr>
      </w:pPr>
      <w:r w:rsidRPr="000657EA">
        <w:rPr>
          <w:b/>
          <w:i/>
        </w:rPr>
        <w:t>Vidaus valdymas, veikla ir vidaus kontrolė</w:t>
      </w:r>
    </w:p>
    <w:p w14:paraId="4FB269FC" w14:textId="77777777" w:rsidR="007F5615" w:rsidRPr="000657EA" w:rsidRDefault="007F5615" w:rsidP="007F5615">
      <w:pPr>
        <w:pStyle w:val="NormalHanging12a"/>
      </w:pPr>
      <w:r w:rsidRPr="000657EA">
        <w:t>16.</w:t>
      </w:r>
      <w:r w:rsidRPr="000657EA">
        <w:tab/>
        <w:t>pripažįsta, kad atstovaudamas vietos ir regionų valdžios institucijų interesams Sąjungoje Komitetas atlieka esminį vaidmenį prisidėdamas prie Sąjungos politikos formavimo ir sprendimų priėmimo procesų ir taip priartina Europą prie jos piliečių bei didina Sąjungos teisės aktų demokratinį teisėtumą; remdamasis metine ataskaita atkreipia dėmesį į tai, kad 2024 m. Komiteto veiklos ataskaita, kaip dalis metinio veiklos plano, buvo parengta remiantis 26 tikslais, kurių įgyvendinimas buvo vertinamas pagal 87 kiekybinius rodiklius; ragina Komitetą toliau stiprinti į rezultatus ir poveikį orientuotus rodiklius, kad būtų geriau pademonstruotas Komiteto veiklos poveikis ir pridėtinė vertė Sąjungos politikai; nors tikslai pagal daugumą šių rodiklių (maždaug 74 proc.) buvo įgyvendinti 90 proc. ar daugiau, šeši įgyvendinti iš dalies, t. y. mažiau nei 90 proc., ir šeši nebuvo įgyvendinti; remdamasis klausimynu atkreipia dėmesį į tai, kad Komitetas įgyvendino išsamų planavimo ir ataskaitų teikimo ciklą, kuris apėmė centrinio rizikos registro sukūrimą ir rizikos vertinimą pagal visus 2024 m. metinio veiklos plano tikslus; ragina Komitetą toliau gerinti veiklos rezultatus ir veiksmingumą; palankiai vertina Komiteto pastangas pateikti reformuojamuosius ir novatoriškus sprendimus, supaprastinti administravimą ir vengti funkcijų dubliavimosi su kitomis institucijomis;</w:t>
      </w:r>
    </w:p>
    <w:p w14:paraId="0A98CB62" w14:textId="77777777" w:rsidR="007F5615" w:rsidRPr="000657EA" w:rsidRDefault="007F5615" w:rsidP="007F5615">
      <w:pPr>
        <w:pStyle w:val="NormalHanging12a"/>
      </w:pPr>
      <w:r w:rsidRPr="000657EA">
        <w:t>17.</w:t>
      </w:r>
      <w:r w:rsidRPr="000657EA">
        <w:tab/>
        <w:t>pabrėžia veiklos rodiklių svarbą ir strateginę vertę ir ragina Komitetą toliau konsoliduoti savo rodiklių sistemą, užtikrinant, kad būtų pranešama apie rezultatus ir poveikį, o ne tik apie administracinę veiklą;</w:t>
      </w:r>
    </w:p>
    <w:p w14:paraId="22BF121F" w14:textId="2B3EB9B9" w:rsidR="007F5615" w:rsidRPr="000657EA" w:rsidRDefault="007F5615" w:rsidP="007F5615">
      <w:pPr>
        <w:pStyle w:val="NormalHanging12a"/>
      </w:pPr>
      <w:r w:rsidRPr="000657EA">
        <w:t>18</w:t>
      </w:r>
      <w:r w:rsidR="00DD2EAC">
        <w:t>.</w:t>
      </w:r>
      <w:r w:rsidRPr="000657EA">
        <w:tab/>
        <w:t>pažymi, kad Komitetas vykdo savo misiją rengdamas nuomones, susijusias su Komisijos pateiktais pasiūlymais dėl teisėkūros procedūra priimamų aktų (prašymai pateikti nuomones), nuomones savo iniciatyva, kuriose Sąjungos institucijos raginamos imtis veiksmų, ir rezoliucijas, kuriose paaiškinama Komiteto pozicija konkrečiomis temomis; pažymi, kad 2024 m. Komitetas priėmė 53 nuomones (tiek pat, kiek ir 2023 m.) ir keturias rezoliucijas (2023 m. jis priėmė šešias rezoliucijas); pripažįsta 2024 m. Komiteto politinius pasiekimus ir jo vaidmenį integruojant vietos ir regionų perspektyvas į Sąjungos politikos formavimą, taip didinant piliečių dalyvavimą;</w:t>
      </w:r>
    </w:p>
    <w:p w14:paraId="1726E67D" w14:textId="6C9B488B" w:rsidR="007F5615" w:rsidRPr="000657EA" w:rsidRDefault="007F5615" w:rsidP="007F5615">
      <w:pPr>
        <w:pStyle w:val="NormalHanging12a"/>
      </w:pPr>
      <w:r w:rsidRPr="000657EA">
        <w:t>19.</w:t>
      </w:r>
      <w:r w:rsidRPr="000657EA">
        <w:tab/>
        <w:t>remdamasis 2024 m. Komiteto metine poveikio ataskaita (toliau – poveikio ataskaita) su pasitenkinimu atkreipia dėmesį į 2024 m. Komiteto politinius pasiekimus, susijusius su trimis 2020–2025 m. politiniais prioritetais, tokiu būdu stiprinamas Komiteto vaidmuo formuojant Sąjungos politiką regioniniu ir vietos lygmeniu; pažymi, kad deklaracijose nurodytas Komiteto indėlis ir nuomonėse išdėstytos rekomendacijos turėjo įtakos pagrindinėms Sąjungos politikos sritims, kaip antai klimato kaitos, gamtos, energetikos ir žaliosios ekonomikos (pavyzdžiui, pasitelkiant ataskaitą „Žaliasis kursas 2.0“, kuri turėjo įtakos Tarybos išvadoms, ir Komiteto nuomonę dėl Europos Parlamento ir Tarybos reglamento (ES) 2024/1991</w:t>
      </w:r>
      <w:r w:rsidRPr="000657EA">
        <w:rPr>
          <w:rStyle w:val="FootnoteReference"/>
        </w:rPr>
        <w:footnoteReference w:id="10"/>
      </w:r>
      <w:r w:rsidRPr="000657EA">
        <w:t>), transporto (pvz., pasitelkiant Komiteto nuomonę dėl krovininio transporto žalinimo dokumentų rinkinio, kuri turėjo įtakos atitinkamiems Parlamento pranešimų projektams) ir sveikatos (pvz., pasitelkiant Komiteto nuomonę dėl Europos Parlamento ir Tarybos reglamento (ES) 2025/327</w:t>
      </w:r>
      <w:r w:rsidRPr="000657EA">
        <w:rPr>
          <w:rStyle w:val="FootnoteReference"/>
        </w:rPr>
        <w:footnoteReference w:id="11"/>
      </w:r>
      <w:r w:rsidRPr="000657EA">
        <w:t>, kuri turėjo įtakos galutiniam kompromisiniam tekstui) sritims; su pasitenkinimu pažymi, kad Komiteto pateikti pasiūlymai turėjo įtakos Komisijos sprendimams pradėti 23 mln. EUR vertės bandomąjį projektą, skirtą regionų ir miestų bendram finansavimui, siekiant vėl integruoti ilgalaikius bedarbius į darbo rinką, ir pradėti įgyvendinti pirmąjį plataus užmojo Europos įperkamo būsto planą, skirtą energijos, skurdo ir tvaraus būsto klausimams spręsti, ir dar kartą patvirtinant, kad galimybė turėti būstą yra pagrindinė teisė; be to, pažymi, kad rengiant Europos Vadovų Tarybos strateginę darbotvarkę ir Komisijos politines gaires buvo atsižvelgta į 2024 m. kovo mėn. Monse vykusio Europos regionų ir miestų aukščiausiojo lygio susitikimo metu priimtą deklaraciją;</w:t>
      </w:r>
    </w:p>
    <w:p w14:paraId="4A64F7DE" w14:textId="1C3AE938" w:rsidR="007F5615" w:rsidRPr="000657EA" w:rsidRDefault="007F5615" w:rsidP="007F5615">
      <w:pPr>
        <w:pStyle w:val="NormalHanging12a"/>
      </w:pPr>
      <w:r w:rsidRPr="000657EA">
        <w:t>20.</w:t>
      </w:r>
      <w:r w:rsidRPr="000657EA">
        <w:tab/>
        <w:t xml:space="preserve">atsižvelgdamas į svarbų Komiteto vaidmenį didinant Sąjungos teisės aktų demokratinį teisėtumą, aktyviai koordinuojant regionų ir vietos valdžios institucijų veiklą, remia Komiteto pastangas vykdyti tikslinius, proporcingus ir įrodymais pagrįstus teritorinio poveikio vertinimus tais atvejais, kai jie sukuria aiškią pridėtinę vertę teisėkūros procesui; su pasitenkinimu pažymi, kad Komitetas, pasitelkdamas įvairius vietos ir regionų tinklus, aljansus ir centrus, sukūrė visavertį konsultavimosi su suinteresuotaisiais subjektais mechanizmą, skirtą susipažinti su jų požiūriu prieš paskelbiant savo nuomones; vertina tai, kad taip pat atsižvelgiama į Sąjungai nepriklausančių partnerių nuomonę, pavyzdžiui, per Europos miestų ir regionų aljansą už Ukrainos atstatymą ir Europos ir Viduržemio jūros regiono valstybių vietos ir regionų valdžios institucijų asamblėją; </w:t>
      </w:r>
    </w:p>
    <w:p w14:paraId="1E85CACE" w14:textId="1B11D267" w:rsidR="007F5615" w:rsidRPr="000657EA" w:rsidRDefault="007F5615" w:rsidP="007F5615">
      <w:pPr>
        <w:pStyle w:val="NormalHanging12a"/>
      </w:pPr>
      <w:r w:rsidRPr="000657EA">
        <w:t>21.</w:t>
      </w:r>
      <w:r w:rsidRPr="000657EA">
        <w:tab/>
        <w:t xml:space="preserve">atkreipia dėmesį į platesnį Komiteto dalyvavimą visame Sąjungos politiniame ir teisėkūros cikle, kuris įmanomas dėl bendradarbiavimo sistemų su Komisija, Parlamentu bei Europos investicijų banku; pabrėžia, kad svarbu kviesti Komiteto ir EESRK narius į jų kompetencijai priklausančius Parlamento posėdžius; </w:t>
      </w:r>
    </w:p>
    <w:p w14:paraId="0DC1FB6F" w14:textId="77777777" w:rsidR="007F5615" w:rsidRPr="000657EA" w:rsidRDefault="007F5615" w:rsidP="007F5615">
      <w:pPr>
        <w:pStyle w:val="NormalHanging12a"/>
      </w:pPr>
      <w:r w:rsidRPr="000657EA">
        <w:t>22.</w:t>
      </w:r>
      <w:r w:rsidRPr="000657EA">
        <w:tab/>
        <w:t>atkreipia dėmesį į tai, kad 2024 m. Komitetas surengė penkias konsultacijas su regioniniais centrais, dvi konsultacijas su subsidiarumo ekspertų grupėmis ir atliko du vertinimus bei parengė dvi nuomones dėl ateičiai tinkamo reglamentavimo; ragina Komitetą toliau teikti naudingą ir aktualią informaciją, pvz., vietos duomenis ir analizę, Sąjungos institucijoms ir kitiems Sąjungos politikos naudos gavėjams;</w:t>
      </w:r>
    </w:p>
    <w:p w14:paraId="65D78672" w14:textId="77777777" w:rsidR="007F5615" w:rsidRPr="000657EA" w:rsidRDefault="007F5615" w:rsidP="007F5615">
      <w:pPr>
        <w:pStyle w:val="NormalHanging12a"/>
      </w:pPr>
      <w:r w:rsidRPr="000657EA">
        <w:t>23.</w:t>
      </w:r>
      <w:r w:rsidRPr="000657EA">
        <w:tab/>
        <w:t>su dėkingumu pažymi, kad 2024 m. Komitetas toliau įgyvendino priemones, skirtas vidaus valdymui gerinti ir administravimui modernizuoti, procesams racionalizuoti ir sąnaudų efektyvumui didinti; palankiai vertina geresnį skaitmeninių priemonių naudojimą, visų pirma pastangas, kuriomis siekiama supaprastinimo, administracinio veiksmingumo ir nereikalingų vidaus procedūrų mažinimo; atsižvelgdamas į klausimyną ir metinę ataskaitą atkreipia dėmesį į 2024 m. pasiektą pažangą skaitmeninimo ir darbo srauto optimizavimo srityje (pvz., mašininis vertimas įprastinėms užduotims atlikti, platesnis „Microsoft 365“ įrankių bei „SharePoint“ naudojimas), veiklos ir įrenginių sąnaudų taupymo srityje (pvz., nuotolinis vertimas žodžiu, energijos taupymo priemonės ir mišrus darbo režimas), efektyvumo didinimą (pvz., persvarstant sutartis), taisyklių ir procedūrų supaprastinimą įgyvendinus 63 iš 73 projektų ir 20 proc. sumažinus procedūrų skaičių, taip pat keletą kitų veiksmų, susijusių su Komiteto administracijos modernizavimo planu „Going for IMPact!“;</w:t>
      </w:r>
    </w:p>
    <w:p w14:paraId="184DBB4D" w14:textId="77777777" w:rsidR="007F5615" w:rsidRPr="000657EA" w:rsidRDefault="007F5615" w:rsidP="007F5615">
      <w:pPr>
        <w:pStyle w:val="NormalHanging12a"/>
        <w:rPr>
          <w:bCs/>
          <w:iCs/>
        </w:rPr>
      </w:pPr>
      <w:r w:rsidRPr="000657EA">
        <w:t>24.</w:t>
      </w:r>
      <w:r w:rsidRPr="000657EA">
        <w:tab/>
        <w:t>pabrėžia, kad modernizavimo pastangos turi būti derinamos su sistemingu pasiektos apčiuopiamos naudos vertinimu, įskaitant išmatuojamą efektyvumo padidėjimą, išlaidų taupymą ir administracinių procedūrų trukmę; todėl ragina Komitetą parengti metodiką, pagal kurią būtų galima kiekybiškai įvertinti šiuos patobulinimus ir reguliariai apie juos pranešti;</w:t>
      </w:r>
    </w:p>
    <w:p w14:paraId="7917446C" w14:textId="77777777" w:rsidR="007F5615" w:rsidRPr="000657EA" w:rsidRDefault="007F5615" w:rsidP="007F5615">
      <w:pPr>
        <w:pStyle w:val="NormalHanging12a"/>
      </w:pPr>
      <w:r w:rsidRPr="000657EA">
        <w:t>25.</w:t>
      </w:r>
      <w:r w:rsidRPr="000657EA">
        <w:tab/>
        <w:t>atsižvelgdamas į klausimyną ir metinę ataskaitą atkreipia dėmesį į veiksmus ir priemones, kurių Komitetas ėmėsi siekdamas supaprastinti, bet kartu ir sustiprinti vidaus kontrolės aplinką; pažymi, kad 2024 m. vidaus kontrolės ir įsivertinimo veikla buvo sutelkta į finansų valdymą ir Komiteto biudžeto vykdytojams aktualiausius vidaus kontrolės aspektus; su pasitenkinimu pažymi, kad Komitetas baigė daugiau nei 500 jautrių pareigybių tikrinimą, po kurio 2024 m. buvo imtasi švelninimo priemonių, įvesti kontrolės mechanizmai ir patvirtintos mobilumo taisyklės; pažymi, kad Komiteto daugiametis veiksmų planas, skirtas vidaus kontrolės aplinkai peržiūrėti ir supaprastinti, buvo toliau įgyvendinamas vykdant projektų konvergenciją, kuri apima daugelį procesų, daugiausia dėmesio skiriant Komiteto veiklos rezultatų ir poveikio stebėsenai bei ataskaitų teikimui tikruoju laiku; kadangi paskutiniai du iš šių procesų, susiję su Komiteto metine veiklos ataskaita ir veiklos tęstinumu, buvo visiškai įgyvendinti 2024 m.; pažymi, kad, atsižvelgiant į naują Komiteto vidaus kontrolės sistemą, buvo pasiektos ir kitos svarbios tarpinės reikšmės, kaip antai, sukurtos veiksmingos priemonės, kurias galima greitai įgyvendinti krizės atveju ir kurios, be kita ko, aprėpia įvairias sritis, pavyzdžiui, IT, ryšius, finansines grandines ir duomenų apsaugą;</w:t>
      </w:r>
    </w:p>
    <w:p w14:paraId="0CA8E012" w14:textId="77777777" w:rsidR="007F5615" w:rsidRPr="000657EA" w:rsidRDefault="007F5615" w:rsidP="007F5615">
      <w:pPr>
        <w:pStyle w:val="NormalHanging12a"/>
      </w:pPr>
      <w:r w:rsidRPr="000657EA">
        <w:t>26.</w:t>
      </w:r>
      <w:r w:rsidRPr="000657EA">
        <w:tab/>
        <w:t xml:space="preserve">atkreipia dėmesį į tai, kad 2024 m. Komitetas įgyvendino iš dalies suskaitmenintą ir supaprastintą finansinių srautų ir finansų pareigūnų skyrimo procedūrą; atkreipia dėmesį į tai, kad 2024 m. 5,60 proc. </w:t>
      </w:r>
      <w:r w:rsidRPr="000657EA">
        <w:rPr>
          <w:i/>
          <w:iCs/>
        </w:rPr>
        <w:t>ex ante</w:t>
      </w:r>
      <w:r w:rsidRPr="000657EA">
        <w:t xml:space="preserve"> patikrintų operacijų buvo atmestos, kad būtų pataisytos arba dėl jų buvo pateiktos neigiamos nuomonės, ir kad </w:t>
      </w:r>
      <w:r w:rsidRPr="000657EA">
        <w:rPr>
          <w:i/>
          <w:iCs/>
        </w:rPr>
        <w:t>ex pos</w:t>
      </w:r>
      <w:r w:rsidRPr="000657EA">
        <w:t>t kontrolė buvo sutelkta į finansines operacijas (pagal naują metodiką) ir ją atlikus nebuvo aptikta jokių reikšmingų trūkumų; be to, pažymi, kad, palyginti su 2023 m., sumažėjo pranešimų apie finansines išimtis skaičius, užregistruoti du administraciniai pranešimai apie išimtis vidaus procedūrų nesilaikymo klausimu, ir nebuvo vykdomi jokie teisminiai ginčai, susiję su viešųjų pirkimų sprendimais;</w:t>
      </w:r>
    </w:p>
    <w:p w14:paraId="45A8B754" w14:textId="77777777" w:rsidR="007F5615" w:rsidRPr="000657EA" w:rsidRDefault="007F5615" w:rsidP="007F5615">
      <w:pPr>
        <w:pStyle w:val="NormalHanging12a"/>
      </w:pPr>
      <w:r w:rsidRPr="000657EA">
        <w:t>27.</w:t>
      </w:r>
      <w:r w:rsidRPr="000657EA">
        <w:tab/>
        <w:t>pažymi, kad 2024 m. buvo pradėti trys nauji auditai: dėl Komiteto nariams teikiamų logistikos paslaugų veiksmingumo, dėl žmogiškųjų išteklių paskirstymo vertimo raštu departamente optimizavimo ir dėl viešųjų pirkimų ir sutarčių administravimo tinkamumo; atsižvelgdamas į klausimyną atkreipia dėmesį į pažangą, padarytą vykdant auditus dėl laisvų darbo vietų valdymo, asmens duomenų apsaugos ir IT organizavimo jungtinėse tarnybose veiksmingumo; ragina Komitetą informuoti biudžeto įvykdymą tvirtinančią instituciją apie šioje srityje padarytą pažangą;</w:t>
      </w:r>
    </w:p>
    <w:p w14:paraId="748DF278" w14:textId="77777777" w:rsidR="007F5615" w:rsidRPr="000657EA" w:rsidRDefault="007F5615" w:rsidP="00F11024">
      <w:pPr>
        <w:pStyle w:val="NormalHanging12a"/>
        <w:ind w:left="0" w:firstLine="0"/>
        <w:rPr>
          <w:b/>
          <w:bCs/>
          <w:i/>
        </w:rPr>
      </w:pPr>
      <w:r w:rsidRPr="000657EA">
        <w:rPr>
          <w:b/>
          <w:i/>
        </w:rPr>
        <w:t>Žmogiškieji ištekliai, lygybė ir darbuotojų gerovė</w:t>
      </w:r>
    </w:p>
    <w:p w14:paraId="049BE773" w14:textId="77777777" w:rsidR="007F5615" w:rsidRPr="000657EA" w:rsidRDefault="007F5615" w:rsidP="007F5615">
      <w:pPr>
        <w:pStyle w:val="NormalHanging12a"/>
        <w:rPr>
          <w:bCs/>
        </w:rPr>
      </w:pPr>
      <w:r w:rsidRPr="000657EA">
        <w:t>28.</w:t>
      </w:r>
      <w:r w:rsidRPr="000657EA">
        <w:tab/>
        <w:t xml:space="preserve">pažymi, kad 2024 m. pabaigoje Komitete iš viso dirbo 561 darbuotojas (neįskaitant deleguotųjų nacionalinių ekspertų, iš laikinojo įdarbinimo agentūrų pasamdytų darbuotojų, </w:t>
      </w:r>
      <w:r w:rsidRPr="000657EA">
        <w:rPr>
          <w:i/>
          <w:iCs/>
        </w:rPr>
        <w:t>intra muros</w:t>
      </w:r>
      <w:r w:rsidRPr="000657EA">
        <w:t xml:space="preserve"> ekspertų ir stažuotojų), palyginti su 559 darbuotojais 2023 m.; pažymi, kad 2024 m. pabaigoje Komitete dirbo 73 sutartininkai, palyginti su 74 sutartininkais 2023 m., ir 102 laikinieji darbuotojai, palyginti su 96 laikinaisiais darbuotojais 2023 m., iš kurių 22 sutartininkai turėjo neterminuotas darbo sutartis, 51 sutartininkas turėjo terminuotą sutartį, 49 laikinieji darbuotojai dirbo nuolatinėse pareigybėse pagal terminuotas sutartis, 50 laikinųjų darbuotojų turėjo neterminuotas darbo sutartis, o 3 laikinieji darbuotojai dirbo laikinose pareigybėse; be to, pažymi, kad Komitetas įdarbino 39 išorės paslaugų teikėjus, dirbančius </w:t>
      </w:r>
      <w:r w:rsidRPr="000657EA">
        <w:rPr>
          <w:i/>
          <w:iCs/>
        </w:rPr>
        <w:t>intra muros</w:t>
      </w:r>
      <w:r w:rsidRPr="000657EA">
        <w:t>; pabrėžia, kad svarbu, kai tinkama, sudaryti nuolatines sutartis, kad būtų išlaikyti įgūdžiai, tęstinumas ir produktyvi bei stabili darbo aplinka, kartu išsaugant lankstumą ir nuopelnais grindžiamą įdarbinimą, atitinkantį veiklos poreikius; įspėja dėl pernelyg didelės priklausomybės nuo išorės paslaugų teikėjų; pažymi, kad 2024 m. etatų plane numatytų pareigybių užimtumo lygis buvo atitinkamai 96,40 proc. (sumažėjo, palyginti su 98 proc. 2023 m.), o darbuotojų kaitos lygis atitinkamai buvo 7,30 proc. (padidėjo, palyginti su 6,60 proc. 2023 m.);</w:t>
      </w:r>
    </w:p>
    <w:p w14:paraId="6C0AD202" w14:textId="77777777" w:rsidR="007F5615" w:rsidRPr="000657EA" w:rsidRDefault="007F5615" w:rsidP="007F5615">
      <w:pPr>
        <w:pStyle w:val="NormalHanging12a"/>
        <w:rPr>
          <w:bCs/>
        </w:rPr>
      </w:pPr>
      <w:r w:rsidRPr="000657EA">
        <w:t>29.</w:t>
      </w:r>
      <w:r w:rsidRPr="000657EA">
        <w:tab/>
        <w:t>atkreipia dėmesį į tai, kad 2024 m. pagal programą „Cicero“ Komitetas įdarbino 51 stažuotoją, o Komiteto stažuotojams mokama mėnesinė stipendija ir suteikiamos tokios pačios darbo sąlygos kaip ir darbuotojams, įskaitant galimybę dirbti nuotoliniu būdu; dar kartą akcentuoja, kad stažuotės turėtų būti apmokamos, vadovaujantis 2023 m. birželio 14 d. Europos Parlamento rezoliucija su rekomendacijomis Komisijai dėl kokybiškų stažuočių Sąjungoje (2020/2005(INL)), kurioje raginama užtikrinti, kad visos stažuotės Sąjungoje būtų apmokamos;</w:t>
      </w:r>
    </w:p>
    <w:p w14:paraId="76278F82" w14:textId="390DF845" w:rsidR="007F5615" w:rsidRPr="000657EA" w:rsidRDefault="007F5615" w:rsidP="007F5615">
      <w:pPr>
        <w:pStyle w:val="NormalHanging12a"/>
        <w:rPr>
          <w:bCs/>
        </w:rPr>
      </w:pPr>
      <w:r w:rsidRPr="000657EA">
        <w:t>30.</w:t>
      </w:r>
      <w:r w:rsidRPr="000657EA">
        <w:tab/>
        <w:t>apgailestaudamas pažymi, kad Komitetas dar nepasiekė lyčių lygybės vadovaujamų pareigų požiūriu, tačiau pripažįsta didelę pažangą, pasiektą įgyvendinant Komiteto penkerių metų įvairovės ir įtraukties strategiją bei 2022–2026 m. veiksmų planą; palankiai vertina tai, kad 2025 m. buvo išrinkta Komiteto pirmininkė moteris, dar kartą patvirtinant institucijos įsipareigojimą skatinti lyčių lygybę aukščiausiu politiniu lygmeniu, ir ragina Komitetą toliau dėti pastangas siekiant padidinti vadovaujamas pareigas einančių moterų skaičių, kartu pabrėžiant, kad nuopelnai ir profesinė kvalifikacija tebėra pagrindiniai paskyrimo kriterijai; pažymi, kad 2024 m. pabaigoje Komitete dirbo 57,</w:t>
      </w:r>
      <w:r w:rsidR="00554DB5">
        <w:t>2</w:t>
      </w:r>
      <w:r w:rsidRPr="000657EA">
        <w:t> proc. moterų ir 42,8 proc. vyrų, t. y. beveik tokia pačia proporcija kaip 2023 m.; pažymi, kad vyresniosios vadovybės pareigas einančių moterų dalis sumažėjo nuo 44,4 proc. 2023 m. iki 33,3 proc. 2024 m. (2025 m. ji vėl padidėjo iki 44,4 proc.), o viduriniosios grandies vadovų pareigas einančių moterų dalis sumažėjo nuo 32,50 proc. 2023 m. iki 29,7 proc. 2024 m.; atsižvelgdamas į klausimyną atkreipia dėmesį į priemones, kurios padeda skatinti didesnį moterų dalyvavimą einant vadovaujamas pareigas, įskaitant tikslinius mokymus ir konsultuojamojo ugdymo galimybes darbuotojoms moterims, siekiančioms eiti vadovaujamas pareigas, bei į lankstesnių darbo sąlygų propagavimą; pakartoja, kad užtikrinti ilgalaikę lyčių pusiausvyrą einant vadovaujamas pareigas yra pagrindinis institucinis tikslas, ir tikisi, kad Komitetas priims konkretų per nustatytą laiką įvykdytiną veiksmų planą, kuriame bus numatyti išmatuojami tikslai, tarpinės reikšmės ir metinės ataskaitos; ragina Komitetą užtikrinti, kad pažanga siekiant lygybės būtų stebima ir apie ją būtų viešai pranešama;</w:t>
      </w:r>
    </w:p>
    <w:p w14:paraId="66B966EF" w14:textId="77777777" w:rsidR="007F5615" w:rsidRPr="000657EA" w:rsidRDefault="007F5615" w:rsidP="007F5615">
      <w:pPr>
        <w:pStyle w:val="NormalHanging12a"/>
        <w:rPr>
          <w:bCs/>
        </w:rPr>
      </w:pPr>
      <w:r w:rsidRPr="000657EA">
        <w:t>31.</w:t>
      </w:r>
      <w:r w:rsidRPr="000657EA">
        <w:tab/>
        <w:t>giria Komitetą už jo veiksmus, kuriais taip pat siekiama skatinti lyčių pusiausvyrą jo narių požiūriu, visų pirma siunčiant Tarybai laiškus dėl laisvų darbo vietų ir bendradarbiaujant šiuo klausimu su nuolatinėmis atstovybėmis ir nacionalinėmis vietos ir regionų valdžios institucijų asociacijomis, dalyvaujančiomis kandidatų skyrimo procese; remdamasis ataskaita dėl tolesnių veiksmų atkreipia dėmesį į tai, kad tuo tarpu moterų narių procentinė dalis padidėjo nuo 23,40 proc. 2020 m. iki 28,7 proc. 2025 m.; vertina tai, kad naujose Komiteto darbo tvarkos taisyklėse, kurios įsigaliojo 2024 m. rugpjūčio mėn., numatyti aiškūs tikslai lyčių pusiausvyrai didinti, ypač atsižvelgiant į Komiteto biuro sudėtį; ragina Komitetą toliau skatinti lyčių pusiausvyrą, kartu užtikrinant, kad paskyrimai būtų grindžiami nuopelnais, profesine patirtimi ir kvalifikacija;</w:t>
      </w:r>
    </w:p>
    <w:p w14:paraId="71AED0A3" w14:textId="77777777" w:rsidR="007F5615" w:rsidRPr="000657EA" w:rsidRDefault="007F5615" w:rsidP="007F5615">
      <w:pPr>
        <w:pStyle w:val="NormalHanging12a"/>
      </w:pPr>
      <w:r w:rsidRPr="000657EA">
        <w:t>32.</w:t>
      </w:r>
      <w:r w:rsidRPr="000657EA">
        <w:tab/>
        <w:t>giria Komitetą už tai, kad jis 2024 m. surengė vidaus konkursą, siekdamas patenkinti dabartinius ir būsimus įdarbinimo srities poreikius, užtikrinti veiklos tęstinumą ir išlaikyti patyrusius darbuotojus, taip užpildydamas spragą, susidariusią dėl to, kad nėra Europos personalo atrankos tarnybos (EPSO) rezervo sąrašų; atsižvelgdamas į klausimyną pažymi, kad, 2025 m. rugsėjo 1 d. duomenimis, į Komiteto rezervo sąrašą buvo įtraukti 72 kandidatai, iš kurių 46 kandidatai jau buvo įdarbinti eiti įvairių kategorijų (tiek AST, tiek AD) darbuotojų pareigas; tikisi, kad dėl to nuo 2025 m. sumažės Komiteto įdarbintų laikinųjų darbuotojų ir sutartininkų skaičius;</w:t>
      </w:r>
    </w:p>
    <w:p w14:paraId="5A86FA0B" w14:textId="77777777" w:rsidR="007F5615" w:rsidRPr="000657EA" w:rsidRDefault="007F5615" w:rsidP="007F5615">
      <w:pPr>
        <w:pStyle w:val="NormalHanging12a"/>
      </w:pPr>
      <w:r w:rsidRPr="000657EA">
        <w:t>33.</w:t>
      </w:r>
      <w:r w:rsidRPr="000657EA">
        <w:tab/>
        <w:t>pažymi, kad, atsižvelgdamas į bandomąjį projektą dėl mišrios darbo tvarkos ir 2022 m. pradėtą darbuotojų pasitenkinimo darbu apklausą, 2024 m. sausio 1 d. Komitetas priėmė sprendimą, kuris taikomas nuo 2024 m. vasario 1 d. ir pagal kurį numatoma mišri darbo tvarka ir prie individualių poreikių pritaikytas savaitinis darbo grafikas kiekvienam darbuotojui, taip pat galimybė dirbti iš namų iki 60 proc. darbuotojo darbo laiko (išskyrus su nuotoliniu darbu nesuderinamų kategorijų darbuotojus), taip pat dirbti iš ne darbo vietos miesto iki 15 dienų per metus; pripažįsta, kad šiomis priemonėmis siekiama gerinti profesinio ir asmeninio gyvenimo pusiausvyrą, kartu išlaikant veiklos efektyvumą ir darbuotojų pasitenkinimą;</w:t>
      </w:r>
    </w:p>
    <w:p w14:paraId="07336984" w14:textId="77777777" w:rsidR="007F5615" w:rsidRPr="000657EA" w:rsidRDefault="007F5615" w:rsidP="007F5615">
      <w:pPr>
        <w:pStyle w:val="NormalHanging12a"/>
      </w:pPr>
      <w:r w:rsidRPr="000657EA">
        <w:t>34.</w:t>
      </w:r>
      <w:r w:rsidRPr="000657EA">
        <w:tab/>
        <w:t>su pasitenkinimu pažymi, kad 89 proc. dalyvavusiųjų 2025 m. darbuotojų apklausoje nurodė esantys patenkinti lanksčiomis Komiteto darbo sąlygomis; kadangi pastarosios taip pat gali turėti įtakos Komiteto darbuotojų laikinojo nedarbingumo atostogų dienų skaičiui; remdamasis ataskaita dėl tolesnių veiksmų atkreipia dėmesį į bendro laikinojo nedarbingumo atostogų dienų skaičiaus tolesnio mažėjimo tendenciją (7 303 dienos 2024 m., palyginti su 7 544 dienomis 2023 m.), kadangi laikinojo nedarbingumo atostogų neišėjusių darbuotojų skaičius sumažėjo nuo 211 (arba 36 proc. visų darbuotojų) 2023 m. iki 196 (arba 34 proc.) darbuotojų 2024 m.; darbuotojų, kurių laikinojo nedarbingumo atostogos buvo trumpesnės nei septynios dienos, skaičius padidėjo nuo 201 (arba 35 proc. visų darbuotojų) 2023 m. iki 211 (arba 36 proc.) darbuotojų 2024 m. ir darbuotojų, išėjusių 7,5–21 dienos trukmės laikinojo nedarbingumo atostogų, skaičius padidėjo nuo 92 (arba 16 proc. visų darbuotojų) 2023 m. iki 96 (arba 16 proc. visų darbuotojų) 2024 m.;</w:t>
      </w:r>
    </w:p>
    <w:p w14:paraId="5A63A78C" w14:textId="77777777" w:rsidR="007F5615" w:rsidRPr="000657EA" w:rsidRDefault="007F5615" w:rsidP="007F5615">
      <w:pPr>
        <w:pStyle w:val="NormalHanging12a"/>
      </w:pPr>
      <w:r w:rsidRPr="000657EA">
        <w:t>35.</w:t>
      </w:r>
      <w:r w:rsidRPr="000657EA">
        <w:tab/>
        <w:t>atsižvelgdamas į klausimyną pažymi, kad profesinio perdegimo atvejų skaičius sumažėjo nuo 18 atvejų 2023 m. iki 6 atvejų 2024 m.; giria Komitetą už proaktyvų požiūrį į profesinio perdegimo sindromo prevenciją atidžiai stebint ilgalaikėse laikinojo nedarbingumo atostogose esančius darbuotojus ir taikant individualias priemones, kurios apima reguliarius kontaktus su atitinkamais darbuotojais ir medicinos ekspertų nuomones; be to, pažymi, kad 2024 m. Komitetui pavyko sėkmingai reintegruoti tris darbuotojus po ilgalaikio nebuvimo darbe dėl profesinio perdegimo, imantis prie individualių poreikių pritaikytų tolesnių veiksmų, susijusių su ilgalaikėmis laikinojo nedarbingumo atostogomis; palankiai vertina Komiteto 2024 m. taikytus prevencinius veiksmus, skirtus darbuotojų sveikatai ir gerovei darbe gerinti, pavyzdžiui, darbuotojams siūlomas konsultacijas darbo vietoje su paramedicinos specialistais (fizioterapeutais, osteopatais, pagal preliminariąją sutartį samdomais treneriais) ir rengiamas konferencijas informuotumui sveikatos klausimais didinti;</w:t>
      </w:r>
    </w:p>
    <w:p w14:paraId="3C1F8159" w14:textId="77777777" w:rsidR="007F5615" w:rsidRPr="000657EA" w:rsidRDefault="007F5615" w:rsidP="007F5615">
      <w:pPr>
        <w:pStyle w:val="NormalHanging12a"/>
      </w:pPr>
      <w:r w:rsidRPr="000657EA">
        <w:t>36.</w:t>
      </w:r>
      <w:r w:rsidRPr="000657EA">
        <w:tab/>
        <w:t>pažymi, kad 2024 m. Komitetas, laikydamasis 2021 m. balandžio 26 d. sprendimo dėl orumo darbe apsaugos, konfliktų valdymo ir kovos su priekabiavimu, toliau didino informuotumą apie priemones, kurių imtasi siekiant užkirsti kelią priekabiavimui darbo vietoje ir kovoti su juo, visų pirma parengdamas specialias gaires, vykdydamas vidinę komunikaciją (kas dvi savaites leidžiamas naujienlaiškis žmogiškųjų išteklių klausimais) ir surengdamas keletą informacinių susitikimų darbuotojams bei vadovams, įskaitant privalomus mokymus profesinės etikos ir profesinio sąžiningumo klausimais; pažymi, kad 2024 m. Komitetas užregistravo keturis naujus galimo priekabiavimo atvejus, iš kurių vienas buvo susijęs su seksualiniu priekabiavimu ir vienas atvejis buvo perduotas Belgijos policijai pateikus oficialų skundą; pažymi, kad buvo taikomos nustatytos procedūros (preliminarus vertinimas, administracinis tyrimas, atsargumo priemonės ir kt.), ir ragina Komitetą informuoti biudžeto įvykdymą tvirtinančią instituciją apie su šiais atvejais susijusius rezultatus;</w:t>
      </w:r>
    </w:p>
    <w:p w14:paraId="1FB204DB" w14:textId="77777777" w:rsidR="007F5615" w:rsidRPr="000657EA" w:rsidRDefault="007F5615" w:rsidP="007F5615">
      <w:pPr>
        <w:pStyle w:val="NormalHanging12a"/>
      </w:pPr>
      <w:r w:rsidRPr="000657EA">
        <w:t>37.</w:t>
      </w:r>
      <w:r w:rsidRPr="000657EA">
        <w:tab/>
        <w:t>giria Komitetą už tai, kad jis užtikrino, jog neįgalieji turėtų prieigą prie visų Komiteto skaitmeninių produktų arba galėtų jais naudotis taikant Žiniatinklio turinio prieinamumo gaires; šiuo atžvilgiu pažymi, kad 2024 m. Komiteto platforma „HReForms“ buvo atnaujinta, pagrindiniu reikalavimu laikant prieinamumą, ir įdiegtos tokios funkcijos kaip, be kita ko, geresnis spalvų kontrastas, naršymas klaviatūra ir alternatyvusis tekstas; su pasitenkinimu pažymi, kad Komitetas apmoka apgyvendinimo paslaugas neįgaliems kandidatams, taip užtikrindamas sąžiningas atrankos procedūras;</w:t>
      </w:r>
    </w:p>
    <w:p w14:paraId="0B711104" w14:textId="77777777" w:rsidR="007F5615" w:rsidRPr="000657EA" w:rsidRDefault="007F5615" w:rsidP="007F5615">
      <w:pPr>
        <w:pStyle w:val="NormalHanging12a"/>
      </w:pPr>
      <w:r w:rsidRPr="000657EA">
        <w:t>38.</w:t>
      </w:r>
      <w:r w:rsidRPr="000657EA">
        <w:tab/>
        <w:t>pažymi, kad 2024 m. tarp Komitete dirbančių darbuotojų buvo visų Sąjungos valstybių narių piliečių (ir vienas Ukrainos pilietybę turintis darbuotojas), o kai kurių šalių atstovų buvo pernelyg daug; palankiai vertina Komiteto pastangas siekiant subalansuoti geografinį darbuotojų pasiskirstymą 2024 m. taikant tikslingas informavimo iniciatyvas, kuriomis norima pritraukti kandidatų iš nepakankamai atstovaujamų šalių; pažymi, kad šios iniciatyvos apėmė platesnį skaitmeninių platformų ir socialinės žiniasklaidos priemonių naudojimą siekiant padidinti laisvų darbo vietų matomumą, paskatinti tiesioginį bendradarbiavimą su valstybių narių nuolatinėmis atstovybėmis, pristatymus tikslinei auditorijai, kad dalyvavimas Komiteto atrankos procedūrose būtų aktyvesnis, ir paraiškų tendencijų analizę; pažymi, kad šios priemonės jau davė teigiamų rezultatų 2024 m., pavyzdžiui, padaugėjo gautų darbo prašymų, be kita ko, prašymų iš nepakankamai atstovaujamų šalių atstovų; be to, palankiai vertina Komiteto bendradarbiavimą su EPSO ir kitomis Sąjungos institucijomis siekiant įvairinti kandidatų rezervą, dalytis geriausia praktika ir koordinuoti pastangas, kad būtų sprendžiamas atstovavimo spragų visoje Sąjungos administracijoje klausimas; ragina Komitetą toliau imtis priemonių, kuriomis siekiama labiau subalansuoto geografinio pasiskirstymo, taip pat ir vadovybės lygmeniu, ir informuoti biudžeto įvykdymą tvirtinančią instituciją apie Komiteto gautų darbo prašymų tendencijas įvairiais laikotarpiais;</w:t>
      </w:r>
    </w:p>
    <w:p w14:paraId="0BA67690" w14:textId="77777777" w:rsidR="007F5615" w:rsidRPr="000657EA" w:rsidRDefault="007F5615" w:rsidP="007F5615">
      <w:pPr>
        <w:pStyle w:val="NormalHanging12a"/>
        <w:rPr>
          <w:bCs/>
          <w:iCs/>
        </w:rPr>
      </w:pPr>
      <w:r w:rsidRPr="000657EA">
        <w:t>39.</w:t>
      </w:r>
      <w:r w:rsidRPr="000657EA">
        <w:tab/>
        <w:t>palankiai vertina tvirtą ir struktūrinį socialinį dialogą, susijusį su organizacinių pokyčių procesais per visus 2024 m.; ragina Komitetą išlaikyti ir toliau stiprinti sistemingą darbuotojų atstovų dalyvavimą vykdant reformas, susijusias, be kita ko, su skaitmeninimu, vidaus reorganizacija ir naujais darbo metodais;</w:t>
      </w:r>
    </w:p>
    <w:p w14:paraId="0C1F16F5" w14:textId="77777777" w:rsidR="007F5615" w:rsidRPr="000657EA" w:rsidRDefault="007F5615" w:rsidP="00F11024">
      <w:pPr>
        <w:pStyle w:val="NormalHanging12a"/>
        <w:ind w:left="0" w:firstLine="0"/>
        <w:rPr>
          <w:b/>
          <w:i/>
        </w:rPr>
      </w:pPr>
      <w:r w:rsidRPr="000657EA">
        <w:rPr>
          <w:b/>
          <w:i/>
        </w:rPr>
        <w:t>Etikos sistema ir skaidrumas</w:t>
      </w:r>
    </w:p>
    <w:p w14:paraId="1FC061AA" w14:textId="77777777" w:rsidR="007F5615" w:rsidRPr="000657EA" w:rsidRDefault="007F5615" w:rsidP="007F5615">
      <w:pPr>
        <w:pStyle w:val="NormalHanging12a"/>
      </w:pPr>
      <w:r w:rsidRPr="000657EA">
        <w:t>40.</w:t>
      </w:r>
      <w:r w:rsidRPr="000657EA">
        <w:tab/>
        <w:t>teigiamai vertina 2023 m. Komiteto atliktą darbą siekiant konsoliduoti etikos taisykles ir praktiką parengiant vieną etikos teisinę sistemą (Sprendimas Nr. 157/2023), kuri, be kita ko, apima drausminę procedūrą, orumą darbe, konfliktų valdymą, kovą su priekabiavimu, išorės veiklą ir informavimą apie pažeidimus; pažymi, kad 2024 m. buvo pirmieji šios naujos sistemos įgyvendinimo metai; pažymi, kad 2024 m. Komitetas dažnai rengė privalomus mokymo kursus etikos ir sąžiningumo, informavimo apie pažeidimus ir interesų konfliktų prevencijos klausimais įvairioms darbuotojų grupėms, įskaitant naujokus, vadovus ir visus darbuotojus;</w:t>
      </w:r>
    </w:p>
    <w:p w14:paraId="326F7420" w14:textId="77777777" w:rsidR="007F5615" w:rsidRPr="000657EA" w:rsidRDefault="007F5615" w:rsidP="007F5615">
      <w:pPr>
        <w:pStyle w:val="NormalHanging12a"/>
      </w:pPr>
      <w:r w:rsidRPr="000657EA">
        <w:t>41.</w:t>
      </w:r>
      <w:r w:rsidRPr="000657EA">
        <w:tab/>
        <w:t>pažymi, kad 2024 m. Komitetas nepranešė nė apie vieną atvejį Europos kovos su sukčiavimu tarnybai (OLAF), Europos prokuratūrai ar Europos ombudsmenui ir šie subjektai nevykdė jokio su komitetu susijusio tyrimo;</w:t>
      </w:r>
    </w:p>
    <w:p w14:paraId="78C6C065" w14:textId="77777777" w:rsidR="007F5615" w:rsidRPr="000657EA" w:rsidRDefault="007F5615" w:rsidP="007F5615">
      <w:pPr>
        <w:pStyle w:val="NormalHanging12a"/>
      </w:pPr>
      <w:r w:rsidRPr="000657EA">
        <w:t>42.</w:t>
      </w:r>
      <w:r w:rsidRPr="000657EA">
        <w:tab/>
        <w:t>primena, kad Komitetas priėmė 2023 m. liepos 4 d. Reglamentą Nr. 6/2023, nustatantį skaidrumo priemones, kuriame daugiausia dėmesio skiriama pareigas einantiems nariams bei pranešėjams; kadangi šiose priemonėse daroma nuoroda į raginimą pareigas einantiems nariams ir pranešėjams susitikti tik su tais interesų grupių atstovais, kurie yra įsiregistravę Skaidrumo registre, ir viešai atskleisti informaciją apie visus susitikimus su interesų grupių atstovais, kuriuos jie rengia kaip Komiteto nariai; pažymi, kad 2024 m. vienas komiteto narys pranešė apie susitikimą su interesų grupės atstovu; atsižvelgdamas į tai, giria Komitetą už tai, kad jis 2024 m. sausio 1 d. oficialiai prisijungė prie ES skaidrumo registro;</w:t>
      </w:r>
    </w:p>
    <w:p w14:paraId="7BCFDB8C" w14:textId="77777777" w:rsidR="007F5615" w:rsidRPr="000657EA" w:rsidRDefault="007F5615" w:rsidP="007F5615">
      <w:pPr>
        <w:pStyle w:val="NormalHanging12a"/>
        <w:rPr>
          <w:b/>
          <w:bCs/>
          <w:i/>
          <w:iCs/>
          <w:szCs w:val="24"/>
        </w:rPr>
      </w:pPr>
      <w:r w:rsidRPr="000657EA">
        <w:t>43.</w:t>
      </w:r>
      <w:r w:rsidRPr="000657EA">
        <w:tab/>
        <w:t>atsižvelgdamas į klausimyną, atkreipia dėmesį į principus ir mechanizmus, kuriuos Komitetas įgyvendino 2024 m., siekdamas skatinti skaidrumą įvairiose srityse, kaip antai, biudžeto ir finansų valdymo, ataskaitų teikimo, bendradarbiavimo audito srityje, žmogiškųjų išteklių, viešųjų pirkimų, visuomenės teisės susipažinti su dokumentais ir įrašų tvarkymo;</w:t>
      </w:r>
    </w:p>
    <w:p w14:paraId="7026899C" w14:textId="77777777" w:rsidR="007F5615" w:rsidRPr="000657EA" w:rsidRDefault="007F5615" w:rsidP="007F5615">
      <w:pPr>
        <w:pStyle w:val="NormalHanging12a"/>
      </w:pPr>
      <w:r w:rsidRPr="000657EA">
        <w:t>44.</w:t>
      </w:r>
      <w:r w:rsidRPr="000657EA">
        <w:tab/>
        <w:t>teigiamai vertina 2024 m. atnaujintas Komiteto pastangas interesų konfliktų nustatymo ir prevencijos srityje; pažymi, kad savo Sprendimu Nr. 157/2023 Komitetas apibrėžė interesų konfliktų sąvoką ir įdiegė tokių konfliktų nustatymo ir prevencijos mechanizmą, pagal kurį reikalaujama, kad darbuotojai deklaruotų, ar jiems gali kilti interesų konfliktas (potencialus ar galimas), užpildydami tam tikrą formą įvairiais svarbiais savo karjeros ar profesinės veiklos etapais; atsižvelgdamas į klausimyną su pasitenkinimu pažymi, kad metinė informacija apie buvusių vyresniųjų pareigūnų profesinę veiklą yra skaidriai skelbiama Komiteto interneto svetainėje ir kad jiems draudžiama užsiimti bet kokia lobistine ar tarpininkavimo veikla Komiteto atžvilgiu per pirmuosius 12 mėnesių po to, kai jie išeina iš savo pareigų Komitete;</w:t>
      </w:r>
    </w:p>
    <w:p w14:paraId="117A1A57" w14:textId="77777777" w:rsidR="007F5615" w:rsidRPr="000657EA" w:rsidRDefault="007F5615" w:rsidP="007F5615">
      <w:pPr>
        <w:pStyle w:val="NormalHanging12a"/>
      </w:pPr>
      <w:r w:rsidRPr="000657EA">
        <w:t>45.</w:t>
      </w:r>
      <w:r w:rsidRPr="000657EA">
        <w:tab/>
        <w:t>atsižvelgdamas į klausimyną atkreipia dėmesį į tai, kad 2024 m. Komitete nebuvo nustatyta jokių interesų konfliktų; vis dėlto pažymi, kad vienas Komiteto narys išreiškė susirūpinimą dėl galimo interesų konflikto, susijusio su atlygiu už techninės paramos tyrimo parengimą Parlamento nariui ar Parlamento frakcijai; palankiai vertina per biudžeto įvykdymo patvirtinimo procedūrą gautą patvirtinimą, kad minėtas Komiteto narys iš tiesų nepriėmė šio konkretaus darbo pasiūlymo;</w:t>
      </w:r>
    </w:p>
    <w:p w14:paraId="1451280A" w14:textId="77777777" w:rsidR="007F5615" w:rsidRPr="000657EA" w:rsidRDefault="007F5615" w:rsidP="007F5615">
      <w:pPr>
        <w:pStyle w:val="NormalHanging12a"/>
      </w:pPr>
      <w:r w:rsidRPr="000657EA">
        <w:t>46.</w:t>
      </w:r>
      <w:r w:rsidRPr="000657EA">
        <w:tab/>
        <w:t>pažymi, kad 2024 m. Komitetui nebuvo pranešta apie jokius informavimo apie pažeidimą atvejus; pažymi, kad 2024 m. Komitetas nepatvirtino jokių naujų priemonių, susijusių su informavimu apie pažeidimus, ir toliau rėmėsi nuo 2015 m. taikomomis priemonėmis bei jas propagavo rengdamas mokymus etikos klausimais ir didindamas informuotumą; pritaria tam, kad tiek darbuotojams, tiek vadovybei būtų rengiami reguliarūs privalomi mokymai etikos klausimais;</w:t>
      </w:r>
    </w:p>
    <w:p w14:paraId="0879D676" w14:textId="77777777" w:rsidR="007F5615" w:rsidRPr="000657EA" w:rsidRDefault="007F5615" w:rsidP="007F5615">
      <w:pPr>
        <w:pStyle w:val="NormalHanging12a"/>
      </w:pPr>
      <w:r w:rsidRPr="000657EA">
        <w:t>47.</w:t>
      </w:r>
      <w:r w:rsidRPr="000657EA">
        <w:tab/>
        <w:t>pažymi, kad Komitetas yra numatęs įvairias jo nariams ir darbuotojams taikytinas kovos su sukčiavimu priemones bei veiksmus, kuriuos įgyvendina įvairios tarnybos; apgailestauja dėl to, kad 2024 m. nebuvo parengta kovos su sukčiavimu strategija; remdamasis klausimynu, vis dėlto pažymi, kad 2025 m. Komitetas patvirtino konsoliduotą kovos su sukčiavimu sistemą, kuri yra tarpinis žingsnis rengiant išsamią kovos su sukčiavimu strategiją, o šiam tikslui pasiekti reikalingą metodiką pateiks OLAF; primygtinai ragina Komitetą teikti pirmenybę visapusiškam šios strategijos plėtojimui ir įgyvendinimui, įskaitant rizikos vertinimą, prevenciją, nustatymą ir tolesnes priemones; ragina Komitetą šiuo klausimu nuolat informuoti biudžeto įvykdymą tvirtinančią instituciją;</w:t>
      </w:r>
    </w:p>
    <w:p w14:paraId="452523A4" w14:textId="77777777" w:rsidR="007F5615" w:rsidRPr="000657EA" w:rsidRDefault="007F5615" w:rsidP="00F11024">
      <w:pPr>
        <w:pStyle w:val="NormalHanging12a"/>
        <w:ind w:left="0" w:firstLine="0"/>
        <w:rPr>
          <w:b/>
          <w:i/>
        </w:rPr>
      </w:pPr>
      <w:r w:rsidRPr="000657EA">
        <w:rPr>
          <w:b/>
          <w:i/>
        </w:rPr>
        <w:t>Skaitmeninimas, kibernetinis saugumas ir duomenų apsauga</w:t>
      </w:r>
    </w:p>
    <w:p w14:paraId="3CD51BF3" w14:textId="77777777" w:rsidR="007F5615" w:rsidRPr="000657EA" w:rsidRDefault="007F5615" w:rsidP="007F5615">
      <w:pPr>
        <w:pStyle w:val="NormalHanging12a"/>
      </w:pPr>
      <w:r w:rsidRPr="000657EA">
        <w:t>48.</w:t>
      </w:r>
      <w:r w:rsidRPr="000657EA">
        <w:tab/>
        <w:t>atkreipia dėmesį į tai, kad 2024 m. Komiteto ir EESRK bendras IT biudžetas buvo 13,70 mln. EUR, palyginti su 12,70 mln. EUR 2023 m., t. y. sumažėjo maždaug 7,90 proc., o 760 000 EUR iš šio biudžeto (arba maždaug 6 proc.) 2024 m. buvo skirta kibernetiniam saugumui;</w:t>
      </w:r>
    </w:p>
    <w:p w14:paraId="569E1D28" w14:textId="77777777" w:rsidR="007F5615" w:rsidRPr="000657EA" w:rsidRDefault="007F5615" w:rsidP="007F5615">
      <w:pPr>
        <w:pStyle w:val="NormalHanging12a"/>
      </w:pPr>
      <w:r w:rsidRPr="000657EA">
        <w:t>49.</w:t>
      </w:r>
      <w:r w:rsidRPr="000657EA">
        <w:tab/>
        <w:t>atsižvelgdamas į klausimyną pažymi, kad 2024 m. Inovacijų ir informacinių technologijų departamentas įgyvendino naują 2024–2026 m. daugiametę skaitmeninę strategiją, pagal kurią pirmenybė teikiama skaitmeninių įrašų valdymui, elektroniniams darbo srautams, elektroniniams parašams ir debesija grindžiamiems sprendimams, o dėmesys sutelkiamas į keturias pagrindines programas – M365 (skaitmeninė darbo vieta), ARES, „EdiT“, taip pat kibernetiniam saugumui, siekiant stiprinti bendradarbiavimą, automatizavimą ir institucijų atsparumą; pabrėžia su programa M365 susijusią pažangą, įskaitant migracijos į „SharePoint Online“ planavimą, „Windows 11“ ir M365 programėlių diegimą bei AI strategijos, kurioje numatytos bandomojo projekto „M365 Copilot“ veiksmų gairės, parengimą 2025 m.; pažymi, kad Komitetas pradėjo diegti dokumentų valdymo sistemą HAN ir daro pažangą diegdamas redaktorių „EdiT XML“, skirtą teisės aktų projektams rengti; palankiai vertina perėjimą prie kibernetinio saugumo kaip bendros atsakomybės, pasitelkus naujas mokymo iniciatyvas ir daugiametį planą, suderintą su Sąjungos standartais; pripažįsta, kad patobulėjo įrašų tvarkymo, infrastruktūros ir saugiojo ryšio priemonės, kaip antai elektroninio pašto SECABC, duomenų perdavimo SACHA ir galinių įrenginių valdymo sistemos; džiaugdamasis atkreipia dėmesį į nuolatinę Komiteto pažangą skaitmeninių inovacijų srityje, įskaitant perėjimą prie visiškai bepopierės ir kibernetiniu požiūriu saugios darbo aplinkos; giria 2025–2027 m. darbo planą „Regionų namai“, kuriame pirmenybė teikiama skaitmeninei pertvarkai, siekiant sukurti modernią, lanksčią ir skaitmeninėmis technologijomis grindžiamą instituciją;</w:t>
      </w:r>
    </w:p>
    <w:p w14:paraId="0AD1663F" w14:textId="77777777" w:rsidR="007F5615" w:rsidRPr="000657EA" w:rsidRDefault="007F5615" w:rsidP="007F5615">
      <w:pPr>
        <w:pStyle w:val="NormalHanging12a"/>
        <w:rPr>
          <w:bCs/>
        </w:rPr>
      </w:pPr>
      <w:r w:rsidRPr="000657EA">
        <w:t>50.</w:t>
      </w:r>
      <w:r w:rsidRPr="000657EA">
        <w:tab/>
        <w:t>atkreipia dėmesį į tai, kad Komitetas palaipsniui įdiegė dirbtinio intelekto bandomąjį projektą „Panoramic AI“, kurį įgyvendinant suformuotas pagrindinis centras, kuris nuo 2024 m. palengvino prieigą prie sudėtingo turinio; be to, atkreipia dėmesį į tai, kad Komitetas aktyviai naudoja Komisijos dirbtinio intelekto priemones vertimui, santraukoms ir kt. parengti ir dalyvauja kaip bandomasis naudotojas, siekdamas išbandyti GPT@JRC dirbtinio intelekto bandomąjį sprendimą; atsižvelgdamas į klausimyną pažymi, kad 2023 m. Komiteto patvirtintose DI gairėse nustatyti pagrindiniai principai, kaip darbuotojai galėtų eksperimentuoti su DI, siekiant įgyvendinti 2024 m. rugpjūčio mėn. įsigaliojusį Europos Parlamento ir Tarybos reglamentą (ES) 2024/1689</w:t>
      </w:r>
      <w:r w:rsidRPr="000657EA">
        <w:rPr>
          <w:rStyle w:val="FootnoteReference"/>
          <w:bCs/>
        </w:rPr>
        <w:footnoteReference w:id="12"/>
      </w:r>
      <w:r w:rsidRPr="000657EA">
        <w:t xml:space="preserve"> ir kurti Komiteto lygmens alternatyvas, atitinkančias duomenų apsaugos ir etikos standartus; šiuo atžvilgiu palankiai vertina informacinių susitikimų darbuotojams organizavimą, siekiant supažindinti juos su DI gairėmis, darbuotojams skirto pranešimo apie raštingumą DI srityje paskelbimą ir praktinių seminarų informuotumui apie DI didinti organizavimą 2024 m. ir ragina tęsti šią praktiką, be kita ko, rengti reguliarius mokymus saugaus, etiško ir veiksmingo dirbtinio intelekto naudojimo klausimu, taip pat reguliarius kibernetinio saugumo srities mokymus; pripažįsta asmeniniam produktyvumui didinti skirtų DI priemonių, pvz., „M365 Copilot“, ir DI pajėgumų integravimo į IT paramos priemones pridėtinę vertę; pabrėžia, kad dirbtinis intelektas turi būti naudojamas užtikrinant griežtus etiško naudojimo, skaidrumo, duomenų apsaugos, žmogaus vykdomos priežiūros ir apsaugos nuo algoritminio šališkumo ar netinkamo naudojimo principus;</w:t>
      </w:r>
    </w:p>
    <w:p w14:paraId="1E4C22C8" w14:textId="77777777" w:rsidR="007F5615" w:rsidRPr="000657EA" w:rsidRDefault="007F5615" w:rsidP="007F5615">
      <w:pPr>
        <w:pStyle w:val="NormalHanging12a"/>
      </w:pPr>
      <w:r w:rsidRPr="000657EA">
        <w:t>51.</w:t>
      </w:r>
      <w:r w:rsidRPr="000657EA">
        <w:tab/>
        <w:t>remdamasis klausimynu pažymi, kad po procedūrinio pažeidimo, kai be išankstinio Europos duomenų apsaugos priežiūros pareigūno (EDAPP) sutikimo buvo pakeistas duomenų apsaugos pareigūnas, komitetas pripažino klaidą ir ėmėsi taisomųjų veiksmų; pripažįsta, kad duomenų apsaugos pareigūno funkcijos perdavimas Teisės tarnybai buvo grindžiamas vidaus auditoriaus rekomendacija; pažymi, kad Komitetas grąžino į pareigas buvusį duomenų apsaugos pareigūną ir oficialiai paprašė EDAPP sutikimo dėl naujojo paskyrimo, siekdamas užtikrinti visišką atitiktį;</w:t>
      </w:r>
    </w:p>
    <w:p w14:paraId="69DF065B" w14:textId="77777777" w:rsidR="007F5615" w:rsidRPr="000657EA" w:rsidRDefault="007F5615" w:rsidP="007F5615">
      <w:pPr>
        <w:pStyle w:val="NormalHanging12a"/>
      </w:pPr>
      <w:r w:rsidRPr="000657EA">
        <w:t>52.</w:t>
      </w:r>
      <w:r w:rsidRPr="000657EA">
        <w:tab/>
        <w:t>atsižvelgdamas į klausimyną pažymi, kad 2024 m. Komitetas nepatyrė jokių sėkmingų kibernetinių išpuolių, nes esamos aptikimo ir prevencijos priemonės padėjo veiksmingai atremti visus bandymus grasinti; pažymi, kad Komitetas ėmėsi keleto veiksmų, kad sustiprintų savo kibernetinio saugumo ir duomenų apsaugos sistemą, nuolat sekdamas šių sričių naujoves ir atsižvelgdamas geriausią praktiką 2024 m.; pažymi, kad kai kurie iš šių veiksmų apėmė atitinkamų darbuotojų dalyvavimą Europos Sąjungos kibernetinio saugumo agentūros (ENISA) ir EDAPP organizuotuose mokymuose „Informuotumas apie asmens duomenų pažeidimus kibernetinio saugumo incidentų tvarkymo srityje“, dalyvavimą 2024 m. Europos kibernetinio saugumo mėnesio renginiuose ir informuotumo didinimo susitikimuose bei įvadiniuose mokymuose darbuotojams, kuriuose dalyvaujama fiziškai, ypač naujokams; ragina tęsti šią praktiką, įskaitant reguliarių mokymų kibernetinio saugumo klausimais organizavimą; be to, palankiai vertina dvielemenčio tapatumo nustatymo įdiegimą siekiant padidinti prieigos saugumą, Komiteto interneto svetainės turinio valdymo sistemos migraciją į naują platformą („Drupal“), kuri užtikrina didesnį atsparumą ir pritaikomumą, ir tolesnį glaudų bendradarbiavimą su Sąjungos institucijų, įstaigų, organų ir agentūrų kibernetinio saugumo tarnyba (CERT-EU) tikralaikiam grėsmių stebėjimui bei apsaugai nuo paskirstytojo paslaugos trikdymo atakų (DDoS atakų) užtikrinti; pažymi, kad Inovacijų ir informacinių technologijų departamentas inicijavo skaitmeninio ir kibernetinio saugumo pertvarkos programą, atitinkančią Sąjungos ir tarptautinius standartus, įskaitant Europos Parlamento ir Tarybos reglamentą (ES, Euratomas) 2023/2841</w:t>
      </w:r>
      <w:r w:rsidRPr="000657EA">
        <w:rPr>
          <w:vertAlign w:val="superscript"/>
        </w:rPr>
        <w:footnoteReference w:id="13"/>
      </w:r>
      <w:r w:rsidRPr="000657EA">
        <w:t>, kibernetinio saugumo sistemą NIST ir Saityno atvirųjų taikomųjų programų saugumo projektą (angl. OWASP), siekdamas sustiprinti atsparumą, rizikos valdymą, duomenų apsaugą ir kitus valdymo aspektus visame Komitete;</w:t>
      </w:r>
    </w:p>
    <w:p w14:paraId="2C03B7A3" w14:textId="77777777" w:rsidR="007F5615" w:rsidRPr="000657EA" w:rsidRDefault="007F5615" w:rsidP="00F11024">
      <w:pPr>
        <w:pStyle w:val="NormalHanging12a"/>
        <w:ind w:left="0" w:firstLine="0"/>
        <w:rPr>
          <w:b/>
          <w:i/>
        </w:rPr>
      </w:pPr>
      <w:r w:rsidRPr="000657EA">
        <w:rPr>
          <w:b/>
          <w:i/>
        </w:rPr>
        <w:t>Pastatai</w:t>
      </w:r>
    </w:p>
    <w:p w14:paraId="25A8B53E" w14:textId="77777777" w:rsidR="007F5615" w:rsidRPr="000657EA" w:rsidRDefault="007F5615" w:rsidP="007F5615">
      <w:pPr>
        <w:pStyle w:val="NormalHanging12a"/>
      </w:pPr>
      <w:r w:rsidRPr="000657EA">
        <w:t>53.</w:t>
      </w:r>
      <w:r w:rsidRPr="000657EA">
        <w:tab/>
        <w:t>pažymi, kad 2024 m. Komiteto biudžetas pastatams ir susijusioms išlaidoms (einamųjų metų asignavimai) sudarė 18,963 mln. EUR (palyginti su 18,594 mln. EUR 2023 m.), o mokėjimų įvykdymo lygis siekė 92 proc. (palyginti su 93,70 proc. 2023 m.); su pasitenkinimu pažymi, kad laikotarpiais, kai Komiteto pastatuose būdavo mažiau žmonių, Komitetas sutaupė 108 000 EUR valymo paslaugoms numatytų lėšų;</w:t>
      </w:r>
    </w:p>
    <w:p w14:paraId="543DDADF" w14:textId="77777777" w:rsidR="007F5615" w:rsidRPr="000657EA" w:rsidRDefault="007F5615" w:rsidP="007F5615">
      <w:pPr>
        <w:pStyle w:val="NormalHanging12a"/>
      </w:pPr>
      <w:r w:rsidRPr="000657EA">
        <w:t>54.</w:t>
      </w:r>
      <w:r w:rsidRPr="000657EA">
        <w:tab/>
        <w:t>atkreipia dėmesį į metinėje ataskaitoje pateiktą Komiteto išvadą, kad vienas iš 2017 m. nustatytų pagrindinių prioritetų, t. y. dėl pastatų geografinės koncentracijos, buvo pasiektas; atkreipia dėmesį į Komiteto nuomonę, kad sėkmingas naujos mišrios darbo tvarkos įgyvendinimas sudaro pagrindą tolesniam išlaidų taupymui mažinant patalpų plotą; šiuo atžvilgiu pažymi, kad 2024 m. pabaigoje Komitetas pradėjo įgyvendinti projektą „SPaCES“, kuriuo siekiama pertvarkyti Komiteto darbo praktiką ir darbo erdves, be kita ko, pakeisti patalpų įrengimą, o pirmasis šio projekto etapas yra pastate B100 dirbančių darbuotojų perkėlimas; pažymi, kad pagal bendrą Komiteto ir EESRK sprendimą šio pastato nuomos sutartis baigsis 2026 m. rugpjūčio mėn.; ragina Komitetą pranešti biudžeto įvykdymą tvirtinančiai institucijai apie šioje srityje daromą pažangą;</w:t>
      </w:r>
    </w:p>
    <w:p w14:paraId="64028490" w14:textId="77777777" w:rsidR="007F5615" w:rsidRPr="000657EA" w:rsidRDefault="007F5615" w:rsidP="007F5615">
      <w:pPr>
        <w:pStyle w:val="NormalHanging12a"/>
      </w:pPr>
      <w:r w:rsidRPr="000657EA">
        <w:t>55.</w:t>
      </w:r>
      <w:r w:rsidRPr="000657EA">
        <w:tab/>
        <w:t>atkreipia dėmesį į tai, kad 2024 m. buvo tęsiami pastato VMA renovacijos darbai; remdamasis ataskaita dėl tolesnių veiksmų atkreipia dėmesį į tai, kad investicijos į pastate VMA įdiegtas pažangiąsias technologijas užtikrins ateities poreikiams pritaikytą bei lanksčiai pritaikomą biurų erdvę ir optimalų naudotojų komfortą įvairiais lygmenimis, o tai padės dar labiau sumažinti energijos suvartojimą už maždaug 13 000 EUR per metus (remiantis 2023 m. vidutinėmis elektros ir dujų kainomis);</w:t>
      </w:r>
    </w:p>
    <w:p w14:paraId="4FA46333" w14:textId="77777777" w:rsidR="007F5615" w:rsidRPr="000657EA" w:rsidRDefault="007F5615" w:rsidP="007F5615">
      <w:pPr>
        <w:pStyle w:val="NormalHanging12a"/>
      </w:pPr>
      <w:r w:rsidRPr="000657EA">
        <w:t>56.</w:t>
      </w:r>
      <w:r w:rsidRPr="000657EA">
        <w:tab/>
        <w:t>palankiai vertina Komiteto ir EESRK įsipareigojimą savo infrastruktūrai sistemingai taikyti tinkamumo visiems principą, jau projektavimo metu užtikrinant pastatų prieinamumą; pažymi, kad komitetai ėmėsi įvairiausių priemonių, kad užtikrintų savo pastatų, įskaitant liftus, prieinamumą įvairių rūšių negalią turintiems asmenims (neįgaliųjų vežimėliais besinaudojantiems asmenims, akliesiems ir regos sutrikimų turintiems asmenims, kurtiesiems, vyresnio amžiaus asmenims, turintiems raumenų ar kraujagyslių sutrikimų);</w:t>
      </w:r>
    </w:p>
    <w:p w14:paraId="707E8207" w14:textId="77777777" w:rsidR="007F5615" w:rsidRPr="000657EA" w:rsidRDefault="007F5615" w:rsidP="00F11024">
      <w:pPr>
        <w:pStyle w:val="NormalHanging12a"/>
        <w:ind w:left="0" w:firstLine="0"/>
        <w:rPr>
          <w:b/>
          <w:i/>
        </w:rPr>
      </w:pPr>
      <w:r w:rsidRPr="000657EA">
        <w:rPr>
          <w:b/>
          <w:i/>
        </w:rPr>
        <w:t>Aplinka ir tvarumas</w:t>
      </w:r>
    </w:p>
    <w:p w14:paraId="404F32F7" w14:textId="77777777" w:rsidR="007F5615" w:rsidRPr="000657EA" w:rsidRDefault="007F5615" w:rsidP="007F5615">
      <w:pPr>
        <w:pStyle w:val="NormalHanging12a"/>
      </w:pPr>
      <w:r w:rsidRPr="000657EA">
        <w:t>57.</w:t>
      </w:r>
      <w:r w:rsidRPr="000657EA">
        <w:tab/>
        <w:t>pažymi, kad 2024 m. Komitetas toliau įgyvendino įvairias žaliąsias praktikas, pavyzdžiui, investavo, be kita ko, į novatoriškas energiją taupančias apšvietimo sistemas, energijos skaitiklius, jutiklius, įrengtus svarbiose patalpose CO</w:t>
      </w:r>
      <w:r w:rsidRPr="000657EA">
        <w:rPr>
          <w:vertAlign w:val="subscript"/>
        </w:rPr>
        <w:t>2</w:t>
      </w:r>
      <w:r w:rsidRPr="000657EA">
        <w:t xml:space="preserve"> lygiui stebėti, pastatų temperatūros reguliavimą (oro kondicionavimą ir šildymą) priklausomai nuo metų laiko ir 100 proc. žaliosios elektros energijos pirkimą; pažymi, kad Komitetas taiko aplinkosaugos kriterijus visoms viešųjų pirkimų procedūroms ir tvarumo sąlygas konkursams, kurių vertė yra didesnė nei 25 000 EUR, taip pat specializuotas nuostatas konkursams, turintiems didelį poveikį aplinkai arba tiems, kurių vertė yra didesnė nei 60 000 EUR; su pasitenkinimu pažymi, kad Komitetas integruoja aplinkosaugos aspektus į savo rizikos valdymo sistemą ir pagrindinius veiklos procesus bei paskyrė aplinkosaugos vadybos ir audito sistemos (EMAS) kontaktinius asmenis;</w:t>
      </w:r>
    </w:p>
    <w:p w14:paraId="39630147" w14:textId="77777777" w:rsidR="007F5615" w:rsidRPr="000657EA" w:rsidRDefault="007F5615" w:rsidP="007F5615">
      <w:pPr>
        <w:pStyle w:val="NormalHanging12a"/>
      </w:pPr>
      <w:r w:rsidRPr="000657EA">
        <w:t>58.</w:t>
      </w:r>
      <w:r w:rsidRPr="000657EA">
        <w:tab/>
        <w:t>vertina Komiteto įsipareigojimą skatinti tvaraus judumo politiką tarp savo darbuotojų; šiuo atžvilgiu pažymi, kad 2024 m. Komitetas nustatė vienodo dydžio 100 EUR išmoką už dviratį darbuotojams, kurie dviratį naudoja kaip pagrindinę priemonę važinėjimui į darbą, padidino dviračių stovėjimo vietų skaičių ir surengė pusryčius bei viktorinas judumo tema; remdamasis klausimynu pažymi, kad nuo 2024 m. darbuotojai gali prašyti padengti 50 proc. antrosios klasės traukinio bilieto kainos (ne didesniu kaip 60 km atstumu);</w:t>
      </w:r>
    </w:p>
    <w:p w14:paraId="2634C894" w14:textId="77777777" w:rsidR="007F5615" w:rsidRPr="000657EA" w:rsidRDefault="007F5615" w:rsidP="007F5615">
      <w:pPr>
        <w:pStyle w:val="NormalHanging12a"/>
      </w:pPr>
      <w:r w:rsidRPr="000657EA">
        <w:t>59.</w:t>
      </w:r>
      <w:r w:rsidRPr="000657EA">
        <w:tab/>
        <w:t>remdamasis klausimynu džiaugiasi, kad dėl energijos taupymo priemonių 2024 m. Komiteto energijos suvartojimas, palyginti su 2022 m., sumažėjo maždaug 3–4 proc.; pažymi, kad Komitetas viršijo 2024 m. EMAS tikslus visose srityse (elektros energijos, dujų, vandens, atliekų, atliekų rūšiavimo, popieriaus biuro reikmėms ir išmetamo CO</w:t>
      </w:r>
      <w:r w:rsidRPr="000657EA">
        <w:rPr>
          <w:vertAlign w:val="subscript"/>
        </w:rPr>
        <w:t>2</w:t>
      </w:r>
      <w:r w:rsidRPr="000657EA">
        <w:t xml:space="preserve"> kiekio), imant 2019 m. kaip atskaitos tašką; pažymi, kad, palyginti su 2023 m., 2024 m. vandens ir popieriaus suvartojimas šiek tiek padidėjo (atitinkamai 14 proc. ir 1 proc.), o Komiteto administracinės veiklos metu išmetamo anglies dioksido kiekis sumažėjo 4,3 proc., elektros energijos ir dujų suvartojimas sumažėjo atitinkamai 5 proc. ir 1 proc., o atliekų susidarymas taip pat sumažėjo 12 proc.;</w:t>
      </w:r>
    </w:p>
    <w:p w14:paraId="51FF89B1" w14:textId="67FA3619" w:rsidR="007F5615" w:rsidRPr="00F11024" w:rsidRDefault="007F5615" w:rsidP="00F11024">
      <w:pPr>
        <w:pStyle w:val="NormalHanging12a"/>
        <w:ind w:left="0" w:firstLine="0"/>
        <w:rPr>
          <w:b/>
          <w:bCs/>
          <w:i/>
          <w:iCs/>
        </w:rPr>
      </w:pPr>
      <w:r w:rsidRPr="00F11024">
        <w:rPr>
          <w:b/>
          <w:i/>
          <w:iCs/>
        </w:rPr>
        <w:t>Tarpinstitucinis bendradarbiavimas</w:t>
      </w:r>
    </w:p>
    <w:p w14:paraId="5352206B" w14:textId="77777777" w:rsidR="007F5615" w:rsidRPr="000657EA" w:rsidRDefault="007F5615" w:rsidP="007F5615">
      <w:pPr>
        <w:pStyle w:val="NormalHanging12a"/>
      </w:pPr>
      <w:r w:rsidRPr="000657EA">
        <w:t>60.</w:t>
      </w:r>
      <w:r w:rsidRPr="000657EA">
        <w:tab/>
        <w:t>palankiai vertina tai, kad 2024 m. atnaujinti Komiteto bendradarbiavimo susitarimai su Parlamentu ir Komisija ir taip nustatytas pagrindas aktyvesniam Komiteto instituciniam dalyvavimui visais Sąjungos teisėkūros proceso etapais įvairiose politikos formavimo srityse (pavyzdžiui, regioninės plėtros, klimato politikos ir socialinės sanglaudos), neapsiribojant tomis sritimis, kuriose bendradarbiaujama jau seniai; pažymi, kad šiuose susitarimuose taip pat numatytos griežtesnės nuostatos dėl bendradarbiavimo teritorinio poveikio vertinimų srityje; remdamasis klausimynu su pasitenkinimu pažymi, kad 2024 m. spalio 13 d. Komiteto Pirmininkų sueigos atstovai susitiko su Parlamento Pirmininko pavaduotoju, atsakingu už santykius su Komitetu, kad aptartų bendradarbiavimo stiprinimą, be kita ko, skatinant bendrų posėdžių praktiką, ypač komitetų ir pranešėjų lygmeniu, Komiteto dalyvavimą trilogo diskusijose ir logistinį bendradarbiavimą vykstant darbams Parlamento pastate SPAAK; pažymi, kad 2024 m. Komiteto nariai, siekdami užtikrinti, kad Komiteto pozicijos būtų atspindėtos Sąjungos teisės aktuose, taip pat susitiko su Tarybos ir nuolatinių atstovybių atstovais ir dalyvavo Tarybai pirmininkaujančios valstybės narės organizuotuose renginiuose;</w:t>
      </w:r>
    </w:p>
    <w:p w14:paraId="10B28FE7" w14:textId="77777777" w:rsidR="007F5615" w:rsidRPr="000657EA" w:rsidRDefault="007F5615" w:rsidP="007F5615">
      <w:pPr>
        <w:pStyle w:val="NormalHanging12a"/>
      </w:pPr>
      <w:r w:rsidRPr="000657EA">
        <w:t>61.</w:t>
      </w:r>
      <w:r w:rsidRPr="000657EA">
        <w:tab/>
        <w:t>pritaria biudžeto ir administracinėms taupymo priemonėms, įgyvendintoms pasitelkus institucijų bendradarbiavimą, ypač glaudų administracinį bendradarbiavimą su EESRK, su kuriuo Komitetas dalijasi patalpomis ir jungtinėmis tarnybomis vertimo raštu, infrastruktūros, medicinos tarnybų, maitinimo, logistikos ir IT srityse, taip pat bendru duomenų apsaugos registru, o 2024 m. abejose institucijose iš viso dirbo 470 darbuotojų ir jos kartu valdė daugiau nei 68 mln. EUR (140 mln. EUR, jei įskaičiuojamos su darbo užmokesčiu susijusios išlaidos); palankiai vertina tai, kad šios sutaupytos lėšos buvo nukreiptos Komiteto politinei veiklai finansuoti, taip sustiprinant jo gebėjimą vykdyti savo įgaliojimus; pripažįsta, kad dėl abiejų institucijų bendradarbiavimo stipriai padidėjo efektyvumas ir sutaupyta daug biudžeto lėšų, o jeigu kiekvienas komitetas šias paslaugas teiktų savarankiškai, kasmet prarastų maždaug dešimtis milijonų eurų; pakartoja savo raginimą kuo labiau išplėsti šį bendradarbiavimą, įsteigiant bendrą jungtinių tarnybų administraciją, bet tarnybas ir padalinius, atsakingus už jų pagrindines nepriklausomas funkcijas, išlaikyti atskirus; ragina Komitetą ir EESRK toliau dėti pastangas siekiant plėtoti tolesnį bendradarbiavimą ir sinergiją;</w:t>
      </w:r>
    </w:p>
    <w:p w14:paraId="2D473B07" w14:textId="77777777" w:rsidR="007F5615" w:rsidRPr="000657EA" w:rsidRDefault="007F5615" w:rsidP="007F5615">
      <w:pPr>
        <w:pStyle w:val="NormalHanging12a"/>
      </w:pPr>
      <w:r w:rsidRPr="000657EA">
        <w:t>62.</w:t>
      </w:r>
      <w:r w:rsidRPr="000657EA">
        <w:tab/>
        <w:t>palankiai vertina tai, kad Komitetas siekia sinergijos pirkdamas paslaugas iš kitų institucijų pagal tarnybų lygmens susitarimus ir dalyvaudamas tarpinstitucinių koordinavimo organų veikloje bei tarpinstitucinėse viešųjų pirkimų procedūrose; pažymi, kad Komitetas pasiekė reikšmingą sinergiją renginių ir komunikacijos srityje, 2024 m. kartu su Komisija surengęs Europos regionų ir miestų savaitę ir kartu su Parlamentu, Taryba ir Komisija, be kita ko, surengęs kasmetinę viešosios komunikacijos specialistams skirtą konferenciją „EuroPCom“; palankiai vertina 2024 m. įvykdytą Komiteto Europos regionų ir vietos tarybų narių tinklo ir Komisijos tinklo „Europos kūrimas su vietos tarybų nariais“ sujungimą į vieną bendrai valdomą Europos savivaldos tinklą;</w:t>
      </w:r>
    </w:p>
    <w:p w14:paraId="20B05888" w14:textId="77777777" w:rsidR="007F5615" w:rsidRPr="000657EA" w:rsidRDefault="007F5615" w:rsidP="007F5615">
      <w:pPr>
        <w:pStyle w:val="NormalHanging12a"/>
      </w:pPr>
      <w:r w:rsidRPr="000657EA">
        <w:t>63.</w:t>
      </w:r>
      <w:r w:rsidRPr="000657EA">
        <w:tab/>
        <w:t>atkreipia dėmesį į tai, kad Komitetas bendradarbiauja su Komisija (už metinį mokestį) žmogiškųjų išteklių klausimų tvarkymo ir įvairių finansų valdymo bei žmogiškųjų išteklių IT platformų naudojimo srityse, ir kad 2024 m. Komisija įtraukė Komiteto IT sistemą LORDIMAS kaip pagrindinę IT priemonę miestų skaitmeninei pertvarkai vertinti; be to, pažymi, jog Komitetas rengia plenarines sesijas Parlamento ir Komisijos patalpose, kad kompensuotų savo konferencijų salių trūkumą, ir iš šių dviejų institucijų perka vertimo žodžiu paslaugas;</w:t>
      </w:r>
    </w:p>
    <w:p w14:paraId="28411CD8" w14:textId="77777777" w:rsidR="007F5615" w:rsidRPr="000657EA" w:rsidRDefault="007F5615" w:rsidP="00F11024">
      <w:pPr>
        <w:pStyle w:val="NormalHanging12a"/>
        <w:ind w:left="0" w:firstLine="0"/>
        <w:rPr>
          <w:b/>
          <w:i/>
        </w:rPr>
      </w:pPr>
      <w:r w:rsidRPr="000657EA">
        <w:rPr>
          <w:b/>
          <w:i/>
        </w:rPr>
        <w:t>Komunikacija</w:t>
      </w:r>
    </w:p>
    <w:p w14:paraId="64FC503A" w14:textId="77777777" w:rsidR="007F5615" w:rsidRPr="000657EA" w:rsidRDefault="007F5615" w:rsidP="007F5615">
      <w:pPr>
        <w:pStyle w:val="NormalHanging12a"/>
      </w:pPr>
      <w:r w:rsidRPr="000657EA">
        <w:t>64.</w:t>
      </w:r>
      <w:r w:rsidRPr="000657EA">
        <w:tab/>
        <w:t>atkreipia dėmesį į tai, kad Komiteto komunikacijos veikla sutelkta į ryšius su spauda, renginių organizavimą, skaitmeninio turinio kūrimą ir socialinę žiniasklaidą ir bendras jos biudžetas (einamųjų metų asignavimai) 2024 m. sudarė apie 2,3 mln. EUR, t. y. maždaug 500 000 EUR mažiau nei 2023 m.; atkreipia dėmesį į ataskaitoje dėl tolesnių veiksmų pateiktą informaciją, kad dėl nepakankamo komunikacijos veiksmų finansavimo Komitetas yra priklausomas nuo metų pabaigoje atliekamų perkėlimų ir C8 asignavimų, todėl tampa aišku, kodėl pagal 2 6 biudžeto skyrių („Duomenys ir […] sklaida“) 2024 m. C1 asignavimų biudžeto vykdymo lygis buvo žemas (48,20 proc.), o C8 asignavimų biudžeto vykdymo lygis – aukštas (98,90 proc.);</w:t>
      </w:r>
    </w:p>
    <w:p w14:paraId="3E9E9F08" w14:textId="77777777" w:rsidR="007F5615" w:rsidRPr="000657EA" w:rsidRDefault="007F5615" w:rsidP="007F5615">
      <w:pPr>
        <w:pStyle w:val="NormalHanging12a"/>
      </w:pPr>
      <w:r w:rsidRPr="000657EA">
        <w:t>65.</w:t>
      </w:r>
      <w:r w:rsidRPr="000657EA">
        <w:tab/>
        <w:t>su pasitenkinimu atkreipia dėmesį į Komiteto pasiekimus propaguojant Sąjungos politiką ir programas vietos ir regionų lygmeniu, gerinant informavimo apie savo konsultacinį darbą veiklą ir didinant savo matomumą bei poveikį; pažymi, kad 2024 m. Komitetas suorganizavo, priėmė arba parėmė 33 ES vietos dialogus, 53 Europos regionų ir miestų savaitės „EURegionsWeek“ sesijas ir 47 renginius; visų pirma atkreipia dėmesį į Sąjungos ateities darbotvarkei formuoti skirtą 10-ąjį Europos regionų ir miestų aukščiausiojo lygio susitikimą, kuriame dalyvavo daugiau kaip 7 000 dalyvių; atkreipia dėmesį į sanglaudos fondų klausimui kitoje DFP skirtą spręsti Europos regionų ir miestų savaitę, kurioje dalyvavo daugiau kaip 2 500 dalyvių; 11-ąją subsidiarumo konferenciją, skirtą geresniam reglamentavimui ir subsidiarumui kitos DFP požiūriu aptarti; 2024 m. Jaunųjų išrinktų politikų programą, kurioje dalyvavo daugiau kaip 150 dalyvių iš visų valstybių narių ir aštuonių šalių kandidačių ir dirbtiniam intelektui ir naujoms viešos komunikacijos tendencijoms aptarti skirtą 15-ąją Europos konferenciją apie viešą komunikaciją (EuroPCom), kurioje dalyvavo 3 200 dalyvių ir žiūrovų iš 55 šalių; pažymi, kad Komitetas taip pat 74 kartus pristatė savo veiklą ir nuomonę susitikimuose ar renginiuose, kuriuose dalyvavo kitos Sąjungos institucijos;</w:t>
      </w:r>
    </w:p>
    <w:p w14:paraId="6647C734" w14:textId="77777777" w:rsidR="007F5615" w:rsidRPr="000657EA" w:rsidRDefault="007F5615" w:rsidP="007F5615">
      <w:pPr>
        <w:pStyle w:val="NormalHanging12a"/>
        <w:rPr>
          <w:b/>
          <w:bCs/>
          <w:i/>
          <w:iCs/>
          <w:szCs w:val="24"/>
        </w:rPr>
      </w:pPr>
      <w:r w:rsidRPr="000657EA">
        <w:t>66.</w:t>
      </w:r>
      <w:r w:rsidRPr="000657EA">
        <w:tab/>
        <w:t>giria Komitetą už veiksmus, kuriais jis siekia gerinti savo informacijos prieinamumą ir istorinį išsaugojimą: visus savo dokumentus ir leidinius jis pateikia vienoje centralizuotoje vietoje per Leidinių biuro valdiklius, kurie 2024 m. įdiegti Komiteto išorinėje interneto svetainėje; 2024 m. jis įdiegė dirbtiniu intelektu grindžiamą platformą „Panoramic-AI“, kuri suteikia vartotojui draugišką prieigą prie institucijos turinio (atitinkamų dokumentų, pristatymų, diskusijų); visą Komiteto išorinių pranešimų spaudai ir naujienų archyvą jis perkėlė į Ryšių tinklų, turinio ir technologijų generalinio direktorato naujienų svetainę ir Komiteto istorinius archyvus pirmą kartą perkėlė į Sąjungos istorinius archyvus Florencijoje;</w:t>
      </w:r>
    </w:p>
    <w:p w14:paraId="6AB1F2CD" w14:textId="77777777" w:rsidR="007F5615" w:rsidRPr="000657EA" w:rsidRDefault="007F5615" w:rsidP="007F5615">
      <w:pPr>
        <w:pStyle w:val="NormalHanging12a"/>
      </w:pPr>
      <w:r w:rsidRPr="000657EA">
        <w:t>67.</w:t>
      </w:r>
      <w:r w:rsidRPr="000657EA">
        <w:tab/>
        <w:t>remdamasis poveikio ataskaita ir metine ataskaita pripažįsta Komiteto indėlį į 2024 m. Europos Parlamento rinkimams skirtą Parlamento komunikacijos kampaniją, įtraukiant 750 jaunųjų išrinktų politikų tinklą, reklamuojant Parlamento medžiagą, kuriant vaizdo įrašus su Komiteto nariais „ateik balsuoti“ tema, skiriant tam specialų puslapį Komiteto interneto svetainėje ir kuriant kitą socialinėje žiniasklaidoje platinamą vaizdo turinį, kuris pasiekė beveik 5 mln. paskyrų; palankiai vertina šias pastangas įtraukti plačią ir įvairią auditoriją visoje Sąjungoje ir didinti informuotumą apie 2024 m. Europos Parlamento rinkimus; pabrėžia, kad toks tarpinstitucinis bendradarbiavimas Sąjungos politikos klausimais, visų pirma Parlamento darbo klausimais, yra labai svarbus norint pasiekti piliečius visuose Sąjungos regionuose, stiprinti demokratinį dalyvavimą ir didinti Sąjungos demokratinį teisėtumą;</w:t>
      </w:r>
    </w:p>
    <w:p w14:paraId="47BC854E" w14:textId="77777777" w:rsidR="007F5615" w:rsidRPr="000657EA" w:rsidRDefault="007F5615" w:rsidP="007F5615">
      <w:pPr>
        <w:pStyle w:val="NormalHanging12a"/>
      </w:pPr>
      <w:r w:rsidRPr="000657EA">
        <w:t>68.</w:t>
      </w:r>
      <w:r w:rsidRPr="000657EA">
        <w:tab/>
        <w:t>remdamasis metine ataskaita atkreipia dėmesį į tai, kad Komiteto veikla sukėlė didelį žiniasklaidos susidomėjimą, kaip rodo bendra 2024 m. metrika, pvz.: tinklalapio lankytojų skaičius išaugo 28 proc., sekėjų skaičius išaugo 11,60 proc. ir organinis skaitmeninis dalyvavimas padidėjo 16 proc.;</w:t>
      </w:r>
    </w:p>
    <w:p w14:paraId="2652CB38" w14:textId="77777777" w:rsidR="007F5615" w:rsidRPr="000657EA" w:rsidRDefault="007F5615" w:rsidP="007F5615">
      <w:pPr>
        <w:pStyle w:val="NormalHanging12a"/>
      </w:pPr>
      <w:r w:rsidRPr="000657EA">
        <w:t>69.</w:t>
      </w:r>
      <w:r w:rsidRPr="000657EA">
        <w:tab/>
        <w:t>atkreipia dėmesį į tai, kad Komitetas nedalyvavo 2024 m. Romų savaitės renginyje;</w:t>
      </w:r>
    </w:p>
    <w:p w14:paraId="514ADA91" w14:textId="5306E9D8" w:rsidR="000657EA" w:rsidRPr="000657EA" w:rsidRDefault="007F5615" w:rsidP="000657EA">
      <w:pPr>
        <w:pStyle w:val="NormalHanging12a"/>
      </w:pPr>
      <w:r w:rsidRPr="000657EA">
        <w:t>70.</w:t>
      </w:r>
      <w:r w:rsidRPr="000657EA">
        <w:tab/>
        <w:t>pabrėžia, kad visose Komiteto komunikacijos strategijose siekiama stiprinti jo, kaip Sąjungos regionams, miestams, miesteliams ir savivaldybėms atstovaujančio organo, institucinį matomumą ir politinę poziciją ir pademonstruoti jo narių vaidmenį susiejant Sąjungos politiką su piliečiais vietos ir regionų lygmeniu.</w:t>
      </w:r>
    </w:p>
    <w:p w14:paraId="323CF52E" w14:textId="4FA394EA" w:rsidR="00E365E1" w:rsidRPr="000657EA" w:rsidRDefault="00E365E1" w:rsidP="0079024C"/>
    <w:sectPr w:rsidR="00E365E1" w:rsidRPr="000657EA" w:rsidSect="000657EA">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8D0590" w14:textId="77777777" w:rsidR="0079024C" w:rsidRPr="000657EA" w:rsidRDefault="0079024C">
      <w:r w:rsidRPr="000657EA">
        <w:separator/>
      </w:r>
    </w:p>
  </w:endnote>
  <w:endnote w:type="continuationSeparator" w:id="0">
    <w:p w14:paraId="5002BE80" w14:textId="77777777" w:rsidR="0079024C" w:rsidRPr="000657EA" w:rsidRDefault="0079024C">
      <w:r w:rsidRPr="000657E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86C4F7" w14:textId="77777777" w:rsidR="007F5615" w:rsidRPr="000657EA" w:rsidRDefault="007F5615" w:rsidP="007135ED">
    <w:pPr>
      <w:pStyle w:val="EPFooter"/>
    </w:pPr>
    <w:r w:rsidRPr="000657EA">
      <w:t>PE</w:t>
    </w:r>
    <w:r w:rsidRPr="000657EA">
      <w:rPr>
        <w:rStyle w:val="HideTWBExt"/>
      </w:rPr>
      <w:t>&lt;NoPE&gt;</w:t>
    </w:r>
    <w:r w:rsidRPr="000657EA">
      <w:t>778.064</w:t>
    </w:r>
    <w:r w:rsidRPr="000657EA">
      <w:rPr>
        <w:rStyle w:val="HideTWBExt"/>
      </w:rPr>
      <w:t>&lt;/NoPE&gt;&lt;Version&gt;</w:t>
    </w:r>
    <w:r w:rsidRPr="000657EA">
      <w:t>v02-00</w:t>
    </w:r>
    <w:r w:rsidRPr="000657EA">
      <w:rPr>
        <w:rStyle w:val="HideTWBExt"/>
      </w:rPr>
      <w:t>&lt;/Version&gt;</w:t>
    </w:r>
    <w:r w:rsidRPr="000657EA">
      <w:tab/>
    </w:r>
    <w:r w:rsidRPr="000657EA">
      <w:fldChar w:fldCharType="begin"/>
    </w:r>
    <w:r w:rsidRPr="000657EA">
      <w:instrText xml:space="preserve"> PAGE  \* MERGEFORMAT </w:instrText>
    </w:r>
    <w:r w:rsidRPr="000657EA">
      <w:fldChar w:fldCharType="separate"/>
    </w:r>
    <w:r w:rsidRPr="000657EA">
      <w:rPr>
        <w:noProof/>
      </w:rPr>
      <w:t>1</w:t>
    </w:r>
    <w:r w:rsidRPr="000657EA">
      <w:fldChar w:fldCharType="end"/>
    </w:r>
    <w:r w:rsidRPr="000657EA">
      <w:t>/</w:t>
    </w:r>
    <w:fldSimple w:instr=" NUMPAGES  \* MERGEFORMAT ">
      <w:r w:rsidRPr="000657EA">
        <w:rPr>
          <w:noProof/>
        </w:rPr>
        <w:t>2</w:t>
      </w:r>
    </w:fldSimple>
    <w:r w:rsidRPr="000657EA">
      <w:tab/>
    </w:r>
    <w:r w:rsidRPr="000657EA">
      <w:rPr>
        <w:rStyle w:val="HideTWBExt"/>
      </w:rPr>
      <w:t>&lt;PathFdR&gt;</w:t>
    </w:r>
    <w:r w:rsidRPr="000657EA">
      <w:t>RR\1339441LT.docx</w:t>
    </w:r>
    <w:r w:rsidRPr="000657EA">
      <w:rPr>
        <w:rStyle w:val="HideTWBExt"/>
      </w:rPr>
      <w:t>&lt;/PathFdR&gt;</w:t>
    </w:r>
  </w:p>
  <w:p w14:paraId="353EF09A" w14:textId="77777777" w:rsidR="007F5615" w:rsidRPr="000657EA" w:rsidRDefault="007F5615" w:rsidP="007135ED">
    <w:pPr>
      <w:pStyle w:val="EPFooter2"/>
    </w:pPr>
    <w:r w:rsidRPr="000657EA">
      <w:t>LT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977637" w14:textId="77777777" w:rsidR="007F5615" w:rsidRPr="000657EA" w:rsidRDefault="007F5615" w:rsidP="007135ED">
    <w:pPr>
      <w:pStyle w:val="EPFooter"/>
    </w:pPr>
    <w:r w:rsidRPr="000657EA">
      <w:rPr>
        <w:rStyle w:val="HideTWBExt"/>
      </w:rPr>
      <w:t>&lt;PathFdR&gt;</w:t>
    </w:r>
    <w:r w:rsidRPr="000657EA">
      <w:t>RR\1339441LT.docx</w:t>
    </w:r>
    <w:r w:rsidRPr="000657EA">
      <w:rPr>
        <w:rStyle w:val="HideTWBExt"/>
      </w:rPr>
      <w:t>&lt;/PathFdR&gt;</w:t>
    </w:r>
    <w:r w:rsidRPr="000657EA">
      <w:tab/>
    </w:r>
    <w:r w:rsidRPr="000657EA">
      <w:tab/>
      <w:t>PE</w:t>
    </w:r>
    <w:r w:rsidRPr="000657EA">
      <w:rPr>
        <w:rStyle w:val="HideTWBExt"/>
      </w:rPr>
      <w:t>&lt;NoPE&gt;</w:t>
    </w:r>
    <w:r w:rsidRPr="000657EA">
      <w:t>778.064</w:t>
    </w:r>
    <w:r w:rsidRPr="000657EA">
      <w:rPr>
        <w:rStyle w:val="HideTWBExt"/>
      </w:rPr>
      <w:t>&lt;/NoPE&gt;&lt;Version&gt;</w:t>
    </w:r>
    <w:r w:rsidRPr="000657EA">
      <w:t>v02-00</w:t>
    </w:r>
    <w:r w:rsidRPr="000657EA">
      <w:rPr>
        <w:rStyle w:val="HideTWBExt"/>
      </w:rPr>
      <w:t>&lt;/Version&gt;</w:t>
    </w:r>
  </w:p>
  <w:p w14:paraId="0B9F0A34" w14:textId="77777777" w:rsidR="007F5615" w:rsidRPr="000657EA" w:rsidRDefault="007F5615" w:rsidP="007135ED">
    <w:pPr>
      <w:pStyle w:val="EPFooter2"/>
    </w:pPr>
    <w:r w:rsidRPr="000657EA">
      <w:t>LT</w:t>
    </w:r>
    <w:r w:rsidRPr="000657EA">
      <w:tab/>
    </w:r>
    <w:r w:rsidRPr="000657EA">
      <w:rPr>
        <w:b w:val="0"/>
        <w:i/>
        <w:color w:val="C0C0C0"/>
        <w:sz w:val="22"/>
      </w:rPr>
      <w:t>Suvienijusi įvairovę</w:t>
    </w:r>
    <w:r w:rsidRPr="000657EA">
      <w:tab/>
      <w:t>LT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7287F3" w14:textId="77777777" w:rsidR="00064002" w:rsidRPr="000657EA"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4AB5C0" w14:textId="77777777" w:rsidR="00064002" w:rsidRPr="000657EA"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43D415" w14:textId="77777777" w:rsidR="00064002" w:rsidRPr="000657E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DBA4D8" w14:textId="77777777" w:rsidR="0079024C" w:rsidRPr="000657EA" w:rsidRDefault="0079024C">
      <w:r w:rsidRPr="000657EA">
        <w:separator/>
      </w:r>
    </w:p>
  </w:footnote>
  <w:footnote w:type="continuationSeparator" w:id="0">
    <w:p w14:paraId="0C45C06D" w14:textId="77777777" w:rsidR="0079024C" w:rsidRPr="000657EA" w:rsidRDefault="0079024C">
      <w:r w:rsidRPr="000657EA">
        <w:continuationSeparator/>
      </w:r>
    </w:p>
  </w:footnote>
  <w:footnote w:id="1">
    <w:p w14:paraId="707527D6" w14:textId="04FA3E6B" w:rsidR="007F5615" w:rsidRPr="000657EA" w:rsidRDefault="007F5615" w:rsidP="000657EA">
      <w:pPr>
        <w:pStyle w:val="FootnoteText"/>
        <w:ind w:left="567" w:hanging="567"/>
        <w:rPr>
          <w:sz w:val="24"/>
          <w:lang w:val="lt-LT"/>
        </w:rPr>
      </w:pPr>
      <w:r w:rsidRPr="000657EA">
        <w:rPr>
          <w:rStyle w:val="FootnoteReference"/>
          <w:sz w:val="24"/>
          <w:lang w:val="lt-LT"/>
        </w:rPr>
        <w:footnoteRef/>
      </w:r>
      <w:r w:rsidR="000657EA" w:rsidRPr="000657EA">
        <w:rPr>
          <w:sz w:val="24"/>
          <w:lang w:val="lt-LT"/>
        </w:rPr>
        <w:t xml:space="preserve"> </w:t>
      </w:r>
      <w:r w:rsidR="000657EA" w:rsidRPr="000657EA">
        <w:rPr>
          <w:sz w:val="24"/>
          <w:lang w:val="lt-LT"/>
        </w:rPr>
        <w:tab/>
      </w:r>
      <w:r w:rsidRPr="000657EA">
        <w:rPr>
          <w:sz w:val="24"/>
          <w:lang w:val="lt-LT"/>
        </w:rPr>
        <w:t>OL L</w:t>
      </w:r>
      <w:r w:rsidR="00417D7A">
        <w:rPr>
          <w:sz w:val="24"/>
          <w:lang w:val="lt-LT"/>
        </w:rPr>
        <w:t>,</w:t>
      </w:r>
      <w:r w:rsidRPr="000657EA">
        <w:rPr>
          <w:sz w:val="24"/>
          <w:lang w:val="lt-LT"/>
        </w:rPr>
        <w:t> </w:t>
      </w:r>
      <w:r w:rsidR="00417D7A">
        <w:rPr>
          <w:sz w:val="24"/>
          <w:lang w:val="lt-LT"/>
        </w:rPr>
        <w:t>2024/</w:t>
      </w:r>
      <w:r w:rsidRPr="000657EA">
        <w:rPr>
          <w:sz w:val="24"/>
          <w:lang w:val="lt-LT"/>
        </w:rPr>
        <w:t xml:space="preserve">207, 2024 2 22, ELI: </w:t>
      </w:r>
      <w:hyperlink r:id="rId1" w:history="1">
        <w:r w:rsidRPr="000657EA">
          <w:rPr>
            <w:rStyle w:val="Hyperlink"/>
            <w:sz w:val="24"/>
            <w:lang w:val="lt-LT"/>
          </w:rPr>
          <w:t>http://data.europa.eu/eli/budget/2024/207/oj</w:t>
        </w:r>
      </w:hyperlink>
      <w:r w:rsidRPr="000657EA">
        <w:rPr>
          <w:sz w:val="24"/>
          <w:lang w:val="lt-LT"/>
        </w:rPr>
        <w:t>.</w:t>
      </w:r>
    </w:p>
  </w:footnote>
  <w:footnote w:id="2">
    <w:p w14:paraId="59863E97" w14:textId="2738AC47" w:rsidR="007F5615" w:rsidRPr="000657EA" w:rsidRDefault="007F5615" w:rsidP="000657EA">
      <w:pPr>
        <w:pStyle w:val="FootnoteText"/>
        <w:ind w:left="567" w:hanging="567"/>
        <w:rPr>
          <w:sz w:val="24"/>
          <w:lang w:val="lt-LT"/>
        </w:rPr>
      </w:pPr>
      <w:r w:rsidRPr="000657EA">
        <w:rPr>
          <w:rStyle w:val="FootnoteReference"/>
          <w:sz w:val="24"/>
          <w:lang w:val="lt-LT"/>
        </w:rPr>
        <w:footnoteRef/>
      </w:r>
      <w:r w:rsidR="000657EA" w:rsidRPr="000657EA">
        <w:rPr>
          <w:sz w:val="24"/>
          <w:lang w:val="lt-LT"/>
        </w:rPr>
        <w:t xml:space="preserve"> </w:t>
      </w:r>
      <w:r w:rsidR="000657EA" w:rsidRPr="000657EA">
        <w:rPr>
          <w:sz w:val="24"/>
          <w:lang w:val="lt-LT"/>
        </w:rPr>
        <w:tab/>
      </w:r>
      <w:r w:rsidRPr="000657EA">
        <w:rPr>
          <w:sz w:val="24"/>
          <w:lang w:val="lt-LT"/>
        </w:rPr>
        <w:t>OL C, C/2025/4944, 2025 10 13, ELI: </w:t>
      </w:r>
      <w:hyperlink r:id="rId2" w:tgtFrame="_blank" w:tooltip="Prieiga prie šio dokumento suteikiama per ELI sistemoje jam suteiktą URI." w:history="1">
        <w:r w:rsidRPr="000657EA">
          <w:rPr>
            <w:rStyle w:val="Hyperlink"/>
            <w:sz w:val="24"/>
            <w:lang w:val="lt-LT"/>
          </w:rPr>
          <w:t>http://data.europa.eu/eli/C/2025/4944/oj</w:t>
        </w:r>
      </w:hyperlink>
      <w:r w:rsidRPr="000657EA">
        <w:rPr>
          <w:sz w:val="24"/>
          <w:lang w:val="lt-LT"/>
        </w:rPr>
        <w:t>.</w:t>
      </w:r>
    </w:p>
  </w:footnote>
  <w:footnote w:id="3">
    <w:p w14:paraId="0E1C1ED2" w14:textId="60B1A755" w:rsidR="007F5615" w:rsidRPr="000657EA" w:rsidRDefault="007F5615" w:rsidP="000657EA">
      <w:pPr>
        <w:pStyle w:val="FootnoteText"/>
        <w:ind w:left="567" w:hanging="567"/>
        <w:rPr>
          <w:sz w:val="24"/>
          <w:lang w:val="lt-LT"/>
        </w:rPr>
      </w:pPr>
      <w:r w:rsidRPr="000657EA">
        <w:rPr>
          <w:rStyle w:val="FootnoteReference"/>
          <w:sz w:val="24"/>
          <w:lang w:val="lt-LT"/>
        </w:rPr>
        <w:footnoteRef/>
      </w:r>
      <w:r w:rsidR="000657EA" w:rsidRPr="000657EA">
        <w:rPr>
          <w:sz w:val="24"/>
          <w:lang w:val="lt-LT"/>
        </w:rPr>
        <w:t xml:space="preserve"> </w:t>
      </w:r>
      <w:r w:rsidR="000657EA" w:rsidRPr="000657EA">
        <w:rPr>
          <w:sz w:val="24"/>
          <w:lang w:val="lt-LT"/>
        </w:rPr>
        <w:tab/>
      </w:r>
      <w:r w:rsidRPr="000657EA">
        <w:rPr>
          <w:sz w:val="24"/>
          <w:lang w:val="lt-LT"/>
        </w:rPr>
        <w:t xml:space="preserve">OL C, C/2025/5409, 2025 10 8, ELI: </w:t>
      </w:r>
      <w:hyperlink r:id="rId3" w:history="1">
        <w:r w:rsidRPr="000657EA">
          <w:rPr>
            <w:rStyle w:val="Hyperlink"/>
            <w:sz w:val="24"/>
            <w:lang w:val="lt-LT"/>
          </w:rPr>
          <w:t>http://data.europa.eu/eli/C/2025/5409/oj</w:t>
        </w:r>
      </w:hyperlink>
      <w:r w:rsidRPr="000657EA">
        <w:rPr>
          <w:sz w:val="24"/>
          <w:lang w:val="lt-LT"/>
        </w:rPr>
        <w:t>.</w:t>
      </w:r>
    </w:p>
  </w:footnote>
  <w:footnote w:id="4">
    <w:p w14:paraId="67D70A58" w14:textId="6C87A120" w:rsidR="007F5615" w:rsidRPr="000657EA" w:rsidRDefault="007F5615" w:rsidP="000657EA">
      <w:pPr>
        <w:pStyle w:val="FootnoteText"/>
        <w:ind w:left="567" w:hanging="567"/>
        <w:rPr>
          <w:sz w:val="24"/>
          <w:lang w:val="lt-LT"/>
        </w:rPr>
      </w:pPr>
      <w:r w:rsidRPr="000657EA">
        <w:rPr>
          <w:rStyle w:val="FootnoteReference"/>
          <w:sz w:val="24"/>
          <w:lang w:val="lt-LT"/>
        </w:rPr>
        <w:footnoteRef/>
      </w:r>
      <w:r w:rsidR="000657EA" w:rsidRPr="000657EA">
        <w:rPr>
          <w:sz w:val="24"/>
          <w:lang w:val="lt-LT"/>
        </w:rPr>
        <w:t xml:space="preserve"> </w:t>
      </w:r>
      <w:r w:rsidR="000657EA" w:rsidRPr="000657EA">
        <w:rPr>
          <w:sz w:val="24"/>
          <w:lang w:val="lt-LT"/>
        </w:rPr>
        <w:tab/>
      </w:r>
      <w:r w:rsidRPr="000657EA">
        <w:rPr>
          <w:sz w:val="24"/>
          <w:lang w:val="lt-LT"/>
        </w:rPr>
        <w:t xml:space="preserve">OL C, C/2025/5407, 2025 10 13, ELI: </w:t>
      </w:r>
      <w:hyperlink r:id="rId4" w:history="1">
        <w:r w:rsidRPr="000657EA">
          <w:rPr>
            <w:rStyle w:val="Hyperlink"/>
            <w:sz w:val="24"/>
            <w:lang w:val="lt-LT"/>
          </w:rPr>
          <w:t>http://data.europa.eu/eli/C/2025/5407/oj</w:t>
        </w:r>
      </w:hyperlink>
      <w:r w:rsidRPr="000657EA">
        <w:rPr>
          <w:sz w:val="24"/>
          <w:lang w:val="lt-LT"/>
        </w:rPr>
        <w:t xml:space="preserve">. </w:t>
      </w:r>
    </w:p>
  </w:footnote>
  <w:footnote w:id="5">
    <w:p w14:paraId="3FB4CAAE" w14:textId="0A3434CE" w:rsidR="007F5615" w:rsidRPr="000657EA" w:rsidRDefault="007F5615" w:rsidP="000657EA">
      <w:pPr>
        <w:pStyle w:val="FootnoteText"/>
        <w:ind w:left="567" w:hanging="567"/>
        <w:rPr>
          <w:sz w:val="24"/>
          <w:lang w:val="lt-LT"/>
        </w:rPr>
      </w:pPr>
      <w:r w:rsidRPr="000657EA">
        <w:rPr>
          <w:rStyle w:val="FootnoteReference"/>
          <w:sz w:val="24"/>
          <w:lang w:val="lt-LT"/>
        </w:rPr>
        <w:footnoteRef/>
      </w:r>
      <w:r w:rsidR="000657EA" w:rsidRPr="000657EA">
        <w:rPr>
          <w:sz w:val="24"/>
          <w:lang w:val="lt-LT"/>
        </w:rPr>
        <w:t xml:space="preserve"> </w:t>
      </w:r>
      <w:r w:rsidR="000657EA" w:rsidRPr="000657EA">
        <w:rPr>
          <w:sz w:val="24"/>
          <w:lang w:val="lt-LT"/>
        </w:rPr>
        <w:tab/>
      </w:r>
      <w:r w:rsidRPr="000657EA">
        <w:rPr>
          <w:sz w:val="24"/>
          <w:lang w:val="lt-LT"/>
        </w:rPr>
        <w:t xml:space="preserve">OL L 193, 2018 7 30, p. 1, ELI: </w:t>
      </w:r>
      <w:hyperlink r:id="rId5" w:history="1">
        <w:r w:rsidRPr="000657EA">
          <w:rPr>
            <w:rStyle w:val="Hyperlink"/>
            <w:sz w:val="24"/>
            <w:lang w:val="lt-LT"/>
          </w:rPr>
          <w:t>http://data.europa.eu/eli/reg/2018/1046/oj</w:t>
        </w:r>
      </w:hyperlink>
      <w:r w:rsidRPr="000657EA">
        <w:rPr>
          <w:sz w:val="24"/>
          <w:lang w:val="lt-LT"/>
        </w:rPr>
        <w:t>.</w:t>
      </w:r>
    </w:p>
  </w:footnote>
  <w:footnote w:id="6">
    <w:p w14:paraId="15D04097" w14:textId="4D07B511" w:rsidR="007F5615" w:rsidRPr="000657EA" w:rsidRDefault="007F5615" w:rsidP="000657EA">
      <w:pPr>
        <w:pStyle w:val="FootnoteText"/>
        <w:ind w:left="567" w:hanging="567"/>
        <w:rPr>
          <w:sz w:val="24"/>
          <w:lang w:val="lt-LT"/>
        </w:rPr>
      </w:pPr>
      <w:r w:rsidRPr="000657EA">
        <w:rPr>
          <w:rStyle w:val="FootnoteReference"/>
          <w:sz w:val="24"/>
          <w:lang w:val="lt-LT"/>
        </w:rPr>
        <w:footnoteRef/>
      </w:r>
      <w:r w:rsidR="000657EA" w:rsidRPr="000657EA">
        <w:rPr>
          <w:sz w:val="24"/>
          <w:lang w:val="lt-LT"/>
        </w:rPr>
        <w:t xml:space="preserve"> </w:t>
      </w:r>
      <w:r w:rsidR="000657EA" w:rsidRPr="000657EA">
        <w:rPr>
          <w:sz w:val="24"/>
          <w:lang w:val="lt-LT"/>
        </w:rPr>
        <w:tab/>
      </w:r>
      <w:r w:rsidRPr="000657EA">
        <w:rPr>
          <w:sz w:val="24"/>
          <w:lang w:val="lt-LT"/>
        </w:rPr>
        <w:t xml:space="preserve">OL L, 2024/2509, 2024 9 26, ELI: </w:t>
      </w:r>
      <w:hyperlink r:id="rId6" w:history="1">
        <w:r w:rsidRPr="000657EA">
          <w:rPr>
            <w:rStyle w:val="Hyperlink"/>
            <w:sz w:val="24"/>
            <w:lang w:val="lt-LT"/>
          </w:rPr>
          <w:t>http://data.europa.eu/eli/reg/2024/2509/oj</w:t>
        </w:r>
      </w:hyperlink>
      <w:r w:rsidRPr="000657EA">
        <w:rPr>
          <w:sz w:val="24"/>
          <w:lang w:val="lt-LT"/>
        </w:rPr>
        <w:t>.</w:t>
      </w:r>
    </w:p>
  </w:footnote>
  <w:footnote w:id="7">
    <w:p w14:paraId="714AB05A" w14:textId="715D6044" w:rsidR="007F5615" w:rsidRPr="000657EA" w:rsidRDefault="007F5615" w:rsidP="000657EA">
      <w:pPr>
        <w:pStyle w:val="FootnoteText"/>
        <w:ind w:left="567" w:hanging="567"/>
        <w:rPr>
          <w:sz w:val="24"/>
          <w:lang w:val="lt-LT"/>
        </w:rPr>
      </w:pPr>
      <w:r w:rsidRPr="000657EA">
        <w:rPr>
          <w:rStyle w:val="FootnoteReference"/>
          <w:sz w:val="24"/>
          <w:lang w:val="lt-LT"/>
        </w:rPr>
        <w:footnoteRef/>
      </w:r>
      <w:r w:rsidR="000657EA" w:rsidRPr="000657EA">
        <w:rPr>
          <w:sz w:val="24"/>
          <w:lang w:val="lt-LT"/>
        </w:rPr>
        <w:t xml:space="preserve"> </w:t>
      </w:r>
      <w:r w:rsidR="000657EA" w:rsidRPr="000657EA">
        <w:rPr>
          <w:sz w:val="24"/>
          <w:lang w:val="lt-LT"/>
        </w:rPr>
        <w:tab/>
      </w:r>
      <w:r w:rsidRPr="000657EA">
        <w:rPr>
          <w:sz w:val="24"/>
          <w:lang w:val="lt-LT"/>
        </w:rPr>
        <w:t>Europos regionų komiteto rezoliucija „Europos regionų komiteto 2020–2025 m. prioritetai. Žmonėms artimesnė Europa pasitelkiant kaimus, miestus ir regionus“ (OL C 324, 2020 10 1, p. 8).</w:t>
      </w:r>
    </w:p>
  </w:footnote>
  <w:footnote w:id="8">
    <w:p w14:paraId="482F77B8" w14:textId="226B453D" w:rsidR="007F5615" w:rsidRPr="000657EA" w:rsidRDefault="007F5615" w:rsidP="00B14697">
      <w:pPr>
        <w:pStyle w:val="FootnoteText"/>
        <w:ind w:left="567" w:hanging="567"/>
        <w:rPr>
          <w:sz w:val="24"/>
          <w:lang w:val="lt-LT"/>
        </w:rPr>
      </w:pPr>
      <w:r w:rsidRPr="000657EA">
        <w:rPr>
          <w:rStyle w:val="FootnoteReference"/>
          <w:sz w:val="24"/>
          <w:lang w:val="lt-LT"/>
        </w:rPr>
        <w:footnoteRef/>
      </w:r>
      <w:r w:rsidR="000657EA" w:rsidRPr="000657EA">
        <w:rPr>
          <w:sz w:val="24"/>
          <w:lang w:val="lt-LT"/>
        </w:rPr>
        <w:t xml:space="preserve"> </w:t>
      </w:r>
      <w:r w:rsidR="000657EA" w:rsidRPr="000657EA">
        <w:rPr>
          <w:sz w:val="24"/>
          <w:lang w:val="lt-LT"/>
        </w:rPr>
        <w:tab/>
      </w:r>
      <w:r w:rsidRPr="000657EA">
        <w:rPr>
          <w:sz w:val="24"/>
          <w:lang w:val="lt-LT"/>
        </w:rPr>
        <w:t>2021 m. birželio 24 d. Europos Parlamento ir Tarybos reglamentas (ES) 2021/1060, kuriuo nustatomos bendros Europos regioninės plėtros fondo, „Europos socialinio fondo +“, Sanglaudos fondo, Teisingos pertvarkos fondo ir Europos jūrų reikalų, žvejybos ir akvakultūros fondo nuostatos ir šių fondų bei Prieglobsčio, migracijos ir integracijos fondo, Vidaus saugumo fondo ir Sienų valdymo ir vizų politikos finansinės paramos priemonės taisyklės (OL L 231, 2021 6 30, p. 159, ELI: </w:t>
      </w:r>
      <w:hyperlink r:id="rId7" w:tooltip="Prieiga prie šio dokumento suteikiama per ELI sistemoje jam suteiktą URI." w:history="1">
        <w:r w:rsidRPr="000657EA">
          <w:rPr>
            <w:rStyle w:val="Hyperlink"/>
            <w:sz w:val="24"/>
            <w:lang w:val="lt-LT"/>
          </w:rPr>
          <w:t>http://data.europa.eu/eli/reg/2021/1060/oj</w:t>
        </w:r>
      </w:hyperlink>
      <w:r w:rsidRPr="000657EA">
        <w:rPr>
          <w:sz w:val="24"/>
          <w:lang w:val="lt-LT"/>
        </w:rPr>
        <w:t>).</w:t>
      </w:r>
    </w:p>
  </w:footnote>
  <w:footnote w:id="9">
    <w:p w14:paraId="6010B518" w14:textId="7D1951F5" w:rsidR="007F5615" w:rsidRPr="000657EA" w:rsidRDefault="007F5615" w:rsidP="000657EA">
      <w:pPr>
        <w:pStyle w:val="FootnoteText"/>
        <w:ind w:left="567" w:hanging="567"/>
        <w:rPr>
          <w:sz w:val="24"/>
          <w:szCs w:val="16"/>
          <w:lang w:val="lt-LT"/>
        </w:rPr>
      </w:pPr>
      <w:r w:rsidRPr="000657EA">
        <w:rPr>
          <w:rStyle w:val="FootnoteReference"/>
          <w:sz w:val="24"/>
          <w:lang w:val="lt-LT"/>
        </w:rPr>
        <w:footnoteRef/>
      </w:r>
      <w:r w:rsidR="000657EA" w:rsidRPr="000657EA">
        <w:rPr>
          <w:sz w:val="24"/>
          <w:lang w:val="lt-LT"/>
        </w:rPr>
        <w:t xml:space="preserve"> </w:t>
      </w:r>
      <w:r w:rsidR="000657EA" w:rsidRPr="000657EA">
        <w:rPr>
          <w:sz w:val="24"/>
          <w:lang w:val="lt-LT"/>
        </w:rPr>
        <w:tab/>
      </w:r>
      <w:r w:rsidRPr="000657EA">
        <w:rPr>
          <w:sz w:val="24"/>
          <w:lang w:val="lt-LT"/>
        </w:rPr>
        <w:t xml:space="preserve">2021 m. vasario 12 d. Europos Parlamento ir Tarybos reglamentas (ES) 2021/241, kuriuo nustatoma ekonomikos gaivinimo ir atsparumo didinimo priemonė (OL L 57, 2021 2 18, p. 17, </w:t>
      </w:r>
      <w:r w:rsidRPr="000657EA">
        <w:rPr>
          <w:color w:val="333333"/>
          <w:sz w:val="24"/>
          <w:shd w:val="clear" w:color="auto" w:fill="FFFFFF"/>
          <w:lang w:val="lt-LT"/>
        </w:rPr>
        <w:t xml:space="preserve">ELI: </w:t>
      </w:r>
      <w:hyperlink r:id="rId8" w:tooltip="Prieiga prie šio dokumento suteikiama per ELI sistemoje jam suteiktą URI." w:history="1">
        <w:r w:rsidRPr="000657EA">
          <w:rPr>
            <w:rStyle w:val="Hyperlink"/>
            <w:sz w:val="24"/>
            <w:shd w:val="clear" w:color="auto" w:fill="FFFFFF"/>
            <w:lang w:val="lt-LT"/>
          </w:rPr>
          <w:t>http://data.europa.eu/eli/reg/2021/241/oj</w:t>
        </w:r>
      </w:hyperlink>
      <w:r w:rsidRPr="000657EA">
        <w:rPr>
          <w:sz w:val="24"/>
          <w:lang w:val="lt-LT"/>
        </w:rPr>
        <w:t>).</w:t>
      </w:r>
    </w:p>
  </w:footnote>
  <w:footnote w:id="10">
    <w:p w14:paraId="7C003F18" w14:textId="366BF208" w:rsidR="007F5615" w:rsidRPr="000657EA" w:rsidRDefault="007F5615" w:rsidP="000657EA">
      <w:pPr>
        <w:pStyle w:val="FootnoteText"/>
        <w:ind w:left="567" w:hanging="567"/>
        <w:rPr>
          <w:sz w:val="24"/>
          <w:lang w:val="lt-LT"/>
        </w:rPr>
      </w:pPr>
      <w:r w:rsidRPr="000657EA">
        <w:rPr>
          <w:rStyle w:val="FootnoteReference"/>
          <w:sz w:val="24"/>
          <w:lang w:val="lt-LT"/>
        </w:rPr>
        <w:footnoteRef/>
      </w:r>
      <w:r w:rsidR="000657EA" w:rsidRPr="000657EA">
        <w:rPr>
          <w:sz w:val="24"/>
          <w:lang w:val="lt-LT"/>
        </w:rPr>
        <w:t xml:space="preserve"> </w:t>
      </w:r>
      <w:r w:rsidR="000657EA" w:rsidRPr="000657EA">
        <w:rPr>
          <w:sz w:val="24"/>
          <w:lang w:val="lt-LT"/>
        </w:rPr>
        <w:tab/>
      </w:r>
      <w:r w:rsidRPr="000657EA">
        <w:rPr>
          <w:sz w:val="24"/>
          <w:lang w:val="lt-LT"/>
        </w:rPr>
        <w:t xml:space="preserve">2024 m. birželio 24 d. Europos Parlamento ir Tarybos reglamentas (ES) 2024/1991 dėl gamtos atkūrimo, kuriuo iš dalies keičiamas Reglamentas (ES) 2022/869 (OL L, 2024/1991, 2024 7 29, ELI: </w:t>
      </w:r>
      <w:hyperlink r:id="rId9" w:tooltip="Prieiga prie šio dokumento suteikiama per ELI sistemoje jam suteiktą URI." w:history="1">
        <w:r w:rsidRPr="000657EA">
          <w:rPr>
            <w:rStyle w:val="Hyperlink"/>
            <w:sz w:val="24"/>
            <w:lang w:val="lt-LT"/>
          </w:rPr>
          <w:t>http://data.europa.eu/eli/reg/2024/1991/oj</w:t>
        </w:r>
      </w:hyperlink>
      <w:r w:rsidRPr="000657EA">
        <w:rPr>
          <w:sz w:val="24"/>
          <w:lang w:val="lt-LT"/>
        </w:rPr>
        <w:t>).</w:t>
      </w:r>
    </w:p>
  </w:footnote>
  <w:footnote w:id="11">
    <w:p w14:paraId="308172B5" w14:textId="0B9ED98E" w:rsidR="007F5615" w:rsidRPr="000657EA" w:rsidRDefault="007F5615" w:rsidP="000657EA">
      <w:pPr>
        <w:pStyle w:val="FootnoteText"/>
        <w:ind w:left="567" w:hanging="567"/>
        <w:rPr>
          <w:sz w:val="24"/>
          <w:lang w:val="lt-LT"/>
        </w:rPr>
      </w:pPr>
      <w:r w:rsidRPr="000657EA">
        <w:rPr>
          <w:rStyle w:val="FootnoteReference"/>
          <w:sz w:val="24"/>
          <w:lang w:val="lt-LT"/>
        </w:rPr>
        <w:footnoteRef/>
      </w:r>
      <w:r w:rsidR="000657EA" w:rsidRPr="000657EA">
        <w:rPr>
          <w:sz w:val="24"/>
          <w:lang w:val="lt-LT"/>
        </w:rPr>
        <w:t xml:space="preserve"> </w:t>
      </w:r>
      <w:r w:rsidR="000657EA" w:rsidRPr="000657EA">
        <w:rPr>
          <w:sz w:val="24"/>
          <w:lang w:val="lt-LT"/>
        </w:rPr>
        <w:tab/>
      </w:r>
      <w:r w:rsidRPr="000657EA">
        <w:rPr>
          <w:sz w:val="24"/>
          <w:lang w:val="lt-LT"/>
        </w:rPr>
        <w:t xml:space="preserve">2025 m. vasario 11 d. </w:t>
      </w:r>
      <w:r w:rsidRPr="000657EA">
        <w:rPr>
          <w:sz w:val="24"/>
          <w:lang w:val="lt-LT"/>
        </w:rPr>
        <w:t>Europos Parlamento ir Tarybos reglamentas (ES) 2025/327 dėl Europos sveikatos duomenų erdvės, kuriuo iš dalies keičiama Direktyva 2011/24/ES ir Reglamentas (ES) 2024/2847 (OL L, 2025/327, 2025 3 5, ELI:</w:t>
      </w:r>
      <w:r w:rsidRPr="000657EA">
        <w:rPr>
          <w:color w:val="333333"/>
          <w:sz w:val="24"/>
          <w:shd w:val="clear" w:color="auto" w:fill="FFFFFF"/>
          <w:lang w:val="lt-LT"/>
        </w:rPr>
        <w:t xml:space="preserve"> </w:t>
      </w:r>
      <w:hyperlink r:id="rId10" w:tooltip="Prieiga prie šio dokumento suteikiama per ELI sistemoje jam suteiktą URI." w:history="1">
        <w:r w:rsidRPr="000657EA">
          <w:rPr>
            <w:rStyle w:val="Hyperlink"/>
            <w:sz w:val="24"/>
            <w:lang w:val="lt-LT"/>
          </w:rPr>
          <w:t>http://data.europa.eu/eli/reg/2025</w:t>
        </w:r>
        <w:r w:rsidRPr="000657EA">
          <w:rPr>
            <w:rStyle w:val="Hyperlink"/>
            <w:sz w:val="24"/>
            <w:lang w:val="lt-LT"/>
          </w:rPr>
          <w:t>/</w:t>
        </w:r>
        <w:r w:rsidRPr="000657EA">
          <w:rPr>
            <w:rStyle w:val="Hyperlink"/>
            <w:sz w:val="24"/>
            <w:lang w:val="lt-LT"/>
          </w:rPr>
          <w:t>327/oj</w:t>
        </w:r>
      </w:hyperlink>
      <w:r w:rsidRPr="000657EA">
        <w:rPr>
          <w:sz w:val="24"/>
          <w:lang w:val="lt-LT"/>
        </w:rPr>
        <w:t xml:space="preserve">). </w:t>
      </w:r>
    </w:p>
  </w:footnote>
  <w:footnote w:id="12">
    <w:p w14:paraId="711A4E50" w14:textId="7B124629" w:rsidR="007F5615" w:rsidRPr="000657EA" w:rsidRDefault="007F5615" w:rsidP="000657EA">
      <w:pPr>
        <w:pStyle w:val="FootnoteText"/>
        <w:ind w:left="567" w:hanging="567"/>
        <w:rPr>
          <w:sz w:val="24"/>
          <w:lang w:val="lt-LT"/>
        </w:rPr>
      </w:pPr>
      <w:r w:rsidRPr="000657EA">
        <w:rPr>
          <w:rStyle w:val="FootnoteReference"/>
          <w:sz w:val="24"/>
          <w:lang w:val="lt-LT"/>
        </w:rPr>
        <w:footnoteRef/>
      </w:r>
      <w:r w:rsidR="000657EA" w:rsidRPr="000657EA">
        <w:rPr>
          <w:sz w:val="24"/>
          <w:lang w:val="lt-LT"/>
        </w:rPr>
        <w:t xml:space="preserve"> </w:t>
      </w:r>
      <w:r w:rsidR="000657EA" w:rsidRPr="000657EA">
        <w:rPr>
          <w:sz w:val="24"/>
          <w:lang w:val="lt-LT"/>
        </w:rPr>
        <w:tab/>
      </w:r>
      <w:r w:rsidRPr="000657EA">
        <w:rPr>
          <w:sz w:val="24"/>
          <w:lang w:val="lt-LT"/>
        </w:rPr>
        <w:t>2024 m. birželio 13 d. Europos Parlamento ir Tarybos reglamentas (ES) 2024/1689, kuriuo nustatomos suderintos dirbtinio intelekto taisyklės ir iš dalies keičiami reglamentai (EB) Nr. 300/2008, (ES) Nr. 167/2013, (ES) Nr. 168/2013, (ES) 2018/858, (ES) 2018/1139 ir (ES) 2019/2144 ir direktyvos 2014/90/ES, (ES) 2016/797 ir (ES) 2020/1828, (Dirbtinio intelekto aktas) (OL L, 2024/1689, 2024 7 12, ELI: </w:t>
      </w:r>
      <w:hyperlink r:id="rId11" w:tgtFrame="_blank" w:tooltip="Prieiga prie šio dokumento suteikiama per ELI sistemoje jam suteiktą URI." w:history="1">
        <w:r w:rsidRPr="000657EA">
          <w:rPr>
            <w:rStyle w:val="Hyperlink"/>
            <w:sz w:val="24"/>
            <w:lang w:val="lt-LT"/>
          </w:rPr>
          <w:t>http://data.europa.eu/eli/reg/2024/1689/oj</w:t>
        </w:r>
      </w:hyperlink>
      <w:r w:rsidRPr="000657EA">
        <w:rPr>
          <w:sz w:val="24"/>
          <w:lang w:val="lt-LT"/>
        </w:rPr>
        <w:t>).</w:t>
      </w:r>
    </w:p>
  </w:footnote>
  <w:footnote w:id="13">
    <w:p w14:paraId="193B349F" w14:textId="41ADA433" w:rsidR="007F5615" w:rsidRPr="000657EA" w:rsidRDefault="007F5615" w:rsidP="000657EA">
      <w:pPr>
        <w:pStyle w:val="FootnoteText"/>
        <w:ind w:left="567" w:hanging="567"/>
        <w:rPr>
          <w:sz w:val="24"/>
          <w:lang w:val="lt-LT"/>
        </w:rPr>
      </w:pPr>
      <w:r w:rsidRPr="000657EA">
        <w:rPr>
          <w:rStyle w:val="FootnoteReference"/>
          <w:sz w:val="24"/>
          <w:lang w:val="lt-LT"/>
        </w:rPr>
        <w:footnoteRef/>
      </w:r>
      <w:r w:rsidR="000657EA" w:rsidRPr="000657EA">
        <w:rPr>
          <w:sz w:val="24"/>
          <w:lang w:val="lt-LT"/>
        </w:rPr>
        <w:t xml:space="preserve"> </w:t>
      </w:r>
      <w:r w:rsidR="000657EA" w:rsidRPr="000657EA">
        <w:rPr>
          <w:sz w:val="24"/>
          <w:lang w:val="lt-LT"/>
        </w:rPr>
        <w:tab/>
      </w:r>
      <w:r w:rsidRPr="000657EA">
        <w:rPr>
          <w:sz w:val="24"/>
          <w:lang w:val="lt-LT"/>
        </w:rPr>
        <w:t xml:space="preserve">2023 m. gruodžio 13 d. </w:t>
      </w:r>
      <w:r w:rsidRPr="000657EA">
        <w:rPr>
          <w:sz w:val="24"/>
          <w:lang w:val="lt-LT"/>
        </w:rPr>
        <w:t xml:space="preserve">Europos Parlamento ir Tarybos reglamentas (ES, Euratomas) 2023/2841, kuriuo nustatomos priemonės aukštam bendram kibernetinio saugumo lygiui Sąjungos institucijose, įstaigose, organuose ir agentūrose užtikrinti </w:t>
      </w:r>
      <w:r w:rsidRPr="000657EA">
        <w:rPr>
          <w:sz w:val="24"/>
          <w:lang w:val="lt-LT"/>
        </w:rPr>
        <w:t>(O</w:t>
      </w:r>
      <w:r w:rsidR="005A0BA6">
        <w:rPr>
          <w:sz w:val="24"/>
          <w:lang w:val="lt-LT"/>
        </w:rPr>
        <w:t>L</w:t>
      </w:r>
      <w:r w:rsidRPr="000657EA">
        <w:rPr>
          <w:sz w:val="24"/>
          <w:lang w:val="lt-LT"/>
        </w:rPr>
        <w:t xml:space="preserve"> L, 2023/2841, 2023 12 18, ELI: </w:t>
      </w:r>
      <w:hyperlink r:id="rId12" w:history="1">
        <w:r w:rsidRPr="000657EA">
          <w:rPr>
            <w:rStyle w:val="Hyperlink"/>
            <w:sz w:val="24"/>
            <w:lang w:val="lt-LT"/>
          </w:rPr>
          <w:t>http://data.europa.eu/eli/reg/2023/2841/oj</w:t>
        </w:r>
      </w:hyperlink>
      <w:r w:rsidRPr="000657EA">
        <w:rPr>
          <w:sz w:val="24"/>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BE613D" w14:textId="77777777" w:rsidR="00064002" w:rsidRPr="000657E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AC5472" w14:textId="77777777" w:rsidR="00064002" w:rsidRPr="000657E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3CA884" w14:textId="77777777" w:rsidR="00064002" w:rsidRPr="000657E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24274323">
    <w:abstractNumId w:val="9"/>
  </w:num>
  <w:num w:numId="2" w16cid:durableId="2085489812">
    <w:abstractNumId w:val="9"/>
  </w:num>
  <w:num w:numId="3" w16cid:durableId="891773792">
    <w:abstractNumId w:val="7"/>
  </w:num>
  <w:num w:numId="4" w16cid:durableId="1348407123">
    <w:abstractNumId w:val="7"/>
  </w:num>
  <w:num w:numId="5" w16cid:durableId="132331651">
    <w:abstractNumId w:val="6"/>
  </w:num>
  <w:num w:numId="6" w16cid:durableId="1809207511">
    <w:abstractNumId w:val="6"/>
  </w:num>
  <w:num w:numId="7" w16cid:durableId="1051198017">
    <w:abstractNumId w:val="5"/>
  </w:num>
  <w:num w:numId="8" w16cid:durableId="2010522267">
    <w:abstractNumId w:val="5"/>
  </w:num>
  <w:num w:numId="9" w16cid:durableId="1620800479">
    <w:abstractNumId w:val="4"/>
  </w:num>
  <w:num w:numId="10" w16cid:durableId="612637480">
    <w:abstractNumId w:val="4"/>
  </w:num>
  <w:num w:numId="11" w16cid:durableId="45567809">
    <w:abstractNumId w:val="8"/>
  </w:num>
  <w:num w:numId="12" w16cid:durableId="1295939561">
    <w:abstractNumId w:val="8"/>
  </w:num>
  <w:num w:numId="13" w16cid:durableId="657611835">
    <w:abstractNumId w:val="3"/>
  </w:num>
  <w:num w:numId="14" w16cid:durableId="1715351894">
    <w:abstractNumId w:val="3"/>
  </w:num>
  <w:num w:numId="15" w16cid:durableId="576204959">
    <w:abstractNumId w:val="2"/>
  </w:num>
  <w:num w:numId="16" w16cid:durableId="893472707">
    <w:abstractNumId w:val="2"/>
  </w:num>
  <w:num w:numId="17" w16cid:durableId="844325713">
    <w:abstractNumId w:val="1"/>
  </w:num>
  <w:num w:numId="18" w16cid:durableId="1880823775">
    <w:abstractNumId w:val="1"/>
  </w:num>
  <w:num w:numId="19" w16cid:durableId="1944454748">
    <w:abstractNumId w:val="0"/>
  </w:num>
  <w:num w:numId="20" w16cid:durableId="751974030">
    <w:abstractNumId w:val="0"/>
  </w:num>
  <w:num w:numId="21" w16cid:durableId="2051832281">
    <w:abstractNumId w:val="9"/>
  </w:num>
  <w:num w:numId="22" w16cid:durableId="1490172778">
    <w:abstractNumId w:val="7"/>
  </w:num>
  <w:num w:numId="23" w16cid:durableId="2002850087">
    <w:abstractNumId w:val="6"/>
  </w:num>
  <w:num w:numId="24" w16cid:durableId="1541866637">
    <w:abstractNumId w:val="5"/>
  </w:num>
  <w:num w:numId="25" w16cid:durableId="1290894171">
    <w:abstractNumId w:val="4"/>
  </w:num>
  <w:num w:numId="26" w16cid:durableId="616520289">
    <w:abstractNumId w:val="8"/>
  </w:num>
  <w:num w:numId="27" w16cid:durableId="113914919">
    <w:abstractNumId w:val="3"/>
  </w:num>
  <w:num w:numId="28" w16cid:durableId="735249249">
    <w:abstractNumId w:val="2"/>
  </w:num>
  <w:num w:numId="29" w16cid:durableId="1436752563">
    <w:abstractNumId w:val="1"/>
  </w:num>
  <w:num w:numId="30" w16cid:durableId="1185748185">
    <w:abstractNumId w:val="0"/>
  </w:num>
  <w:num w:numId="31" w16cid:durableId="1886716372">
    <w:abstractNumId w:val="9"/>
  </w:num>
  <w:num w:numId="32" w16cid:durableId="937521809">
    <w:abstractNumId w:val="7"/>
  </w:num>
  <w:num w:numId="33" w16cid:durableId="453065565">
    <w:abstractNumId w:val="6"/>
  </w:num>
  <w:num w:numId="34" w16cid:durableId="503976245">
    <w:abstractNumId w:val="5"/>
  </w:num>
  <w:num w:numId="35" w16cid:durableId="1917671168">
    <w:abstractNumId w:val="4"/>
  </w:num>
  <w:num w:numId="36" w16cid:durableId="1167089043">
    <w:abstractNumId w:val="8"/>
  </w:num>
  <w:num w:numId="37" w16cid:durableId="1437208913">
    <w:abstractNumId w:val="3"/>
  </w:num>
  <w:num w:numId="38" w16cid:durableId="1095983074">
    <w:abstractNumId w:val="2"/>
  </w:num>
  <w:num w:numId="39" w16cid:durableId="1313560095">
    <w:abstractNumId w:val="1"/>
  </w:num>
  <w:num w:numId="40" w16cid:durableId="344795670">
    <w:abstractNumId w:val="0"/>
  </w:num>
  <w:num w:numId="41" w16cid:durableId="1376005005">
    <w:abstractNumId w:val="10"/>
  </w:num>
  <w:num w:numId="42" w16cid:durableId="1702435347">
    <w:abstractNumId w:val="10"/>
  </w:num>
  <w:num w:numId="43" w16cid:durableId="302123961">
    <w:abstractNumId w:val="10"/>
  </w:num>
  <w:num w:numId="44" w16cid:durableId="209119490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savePreviewPicture/>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56/2026"/>
    <w:docVar w:name="dvlangue" w:val="LT"/>
    <w:docVar w:name="dvnumam" w:val="0"/>
    <w:docVar w:name="dvpe" w:val="778.064"/>
    <w:docVar w:name="dvrapporteur" w:val="Pranešėjas: "/>
    <w:docVar w:name="dvtitre" w:val="1. 2026 m. balandzio 29 d. Europos Parlamento sprendimas dėl 2024 finansinių metų Europos Sąjungos bendrojo biudžeto įvykdymo patvirtinimo, VII skirsnis – Regionų komitetas(2025/2152(DEC))"/>
  </w:docVars>
  <w:rsids>
    <w:rsidRoot w:val="0079024C"/>
    <w:rsid w:val="00002272"/>
    <w:rsid w:val="000041C4"/>
    <w:rsid w:val="00064002"/>
    <w:rsid w:val="000657EA"/>
    <w:rsid w:val="000677B9"/>
    <w:rsid w:val="000831BA"/>
    <w:rsid w:val="000A42CC"/>
    <w:rsid w:val="000E7DD9"/>
    <w:rsid w:val="0010095E"/>
    <w:rsid w:val="00125B37"/>
    <w:rsid w:val="00136036"/>
    <w:rsid w:val="00187494"/>
    <w:rsid w:val="001A43AD"/>
    <w:rsid w:val="001B760D"/>
    <w:rsid w:val="001D2038"/>
    <w:rsid w:val="001F32AE"/>
    <w:rsid w:val="002767FF"/>
    <w:rsid w:val="002B18FE"/>
    <w:rsid w:val="002B5493"/>
    <w:rsid w:val="00343214"/>
    <w:rsid w:val="00361C00"/>
    <w:rsid w:val="00395FA1"/>
    <w:rsid w:val="003D767F"/>
    <w:rsid w:val="003E15D4"/>
    <w:rsid w:val="00411CCE"/>
    <w:rsid w:val="0041666E"/>
    <w:rsid w:val="00417D7A"/>
    <w:rsid w:val="00421060"/>
    <w:rsid w:val="0044343E"/>
    <w:rsid w:val="00471C19"/>
    <w:rsid w:val="004867E3"/>
    <w:rsid w:val="00494A28"/>
    <w:rsid w:val="004C0004"/>
    <w:rsid w:val="004C5D52"/>
    <w:rsid w:val="0050519A"/>
    <w:rsid w:val="005072A1"/>
    <w:rsid w:val="00514517"/>
    <w:rsid w:val="00545827"/>
    <w:rsid w:val="00554DB5"/>
    <w:rsid w:val="00560270"/>
    <w:rsid w:val="00584958"/>
    <w:rsid w:val="005A0BA6"/>
    <w:rsid w:val="005C2568"/>
    <w:rsid w:val="005F1B17"/>
    <w:rsid w:val="006037C0"/>
    <w:rsid w:val="00643808"/>
    <w:rsid w:val="006631B6"/>
    <w:rsid w:val="00680577"/>
    <w:rsid w:val="006F74FA"/>
    <w:rsid w:val="00731ADD"/>
    <w:rsid w:val="00734777"/>
    <w:rsid w:val="00747932"/>
    <w:rsid w:val="00751A4A"/>
    <w:rsid w:val="00756632"/>
    <w:rsid w:val="00762C74"/>
    <w:rsid w:val="00786EC0"/>
    <w:rsid w:val="0079024C"/>
    <w:rsid w:val="007934FB"/>
    <w:rsid w:val="007D1690"/>
    <w:rsid w:val="007E22AD"/>
    <w:rsid w:val="007F5615"/>
    <w:rsid w:val="00817416"/>
    <w:rsid w:val="00842779"/>
    <w:rsid w:val="00865F67"/>
    <w:rsid w:val="00881A7B"/>
    <w:rsid w:val="008840E5"/>
    <w:rsid w:val="00887B3E"/>
    <w:rsid w:val="008C2AC6"/>
    <w:rsid w:val="00930C23"/>
    <w:rsid w:val="0093193B"/>
    <w:rsid w:val="009509D8"/>
    <w:rsid w:val="00950B64"/>
    <w:rsid w:val="00981893"/>
    <w:rsid w:val="009E21F0"/>
    <w:rsid w:val="00A1687D"/>
    <w:rsid w:val="00A43E52"/>
    <w:rsid w:val="00A4678D"/>
    <w:rsid w:val="00A778C7"/>
    <w:rsid w:val="00AB441E"/>
    <w:rsid w:val="00AB6293"/>
    <w:rsid w:val="00AE0928"/>
    <w:rsid w:val="00AF3B82"/>
    <w:rsid w:val="00B12E95"/>
    <w:rsid w:val="00B14697"/>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D2EAC"/>
    <w:rsid w:val="00E365E1"/>
    <w:rsid w:val="00E820A4"/>
    <w:rsid w:val="00EB006A"/>
    <w:rsid w:val="00EB4772"/>
    <w:rsid w:val="00ED169E"/>
    <w:rsid w:val="00ED4235"/>
    <w:rsid w:val="00F04346"/>
    <w:rsid w:val="00F075DC"/>
    <w:rsid w:val="00F11024"/>
    <w:rsid w:val="00F149E9"/>
    <w:rsid w:val="00F5134D"/>
    <w:rsid w:val="00F73F47"/>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A051C2"/>
  <w15:chartTrackingRefBased/>
  <w15:docId w15:val="{357A5249-945F-4E0E-8375-F66B76040D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7F5615"/>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7F5615"/>
    <w:pPr>
      <w:spacing w:before="480" w:after="240"/>
    </w:pPr>
  </w:style>
  <w:style w:type="paragraph" w:customStyle="1" w:styleId="PageHeading">
    <w:name w:val="PageHeading"/>
    <w:basedOn w:val="Normal"/>
    <w:rsid w:val="007F5615"/>
    <w:pPr>
      <w:keepNext/>
      <w:spacing w:after="480"/>
      <w:jc w:val="center"/>
    </w:pPr>
    <w:rPr>
      <w:rFonts w:ascii="Arial" w:hAnsi="Arial" w:cs="Arial"/>
      <w:b/>
    </w:rPr>
  </w:style>
  <w:style w:type="paragraph" w:customStyle="1" w:styleId="NormalBold">
    <w:name w:val="NormalBold"/>
    <w:basedOn w:val="Normal"/>
    <w:rsid w:val="007F5615"/>
    <w:rPr>
      <w:b/>
    </w:rPr>
  </w:style>
  <w:style w:type="paragraph" w:customStyle="1" w:styleId="NormalHanging12a">
    <w:name w:val="NormalHanging12a"/>
    <w:basedOn w:val="Normal"/>
    <w:link w:val="NormalHanging12aChar"/>
    <w:qFormat/>
    <w:rsid w:val="007F5615"/>
    <w:pPr>
      <w:spacing w:after="240"/>
      <w:ind w:left="567" w:hanging="567"/>
    </w:pPr>
  </w:style>
  <w:style w:type="paragraph" w:styleId="Header">
    <w:name w:val="header"/>
    <w:basedOn w:val="Normal"/>
    <w:link w:val="HeaderChar"/>
    <w:rsid w:val="007F5615"/>
    <w:pPr>
      <w:tabs>
        <w:tab w:val="center" w:pos="4513"/>
        <w:tab w:val="right" w:pos="9026"/>
      </w:tabs>
    </w:pPr>
  </w:style>
  <w:style w:type="character" w:customStyle="1" w:styleId="HeaderChar">
    <w:name w:val="Header Char"/>
    <w:basedOn w:val="DefaultParagraphFont"/>
    <w:link w:val="Header"/>
    <w:rsid w:val="007F5615"/>
    <w:rPr>
      <w:sz w:val="24"/>
      <w:lang w:val="lt-LT"/>
    </w:rPr>
  </w:style>
  <w:style w:type="paragraph" w:customStyle="1" w:styleId="EPFooter">
    <w:name w:val="EPFooter"/>
    <w:basedOn w:val="Normal"/>
    <w:rsid w:val="007F5615"/>
    <w:pPr>
      <w:tabs>
        <w:tab w:val="center" w:pos="4535"/>
        <w:tab w:val="right" w:pos="9071"/>
      </w:tabs>
      <w:spacing w:before="240" w:after="240"/>
    </w:pPr>
    <w:rPr>
      <w:color w:val="010000"/>
      <w:sz w:val="22"/>
    </w:rPr>
  </w:style>
  <w:style w:type="character" w:styleId="Hyperlink">
    <w:name w:val="Hyperlink"/>
    <w:basedOn w:val="DefaultParagraphFont"/>
    <w:uiPriority w:val="99"/>
    <w:rsid w:val="007F5615"/>
    <w:rPr>
      <w:color w:val="0563C1" w:themeColor="hyperlink"/>
      <w:u w:val="single"/>
    </w:rPr>
  </w:style>
  <w:style w:type="character" w:customStyle="1" w:styleId="NormalHanging12aChar">
    <w:name w:val="NormalHanging12a Char"/>
    <w:basedOn w:val="DefaultParagraphFont"/>
    <w:link w:val="NormalHanging12a"/>
    <w:locked/>
    <w:rsid w:val="007F5615"/>
    <w:rPr>
      <w:sz w:val="24"/>
      <w:lang w:val="lt-LT"/>
    </w:rPr>
  </w:style>
  <w:style w:type="paragraph" w:styleId="Revision">
    <w:name w:val="Revision"/>
    <w:hidden/>
    <w:uiPriority w:val="99"/>
    <w:semiHidden/>
    <w:rsid w:val="000041C4"/>
    <w:rPr>
      <w:sz w:val="24"/>
      <w:lang w:val="lt-LT"/>
    </w:rPr>
  </w:style>
  <w:style w:type="character" w:styleId="FollowedHyperlink">
    <w:name w:val="FollowedHyperlink"/>
    <w:basedOn w:val="DefaultParagraphFont"/>
    <w:rsid w:val="0064380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1/241/oj" TargetMode="External"/><Relationship Id="rId3" Type="http://schemas.openxmlformats.org/officeDocument/2006/relationships/hyperlink" Target="http://data.europa.eu/eli/C/2025/5409/oj" TargetMode="External"/><Relationship Id="rId7" Type="http://schemas.openxmlformats.org/officeDocument/2006/relationships/hyperlink" Target="http://data.europa.eu/eli/reg/2021/1060/oj" TargetMode="External"/><Relationship Id="rId12" Type="http://schemas.openxmlformats.org/officeDocument/2006/relationships/hyperlink" Target="http://data.europa.eu/eli/reg/2023/2841/oj" TargetMode="External"/><Relationship Id="rId2" Type="http://schemas.openxmlformats.org/officeDocument/2006/relationships/hyperlink" Target="http://data.europa.eu/eli/C/2025/4944/oj" TargetMode="External"/><Relationship Id="rId1" Type="http://schemas.openxmlformats.org/officeDocument/2006/relationships/hyperlink" Target="http://data.europa.eu/eli/budget/2024/207/oj" TargetMode="External"/><Relationship Id="rId6" Type="http://schemas.openxmlformats.org/officeDocument/2006/relationships/hyperlink" Target="http://data.europa.eu/eli/reg/2024/2509/oj" TargetMode="External"/><Relationship Id="rId11" Type="http://schemas.openxmlformats.org/officeDocument/2006/relationships/hyperlink" Target="http://data.europa.eu/eli/reg/2024/1689/oj" TargetMode="External"/><Relationship Id="rId5" Type="http://schemas.openxmlformats.org/officeDocument/2006/relationships/hyperlink" Target="http://data.europa.eu/eli/reg/2018/1046/oj" TargetMode="External"/><Relationship Id="rId10" Type="http://schemas.openxmlformats.org/officeDocument/2006/relationships/hyperlink" Target="http://data.europa.eu/eli/reg/2025/327/oj" TargetMode="External"/><Relationship Id="rId4" Type="http://schemas.openxmlformats.org/officeDocument/2006/relationships/hyperlink" Target="http://data.europa.eu/eli/C/2025/5407/oj" TargetMode="External"/><Relationship Id="rId9" Type="http://schemas.openxmlformats.org/officeDocument/2006/relationships/hyperlink" Target="http://data.europa.eu/eli/reg/2024/199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20</Pages>
  <Words>8299</Words>
  <Characters>56080</Characters>
  <Application>Microsoft Office Word</Application>
  <DocSecurity>0</DocSecurity>
  <Lines>467</Lines>
  <Paragraphs>128</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TA</vt:lpstr>
      <vt:lpstr>P10_TA(2026)0000</vt:lpstr>
      <vt:lpstr>    2024 m. biudžeto įvykdymo patvirtinimas: ES bendrasis biudžetas – Regionų komite</vt:lpstr>
      <vt:lpstr>        1. 2026 m. balandžio 29 d. Europos Parlamento sprendimas dėl 2024 finansinių met</vt:lpstr>
      <vt:lpstr>        </vt:lpstr>
    </vt:vector>
  </TitlesOfParts>
  <Company/>
  <LinksUpToDate>false</LinksUpToDate>
  <CharactersWithSpaces>64251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SKEIVYTE Silvija</cp:lastModifiedBy>
  <cp:revision>2</cp:revision>
  <cp:lastPrinted>2004-11-19T15:42:00Z</cp:lastPrinted>
  <dcterms:created xsi:type="dcterms:W3CDTF">2026-05-07T09:47:00Z</dcterms:created>
  <dcterms:modified xsi:type="dcterms:W3CDTF">2026-05-07T09:47:00Z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P10_TA(2026)0132_</vt:lpwstr>
  </property>
  <property fmtid="{D5CDD505-2E9C-101B-9397-08002B2CF9AE}" pid="4" name="&lt;Type&gt;">
    <vt:lpwstr>RR</vt:lpwstr>
  </property>
</Properties>
</file>