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5024" w14:paraId="0D75DA2A" w14:textId="77777777" w:rsidTr="0010095E">
        <w:trPr>
          <w:trHeight w:hRule="exact" w:val="1418"/>
        </w:trPr>
        <w:tc>
          <w:tcPr>
            <w:tcW w:w="6804" w:type="dxa"/>
            <w:shd w:val="clear" w:color="auto" w:fill="auto"/>
            <w:vAlign w:val="center"/>
          </w:tcPr>
          <w:p w14:paraId="688CAFAD" w14:textId="77777777" w:rsidR="00751A4A" w:rsidRPr="00F65024" w:rsidRDefault="004C149B" w:rsidP="0010095E">
            <w:pPr>
              <w:pStyle w:val="EPName"/>
            </w:pPr>
            <w:r w:rsidRPr="00F65024">
              <w:t>Parlament Europejski</w:t>
            </w:r>
          </w:p>
          <w:p w14:paraId="783C73C2" w14:textId="77777777" w:rsidR="00751A4A" w:rsidRPr="00F65024" w:rsidRDefault="005F1B17" w:rsidP="005F1B17">
            <w:pPr>
              <w:pStyle w:val="EPTerm"/>
              <w:rPr>
                <w:rStyle w:val="HideTWBExt"/>
                <w:noProof w:val="0"/>
                <w:vanish w:val="0"/>
                <w:color w:val="auto"/>
              </w:rPr>
            </w:pPr>
            <w:r w:rsidRPr="00F65024">
              <w:t>2024</w:t>
            </w:r>
            <w:r w:rsidR="00817416" w:rsidRPr="00F65024">
              <w:t>-202</w:t>
            </w:r>
            <w:r w:rsidRPr="00F65024">
              <w:t>9</w:t>
            </w:r>
          </w:p>
        </w:tc>
        <w:tc>
          <w:tcPr>
            <w:tcW w:w="2268" w:type="dxa"/>
            <w:shd w:val="clear" w:color="auto" w:fill="auto"/>
          </w:tcPr>
          <w:p w14:paraId="4231D99B" w14:textId="77777777" w:rsidR="00751A4A" w:rsidRPr="00F65024" w:rsidRDefault="00187494" w:rsidP="0010095E">
            <w:pPr>
              <w:pStyle w:val="EPLogo"/>
            </w:pPr>
            <w:r w:rsidRPr="00F65024">
              <w:rPr>
                <w:noProof/>
                <w:lang w:eastAsia="ja-JP"/>
              </w:rPr>
              <w:drawing>
                <wp:inline distT="0" distB="0" distL="0" distR="0" wp14:anchorId="18328A90" wp14:editId="65FA72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3F4257" w14:textId="77777777" w:rsidR="00D058B8" w:rsidRPr="00F65024" w:rsidRDefault="00D058B8" w:rsidP="004C5D52">
      <w:pPr>
        <w:pStyle w:val="LineTop"/>
      </w:pPr>
    </w:p>
    <w:p w14:paraId="7EE0EF93" w14:textId="77777777" w:rsidR="00680577" w:rsidRPr="00F65024" w:rsidRDefault="004C149B" w:rsidP="00680577">
      <w:pPr>
        <w:pStyle w:val="EPBodyTA1"/>
      </w:pPr>
      <w:r w:rsidRPr="00F65024">
        <w:t>TEKSTY PRZYJĘTE</w:t>
      </w:r>
    </w:p>
    <w:p w14:paraId="1653D0DE" w14:textId="77777777" w:rsidR="00D058B8" w:rsidRPr="00F65024" w:rsidRDefault="00D058B8" w:rsidP="00D058B8">
      <w:pPr>
        <w:pStyle w:val="LineBottom"/>
      </w:pPr>
    </w:p>
    <w:p w14:paraId="28808EDF" w14:textId="1710CF8D" w:rsidR="004C149B" w:rsidRPr="00F65024" w:rsidRDefault="004C149B" w:rsidP="004C149B">
      <w:pPr>
        <w:pStyle w:val="ATHeading1"/>
      </w:pPr>
      <w:bookmarkStart w:id="0" w:name="TANumber"/>
      <w:r w:rsidRPr="00F65024">
        <w:t>P10_TA(2026)0</w:t>
      </w:r>
      <w:bookmarkEnd w:id="0"/>
      <w:r w:rsidR="00757E05">
        <w:t>132</w:t>
      </w:r>
    </w:p>
    <w:p w14:paraId="66F5B9A8" w14:textId="77777777" w:rsidR="004C149B" w:rsidRPr="00F65024" w:rsidRDefault="004C149B" w:rsidP="004C149B">
      <w:pPr>
        <w:pStyle w:val="ATHeading2"/>
      </w:pPr>
      <w:bookmarkStart w:id="1" w:name="title"/>
      <w:r w:rsidRPr="00F65024">
        <w:t>Absolutorium za rok 2024: budżet ogólny UE – Komitet Regionów</w:t>
      </w:r>
      <w:bookmarkEnd w:id="1"/>
    </w:p>
    <w:p w14:paraId="7BE04828" w14:textId="77777777" w:rsidR="004C149B" w:rsidRPr="00F65024" w:rsidRDefault="004C149B" w:rsidP="004C149B">
      <w:pPr>
        <w:rPr>
          <w:i/>
          <w:vanish/>
        </w:rPr>
      </w:pPr>
      <w:r w:rsidRPr="00F65024">
        <w:rPr>
          <w:i/>
        </w:rPr>
        <w:fldChar w:fldCharType="begin"/>
      </w:r>
      <w:r w:rsidRPr="00F65024">
        <w:rPr>
          <w:i/>
        </w:rPr>
        <w:instrText xml:space="preserve"> TC"(</w:instrText>
      </w:r>
      <w:bookmarkStart w:id="2" w:name="DocNumber"/>
      <w:r w:rsidRPr="00F65024">
        <w:rPr>
          <w:i/>
        </w:rPr>
        <w:instrText>A10-0056/2026</w:instrText>
      </w:r>
      <w:bookmarkEnd w:id="2"/>
      <w:r w:rsidRPr="00F65024">
        <w:rPr>
          <w:i/>
        </w:rPr>
        <w:instrText xml:space="preserve"> - Sprawozdawca: </w:instrText>
      </w:r>
      <w:proofErr w:type="spellStart"/>
      <w:r w:rsidRPr="00F65024">
        <w:rPr>
          <w:i/>
        </w:rPr>
        <w:instrText>Pasquale</w:instrText>
      </w:r>
      <w:proofErr w:type="spellEnd"/>
      <w:r w:rsidRPr="00F65024">
        <w:rPr>
          <w:i/>
        </w:rPr>
        <w:instrText xml:space="preserve"> </w:instrText>
      </w:r>
      <w:proofErr w:type="spellStart"/>
      <w:r w:rsidRPr="00F65024">
        <w:rPr>
          <w:i/>
        </w:rPr>
        <w:instrText>Tridico</w:instrText>
      </w:r>
      <w:proofErr w:type="spellEnd"/>
      <w:r w:rsidRPr="00F65024">
        <w:rPr>
          <w:i/>
        </w:rPr>
        <w:instrText xml:space="preserve">)"\l3 \n&gt; \* MERGEFORMAT </w:instrText>
      </w:r>
      <w:r w:rsidRPr="00F65024">
        <w:rPr>
          <w:i/>
        </w:rPr>
        <w:fldChar w:fldCharType="end"/>
      </w:r>
    </w:p>
    <w:p w14:paraId="663D1679" w14:textId="77777777" w:rsidR="004C149B" w:rsidRPr="00F65024" w:rsidRDefault="004C149B" w:rsidP="004C149B">
      <w:pPr>
        <w:rPr>
          <w:vanish/>
        </w:rPr>
      </w:pPr>
      <w:bookmarkStart w:id="3" w:name="Commission"/>
      <w:r w:rsidRPr="00F65024">
        <w:rPr>
          <w:vanish/>
        </w:rPr>
        <w:t>Komisja Kontroli Budżetowej</w:t>
      </w:r>
      <w:bookmarkEnd w:id="3"/>
    </w:p>
    <w:p w14:paraId="5094082E" w14:textId="77777777" w:rsidR="004C149B" w:rsidRPr="00F65024" w:rsidRDefault="004C149B" w:rsidP="004C149B">
      <w:pPr>
        <w:rPr>
          <w:vanish/>
        </w:rPr>
      </w:pPr>
      <w:bookmarkStart w:id="4" w:name="PE"/>
      <w:r w:rsidRPr="00F65024">
        <w:rPr>
          <w:vanish/>
        </w:rPr>
        <w:t>PE778.064</w:t>
      </w:r>
      <w:bookmarkEnd w:id="4"/>
    </w:p>
    <w:p w14:paraId="5A0ABFF3" w14:textId="33A81B95" w:rsidR="004C149B" w:rsidRPr="00F65024" w:rsidRDefault="00EA6CF2" w:rsidP="004C149B">
      <w:pPr>
        <w:pStyle w:val="ATHeading3"/>
      </w:pPr>
      <w:bookmarkStart w:id="5" w:name="Sujet"/>
      <w:r w:rsidRPr="00F65024">
        <w:t xml:space="preserve">1. </w:t>
      </w:r>
      <w:r w:rsidR="004C149B" w:rsidRPr="00F65024">
        <w:t xml:space="preserve">Decyzja Parlamentu Europejskiego z dnia </w:t>
      </w:r>
      <w:r w:rsidR="00C52946" w:rsidRPr="00F65024">
        <w:t>29 kwietnia</w:t>
      </w:r>
      <w:r w:rsidR="004C149B" w:rsidRPr="00F65024">
        <w:t xml:space="preserve"> 2026 r. w sprawie absolutorium z wykonania budżetu ogólnego Unii Europejskiej za rok budżetowy 2024, sekcja VII – Komitet Regionów</w:t>
      </w:r>
      <w:bookmarkEnd w:id="5"/>
      <w:r w:rsidR="004C149B" w:rsidRPr="00F65024">
        <w:t xml:space="preserve"> </w:t>
      </w:r>
      <w:bookmarkStart w:id="6" w:name="References"/>
      <w:r w:rsidR="004C149B" w:rsidRPr="00F65024">
        <w:t>(2025/2152(DEC))</w:t>
      </w:r>
      <w:bookmarkEnd w:id="6"/>
    </w:p>
    <w:p w14:paraId="4465E891" w14:textId="77777777" w:rsidR="00697D8B" w:rsidRPr="00F65024" w:rsidRDefault="00697D8B" w:rsidP="00697D8B">
      <w:pPr>
        <w:pStyle w:val="EPComma"/>
      </w:pPr>
      <w:bookmarkStart w:id="7" w:name="TextBodyBegin"/>
      <w:bookmarkEnd w:id="7"/>
      <w:r w:rsidRPr="00F65024">
        <w:rPr>
          <w:i/>
        </w:rPr>
        <w:t>Parlament Europejski</w:t>
      </w:r>
      <w:r w:rsidRPr="00F65024">
        <w:t>,</w:t>
      </w:r>
    </w:p>
    <w:p w14:paraId="1497CFA1" w14:textId="77777777" w:rsidR="00697D8B" w:rsidRPr="00F65024" w:rsidRDefault="00697D8B" w:rsidP="00697D8B">
      <w:pPr>
        <w:pStyle w:val="NormalHanging12a"/>
      </w:pPr>
      <w:r w:rsidRPr="00F65024">
        <w:t>–</w:t>
      </w:r>
      <w:r w:rsidRPr="00F65024">
        <w:tab/>
        <w:t>uwzględniając budżet ogólny Unii Europejskiej na rok budżetowy 2024</w:t>
      </w:r>
      <w:r w:rsidRPr="00F65024">
        <w:rPr>
          <w:rStyle w:val="FootnoteReference"/>
        </w:rPr>
        <w:footnoteReference w:id="1"/>
      </w:r>
      <w:r w:rsidRPr="00F65024">
        <w:t>,</w:t>
      </w:r>
    </w:p>
    <w:p w14:paraId="1F051BDF" w14:textId="77777777" w:rsidR="00697D8B" w:rsidRPr="00F65024" w:rsidRDefault="00697D8B" w:rsidP="00697D8B">
      <w:pPr>
        <w:pStyle w:val="NormalHanging12a"/>
      </w:pPr>
      <w:r w:rsidRPr="00F65024">
        <w:t>–</w:t>
      </w:r>
      <w:r w:rsidRPr="00F65024">
        <w:tab/>
        <w:t>uwzględniając skonsolidowane roczne sprawozdanie finansowe Unii Europejskiej za rok budżetowy 2024 (COM(2025)0359 – C10</w:t>
      </w:r>
      <w:r w:rsidRPr="00F65024">
        <w:noBreakHyphen/>
        <w:t>0152/2025)</w:t>
      </w:r>
      <w:r w:rsidRPr="00F65024">
        <w:rPr>
          <w:rStyle w:val="FootnoteReference"/>
        </w:rPr>
        <w:footnoteReference w:id="2"/>
      </w:r>
      <w:r w:rsidRPr="00F65024">
        <w:t>,</w:t>
      </w:r>
    </w:p>
    <w:p w14:paraId="220AFF53" w14:textId="77777777" w:rsidR="00697D8B" w:rsidRPr="00F65024" w:rsidRDefault="00697D8B" w:rsidP="00697D8B">
      <w:pPr>
        <w:pStyle w:val="NormalHanging12a"/>
      </w:pPr>
      <w:r w:rsidRPr="00F65024">
        <w:t>–</w:t>
      </w:r>
      <w:r w:rsidRPr="00F65024">
        <w:tab/>
        <w:t>uwzględniając sprawozdanie roczne Komitetu Regionów dla organu udzielającego absolutorium w sprawie audytów wewnętrznych przeprowadzonych w 2024 r.,</w:t>
      </w:r>
    </w:p>
    <w:p w14:paraId="1AF1C74E" w14:textId="77777777" w:rsidR="00697D8B" w:rsidRPr="00F65024" w:rsidRDefault="00697D8B" w:rsidP="00697D8B">
      <w:pPr>
        <w:pStyle w:val="NormalHanging12a"/>
      </w:pPr>
      <w:r w:rsidRPr="00F65024">
        <w:t>–</w:t>
      </w:r>
      <w:r w:rsidRPr="00F65024">
        <w:tab/>
        <w:t>uwzględniając sprawozdanie roczne Trybunału Obrachunkowego dotyczące wykonania budżetu za rok budżetowy 2024, wraz z odpowiedziami instytucji</w:t>
      </w:r>
      <w:r w:rsidRPr="00F65024">
        <w:rPr>
          <w:rStyle w:val="FootnoteReference"/>
        </w:rPr>
        <w:footnoteReference w:id="3"/>
      </w:r>
      <w:r w:rsidRPr="00F65024">
        <w:t>,</w:t>
      </w:r>
    </w:p>
    <w:p w14:paraId="4877BEFF" w14:textId="77777777" w:rsidR="00697D8B" w:rsidRPr="00F65024" w:rsidRDefault="00697D8B" w:rsidP="00697D8B">
      <w:pPr>
        <w:pStyle w:val="NormalHanging12a"/>
      </w:pPr>
      <w:r w:rsidRPr="00F65024">
        <w:t>–</w:t>
      </w:r>
      <w:r w:rsidRPr="00F65024">
        <w:tab/>
        <w:t>uwzględniając poświadczenie wiarygodności rachunków</w:t>
      </w:r>
      <w:r w:rsidRPr="00F65024">
        <w:rPr>
          <w:rStyle w:val="FootnoteReference"/>
        </w:rPr>
        <w:footnoteReference w:id="4"/>
      </w:r>
      <w:r w:rsidRPr="00F65024">
        <w:t>, jak również legalności i prawidłowości operacji leżących u ich podstaw przedłożone przez Trybunał Obrachunkowy za rok budżetowy 2024 zgodnie z art. 287 Traktatu o funkcjonowaniu Unii Europejskiej,</w:t>
      </w:r>
    </w:p>
    <w:p w14:paraId="34E7174D" w14:textId="77777777" w:rsidR="00697D8B" w:rsidRPr="00F65024" w:rsidRDefault="00697D8B" w:rsidP="00697D8B">
      <w:pPr>
        <w:pStyle w:val="NormalHanging12a"/>
      </w:pPr>
      <w:r w:rsidRPr="00F65024">
        <w:t>–</w:t>
      </w:r>
      <w:r w:rsidRPr="00F65024">
        <w:tab/>
        <w:t>uwzględniając art. 314 ust. 10 oraz art. 317, 318 i 319 Traktatu o funkcjonowaniu Unii Europejskiej,</w:t>
      </w:r>
    </w:p>
    <w:p w14:paraId="2075B692" w14:textId="77777777" w:rsidR="00697D8B" w:rsidRPr="00F65024" w:rsidRDefault="00697D8B" w:rsidP="00697D8B">
      <w:pPr>
        <w:pStyle w:val="NormalHanging12a"/>
      </w:pPr>
      <w:r w:rsidRPr="00F65024">
        <w:t>–</w:t>
      </w:r>
      <w:r w:rsidRPr="00F65024">
        <w:tab/>
        <w:t xml:space="preserve">uwzględniając rozporządzenie Parlamentu Europejskiego i Rady (UE, </w:t>
      </w:r>
      <w:proofErr w:type="spellStart"/>
      <w:r w:rsidRPr="00F65024">
        <w:t>Euratom</w:t>
      </w:r>
      <w:proofErr w:type="spellEnd"/>
      <w:r w:rsidRPr="00F65024">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w:t>
      </w:r>
      <w:r w:rsidRPr="00F65024">
        <w:lastRenderedPageBreak/>
        <w:t xml:space="preserve">a także uchylające rozporządzenie (UE, </w:t>
      </w:r>
      <w:proofErr w:type="spellStart"/>
      <w:r w:rsidRPr="00F65024">
        <w:t>Euratom</w:t>
      </w:r>
      <w:proofErr w:type="spellEnd"/>
      <w:r w:rsidRPr="00F65024">
        <w:t>) nr 966/2012</w:t>
      </w:r>
      <w:r w:rsidRPr="00F65024">
        <w:rPr>
          <w:rStyle w:val="FootnoteReference"/>
        </w:rPr>
        <w:footnoteReference w:id="5"/>
      </w:r>
      <w:r w:rsidRPr="00F65024">
        <w:t>, w szczególności jego art. 59, 118, 260, 261 i 262,</w:t>
      </w:r>
    </w:p>
    <w:p w14:paraId="5EE9D175" w14:textId="77777777" w:rsidR="00697D8B" w:rsidRPr="00F65024" w:rsidRDefault="00697D8B" w:rsidP="00697D8B">
      <w:pPr>
        <w:pStyle w:val="NormalHanging12a"/>
      </w:pPr>
      <w:r w:rsidRPr="00F65024">
        <w:t>–</w:t>
      </w:r>
      <w:r w:rsidRPr="00F65024">
        <w:tab/>
        <w:t xml:space="preserve">uwzględniając rozporządzenie Parlamentu Europejskiego i Rady (UE, </w:t>
      </w:r>
      <w:proofErr w:type="spellStart"/>
      <w:r w:rsidRPr="00F65024">
        <w:t>Euratom</w:t>
      </w:r>
      <w:proofErr w:type="spellEnd"/>
      <w:r w:rsidRPr="00F65024">
        <w:t>) 2024/2509 z dnia 23 września 2024 r. w sprawie zasad finansowych mających zastosowanie do budżetu ogólnego Unii</w:t>
      </w:r>
      <w:r w:rsidRPr="00F65024">
        <w:rPr>
          <w:rStyle w:val="FootnoteReference"/>
        </w:rPr>
        <w:footnoteReference w:id="6"/>
      </w:r>
      <w:r w:rsidRPr="00F65024">
        <w:t>, w szczególności jego art. 59, 118, 266, 267 i 268,</w:t>
      </w:r>
    </w:p>
    <w:p w14:paraId="4B156E37" w14:textId="77777777" w:rsidR="00697D8B" w:rsidRPr="00F65024" w:rsidRDefault="00697D8B" w:rsidP="00697D8B">
      <w:pPr>
        <w:pStyle w:val="NormalHanging12a"/>
      </w:pPr>
      <w:r w:rsidRPr="00F65024">
        <w:t>–</w:t>
      </w:r>
      <w:r w:rsidRPr="00F65024">
        <w:tab/>
        <w:t>uwzględniając art. 102 Regulaminu i załącznik V do Regulaminu,</w:t>
      </w:r>
    </w:p>
    <w:p w14:paraId="1031FF5D" w14:textId="77777777" w:rsidR="00697D8B" w:rsidRPr="00F65024" w:rsidRDefault="00697D8B" w:rsidP="00697D8B">
      <w:pPr>
        <w:pStyle w:val="NormalHanging12a"/>
      </w:pPr>
      <w:r w:rsidRPr="00F65024">
        <w:t>–</w:t>
      </w:r>
      <w:r w:rsidRPr="00F65024">
        <w:tab/>
        <w:t>uwzględniając sprawozdanie Komisji Kontroli Budżetowej (A10-0056/2026),</w:t>
      </w:r>
    </w:p>
    <w:p w14:paraId="691E3BEB" w14:textId="77777777" w:rsidR="00697D8B" w:rsidRPr="00F65024" w:rsidRDefault="00697D8B" w:rsidP="00697D8B">
      <w:pPr>
        <w:pStyle w:val="NormalHanging12a"/>
      </w:pPr>
      <w:r w:rsidRPr="00F65024">
        <w:t>1.</w:t>
      </w:r>
      <w:r w:rsidRPr="00F65024">
        <w:tab/>
        <w:t>udziela sekretarzowi generalnemu Komitetu Regionów absolutorium z wykonania budżetu Komitetu Regionów za rok budżetowy 2024;</w:t>
      </w:r>
    </w:p>
    <w:p w14:paraId="47ED9BDC" w14:textId="77777777" w:rsidR="00697D8B" w:rsidRPr="00F65024" w:rsidRDefault="00697D8B" w:rsidP="00697D8B">
      <w:pPr>
        <w:pStyle w:val="NormalHanging12a"/>
      </w:pPr>
      <w:r w:rsidRPr="00F65024">
        <w:t>2.</w:t>
      </w:r>
      <w:r w:rsidRPr="00F65024">
        <w:tab/>
        <w:t>przedstawia swoje uwagi w poniższej rezolucji;</w:t>
      </w:r>
    </w:p>
    <w:p w14:paraId="01811992" w14:textId="77777777" w:rsidR="00697D8B" w:rsidRPr="00F65024" w:rsidRDefault="00697D8B" w:rsidP="00697D8B">
      <w:pPr>
        <w:pStyle w:val="NormalHanging12a"/>
      </w:pPr>
      <w:r w:rsidRPr="00F65024">
        <w:t>3.</w:t>
      </w:r>
      <w:r w:rsidRPr="00F65024">
        <w:tab/>
        <w:t xml:space="preserve">zobowiązuje swoją przewodniczącą do przekazania niniejszej decyzji wraz z rezolucją, która stanowi jej integralną część, </w:t>
      </w:r>
      <w:r w:rsidRPr="00F65024">
        <w:rPr>
          <w:color w:val="000000"/>
        </w:rPr>
        <w:t>Komitetowi Regionów,</w:t>
      </w:r>
      <w:r w:rsidRPr="00F65024">
        <w:t xml:space="preserve"> Radzie, Komisji i Trybunałowi Obrachunkowemu oraz do zarządzenia jej publikacji w </w:t>
      </w:r>
      <w:r w:rsidRPr="00F65024">
        <w:rPr>
          <w:i/>
        </w:rPr>
        <w:t>Dzienniku Urzędowym Unii Europejskiej</w:t>
      </w:r>
      <w:r w:rsidRPr="00F65024">
        <w:t xml:space="preserve"> (seria L).</w:t>
      </w:r>
    </w:p>
    <w:p w14:paraId="50BEB6ED" w14:textId="77777777" w:rsidR="00697D8B" w:rsidRPr="00F65024" w:rsidRDefault="00697D8B" w:rsidP="00697D8B"/>
    <w:p w14:paraId="3F7C877A" w14:textId="77777777" w:rsidR="00697D8B" w:rsidRPr="00F65024" w:rsidRDefault="00697D8B" w:rsidP="00697D8B">
      <w:pPr>
        <w:pStyle w:val="PageHeading"/>
        <w:sectPr w:rsidR="00697D8B" w:rsidRPr="00F65024" w:rsidSect="003F7E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1E2434" w14:textId="5E674798" w:rsidR="00EA6CF2" w:rsidRPr="00F65024" w:rsidRDefault="00EA6CF2" w:rsidP="00EA6CF2">
      <w:pPr>
        <w:pStyle w:val="ATHeading3"/>
      </w:pPr>
      <w:r w:rsidRPr="00F65024">
        <w:lastRenderedPageBreak/>
        <w:t>2. Rezolucja Parlamentu Europejskiego z dnia 29 kwietnia 2026 r. zawierając</w:t>
      </w:r>
      <w:r w:rsidR="00634BA0">
        <w:t>a</w:t>
      </w:r>
      <w:r w:rsidRPr="00F65024">
        <w:t xml:space="preserve"> uwagi stanowiące integralną część decyzji w sprawie absolutorium z wykonania budżetu ogólnego Unii Europejskiej za rok budżetowy 2024, Sekcja VII – Komitet Regionów (2025/2152(DEC))</w:t>
      </w:r>
    </w:p>
    <w:p w14:paraId="76308B7B" w14:textId="77777777" w:rsidR="00697D8B" w:rsidRPr="00F65024" w:rsidRDefault="00697D8B" w:rsidP="00697D8B">
      <w:pPr>
        <w:pStyle w:val="EPComma"/>
      </w:pPr>
      <w:r w:rsidRPr="00F65024">
        <w:rPr>
          <w:i/>
        </w:rPr>
        <w:t>Parlament Europejski</w:t>
      </w:r>
      <w:r w:rsidRPr="00F65024">
        <w:t>,</w:t>
      </w:r>
    </w:p>
    <w:p w14:paraId="3F63E93E" w14:textId="77777777" w:rsidR="00697D8B" w:rsidRPr="00F65024" w:rsidRDefault="00697D8B" w:rsidP="00697D8B">
      <w:pPr>
        <w:pStyle w:val="NormalHanging12a"/>
      </w:pPr>
      <w:r w:rsidRPr="00F65024">
        <w:t>–</w:t>
      </w:r>
      <w:r w:rsidRPr="00F65024">
        <w:tab/>
        <w:t>uwzględniając swoją decyzję w sprawie absolutorium z wykonania budżetu ogólnego Unii Europejskiej za rok budżetowy 2024, sekcja VII – Komitet Regionów,</w:t>
      </w:r>
    </w:p>
    <w:p w14:paraId="76F7B73A" w14:textId="77777777" w:rsidR="00697D8B" w:rsidRPr="00F65024" w:rsidRDefault="00697D8B" w:rsidP="00697D8B">
      <w:pPr>
        <w:pStyle w:val="NormalHanging12a"/>
      </w:pPr>
      <w:r w:rsidRPr="00F65024">
        <w:t>–</w:t>
      </w:r>
      <w:r w:rsidRPr="00F65024">
        <w:tab/>
        <w:t>uwzględniając art. 102 Regulaminu i załącznik V do Regulaminu,</w:t>
      </w:r>
    </w:p>
    <w:p w14:paraId="183D25C2" w14:textId="77777777" w:rsidR="00697D8B" w:rsidRPr="00F65024" w:rsidRDefault="00697D8B" w:rsidP="00697D8B">
      <w:pPr>
        <w:pStyle w:val="NormalHanging12a"/>
      </w:pPr>
      <w:r w:rsidRPr="00F65024">
        <w:t>–</w:t>
      </w:r>
      <w:r w:rsidRPr="00F65024">
        <w:tab/>
        <w:t>uwzględniając sprawozdanie Komisji Kontroli Budżetowej (A10-0056/2026),</w:t>
      </w:r>
    </w:p>
    <w:p w14:paraId="7CDE3659" w14:textId="77777777" w:rsidR="00697D8B" w:rsidRPr="00F65024" w:rsidRDefault="00697D8B" w:rsidP="00697D8B">
      <w:pPr>
        <w:pStyle w:val="NormalHanging12a"/>
      </w:pPr>
      <w:r w:rsidRPr="00F65024">
        <w:t>A.</w:t>
      </w:r>
      <w:r w:rsidRPr="00F65024">
        <w:rPr>
          <w:b/>
          <w:i/>
        </w:rPr>
        <w:t xml:space="preserve"> </w:t>
      </w:r>
      <w:r w:rsidRPr="00F65024">
        <w:rPr>
          <w:b/>
          <w:i/>
        </w:rPr>
        <w:tab/>
      </w:r>
      <w:r w:rsidRPr="00F65024">
        <w:t xml:space="preserve">mając na uwadze, że w ramach procedury udzielania absolutorium organ udzielający absolutorium, podkreślając szczególne znaczenie dalszego wzmacniania legitymacji demokratycznej instytucji Unii, nie tylko ocenia legalność i prawidłowość wydatków, ale także analizuje wydatki Unii pod kątem zwiększania przejrzystości i odpowiedzialności oraz wdrażania koncepcji budżetowania celowego i właściwego zarządzania zasobami ludzkimi, tak aby osiągnąć wymierne rezultaty dla obywateli, zwłaszcza na szczeblu lokalnym i regionalnym; </w:t>
      </w:r>
    </w:p>
    <w:p w14:paraId="73D80158" w14:textId="77777777" w:rsidR="00697D8B" w:rsidRPr="00F65024" w:rsidRDefault="00697D8B" w:rsidP="00697D8B">
      <w:pPr>
        <w:pStyle w:val="NormalHanging12a"/>
      </w:pPr>
      <w:r w:rsidRPr="00F65024">
        <w:t xml:space="preserve">B. </w:t>
      </w:r>
      <w:r w:rsidRPr="00F65024">
        <w:tab/>
        <w:t xml:space="preserve">mając na uwadze, że Komitet Regionów (Komitet) jest zgromadzeniem politycznym liczącym 329 członków (i 329 zastępców) wybieranych w regionach, miastach, wsiach i gminach 27 państw członkowskich Unii, który odgrywa kluczową rolę instytucjonalną w odniesieniu do polityki spójności Unii, reprezentując władze regionalne i lokalne, działającym jako organ doradczy instytucji Unii, z misją współuczestnictwa w kształtowaniu polityki unijnej i w procesie decyzyjnym z punktu widzenia władz lokalnych i regionalnych, a jednocześnie przyczyniania się do uczynienia Unii bardziej efektywną i bliższą swoim obywatelom; </w:t>
      </w:r>
    </w:p>
    <w:p w14:paraId="40B8877A" w14:textId="77777777" w:rsidR="00697D8B" w:rsidRPr="00F65024" w:rsidRDefault="00697D8B" w:rsidP="00697D8B">
      <w:pPr>
        <w:pStyle w:val="NormalHanging12a"/>
        <w:rPr>
          <w:color w:val="000000"/>
        </w:rPr>
      </w:pPr>
      <w:r w:rsidRPr="00F65024">
        <w:rPr>
          <w:color w:val="000000"/>
        </w:rPr>
        <w:t>C.</w:t>
      </w:r>
      <w:r w:rsidRPr="00F65024">
        <w:rPr>
          <w:color w:val="000000"/>
        </w:rPr>
        <w:tab/>
        <w:t>mając na uwadze, że zasięganie opinii Komitetu przez Komisję lub Radę jest obowiązkowe w niektórych przypadkach, a Komitet może również przyjmować opinie z własnej inicjatywy i korzysta z szerokiego zakresu uprawnień do konsultacji, określonego w traktatach, co pozwala Parlamentowi na zasięganie jego opinii;</w:t>
      </w:r>
    </w:p>
    <w:p w14:paraId="02322C90" w14:textId="77777777" w:rsidR="00697D8B" w:rsidRPr="00F65024" w:rsidRDefault="00697D8B" w:rsidP="00697D8B">
      <w:pPr>
        <w:pStyle w:val="NormalHanging12a"/>
        <w:rPr>
          <w:color w:val="000000"/>
        </w:rPr>
      </w:pPr>
      <w:r w:rsidRPr="00F65024">
        <w:rPr>
          <w:color w:val="000000"/>
        </w:rPr>
        <w:t>D.</w:t>
      </w:r>
      <w:r w:rsidRPr="00F65024">
        <w:rPr>
          <w:color w:val="000000"/>
        </w:rPr>
        <w:tab/>
        <w:t>mając na uwadze, że działania Komitetu są zdefiniowane na podstawie jego ogólnej strategii politycznej określonej w jego rezolucji z dnia 2 lipca 2020 r. w sprawie priorytetów na lata 2020–2025</w:t>
      </w:r>
      <w:r w:rsidRPr="00F65024">
        <w:rPr>
          <w:rStyle w:val="FootnoteReference"/>
          <w:color w:val="000000"/>
        </w:rPr>
        <w:footnoteReference w:id="7"/>
      </w:r>
      <w:r w:rsidRPr="00F65024">
        <w:rPr>
          <w:color w:val="000000"/>
        </w:rPr>
        <w:t>, oraz mając na uwadze, że Komitet przyjął trzy priorytety polityczne w ramach swojego mandatu na lata 2020–2025, którym towarzyszyły trzy kampanie komunikacyjne: przybliżanie Europy jej obywatelom, budowanie odpornych społeczności regionalnych i lokalnych oraz promowanie spójności jako podstawowej wartości Unii;</w:t>
      </w:r>
    </w:p>
    <w:p w14:paraId="59E4509A" w14:textId="77777777" w:rsidR="00697D8B" w:rsidRPr="00F65024" w:rsidRDefault="00697D8B" w:rsidP="00697D8B">
      <w:pPr>
        <w:pStyle w:val="NormalHanging12a"/>
        <w:rPr>
          <w:b/>
          <w:i/>
          <w:color w:val="000000"/>
        </w:rPr>
      </w:pPr>
      <w:r w:rsidRPr="00F65024">
        <w:rPr>
          <w:color w:val="000000"/>
        </w:rPr>
        <w:t>E.</w:t>
      </w:r>
      <w:r w:rsidRPr="00F65024">
        <w:rPr>
          <w:b/>
          <w:i/>
          <w:color w:val="000000"/>
        </w:rPr>
        <w:t xml:space="preserve"> </w:t>
      </w:r>
      <w:r w:rsidRPr="00F65024">
        <w:rPr>
          <w:b/>
          <w:i/>
          <w:color w:val="000000"/>
        </w:rPr>
        <w:tab/>
      </w:r>
      <w:r w:rsidRPr="00F65024">
        <w:rPr>
          <w:color w:val="000000"/>
        </w:rPr>
        <w:t xml:space="preserve">mając na uwadze, że administracje lokalne i regionalne odpowiadają za jedną trzecią wydatków publicznych, połowę inwestycji publicznych i jedną czwartą dochodów podatkowych, a w wielu państwach członkowskich posiadają kompetencje w </w:t>
      </w:r>
      <w:r w:rsidRPr="00F65024">
        <w:rPr>
          <w:color w:val="000000"/>
        </w:rPr>
        <w:lastRenderedPageBreak/>
        <w:t>kluczowych obszarach, takich jak edukacja, rozwój gospodarczy i spójność, środowisko, ochrona socjalna, zdrowie i usługi świadczone w interesie ogólnym, dlatego też koordynacja na poziomie lokalnym, regionalnym, krajowym i unijnym zwiększa legitymację prawodawstwa, wzmacnia poczucie odpowiedzialności i skuteczniej służy dobru obywateli, a także przyczynia się do monitorowania i realizacji wydatków unijnych, które mają wpływ terytorialny, zapewniając jednocześnie, że nikt nie zostanie pominięty;</w:t>
      </w:r>
    </w:p>
    <w:p w14:paraId="26F4F7F2" w14:textId="77777777" w:rsidR="00697D8B" w:rsidRPr="00F65024" w:rsidRDefault="00697D8B" w:rsidP="00697D8B">
      <w:pPr>
        <w:pStyle w:val="NormalHanging12a"/>
        <w:rPr>
          <w:color w:val="000000"/>
        </w:rPr>
      </w:pPr>
      <w:r w:rsidRPr="00F65024">
        <w:rPr>
          <w:color w:val="000000"/>
        </w:rPr>
        <w:t>F.</w:t>
      </w:r>
      <w:r w:rsidRPr="00F65024">
        <w:rPr>
          <w:color w:val="000000"/>
        </w:rPr>
        <w:tab/>
        <w:t>mając na uwadze, że Komitet realizuje swój cel polityczny polegający na zwiększeniu swojego zaangażowania w cały cykl polityczny i legislacyjny Unii, przy jednoczesnym uwydatnieniu więzi z obywatelami Unii, i wykorzystuje swoich członków jako wpływowe podmioty opiniotwórcze w społecznościach oraz krajowych stowarzyszeniach władz lokalnych i regionalnych;</w:t>
      </w:r>
    </w:p>
    <w:p w14:paraId="1ED8BAC9" w14:textId="77777777" w:rsidR="00697D8B" w:rsidRPr="00F65024" w:rsidRDefault="00697D8B" w:rsidP="00697D8B">
      <w:pPr>
        <w:pStyle w:val="NormalHanging12a"/>
        <w:rPr>
          <w:color w:val="000000"/>
        </w:rPr>
      </w:pPr>
      <w:r w:rsidRPr="00F65024">
        <w:rPr>
          <w:color w:val="000000"/>
        </w:rPr>
        <w:t>G.</w:t>
      </w:r>
      <w:r w:rsidRPr="00F65024">
        <w:rPr>
          <w:color w:val="000000"/>
        </w:rPr>
        <w:tab/>
        <w:t xml:space="preserve">mając na uwadze, że Komitet określił dziewięć kluczowych obszarów priorytetowych, aby w 2024 r. nadać swoim działaniom bardziej strategiczny i skuteczny charakter: </w:t>
      </w:r>
      <w:r w:rsidRPr="00F65024">
        <w:t xml:space="preserve">rozszerzenie Unii i wsparcie dla Ukrainy; </w:t>
      </w:r>
      <w:r w:rsidRPr="00F65024">
        <w:rPr>
          <w:color w:val="000000"/>
        </w:rPr>
        <w:t>demokracja</w:t>
      </w:r>
      <w:r w:rsidRPr="00F65024">
        <w:t xml:space="preserve"> i lepsze stanowienie prawa; odporność; Zielony Ład w terenie; konkurencyjność, przemysł, MŚP, ulgi regulacyjne i opodatkowanie przedsiębiorstw; optymalizacja realizacji unijnej polityki spójności i informowania o niej; stawienie czoła potrójnemu kryzysowi planetarnemu; zatrudnienie, równość i polityka społeczna; promowanie unijnego wsparcia dla regionalnych ekosystemów innowacji; </w:t>
      </w:r>
    </w:p>
    <w:p w14:paraId="7B826983" w14:textId="77777777" w:rsidR="00697D8B" w:rsidRPr="00F65024" w:rsidRDefault="00697D8B" w:rsidP="00697D8B">
      <w:pPr>
        <w:pStyle w:val="NormalHanging12a"/>
        <w:rPr>
          <w:color w:val="000000"/>
        </w:rPr>
      </w:pPr>
      <w:r w:rsidRPr="00F65024">
        <w:rPr>
          <w:color w:val="000000"/>
        </w:rPr>
        <w:t>H.</w:t>
      </w:r>
      <w:r w:rsidRPr="00F65024">
        <w:rPr>
          <w:color w:val="000000"/>
        </w:rPr>
        <w:tab/>
        <w:t>mając na uwadze, że rozporządzenie Parlamentu Europejskiego i Rady (UE) 2021/1060</w:t>
      </w:r>
      <w:r w:rsidRPr="00F65024">
        <w:rPr>
          <w:rStyle w:val="FootnoteReference"/>
          <w:color w:val="000000"/>
        </w:rPr>
        <w:footnoteReference w:id="8"/>
      </w:r>
      <w:r w:rsidRPr="00F65024">
        <w:rPr>
          <w:color w:val="000000"/>
        </w:rPr>
        <w:t>, regulujące unijną politykę spójności i finansowanie w latach 2021–2027, które weszło w życie w lipcu 2021 r., zawiera odniesienia do zasady partnerstwa i wielopoziomowego sprawowania rządów, popieranej przez Komitet i Parlament oraz pociągającej za sobą zaangażowanie regionów Unii oraz władz lokalnych i regionalnych;</w:t>
      </w:r>
    </w:p>
    <w:p w14:paraId="5516C525" w14:textId="77777777" w:rsidR="00697D8B" w:rsidRPr="00F65024" w:rsidRDefault="00697D8B" w:rsidP="00697D8B">
      <w:pPr>
        <w:pStyle w:val="NormalHanging12a"/>
        <w:rPr>
          <w:b/>
          <w:bCs/>
          <w:color w:val="000000"/>
        </w:rPr>
      </w:pPr>
      <w:r w:rsidRPr="00F65024">
        <w:rPr>
          <w:color w:val="000000"/>
        </w:rPr>
        <w:t>I.</w:t>
      </w:r>
      <w:r w:rsidRPr="00F65024">
        <w:rPr>
          <w:color w:val="000000"/>
        </w:rPr>
        <w:tab/>
        <w:t>mając na uwadze, że ponad 400 krajowych i regionalnych programów służących realizacji unijnej polityki spójności w okresie programowania 2021–2027 udostępniło około 380 mld EUR w ramach różnych funduszy na sprostanie wyzwaniom gospodarczym, społecznym i środowiskowym, przed którymi stają regiony, miasta, wsie i gminy Unii;</w:t>
      </w:r>
    </w:p>
    <w:p w14:paraId="6595EE56" w14:textId="06581AA9" w:rsidR="00697D8B" w:rsidRPr="00F65024" w:rsidRDefault="00697D8B" w:rsidP="00697D8B">
      <w:pPr>
        <w:pStyle w:val="NormalHanging12a"/>
        <w:rPr>
          <w:color w:val="000000"/>
        </w:rPr>
      </w:pPr>
      <w:r w:rsidRPr="00F65024">
        <w:rPr>
          <w:color w:val="000000"/>
        </w:rPr>
        <w:t>J.</w:t>
      </w:r>
      <w:r w:rsidRPr="00F65024">
        <w:rPr>
          <w:color w:val="000000"/>
        </w:rPr>
        <w:tab/>
      </w:r>
      <w:r w:rsidRPr="00F65024">
        <w:t>mając na uwadze, że 19 lutego 2021 r. weszło w życie rozporządzenie Parlamentu Europejskiego i Rady (UE) 2021/24</w:t>
      </w:r>
      <w:r w:rsidR="002B0B4F">
        <w:t>1</w:t>
      </w:r>
      <w:r w:rsidRPr="00F65024">
        <w:rPr>
          <w:color w:val="000000"/>
          <w:vertAlign w:val="superscript"/>
        </w:rPr>
        <w:footnoteReference w:id="9"/>
      </w:r>
      <w:r w:rsidRPr="00F65024">
        <w:t xml:space="preserve"> ustanawiające Instrument na rzecz Odbudowy i Zwiększania Odporności, który stanowi podstawę prawną dla przekazania państwom </w:t>
      </w:r>
      <w:r w:rsidRPr="00F65024">
        <w:lastRenderedPageBreak/>
        <w:t>członkowskim środków finansowych i pożyczek w wysokości do 672,5 mld EUR (w cenach z 2018 r.) w latach 2021–2026, a także ma na celu wspieranie spójności gospodarczej, społecznej i terytorialnej oraz wyeliminowanie dysproporcji między regionami Unii;</w:t>
      </w:r>
      <w:r w:rsidRPr="00F65024">
        <w:rPr>
          <w:color w:val="000000"/>
        </w:rPr>
        <w:t xml:space="preserve"> </w:t>
      </w:r>
    </w:p>
    <w:p w14:paraId="43E54789" w14:textId="77777777" w:rsidR="00697D8B" w:rsidRPr="00F65024" w:rsidRDefault="00697D8B" w:rsidP="00697D8B">
      <w:pPr>
        <w:pStyle w:val="NormalHanging12a"/>
        <w:rPr>
          <w:color w:val="000000"/>
        </w:rPr>
      </w:pPr>
      <w:r w:rsidRPr="00F65024">
        <w:rPr>
          <w:color w:val="000000"/>
        </w:rPr>
        <w:t>K.</w:t>
      </w:r>
      <w:r w:rsidRPr="00F65024">
        <w:rPr>
          <w:color w:val="000000"/>
        </w:rPr>
        <w:tab/>
        <w:t>mając na uwadze, że jako instytucja Unii w rozumieniu rozporządzenia finansowego Komitet ma obowiązek przyjąć własne roczne sprawozdanie finansowe sporządzone zgodnie z zasadami rachunkowości przyjętymi przez księgowego Komisji (zasady rachunkowości Unii Europejskiej) i w oparciu o Międzynarodowe Standardy Rachunkowości Sektora Publicznego; sprawozdanie to zostaje ostatecznie połączone ze sprawozdaniem Unii;</w:t>
      </w:r>
    </w:p>
    <w:p w14:paraId="4DF63AFF" w14:textId="77777777" w:rsidR="00697D8B" w:rsidRPr="00F65024" w:rsidRDefault="00697D8B" w:rsidP="00697D8B">
      <w:pPr>
        <w:pStyle w:val="NormalHanging12a"/>
      </w:pPr>
      <w:r w:rsidRPr="00F65024">
        <w:t>1.</w:t>
      </w:r>
      <w:r w:rsidRPr="00F65024">
        <w:tab/>
        <w:t xml:space="preserve">zauważa, że budżet Komitetu jest objęty działem 7 wieloletnich ram finansowych („WRF”) „Europejska administracja publiczna” („dział 7”), który w 2024 r. wyniósł łącznie 13,3 mld EUR, czyli 6,9 % wydatków z budżetu UE; zauważa, że w 2024 r. budżet </w:t>
      </w:r>
      <w:r w:rsidRPr="00F65024">
        <w:rPr>
          <w:color w:val="000000"/>
        </w:rPr>
        <w:t>Komitetu</w:t>
      </w:r>
      <w:r w:rsidRPr="00F65024">
        <w:t xml:space="preserve"> stanowił 0,92 % działu 7 WRF; </w:t>
      </w:r>
    </w:p>
    <w:p w14:paraId="7A421583" w14:textId="77777777" w:rsidR="00697D8B" w:rsidRPr="00F65024" w:rsidRDefault="00697D8B" w:rsidP="00697D8B">
      <w:pPr>
        <w:pStyle w:val="NormalHanging12a"/>
      </w:pPr>
      <w:r w:rsidRPr="00F65024">
        <w:t>2.</w:t>
      </w:r>
      <w:r w:rsidRPr="00F65024">
        <w:tab/>
        <w:t>zauważa, że Trybunał Obrachunkowy („Trybunał”) w swoim sprawozdaniu rocznym za rok budżetowy 2024 („sprawozdanie Trybunału”) poddał przeglądowi próbę 70 transakcji w dziale „Administracja”, czyli tyle samo co w 2023 r.; mając na uwadze, że Trybunał stwierdza, iż wydatki administracyjne obejmują wydatki na zasoby ludzkie, w tym wydatki na emerytury, które w 2024 r. stanowiły około 69 % wydatków administracyjnych, oraz wydatki na budynki, wyposażenie, energię, technologie informacyjno-komunikacyjne (IT), a jego wieloletnia praca wskazuje, że ogólnie wydatki administracyjne są obarczone niskim ryzykiem;</w:t>
      </w:r>
    </w:p>
    <w:p w14:paraId="54402A5D" w14:textId="77777777" w:rsidR="00697D8B" w:rsidRPr="00F65024" w:rsidRDefault="00697D8B" w:rsidP="00697D8B">
      <w:pPr>
        <w:pStyle w:val="NormalHanging12a"/>
      </w:pPr>
      <w:r w:rsidRPr="00F65024">
        <w:t>3.</w:t>
      </w:r>
      <w:r w:rsidRPr="00F65024">
        <w:tab/>
        <w:t>zauważa, że chociaż na 70 zbadanych transakcji błędy wystąpiły w 16 (23 %), na podstawie trzech skwantyfikowanych błędów Trybunał szacuje, iż poziom błędu znajduje się poniżej progu istotności; zauważa, że w sprawozdaniu Trybunału nie wskazano żadnych konkretnych kwestii dotyczących Komitetu;</w:t>
      </w:r>
    </w:p>
    <w:p w14:paraId="3CA621A7" w14:textId="77777777" w:rsidR="00697D8B" w:rsidRPr="00F65024" w:rsidRDefault="00697D8B" w:rsidP="00697D8B">
      <w:pPr>
        <w:pStyle w:val="NormalHanging12a"/>
        <w:rPr>
          <w:bCs/>
          <w:iCs/>
        </w:rPr>
      </w:pPr>
      <w:r w:rsidRPr="00F65024">
        <w:t>4.</w:t>
      </w:r>
      <w:r w:rsidRPr="00F65024">
        <w:tab/>
        <w:t>zauważa, że polityka spójności w znacznej mierze przyczynia się do zaufania obywateli do Unii dzięki temu, że poprzez projekty regionalne i lokalne daje konkretne i widoczne rezultaty, wzmacniając w ten sposób zasadność działań Unii w terenie; podkreśla, że w tym kontekście Komitet odgrywa kluczową rolę w zbliżaniu obywateli Unii do unijnego procesu decyzyjnego;</w:t>
      </w:r>
    </w:p>
    <w:p w14:paraId="4C65E4C6" w14:textId="77777777" w:rsidR="00697D8B" w:rsidRPr="00F65024" w:rsidRDefault="00697D8B" w:rsidP="00697D8B">
      <w:pPr>
        <w:pStyle w:val="NormalHanging12a"/>
        <w:ind w:left="360"/>
        <w:rPr>
          <w:b/>
          <w:i/>
        </w:rPr>
      </w:pPr>
      <w:r w:rsidRPr="00F65024">
        <w:rPr>
          <w:b/>
          <w:i/>
        </w:rPr>
        <w:t>Zarządzanie budżetem i finansami</w:t>
      </w:r>
    </w:p>
    <w:p w14:paraId="7C06695A" w14:textId="77777777" w:rsidR="00697D8B" w:rsidRPr="00F65024" w:rsidRDefault="00697D8B" w:rsidP="00697D8B">
      <w:pPr>
        <w:pStyle w:val="NormalHanging12a"/>
      </w:pPr>
      <w:r w:rsidRPr="00F65024">
        <w:t xml:space="preserve">5. </w:t>
      </w:r>
      <w:r w:rsidRPr="00F65024">
        <w:tab/>
        <w:t xml:space="preserve">na podstawie rocznego sprawozdania z działalności Komitetu za 2024 r. („sprawozdanie roczne”) zauważa, że w 2024 r. ostatecznie przyjęty budżet Komitetu wyniósł 123 178 345 EUR, w tym budżet korygujący 5/2024 (wynagrodzenia), co stanowi wzrost o 6 502 953 EUR (tj. +5,60 %) w porównaniu z 2023 r.; zauważa z zadowoleniem, że wskaźnik wykonania budżetu Komitetu w odniesieniu do środków na zobowiązania na bieżący rok wyniósł 99,9 % w 2024 r. (tyle samo, co w 2023 r.), a wskaźnik wykonania w odniesieniu do środków na płatności na bieżący rok wzrósł z 91,20 % w 2023 r. do 91,90 % w 2024 r.; z zadowoleniem przyjmuje ponadto wzrost wskaźnika wykonania w odniesieniu do środków C8 (przeniesionych z 2023 r. na 2024 r.) z 85 % w 2023 r. do 92,20 % w 2024 r., podczas gdy środki przeniesione z 2023 r. na 2024 r. wyniosły 12 578 853 EUR w porównaniu z 10 540 464 EUR w poprzednim roku; wyraża uznanie dla Komitetu za niezmiennie wysoki wskaźnik wykonania </w:t>
      </w:r>
      <w:r w:rsidRPr="00F65024">
        <w:lastRenderedPageBreak/>
        <w:t xml:space="preserve">budżetu na przestrzeni lat dzięki optymalizacji planowania i wykonania budżetu w świetle utrzymującej się presji budżetowej; uznaje w tym kontekście strukturalne niedofinansowanie Komitetu – zwłaszcza w świetle jego roli pioniera innowacji i poligonu doświadczalnego dla praktyk, które mogą przynieść korzyści szerzej rozumianej administracji Unii, oraz uznaje potrzebę zapewnienia mu dodatkowych środków, aby mógł skutecznie osiągnąć swoje cele, przy jednoczesnym zachowaniu dyscypliny budżetowej; </w:t>
      </w:r>
    </w:p>
    <w:p w14:paraId="1D049157" w14:textId="77777777" w:rsidR="00697D8B" w:rsidRPr="00F65024" w:rsidRDefault="00697D8B" w:rsidP="00697D8B">
      <w:pPr>
        <w:pStyle w:val="NormalHanging12a"/>
      </w:pPr>
      <w:r w:rsidRPr="00F65024">
        <w:t>6.</w:t>
      </w:r>
      <w:r w:rsidRPr="00F65024">
        <w:tab/>
        <w:t>podkreśla, że wysokie wskaźniki wykonania budżetu i niski poziom błędu w przypadku Komitetu pokazują, że zdecentralizowane wdrażanie, blisko władz regionalnych i lokalnych, może oznaczać zarówno należyte zarządzanie finansami, jak i wymierne rezultaty dla obywateli, przy czym uznaje potrzebę zapewnienia dodatkowych środków; wzywa Komisję do pełnego angażowania Komitetu, w ramach jego mandatu instytucjonalnego, w monitorowanie i ocenę wydatków Unii, w tym w decyzje dotyczące budżetu Unii na okres po 2027 r., aby jeszcze bardziej zwiększyć rozliczalność, przejrzystość i wyniki projektów w ramach polityki spójności mających na celu zmniejszenie dysproporcji gospodarczych, społecznych i terytorialnych;</w:t>
      </w:r>
    </w:p>
    <w:p w14:paraId="534882F5" w14:textId="77777777" w:rsidR="00697D8B" w:rsidRPr="00F65024" w:rsidRDefault="00697D8B" w:rsidP="00697D8B">
      <w:pPr>
        <w:pStyle w:val="NormalHanging12a"/>
      </w:pPr>
      <w:r w:rsidRPr="00F65024">
        <w:t>7.</w:t>
      </w:r>
      <w:r w:rsidRPr="00F65024">
        <w:tab/>
        <w:t>zauważa, że wskaźnik wykonania w odniesieniu do środków C1 w pozycji budżetowej 0 „Koszty biurowe członków” spadł z 76,20 % w 2023 r. do zaledwie 13,90 % w 2024 r.; odnotowuje wyjaśnienie Komitetu, zgodnie z którym dodatki na koszty wyposażenia biurowego na 2024 r. zostały zrealizowane na początku 2025 r. ze środków C8; zauważa, że Komitet uwzględnił niski w 2023 r. wskaźnik wykonania w odniesieniu do środków C8 z pozycji budżetowej 2 0 0 7 „Zagospodarowanie pomieszczeń”, unikając rozpoczynania dużych projektów budowlanych pod koniec roku i dokonując płatności pośrednich na projekty długoterminowe, aby zapobiec opóźnieniom w wystawianiu faktur; odnotowuje jednak spadek wskaźnika wykonania w odniesieniu do środków C1 w tej pozycji z 99,20 % w 2023 r. do 51,90 % w 2024 r. ze względu na harmonogram renowacji niektórych wind w siedzibie Komitetu;</w:t>
      </w:r>
    </w:p>
    <w:p w14:paraId="1FD4CE5E" w14:textId="77777777" w:rsidR="00697D8B" w:rsidRPr="00F65024" w:rsidRDefault="00697D8B" w:rsidP="00697D8B">
      <w:pPr>
        <w:pStyle w:val="NormalHanging12a"/>
      </w:pPr>
      <w:r w:rsidRPr="00F65024">
        <w:t>8.</w:t>
      </w:r>
      <w:r w:rsidRPr="00F65024">
        <w:tab/>
        <w:t xml:space="preserve">na podstawie sprawozdania rocznego zauważa, że w 2024 r. Komitet dokonał 42 przesunięć na łączną kwotę 2,7 mln EUR, z czego 37 przesunięć wewnętrznych na łączną kwotę 1,1 mln EUR i pięć przesunięć zewnętrznych na łączną kwotę 1,6 mln EUR, z czego około 1 mln EUR przesunięto do linii budżetowych obejmujących lub wzmacniających takie pozycje, jak roczne opłaty leasingowe, organizacja konkursu wewnętrznego, wydatki na IT i zagospodarowanie pomieszczeń na przestrzeń medialną do użytku zarówno przez Komitet, jak i Europejski Komitet Ekonomiczno-Społeczny („EKES”); </w:t>
      </w:r>
    </w:p>
    <w:p w14:paraId="41FDAC10" w14:textId="77777777" w:rsidR="00697D8B" w:rsidRPr="00F65024" w:rsidRDefault="00697D8B" w:rsidP="00697D8B">
      <w:pPr>
        <w:pStyle w:val="NormalHanging12a"/>
      </w:pPr>
      <w:r w:rsidRPr="00F65024">
        <w:t>9.</w:t>
      </w:r>
      <w:r w:rsidRPr="00F65024">
        <w:tab/>
        <w:t xml:space="preserve">w kontekście rosyjskiej wojny napastniczej przeciwko Ukrainie zauważa, że w 2024 r. nadal odczuwał skutki rosnących kosztów energii, transportu, zakwaterowania oraz mechanizmów indeksacji związanych ze stopą inflacji, które miały bezpośredni lub pośredni wpływ m.in. na wydatki na surowce, wykonawców zewnętrznych, energię, podróże, czynsze, wynajem i utrzymanie budynków; zauważa, że w latach 2022–2025 skumulowany wzrost kosztów związany z indeksacją wyniósł +21,50 % w przypadku czynszu i opłat za najem budynków oraz +15 % w przypadku umów dotyczących konserwacji i ochrony, a w latach 2022–2024 średni koszt podróży posła do Brukseli i z powrotem wzrósł z 1 200 EUR do 1 620 EUR; odnotowuje w tym kontekście zwiększenie liczby przesunięć budżetowych Komitetu z 31 w 2023 r. do 42 w 2024 r., częściowo w celu pokrycia kosztów umów, na które wpływ miała wysoka inflacja i indeksacja; wyraża uznanie dla wspólnych działań Komitetu i EKES-u mających na </w:t>
      </w:r>
      <w:r w:rsidRPr="00F65024">
        <w:lastRenderedPageBreak/>
        <w:t>celu zapewnienie korzystniejszej współpracy międzyinstytucjonalnej dzięki cyfryzacji i wspólnym wysiłkom w zakresie zamówień publicznych; z zadowoleniem przyjmuje ponownie podjęte przez Komitet w 2024 r. działania na rzecz oszczędzania energii, które mają kluczowe znaczenie dla łagodzenia skutków rosnących kosztów energii; uznaje jednak potrzebę poprawy zarządzania budżetem przez wszystkie instytucje unijne poprzez uwzględnienie zmienności cen, zwłaszcza w sektorze energetycznym, przy zawieraniu umów z usługodawcami;</w:t>
      </w:r>
    </w:p>
    <w:p w14:paraId="3BBEB954" w14:textId="77777777" w:rsidR="00697D8B" w:rsidRPr="00F65024" w:rsidRDefault="00697D8B" w:rsidP="00697D8B">
      <w:pPr>
        <w:pStyle w:val="NormalHanging12a"/>
        <w:rPr>
          <w:bCs/>
          <w:iCs/>
        </w:rPr>
      </w:pPr>
      <w:r w:rsidRPr="00F65024">
        <w:t>10.</w:t>
      </w:r>
      <w:r w:rsidRPr="00F65024">
        <w:tab/>
        <w:t>wzywa administrację Komitetu do aktywnego identyfikowania i wdrażania środków oszczędnościowych, w tym poprzez szersze wykorzystywanie technologii posiedzeń hybrydowych, optymalizację wykorzystania budynków, grupowanie działań administracyjnych i zmniejszenie zbędnych wydatków logistycznych; domaga się regularnych sprawozdań z postępów w zakresie wdrożonych środków i uzyskanych oszczędności;</w:t>
      </w:r>
    </w:p>
    <w:p w14:paraId="1ED8AB5A" w14:textId="77777777" w:rsidR="00697D8B" w:rsidRPr="00F65024" w:rsidRDefault="00697D8B" w:rsidP="00697D8B">
      <w:pPr>
        <w:pStyle w:val="NormalHanging12a"/>
      </w:pPr>
      <w:r w:rsidRPr="00F65024">
        <w:t>11.</w:t>
      </w:r>
      <w:r w:rsidRPr="00F65024">
        <w:tab/>
        <w:t xml:space="preserve">odnotowuje wzrost płatności na rzecz członków Komitetu z pozycji budżetowej 1 0 0 4 z 7 955 968 EUR w 2023 r. do 8 036 613 EUR w 2024 r., co stanowi wzrost o 1 % (w porównaniu z +20 % w poprzednim roku); odnotowuje, że w 2024 r. dokonano 8 231 płatności z tytułu kosztów podróży, 4 188 płatności z tytułu diet podróżnych, 7 303 płatności z tytułu diet konferencyjnych za uczestnictwo osobiste oraz 164 płatności z tytułu uczestnictwa zdalnego; odnotowuje na podstawie działań następczych Komitetu podjętych w związku z uwagami zawartymi w rezolucji Parlamentu w sprawie absolutorium za 2023 r. („sprawozdanie uzupełniające”), że Komitet przyjął zmieniony zestaw przepisów dotyczących zwrotu kosztów podróży i wypłacania diet członkom Komitetu w 2024 r. wraz z kilkoma środkami mającymi na celu ograniczenie zbędnych kosztów i emisji dwutlenku węgla, zgodnie z zaleceniami Parlamentu zawartymi w poprzednich rezolucjach w sprawie absolutorium; </w:t>
      </w:r>
    </w:p>
    <w:p w14:paraId="79325B62" w14:textId="77777777" w:rsidR="00697D8B" w:rsidRPr="00F65024" w:rsidRDefault="00697D8B" w:rsidP="00697D8B">
      <w:pPr>
        <w:pStyle w:val="NormalHanging12a"/>
      </w:pPr>
      <w:r w:rsidRPr="00F65024">
        <w:t>12.</w:t>
      </w:r>
      <w:r w:rsidRPr="00F65024">
        <w:tab/>
        <w:t xml:space="preserve">zauważa, że budżet misji (środki na bieżący rok) wzrósł o 13,60 % z 420 833 EUR w 2023 r. do 478 050 EUR w 2024 r., a wskaźnik wykonania tego budżetu wyniósł około 80 % w 2024 r. (podobnie jak w 2023 r.); zauważa, że wzrost ten wynikał ze zwiększenia liczby misji z 574 w 2023 r. do 810 w 2024 r., z czego 268 misji było związanych z organizacją przez Komitet szczytu w </w:t>
      </w:r>
      <w:proofErr w:type="spellStart"/>
      <w:r w:rsidRPr="00F65024">
        <w:t>Mons</w:t>
      </w:r>
      <w:proofErr w:type="spellEnd"/>
      <w:r w:rsidRPr="00F65024">
        <w:t xml:space="preserve"> z okazji 30. rocznicy powstania Komitetu w 2024 r.;</w:t>
      </w:r>
    </w:p>
    <w:p w14:paraId="1BE8A794" w14:textId="77777777" w:rsidR="00697D8B" w:rsidRPr="00F65024" w:rsidRDefault="00697D8B" w:rsidP="00697D8B">
      <w:pPr>
        <w:pStyle w:val="NormalHanging12a"/>
      </w:pPr>
      <w:r w:rsidRPr="00F65024">
        <w:t>13.</w:t>
      </w:r>
      <w:r w:rsidRPr="00F65024">
        <w:tab/>
        <w:t xml:space="preserve">zauważa spadek środków przewidzianych w bieżącym roku na tłumaczenia ustne o około 10 %, z 4,167 mln EUR w 2023 r. do 3,737 mln EUR w 2024 </w:t>
      </w:r>
      <w:proofErr w:type="gramStart"/>
      <w:r w:rsidRPr="00F65024">
        <w:t>r.,</w:t>
      </w:r>
      <w:proofErr w:type="gramEnd"/>
      <w:r w:rsidRPr="00F65024">
        <w:t xml:space="preserve"> oraz wskaźnik wykonania na poziomie 64,80 % w 2024 r., w porównaniu z 67,30 % w 2023 r.; </w:t>
      </w:r>
    </w:p>
    <w:p w14:paraId="47719EAC" w14:textId="77777777" w:rsidR="00697D8B" w:rsidRPr="00F65024" w:rsidRDefault="00697D8B" w:rsidP="00697D8B">
      <w:pPr>
        <w:pStyle w:val="NormalHanging12a"/>
        <w:rPr>
          <w:bCs/>
        </w:rPr>
      </w:pPr>
      <w:r w:rsidRPr="00F65024">
        <w:t>14.</w:t>
      </w:r>
      <w:r w:rsidRPr="00F65024">
        <w:tab/>
        <w:t xml:space="preserve">zauważa, że obecne przepisy Komitetu ustalają zryczałtowaną dietę za udział w posiedzeniach zdalnych na poziomie 50 % zwykłej diety za udział w posiedzeniu, gdzie ta ostatnia wynosi 367 EUR, a pierwsza 186,50 EUR po indeksacji; zauważa, że łączna kwota wypłacona z tytułu diet za obecność na posiedzeniach zdalnych pozostała niska w porównaniu z poprzednimi latami, po tym jak w 2023 r. odnotowano znaczący powrót do posiedzeń fizycznych; odnotowuje jednak niewielki wzrost wypłaconej kwoty z 32 632 EUR w 2023 r. do 38 104 EUR w 2024 r.; zauważa na podstawie uwag zawartych w odpowiedziach Komisji na kwestionariusz przedłożony przez Komisję Kontroli Budżetowej Parlamentu w związku z udzieleniem absolutorium z wykonania budżetu za rok 2024 („kwestionariusz”), że jedynie posiedzenia </w:t>
      </w:r>
      <w:proofErr w:type="spellStart"/>
      <w:r w:rsidRPr="00F65024">
        <w:t>niestatutowych</w:t>
      </w:r>
      <w:proofErr w:type="spellEnd"/>
      <w:r w:rsidRPr="00F65024">
        <w:t xml:space="preserve"> organów Komitetu mogą odbywać się online lub w formacie hybrydowym, podczas gdy uczestnictwo zdalne jest monitorowane za pośrednictwem platformy </w:t>
      </w:r>
      <w:proofErr w:type="spellStart"/>
      <w:r w:rsidRPr="00F65024">
        <w:t>Interactio</w:t>
      </w:r>
      <w:proofErr w:type="spellEnd"/>
      <w:r w:rsidRPr="00F65024">
        <w:t xml:space="preserve"> i </w:t>
      </w:r>
      <w:r w:rsidRPr="00F65024">
        <w:lastRenderedPageBreak/>
        <w:t>pobierania z niej plików .</w:t>
      </w:r>
      <w:proofErr w:type="spellStart"/>
      <w:r w:rsidRPr="00F65024">
        <w:t>csv</w:t>
      </w:r>
      <w:proofErr w:type="spellEnd"/>
      <w:r w:rsidRPr="00F65024">
        <w:t>; wzywa Komitet do zwiększenia przejrzystości i proporcjonalności systemu dodatku za udział zdalny w celu wzmocnienia zaufania publicznego i podkreśla, że rekompensata finansowa za udział zdalny musi być ściśle uzasadniona; uważa, że chociaż zdalne uczestnictwo jest ważnym instrumentem dla nowoczesnych instytucji, ponieważ zmniejsza koszty spotkań i umożliwia szersze uczestnictwo, przyznanie mniejszego dodatku członkom organów Komitetu za zdalne uczestnictwo w spotkaniach, ograniczone do niektórych rodzajów wydarzeń, może być proporcjonalnym i sprawiedliwym krokiem w odniesieniu do obowiązków członków i wymogów związanych z przygotowaniami; zwraca jednak uwagę, że ważne jest zadbanie o przejrzystość i proporcjonalność poziomu takich dodatków, głównie w przypadku różnic między organami Unii w wysokości dodatku za zdalny udział; uważa, że obecny poziom dodatku za zdalny udział w spotkaniach wymaga dalszego uzasadnienia pod względem opłacalności, proporcjonalności i akceptacji społecznej; wzywa do szerzej zakrojonego i bardziej systematycznego korzystania w stosownych przypadkach z formatów spotkań online i hybrydowych, aby zmniejszyć wydatki związane z podróżami, zwiększyć oszczędność kosztową, ograniczyć wpływ na środowisko i zwiększyć zaufanie publiczne co do rozważnego wykorzystywania funduszy Unii, a także do zbadania możliwości zharmonizowania regulaminu Komitetu z regulaminem stosowanym przez EKES lub do przedstawienia jasnego i przejrzystego uzasadnienia dla utrzymania zróżnicowanego systemu;</w:t>
      </w:r>
    </w:p>
    <w:p w14:paraId="6CE11861" w14:textId="77777777" w:rsidR="00697D8B" w:rsidRPr="00F65024" w:rsidRDefault="00697D8B" w:rsidP="00697D8B">
      <w:pPr>
        <w:pStyle w:val="NormalHanging12a"/>
      </w:pPr>
      <w:r w:rsidRPr="00F65024">
        <w:t>15.</w:t>
      </w:r>
      <w:r w:rsidRPr="00F65024">
        <w:tab/>
        <w:t>z zadowoleniem odnotowuje na podstawie kwestionariusza i sprawozdania uzupełniającego, że średni czas płatności skrócił się z 21,88 dnia w 2023 r. do 18,46 dnia w 2024 r., pomimo dalszego wzrostu liczby przetwarzanych faktur; wyraża uznanie dla Komitetu za osiągnięcie wysokiego odsetka (83 %) faktur otrzymanych drogą elektroniczną w 2024 r.;</w:t>
      </w:r>
    </w:p>
    <w:p w14:paraId="127130A9" w14:textId="77777777" w:rsidR="00697D8B" w:rsidRPr="00F65024" w:rsidRDefault="00697D8B" w:rsidP="00697D8B">
      <w:pPr>
        <w:pStyle w:val="NormalHanging12a"/>
        <w:ind w:left="360"/>
        <w:rPr>
          <w:b/>
          <w:i/>
        </w:rPr>
      </w:pPr>
      <w:r w:rsidRPr="00F65024">
        <w:rPr>
          <w:b/>
          <w:i/>
        </w:rPr>
        <w:t>Zarządzanie wewnętrzne, wyniki i kontrola wewnętrzna</w:t>
      </w:r>
    </w:p>
    <w:p w14:paraId="1B647AC5" w14:textId="77777777" w:rsidR="00697D8B" w:rsidRPr="00F65024" w:rsidRDefault="00697D8B" w:rsidP="00697D8B">
      <w:pPr>
        <w:pStyle w:val="NormalHanging12a"/>
      </w:pPr>
      <w:r w:rsidRPr="00F65024">
        <w:t>16.</w:t>
      </w:r>
      <w:r w:rsidRPr="00F65024">
        <w:tab/>
        <w:t>uznaje, że Komitet odgrywa zasadniczą rolę, wnosząc wkład w rozwój polityki Unii i procesy decyzyjne, jako przedstawiciel interesów władz lokalnych i regionalnych w Unii, a tym samym przybliża Europę jej obywatelom i zwiększa demokratyczną legitymację prawodawstwa Unii; zauważa na podstawie sprawozdania rocznego, że w 2024 r. w ramach rocznego planu operacyjnego sprawozdawczość dotycząca wyników Komitetu opierała się na 26 celach, których osiągnięcie oceniono za pomocą 87 wskaźników ilościowych; wzywa Komitet do dalszego wzmacniania wskaźników ukierunkowanych na wyniki i oddziaływanie, aby lepiej wykazać wpływ i wartość dodaną działań Komitetu na strategie polityczne Unii; mając na uwadze, że wartości docelowe większości tych wskaźników (około 74 %) osiągnięto na poziomie 90 % lub wyższym, sześć osiągnięto częściowo, na poziomie poniżej 90 %, a sześć nie zostało osiągniętych; na podstawie kwestionariusza odnotowuje, że wdrożył kompleksowy cykl planowania i sprawozdawczości, który obejmował utworzenie centralnego rejestru ryzyka i przeprowadzenie oceny ryzyka dla wszystkich celów w rocznym planie operacyjnym w 2024 r.; zachęca Komitet do kontynuowania prac nad poprawą wyników, a także nad poprawą efektywności; z zadowoleniem odnotowuje wysiłki Komitetu na rzecz wprowadzenia reformatorskich i innowacyjnych rozwiązań, usprawnienia administracji i unikania dublowania ról innych organów;</w:t>
      </w:r>
    </w:p>
    <w:p w14:paraId="78C693F5" w14:textId="77777777" w:rsidR="00697D8B" w:rsidRPr="00F65024" w:rsidRDefault="00697D8B" w:rsidP="00697D8B">
      <w:pPr>
        <w:pStyle w:val="NormalHanging12a"/>
      </w:pPr>
      <w:r w:rsidRPr="00F65024">
        <w:t>17.</w:t>
      </w:r>
      <w:r w:rsidRPr="00F65024">
        <w:tab/>
        <w:t>podkreśla znaczenie i strategiczną wartość wskaźników wykonania oraz zwraca się do Komitetu o dalsze wzmocnienie jego ram wskaźników, co zapewni sprawozdawczość dotyczącą wyników i wpływu, a nie tylko działalności administracyjnej;</w:t>
      </w:r>
    </w:p>
    <w:p w14:paraId="75270746" w14:textId="7D036EFA" w:rsidR="00697D8B" w:rsidRPr="00F65024" w:rsidRDefault="00697D8B" w:rsidP="00697D8B">
      <w:pPr>
        <w:pStyle w:val="NormalHanging12a"/>
      </w:pPr>
      <w:r w:rsidRPr="00F65024">
        <w:lastRenderedPageBreak/>
        <w:t>18</w:t>
      </w:r>
      <w:r w:rsidR="002B0B4F">
        <w:t>.</w:t>
      </w:r>
      <w:r w:rsidRPr="00F65024">
        <w:tab/>
        <w:t>zauważa, że Komitet realizuje swoją misję za pomocą opinii, które odnoszą się do wniosków ustawodawczych Komisji (wnioski o wydanie opinii), opinii z inicjatywy własnej, w których wzywa się instytucje Unii do podjęcia działań, oraz rezolucji, w których Komitet podkreśla swoje stanowisko w konkretnych kwestiach; zauważa, że w 2024 r. Komitet przyjął 53 opinie (tyle samo co w 2023 r.) i cztery rezolucje (sześć w 2023 r.); uznaje osiągnięcia polityczne Komitetu w 2024 r. i jego rolę w uwzględnianiu perspektywy lokalnej i regionalnej w kształtowaniu polityki Unii, a tym samym w zwiększaniu udziału w niej obywateli;</w:t>
      </w:r>
    </w:p>
    <w:p w14:paraId="754F1092" w14:textId="77777777" w:rsidR="00697D8B" w:rsidRPr="00F65024" w:rsidRDefault="00697D8B" w:rsidP="00697D8B">
      <w:pPr>
        <w:pStyle w:val="NormalHanging12a"/>
      </w:pPr>
      <w:r w:rsidRPr="00F65024">
        <w:t xml:space="preserve">19. </w:t>
      </w:r>
      <w:r w:rsidRPr="00F65024">
        <w:tab/>
        <w:t>z zadowoleniem odnotowuje w rocznym sprawozdaniu Komitetu na temat skutków opinii w 2024 r. (zwanym dalej „sprawozdaniem na temat skutków opinii”) osiągnięcia polityczne Komitetu w 2024 r. w odniesieniu do jego trzech priorytetów politycznych na lata 2020–2025, co wzmocniło rolę Komitetu w kształtowaniu polityki Unii na szczeblu regionalnym i lokalnym; zauważa, że wkład Komitetu – na podstawie deklaracji i zaleceń zawartych w opiniach – miał wpływ na kluczowe obszary polityki Unii, takie jak zmiana klimatu, przyroda, energia i zielona gospodarka (np. za pośrednictwem sprawozdania „Zielony Ład 2.0”, które wpłynęło na konkluzje Rady, oraz opinii Komitetu w sprawie rozporządzenia Parlamentu Europejskiego i Rady4 (UE) 2024/1991</w:t>
      </w:r>
      <w:r w:rsidRPr="00F65024">
        <w:rPr>
          <w:rStyle w:val="FootnoteReference"/>
        </w:rPr>
        <w:footnoteReference w:id="10"/>
      </w:r>
      <w:r w:rsidRPr="00F65024">
        <w:t>), transport (np. za pośrednictwem opinii Komitetu w sprawie pakietu dotyczącego ekologizacji transportu towarowego, która wpłynęła na odpowiednie projekty sprawozdań Parlamentu) oraz zdrowie (np. za pośrednictwem opinii Komitetu w sprawie rozporządzenia Parlamentu Europejskiego i Rady5 (UE) 2025/327</w:t>
      </w:r>
      <w:r w:rsidRPr="00F65024">
        <w:rPr>
          <w:rStyle w:val="FootnoteReference"/>
        </w:rPr>
        <w:footnoteReference w:id="11"/>
      </w:r>
      <w:r w:rsidRPr="00F65024">
        <w:t xml:space="preserve">, która miała wpływ na ostateczny kompromisowy tekst); zauważa z zadowoleniem, że propozycje przedstawione przez Komitet wpłynęły na decyzje Komisji dotyczące zainicjowania projektu pilotażowego o wartości 23 mln EUR, mającego na celu współfinansowanie regionów i miast w zakresie reintegracji zawodowej osób długotrwale bezrobotnych, oraz uruchomienia ambitnego, pierwszego w historii europejskiego planu na rzecz przystępnych cenowo mieszkań, dotyczącego energii, ubóstwa i zrównoważonego budownictwa mieszkaniowego oraz potwierdza, że dostęp do mieszkania jest prawem podstawowym; ponadto zauważa, że deklaracja przyjęta na Europejskim Szczycie Regionów i Miast, który odbył się w marcu 2024 r. w </w:t>
      </w:r>
      <w:proofErr w:type="spellStart"/>
      <w:r w:rsidRPr="00F65024">
        <w:t>Mons</w:t>
      </w:r>
      <w:proofErr w:type="spellEnd"/>
      <w:r w:rsidRPr="00F65024">
        <w:t>, stanowiła wkład w strategiczny program Rady Europejskiej i wytyczne polityczne Komisji;</w:t>
      </w:r>
    </w:p>
    <w:p w14:paraId="753BB2E3" w14:textId="77777777" w:rsidR="00697D8B" w:rsidRPr="00F65024" w:rsidRDefault="00697D8B" w:rsidP="00697D8B">
      <w:pPr>
        <w:pStyle w:val="NormalHanging12a"/>
      </w:pPr>
      <w:r w:rsidRPr="00F65024">
        <w:t xml:space="preserve">20. </w:t>
      </w:r>
      <w:r w:rsidRPr="00F65024">
        <w:tab/>
        <w:t xml:space="preserve">biorąc pod uwagę istotną rolę Komitetu w zwiększaniu legitymacji demokratycznej prawodawstwa Unii poprzez aktywne koordynowanie działań władz regionalnych i lokalnych, popiera wysiłki Komitetu na rzecz przeprowadzania ukierunkowanych, proporcjonalnych i opartych na dowodach ocen skutków terytorialnych, o ile wnoszą one wyraźną wartość dodaną w proces legislacyjny; z zadowoleniem zauważa, że Komitet stworzył w pełni funkcjonalny mechanizm konsultacji z zainteresowanymi stronami w celu zebrania argumentów przed wydaniem opinii, dzięki zaangażowaniu różnych lokalnych i regionalnych sieci, sojuszy i centrów; docenia fakt, że głosy </w:t>
      </w:r>
      <w:r w:rsidRPr="00F65024">
        <w:lastRenderedPageBreak/>
        <w:t xml:space="preserve">partnerów spoza Unii są również brane pod uwagę, np. za pośrednictwem Europejskiego Sojuszu Miast i Regionów na rzecz Odbudowy Ukrainy oraz </w:t>
      </w:r>
      <w:proofErr w:type="spellStart"/>
      <w:r w:rsidRPr="00F65024">
        <w:t>Eurośródziemnomorskiego</w:t>
      </w:r>
      <w:proofErr w:type="spellEnd"/>
      <w:r w:rsidRPr="00F65024">
        <w:t xml:space="preserve"> Zgromadzenia Samorządów Lokalnych i Regionalnych; </w:t>
      </w:r>
    </w:p>
    <w:p w14:paraId="0E4AA66E" w14:textId="77777777" w:rsidR="00697D8B" w:rsidRPr="00F65024" w:rsidRDefault="00697D8B" w:rsidP="00697D8B">
      <w:pPr>
        <w:pStyle w:val="NormalHanging12a"/>
      </w:pPr>
      <w:r w:rsidRPr="00F65024">
        <w:t xml:space="preserve">21. </w:t>
      </w:r>
      <w:r w:rsidRPr="00F65024">
        <w:tab/>
        <w:t xml:space="preserve">odnotowuje szerszy udział Komitetu w całym cyklu politycznym i legislacyjnym Unii, możliwy dzięki ramom współpracy z Komisją, Parlamentem i Europejskim Bankiem Inwestycyjnym; podkreśla znaczenie zapraszania członków Komitetu i EKES-u na posiedzenia parlamentarne, gdy omawiane sprawy wchodzą w zakres ich kompetencji; </w:t>
      </w:r>
    </w:p>
    <w:p w14:paraId="60DF7618" w14:textId="77777777" w:rsidR="00697D8B" w:rsidRPr="00F65024" w:rsidRDefault="00697D8B" w:rsidP="00697D8B">
      <w:pPr>
        <w:pStyle w:val="NormalHanging12a"/>
      </w:pPr>
      <w:r w:rsidRPr="00F65024">
        <w:t>22.</w:t>
      </w:r>
      <w:r w:rsidRPr="00F65024">
        <w:tab/>
        <w:t>zauważa, że w 2024 r. Komitet przeprowadził pięć konsultacji z regionalnymi centrami, dwie konsultacje z grupą ekspertów ds. pomocniczości i ukończył dwie oceny, a także dwie opinie dotyczące platformy ds. dostosowania się do wymogów przyszłości; zachęca Komitet, aby w dalszym ciągu przekazywał instytucjom Unii i innym beneficjentom polityki Unii użyteczne i istotne informacje, takie jak dane z terenu i analizy;</w:t>
      </w:r>
    </w:p>
    <w:p w14:paraId="77C25008" w14:textId="77777777" w:rsidR="00697D8B" w:rsidRPr="00F65024" w:rsidRDefault="00697D8B" w:rsidP="00697D8B">
      <w:pPr>
        <w:pStyle w:val="NormalHanging12a"/>
      </w:pPr>
      <w:r w:rsidRPr="00F65024">
        <w:t>23.</w:t>
      </w:r>
      <w:r w:rsidRPr="00F65024">
        <w:tab/>
        <w:t>z uznaniem odnotowuje, że w 2024 r. Komitet kontynuował wdrażanie środków mających na celu poprawę zarządzania wewnętrznego i modernizację administracji, usprawnienie procesów i zwiększenie opłacalności; z zadowoleniem przyjmuje lepsze wykorzystywanie narzędzi cyfrowych, w szczególności wysiłki mające na celu uproszczenia, efektywność administracyjną i ograniczenie zbędnych procedur wewnętrznych; odnotowuje na podstawie kwestionariusza i sprawozdania rocznego postępy poczynione w 2024 r. w obszarze cyfryzacji i optymalizacji przepływu pracy (np. tłumaczenie maszynowe rutynowych zadań oraz rozszerzenie narzędzi Microsoft 365 i SharePoint), oszczędności w zakresie kosztów operacyjnych i zaplecza (np. zdalne tłumaczenia ustne), zdalne tłumaczenia ustne, środki służące oszczędzaniu energii i hybrydowy system pracy), poprawę efektywności (np. poprzez renegocjacje umów), uproszczenie zasad i procedur dzięki ukończeniu 63 z 73 projektów i zmniejszeniu liczby procedur o 20 %, a także szereg innych działań w kontekście „</w:t>
      </w:r>
      <w:proofErr w:type="spellStart"/>
      <w:r w:rsidRPr="00F65024">
        <w:t>Going</w:t>
      </w:r>
      <w:proofErr w:type="spellEnd"/>
      <w:r w:rsidRPr="00F65024">
        <w:t xml:space="preserve"> for </w:t>
      </w:r>
      <w:proofErr w:type="spellStart"/>
      <w:r w:rsidRPr="00F65024">
        <w:t>IMPact</w:t>
      </w:r>
      <w:proofErr w:type="spellEnd"/>
      <w:r w:rsidRPr="00F65024">
        <w:t>!” – planu modernizacji administracji Komitetu;</w:t>
      </w:r>
    </w:p>
    <w:p w14:paraId="74853086" w14:textId="77777777" w:rsidR="00697D8B" w:rsidRPr="00F65024" w:rsidRDefault="00697D8B" w:rsidP="00697D8B">
      <w:pPr>
        <w:pStyle w:val="NormalHanging12a"/>
        <w:rPr>
          <w:bCs/>
          <w:iCs/>
        </w:rPr>
      </w:pPr>
      <w:r w:rsidRPr="00F65024">
        <w:t>24.</w:t>
      </w:r>
      <w:r w:rsidRPr="00F65024">
        <w:tab/>
        <w:t>podkreśla, że wysiłkom na rzecz unowocześnienia musi towarzyszyć systematyczna ocena osiągniętych wymiernych korzyści, w tym wymiernego wzrostu wydajności, większych oszczędności kosztów oraz krótszego czasu rozpatrywania spraw; w związku z tym wzywa Komitet do ustanowienia metodyki ilościowego pomiaru tych usprawnień oraz do regularnego składania sprawozdań z postępów;</w:t>
      </w:r>
    </w:p>
    <w:p w14:paraId="34A37AFE" w14:textId="77777777" w:rsidR="00697D8B" w:rsidRPr="00F65024" w:rsidRDefault="00697D8B" w:rsidP="00697D8B">
      <w:pPr>
        <w:pStyle w:val="NormalHanging12a"/>
      </w:pPr>
      <w:r w:rsidRPr="00F65024">
        <w:t>25.</w:t>
      </w:r>
      <w:r w:rsidRPr="00F65024">
        <w:tab/>
        <w:t xml:space="preserve">odnotowuje na podstawie kwestionariusza i sprawozdania rocznego działania i środki podejmowane przez Komitet w celu uproszczenia, a jednocześnie wzmocnienia systemu kontroli wewnętrznej; zauważa, że samoocena kontroli wewnętrznej w 2024 r. koncentrowała się na zarządzaniu finansami i aspektach kontroli wewnętrznej o największym znaczeniu dla podmiotów wykonujących budżet Komitetu; z zadowoleniem odnotowuje, że Komitet zakończył przegląd ponad 500 newralgicznych stanowisk, po którym wprowadzono środki łagodzące, mechanizmy kontroli i przyjęto zasady mobilności w 2024 r.; zauważa, że wieloletni plan działania Komitetu dotyczący przeglądu i uproszczenia systemów kontroli wewnętrznej był kontynuowany w ramach projektu „Konwergencja” obejmującego szereg procesów w obszarze monitorowania i sprawozdawczości w zakresie wyników i wpływu Komitetu w czasie rzeczywistym; mając na uwadze, że dwa ostatnie procesy dotyczące rocznego sprawozdania z działalności Komitetu i ciągłości działania zostały w pełni wdrożone w 2024 r.; zauważa, że w odniesieniu do nowych ram kontroli wewnętrznej Komitetu osiągnięto </w:t>
      </w:r>
      <w:r w:rsidRPr="00F65024">
        <w:lastRenderedPageBreak/>
        <w:t>również inne kamienie milowe, w tym stworzenie praktycznych narzędzi do szybkiego wdrożenia w przypadku kryzysu, obejmujących różne obszary, takie jak między innymi IT, komunikacja, obiegi finansowe i ochrona danych;</w:t>
      </w:r>
    </w:p>
    <w:p w14:paraId="7EB234EA" w14:textId="77777777" w:rsidR="00697D8B" w:rsidRPr="00F65024" w:rsidRDefault="00697D8B" w:rsidP="00697D8B">
      <w:pPr>
        <w:pStyle w:val="NormalHanging12a"/>
      </w:pPr>
      <w:r w:rsidRPr="00F65024">
        <w:t>26.</w:t>
      </w:r>
      <w:r w:rsidRPr="00F65024">
        <w:tab/>
        <w:t xml:space="preserve">zauważa, że w 2024 r. Komitet wdrożył częściowo cyfrową i uproszczoną procedurę dotyczącą procesów finansowych i wyznaczania podmiotów upoważnionych do działań finansowych; zauważa, że w 2024 r. w przypadku 5,60 % transakcji zweryfikowanych ex </w:t>
      </w:r>
      <w:proofErr w:type="spellStart"/>
      <w:r w:rsidRPr="00F65024">
        <w:t>ante</w:t>
      </w:r>
      <w:proofErr w:type="spellEnd"/>
      <w:r w:rsidRPr="00F65024">
        <w:t xml:space="preserve"> odmówiono korekty lub wydano negatywne opinie, a kontrole ex post koncentrowały się na transakcjach finansowych (zgodnie z nową metodyką) i nie wykazały żadnych istotnych problemów; zauważa ponadto, że liczba zgłoszeń dotyczących wyjątków finansowych zmniejszyła się w porównaniu z 2023 r., zarejestrowano dwa zgłoszenia wyjątków administracyjnych dotyczące niezgodności z procedurami wewnętrznymi i nie toczyły się żadne spory sądowe związane z decyzjami dotyczącymi zamówień;</w:t>
      </w:r>
    </w:p>
    <w:p w14:paraId="15A502A0" w14:textId="77777777" w:rsidR="00697D8B" w:rsidRPr="00F65024" w:rsidRDefault="00697D8B" w:rsidP="00697D8B">
      <w:pPr>
        <w:pStyle w:val="NormalHanging12a"/>
      </w:pPr>
      <w:r w:rsidRPr="00F65024">
        <w:t>27.</w:t>
      </w:r>
      <w:r w:rsidRPr="00F65024">
        <w:tab/>
        <w:t>odnotowuje, że w 2024 r. rozpoczęto trzy nowe audyty: w sprawie wydajności usług logistycznych świadczonych na rzecz członków Komitetu, w sprawie optymalizacji przydziału zasobów ludzkich w dyrekcji ds. tłumaczeń oraz w sprawie adekwatności zarządzania zamówieniami i umowami; odnotowuje na podstawie kwestionariusza postępy poczynione w odniesieniu do bieżących audytów dotyczących zarządzania wolnymi stanowiskami, ochrony danych osobowych i wydajności organizacji IT we wspólnych służbach; wzywa Komitet, aby informował organ udzielający absolutorium o postępach poczynionych w tych kwestiach;</w:t>
      </w:r>
    </w:p>
    <w:p w14:paraId="76627349" w14:textId="77777777" w:rsidR="00697D8B" w:rsidRPr="00F65024" w:rsidRDefault="00697D8B" w:rsidP="00697D8B">
      <w:pPr>
        <w:pStyle w:val="NormalHanging12a"/>
        <w:rPr>
          <w:b/>
          <w:bCs/>
          <w:i/>
        </w:rPr>
      </w:pPr>
      <w:r w:rsidRPr="00F65024">
        <w:rPr>
          <w:b/>
          <w:i/>
        </w:rPr>
        <w:t>Zasoby ludzkie, równość i dobrostan pracowników</w:t>
      </w:r>
    </w:p>
    <w:p w14:paraId="39EDBC71" w14:textId="77777777" w:rsidR="00697D8B" w:rsidRPr="00F65024" w:rsidRDefault="00697D8B" w:rsidP="00697D8B">
      <w:pPr>
        <w:pStyle w:val="NormalHanging12a"/>
        <w:rPr>
          <w:bCs/>
        </w:rPr>
      </w:pPr>
      <w:r w:rsidRPr="00F65024">
        <w:t>28.</w:t>
      </w:r>
      <w:r w:rsidRPr="00F65024">
        <w:tab/>
        <w:t>zauważa, że na koniec 2024 r. Komitet zatrudniał łącznie 561 pracowników (z wyłączeniem oddelegowanych ekspertów krajowych, pracowników tymczasowych, pracowników wewnętrznych i stażystów) w porównaniu z 559 w 2023 r.; zauważa, że pod koniec 2024 r. Komitet zatrudniał 73 pracowników kontraktowych (w porównaniu z 74 pracownikami kontraktowymi w 2023 r.) i 102 pracowników tymczasowych (w porównaniu z 96 pracownikami tymczasowymi w 2023 r.), z czego 22 pracowników kontraktowych miało umowę na czas nieokreślony, 51 pracowników kontraktowych miało umowę na czas określony, 49 pracowników tymczasowych zajmowało stałe stanowiska z umową na czas określony, 50 pracowników tymczasowych miało umowę na czas nieokreślony, a 3 pracowników tymczasowych zajmowało stanowisko tymczasowe; odnotowuje ponadto, że Komitet zatrudniał 39 zewnętrznych usługodawców pracujących wewnętrznie; podkreśla znaczenie zawierania w stosownych przypadkach umów na czas nieokreślony w celu utrzymania umiejętności, ciągłości oraz produktywnego i stabilnego środowiska pracy przy jednoczesnym utrzymaniu elastyczności i rekrutacji opartej na osiągnięciach zgodnie z potrzebami operacyjnymi; ostrzega przed nadmierną zależnością od usługodawców zewnętrznych; zauważa, że w 2024 r. wskaźnik obsadzenia stanowisk w planie zatrudnienia wyniósł 96,40 % (spadek z 98 % w 2023 r.), a wskaźnik rotacji pracowników wyniósł 7,30 % (wzrost z 6,60 % w 2023 r.);</w:t>
      </w:r>
    </w:p>
    <w:p w14:paraId="70631DE1" w14:textId="77777777" w:rsidR="00697D8B" w:rsidRPr="00F65024" w:rsidRDefault="00697D8B" w:rsidP="00697D8B">
      <w:pPr>
        <w:pStyle w:val="NormalHanging12a"/>
        <w:rPr>
          <w:bCs/>
        </w:rPr>
      </w:pPr>
      <w:r w:rsidRPr="00F65024">
        <w:t>29.</w:t>
      </w:r>
      <w:r w:rsidRPr="00F65024">
        <w:tab/>
        <w:t xml:space="preserve">zauważa, że w 2024 r. Komitet zatrudnił 51 stażystów w ramach programu Cicero, przy czym stażyści Komitetu otrzymują miesięczne stypendium i korzystają z takich samych warunków pracy jak pracownicy, w tym z możliwości pracy zdalnej; ponownie podkreśla, że staże powinny być wynagradzane zgodnie z rezolucją Parlamentu Europejskiego z 14 czerwca 2023 r. zawierającą zalecenia dla Komisji w sprawie </w:t>
      </w:r>
      <w:r w:rsidRPr="00F65024">
        <w:lastRenderedPageBreak/>
        <w:t>wysokiej jakości staży w Unii (2020/2005(INL)), w której zaapelowano o wynagradzanie wszystkich staży w Unii;</w:t>
      </w:r>
    </w:p>
    <w:p w14:paraId="257E30FC" w14:textId="5A9FFB7A" w:rsidR="00697D8B" w:rsidRPr="00F65024" w:rsidRDefault="00697D8B" w:rsidP="00697D8B">
      <w:pPr>
        <w:pStyle w:val="NormalHanging12a"/>
        <w:rPr>
          <w:bCs/>
        </w:rPr>
      </w:pPr>
      <w:r w:rsidRPr="00F65024">
        <w:t>30.</w:t>
      </w:r>
      <w:r w:rsidRPr="00F65024">
        <w:tab/>
        <w:t>odnotowuje z ubolewaniem, że Komitet nie osiągnął jeszcze parytetu płci na stanowiskach kierowniczych, ale docenia znaczne postępy poczynione w ramach pięcioletniej strategii Komitetu na rzecz różnorodności i włączenia społecznego oraz planu działania na lata 2022–2026; z zadowoleniem przyjmuje wybór w 2025 r. kobiety na przewodniczącą Komitetu, potwierdzając zaangażowanie instytucji na rzecz promowania równości płci na najwyższym szczeblu politycznym, i zachęca Komitet do kontynuowania wysiłków na rzecz zwiększenia reprezentacji kobiet na stanowiskach kierowniczych, a jednocześnie podkreśla, że zasługi i kwalifikacje zawodowe pozostają głównymi kryteriami mianowania; zauważa, że pod koniec 2024 r. Komitet zatrudniał 57,</w:t>
      </w:r>
      <w:r w:rsidR="00634BA0">
        <w:t>2</w:t>
      </w:r>
      <w:r w:rsidRPr="00F65024">
        <w:t xml:space="preserve"> % kobiet i 42,8 % mężczyzn, czyli niemal w takich samych proporcjach jak w 2023 r.; zauważa, że odsetek kobiet na stanowiskach kierowniczych wyższego szczebla spadł z 44,4 % w 2023 r. do 33,3 % w 2024 r. (wzrósł z powrotem do 44,4 % w 2025 r.), a odsetek kobiet na stanowiskach kierowniczych średniego szczebla spadł z 32,50 % w 2023 r. do 29,7 % w 2024 r.; na podstawie kwestionariusza odnotowuje środki mające zachęcić większą liczbę kobiet do ubiegania się o stanowiska kierownicze, w tym poprzez ukierunkowane możliwości szkoleniowe i </w:t>
      </w:r>
      <w:proofErr w:type="spellStart"/>
      <w:r w:rsidRPr="00F65024">
        <w:t>coachingowe</w:t>
      </w:r>
      <w:proofErr w:type="spellEnd"/>
      <w:r w:rsidRPr="00F65024">
        <w:t xml:space="preserve"> dla kobiet aspirujących do stanowisk kierowniczych oraz promowanie bardziej elastycznej organizacji pracy; przypomina, że osiągnięcie długotrwałej równowagi płci na stanowiskach kierowniczych jest podstawowym celem instytucjonalnym, i oczekuje, że Komitet przyjmie konkretny, określony w czasie plan działania z wymiernymi celami, celami pośrednimi i objęty sprawozdawczością; wzywa Komitet do dopilnowania, by postępy na drodze do parytetu były zarówno monitorowane, jak i podawane do wiadomości publicznej;</w:t>
      </w:r>
    </w:p>
    <w:p w14:paraId="7529EAEA" w14:textId="77777777" w:rsidR="00697D8B" w:rsidRPr="00F65024" w:rsidRDefault="00697D8B" w:rsidP="00697D8B">
      <w:pPr>
        <w:pStyle w:val="NormalHanging12a"/>
        <w:rPr>
          <w:bCs/>
        </w:rPr>
      </w:pPr>
      <w:r w:rsidRPr="00F65024">
        <w:t>31.</w:t>
      </w:r>
      <w:r w:rsidRPr="00F65024">
        <w:tab/>
        <w:t>wyraża uznanie dla Komitetu za działania mające również na celu promowanie równowagi płci wśród jego członków, w szczególności poprzez wysyłanie do Rady pism dotyczących wakatów oraz wspieranie stałych przedstawicielstw i krajowych stowarzyszeń władz lokalnych i regionalnych zaangażowanych w proces nominacji; zauważa na podstawie sprawozdania uzupełniającego, że w tym samym czasie odsetek kobiet wśród członków wzrósł z 23,40 % w 2020 r. do 28,7 % w 2025 r.; docenia fakt, że nowy regulamin wewnętrzny Komitetu, który wszedł w życie w sierpniu 2024 r., zawiera wyraźne cele dotyczące zwiększenia równowagi płci, zwłaszcza w składzie Prezydium Komitetu; zachęca Komitet do dalszego promowania równowagi płci przy jednoczesnym dbaniu o to, aby mianowania opierały się na osiągnięciach, doświadczeniu zawodowym i kwalifikacjach;</w:t>
      </w:r>
    </w:p>
    <w:p w14:paraId="64261C20" w14:textId="77777777" w:rsidR="00697D8B" w:rsidRPr="00F65024" w:rsidRDefault="00697D8B" w:rsidP="00697D8B">
      <w:pPr>
        <w:pStyle w:val="NormalHanging12a"/>
      </w:pPr>
      <w:r w:rsidRPr="00F65024">
        <w:t>32.</w:t>
      </w:r>
      <w:r w:rsidRPr="00F65024">
        <w:tab/>
        <w:t>wyraża uznanie dla Komitetu za zorganizowanie w 2024 r. konkursu wewnętrznego, który pozwoli zaspokoić obecne i przyszłe potrzeby rekrutacyjne, zapewni ciągłość działania i zatrzymanie doświadczonych pracowników, wypełniając w ten sposób lukę powstałą w wyniku braku list rezerwowych z Europejskiego Urzędu Doboru Kadr (EPSO); zauważa na podstawie kwestionariusza, że 72 kandydatów umieszczono na liście rezerwowej Komitetu, z czego 46 kandydatów już zatrudniono w różnych grupach zaszeregowania, zarówno AST, jak i AD – według stanu na 1 września 2025 r.; spodziewa się w rezultacie zmniejszenia liczby pracowników tymczasowych i kontraktowych zatrudnionych przez Komitet od 2025 r.;</w:t>
      </w:r>
    </w:p>
    <w:p w14:paraId="2511E10D" w14:textId="49C8A05F" w:rsidR="00697D8B" w:rsidRPr="00F65024" w:rsidRDefault="00697D8B" w:rsidP="00697D8B">
      <w:pPr>
        <w:pStyle w:val="NormalHanging12a"/>
      </w:pPr>
      <w:r w:rsidRPr="00F65024">
        <w:t>33.</w:t>
      </w:r>
      <w:r w:rsidRPr="00F65024">
        <w:tab/>
        <w:t xml:space="preserve">odnotowuje, że w wyniku rozpoczętego w 2022 r. projektu pilotażowego dotyczącego hybrydowego systemu pracy i badania zadowolenia pracowników Komitet przyjął 1 </w:t>
      </w:r>
      <w:r w:rsidRPr="00F65024">
        <w:lastRenderedPageBreak/>
        <w:t>stycznia 2024 r. decyzję, obowiązującą od 1 lutego 2024</w:t>
      </w:r>
      <w:r w:rsidR="002B0B4F">
        <w:t xml:space="preserve"> r.</w:t>
      </w:r>
      <w:r w:rsidRPr="00F65024">
        <w:t>, w której przewidziano hybrydowy system pracy i spersonalizowany tygodniowy harmonogram pracy dla każdego członka personelu, a także możliwość pracy z domu przez maksymalnie 60 % czasu pracy (z wyjątkiem kategorii pracowników, których charakter pracy nie pozwala na pracę zdalną) i pracy spoza miasta zatrudnienia przez okres do 15 dni w roku; uznaje, że środki te mają na celu poprawę równowagi między życiem zawodowym a prywatnym, przy jednoczesnym utrzymaniu efektywności operacyjnej i zadowolenia pracowników;</w:t>
      </w:r>
    </w:p>
    <w:p w14:paraId="39F37901" w14:textId="77777777" w:rsidR="00697D8B" w:rsidRPr="00F65024" w:rsidRDefault="00697D8B" w:rsidP="00697D8B">
      <w:pPr>
        <w:pStyle w:val="NormalHanging12a"/>
      </w:pPr>
      <w:r w:rsidRPr="00F65024">
        <w:t>34.</w:t>
      </w:r>
      <w:r w:rsidRPr="00F65024">
        <w:tab/>
        <w:t>z zadowoleniem zauważa, że 89 % osób, które odpowiedziały na ankietę pracowniczą z 2025 r., wyraziło zadowolenie z elastycznej organizacji pracy w Komitecie; może mieć ona również wpływ na liczbę dni zwolnienia chorobowego wykorzystanych przez pracowników Komitetu; na podstawie sprawozdania uzupełniającego zauważa, że utrzymuje się tendencja spadkowa całkowitej liczby dni zwolnień chorobowych, z 7 303 dniami w 2024 r. w porównaniu z 7 544 dniami w 2023 r., podczas gdy: – liczba pracowników bez zwolnienia chorobowego spadła z 211 (tj. 36 % wszystkich pracowników) w 2023 r. do 196 (tj. 34 %) w 2024 r.; – liczba pracowników przebywających na zwolnieniu chorobowym przez okres krótszy niż siedem dni wzrosła z 201 (tj. 35 % wszystkich pracowników) w 2023 r. do 211 (tj. 36 % w 2024 r.) oraz; – liczba pracowników przebywających na zwolnieniu chorobowym trwającym od 7,5 do 21 dni wzrosła z 92 (tj. 16 % wszystkich pracowników) w 2023 r. do 96 (tj. 16 % wszystkich pracowników) w 2024 r.;</w:t>
      </w:r>
    </w:p>
    <w:p w14:paraId="4C75E791" w14:textId="77777777" w:rsidR="00697D8B" w:rsidRPr="00F65024" w:rsidRDefault="00697D8B" w:rsidP="00697D8B">
      <w:pPr>
        <w:pStyle w:val="NormalHanging12a"/>
      </w:pPr>
      <w:r w:rsidRPr="00F65024">
        <w:t>35.</w:t>
      </w:r>
      <w:r w:rsidRPr="00F65024">
        <w:tab/>
        <w:t xml:space="preserve">odnotowuje na podstawie kwestionariusza, że liczba przypadków wypalenia zawodowego spadła z 18 w 2023 r. do 6 w 2024 r.; wyraża uznanie dla Komitetu za jego proaktywne podejście do zapobiegania wypaleniu zawodowemu poprzez ścisłe monitorowanie pracowników przebywających na długotrwałym zwolnieniu chorobowym za pomocą dostosowanych środków, które obejmują regularny kontakt z pracownikami i działania ekspertów medycznych; zauważa ponadto, że w 2024 r. Komitetowi z powodzeniem udało się ponownie zintegrować troje pracowników po długotrwałej nieobecności spowodowanej wypaleniem zawodowym dzięki zindywidualizowanym działaniom następczym w odniesieniu do długoterminowych zwolnień chorobowych; z zadowoleniem przyjmuje działania zapobiegawcze Komitetu podjęte w 2024 r. w celu poprawy zdrowia i dobrego samopoczucia w miejscu pracy, takie jak oferowanie pracownikom sesji na miejscu ze specjalistami paramedycznymi (fizjoterapeutami, </w:t>
      </w:r>
      <w:proofErr w:type="spellStart"/>
      <w:r w:rsidRPr="00F65024">
        <w:t>osteopatami</w:t>
      </w:r>
      <w:proofErr w:type="spellEnd"/>
      <w:r w:rsidRPr="00F65024">
        <w:t>, trenerami zatrudnionymi na podstawie umowy ramowej) oraz organizowanie konferencji uświadamiających na temat zdrowia;</w:t>
      </w:r>
    </w:p>
    <w:p w14:paraId="62417519" w14:textId="77777777" w:rsidR="00697D8B" w:rsidRPr="00F65024" w:rsidRDefault="00697D8B" w:rsidP="00697D8B">
      <w:pPr>
        <w:pStyle w:val="NormalHanging12a"/>
      </w:pPr>
      <w:r w:rsidRPr="00F65024">
        <w:t>36.</w:t>
      </w:r>
      <w:r w:rsidRPr="00F65024">
        <w:tab/>
        <w:t>zauważa, że w 2024 r. Komitet nadal podnosił świadomość na temat środków wprowadzonych w celu zapobiegania molestowaniu i nękaniu w miejscu pracy i jego zwalczaniu, zgodnie ze swoją decyzją z dnia 26 kwietnia 2021 r. w sprawie ochrony godności w pracy, zarządzania konfliktami i zwalczania molestowania i nękania, w szczególności poprzez specjalne wytyczne, komunikację wewnętrzną (dwutygodniowy biuletyn od działu HR) oraz organizację szeregu sesji informacyjnych dla pracowników i kadry kierowniczej, w tym obowiązkowych szkoleń na temat etyki i uczciwości; zauważa, że w 2024 r. Komitet zarejestrował cztery nowe przypadki zarzucanego molestowania i nękania, z których jeden dotyczył molestowania seksualnego, a jeden został zgłoszony belgijskiej policji w drodze formalnej skargi; odnotowuje, że zastosowano ustalone procedury (wstępna ocena, dochodzenie administracyjne, środki ostrożności itp.) i zwraca się do Komitetu o informowanie organu udzielającego absolutorium o wynikach tych spraw;</w:t>
      </w:r>
    </w:p>
    <w:p w14:paraId="04362E9B" w14:textId="77777777" w:rsidR="00697D8B" w:rsidRPr="00F65024" w:rsidRDefault="00697D8B" w:rsidP="00697D8B">
      <w:pPr>
        <w:pStyle w:val="NormalHanging12a"/>
      </w:pPr>
      <w:r w:rsidRPr="00F65024">
        <w:lastRenderedPageBreak/>
        <w:t>37.</w:t>
      </w:r>
      <w:r w:rsidRPr="00F65024">
        <w:tab/>
        <w:t xml:space="preserve">wyraża uznanie dla Komitetu za zapewnienie osobom z niepełnosprawnościami dostępu do wszystkich produktów cyfrowych Komitetu lub możliwości korzystania z nich poprzez stosowanie wytycznych dotyczących dostępności treści internetowych; zauważa w tym kontekście, że w 2024 r. platforma </w:t>
      </w:r>
      <w:proofErr w:type="spellStart"/>
      <w:r w:rsidRPr="00F65024">
        <w:t>HReForms</w:t>
      </w:r>
      <w:proofErr w:type="spellEnd"/>
      <w:r w:rsidRPr="00F65024">
        <w:t xml:space="preserve"> Komitetu została zmodernizowana – jednym z podstawowych wymagań była dostępność, obejmująca między innymi ulepszony kontrast kolorów, nawigację za pomocą klawiatury i tekst alternatywny; z satysfakcją zauważa, że Komitet zapewnia zakwaterowanie kandydatom z niepełnosprawnościami, gwarantując w ten sposób sprawiedliwe procedury selekcji;</w:t>
      </w:r>
    </w:p>
    <w:p w14:paraId="2DA6A0B7" w14:textId="77777777" w:rsidR="00697D8B" w:rsidRPr="00F65024" w:rsidRDefault="00697D8B" w:rsidP="00697D8B">
      <w:pPr>
        <w:pStyle w:val="NormalHanging12a"/>
      </w:pPr>
      <w:r w:rsidRPr="00F65024">
        <w:t>38.</w:t>
      </w:r>
      <w:r w:rsidRPr="00F65024">
        <w:tab/>
        <w:t>odnotowuje, że w 2024 r. Komitet zatrudniał obywateli wszystkich państw Unii (i jedną osobę z obywatelstwem Ukrainy) – część z nich była nadmiernie reprezentowana; z zadowoleniem przyjmuje wysiłki Komitetu mające na celu zrównoważenie reprezentacji geograficznej wśród jego personelu w 2024 r. poprzez ukierunkowane inicjatywy informacyjne, które przyciągną kandydatów z niedostatecznie reprezentowanych krajów; zauważa, że inicjatywy te obejmowały zwiększone wykorzystanie platform cyfrowych i mediów społecznościowych w celu zwiększenia widoczności wolnych stanowisk, bezpośrednie kontakty z stałymi przedstawicielstwami państw członkowskich, prezentacje skierowane do określonych grup odbiorców w celu zachęcenia ich do udziału w procedurach selekcji Komitetu oraz analizę tendencji dotyczących kandydatur; odnotowuje, że środki te przyniosły już pozytywne rezultaty w 2024 r., takie jak wzrost liczby otrzymanych podań o pracę, w tym z krajów niedostatecznie reprezentowanych; z zadowoleniem przyjmuje ponadto współpracę Komitetu z EPSO i innymi instytucjami Unii w celu zróżnicowania puli kandydatów, wymiany najlepszych praktyk i koordynacji wysiłków na rzecz wypełnienia luk w reprezentacji w całej administracji Unii; zwraca się do Komitetu o dalsze podejmowanie działań służących osiągnięciu bardziej zrównoważonej reprezentacji geograficznej, w tym na szczeblu kierowniczym, oraz o informowanie organu udzielającego absolutorium o tendencjach w zakresie wniosków o pracę otrzymywanych przez Komitet w poszczególnych okresach;</w:t>
      </w:r>
    </w:p>
    <w:p w14:paraId="6C704CFE" w14:textId="77777777" w:rsidR="00697D8B" w:rsidRPr="00F65024" w:rsidRDefault="00697D8B" w:rsidP="00697D8B">
      <w:pPr>
        <w:pStyle w:val="NormalHanging12a"/>
        <w:rPr>
          <w:bCs/>
          <w:iCs/>
        </w:rPr>
      </w:pPr>
      <w:r w:rsidRPr="00F65024">
        <w:t>39.</w:t>
      </w:r>
      <w:r w:rsidRPr="00F65024">
        <w:tab/>
        <w:t>z zadowoleniem przyjmuje aktywny i zorganizowany dialog społeczny w związku ze zmianami organizacyjnymi trwającymi przez cały 2024 r.; zachęca Komitet do utrzymania obecnego poziomu i jeszcze większego systematycznego angażowania przedstawicieli pracowników w reformy związane m.in. z cyfryzacją, wewnętrzną reorganizacją i nowymi metodami pracy;</w:t>
      </w:r>
    </w:p>
    <w:p w14:paraId="2B46952D" w14:textId="77777777" w:rsidR="00697D8B" w:rsidRPr="00F65024" w:rsidRDefault="00697D8B" w:rsidP="00697D8B">
      <w:pPr>
        <w:pStyle w:val="NormalHanging12a"/>
        <w:rPr>
          <w:b/>
          <w:i/>
        </w:rPr>
      </w:pPr>
      <w:r w:rsidRPr="00F65024">
        <w:rPr>
          <w:b/>
          <w:i/>
        </w:rPr>
        <w:t>Ramy etyczne i przejrzystość</w:t>
      </w:r>
    </w:p>
    <w:p w14:paraId="4DD59E36" w14:textId="77777777" w:rsidR="00697D8B" w:rsidRPr="00F65024" w:rsidRDefault="00697D8B" w:rsidP="00697D8B">
      <w:pPr>
        <w:pStyle w:val="NormalHanging12a"/>
      </w:pPr>
      <w:r w:rsidRPr="00F65024">
        <w:t>40.</w:t>
      </w:r>
      <w:r w:rsidRPr="00F65024">
        <w:tab/>
        <w:t>z zadowoleniem przyjmuje prace przeprowadzone przez Komitet w 2023 r., aby skonsolidować zasady i praktyki etyczne w jednolite etyczne ramy prawne (decyzja nr 157/2023) obejmujące m.in. procedurę dyscyplinarną, godność w pracy, zarządzanie konfliktami, zwalczanie molestowania i nękania, działalność zewnętrzną i informowanie o nieprawidłowościach; odnotowuje, że rok 2024 był pierwszym rokiem wdrażania tych nowych ram; zauważa, że w 2024 r. Komitet często organizował obowiązkowe szkolenia z zakresu etyki i uczciwości, zgłaszania nieprawidłowości i zapobiegania konfliktom interesów, skierowane do różnych grup, począwszy od nowych pracowników, przez kierowników, po ogół personelu;</w:t>
      </w:r>
    </w:p>
    <w:p w14:paraId="172366AB" w14:textId="77777777" w:rsidR="00697D8B" w:rsidRPr="00F65024" w:rsidRDefault="00697D8B" w:rsidP="00697D8B">
      <w:pPr>
        <w:pStyle w:val="NormalHanging12a"/>
      </w:pPr>
      <w:r w:rsidRPr="00F65024">
        <w:t>41.</w:t>
      </w:r>
      <w:r w:rsidRPr="00F65024">
        <w:tab/>
        <w:t xml:space="preserve">zauważa, że w 2024 r. Komitet nie zgłosił żadnych spraw Europejskiemu Urzędowi ds. Zwalczania Nadużyć Finansowych (OLAF), Prokuraturze Europejskiej (EPPO) ani </w:t>
      </w:r>
      <w:r w:rsidRPr="00F65024">
        <w:lastRenderedPageBreak/>
        <w:t>Europejskiemu Rzecznikowi Praw Obywatelskich ani też nie był przedmiotem żadnego dochodzenia prowadzonego przez te instytucje;</w:t>
      </w:r>
    </w:p>
    <w:p w14:paraId="44267AEC" w14:textId="77777777" w:rsidR="00697D8B" w:rsidRPr="00F65024" w:rsidRDefault="00697D8B" w:rsidP="00697D8B">
      <w:pPr>
        <w:pStyle w:val="NormalHanging12a"/>
      </w:pPr>
      <w:r w:rsidRPr="00F65024">
        <w:t>42.</w:t>
      </w:r>
      <w:r w:rsidRPr="00F65024">
        <w:tab/>
        <w:t>przypomina, że Komitet przyjął rozporządzenie nr 6/2023 z 4 lipca 2023 r. ustanawiające środki na rzecz przejrzystości, koncentrujące się na piastujących urząd członkach i sprawozdawcach; mając na uwadze, że w ramach środków tych zwrócono się do członków sprawujących urząd i do sprawozdawcy, by spotykali się wyłącznie z przedstawicielami grup interesu, zarejestrowanymi w rejestrze służącym przejrzystości, oraz publicznie ujawniali wszelkie spotkania z przedstawicielami grup interesu, które odbywają jako członkowie Komitetu; zauważa, że w 2024 r. jeden z członków Komitetu zgłosił spotkanie z przedstawicielem grup interesu; w tym kontekście wyraża uznanie dla Komitetu za to, że 1 stycznia 2024 r. formalnie dołączył do unijnego rejestru służącego przejrzystości;</w:t>
      </w:r>
    </w:p>
    <w:p w14:paraId="1346908B" w14:textId="77777777" w:rsidR="00697D8B" w:rsidRPr="00F65024" w:rsidRDefault="00697D8B" w:rsidP="00697D8B">
      <w:pPr>
        <w:pStyle w:val="NormalHanging12a"/>
        <w:rPr>
          <w:b/>
          <w:bCs/>
          <w:i/>
          <w:iCs/>
          <w:szCs w:val="24"/>
        </w:rPr>
      </w:pPr>
      <w:r w:rsidRPr="00F65024">
        <w:t>43.</w:t>
      </w:r>
      <w:r w:rsidRPr="00F65024">
        <w:tab/>
        <w:t>odnotowuje na podstawie kwestionariusza zasady i mechanizmy wdrożone przez Komitet w 2024 r. w celu promowania przejrzystości w różnych obszarach, takich jak zarządzanie budżetem i finansami, sprawozdawczość, współpraca w zakresie audytu, zasoby ludzkie, zamówienia publiczne, publiczny dostęp do dokumentów i zarządzanie rejestrami;</w:t>
      </w:r>
    </w:p>
    <w:p w14:paraId="1523F20D" w14:textId="77777777" w:rsidR="00697D8B" w:rsidRPr="00F65024" w:rsidRDefault="00697D8B" w:rsidP="00697D8B">
      <w:pPr>
        <w:pStyle w:val="NormalHanging12a"/>
      </w:pPr>
      <w:r w:rsidRPr="00F65024">
        <w:t>44.</w:t>
      </w:r>
      <w:r w:rsidRPr="00F65024">
        <w:tab/>
        <w:t xml:space="preserve">wyraża zadowolenie, że w 2024 r. Komitet ponownie podjął wysiłki na rzecz poprawy wykrywania konfliktów interesów i zapobiegania im; odnotowuje, że w decyzji nr 157/2023 Komitet zdefiniował pojęcie konfliktu interesów oraz wprowadził mechanizm wykrywania takich konfliktów i zapobiegania im; w ramach tego mechanizmu pracownicy są zobowiązani do zgłaszania ewentualnych konfliktów interesów (potencjalnych lub możliwych) poprzez wypełnienie formularza w różnych kluczowych momentach swojej kariery lub działalności zawodowej; z zadowoleniem odnotowuje na podstawie kwestionariusza, że coroczne informacje dotyczące działalności zawodowej byłych urzędników wyższego szczebla są publikowane w przejrzysty sposób na stronie internetowej Komitetu oraz że przez pierwszy rok po odejściu ze stanowisk w Komitecie nie wolno im angażować się w żadne działania lobbingowe ani </w:t>
      </w:r>
      <w:proofErr w:type="spellStart"/>
      <w:r w:rsidRPr="00F65024">
        <w:t>rzecznicze</w:t>
      </w:r>
      <w:proofErr w:type="spellEnd"/>
      <w:r w:rsidRPr="00F65024">
        <w:t xml:space="preserve"> wobec Komitetu;</w:t>
      </w:r>
    </w:p>
    <w:p w14:paraId="1F099020" w14:textId="77777777" w:rsidR="00697D8B" w:rsidRPr="00F65024" w:rsidRDefault="00697D8B" w:rsidP="00697D8B">
      <w:pPr>
        <w:pStyle w:val="NormalHanging12a"/>
      </w:pPr>
      <w:r w:rsidRPr="00F65024">
        <w:t>45.</w:t>
      </w:r>
      <w:r w:rsidRPr="00F65024">
        <w:tab/>
        <w:t>odnotowuje na podstawie kwestionariusza, że w 2024 r. w Komitecie nie wykryto żadnych konfliktów interesów; zwraca jednak uwagę, że jeden z członków Komitetu zgłosił obawy dotyczące potencjalnego konfliktu interesów wynikającego z otrzymania wynagrodzenia za sporządzenie analizy wsparcia technicznego dla posła do Parlamentu lub grupy politycznej Parlamentu; z zadowoleniem przyjmuje otrzymane w trakcie procedury udzielania absolutorium potwierdzenie, że wyżej wspomniany członek Komitetu w rzeczywistości nie przyjął tego zlecenia;</w:t>
      </w:r>
    </w:p>
    <w:p w14:paraId="4CEAE654" w14:textId="77777777" w:rsidR="00697D8B" w:rsidRPr="00F65024" w:rsidRDefault="00697D8B" w:rsidP="00697D8B">
      <w:pPr>
        <w:pStyle w:val="NormalHanging12a"/>
      </w:pPr>
      <w:r w:rsidRPr="00F65024">
        <w:t>46.</w:t>
      </w:r>
      <w:r w:rsidRPr="00F65024">
        <w:tab/>
        <w:t>zauważa, że w 2024 r. nie zgłoszono Komitetowi żadnych przypadków informowania o nieprawidłowościach; zauważa, że w 2024 r. Komitet nie przyjął żadnych nowych środków dotyczących informowania o nieprawidłowościach i nadal polegał na środkach obowiązujących od 2015 r. oraz promował je poprzez szkolenia z zakresu etyki i podnoszenie świadomości; popiera regularne obowiązkowe szkolenia z zakresu etyki zarówno dla ogółu personelu, jak i dla kadry kierowniczej;</w:t>
      </w:r>
    </w:p>
    <w:p w14:paraId="6A930206" w14:textId="77777777" w:rsidR="00697D8B" w:rsidRPr="00F65024" w:rsidRDefault="00697D8B" w:rsidP="00697D8B">
      <w:pPr>
        <w:pStyle w:val="NormalHanging12a"/>
      </w:pPr>
      <w:r w:rsidRPr="00F65024">
        <w:t>47.</w:t>
      </w:r>
      <w:r w:rsidRPr="00F65024">
        <w:tab/>
        <w:t xml:space="preserve">zauważa, że Komitet wprowadził szereg środków i działań w zakresie zwalczania nadużyć finansowych, które mają zastosowanie do jego członków oraz pracowników i które są wdrażane przez różne służby; ubolewa, że w 2024 r. nie wdrożono żadnej </w:t>
      </w:r>
      <w:r w:rsidRPr="00F65024">
        <w:lastRenderedPageBreak/>
        <w:t>strategii zwalczania nadużyć finansowych; odnotowuje jednak na podstawie kwestionariusza, że Komitet przyjął w 2025 r. skonsolidowane ramy zwalczania nadużyć finansowych, które stanowią pośredni krok w opracowaniu kompleksowej strategii zwalczania nadużyć finansowych, na potrzeby której metodykę dostarczy OLAF; wzywa Komitet do priorytetowego potraktowania pełnego dopracowania i wdrożenia tej strategii, w tym oceny ryzyka, zapobiegania, wykrywania i działań następczych; zwraca się do Komitetu, aby informował o tej kwestii organ udzielający absolutorium;</w:t>
      </w:r>
    </w:p>
    <w:p w14:paraId="24C19465" w14:textId="77777777" w:rsidR="00697D8B" w:rsidRPr="00F65024" w:rsidRDefault="00697D8B" w:rsidP="00697D8B">
      <w:pPr>
        <w:pStyle w:val="NormalHanging12a"/>
        <w:ind w:left="360"/>
        <w:rPr>
          <w:b/>
          <w:i/>
        </w:rPr>
      </w:pPr>
      <w:r w:rsidRPr="00F65024">
        <w:rPr>
          <w:b/>
          <w:i/>
        </w:rPr>
        <w:t xml:space="preserve">Cyfryzacja, </w:t>
      </w:r>
      <w:proofErr w:type="spellStart"/>
      <w:r w:rsidRPr="00F65024">
        <w:rPr>
          <w:b/>
          <w:i/>
        </w:rPr>
        <w:t>cyberbezpieczeństwo</w:t>
      </w:r>
      <w:proofErr w:type="spellEnd"/>
      <w:r w:rsidRPr="00F65024">
        <w:rPr>
          <w:b/>
          <w:i/>
        </w:rPr>
        <w:t xml:space="preserve"> i ochrona danych</w:t>
      </w:r>
    </w:p>
    <w:p w14:paraId="3166B5F7" w14:textId="77777777" w:rsidR="00697D8B" w:rsidRPr="00F65024" w:rsidRDefault="00697D8B" w:rsidP="00697D8B">
      <w:pPr>
        <w:pStyle w:val="NormalHanging12a"/>
      </w:pPr>
      <w:r w:rsidRPr="00F65024">
        <w:t>48.</w:t>
      </w:r>
      <w:r w:rsidRPr="00F65024">
        <w:tab/>
        <w:t xml:space="preserve">zauważa, że łączny budżet IT Komitetu i EKES-u wyniósł 13,70 mln EUR w 2024 r. w porównaniu z 12,70 mln EUR w 2023 r., co oznacza spadek o 7,90 %, przy czym 760 000 EUR (tj. około 6 %) z tego budżetu przeznaczono w 2024 r. na </w:t>
      </w:r>
      <w:proofErr w:type="spellStart"/>
      <w:r w:rsidRPr="00F65024">
        <w:t>cyberbezpieczeństwo</w:t>
      </w:r>
      <w:proofErr w:type="spellEnd"/>
      <w:r w:rsidRPr="00F65024">
        <w:t>;</w:t>
      </w:r>
    </w:p>
    <w:p w14:paraId="4C5FA550" w14:textId="1DC97E86" w:rsidR="00697D8B" w:rsidRPr="00F65024" w:rsidRDefault="00697D8B" w:rsidP="00697D8B">
      <w:pPr>
        <w:pStyle w:val="NormalHanging12a"/>
      </w:pPr>
      <w:r w:rsidRPr="00F65024">
        <w:t>49.</w:t>
      </w:r>
      <w:r w:rsidRPr="00F65024">
        <w:tab/>
        <w:t xml:space="preserve">na podstawie kwestionariusza zauważa, że w 2024 r. Dyrekcja ds. Innowacji i Technologii Informacyjnych wdrożyła nową wieloletnią strategię cyfrową na lata 2024–2026, w której priorytetowo traktuje się zarządzanie rejestrami cyfrowymi, elektroniczne przepływy pracy, podpisy elektroniczne i rozwiązania oparte na chmurze obliczeniowej oraz koncentruje się na czterech sztandarowych programach – M365 Digital </w:t>
      </w:r>
      <w:proofErr w:type="spellStart"/>
      <w:r w:rsidRPr="00F65024">
        <w:t>Workplace</w:t>
      </w:r>
      <w:proofErr w:type="spellEnd"/>
      <w:r w:rsidRPr="00F65024">
        <w:t xml:space="preserve">, ARES, </w:t>
      </w:r>
      <w:proofErr w:type="spellStart"/>
      <w:r w:rsidRPr="00F65024">
        <w:t>EdiT</w:t>
      </w:r>
      <w:proofErr w:type="spellEnd"/>
      <w:r w:rsidRPr="00F65024">
        <w:t xml:space="preserve"> i </w:t>
      </w:r>
      <w:proofErr w:type="spellStart"/>
      <w:r w:rsidRPr="00F65024">
        <w:t>Cybersecurity</w:t>
      </w:r>
      <w:proofErr w:type="spellEnd"/>
      <w:r w:rsidRPr="00F65024">
        <w:t xml:space="preserve"> – w celu zacieśnienia współpracy, automatyzacji i zwiększenia odporności instytucjonalnej; podkreśla postępy programu M365, w tym planowanie migracji do SharePoint Online, wdrażanie Windows 11 i aplikacji M365 oraz rozwój strategii w sprawie zastosowania AI wraz z pilotażowym planem działania M365 </w:t>
      </w:r>
      <w:proofErr w:type="spellStart"/>
      <w:r w:rsidRPr="00F65024">
        <w:t>Copilot</w:t>
      </w:r>
      <w:proofErr w:type="spellEnd"/>
      <w:r w:rsidRPr="00F65024">
        <w:t xml:space="preserve"> w 2025 r.; zauważa, że Komitet rozpoczął wdrażanie systemu zarządzania dokumentami HAN i poczynił postępy w kierunku przyjęcia edytora </w:t>
      </w:r>
      <w:proofErr w:type="spellStart"/>
      <w:r w:rsidRPr="00F65024">
        <w:t>EdiT</w:t>
      </w:r>
      <w:proofErr w:type="spellEnd"/>
      <w:r w:rsidRPr="00F65024">
        <w:t xml:space="preserve"> XML do opracowywania projektów legislacyjnych; z zadowoleniem przyjmuje położenie nacisku na </w:t>
      </w:r>
      <w:proofErr w:type="spellStart"/>
      <w:r w:rsidRPr="00F65024">
        <w:t>cyberbezpieczeństwo</w:t>
      </w:r>
      <w:proofErr w:type="spellEnd"/>
      <w:r w:rsidRPr="00F65024">
        <w:t xml:space="preserve"> jako wspólny obowiązek, wraz z nowymi inicjatywami szkoleniowymi i wieloletnim planem dostosowanym do standardów unijnych; uznaje ulepszenia w zarządzaniu dokumentacją, infrastrukturze i bezpiecznych narzędziach komunikacyjnych, w tym poczcie elektronicznej SECABC, transferze danych SACHA i systemach zarządzania punktami końcowymi; z uznaniem odnotowuje stałe postępy Komitetu pod względem innowacji cyfrowych, w tym przejście na całkowicie elektroniczne i </w:t>
      </w:r>
      <w:proofErr w:type="spellStart"/>
      <w:r w:rsidRPr="00F65024">
        <w:t>cyberbezpieczne</w:t>
      </w:r>
      <w:proofErr w:type="spellEnd"/>
      <w:r w:rsidRPr="00F65024">
        <w:t xml:space="preserve"> środowisko pracy; wyraża uznanie dla planu prac „Domu Regionów” na lata 2025–2027 za priorytetowe potraktowanie transformacji cyfrowej w celu zbudowania nowoczesnej, sprawnej i cyfrowej instytucji</w:t>
      </w:r>
      <w:r w:rsidR="00634BA0">
        <w:t>;</w:t>
      </w:r>
    </w:p>
    <w:p w14:paraId="0C55CD13" w14:textId="77777777" w:rsidR="00697D8B" w:rsidRPr="00F65024" w:rsidRDefault="00697D8B" w:rsidP="00697D8B">
      <w:pPr>
        <w:pStyle w:val="NormalHanging12a"/>
        <w:rPr>
          <w:bCs/>
        </w:rPr>
      </w:pPr>
      <w:r w:rsidRPr="00F65024">
        <w:t>50.</w:t>
      </w:r>
      <w:r w:rsidRPr="00F65024">
        <w:tab/>
        <w:t>zauważa, że Komitet stopniowo wprowadził pilotażowy projekt sztucznej inteligencji o nazwie „</w:t>
      </w:r>
      <w:proofErr w:type="spellStart"/>
      <w:r w:rsidRPr="00F65024">
        <w:t>Panoramic</w:t>
      </w:r>
      <w:proofErr w:type="spellEnd"/>
      <w:r w:rsidRPr="00F65024">
        <w:t xml:space="preserve"> AI”, który od 2024 r. tworzy centralne centrum usprawniające dostęp do złożonych treści; odnotowuje ponadto, że Komitet aktywnie korzysta z narzędzi sztucznej inteligencji Komisji do tłumaczenia, sporządzania streszczeń itp. oraz jako użytkownik pilotażowy uczestniczy w testowaniu pilotażowego rozwiązania GPT@JRC w zakresie sztucznej inteligencji; zauważa na podstawie kwestionariusza, że wytyczne Komitetu dotyczące sztucznej inteligencji przyjęte w 2023 r. posłużyły za punkt odniesienia dla sposobu, w jaki pracownicy mogą eksperymentować ze sztuczną inteligencją w celu wdrożenia rozporządzenia Parlamentu Europejskiego i Rady (UE) </w:t>
      </w:r>
      <w:r w:rsidRPr="00F65024">
        <w:lastRenderedPageBreak/>
        <w:t>2024/1689</w:t>
      </w:r>
      <w:r w:rsidRPr="00F65024">
        <w:rPr>
          <w:rStyle w:val="FootnoteReference"/>
          <w:bCs/>
        </w:rPr>
        <w:footnoteReference w:id="12"/>
      </w:r>
      <w:r w:rsidRPr="00F65024">
        <w:t xml:space="preserve">, które weszło w życie w sierpniu 2024 r., oraz w celu opracowania alternatywnych rozwiązań korporacyjnych zgodnych ze standardami ochrony danych i normami etycznymi; zadowoleniem przyjmuje w tym kontekście organizację w 2024 r. sesji informacyjnych dla pracowników w celu wyjaśnienia wytycznych dotyczących sztucznej inteligencji, publikację notatki na temat znajomości sztucznej inteligencji dla pracowników oraz organizację warsztatów mających na celu podniesienie świadomości na temat sztucznej inteligencji i zachęca do kontynuowania tej praktyki, w tym do organizowania regularnych szkoleń na temat bezpiecznego, etycznego i skutecznego wykorzystywania sztucznej inteligencji oraz regularnych szkoleń z zakresu </w:t>
      </w:r>
      <w:proofErr w:type="spellStart"/>
      <w:r w:rsidRPr="00F65024">
        <w:t>cyberbezpieczeństwa</w:t>
      </w:r>
      <w:proofErr w:type="spellEnd"/>
      <w:r w:rsidRPr="00F65024">
        <w:t xml:space="preserve">; uznaje wartość dodaną narzędzi sztucznej inteligencji, które zwiększają produktywność osobistą, takich jak M365 </w:t>
      </w:r>
      <w:proofErr w:type="spellStart"/>
      <w:r w:rsidRPr="00F65024">
        <w:t>Copilot</w:t>
      </w:r>
      <w:proofErr w:type="spellEnd"/>
      <w:r w:rsidRPr="00F65024">
        <w:t>, oraz integracji funkcji AI z narzędziami wsparcia IT; podkreśla, że przy wykorzystywaniu sztucznej inteligencji musi być zagwarantowane ścisłe przestrzeganie zasad etycznego korzystania, przejrzystości, ochrony danych, nadzoru przez człowieka oraz ochrony przed stronniczością algorytmów lub ich nadużywaniem;</w:t>
      </w:r>
    </w:p>
    <w:p w14:paraId="52A911AA" w14:textId="77777777" w:rsidR="00697D8B" w:rsidRPr="00F65024" w:rsidRDefault="00697D8B" w:rsidP="00697D8B">
      <w:pPr>
        <w:pStyle w:val="NormalHanging12a"/>
      </w:pPr>
      <w:r w:rsidRPr="00F65024">
        <w:t>51.</w:t>
      </w:r>
      <w:r w:rsidRPr="00F65024">
        <w:tab/>
        <w:t>na podstawie kwestionariusza odnotowuje, że w następstwie niedopatrzenia proceduralnego polegającego na zmianie inspektora ochrony danych bez uprzedniej zgody Europejskiego Inspektora Ochrony Danych (EIOD) Komitet przyznał się do błędu i podjął działania naprawcze; przyznaje, że przeniesienie funkcji inspektora ochrony danych do Służby Prawnej opierało się na zaleceniu audytora wewnętrznego; zauważa, że Komitet przywrócił poprzedniego inspektora ochrony danych i formalnie zwrócił się do EIOD o zgodę na jego nowe powołanie w celu zapewnienia pełnej zgodności;</w:t>
      </w:r>
    </w:p>
    <w:p w14:paraId="3B1796B4" w14:textId="77777777" w:rsidR="00697D8B" w:rsidRPr="00F65024" w:rsidRDefault="00697D8B" w:rsidP="00697D8B">
      <w:pPr>
        <w:pStyle w:val="NormalHanging12a"/>
      </w:pPr>
      <w:r w:rsidRPr="00F65024">
        <w:t>52.</w:t>
      </w:r>
      <w:r w:rsidRPr="00F65024">
        <w:tab/>
        <w:t xml:space="preserve">odnotowuje na podstawie kwestionariusza, że w 2024 r. Komitet nie padł ofiarą udanych cyberataków, ponieważ istniejące środki wykrywania i zapobiegania skutecznie powstrzymały wszystkie potencjalne zagrożenia; zauważa, że w 2024 r. Komitet podjął szereg działań mających na celu wzmocnienie ram </w:t>
      </w:r>
      <w:proofErr w:type="spellStart"/>
      <w:r w:rsidRPr="00F65024">
        <w:t>cyberbezpieczeństwa</w:t>
      </w:r>
      <w:proofErr w:type="spellEnd"/>
      <w:r w:rsidRPr="00F65024">
        <w:t xml:space="preserve"> i ochrony danych poprzez śledzenie na bieżąco najnowszych osiągnięć i najlepszych praktyk w tych obszarach; zauważa, że niektóre z tych działań obejmowały udział odpowiednich pracowników w szkoleniu „Świadomość naruszenia danych osobowych podczas postępowania w przypadku incydentów </w:t>
      </w:r>
      <w:proofErr w:type="spellStart"/>
      <w:r w:rsidRPr="00F65024">
        <w:t>cyberbezpieczeństwa</w:t>
      </w:r>
      <w:proofErr w:type="spellEnd"/>
      <w:r w:rsidRPr="00F65024">
        <w:t xml:space="preserve">” zorganizowanym przez Agencję Unii Europejskiej ds. </w:t>
      </w:r>
      <w:proofErr w:type="spellStart"/>
      <w:r w:rsidRPr="00F65024">
        <w:t>Cyberbezpieczeństwa</w:t>
      </w:r>
      <w:proofErr w:type="spellEnd"/>
      <w:r w:rsidRPr="00F65024">
        <w:t xml:space="preserve"> (ENISA) i EIOD, udział w Europejskim Miesiącu </w:t>
      </w:r>
      <w:proofErr w:type="spellStart"/>
      <w:r w:rsidRPr="00F65024">
        <w:t>Cyberbezpieczeństwa</w:t>
      </w:r>
      <w:proofErr w:type="spellEnd"/>
      <w:r w:rsidRPr="00F65024">
        <w:t xml:space="preserve"> 2024 oraz sesje informacyjne i osobiste szkolenia wprowadzające dla pracowników, zwłaszcza dla nowych pracowników; zachęca do kontynuowania tej praktyki, w tym do organizowania regularnych szkoleń z zakresu </w:t>
      </w:r>
      <w:proofErr w:type="spellStart"/>
      <w:r w:rsidRPr="00F65024">
        <w:t>cyberbezpieczeństwa</w:t>
      </w:r>
      <w:proofErr w:type="spellEnd"/>
      <w:r w:rsidRPr="00F65024">
        <w:t>; z zadowoleniem przyjmuje ponadto wprowadzenie uwierzytelniania dwuskładnikowego w celu zwiększenia bezpieczeństwa dostępu, migrację systemu zarządzania treścią strony internetowej Komitetu na nową platformę (</w:t>
      </w:r>
      <w:proofErr w:type="spellStart"/>
      <w:r w:rsidRPr="00F65024">
        <w:t>Drupal</w:t>
      </w:r>
      <w:proofErr w:type="spellEnd"/>
      <w:r w:rsidRPr="00F65024">
        <w:t xml:space="preserve">), która zapewnia lepszą odporność i zdolność adaptacji, a także dalszą ścisłą współpracę z CERT-UE w celu monitorowania zagrożeń w czasie rzeczywistym i ochrony przed rozproszonymi atakami </w:t>
      </w:r>
      <w:proofErr w:type="spellStart"/>
      <w:r w:rsidRPr="00F65024">
        <w:t>DDoS</w:t>
      </w:r>
      <w:proofErr w:type="spellEnd"/>
      <w:r w:rsidRPr="00F65024">
        <w:t xml:space="preserve">; odnotowuje, że Dyrekcja Innowacji i Technologii Informacyjnych zainicjowała </w:t>
      </w:r>
      <w:r w:rsidRPr="00F65024">
        <w:lastRenderedPageBreak/>
        <w:t xml:space="preserve">program transformacji cyfrowej i </w:t>
      </w:r>
      <w:proofErr w:type="spellStart"/>
      <w:r w:rsidRPr="00F65024">
        <w:t>cyberbezpieczeństwa</w:t>
      </w:r>
      <w:proofErr w:type="spellEnd"/>
      <w:r w:rsidRPr="00F65024">
        <w:t xml:space="preserve"> – zgodnie ze standardami unijnymi i międzynarodowymi, w tym rozporządzeniem Parlamentu Europejskiego i Rady (UE, </w:t>
      </w:r>
      <w:proofErr w:type="spellStart"/>
      <w:r w:rsidRPr="00F65024">
        <w:t>Euratom</w:t>
      </w:r>
      <w:proofErr w:type="spellEnd"/>
      <w:r w:rsidRPr="00F65024">
        <w:t>) 2023/2841</w:t>
      </w:r>
      <w:r w:rsidRPr="00F65024">
        <w:rPr>
          <w:vertAlign w:val="superscript"/>
        </w:rPr>
        <w:footnoteReference w:id="13"/>
      </w:r>
      <w:r w:rsidRPr="00F65024">
        <w:t xml:space="preserve">, ramami </w:t>
      </w:r>
      <w:proofErr w:type="spellStart"/>
      <w:r w:rsidRPr="00F65024">
        <w:t>cyberbezpieczeństwa</w:t>
      </w:r>
      <w:proofErr w:type="spellEnd"/>
      <w:r w:rsidRPr="00F65024">
        <w:t xml:space="preserve"> NIST i Open </w:t>
      </w:r>
      <w:proofErr w:type="spellStart"/>
      <w:r w:rsidRPr="00F65024">
        <w:t>Worldwide</w:t>
      </w:r>
      <w:proofErr w:type="spellEnd"/>
      <w:r w:rsidRPr="00F65024">
        <w:t xml:space="preserve"> Application Security Project (OWASP) – z myślą o wzmocnieniu odporności, zarządzani ryzykiem, ochrony danych i innych aspektów zarządzania w całym Komitecie;</w:t>
      </w:r>
    </w:p>
    <w:p w14:paraId="12FD391B" w14:textId="77777777" w:rsidR="00697D8B" w:rsidRPr="00F65024" w:rsidRDefault="00697D8B" w:rsidP="00697D8B">
      <w:pPr>
        <w:pStyle w:val="NormalHanging12a"/>
        <w:ind w:left="360"/>
        <w:rPr>
          <w:b/>
          <w:i/>
        </w:rPr>
      </w:pPr>
      <w:r w:rsidRPr="00F65024">
        <w:rPr>
          <w:b/>
          <w:i/>
        </w:rPr>
        <w:t>Budynki</w:t>
      </w:r>
    </w:p>
    <w:p w14:paraId="17847FC0" w14:textId="77777777" w:rsidR="00697D8B" w:rsidRPr="00F65024" w:rsidRDefault="00697D8B" w:rsidP="00697D8B">
      <w:pPr>
        <w:pStyle w:val="NormalHanging12a"/>
      </w:pPr>
      <w:r w:rsidRPr="00F65024">
        <w:t>53.</w:t>
      </w:r>
      <w:r w:rsidRPr="00F65024">
        <w:tab/>
        <w:t>zauważa, że budżet Komitetu na budynki i powiązane koszty (środki na rok bieżący) w 2024 r. wyniósł 18 963 mln EUR (w porównaniu z 18 594 mln EUR w 2023 r.), a wskaźnik wykonania płatności wyniósł 92 % (w porównaniu z 93,70 % w 2023 r.); z zadowoleniem odnotowuje, że Komitet zaoszczędził 108 000 EUR na usługach sprzątania w okresach, kiedy w budynkach Komitetu przebywało mniej osób;</w:t>
      </w:r>
    </w:p>
    <w:p w14:paraId="5125B267" w14:textId="77777777" w:rsidR="00697D8B" w:rsidRPr="00F65024" w:rsidRDefault="00697D8B" w:rsidP="00697D8B">
      <w:pPr>
        <w:pStyle w:val="NormalHanging12a"/>
      </w:pPr>
      <w:r w:rsidRPr="00F65024">
        <w:t>54.</w:t>
      </w:r>
      <w:r w:rsidRPr="00F65024">
        <w:tab/>
        <w:t xml:space="preserve">na podstawie sprawozdania rocznego odnotowuje konkluzję Komitetu, zgodnie z którą zrealizowano jeden z jego głównych priorytetów wyznaczonych w 2017 r., tj. „geograficzną koncentrację budynków”; odnotowuje opinię Komitetu, zgodnie z którą pomyślne wdrożenie nowego hybrydowego systemu pracy stwarza podstawy do dalszych oszczędności kosztów dzięki redukcji powierzchni; zauważa w tym kontekście, że pod koniec 2024 r. Komitet zainicjował projekt </w:t>
      </w:r>
      <w:proofErr w:type="spellStart"/>
      <w:r w:rsidRPr="00F65024">
        <w:t>SPaCES</w:t>
      </w:r>
      <w:proofErr w:type="spellEnd"/>
      <w:r w:rsidRPr="00F65024">
        <w:t xml:space="preserve"> mający na celu reorganizację zarówno praktyk roboczych, jak i przestrzeni roboczych w Komitecie, w tym poprzez zmianę wyposażenia pomieszczeń, a pierwszym krokiem realizacji projektu jest przeniesienie pracowników pracujących w budynku B100; zauważa, że w następstwie wspólnej decyzji Komitetu i EKES-u dzierżawa tego budynku zakończy się w sierpniu 2026 r.; zwraca się do Komitetu, by informował organ udzielający absolutorium o postępach poczynionych w tej sprawie;</w:t>
      </w:r>
    </w:p>
    <w:p w14:paraId="2E3A0877" w14:textId="77777777" w:rsidR="00697D8B" w:rsidRPr="00F65024" w:rsidRDefault="00697D8B" w:rsidP="00697D8B">
      <w:pPr>
        <w:pStyle w:val="NormalHanging12a"/>
      </w:pPr>
      <w:r w:rsidRPr="00F65024">
        <w:t>55.</w:t>
      </w:r>
      <w:r w:rsidRPr="00F65024">
        <w:tab/>
        <w:t>zauważa, że w 2024 r. kontynuowano prace renowacyjne w budynku VMA; na podstawie sprawozdania uzupełniającego zauważa, że inwestycje w inteligentne technologie zainstalowane w budynku VMA zapewnią wytrzymującą próbę czasu, elastyczną przestrzeń biurową i optymalny komfort użytkowania na różnych poziomach, co przyczyni się do dalszego zmniejszenia zużycia energii o około 13 000 EUR rocznie (na podstawie średnich cen energii elektrycznej i gazu w 2023 r.);</w:t>
      </w:r>
    </w:p>
    <w:p w14:paraId="0363780E" w14:textId="77777777" w:rsidR="00697D8B" w:rsidRPr="00F65024" w:rsidRDefault="00697D8B" w:rsidP="00697D8B">
      <w:pPr>
        <w:pStyle w:val="NormalHanging12a"/>
      </w:pPr>
      <w:r w:rsidRPr="00F65024">
        <w:t>56.</w:t>
      </w:r>
      <w:r w:rsidRPr="00F65024">
        <w:tab/>
        <w:t>z zadowoleniem przyjmuje zobowiązanie Komitetu i EKES-u do systematycznego stosowania zasady „projektowania dla wszystkich” w odniesieniu do ich infrastruktury, z zapewnieniem dostępności ich budynków już w fazie projektowania; zauważa, że Komitety podjęły szereg różnych środków, w tym udostępniły windy, by zapewnić dostępność swoich budynków osobom z różnymi rodzajami niepełnosprawności (osobom poruszającym się na wózkach inwalidzkich, osobom niewidomym i słabowidzącym, osobom niesłyszącym, osobom starszym z problemami mięśniowymi lub naczyniowymi);</w:t>
      </w:r>
    </w:p>
    <w:p w14:paraId="1A0154C1" w14:textId="77777777" w:rsidR="00697D8B" w:rsidRPr="00F65024" w:rsidRDefault="00697D8B" w:rsidP="00697D8B">
      <w:pPr>
        <w:pStyle w:val="NormalHanging12a"/>
        <w:ind w:left="360"/>
        <w:rPr>
          <w:b/>
          <w:i/>
        </w:rPr>
      </w:pPr>
      <w:r w:rsidRPr="00F65024">
        <w:rPr>
          <w:b/>
          <w:i/>
        </w:rPr>
        <w:t>Środowisko i zrównoważony rozwój</w:t>
      </w:r>
    </w:p>
    <w:p w14:paraId="401D3546" w14:textId="77777777" w:rsidR="00697D8B" w:rsidRPr="00F65024" w:rsidRDefault="00697D8B" w:rsidP="00697D8B">
      <w:pPr>
        <w:pStyle w:val="NormalHanging12a"/>
      </w:pPr>
      <w:r w:rsidRPr="00F65024">
        <w:lastRenderedPageBreak/>
        <w:t>57.</w:t>
      </w:r>
      <w:r w:rsidRPr="00F65024">
        <w:tab/>
        <w:t>zauważa, że w 2024 r. Komitet kontynuował wdrażanie szeregu ekologicznych praktyk, takich jak inwestycje w innowacyjne energooszczędne systemy oświetleniowe, liczniki energii, czujniki zainstalowane w krytycznych obiektach w celu monitorowania poziomów CO</w:t>
      </w:r>
      <w:r w:rsidRPr="00F65024">
        <w:rPr>
          <w:vertAlign w:val="subscript"/>
        </w:rPr>
        <w:t>2</w:t>
      </w:r>
      <w:r w:rsidRPr="00F65024">
        <w:t xml:space="preserve">, regulacja temperatury w budynkach (klimatyzacja, ogrzewanie) w zależności od pory roku oraz zakup w 100 % ekologicznej energii elektrycznej; zauważa, że Komitet stosuje kryteria środowiskowe we wszystkich procedurach przetargowych i klauzule zrównoważonego rozwoju w przypadku przetargów o wartości powyżej 25 000 EUR, a także niestandardowe klauzule w przypadku przetargów o dużym wpływie na środowisko lub o wartości powyżej 60 000 EUR; z zadowoleniem zauważa, że Komitet włącza aspekty środowiskowe do swojego systemu zarządzania ryzykiem i podstawowych procesów biznesowych oraz wyznaczył punkty kontaktowe systemu </w:t>
      </w:r>
      <w:proofErr w:type="spellStart"/>
      <w:r w:rsidRPr="00F65024">
        <w:t>ekozarządzania</w:t>
      </w:r>
      <w:proofErr w:type="spellEnd"/>
      <w:r w:rsidRPr="00F65024">
        <w:t xml:space="preserve"> i audytu (EMAS);</w:t>
      </w:r>
    </w:p>
    <w:p w14:paraId="3B918B02" w14:textId="77777777" w:rsidR="00697D8B" w:rsidRPr="00F65024" w:rsidRDefault="00697D8B" w:rsidP="00697D8B">
      <w:pPr>
        <w:pStyle w:val="NormalHanging12a"/>
      </w:pPr>
      <w:r w:rsidRPr="00F65024">
        <w:t>58.</w:t>
      </w:r>
      <w:r w:rsidRPr="00F65024">
        <w:tab/>
        <w:t>docenia zaangażowanie Komitetu w promowanie polityki zrównoważonej mobilności dla swoich pracowników; zauważa w tym kontekście, że w 2024 r. Komitet wprowadził ryczałtowy dodatek rowerowy w wysokości 100 EUR dla pracowników, którzy korzystają z roweru jako głównego środka dojazdu do pracy, zwiększył liczbę miejsc parkingowych dla rowerów oraz zorganizował śniadania i quizy poświęcone tematyce mobilności; na podstawie kwestionariusza zauważa, że od 2024 r. pracownicy mogą wnioskować o zwrot 50 % kosztów abonamentu na podróże pociągiem w drugiej klasie (do maksymalnej odległości 60 km);</w:t>
      </w:r>
    </w:p>
    <w:p w14:paraId="598E97A1" w14:textId="77777777" w:rsidR="00697D8B" w:rsidRPr="00F65024" w:rsidRDefault="00697D8B" w:rsidP="00697D8B">
      <w:pPr>
        <w:pStyle w:val="NormalHanging12a"/>
      </w:pPr>
      <w:r w:rsidRPr="00F65024">
        <w:t>59.</w:t>
      </w:r>
      <w:r w:rsidRPr="00F65024">
        <w:tab/>
        <w:t>z zadowoleniem odnotowuje na podstawie kwestionariusza, że dzięki środkom oszczędności energii zużycie energii przez Komitet zmniejszyło się szacunkowo o 3–4 % w 2024 r. w porównaniu z 2022 r.; zauważa, że Komitet przekroczył cele EMAS na 2024 r. we wszystkich obszarach (energia elektryczna, gaz, woda, odpady, sortowanie odpadów, papier do użytku biurowego, emisje CO</w:t>
      </w:r>
      <w:r w:rsidRPr="00F65024">
        <w:rPr>
          <w:vertAlign w:val="subscript"/>
        </w:rPr>
        <w:t>2</w:t>
      </w:r>
      <w:r w:rsidRPr="00F65024">
        <w:t>), przyjmując za punkt odniesienia rok 2019; zauważa, że w porównaniu z 2023 r. zużycie wody i papieru nieznacznie wzrosło w 2024 r., odpowiednio o 14 % i 1 %, podczas gdy emisje dwutlenku węgla z działalności administracyjnej Komitetu zmniejszyły się o 4,3 %, a zużycie energii elektrycznej i gazu zmniejszyło się odpowiednio o 5 % i 1 %, a produkcja odpadów również spadła o 12 %;</w:t>
      </w:r>
    </w:p>
    <w:p w14:paraId="4E5BD567" w14:textId="77777777" w:rsidR="00697D8B" w:rsidRPr="00634BA0" w:rsidRDefault="00697D8B" w:rsidP="00697D8B">
      <w:pPr>
        <w:pStyle w:val="NormalHanging12a"/>
        <w:ind w:left="720"/>
        <w:rPr>
          <w:b/>
          <w:bCs/>
          <w:i/>
          <w:iCs/>
        </w:rPr>
      </w:pPr>
      <w:r w:rsidRPr="00634BA0">
        <w:rPr>
          <w:b/>
          <w:i/>
          <w:iCs/>
        </w:rPr>
        <w:t xml:space="preserve">Współpraca międzyinstytucjonalna </w:t>
      </w:r>
    </w:p>
    <w:p w14:paraId="3416A90F" w14:textId="77777777" w:rsidR="00697D8B" w:rsidRPr="00F65024" w:rsidRDefault="00697D8B" w:rsidP="00697D8B">
      <w:pPr>
        <w:pStyle w:val="NormalHanging12a"/>
      </w:pPr>
      <w:r w:rsidRPr="00F65024">
        <w:t>60.</w:t>
      </w:r>
      <w:r w:rsidRPr="00F65024">
        <w:tab/>
        <w:t xml:space="preserve">z zadowoleniem przyjmuje odnowienie w 2024 r. umów o współpracy między Komitetem a Parlamentem i Komisją, które stanowią podstawę silniejszego zaangażowania instytucjonalnego Komitetu na wszystkich etapach procesu legislacyjnego Unii w różnych obszarach polityki (takich jak rozwój regionalny, polityka klimatyczna i spójność społeczna), wykraczających poza te o długiej historii współpracy; zauważa, że umowy te zawierają również bardziej rygorystyczne postanowienia dotyczące współpracy w zakresie ocen skutków terytorialnych; na podstawie kwestionariusza z zadowoleniem odnotowuje, że 13 października 2024 r. Konferencja Przewodniczących Komitetu spotkała się z wiceprzewodniczącym Parlamentu odpowiedzialnym za stosunki z Komitetem, aby omówić zacieśnienie współpracy, m.in. poprzez propagowanie wspólnych posiedzeń, zwłaszcza na szczeblu komisji i sprawozdawców, udział Komitetu w dyskusjach trójstronnych oraz współpracę logistyczną podczas prac prowadzonych w budynku SPAAK Parlamentu; zauważa, że w 2024 r. członkowie Komitetu spotkali się również z Radą i stałymi przedstawicielstwami oraz uczestniczyli w wydarzeniach organizowanych przez prezydencję Rady, aby zagwarantować, że stanowiska Komitetu znajdą </w:t>
      </w:r>
      <w:r w:rsidRPr="00F65024">
        <w:lastRenderedPageBreak/>
        <w:t>odzwierciedlenie w prawodawstwie Unii;</w:t>
      </w:r>
    </w:p>
    <w:p w14:paraId="646079B7" w14:textId="77777777" w:rsidR="00697D8B" w:rsidRPr="00F65024" w:rsidRDefault="00697D8B" w:rsidP="00697D8B">
      <w:pPr>
        <w:pStyle w:val="NormalHanging12a"/>
      </w:pPr>
      <w:r w:rsidRPr="00F65024">
        <w:t>61.</w:t>
      </w:r>
      <w:r w:rsidRPr="00F65024">
        <w:tab/>
        <w:t>z zadowoleniem przyjmuje oszczędności budżetowe i administracyjne uzyskane dzięki współpracy międzyinstytucjonalnej, a w szczególności ścisłej współpracy na szczeblu administracyjnym z EKES-em, wspólnie z którym Komitet korzysta z pomieszczeń i usług w dziedzinie tłumaczeń, infrastruktury, logistyki oraz IT, a także rejestru ochrony danych, w tym 470 pracowników i ponad 68 mln EUR (140 mln EUR, jeśli uwzględnić koszty związane z wynagrodzeniami) dostępnych łącznie dla obu instytucji w 2024 r.; z zadowoleniem przyjmuje fakt, że oszczędności te zostały przekierowane na działalność polityczną Komitetu, co wzmocniło jego zdolność do wykonywania mandatu; przyznaje, że wzrost wydajności i oszczędności budżetowe wynikające ze współpracy obu instytucji są znaczne, szacowane na dziesiątki milionów euro rocznie w porównaniu z sytuacją, w której każdy komitet świadczyłby te usługi niezależnie; ponawia swój apel o jak największe rozszerzenie tej współpracy, aż po utworzenie jednej administracji dla wspólnych służb, przy jednoczesnym zachowaniu odrębności służb i jednostek odpowiedzialnych za ich podstawowe niezależne zadania; zachęca Komitet i EKES do kontynuowania wysiłków na rzecz dalszego rozwijania współpracy i synergii;</w:t>
      </w:r>
    </w:p>
    <w:p w14:paraId="642A5671" w14:textId="77777777" w:rsidR="00697D8B" w:rsidRPr="00F65024" w:rsidRDefault="00697D8B" w:rsidP="00697D8B">
      <w:pPr>
        <w:pStyle w:val="NormalHanging12a"/>
      </w:pPr>
      <w:r w:rsidRPr="00F65024">
        <w:t>62.</w:t>
      </w:r>
      <w:r w:rsidRPr="00F65024">
        <w:tab/>
        <w:t>z zadowoleniem przyjmuje poszukiwanie przez Komitet synergii przez nabywanie usług od innych instytucji na podstawie umów o gwarantowanym poziomie usług oraz przez uczestnictwo w międzyinstytucjonalnych organach koordynacyjnych i międzyinstytucjonalnych procedurach udzielania zamówień; zauważa, że Komitet osiągnął znaczące synergie w dziedzinie wydarzeń i komunikacji, organizując w 2024 r. wspólnie z Komisją Europejski Tydzień Regionów i Miast oraz z Parlamentem, Radą i Komisją m.in. doroczną konferencję poświęconą komunikacji publicznej, „</w:t>
      </w:r>
      <w:proofErr w:type="spellStart"/>
      <w:r w:rsidRPr="00F65024">
        <w:t>EuroPCom</w:t>
      </w:r>
      <w:proofErr w:type="spellEnd"/>
      <w:r w:rsidRPr="00F65024">
        <w:t>”; z zadowoleniem przyjmuje połączenie w 2024 r. Europejskiej Sieci Radnych Lokalnych i Regionalnych Komitetu oraz sieci Komisji „Tworzenie Europy razem z samorządami lokalnymi” w jedną, wspólnie zarządzaną Sieć Samorządów UE;</w:t>
      </w:r>
    </w:p>
    <w:p w14:paraId="47431BA5" w14:textId="77777777" w:rsidR="00697D8B" w:rsidRPr="00F65024" w:rsidRDefault="00697D8B" w:rsidP="00697D8B">
      <w:pPr>
        <w:pStyle w:val="NormalHanging12a"/>
      </w:pPr>
      <w:r w:rsidRPr="00F65024">
        <w:t>63.</w:t>
      </w:r>
      <w:r w:rsidRPr="00F65024">
        <w:tab/>
        <w:t xml:space="preserve">zauważa, że Komitet współpracuje z Komisją (za roczną opłatą) w zakresie prowadzenia spraw kadrowych i korzystania z różnych platform informatycznych do zarządzania finansami i zasobami ludzkimi oraz że w 2024 r. Komisja przyjęła system informatyczny Komitetu o nazwie LORDIMAS jako kluczowe narzędzie informatyczne do pomiaru transformacji cyfrowej miast; zauważa ponadto, że Komitet organizuje swoje sesje plenarne w pomieszczeniach Parlamentu i Komisji, aby zrekompensować brak pojemności własnych </w:t>
      </w:r>
      <w:proofErr w:type="spellStart"/>
      <w:r w:rsidRPr="00F65024">
        <w:t>sal</w:t>
      </w:r>
      <w:proofErr w:type="spellEnd"/>
      <w:r w:rsidRPr="00F65024">
        <w:t xml:space="preserve"> konferencyjnych, oraz że kupuje usługi tłumaczeń ustnych od tych dwóch instytucji;</w:t>
      </w:r>
    </w:p>
    <w:p w14:paraId="748866AC" w14:textId="77777777" w:rsidR="00697D8B" w:rsidRPr="00F65024" w:rsidRDefault="00697D8B" w:rsidP="00697D8B">
      <w:pPr>
        <w:pStyle w:val="NormalHanging12a"/>
        <w:ind w:left="360"/>
        <w:rPr>
          <w:b/>
          <w:i/>
        </w:rPr>
      </w:pPr>
      <w:r w:rsidRPr="00F65024">
        <w:rPr>
          <w:b/>
          <w:i/>
        </w:rPr>
        <w:t>Komunikacja</w:t>
      </w:r>
    </w:p>
    <w:p w14:paraId="2FD7DD9B" w14:textId="77777777" w:rsidR="00697D8B" w:rsidRPr="00F65024" w:rsidRDefault="00697D8B" w:rsidP="00697D8B">
      <w:pPr>
        <w:pStyle w:val="NormalHanging12a"/>
      </w:pPr>
      <w:r w:rsidRPr="00F65024">
        <w:t>64.</w:t>
      </w:r>
      <w:r w:rsidRPr="00F65024">
        <w:tab/>
        <w:t>zauważa, że działania komunikacyjne Komitetu koncentrują się na relacjach z prasą, organizacji wydarzeń oraz treściach cyfrowych i mediach społecznościowych, a całkowity budżet (środki na bieżący rok) wynosi około 2,3 mln EUR w 2024 r., tj. o około 500 000 EUR mniej niż w 2023 r.; na podstawie sprawozdania uzupełniającego zauważa, że niedofinansowanie operacji komunikacyjnych uzależnia Komitet od przesunięć na koniec roku i środków C8, co wyjaśnia niski wskaźnik wykonania budżetu (48,20 %) w odniesieniu do środków C1 i wysoki wskaźnik wykonania (98,90 %) w odniesieniu do środków C8 w 2024 r. w odniesieniu do pozycji budżetowej 2 6 „Ekspertyzy i [...] dystrybucja”;</w:t>
      </w:r>
    </w:p>
    <w:p w14:paraId="075D4660" w14:textId="77777777" w:rsidR="00697D8B" w:rsidRPr="00F65024" w:rsidRDefault="00697D8B" w:rsidP="00697D8B">
      <w:pPr>
        <w:pStyle w:val="NormalHanging12a"/>
      </w:pPr>
      <w:r w:rsidRPr="00F65024">
        <w:lastRenderedPageBreak/>
        <w:t>65.</w:t>
      </w:r>
      <w:r w:rsidRPr="00F65024">
        <w:tab/>
        <w:t xml:space="preserve">z zadowoleniem odnotowuje osiągnięcia Komitetu w promowaniu strategii politycznych i programów Unii na szczeblu lokalnym i regionalnym, poprawie zasięgu jego prac konsultacyjnych oraz zwiększeniu jego widoczności i oddziaływania; zauważa, że w 2024 r. Komitet był organizatorem, gospodarzem lub podmiotem wspierającym w przypadku 33 lokalnych dialogów UE, 53 sesji </w:t>
      </w:r>
      <w:proofErr w:type="spellStart"/>
      <w:r w:rsidRPr="00F65024">
        <w:t>EURegionsWeek</w:t>
      </w:r>
      <w:proofErr w:type="spellEnd"/>
      <w:r w:rsidRPr="00F65024">
        <w:t xml:space="preserve"> i 47 wydarzeń; zwraca w szczególności uwagę na 10. Europejski Szczyt Regionów i Miast poświęcony kształtowaniu programu działań na rzecz przyszłości Unii, w którym udział wzięło ponad 7 000 uczestników; – Europejski Tydzień Regionów i Miast poświęcony funduszom spójności w kolejnych WRF, z udziałem ponad 2 500 uczestników; – 11. konferencja na temat pomocniczości, poświęcona kwestii lepszego stanowienia prawa i pomocniczości w kontekście kolejnych WRF; – program Young </w:t>
      </w:r>
      <w:proofErr w:type="spellStart"/>
      <w:r w:rsidRPr="00F65024">
        <w:t>Elected</w:t>
      </w:r>
      <w:proofErr w:type="spellEnd"/>
      <w:r w:rsidRPr="00F65024">
        <w:t xml:space="preserve"> </w:t>
      </w:r>
      <w:proofErr w:type="spellStart"/>
      <w:r w:rsidRPr="00F65024">
        <w:t>Politicians</w:t>
      </w:r>
      <w:proofErr w:type="spellEnd"/>
      <w:r w:rsidRPr="00F65024">
        <w:t xml:space="preserve"> (YEP) 2024, w którym wzięło udział ponad 150 uczestników ze wszystkich państw członkowskich i ośmiu krajów kandydujących; – </w:t>
      </w:r>
      <w:r w:rsidRPr="00F65024">
        <w:rPr>
          <w:vertAlign w:val="superscript"/>
        </w:rPr>
        <w:t>15.</w:t>
      </w:r>
      <w:r w:rsidRPr="00F65024">
        <w:t xml:space="preserve"> edycja Europejskiej Konferencji Komunikacji Publicznej (</w:t>
      </w:r>
      <w:proofErr w:type="spellStart"/>
      <w:r w:rsidRPr="00F65024">
        <w:t>EuroPCom</w:t>
      </w:r>
      <w:proofErr w:type="spellEnd"/>
      <w:r w:rsidRPr="00F65024">
        <w:t>) poświęcona sztucznej inteligencji i nowym trendom w komunikacji publicznej, z udziałem 3200 uczestników i widzów z 55 krajów; odnotowuje, że Komitet 74 razy promował swoją pracę i poglądy na spotkaniach lub wydarzeniach z udziałem innych instytucji unijnych;</w:t>
      </w:r>
    </w:p>
    <w:p w14:paraId="206173CB" w14:textId="77777777" w:rsidR="00697D8B" w:rsidRPr="00F65024" w:rsidRDefault="00697D8B" w:rsidP="00697D8B">
      <w:pPr>
        <w:pStyle w:val="NormalHanging12a"/>
        <w:rPr>
          <w:b/>
          <w:bCs/>
          <w:i/>
          <w:iCs/>
          <w:szCs w:val="24"/>
        </w:rPr>
      </w:pPr>
      <w:r w:rsidRPr="00F65024">
        <w:t>66.</w:t>
      </w:r>
      <w:r w:rsidRPr="00F65024">
        <w:tab/>
        <w:t>wyraża uznanie dla Komitetu za jego działania na rzecz zwiększenia dostępności i historycznej ochrony informacji poprzez: – udostępnienie wszystkich jego dokumentów i publikacji w jednej scentralizowanej lokalizacji za pośrednictwem widżetów Urzędu Publikacji wdrożonych na zewnętrznej stronie internetowej Komitetu w 2024 r.; – wprowadzenie w 2024 r. platformy „</w:t>
      </w:r>
      <w:proofErr w:type="spellStart"/>
      <w:r w:rsidRPr="00F65024">
        <w:t>Panoramic</w:t>
      </w:r>
      <w:proofErr w:type="spellEnd"/>
      <w:r w:rsidRPr="00F65024">
        <w:t xml:space="preserve"> AI” opartej na sztucznej inteligencji, która oferuje ulepszony, przyjazny dla użytkownika dostęp do treści instytucjonalnych (odpowiednich dokumentów, prezentacji, dyskusji); – migrację kompletnego archiwum zewnętrznych komunikatów prasowych i wiadomości Komitetu do </w:t>
      </w:r>
      <w:proofErr w:type="spellStart"/>
      <w:r w:rsidRPr="00F65024">
        <w:t>newsroomu</w:t>
      </w:r>
      <w:proofErr w:type="spellEnd"/>
      <w:r w:rsidRPr="00F65024">
        <w:t xml:space="preserve"> Dyrekcji Generalnej ds. Sieci Komunikacyjnych, Treści i Technologii; – przekazanie po raz pierwszy archiwów historycznych Komitetu do archiwum historycznego Unii we Florencji;</w:t>
      </w:r>
    </w:p>
    <w:p w14:paraId="55A3FEF2" w14:textId="77777777" w:rsidR="00697D8B" w:rsidRPr="00F65024" w:rsidRDefault="00697D8B" w:rsidP="00697D8B">
      <w:pPr>
        <w:pStyle w:val="NormalHanging12a"/>
      </w:pPr>
      <w:r w:rsidRPr="00F65024">
        <w:t>67.</w:t>
      </w:r>
      <w:r w:rsidRPr="00F65024">
        <w:tab/>
        <w:t>na podstawie sprawozdania na temat skutków opinii i sprawozdania rocznego uznaje wkład Komitetu w kampanię komunikacyjną Parlamentu Europejskiego przed wyborami europejskimi w 2024 r. poprzez zaangażowanie sieci 750 młodych osób z mandatem wyborczym, promowanie materiałów Parlamentu, tworzenie filmów wideo z udziałem członków Komitetu, poświęcenie strony internetowej Komitetu i tworzenie innych treści wizualnych promowanych w mediach społecznościowych, które dotarły do użytkowników prawie 5 mln kont; z zadowoleniem przyjmuje te wysiłki na rzecz angażowania szerokiego i zróżnicowanego grona odbiorców w całej Unii oraz poszerzania wiedzy o wyborach europejskich w 2024 r.; podkreśla, że taka współpraca międzyinstytucjonalna w zakresie polityki Unii, w szczególności dotycząca działalności Parlamentu, odgrywa ważną rolę w docieraniu do obywateli we wszystkich regionach Unii, zwiększaniu demokratycznego uczestnictwa i wzmacnianiu legitymacji demokratycznej Unii;</w:t>
      </w:r>
    </w:p>
    <w:p w14:paraId="0F787FB4" w14:textId="77777777" w:rsidR="00697D8B" w:rsidRPr="00F65024" w:rsidRDefault="00697D8B" w:rsidP="00697D8B">
      <w:pPr>
        <w:pStyle w:val="NormalHanging12a"/>
      </w:pPr>
      <w:r w:rsidRPr="00F65024">
        <w:t>68.</w:t>
      </w:r>
      <w:r w:rsidRPr="00F65024">
        <w:tab/>
        <w:t>na podstawie sprawozdania rocznego odnotowuje sukces Komitetu w sferze kontaktów z mediami, o czym świadczą ogólne wskaźniki za 2024 r., takie jak: wzrost liczby odwiedzających strony internetowe o 28 %, wzrost liczby obserwujących o 11,60 % i wzrost cyfrowego ruchu organicznego o 16 %;</w:t>
      </w:r>
    </w:p>
    <w:p w14:paraId="1CC7E48D" w14:textId="7E49FDA6" w:rsidR="00697D8B" w:rsidRPr="00F65024" w:rsidRDefault="00697D8B" w:rsidP="00697D8B">
      <w:pPr>
        <w:pStyle w:val="NormalHanging12a"/>
      </w:pPr>
      <w:r w:rsidRPr="00F65024">
        <w:t>69.</w:t>
      </w:r>
      <w:r w:rsidRPr="00F65024">
        <w:tab/>
        <w:t>zauważa, że Komitet nie uczestniczył w Tygodniu Romów w 2024 r.</w:t>
      </w:r>
      <w:r w:rsidR="00634BA0">
        <w:t>;</w:t>
      </w:r>
    </w:p>
    <w:p w14:paraId="3B97A5A0" w14:textId="1BAA589B" w:rsidR="003F7E4A" w:rsidRPr="00F65024" w:rsidRDefault="00697D8B" w:rsidP="003F7E4A">
      <w:pPr>
        <w:pStyle w:val="NormalHanging12a"/>
      </w:pPr>
      <w:r w:rsidRPr="00F65024">
        <w:lastRenderedPageBreak/>
        <w:t>70.</w:t>
      </w:r>
      <w:r w:rsidRPr="00F65024">
        <w:tab/>
        <w:t>podkreśla, że cała strategia komunikacyjna Komitetu ma na celu zwiększenie jego widoczności instytucjonalnej i pozycji politycznej jako organu przedstawicielskiego regionów, miast i gmin Unii oraz przedstawianie roli jego członków we wprowadzaniu polityki Unii w życie obywateli na szczeblu lokalnym i regionalnym.</w:t>
      </w:r>
    </w:p>
    <w:p w14:paraId="2AC5D918" w14:textId="0969E53D" w:rsidR="00E365E1" w:rsidRPr="00F65024" w:rsidRDefault="00E365E1" w:rsidP="004C149B"/>
    <w:sectPr w:rsidR="00E365E1" w:rsidRPr="00F65024" w:rsidSect="003F7E4A">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18E45" w14:textId="77777777" w:rsidR="004C149B" w:rsidRPr="003F7E4A" w:rsidRDefault="004C149B">
      <w:r w:rsidRPr="003F7E4A">
        <w:separator/>
      </w:r>
    </w:p>
  </w:endnote>
  <w:endnote w:type="continuationSeparator" w:id="0">
    <w:p w14:paraId="3FA845D2" w14:textId="77777777" w:rsidR="004C149B" w:rsidRPr="003F7E4A" w:rsidRDefault="004C149B">
      <w:r w:rsidRPr="003F7E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D5A6" w14:textId="77777777" w:rsidR="00697D8B" w:rsidRPr="003F7E4A" w:rsidRDefault="00697D8B" w:rsidP="0002353B">
    <w:pPr>
      <w:pStyle w:val="EPFooter"/>
    </w:pPr>
    <w:r w:rsidRPr="003F7E4A">
      <w:t>PE</w:t>
    </w:r>
    <w:r w:rsidRPr="003F7E4A">
      <w:rPr>
        <w:rStyle w:val="HideTWBExt"/>
      </w:rPr>
      <w:t>&lt;</w:t>
    </w:r>
    <w:proofErr w:type="spellStart"/>
    <w:r w:rsidRPr="003F7E4A">
      <w:rPr>
        <w:rStyle w:val="HideTWBExt"/>
      </w:rPr>
      <w:t>NoPE</w:t>
    </w:r>
    <w:proofErr w:type="spellEnd"/>
    <w:r w:rsidRPr="003F7E4A">
      <w:rPr>
        <w:rStyle w:val="HideTWBExt"/>
      </w:rPr>
      <w:t>&gt;</w:t>
    </w:r>
    <w:r w:rsidRPr="003F7E4A">
      <w:t>778.064</w:t>
    </w:r>
    <w:r w:rsidRPr="003F7E4A">
      <w:rPr>
        <w:rStyle w:val="HideTWBExt"/>
      </w:rPr>
      <w:t>&lt;/</w:t>
    </w:r>
    <w:proofErr w:type="spellStart"/>
    <w:r w:rsidRPr="003F7E4A">
      <w:rPr>
        <w:rStyle w:val="HideTWBExt"/>
      </w:rPr>
      <w:t>NoPE</w:t>
    </w:r>
    <w:proofErr w:type="spellEnd"/>
    <w:r w:rsidRPr="003F7E4A">
      <w:rPr>
        <w:rStyle w:val="HideTWBExt"/>
      </w:rPr>
      <w:t>&gt;&lt;Version&gt;</w:t>
    </w:r>
    <w:r w:rsidRPr="003F7E4A">
      <w:t>v02-00</w:t>
    </w:r>
    <w:r w:rsidRPr="003F7E4A">
      <w:rPr>
        <w:rStyle w:val="HideTWBExt"/>
      </w:rPr>
      <w:t>&lt;/Version&gt;</w:t>
    </w:r>
    <w:r w:rsidRPr="003F7E4A">
      <w:tab/>
    </w:r>
    <w:r w:rsidRPr="003F7E4A">
      <w:fldChar w:fldCharType="begin"/>
    </w:r>
    <w:r w:rsidRPr="003F7E4A">
      <w:instrText xml:space="preserve"> PAGE  \* MERGEFORMAT </w:instrText>
    </w:r>
    <w:r w:rsidRPr="003F7E4A">
      <w:fldChar w:fldCharType="separate"/>
    </w:r>
    <w:r w:rsidRPr="003F7E4A">
      <w:rPr>
        <w:noProof/>
      </w:rPr>
      <w:t>2</w:t>
    </w:r>
    <w:r w:rsidRPr="003F7E4A">
      <w:fldChar w:fldCharType="end"/>
    </w:r>
    <w:r w:rsidRPr="003F7E4A">
      <w:t>/</w:t>
    </w:r>
    <w:fldSimple w:instr=" NUMPAGES  \* MERGEFORMAT ">
      <w:r w:rsidRPr="003F7E4A">
        <w:rPr>
          <w:noProof/>
        </w:rPr>
        <w:t>27</w:t>
      </w:r>
    </w:fldSimple>
    <w:r w:rsidRPr="003F7E4A">
      <w:tab/>
    </w:r>
    <w:r w:rsidRPr="003F7E4A">
      <w:rPr>
        <w:rStyle w:val="HideTWBExt"/>
      </w:rPr>
      <w:t>&lt;PathFdR&gt;</w:t>
    </w:r>
    <w:r w:rsidRPr="003F7E4A">
      <w:t>RR\1339441PL.docx</w:t>
    </w:r>
    <w:r w:rsidRPr="003F7E4A">
      <w:rPr>
        <w:rStyle w:val="HideTWBExt"/>
      </w:rPr>
      <w:t>&lt;/</w:t>
    </w:r>
    <w:proofErr w:type="spellStart"/>
    <w:r w:rsidRPr="003F7E4A">
      <w:rPr>
        <w:rStyle w:val="HideTWBExt"/>
      </w:rPr>
      <w:t>PathFdR</w:t>
    </w:r>
    <w:proofErr w:type="spellEnd"/>
    <w:r w:rsidRPr="003F7E4A">
      <w:rPr>
        <w:rStyle w:val="HideTWBExt"/>
      </w:rPr>
      <w:t>&gt;</w:t>
    </w:r>
  </w:p>
  <w:p w14:paraId="126CFAB4" w14:textId="77777777" w:rsidR="00697D8B" w:rsidRPr="003F7E4A" w:rsidRDefault="00697D8B" w:rsidP="0002353B">
    <w:pPr>
      <w:pStyle w:val="EPFooter2"/>
    </w:pPr>
    <w:r w:rsidRPr="003F7E4A">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0386" w14:textId="3A585403" w:rsidR="00697D8B" w:rsidRPr="003F7E4A" w:rsidRDefault="00697D8B" w:rsidP="0002353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D2AAA" w14:textId="77777777" w:rsidR="00697D8B" w:rsidRPr="003F7E4A" w:rsidRDefault="00697D8B" w:rsidP="0002353B">
    <w:pPr>
      <w:pStyle w:val="EPFooter"/>
    </w:pPr>
    <w:r w:rsidRPr="003F7E4A">
      <w:rPr>
        <w:rStyle w:val="HideTWBExt"/>
      </w:rPr>
      <w:t>&lt;PathFdR&gt;</w:t>
    </w:r>
    <w:r w:rsidRPr="003F7E4A">
      <w:t>RR\1339441PL.docx</w:t>
    </w:r>
    <w:r w:rsidRPr="003F7E4A">
      <w:rPr>
        <w:rStyle w:val="HideTWBExt"/>
      </w:rPr>
      <w:t>&lt;/</w:t>
    </w:r>
    <w:proofErr w:type="spellStart"/>
    <w:r w:rsidRPr="003F7E4A">
      <w:rPr>
        <w:rStyle w:val="HideTWBExt"/>
      </w:rPr>
      <w:t>PathFdR</w:t>
    </w:r>
    <w:proofErr w:type="spellEnd"/>
    <w:r w:rsidRPr="003F7E4A">
      <w:rPr>
        <w:rStyle w:val="HideTWBExt"/>
      </w:rPr>
      <w:t>&gt;</w:t>
    </w:r>
    <w:r w:rsidRPr="003F7E4A">
      <w:tab/>
    </w:r>
    <w:r w:rsidRPr="003F7E4A">
      <w:tab/>
      <w:t>PE</w:t>
    </w:r>
    <w:r w:rsidRPr="003F7E4A">
      <w:rPr>
        <w:rStyle w:val="HideTWBExt"/>
      </w:rPr>
      <w:t>&lt;</w:t>
    </w:r>
    <w:proofErr w:type="spellStart"/>
    <w:r w:rsidRPr="003F7E4A">
      <w:rPr>
        <w:rStyle w:val="HideTWBExt"/>
      </w:rPr>
      <w:t>NoPE</w:t>
    </w:r>
    <w:proofErr w:type="spellEnd"/>
    <w:r w:rsidRPr="003F7E4A">
      <w:rPr>
        <w:rStyle w:val="HideTWBExt"/>
      </w:rPr>
      <w:t>&gt;</w:t>
    </w:r>
    <w:r w:rsidRPr="003F7E4A">
      <w:t>778.064</w:t>
    </w:r>
    <w:r w:rsidRPr="003F7E4A">
      <w:rPr>
        <w:rStyle w:val="HideTWBExt"/>
      </w:rPr>
      <w:t>&lt;/</w:t>
    </w:r>
    <w:proofErr w:type="spellStart"/>
    <w:r w:rsidRPr="003F7E4A">
      <w:rPr>
        <w:rStyle w:val="HideTWBExt"/>
      </w:rPr>
      <w:t>NoPE</w:t>
    </w:r>
    <w:proofErr w:type="spellEnd"/>
    <w:r w:rsidRPr="003F7E4A">
      <w:rPr>
        <w:rStyle w:val="HideTWBExt"/>
      </w:rPr>
      <w:t>&gt;&lt;Version&gt;</w:t>
    </w:r>
    <w:r w:rsidRPr="003F7E4A">
      <w:t>v02-00</w:t>
    </w:r>
    <w:r w:rsidRPr="003F7E4A">
      <w:rPr>
        <w:rStyle w:val="HideTWBExt"/>
      </w:rPr>
      <w:t>&lt;/Version&gt;</w:t>
    </w:r>
  </w:p>
  <w:p w14:paraId="4FEAC061" w14:textId="77777777" w:rsidR="00697D8B" w:rsidRPr="003F7E4A" w:rsidRDefault="00697D8B" w:rsidP="0002353B">
    <w:pPr>
      <w:pStyle w:val="EPFooter2"/>
    </w:pPr>
    <w:r w:rsidRPr="003F7E4A">
      <w:t>PL</w:t>
    </w:r>
    <w:r w:rsidRPr="003F7E4A">
      <w:tab/>
    </w:r>
    <w:r w:rsidRPr="003F7E4A">
      <w:rPr>
        <w:b w:val="0"/>
        <w:i/>
        <w:color w:val="C0C0C0"/>
        <w:sz w:val="22"/>
      </w:rPr>
      <w:t>Zjednoczona w różnorodności</w:t>
    </w:r>
    <w:r w:rsidRPr="003F7E4A">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7986" w14:textId="77777777" w:rsidR="00064002" w:rsidRPr="003F7E4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2E98" w14:textId="77777777" w:rsidR="00064002" w:rsidRPr="003F7E4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4B42" w14:textId="77777777" w:rsidR="00064002" w:rsidRPr="003F7E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123A" w14:textId="77777777" w:rsidR="004C149B" w:rsidRPr="003F7E4A" w:rsidRDefault="004C149B">
      <w:r w:rsidRPr="003F7E4A">
        <w:separator/>
      </w:r>
    </w:p>
  </w:footnote>
  <w:footnote w:type="continuationSeparator" w:id="0">
    <w:p w14:paraId="16F32BF1" w14:textId="77777777" w:rsidR="004C149B" w:rsidRPr="003F7E4A" w:rsidRDefault="004C149B">
      <w:r w:rsidRPr="003F7E4A">
        <w:continuationSeparator/>
      </w:r>
    </w:p>
  </w:footnote>
  <w:footnote w:id="1">
    <w:p w14:paraId="643F86C8" w14:textId="64D95BA3" w:rsidR="00697D8B" w:rsidRPr="00634BA0" w:rsidRDefault="00697D8B" w:rsidP="003F7E4A">
      <w:pPr>
        <w:pStyle w:val="FootnoteText"/>
        <w:ind w:left="567" w:hanging="567"/>
        <w:rPr>
          <w:sz w:val="24"/>
          <w:lang w:val="fi-FI"/>
        </w:rPr>
      </w:pPr>
      <w:r w:rsidRPr="003F7E4A">
        <w:rPr>
          <w:rStyle w:val="FootnoteReference"/>
          <w:sz w:val="24"/>
          <w:lang w:val="pl-PL"/>
        </w:rPr>
        <w:footnoteRef/>
      </w:r>
      <w:r w:rsidR="003F7E4A" w:rsidRPr="00634BA0">
        <w:rPr>
          <w:sz w:val="24"/>
          <w:lang w:val="fi-FI"/>
        </w:rPr>
        <w:t xml:space="preserve"> </w:t>
      </w:r>
      <w:r w:rsidR="003F7E4A" w:rsidRPr="00634BA0">
        <w:rPr>
          <w:sz w:val="24"/>
          <w:lang w:val="fi-FI"/>
        </w:rPr>
        <w:tab/>
      </w:r>
      <w:proofErr w:type="spellStart"/>
      <w:r w:rsidRPr="00634BA0">
        <w:rPr>
          <w:sz w:val="24"/>
          <w:lang w:val="fi-FI"/>
        </w:rPr>
        <w:t>Dz.U</w:t>
      </w:r>
      <w:proofErr w:type="spellEnd"/>
      <w:r w:rsidRPr="00634BA0">
        <w:rPr>
          <w:sz w:val="24"/>
          <w:lang w:val="fi-FI"/>
        </w:rPr>
        <w:t>. L</w:t>
      </w:r>
      <w:r w:rsidR="00634BA0" w:rsidRPr="00634BA0">
        <w:rPr>
          <w:sz w:val="24"/>
          <w:lang w:val="fi-FI"/>
        </w:rPr>
        <w:t>, 2024/</w:t>
      </w:r>
      <w:r w:rsidRPr="00634BA0">
        <w:rPr>
          <w:sz w:val="24"/>
          <w:lang w:val="fi-FI"/>
        </w:rPr>
        <w:t>207</w:t>
      </w:r>
      <w:r w:rsidR="00634BA0" w:rsidRPr="00634BA0">
        <w:rPr>
          <w:sz w:val="24"/>
          <w:lang w:val="fi-FI"/>
        </w:rPr>
        <w:t>,</w:t>
      </w:r>
      <w:r w:rsidRPr="00634BA0">
        <w:rPr>
          <w:sz w:val="24"/>
          <w:lang w:val="fi-FI"/>
        </w:rPr>
        <w:t xml:space="preserve"> 22.2.2024, ELI: </w:t>
      </w:r>
      <w:hyperlink r:id="rId1" w:history="1">
        <w:r w:rsidRPr="00634BA0">
          <w:rPr>
            <w:rStyle w:val="Hyperlink"/>
            <w:sz w:val="24"/>
            <w:lang w:val="fi-FI"/>
          </w:rPr>
          <w:t>http://data.europa.eu/eli/budget/2024/207/oj</w:t>
        </w:r>
      </w:hyperlink>
      <w:r w:rsidRPr="00634BA0">
        <w:rPr>
          <w:sz w:val="24"/>
          <w:lang w:val="fi-FI"/>
        </w:rPr>
        <w:t>.</w:t>
      </w:r>
    </w:p>
  </w:footnote>
  <w:footnote w:id="2">
    <w:p w14:paraId="74228FB4" w14:textId="2FE063DD" w:rsidR="00697D8B" w:rsidRPr="003F7E4A" w:rsidRDefault="00697D8B" w:rsidP="003F7E4A">
      <w:pPr>
        <w:pStyle w:val="FootnoteText"/>
        <w:ind w:left="567" w:hanging="567"/>
        <w:rPr>
          <w:sz w:val="24"/>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Dz.U. C, C/2025/4944, 13.10.2025, ELI: </w:t>
      </w:r>
      <w:hyperlink r:id="rId2" w:tgtFrame="_blank" w:tooltip="Dostęp do dokumentu poprzez identyfikator URI w systemie ELI." w:history="1">
        <w:r w:rsidRPr="003F7E4A">
          <w:rPr>
            <w:rStyle w:val="Hyperlink"/>
            <w:sz w:val="24"/>
            <w:lang w:val="pl-PL"/>
          </w:rPr>
          <w:t>http://data.europa.eu/eli/C/2025/4944/oj</w:t>
        </w:r>
      </w:hyperlink>
      <w:r w:rsidRPr="003F7E4A">
        <w:rPr>
          <w:sz w:val="24"/>
          <w:lang w:val="pl-PL"/>
        </w:rPr>
        <w:t>.</w:t>
      </w:r>
    </w:p>
  </w:footnote>
  <w:footnote w:id="3">
    <w:p w14:paraId="6CEFDF8E" w14:textId="7191EDAE" w:rsidR="00697D8B" w:rsidRPr="00F65024" w:rsidRDefault="00697D8B" w:rsidP="003F7E4A">
      <w:pPr>
        <w:pStyle w:val="FootnoteText"/>
        <w:ind w:left="567" w:hanging="567"/>
        <w:rPr>
          <w:sz w:val="24"/>
          <w:lang w:val="fi-FI"/>
        </w:rPr>
      </w:pPr>
      <w:r w:rsidRPr="003F7E4A">
        <w:rPr>
          <w:rStyle w:val="FootnoteReference"/>
          <w:sz w:val="24"/>
          <w:lang w:val="pl-PL"/>
        </w:rPr>
        <w:footnoteRef/>
      </w:r>
      <w:r w:rsidR="003F7E4A" w:rsidRPr="00F65024">
        <w:rPr>
          <w:sz w:val="24"/>
          <w:lang w:val="fi-FI"/>
        </w:rPr>
        <w:t xml:space="preserve"> </w:t>
      </w:r>
      <w:r w:rsidR="003F7E4A" w:rsidRPr="00F65024">
        <w:rPr>
          <w:sz w:val="24"/>
          <w:lang w:val="fi-FI"/>
        </w:rPr>
        <w:tab/>
      </w:r>
      <w:r w:rsidRPr="00F65024">
        <w:rPr>
          <w:sz w:val="24"/>
          <w:lang w:val="fi-FI"/>
        </w:rPr>
        <w:t>Dz.U. C</w:t>
      </w:r>
      <w:r w:rsidR="002B0B4F" w:rsidRPr="002B0B4F">
        <w:rPr>
          <w:sz w:val="24"/>
          <w:lang w:val="fi-FI"/>
        </w:rPr>
        <w:t>, C</w:t>
      </w:r>
      <w:r w:rsidRPr="00F65024">
        <w:rPr>
          <w:sz w:val="24"/>
          <w:lang w:val="fi-FI"/>
        </w:rPr>
        <w:t xml:space="preserve">/2025/5409, 8.10.2025, ELI: </w:t>
      </w:r>
      <w:hyperlink r:id="rId3" w:history="1">
        <w:r w:rsidRPr="00F65024">
          <w:rPr>
            <w:rStyle w:val="Hyperlink"/>
            <w:sz w:val="24"/>
            <w:lang w:val="fi-FI"/>
          </w:rPr>
          <w:t>http://data.europa.eu/eli/C/2025/5409/oj</w:t>
        </w:r>
      </w:hyperlink>
      <w:r w:rsidRPr="00F65024">
        <w:rPr>
          <w:sz w:val="24"/>
          <w:lang w:val="fi-FI"/>
        </w:rPr>
        <w:t>.</w:t>
      </w:r>
    </w:p>
  </w:footnote>
  <w:footnote w:id="4">
    <w:p w14:paraId="49602B78" w14:textId="219F31B2" w:rsidR="00697D8B" w:rsidRPr="00F65024" w:rsidRDefault="00697D8B" w:rsidP="003F7E4A">
      <w:pPr>
        <w:pStyle w:val="FootnoteText"/>
        <w:ind w:left="567" w:hanging="567"/>
        <w:rPr>
          <w:sz w:val="24"/>
          <w:lang w:val="fi-FI"/>
        </w:rPr>
      </w:pPr>
      <w:r w:rsidRPr="003F7E4A">
        <w:rPr>
          <w:rStyle w:val="FootnoteReference"/>
          <w:sz w:val="24"/>
          <w:lang w:val="pl-PL"/>
        </w:rPr>
        <w:footnoteRef/>
      </w:r>
      <w:r w:rsidR="003F7E4A" w:rsidRPr="00F65024">
        <w:rPr>
          <w:sz w:val="24"/>
          <w:lang w:val="fi-FI"/>
        </w:rPr>
        <w:t xml:space="preserve"> </w:t>
      </w:r>
      <w:r w:rsidR="003F7E4A" w:rsidRPr="00F65024">
        <w:rPr>
          <w:sz w:val="24"/>
          <w:lang w:val="fi-FI"/>
        </w:rPr>
        <w:tab/>
      </w:r>
      <w:r w:rsidRPr="00F65024">
        <w:rPr>
          <w:sz w:val="24"/>
          <w:lang w:val="fi-FI"/>
        </w:rPr>
        <w:t xml:space="preserve">Dz.U. C, C/2025/5407, 13.10.2025, ELI: </w:t>
      </w:r>
      <w:hyperlink r:id="rId4" w:history="1">
        <w:r w:rsidRPr="00F65024">
          <w:rPr>
            <w:rStyle w:val="Hyperlink"/>
            <w:sz w:val="24"/>
            <w:lang w:val="fi-FI"/>
          </w:rPr>
          <w:t>http://data.europa.eu/eli/C/2025/5407/oj</w:t>
        </w:r>
      </w:hyperlink>
      <w:r w:rsidRPr="00F65024">
        <w:rPr>
          <w:sz w:val="24"/>
          <w:lang w:val="fi-FI"/>
        </w:rPr>
        <w:t xml:space="preserve">. </w:t>
      </w:r>
    </w:p>
  </w:footnote>
  <w:footnote w:id="5">
    <w:p w14:paraId="09706F31" w14:textId="51C6D654" w:rsidR="00697D8B" w:rsidRPr="003F7E4A" w:rsidRDefault="00697D8B" w:rsidP="003F7E4A">
      <w:pPr>
        <w:pStyle w:val="FootnoteText"/>
        <w:ind w:left="567" w:hanging="567"/>
        <w:rPr>
          <w:sz w:val="24"/>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 xml:space="preserve">Dz.U. L 193 z 30.7.2018, s. 1, ELI: </w:t>
      </w:r>
      <w:hyperlink r:id="rId5" w:history="1">
        <w:r w:rsidRPr="003F7E4A">
          <w:rPr>
            <w:rStyle w:val="Hyperlink"/>
            <w:sz w:val="24"/>
            <w:lang w:val="pl-PL"/>
          </w:rPr>
          <w:t>http://data.europa.eu/eli/reg/2018/1046/oj</w:t>
        </w:r>
      </w:hyperlink>
      <w:r w:rsidRPr="003F7E4A">
        <w:rPr>
          <w:sz w:val="24"/>
          <w:lang w:val="pl-PL"/>
        </w:rPr>
        <w:t>.</w:t>
      </w:r>
    </w:p>
  </w:footnote>
  <w:footnote w:id="6">
    <w:p w14:paraId="3966610D" w14:textId="66C91712" w:rsidR="00697D8B" w:rsidRPr="00F65024" w:rsidRDefault="00697D8B" w:rsidP="003F7E4A">
      <w:pPr>
        <w:pStyle w:val="FootnoteText"/>
        <w:ind w:left="567" w:hanging="567"/>
        <w:rPr>
          <w:sz w:val="24"/>
          <w:lang w:val="fi-FI"/>
        </w:rPr>
      </w:pPr>
      <w:r w:rsidRPr="003F7E4A">
        <w:rPr>
          <w:rStyle w:val="FootnoteReference"/>
          <w:sz w:val="24"/>
          <w:lang w:val="pl-PL"/>
        </w:rPr>
        <w:footnoteRef/>
      </w:r>
      <w:r w:rsidR="003F7E4A" w:rsidRPr="00F65024">
        <w:rPr>
          <w:sz w:val="24"/>
          <w:lang w:val="fi-FI"/>
        </w:rPr>
        <w:t xml:space="preserve"> </w:t>
      </w:r>
      <w:r w:rsidR="003F7E4A" w:rsidRPr="00F65024">
        <w:rPr>
          <w:sz w:val="24"/>
          <w:lang w:val="fi-FI"/>
        </w:rPr>
        <w:tab/>
      </w:r>
      <w:r w:rsidRPr="00F65024">
        <w:rPr>
          <w:sz w:val="24"/>
          <w:lang w:val="fi-FI"/>
        </w:rPr>
        <w:t xml:space="preserve">Dz.U. L, 2024/2509, 26.9.2024, ELI: </w:t>
      </w:r>
      <w:hyperlink r:id="rId6" w:history="1">
        <w:r w:rsidRPr="00F65024">
          <w:rPr>
            <w:rStyle w:val="Hyperlink"/>
            <w:sz w:val="24"/>
            <w:lang w:val="fi-FI"/>
          </w:rPr>
          <w:t>http://data.europa.eu/eli/reg/2024/2509/oj</w:t>
        </w:r>
      </w:hyperlink>
      <w:r w:rsidRPr="00F65024">
        <w:rPr>
          <w:sz w:val="24"/>
          <w:lang w:val="fi-FI"/>
        </w:rPr>
        <w:t>.</w:t>
      </w:r>
    </w:p>
  </w:footnote>
  <w:footnote w:id="7">
    <w:p w14:paraId="27A5F6AE" w14:textId="1532DA33" w:rsidR="00697D8B" w:rsidRPr="003F7E4A" w:rsidRDefault="00697D8B" w:rsidP="003F7E4A">
      <w:pPr>
        <w:pStyle w:val="FootnoteText"/>
        <w:ind w:left="567" w:hanging="567"/>
        <w:rPr>
          <w:sz w:val="24"/>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Rezolucja Europejskiego Komitetu Regionów – Priorytety Europejskiego Komitetu Regionów na lata 2020–2025 – Europa bliżej obywateli za pośrednictwem wsi, miast i regionów (Dz.U. C 324 z 1.10.2020, s. 8).</w:t>
      </w:r>
    </w:p>
  </w:footnote>
  <w:footnote w:id="8">
    <w:p w14:paraId="24F54B94" w14:textId="50486D07" w:rsidR="00697D8B" w:rsidRPr="003F7E4A" w:rsidRDefault="00697D8B" w:rsidP="003F7E4A">
      <w:pPr>
        <w:pStyle w:val="FootnoteText"/>
        <w:ind w:left="567" w:hanging="567"/>
        <w:rPr>
          <w:sz w:val="24"/>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 </w:t>
      </w:r>
      <w:hyperlink r:id="rId7" w:tooltip="Dostęp do dokumentu poprzez identyfikator URI w systemie ELI." w:history="1">
        <w:r w:rsidRPr="003F7E4A">
          <w:rPr>
            <w:rStyle w:val="Hyperlink"/>
            <w:sz w:val="24"/>
            <w:lang w:val="pl-PL"/>
          </w:rPr>
          <w:t>http://data.europa.eu/eli/reg/2021/1060/oj</w:t>
        </w:r>
      </w:hyperlink>
      <w:r w:rsidRPr="003F7E4A">
        <w:rPr>
          <w:sz w:val="24"/>
          <w:lang w:val="pl-PL"/>
        </w:rPr>
        <w:t>).</w:t>
      </w:r>
    </w:p>
  </w:footnote>
  <w:footnote w:id="9">
    <w:p w14:paraId="7161227D" w14:textId="571DBC2E" w:rsidR="00697D8B" w:rsidRPr="003F7E4A" w:rsidRDefault="00697D8B" w:rsidP="003F7E4A">
      <w:pPr>
        <w:pStyle w:val="FootnoteText"/>
        <w:ind w:left="567" w:hanging="567"/>
        <w:rPr>
          <w:sz w:val="24"/>
          <w:szCs w:val="16"/>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Rozporządzenie Parlamentu Europejskiego i Rady (UE) 2021/241 z dnia 12 lutego 2021 r. ustanawiające Instrument na rzecz Odbudowy i Zwiększania Odporności (Dz.U. L 57 z 18.2.2021, s. 17, </w:t>
      </w:r>
      <w:r w:rsidRPr="003F7E4A">
        <w:rPr>
          <w:color w:val="333333"/>
          <w:sz w:val="24"/>
          <w:shd w:val="clear" w:color="auto" w:fill="FFFFFF"/>
          <w:lang w:val="pl-PL"/>
        </w:rPr>
        <w:t>ELI:  </w:t>
      </w:r>
      <w:hyperlink r:id="rId8" w:tooltip="Dostęp do dokumentu poprzez identyfikator URI w systemie ELI." w:history="1">
        <w:r w:rsidRPr="003F7E4A">
          <w:rPr>
            <w:rStyle w:val="Hyperlink"/>
            <w:sz w:val="24"/>
            <w:shd w:val="clear" w:color="auto" w:fill="FFFFFF"/>
            <w:lang w:val="pl-PL"/>
          </w:rPr>
          <w:t>http://data.europa.eu/eli/reg/2021/241/oj</w:t>
        </w:r>
      </w:hyperlink>
      <w:r w:rsidRPr="003F7E4A">
        <w:rPr>
          <w:sz w:val="24"/>
          <w:lang w:val="pl-PL"/>
        </w:rPr>
        <w:t>).</w:t>
      </w:r>
    </w:p>
  </w:footnote>
  <w:footnote w:id="10">
    <w:p w14:paraId="3674F851" w14:textId="019A6760" w:rsidR="00697D8B" w:rsidRPr="003F7E4A" w:rsidRDefault="00697D8B" w:rsidP="003F7E4A">
      <w:pPr>
        <w:pStyle w:val="FootnoteText"/>
        <w:ind w:left="567" w:hanging="567"/>
        <w:rPr>
          <w:sz w:val="24"/>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 xml:space="preserve">Rozporządzenie (UE) 2024/1991 Parlamentu Europejskiego i Rady z dnia 24 czerwca 2024 r. w sprawie odbudowy zasobów przyrodniczych i zmiany rozporządzenia (UE) 2022/869 (Dz.U. L, 2024/1991, 29.7.2024, ELI: </w:t>
      </w:r>
      <w:hyperlink r:id="rId9" w:tooltip="Dostęp do dokumentu poprzez identyfikator URI w systemie ELI." w:history="1">
        <w:r w:rsidRPr="003F7E4A">
          <w:rPr>
            <w:rStyle w:val="Hyperlink"/>
            <w:sz w:val="24"/>
            <w:lang w:val="pl-PL"/>
          </w:rPr>
          <w:t>http://data.europa.eu/eli/reg/2024/1991/oj</w:t>
        </w:r>
      </w:hyperlink>
      <w:r w:rsidRPr="003F7E4A">
        <w:rPr>
          <w:sz w:val="24"/>
          <w:lang w:val="pl-PL"/>
        </w:rPr>
        <w:t>).</w:t>
      </w:r>
    </w:p>
  </w:footnote>
  <w:footnote w:id="11">
    <w:p w14:paraId="40670C46" w14:textId="5E2634EE" w:rsidR="00697D8B" w:rsidRPr="003F7E4A" w:rsidRDefault="00697D8B" w:rsidP="003F7E4A">
      <w:pPr>
        <w:pStyle w:val="FootnoteText"/>
        <w:ind w:left="567" w:hanging="567"/>
        <w:rPr>
          <w:sz w:val="24"/>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Rozporządzenie Parlamentu Europejskiego i Rady (UE) 2025/327 z dnia 11 lutego 2025 r. w sprawie europejskiej przestrzeni danych dotyczących zdrowia i zmieniające dyrektywę 2011/24/UE oraz rozporządzenie (UE) 2024/2847 (Dz.U. L 2025/327</w:t>
      </w:r>
      <w:r w:rsidR="002B0B4F">
        <w:rPr>
          <w:sz w:val="24"/>
          <w:lang w:val="pl-PL"/>
        </w:rPr>
        <w:t>,</w:t>
      </w:r>
      <w:r w:rsidRPr="003F7E4A">
        <w:rPr>
          <w:sz w:val="24"/>
          <w:lang w:val="pl-PL"/>
        </w:rPr>
        <w:t xml:space="preserve"> 5.3.2025, ELI:</w:t>
      </w:r>
      <w:r w:rsidRPr="003F7E4A">
        <w:rPr>
          <w:color w:val="333333"/>
          <w:sz w:val="24"/>
          <w:shd w:val="clear" w:color="auto" w:fill="FFFFFF"/>
          <w:lang w:val="pl-PL"/>
        </w:rPr>
        <w:t xml:space="preserve"> </w:t>
      </w:r>
      <w:hyperlink r:id="rId10" w:tooltip="Dostęp do dokumentu poprzez identyfikator URI w systemie ELI." w:history="1">
        <w:r w:rsidRPr="003F7E4A">
          <w:rPr>
            <w:rStyle w:val="Hyperlink"/>
            <w:sz w:val="24"/>
            <w:lang w:val="pl-PL"/>
          </w:rPr>
          <w:t>http://data.europa.eu/eli/reg/2025/327/oj</w:t>
        </w:r>
      </w:hyperlink>
      <w:r w:rsidRPr="003F7E4A">
        <w:rPr>
          <w:sz w:val="24"/>
          <w:lang w:val="pl-PL"/>
        </w:rPr>
        <w:t xml:space="preserve">). </w:t>
      </w:r>
    </w:p>
  </w:footnote>
  <w:footnote w:id="12">
    <w:p w14:paraId="4C4EB2E5" w14:textId="246580C2" w:rsidR="00697D8B" w:rsidRPr="003F7E4A" w:rsidRDefault="00697D8B" w:rsidP="003F7E4A">
      <w:pPr>
        <w:pStyle w:val="FootnoteText"/>
        <w:ind w:left="567" w:hanging="567"/>
        <w:rPr>
          <w:sz w:val="24"/>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11" w:tgtFrame="_blank" w:tooltip="Dostęp do dokumentu poprzez identyfikator URI w systemie ELI." w:history="1">
        <w:r w:rsidRPr="003F7E4A">
          <w:rPr>
            <w:rStyle w:val="Hyperlink"/>
            <w:sz w:val="24"/>
            <w:lang w:val="pl-PL"/>
          </w:rPr>
          <w:t>http://data.europa.eu/eli/reg/2024/1689/oj</w:t>
        </w:r>
      </w:hyperlink>
      <w:r w:rsidRPr="003F7E4A">
        <w:rPr>
          <w:sz w:val="24"/>
          <w:lang w:val="pl-PL"/>
        </w:rPr>
        <w:t>).</w:t>
      </w:r>
    </w:p>
  </w:footnote>
  <w:footnote w:id="13">
    <w:p w14:paraId="0231D064" w14:textId="31FDFA18" w:rsidR="00697D8B" w:rsidRPr="003F7E4A" w:rsidRDefault="00697D8B" w:rsidP="003F7E4A">
      <w:pPr>
        <w:pStyle w:val="FootnoteText"/>
        <w:ind w:left="567" w:hanging="567"/>
        <w:rPr>
          <w:sz w:val="24"/>
          <w:lang w:val="pl-PL"/>
        </w:rPr>
      </w:pPr>
      <w:r w:rsidRPr="003F7E4A">
        <w:rPr>
          <w:rStyle w:val="FootnoteReference"/>
          <w:sz w:val="24"/>
          <w:lang w:val="pl-PL"/>
        </w:rPr>
        <w:footnoteRef/>
      </w:r>
      <w:r w:rsidR="003F7E4A" w:rsidRPr="003F7E4A">
        <w:rPr>
          <w:sz w:val="24"/>
          <w:lang w:val="pl-PL"/>
        </w:rPr>
        <w:t xml:space="preserve"> </w:t>
      </w:r>
      <w:r w:rsidR="003F7E4A" w:rsidRPr="003F7E4A">
        <w:rPr>
          <w:sz w:val="24"/>
          <w:lang w:val="pl-PL"/>
        </w:rPr>
        <w:tab/>
      </w:r>
      <w:r w:rsidRPr="003F7E4A">
        <w:rPr>
          <w:sz w:val="24"/>
          <w:lang w:val="pl-PL"/>
        </w:rPr>
        <w:t xml:space="preserve">Rozporządzenie Parlamentu Europejskiego i Rady (UE, </w:t>
      </w:r>
      <w:proofErr w:type="spellStart"/>
      <w:r w:rsidRPr="003F7E4A">
        <w:rPr>
          <w:sz w:val="24"/>
          <w:lang w:val="pl-PL"/>
        </w:rPr>
        <w:t>Euratom</w:t>
      </w:r>
      <w:proofErr w:type="spellEnd"/>
      <w:r w:rsidRPr="003F7E4A">
        <w:rPr>
          <w:sz w:val="24"/>
          <w:lang w:val="pl-PL"/>
        </w:rPr>
        <w:t xml:space="preserve">) 2023/2841 z dnia 13 grudnia 2023 r. w sprawie ustanowienia środków na rzecz wysokiego wspólnego poziomu </w:t>
      </w:r>
      <w:proofErr w:type="spellStart"/>
      <w:r w:rsidRPr="003F7E4A">
        <w:rPr>
          <w:sz w:val="24"/>
          <w:lang w:val="pl-PL"/>
        </w:rPr>
        <w:t>cyberbezpieczeństwa</w:t>
      </w:r>
      <w:proofErr w:type="spellEnd"/>
      <w:r w:rsidRPr="003F7E4A">
        <w:rPr>
          <w:sz w:val="24"/>
          <w:lang w:val="pl-PL"/>
        </w:rPr>
        <w:t xml:space="preserve"> w instytucjach, organach i jednostkach organizacyjnych Unii (Dz.U. L, 2023/2841, 18.12.2023, ELI: </w:t>
      </w:r>
      <w:hyperlink r:id="rId12" w:history="1">
        <w:r w:rsidRPr="003F7E4A">
          <w:rPr>
            <w:rStyle w:val="Hyperlink"/>
            <w:sz w:val="24"/>
            <w:lang w:val="pl-PL"/>
          </w:rPr>
          <w:t>http://data.europa.eu/eli/reg/2023/2841/oj</w:t>
        </w:r>
      </w:hyperlink>
      <w:r w:rsidRPr="003F7E4A">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42D99" w14:textId="77777777" w:rsidR="00697D8B" w:rsidRPr="003F7E4A" w:rsidRDefault="00697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4F2F" w14:textId="77777777" w:rsidR="00697D8B" w:rsidRPr="003F7E4A" w:rsidRDefault="00697D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17EB" w14:textId="77777777" w:rsidR="00697D8B" w:rsidRPr="003F7E4A" w:rsidRDefault="00697D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A5D60" w14:textId="77777777" w:rsidR="00064002" w:rsidRPr="003F7E4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85EFD" w14:textId="77777777" w:rsidR="00064002" w:rsidRPr="003F7E4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8DE16" w14:textId="77777777" w:rsidR="00064002" w:rsidRPr="003F7E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3572340">
    <w:abstractNumId w:val="9"/>
  </w:num>
  <w:num w:numId="2" w16cid:durableId="1157645889">
    <w:abstractNumId w:val="9"/>
  </w:num>
  <w:num w:numId="3" w16cid:durableId="1697585685">
    <w:abstractNumId w:val="7"/>
  </w:num>
  <w:num w:numId="4" w16cid:durableId="1839495313">
    <w:abstractNumId w:val="7"/>
  </w:num>
  <w:num w:numId="5" w16cid:durableId="2098404348">
    <w:abstractNumId w:val="6"/>
  </w:num>
  <w:num w:numId="6" w16cid:durableId="1771121996">
    <w:abstractNumId w:val="6"/>
  </w:num>
  <w:num w:numId="7" w16cid:durableId="692536368">
    <w:abstractNumId w:val="5"/>
  </w:num>
  <w:num w:numId="8" w16cid:durableId="1791972068">
    <w:abstractNumId w:val="5"/>
  </w:num>
  <w:num w:numId="9" w16cid:durableId="499004533">
    <w:abstractNumId w:val="4"/>
  </w:num>
  <w:num w:numId="10" w16cid:durableId="421806002">
    <w:abstractNumId w:val="4"/>
  </w:num>
  <w:num w:numId="11" w16cid:durableId="1269238067">
    <w:abstractNumId w:val="8"/>
  </w:num>
  <w:num w:numId="12" w16cid:durableId="685405223">
    <w:abstractNumId w:val="8"/>
  </w:num>
  <w:num w:numId="13" w16cid:durableId="222645434">
    <w:abstractNumId w:val="3"/>
  </w:num>
  <w:num w:numId="14" w16cid:durableId="784807957">
    <w:abstractNumId w:val="3"/>
  </w:num>
  <w:num w:numId="15" w16cid:durableId="78601732">
    <w:abstractNumId w:val="2"/>
  </w:num>
  <w:num w:numId="16" w16cid:durableId="1968704209">
    <w:abstractNumId w:val="2"/>
  </w:num>
  <w:num w:numId="17" w16cid:durableId="270942167">
    <w:abstractNumId w:val="1"/>
  </w:num>
  <w:num w:numId="18" w16cid:durableId="1045713460">
    <w:abstractNumId w:val="1"/>
  </w:num>
  <w:num w:numId="19" w16cid:durableId="423502310">
    <w:abstractNumId w:val="0"/>
  </w:num>
  <w:num w:numId="20" w16cid:durableId="52706807">
    <w:abstractNumId w:val="0"/>
  </w:num>
  <w:num w:numId="21" w16cid:durableId="1566917647">
    <w:abstractNumId w:val="9"/>
  </w:num>
  <w:num w:numId="22" w16cid:durableId="343090583">
    <w:abstractNumId w:val="7"/>
  </w:num>
  <w:num w:numId="23" w16cid:durableId="1085103705">
    <w:abstractNumId w:val="6"/>
  </w:num>
  <w:num w:numId="24" w16cid:durableId="631129981">
    <w:abstractNumId w:val="5"/>
  </w:num>
  <w:num w:numId="25" w16cid:durableId="647394316">
    <w:abstractNumId w:val="4"/>
  </w:num>
  <w:num w:numId="26" w16cid:durableId="989673770">
    <w:abstractNumId w:val="8"/>
  </w:num>
  <w:num w:numId="27" w16cid:durableId="27949485">
    <w:abstractNumId w:val="3"/>
  </w:num>
  <w:num w:numId="28" w16cid:durableId="81068538">
    <w:abstractNumId w:val="2"/>
  </w:num>
  <w:num w:numId="29" w16cid:durableId="1682900992">
    <w:abstractNumId w:val="1"/>
  </w:num>
  <w:num w:numId="30" w16cid:durableId="589237374">
    <w:abstractNumId w:val="0"/>
  </w:num>
  <w:num w:numId="31" w16cid:durableId="1943800916">
    <w:abstractNumId w:val="9"/>
  </w:num>
  <w:num w:numId="32" w16cid:durableId="731540116">
    <w:abstractNumId w:val="7"/>
  </w:num>
  <w:num w:numId="33" w16cid:durableId="353774430">
    <w:abstractNumId w:val="6"/>
  </w:num>
  <w:num w:numId="34" w16cid:durableId="878973225">
    <w:abstractNumId w:val="5"/>
  </w:num>
  <w:num w:numId="35" w16cid:durableId="1030958037">
    <w:abstractNumId w:val="4"/>
  </w:num>
  <w:num w:numId="36" w16cid:durableId="223571067">
    <w:abstractNumId w:val="8"/>
  </w:num>
  <w:num w:numId="37" w16cid:durableId="1956785336">
    <w:abstractNumId w:val="3"/>
  </w:num>
  <w:num w:numId="38" w16cid:durableId="1297032419">
    <w:abstractNumId w:val="2"/>
  </w:num>
  <w:num w:numId="39" w16cid:durableId="310865812">
    <w:abstractNumId w:val="1"/>
  </w:num>
  <w:num w:numId="40" w16cid:durableId="489251632">
    <w:abstractNumId w:val="0"/>
  </w:num>
  <w:num w:numId="41" w16cid:durableId="1645967699">
    <w:abstractNumId w:val="10"/>
  </w:num>
  <w:num w:numId="42" w16cid:durableId="295717867">
    <w:abstractNumId w:val="10"/>
  </w:num>
  <w:num w:numId="43" w16cid:durableId="822430717">
    <w:abstractNumId w:val="10"/>
  </w:num>
  <w:num w:numId="44" w16cid:durableId="12237159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PL"/>
    <w:docVar w:name="dvnumam" w:val="0"/>
    <w:docVar w:name="dvpe" w:val="778.064"/>
    <w:docVar w:name="dvrapporteur" w:val="Sprawozdawca: "/>
    <w:docVar w:name="dvtitre" w:val="Decyzja Parlamentu Europejskiego z dnia  2026 r. w sprawie absolutorium z wykonania budżetu ogólnego Unii Europejskiej za rok budżetowy 2024, sekcja VII – Komitet Regionów(2025/2152(DEC))"/>
  </w:docVars>
  <w:rsids>
    <w:rsidRoot w:val="004C149B"/>
    <w:rsid w:val="00002272"/>
    <w:rsid w:val="00064002"/>
    <w:rsid w:val="000677B9"/>
    <w:rsid w:val="000831BA"/>
    <w:rsid w:val="000A42CC"/>
    <w:rsid w:val="000C57F2"/>
    <w:rsid w:val="000E7DD9"/>
    <w:rsid w:val="0010095E"/>
    <w:rsid w:val="00125B37"/>
    <w:rsid w:val="00187494"/>
    <w:rsid w:val="001F32AE"/>
    <w:rsid w:val="002767FF"/>
    <w:rsid w:val="002B0B4F"/>
    <w:rsid w:val="002B18FE"/>
    <w:rsid w:val="002B5493"/>
    <w:rsid w:val="00343214"/>
    <w:rsid w:val="00361C00"/>
    <w:rsid w:val="00395FA1"/>
    <w:rsid w:val="003E15D4"/>
    <w:rsid w:val="003F7E4A"/>
    <w:rsid w:val="00411CCE"/>
    <w:rsid w:val="0041666E"/>
    <w:rsid w:val="00421060"/>
    <w:rsid w:val="00471C19"/>
    <w:rsid w:val="004867E3"/>
    <w:rsid w:val="00494A28"/>
    <w:rsid w:val="004C0004"/>
    <w:rsid w:val="004C149B"/>
    <w:rsid w:val="004C5D52"/>
    <w:rsid w:val="0050519A"/>
    <w:rsid w:val="005072A1"/>
    <w:rsid w:val="00514517"/>
    <w:rsid w:val="00545827"/>
    <w:rsid w:val="00560270"/>
    <w:rsid w:val="005C2568"/>
    <w:rsid w:val="005F1B17"/>
    <w:rsid w:val="006037C0"/>
    <w:rsid w:val="00634BA0"/>
    <w:rsid w:val="006631B6"/>
    <w:rsid w:val="00680577"/>
    <w:rsid w:val="00697D8B"/>
    <w:rsid w:val="006F74FA"/>
    <w:rsid w:val="00731ADD"/>
    <w:rsid w:val="00734777"/>
    <w:rsid w:val="00747932"/>
    <w:rsid w:val="00751A4A"/>
    <w:rsid w:val="00756632"/>
    <w:rsid w:val="00757E05"/>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CEC"/>
    <w:rsid w:val="00AB441E"/>
    <w:rsid w:val="00AB6293"/>
    <w:rsid w:val="00AE0928"/>
    <w:rsid w:val="00AF3B82"/>
    <w:rsid w:val="00B12E95"/>
    <w:rsid w:val="00B22876"/>
    <w:rsid w:val="00B558F0"/>
    <w:rsid w:val="00B7760D"/>
    <w:rsid w:val="00BD48FE"/>
    <w:rsid w:val="00BD7BD8"/>
    <w:rsid w:val="00BE6ADC"/>
    <w:rsid w:val="00C05BFE"/>
    <w:rsid w:val="00C23CD4"/>
    <w:rsid w:val="00C52946"/>
    <w:rsid w:val="00C61C0C"/>
    <w:rsid w:val="00C941CB"/>
    <w:rsid w:val="00CC2357"/>
    <w:rsid w:val="00CF071A"/>
    <w:rsid w:val="00D058B8"/>
    <w:rsid w:val="00D56C11"/>
    <w:rsid w:val="00D834A0"/>
    <w:rsid w:val="00D872DF"/>
    <w:rsid w:val="00D91E21"/>
    <w:rsid w:val="00DA7FCD"/>
    <w:rsid w:val="00E365E1"/>
    <w:rsid w:val="00E820A4"/>
    <w:rsid w:val="00EA6CF2"/>
    <w:rsid w:val="00EB006A"/>
    <w:rsid w:val="00EB4772"/>
    <w:rsid w:val="00ED169E"/>
    <w:rsid w:val="00ED4235"/>
    <w:rsid w:val="00F04346"/>
    <w:rsid w:val="00F075DC"/>
    <w:rsid w:val="00F149E9"/>
    <w:rsid w:val="00F40647"/>
    <w:rsid w:val="00F5134D"/>
    <w:rsid w:val="00F6502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307AB"/>
  <w15:chartTrackingRefBased/>
  <w15:docId w15:val="{56BF07EC-0C2F-4DE9-804F-8CC0A826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7D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7D8B"/>
    <w:pPr>
      <w:spacing w:before="480" w:after="240"/>
    </w:pPr>
  </w:style>
  <w:style w:type="paragraph" w:customStyle="1" w:styleId="PageHeading">
    <w:name w:val="PageHeading"/>
    <w:basedOn w:val="Normal"/>
    <w:rsid w:val="00697D8B"/>
    <w:pPr>
      <w:keepNext/>
      <w:spacing w:after="480"/>
      <w:jc w:val="center"/>
    </w:pPr>
    <w:rPr>
      <w:rFonts w:ascii="Arial" w:hAnsi="Arial" w:cs="Arial"/>
      <w:b/>
    </w:rPr>
  </w:style>
  <w:style w:type="paragraph" w:customStyle="1" w:styleId="NormalBold">
    <w:name w:val="NormalBold"/>
    <w:basedOn w:val="Normal"/>
    <w:rsid w:val="00697D8B"/>
    <w:rPr>
      <w:b/>
    </w:rPr>
  </w:style>
  <w:style w:type="paragraph" w:customStyle="1" w:styleId="NormalHanging12a">
    <w:name w:val="NormalHanging12a"/>
    <w:basedOn w:val="Normal"/>
    <w:link w:val="NormalHanging12aChar"/>
    <w:qFormat/>
    <w:rsid w:val="00697D8B"/>
    <w:pPr>
      <w:spacing w:after="240"/>
      <w:ind w:left="567" w:hanging="567"/>
    </w:pPr>
  </w:style>
  <w:style w:type="paragraph" w:styleId="Header">
    <w:name w:val="header"/>
    <w:basedOn w:val="Normal"/>
    <w:link w:val="HeaderChar"/>
    <w:rsid w:val="00697D8B"/>
    <w:pPr>
      <w:tabs>
        <w:tab w:val="center" w:pos="4513"/>
        <w:tab w:val="right" w:pos="9026"/>
      </w:tabs>
    </w:pPr>
  </w:style>
  <w:style w:type="character" w:customStyle="1" w:styleId="HeaderChar">
    <w:name w:val="Header Char"/>
    <w:basedOn w:val="DefaultParagraphFont"/>
    <w:link w:val="Header"/>
    <w:rsid w:val="00697D8B"/>
    <w:rPr>
      <w:sz w:val="24"/>
      <w:lang w:val="pl-PL"/>
    </w:rPr>
  </w:style>
  <w:style w:type="paragraph" w:customStyle="1" w:styleId="EPFooter">
    <w:name w:val="EPFooter"/>
    <w:basedOn w:val="Normal"/>
    <w:rsid w:val="00697D8B"/>
    <w:pPr>
      <w:tabs>
        <w:tab w:val="center" w:pos="4535"/>
        <w:tab w:val="right" w:pos="9071"/>
      </w:tabs>
      <w:spacing w:before="240" w:after="240"/>
    </w:pPr>
    <w:rPr>
      <w:color w:val="010000"/>
      <w:sz w:val="22"/>
    </w:rPr>
  </w:style>
  <w:style w:type="character" w:styleId="Hyperlink">
    <w:name w:val="Hyperlink"/>
    <w:basedOn w:val="DefaultParagraphFont"/>
    <w:uiPriority w:val="99"/>
    <w:rsid w:val="00697D8B"/>
    <w:rPr>
      <w:color w:val="0563C1" w:themeColor="hyperlink"/>
      <w:u w:val="single"/>
    </w:rPr>
  </w:style>
  <w:style w:type="character" w:customStyle="1" w:styleId="NormalHanging12aChar">
    <w:name w:val="NormalHanging12a Char"/>
    <w:basedOn w:val="DefaultParagraphFont"/>
    <w:link w:val="NormalHanging12a"/>
    <w:locked/>
    <w:rsid w:val="00697D8B"/>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8867</Words>
  <Characters>56998</Characters>
  <Application>Microsoft Office Word</Application>
  <DocSecurity>0</DocSecurity>
  <Lines>474</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2026-05-12T08:50:00Z</dcterms:created>
  <dcterms:modified xsi:type="dcterms:W3CDTF">2026-05-12T08:50:00Z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P10_TA(2026)0132_</vt:lpwstr>
  </property>
  <property fmtid="{D5CDD505-2E9C-101B-9397-08002B2CF9AE}" pid="4" name="&lt;Type&gt;">
    <vt:lpwstr>RR</vt:lpwstr>
  </property>
</Properties>
</file>