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63849" w14:paraId="525F8477" w14:textId="77777777" w:rsidTr="0010095E">
        <w:trPr>
          <w:trHeight w:hRule="exact" w:val="1418"/>
        </w:trPr>
        <w:tc>
          <w:tcPr>
            <w:tcW w:w="6804" w:type="dxa"/>
            <w:shd w:val="clear" w:color="auto" w:fill="auto"/>
            <w:vAlign w:val="center"/>
          </w:tcPr>
          <w:p w14:paraId="6C86056B" w14:textId="77777777" w:rsidR="00751A4A" w:rsidRPr="00C63849" w:rsidRDefault="004F2035" w:rsidP="0010095E">
            <w:pPr>
              <w:pStyle w:val="EPName"/>
            </w:pPr>
            <w:r w:rsidRPr="00C63849">
              <w:t>Parlamentul European</w:t>
            </w:r>
          </w:p>
          <w:p w14:paraId="6C8AD8CC" w14:textId="77777777" w:rsidR="00751A4A" w:rsidRPr="00C63849" w:rsidRDefault="005F1B17" w:rsidP="005F1B17">
            <w:pPr>
              <w:pStyle w:val="EPTerm"/>
              <w:rPr>
                <w:rStyle w:val="HideTWBExt"/>
                <w:noProof w:val="0"/>
                <w:vanish w:val="0"/>
                <w:color w:val="auto"/>
              </w:rPr>
            </w:pPr>
            <w:r w:rsidRPr="00C63849">
              <w:t>2024</w:t>
            </w:r>
            <w:r w:rsidR="00817416" w:rsidRPr="00C63849">
              <w:t>-202</w:t>
            </w:r>
            <w:r w:rsidRPr="00C63849">
              <w:t>9</w:t>
            </w:r>
          </w:p>
        </w:tc>
        <w:tc>
          <w:tcPr>
            <w:tcW w:w="2268" w:type="dxa"/>
            <w:shd w:val="clear" w:color="auto" w:fill="auto"/>
          </w:tcPr>
          <w:p w14:paraId="25ABFEED" w14:textId="77777777" w:rsidR="00751A4A" w:rsidRPr="00C63849" w:rsidRDefault="00187494" w:rsidP="0010095E">
            <w:pPr>
              <w:pStyle w:val="EPLogo"/>
            </w:pPr>
            <w:r w:rsidRPr="00C63849">
              <w:rPr>
                <w:noProof/>
                <w:lang w:eastAsia="ja-JP"/>
              </w:rPr>
              <w:drawing>
                <wp:inline distT="0" distB="0" distL="0" distR="0" wp14:anchorId="08AAC06E" wp14:editId="19A4EDD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569B62D" w14:textId="77777777" w:rsidR="00D058B8" w:rsidRPr="00C63849" w:rsidRDefault="00D058B8" w:rsidP="004C5D52">
      <w:pPr>
        <w:pStyle w:val="LineTop"/>
      </w:pPr>
    </w:p>
    <w:p w14:paraId="337EBA3C" w14:textId="77777777" w:rsidR="00680577" w:rsidRPr="00C63849" w:rsidRDefault="004F2035" w:rsidP="00680577">
      <w:pPr>
        <w:pStyle w:val="EPBodyTA1"/>
      </w:pPr>
      <w:r w:rsidRPr="00C63849">
        <w:t>TEXTE ADOPTATE</w:t>
      </w:r>
    </w:p>
    <w:p w14:paraId="1FBB5A21" w14:textId="77777777" w:rsidR="00D058B8" w:rsidRPr="00C63849" w:rsidRDefault="00D058B8" w:rsidP="00D058B8">
      <w:pPr>
        <w:pStyle w:val="LineBottom"/>
      </w:pPr>
    </w:p>
    <w:p w14:paraId="717D5EA8" w14:textId="460E9B62" w:rsidR="004F2035" w:rsidRPr="00C63849" w:rsidRDefault="004F2035" w:rsidP="004F2035">
      <w:pPr>
        <w:pStyle w:val="ATHeading1"/>
      </w:pPr>
      <w:bookmarkStart w:id="0" w:name="TANumber"/>
      <w:r w:rsidRPr="00C63849">
        <w:t>P10_TA(2026)</w:t>
      </w:r>
      <w:bookmarkEnd w:id="0"/>
      <w:r w:rsidR="0028315B" w:rsidRPr="00C63849">
        <w:t>0132</w:t>
      </w:r>
    </w:p>
    <w:p w14:paraId="71A5357C" w14:textId="77777777" w:rsidR="004F2035" w:rsidRPr="00C63849" w:rsidRDefault="004F2035" w:rsidP="004F2035">
      <w:pPr>
        <w:pStyle w:val="ATHeading2"/>
      </w:pPr>
      <w:bookmarkStart w:id="1" w:name="title"/>
      <w:r w:rsidRPr="00C63849">
        <w:t>Descărcarea de gestiune 2024: Bugetul general al UE - Comitetul Regiunilor</w:t>
      </w:r>
      <w:bookmarkEnd w:id="1"/>
    </w:p>
    <w:p w14:paraId="6A01C9F5" w14:textId="77777777" w:rsidR="004F2035" w:rsidRPr="00C63849" w:rsidRDefault="004F2035" w:rsidP="004F2035">
      <w:pPr>
        <w:rPr>
          <w:i/>
          <w:vanish/>
        </w:rPr>
      </w:pPr>
      <w:r w:rsidRPr="00C63849">
        <w:rPr>
          <w:i/>
        </w:rPr>
        <w:fldChar w:fldCharType="begin"/>
      </w:r>
      <w:r w:rsidRPr="00C63849">
        <w:rPr>
          <w:i/>
        </w:rPr>
        <w:instrText xml:space="preserve"> TC"(</w:instrText>
      </w:r>
      <w:bookmarkStart w:id="2" w:name="DocNumber"/>
      <w:r w:rsidRPr="00C63849">
        <w:rPr>
          <w:i/>
        </w:rPr>
        <w:instrText>A10-0056/2026</w:instrText>
      </w:r>
      <w:bookmarkEnd w:id="2"/>
      <w:r w:rsidRPr="00C63849">
        <w:rPr>
          <w:i/>
        </w:rPr>
        <w:instrText xml:space="preserve"> - Raportor: </w:instrText>
      </w:r>
      <w:proofErr w:type="spellStart"/>
      <w:r w:rsidRPr="00C63849">
        <w:rPr>
          <w:i/>
        </w:rPr>
        <w:instrText>Pasquale</w:instrText>
      </w:r>
      <w:proofErr w:type="spellEnd"/>
      <w:r w:rsidRPr="00C63849">
        <w:rPr>
          <w:i/>
        </w:rPr>
        <w:instrText xml:space="preserve"> </w:instrText>
      </w:r>
      <w:proofErr w:type="spellStart"/>
      <w:r w:rsidRPr="00C63849">
        <w:rPr>
          <w:i/>
        </w:rPr>
        <w:instrText>Tridico</w:instrText>
      </w:r>
      <w:proofErr w:type="spellEnd"/>
      <w:r w:rsidRPr="00C63849">
        <w:rPr>
          <w:i/>
        </w:rPr>
        <w:instrText xml:space="preserve">)"\l3 \n&gt; \* MERGEFORMAT </w:instrText>
      </w:r>
      <w:r w:rsidRPr="00C63849">
        <w:rPr>
          <w:i/>
        </w:rPr>
        <w:fldChar w:fldCharType="end"/>
      </w:r>
    </w:p>
    <w:p w14:paraId="61ADBC34" w14:textId="77777777" w:rsidR="004F2035" w:rsidRPr="00C63849" w:rsidRDefault="004F2035" w:rsidP="004F2035">
      <w:pPr>
        <w:rPr>
          <w:vanish/>
        </w:rPr>
      </w:pPr>
      <w:bookmarkStart w:id="3" w:name="Commission"/>
      <w:r w:rsidRPr="00C63849">
        <w:rPr>
          <w:vanish/>
        </w:rPr>
        <w:t>Comisia pentru control bugetar</w:t>
      </w:r>
      <w:bookmarkEnd w:id="3"/>
    </w:p>
    <w:p w14:paraId="611A0EED" w14:textId="77777777" w:rsidR="004F2035" w:rsidRPr="00C63849" w:rsidRDefault="004F2035" w:rsidP="004F2035">
      <w:pPr>
        <w:rPr>
          <w:vanish/>
        </w:rPr>
      </w:pPr>
      <w:bookmarkStart w:id="4" w:name="PE"/>
      <w:r w:rsidRPr="00C63849">
        <w:rPr>
          <w:vanish/>
        </w:rPr>
        <w:t>PE778.064</w:t>
      </w:r>
      <w:bookmarkEnd w:id="4"/>
    </w:p>
    <w:p w14:paraId="3FBB737D" w14:textId="6BA8BFE8" w:rsidR="004F2035" w:rsidRPr="00C63849" w:rsidRDefault="00240A02" w:rsidP="004F2035">
      <w:pPr>
        <w:pStyle w:val="ATHeading3"/>
      </w:pPr>
      <w:bookmarkStart w:id="5" w:name="Sujet"/>
      <w:r w:rsidRPr="00C63849">
        <w:t xml:space="preserve">1. </w:t>
      </w:r>
      <w:r w:rsidR="004F2035" w:rsidRPr="00C63849">
        <w:t>Decizia Parlamentului European din 2</w:t>
      </w:r>
      <w:r w:rsidR="0093355B" w:rsidRPr="00C63849">
        <w:t>9</w:t>
      </w:r>
      <w:r w:rsidR="004F2035" w:rsidRPr="00C63849">
        <w:t xml:space="preserve"> aprilie 2026 privind descărcarea de gestiune pentru execuția bugetului general al Uniunii Europene aferent exercițiului financiar</w:t>
      </w:r>
      <w:r w:rsidR="0093355B" w:rsidRPr="00C63849">
        <w:t> </w:t>
      </w:r>
      <w:r w:rsidR="004F2035" w:rsidRPr="00C63849">
        <w:t>2024, secțiunea VII – Comitetul Regiunilor</w:t>
      </w:r>
      <w:bookmarkEnd w:id="5"/>
      <w:r w:rsidR="004F2035" w:rsidRPr="00C63849">
        <w:t xml:space="preserve"> </w:t>
      </w:r>
      <w:bookmarkStart w:id="6" w:name="References"/>
      <w:r w:rsidR="004F2035" w:rsidRPr="00C63849">
        <w:t>(2025/2152(DEC))</w:t>
      </w:r>
      <w:bookmarkEnd w:id="6"/>
    </w:p>
    <w:p w14:paraId="16E5A858" w14:textId="77777777" w:rsidR="00653E30" w:rsidRPr="00C63849" w:rsidRDefault="00653E30" w:rsidP="00653E30">
      <w:pPr>
        <w:pStyle w:val="EPComma"/>
      </w:pPr>
      <w:bookmarkStart w:id="7" w:name="TextBodyBegin"/>
      <w:bookmarkEnd w:id="7"/>
      <w:r w:rsidRPr="00C63849">
        <w:rPr>
          <w:i/>
        </w:rPr>
        <w:t>Parlamentul European</w:t>
      </w:r>
      <w:r w:rsidRPr="00C63849">
        <w:t>,</w:t>
      </w:r>
    </w:p>
    <w:p w14:paraId="037802C0" w14:textId="77777777" w:rsidR="00653E30" w:rsidRPr="00C63849" w:rsidRDefault="00653E30" w:rsidP="00653E30">
      <w:pPr>
        <w:pStyle w:val="NormalHanging12a"/>
      </w:pPr>
      <w:r w:rsidRPr="00C63849">
        <w:t>–</w:t>
      </w:r>
      <w:r w:rsidRPr="00C63849">
        <w:tab/>
        <w:t>având în vedere bugetul general al Uniunii Europene aferent exercițiului financiar 2024</w:t>
      </w:r>
      <w:r w:rsidRPr="00C63849">
        <w:rPr>
          <w:rStyle w:val="FootnoteReference"/>
        </w:rPr>
        <w:footnoteReference w:id="1"/>
      </w:r>
      <w:r w:rsidRPr="00C63849">
        <w:t>,</w:t>
      </w:r>
    </w:p>
    <w:p w14:paraId="2E0E3DDE" w14:textId="77777777" w:rsidR="00653E30" w:rsidRPr="00C63849" w:rsidRDefault="00653E30" w:rsidP="00653E30">
      <w:pPr>
        <w:pStyle w:val="NormalHanging12a"/>
      </w:pPr>
      <w:r w:rsidRPr="00C63849">
        <w:t>–</w:t>
      </w:r>
      <w:r w:rsidRPr="00C63849">
        <w:tab/>
        <w:t>având în vedere conturile anuale consolidate ale Uniunii Europene pentru exercițiul financiar 2024 (COM(2025)0359 – C10</w:t>
      </w:r>
      <w:r w:rsidRPr="00C63849">
        <w:noBreakHyphen/>
        <w:t>0152/2025)</w:t>
      </w:r>
      <w:r w:rsidRPr="00C63849">
        <w:rPr>
          <w:rStyle w:val="FootnoteReference"/>
        </w:rPr>
        <w:footnoteReference w:id="2"/>
      </w:r>
      <w:r w:rsidRPr="00C63849">
        <w:t>,</w:t>
      </w:r>
    </w:p>
    <w:p w14:paraId="73683760" w14:textId="77777777" w:rsidR="00653E30" w:rsidRPr="00C63849" w:rsidRDefault="00653E30" w:rsidP="00653E30">
      <w:pPr>
        <w:pStyle w:val="NormalHanging12a"/>
      </w:pPr>
      <w:r w:rsidRPr="00C63849">
        <w:t>–</w:t>
      </w:r>
      <w:r w:rsidRPr="00C63849">
        <w:tab/>
        <w:t>având în vedere Raportul anual al Comitetului Regiunilor către autoritatea care acordă descărcarea de gestiune privind auditurile interne desfășurate în 2024,</w:t>
      </w:r>
    </w:p>
    <w:p w14:paraId="002153E4" w14:textId="77777777" w:rsidR="00653E30" w:rsidRPr="00C63849" w:rsidRDefault="00653E30" w:rsidP="00653E30">
      <w:pPr>
        <w:pStyle w:val="NormalHanging12a"/>
      </w:pPr>
      <w:r w:rsidRPr="00C63849">
        <w:t>–</w:t>
      </w:r>
      <w:r w:rsidRPr="00C63849">
        <w:tab/>
        <w:t>având în vedere Raportul anual al Curții de Conturi referitor la execuția bugetului privind exercițiul financiar 2024, însoțit de răspunsurile instituțiilor</w:t>
      </w:r>
      <w:r w:rsidRPr="00C63849">
        <w:rPr>
          <w:rStyle w:val="FootnoteReference"/>
        </w:rPr>
        <w:footnoteReference w:id="3"/>
      </w:r>
      <w:r w:rsidRPr="00C63849">
        <w:t>,</w:t>
      </w:r>
    </w:p>
    <w:p w14:paraId="199C089A" w14:textId="77777777" w:rsidR="00653E30" w:rsidRPr="00C63849" w:rsidRDefault="00653E30" w:rsidP="00653E30">
      <w:pPr>
        <w:pStyle w:val="NormalHanging12a"/>
      </w:pPr>
      <w:r w:rsidRPr="00C63849">
        <w:t>–</w:t>
      </w:r>
      <w:r w:rsidRPr="00C63849">
        <w:tab/>
        <w:t>având în vedere declarația de asigurare</w:t>
      </w:r>
      <w:r w:rsidRPr="00C63849">
        <w:rPr>
          <w:rStyle w:val="FootnoteReference"/>
        </w:rPr>
        <w:footnoteReference w:id="4"/>
      </w:r>
      <w:r w:rsidRPr="00C63849">
        <w:t xml:space="preserve"> privind fiabilitatea conturilor și legalitatea și regularitatea operațiunilor subiacente întocmită de Curtea de Conturi pentru exercițiul 2024 în temeiul articolului 287 din Tratatul privind funcționarea Uniunii Europene,</w:t>
      </w:r>
    </w:p>
    <w:p w14:paraId="1202CD52" w14:textId="77777777" w:rsidR="00653E30" w:rsidRPr="00C63849" w:rsidRDefault="00653E30" w:rsidP="00653E30">
      <w:pPr>
        <w:pStyle w:val="NormalHanging12a"/>
      </w:pPr>
      <w:r w:rsidRPr="00C63849">
        <w:t>–</w:t>
      </w:r>
      <w:r w:rsidRPr="00C63849">
        <w:tab/>
        <w:t>având în vedere articolul 314 alineatul (10) și articolele 317, 318 și 319 din Tratatul privind funcționarea Uniunii Europene,</w:t>
      </w:r>
    </w:p>
    <w:p w14:paraId="108B8EAD" w14:textId="77777777" w:rsidR="00653E30" w:rsidRPr="00C63849" w:rsidRDefault="00653E30" w:rsidP="00653E30">
      <w:pPr>
        <w:pStyle w:val="NormalHanging12a"/>
      </w:pPr>
      <w:r w:rsidRPr="00C63849">
        <w:t>–</w:t>
      </w:r>
      <w:r w:rsidRPr="00C63849">
        <w:tab/>
        <w:t xml:space="preserve">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w:t>
      </w:r>
      <w:r w:rsidRPr="00C63849">
        <w:lastRenderedPageBreak/>
        <w:t>Regulamentului (UE, Euratom) nr. 966/2012</w:t>
      </w:r>
      <w:r w:rsidRPr="00C63849">
        <w:rPr>
          <w:rStyle w:val="FootnoteReference"/>
        </w:rPr>
        <w:footnoteReference w:id="5"/>
      </w:r>
      <w:r w:rsidRPr="00C63849">
        <w:t>, în special articolele 59, 118, 260, 261 și 262,</w:t>
      </w:r>
    </w:p>
    <w:p w14:paraId="54ED3E3F" w14:textId="77777777" w:rsidR="00653E30" w:rsidRPr="00C63849" w:rsidRDefault="00653E30" w:rsidP="00653E30">
      <w:pPr>
        <w:pStyle w:val="NormalHanging12a"/>
      </w:pPr>
      <w:r w:rsidRPr="00C63849">
        <w:t>–</w:t>
      </w:r>
      <w:r w:rsidRPr="00C63849">
        <w:tab/>
        <w:t>având în vedere Regulamentul (UE, Euratom) 2024/2509 al Parlamentului European și al Consiliului din 23 septembrie 2024 privind normele financiare aplicabile bugetului general al Uniunii</w:t>
      </w:r>
      <w:r w:rsidRPr="00C63849">
        <w:rPr>
          <w:rStyle w:val="FootnoteReference"/>
        </w:rPr>
        <w:footnoteReference w:id="6"/>
      </w:r>
      <w:r w:rsidRPr="00C63849">
        <w:t>, în special articolele 59, 118, 266, 267 și 268,</w:t>
      </w:r>
    </w:p>
    <w:p w14:paraId="2C79DA26" w14:textId="77777777" w:rsidR="00653E30" w:rsidRPr="00C63849" w:rsidRDefault="00653E30" w:rsidP="00653E30">
      <w:pPr>
        <w:pStyle w:val="NormalHanging12a"/>
      </w:pPr>
      <w:r w:rsidRPr="00C63849">
        <w:t>–</w:t>
      </w:r>
      <w:r w:rsidRPr="00C63849">
        <w:tab/>
        <w:t>având în vedere articolul 102 și anexa V la Regulamentul său de procedură,</w:t>
      </w:r>
    </w:p>
    <w:p w14:paraId="59B2B8FF" w14:textId="77777777" w:rsidR="00653E30" w:rsidRPr="00C63849" w:rsidRDefault="00653E30" w:rsidP="00653E30">
      <w:pPr>
        <w:pStyle w:val="NormalHanging12a"/>
      </w:pPr>
      <w:r w:rsidRPr="00C63849">
        <w:t>–</w:t>
      </w:r>
      <w:r w:rsidRPr="00C63849">
        <w:tab/>
        <w:t>având în vedere raportul Comisiei pentru control bugetar (A10-0056/2026),</w:t>
      </w:r>
    </w:p>
    <w:p w14:paraId="386FFCA2" w14:textId="77777777" w:rsidR="00653E30" w:rsidRPr="00C63849" w:rsidRDefault="00653E30" w:rsidP="00653E30">
      <w:pPr>
        <w:pStyle w:val="NormalHanging12a"/>
      </w:pPr>
      <w:r w:rsidRPr="00C63849">
        <w:t>1.</w:t>
      </w:r>
      <w:r w:rsidRPr="00C63849">
        <w:tab/>
        <w:t>acordă Secretarului General al Comitetului Regiunilor descărcarea de gestiune pentru execuția bugetului Comitetului Regiunilor aferent exercițiului financiar 2024;</w:t>
      </w:r>
    </w:p>
    <w:p w14:paraId="3B3B9F34" w14:textId="77777777" w:rsidR="00653E30" w:rsidRPr="00C63849" w:rsidRDefault="00653E30" w:rsidP="00653E30">
      <w:pPr>
        <w:pStyle w:val="NormalHanging12a"/>
      </w:pPr>
      <w:r w:rsidRPr="00C63849">
        <w:t>2.</w:t>
      </w:r>
      <w:r w:rsidRPr="00C63849">
        <w:tab/>
        <w:t>își prezintă observațiile în cadrul rezoluției de mai jos;</w:t>
      </w:r>
    </w:p>
    <w:p w14:paraId="79576B40" w14:textId="77777777" w:rsidR="00653E30" w:rsidRPr="00C63849" w:rsidRDefault="00653E30" w:rsidP="00653E30">
      <w:pPr>
        <w:pStyle w:val="NormalHanging12a"/>
      </w:pPr>
      <w:r w:rsidRPr="00C63849">
        <w:t>3.</w:t>
      </w:r>
      <w:r w:rsidRPr="00C63849">
        <w:tab/>
        <w:t xml:space="preserve">încredințează Președintei sarcina de a transmite prezenta decizie împreună cu rezoluția Parlamentului, ca parte integrantă a acesteia, Comitetului Regiunilor, Consiliului, Comisiei și Curții de Conturi și de a asigura publicarea acestora în </w:t>
      </w:r>
      <w:r w:rsidRPr="00C63849">
        <w:rPr>
          <w:i/>
          <w:iCs/>
        </w:rPr>
        <w:t>Jurnalul Oficial al Uniunii Europene</w:t>
      </w:r>
      <w:r w:rsidRPr="00C63849">
        <w:t xml:space="preserve"> (seria L).</w:t>
      </w:r>
    </w:p>
    <w:p w14:paraId="29BA5C87" w14:textId="77777777" w:rsidR="00653E30" w:rsidRPr="00C63849" w:rsidRDefault="00653E30" w:rsidP="00653E30"/>
    <w:p w14:paraId="6D7C7EA2" w14:textId="77777777" w:rsidR="00653E30" w:rsidRPr="00C63849" w:rsidRDefault="00653E30" w:rsidP="00653E30">
      <w:pPr>
        <w:pStyle w:val="PageHeading"/>
        <w:sectPr w:rsidR="00653E30" w:rsidRPr="00C63849" w:rsidSect="0086402A">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33A479C" w14:textId="2A7B992B" w:rsidR="00FC22AD" w:rsidRPr="00C63849" w:rsidRDefault="00FC22AD" w:rsidP="0093355B">
      <w:pPr>
        <w:pStyle w:val="ATHeading3"/>
      </w:pPr>
      <w:bookmarkStart w:id="8" w:name="_Toc225506634"/>
      <w:r w:rsidRPr="00C63849">
        <w:lastRenderedPageBreak/>
        <w:t>2. Rezoluția Parlamentului European din 2</w:t>
      </w:r>
      <w:r w:rsidR="0093355B" w:rsidRPr="00C63849">
        <w:t>9</w:t>
      </w:r>
      <w:r w:rsidRPr="00C63849">
        <w:t xml:space="preserve"> aprilie 2026 conținând observațiile care fac parte integrantă din decizia privind descărcarea de gestiune pentru execuția bugetului general al Uniunii Europene aferent exercițiului financiar 2024, secțiunea VII – Comitetul Regiunilor (2025/2152(DEC))</w:t>
      </w:r>
    </w:p>
    <w:bookmarkEnd w:id="8"/>
    <w:p w14:paraId="113B3824" w14:textId="77777777" w:rsidR="00653E30" w:rsidRPr="00C63849" w:rsidRDefault="00653E30" w:rsidP="00653E30">
      <w:pPr>
        <w:pStyle w:val="EPComma"/>
      </w:pPr>
      <w:r w:rsidRPr="00C63849">
        <w:rPr>
          <w:i/>
        </w:rPr>
        <w:t>Parlamentul European</w:t>
      </w:r>
      <w:r w:rsidRPr="00C63849">
        <w:t>,</w:t>
      </w:r>
    </w:p>
    <w:p w14:paraId="27E5670A" w14:textId="77777777" w:rsidR="00653E30" w:rsidRPr="00C63849" w:rsidRDefault="00653E30" w:rsidP="00653E30">
      <w:pPr>
        <w:pStyle w:val="NormalHanging12a"/>
      </w:pPr>
      <w:r w:rsidRPr="00C63849">
        <w:t>–</w:t>
      </w:r>
      <w:r w:rsidRPr="00C63849">
        <w:tab/>
        <w:t>având în vedere Decizia sa privind descărcarea de gestiune pentru execuția bugetului general al Uniunii Europene aferent exercițiului financiar 2024, secțiunea VII – Comitetul Regiunilor,</w:t>
      </w:r>
    </w:p>
    <w:p w14:paraId="26AEB9AF" w14:textId="77777777" w:rsidR="00653E30" w:rsidRPr="00C63849" w:rsidRDefault="00653E30" w:rsidP="00653E30">
      <w:pPr>
        <w:pStyle w:val="NormalHanging12a"/>
      </w:pPr>
      <w:r w:rsidRPr="00C63849">
        <w:t>–</w:t>
      </w:r>
      <w:r w:rsidRPr="00C63849">
        <w:tab/>
        <w:t>având în vedere articolul 102 și anexa V la Regulamentul său de procedură,</w:t>
      </w:r>
    </w:p>
    <w:p w14:paraId="18163A41" w14:textId="77777777" w:rsidR="00653E30" w:rsidRPr="00C63849" w:rsidRDefault="00653E30" w:rsidP="00653E30">
      <w:pPr>
        <w:pStyle w:val="NormalHanging12a"/>
      </w:pPr>
      <w:r w:rsidRPr="00C63849">
        <w:t>–</w:t>
      </w:r>
      <w:r w:rsidRPr="00C63849">
        <w:tab/>
        <w:t>având în vedere raportul Comisiei pentru control bugetar (A10-0056/2026),</w:t>
      </w:r>
    </w:p>
    <w:p w14:paraId="27C594A0" w14:textId="77777777" w:rsidR="00653E30" w:rsidRPr="00C63849" w:rsidRDefault="00653E30" w:rsidP="00653E30">
      <w:pPr>
        <w:pStyle w:val="NormalHanging12a"/>
      </w:pPr>
      <w:r w:rsidRPr="00C63849">
        <w:t>A.</w:t>
      </w:r>
      <w:r w:rsidRPr="00C63849">
        <w:rPr>
          <w:b/>
          <w:i/>
        </w:rPr>
        <w:t xml:space="preserve"> </w:t>
      </w:r>
      <w:r w:rsidRPr="00C63849">
        <w:rPr>
          <w:b/>
          <w:i/>
        </w:rPr>
        <w:tab/>
      </w:r>
      <w:r w:rsidRPr="00C63849">
        <w:t xml:space="preserve">întrucât, în contextul procedurii de descărcare de gestiune, subliniind totodată că este deosebit de important să se întărească și mai mult legitimitatea democratică a instituțiilor Uniunii, evaluarea realizată de autoritatea care acordă descărcarea de gestiune vizează nu numai legalitatea și regularitatea cheltuielilor, ci și cheltuielile Uniunii destinate să îmbunătățească transparența și responsabilitatea și să aplice principiul întocmirii bugetului în funcție de performanțe și de buna gestiune a resurselor umane, pentru a obține rezultate măsurabile pentru cetățeni, în special la nivel local și regional; </w:t>
      </w:r>
    </w:p>
    <w:p w14:paraId="61E37CC3" w14:textId="77777777" w:rsidR="00653E30" w:rsidRPr="00C63849" w:rsidRDefault="00653E30" w:rsidP="00653E30">
      <w:pPr>
        <w:pStyle w:val="NormalHanging12a"/>
      </w:pPr>
      <w:r w:rsidRPr="00C63849">
        <w:t xml:space="preserve">B. </w:t>
      </w:r>
      <w:r w:rsidRPr="00C63849">
        <w:tab/>
        <w:t xml:space="preserve">întrucât Comitetul Regiunilor (denumit în continuare „Comitetul”) este o adunare politică formată din 329 de membri (și 329 de supleanți) aleși în regiunile, orașele, satele și municipalitățile din cele 27 de state membre ale Uniunii, care joacă un rol instituțional esențial în legătură cu politica de coeziune a Uniunii, reprezentând autoritățile regionale și locale, funcționând ca organ consultativ al instituțiilor Uniunii, și are misiunea de a contribui la conturarea politicilor Uniunii și la procesul de luare a deciziilor din punctul de vedere al autorităților locale și regionale și, în același timp, de a ajuta la eficientizarea și apropierea Uniunii de cetățeni; </w:t>
      </w:r>
    </w:p>
    <w:p w14:paraId="6F363F58" w14:textId="77777777" w:rsidR="00653E30" w:rsidRPr="00C63849" w:rsidRDefault="00653E30" w:rsidP="00653E30">
      <w:pPr>
        <w:pStyle w:val="NormalHanging12a"/>
        <w:rPr>
          <w:color w:val="000000"/>
        </w:rPr>
      </w:pPr>
      <w:r w:rsidRPr="00C63849">
        <w:rPr>
          <w:color w:val="000000"/>
        </w:rPr>
        <w:t>C.</w:t>
      </w:r>
      <w:r w:rsidRPr="00C63849">
        <w:rPr>
          <w:color w:val="000000"/>
        </w:rPr>
        <w:tab/>
        <w:t>întrucât consultarea Comitetului de către Comisie sau Consiliu este obligatorie în anumite cazuri, iar Comitetul poate adopta și avize din proprie inițiativă, beneficiind de o marjă largă de sesizare, astfel cum este definită în tratate, ceea ce îi permite să fie consultat de Parlament;</w:t>
      </w:r>
    </w:p>
    <w:p w14:paraId="0F291280" w14:textId="77777777" w:rsidR="00653E30" w:rsidRPr="00C63849" w:rsidRDefault="00653E30" w:rsidP="00653E30">
      <w:pPr>
        <w:pStyle w:val="NormalHanging12a"/>
        <w:rPr>
          <w:color w:val="000000"/>
        </w:rPr>
      </w:pPr>
      <w:r w:rsidRPr="00C63849">
        <w:rPr>
          <w:color w:val="000000"/>
        </w:rPr>
        <w:t>D.</w:t>
      </w:r>
      <w:r w:rsidRPr="00C63849">
        <w:rPr>
          <w:color w:val="000000"/>
        </w:rPr>
        <w:tab/>
        <w:t>întrucât activitățile Comitetului sunt definite pe baza strategiei sale politice globale, astfel cum a fost prezentată în rezoluția sa din 2 iulie 2020 privind prioritățile sale pentru perioada 2020-2025</w:t>
      </w:r>
      <w:r w:rsidRPr="00C63849">
        <w:rPr>
          <w:rStyle w:val="FootnoteReference"/>
          <w:color w:val="000000"/>
        </w:rPr>
        <w:footnoteReference w:id="7"/>
      </w:r>
      <w:r w:rsidRPr="00C63849">
        <w:rPr>
          <w:color w:val="000000"/>
        </w:rPr>
        <w:t xml:space="preserve">, și întrucât Comitetul a adoptat trei priorități politice pentru mandatul 2020-2025, însoțite de trei campanii de comunicare: apropierea Europei de cetățeni, construirea unor comunități regionale și locale </w:t>
      </w:r>
      <w:proofErr w:type="spellStart"/>
      <w:r w:rsidRPr="00C63849">
        <w:rPr>
          <w:color w:val="000000"/>
        </w:rPr>
        <w:t>reziliente</w:t>
      </w:r>
      <w:proofErr w:type="spellEnd"/>
      <w:r w:rsidRPr="00C63849">
        <w:rPr>
          <w:color w:val="000000"/>
        </w:rPr>
        <w:t xml:space="preserve"> și promovarea coeziunii ca valoare fundamentală a UE;</w:t>
      </w:r>
    </w:p>
    <w:p w14:paraId="35B771F9" w14:textId="77777777" w:rsidR="00653E30" w:rsidRPr="00C63849" w:rsidRDefault="00653E30" w:rsidP="00653E30">
      <w:pPr>
        <w:pStyle w:val="NormalHanging12a"/>
        <w:rPr>
          <w:b/>
          <w:i/>
          <w:color w:val="000000"/>
        </w:rPr>
      </w:pPr>
      <w:r w:rsidRPr="00C63849">
        <w:rPr>
          <w:color w:val="000000"/>
        </w:rPr>
        <w:t>E.</w:t>
      </w:r>
      <w:r w:rsidRPr="00C63849">
        <w:rPr>
          <w:b/>
          <w:i/>
          <w:color w:val="000000"/>
        </w:rPr>
        <w:t xml:space="preserve"> </w:t>
      </w:r>
      <w:r w:rsidRPr="00C63849">
        <w:rPr>
          <w:b/>
          <w:i/>
          <w:color w:val="000000"/>
        </w:rPr>
        <w:tab/>
      </w:r>
      <w:r w:rsidRPr="00C63849">
        <w:rPr>
          <w:color w:val="000000"/>
        </w:rPr>
        <w:t xml:space="preserve">întrucât administrațiile locale și regionale reprezintă o treime din cheltuielile publice, jumătate din investițiile publice și o pătrime din veniturile fiscale și, în multe state </w:t>
      </w:r>
      <w:r w:rsidRPr="00C63849">
        <w:rPr>
          <w:color w:val="000000"/>
        </w:rPr>
        <w:lastRenderedPageBreak/>
        <w:t>membre, dețin competențe în domenii-cheie precum educația, dezvoltarea economică și coeziunea, mediul, protecția socială, sănătatea și serviciile de interes general, astfel încât coordonarea la nivel local, regional, național și la nivelul Uniunii sporește legitimitatea legislației, îmbunătățește asumarea responsabilității, apără mai eficient interesele cetățenilor și contribuie la monitorizarea și punerea în aplicare a cheltuielilor Uniunii cu impact teritorial, garantând, în același timp, că nimeni nu este lăsat în urmă;</w:t>
      </w:r>
    </w:p>
    <w:p w14:paraId="599C1D25" w14:textId="77777777" w:rsidR="00653E30" w:rsidRPr="00C63849" w:rsidRDefault="00653E30" w:rsidP="00653E30">
      <w:pPr>
        <w:pStyle w:val="NormalHanging12a"/>
        <w:rPr>
          <w:color w:val="000000"/>
        </w:rPr>
      </w:pPr>
      <w:r w:rsidRPr="00C63849">
        <w:rPr>
          <w:color w:val="000000"/>
        </w:rPr>
        <w:t>F.</w:t>
      </w:r>
      <w:r w:rsidRPr="00C63849">
        <w:rPr>
          <w:color w:val="000000"/>
        </w:rPr>
        <w:tab/>
        <w:t>întrucât Comitetul își urmărește obiectivul politic de a-și consolida implicarea în întregul ciclu politic și legislativ al Uniunii, asigurând în același timp o legătură mai tangibilă cu cetățenii Uniunii prin activitatea membrilor Comitetului ca multiplicatori puternici în comunitățile lor și în asociațiile lor naționale de autorități locale și regionale;</w:t>
      </w:r>
    </w:p>
    <w:p w14:paraId="5516FD6A" w14:textId="77777777" w:rsidR="00653E30" w:rsidRPr="00C63849" w:rsidRDefault="00653E30" w:rsidP="00653E30">
      <w:pPr>
        <w:pStyle w:val="NormalHanging12a"/>
        <w:rPr>
          <w:color w:val="000000"/>
        </w:rPr>
      </w:pPr>
      <w:r w:rsidRPr="00C63849">
        <w:rPr>
          <w:color w:val="000000"/>
        </w:rPr>
        <w:t>G.</w:t>
      </w:r>
      <w:r w:rsidRPr="00C63849">
        <w:rPr>
          <w:color w:val="000000"/>
        </w:rPr>
        <w:tab/>
        <w:t xml:space="preserve">întrucât Comitetul a identificat nouă domenii-cheie prioritare pentru ca acțiunile sale să devină mai strategice și cu un impact mai mare în 2024: </w:t>
      </w:r>
      <w:r w:rsidRPr="00C63849">
        <w:t xml:space="preserve">extinderea Uniunii și sprijinul pentru Ucraina; </w:t>
      </w:r>
      <w:r w:rsidRPr="00C63849">
        <w:rPr>
          <w:color w:val="000000"/>
        </w:rPr>
        <w:t>democrația</w:t>
      </w:r>
      <w:r w:rsidRPr="00C63849">
        <w:t xml:space="preserve"> și o mai bună reglementare; reziliența; Pactul verde la nivel local; competitivitatea, industria, IMM-urile, simplificarea normativă și impozitarea întreprinderilor; optimizarea realizării obiectivelor politicii de coeziune a Uniunii și a comunicării cu privire la aceasta; gestionarea triplei crize planetare; ocuparea forței de muncă, egalitatea și politicile sociale; promovarea sprijinului acordat de Uniune ecosistemelor regionale de inovare; </w:t>
      </w:r>
    </w:p>
    <w:p w14:paraId="6E04B7B4" w14:textId="77777777" w:rsidR="00653E30" w:rsidRPr="00C63849" w:rsidRDefault="00653E30" w:rsidP="00653E30">
      <w:pPr>
        <w:pStyle w:val="NormalHanging12a"/>
        <w:rPr>
          <w:color w:val="000000"/>
        </w:rPr>
      </w:pPr>
      <w:r w:rsidRPr="00C63849">
        <w:rPr>
          <w:color w:val="000000"/>
        </w:rPr>
        <w:t>H.</w:t>
      </w:r>
      <w:r w:rsidRPr="00C63849">
        <w:rPr>
          <w:color w:val="000000"/>
        </w:rPr>
        <w:tab/>
        <w:t>întrucât Regulamentul (UE) 2021/1060 al Parlamentului European și al Consiliului</w:t>
      </w:r>
      <w:r w:rsidRPr="00C63849">
        <w:rPr>
          <w:rStyle w:val="FootnoteReference"/>
          <w:color w:val="000000"/>
        </w:rPr>
        <w:footnoteReference w:id="8"/>
      </w:r>
      <w:r w:rsidRPr="00C63849">
        <w:rPr>
          <w:color w:val="000000"/>
        </w:rPr>
        <w:t>, care reglementează politica de coeziune a Uniunii și finanțarea acesteia în perioada 2021-2027 și care a intrat în vigoare în iulie 2021, cuprinde trimiteri la principiul parteneriatului și al guvernanței pe mai multe niveluri, sprijinit de Comitet și de Parlament și implicând participarea regiunilor Uniunii și a autorităților lor locale și regionale;</w:t>
      </w:r>
    </w:p>
    <w:p w14:paraId="46085952" w14:textId="77777777" w:rsidR="00653E30" w:rsidRPr="00C63849" w:rsidRDefault="00653E30" w:rsidP="00653E30">
      <w:pPr>
        <w:pStyle w:val="NormalHanging12a"/>
        <w:rPr>
          <w:b/>
          <w:bCs/>
          <w:color w:val="000000"/>
        </w:rPr>
      </w:pPr>
      <w:r w:rsidRPr="00C63849">
        <w:rPr>
          <w:color w:val="000000"/>
        </w:rPr>
        <w:t>I.</w:t>
      </w:r>
      <w:r w:rsidRPr="00C63849">
        <w:rPr>
          <w:color w:val="000000"/>
        </w:rPr>
        <w:tab/>
        <w:t>întrucât cele peste 400 de programe naționale și regionale create pentru punerea în aplicare a politicii de coeziune a Uniunii în perioada de programare 2021-2027 au pus la dispoziție aproximativ 380 de miliarde EUR, în cadrul unor fonduri diferite, pentru a face față încercărilor economice, sociale și de mediu cu care se confruntă regiunile, orașele, satele și municipalitățile Uniunii;</w:t>
      </w:r>
    </w:p>
    <w:p w14:paraId="49576C0A" w14:textId="77777777" w:rsidR="00653E30" w:rsidRPr="00C63849" w:rsidRDefault="00653E30" w:rsidP="00653E30">
      <w:pPr>
        <w:pStyle w:val="NormalHanging12a"/>
        <w:rPr>
          <w:color w:val="000000"/>
        </w:rPr>
      </w:pPr>
      <w:r w:rsidRPr="00C63849">
        <w:rPr>
          <w:color w:val="000000"/>
        </w:rPr>
        <w:t>J.</w:t>
      </w:r>
      <w:r w:rsidRPr="00C63849">
        <w:rPr>
          <w:color w:val="000000"/>
        </w:rPr>
        <w:tab/>
      </w:r>
      <w:r w:rsidRPr="00C63849">
        <w:t>întrucât, la 19 februarie 2021, a intrat în vigoare Regulamentul (UE) 2021/241 al Parlamentului European și al Consiliului</w:t>
      </w:r>
      <w:r w:rsidRPr="00C63849">
        <w:rPr>
          <w:color w:val="000000"/>
          <w:vertAlign w:val="superscript"/>
        </w:rPr>
        <w:footnoteReference w:id="9"/>
      </w:r>
      <w:r w:rsidRPr="00C63849">
        <w:t xml:space="preserve"> de instituire a Mecanismului de redresare și reziliență al Uniunii, oferind temeiul juridic pentru distribuirea de fonduri și împrumuturi în valoare de până la 672,5 miliarde EUR (la prețurile din 2018) statelor membre între 2021 și 2026 și vizând, de asemenea, sprijinirea coeziunii economice, </w:t>
      </w:r>
      <w:r w:rsidRPr="00C63849">
        <w:lastRenderedPageBreak/>
        <w:t>sociale și teritoriale și abordarea disparităților dintre regiunile Uniunii;</w:t>
      </w:r>
      <w:r w:rsidRPr="00C63849">
        <w:rPr>
          <w:color w:val="000000"/>
        </w:rPr>
        <w:t xml:space="preserve"> </w:t>
      </w:r>
    </w:p>
    <w:p w14:paraId="39D89FE3" w14:textId="77777777" w:rsidR="00653E30" w:rsidRPr="00C63849" w:rsidRDefault="00653E30" w:rsidP="00653E30">
      <w:pPr>
        <w:pStyle w:val="NormalHanging12a"/>
        <w:rPr>
          <w:color w:val="000000"/>
        </w:rPr>
      </w:pPr>
      <w:r w:rsidRPr="00C63849">
        <w:rPr>
          <w:color w:val="000000"/>
        </w:rPr>
        <w:t>K.</w:t>
      </w:r>
      <w:r w:rsidRPr="00C63849">
        <w:rPr>
          <w:color w:val="000000"/>
        </w:rPr>
        <w:tab/>
        <w:t>întrucât, în calitate de instituție a Uniunii în sensul Regulamentului financiar, Comitetul trebuie să își adopte propriile conturi anuale, întocmite în conformitate cu normele contabile adoptate de contabilul Comisiei (normele contabile ale Uniunii Europene), pe baza Standardelor internaționale de contabilitate pentru sectorul public, care sunt în final consolidate în cele ale Uniunii,</w:t>
      </w:r>
    </w:p>
    <w:p w14:paraId="467AA2A7" w14:textId="77777777" w:rsidR="00653E30" w:rsidRPr="00C63849" w:rsidRDefault="00653E30" w:rsidP="00653E30">
      <w:pPr>
        <w:pStyle w:val="NormalHanging12a"/>
      </w:pPr>
      <w:r w:rsidRPr="00C63849">
        <w:t>1.</w:t>
      </w:r>
      <w:r w:rsidRPr="00C63849">
        <w:tab/>
        <w:t xml:space="preserve">constată că bugetul Comitetului se încadrează la rubrica 7 din cadrul financiar multianual („CFM”) – „Administrația publică europeană” („rubrica 7”) –, care în 2024 a avut un cuantum total de 13,3 miliarde EUR, adică 6,9 % din cheltuielile de la bugetul Uniunii; constată că bugetul </w:t>
      </w:r>
      <w:r w:rsidRPr="00C63849">
        <w:rPr>
          <w:color w:val="000000"/>
        </w:rPr>
        <w:t>Comitetului</w:t>
      </w:r>
      <w:r w:rsidRPr="00C63849">
        <w:t xml:space="preserve"> a reprezentat 0,92 % din creditele de la rubrica 7 din CFM în 2024; </w:t>
      </w:r>
    </w:p>
    <w:p w14:paraId="69BEBCAD" w14:textId="77777777" w:rsidR="00653E30" w:rsidRPr="00C63849" w:rsidRDefault="00653E30" w:rsidP="00653E30">
      <w:pPr>
        <w:pStyle w:val="NormalHanging12a"/>
      </w:pPr>
      <w:r w:rsidRPr="00C63849">
        <w:t>2.</w:t>
      </w:r>
      <w:r w:rsidRPr="00C63849">
        <w:tab/>
        <w:t>ia act de faptul că, în raportul său anual pentru exercițiul financiar 2024 („raportul Curții”), Curtea de Conturi („Curtea”) a examinat un eșantion de 70 de operațiuni de la rubrica „Administrație”, acest număr fiind identic cu numărul de operațiuni examinat în 2023; întrucât Curtea precizează că cheltuielile administrative cuprind cheltuielile cu resursele umane, inclusiv cheltuielile pentru pensii, care în 2024 au reprezentat aproximativ 69 % din totalul cheltuielilor administrative, precum și cheltuielile pentru clădiri, echipamente, energie, comunicații și tehnologia informației (IT), și că activitatea sa desfășurată de-a lungul mai multor ani arată că, în general, cheltuielile administrative prezintă un risc scăzut;</w:t>
      </w:r>
    </w:p>
    <w:p w14:paraId="55593B26" w14:textId="77777777" w:rsidR="00653E30" w:rsidRPr="00C63849" w:rsidRDefault="00653E30" w:rsidP="00653E30">
      <w:pPr>
        <w:pStyle w:val="NormalHanging12a"/>
      </w:pPr>
      <w:r w:rsidRPr="00C63849">
        <w:t>3.</w:t>
      </w:r>
      <w:r w:rsidRPr="00C63849">
        <w:tab/>
        <w:t>constată că 16 (23 %) dintre cele 70 de operațiuni conțineau erori, dar Curtea, pe baza celor trei erori care au fost cuantificate, a estimat că nivelul de eroare se situează sub pragul de semnificație; observă că raportul Curții nu a identificat nicio problemă specifică referitoare la Comitet;</w:t>
      </w:r>
    </w:p>
    <w:p w14:paraId="5B3EF5C6" w14:textId="77777777" w:rsidR="00653E30" w:rsidRPr="00C63849" w:rsidRDefault="00653E30" w:rsidP="00653E30">
      <w:pPr>
        <w:pStyle w:val="NormalHanging12a"/>
        <w:rPr>
          <w:bCs/>
          <w:iCs/>
        </w:rPr>
      </w:pPr>
      <w:r w:rsidRPr="00C63849">
        <w:t>4.</w:t>
      </w:r>
      <w:r w:rsidRPr="00C63849">
        <w:tab/>
        <w:t>constată că politica de coeziune contribuie semnificativ la încrederea cetățenilor în Uniune, producând rezultate concrete și vizibile prin proiecte regionale și locale și consolidând astfel legitimitatea acțiunii Uniunii pe teren; subliniază că, în acest context, Comitetul joacă un rol esențial în apropierea cetățenilor Uniunii de procesul decizional al acesteia;</w:t>
      </w:r>
    </w:p>
    <w:p w14:paraId="19678606" w14:textId="77777777" w:rsidR="00653E30" w:rsidRPr="00C63849" w:rsidRDefault="00653E30" w:rsidP="00653E30">
      <w:pPr>
        <w:pStyle w:val="NormalHanging12a"/>
        <w:ind w:left="360"/>
        <w:rPr>
          <w:b/>
          <w:i/>
        </w:rPr>
      </w:pPr>
      <w:r w:rsidRPr="00C63849">
        <w:rPr>
          <w:b/>
          <w:i/>
        </w:rPr>
        <w:t>Gestiunea bugetară și financiară</w:t>
      </w:r>
    </w:p>
    <w:p w14:paraId="338D4688" w14:textId="77777777" w:rsidR="00653E30" w:rsidRPr="00C63849" w:rsidRDefault="00653E30" w:rsidP="00653E30">
      <w:pPr>
        <w:pStyle w:val="NormalHanging12a"/>
      </w:pPr>
      <w:r w:rsidRPr="00C63849">
        <w:t xml:space="preserve">5. </w:t>
      </w:r>
      <w:r w:rsidRPr="00C63849">
        <w:tab/>
        <w:t xml:space="preserve">constată, pe baza raportului anual de activitate al Comitetului pentru 2024 („raportul anual”), că bugetul final adoptat al Comitetului a fost de 123 178 345 EUR în 2024, acest buget incluzând bugetul rectificativ nr. 5/2024 (legat de salarii), ceea ce reprezintă o creștere de 6 502 953 EUR (și anume +5,60 %) față de 2023; constată cu satisfacție că rata de execuție bugetară a Comitetului pentru creditele de angajament din exercițiul curent a fost de 99,9 % în 2024 (la fel ca în 2023), iar rata de execuție a creditelor de plată pentru exercițiul curent a crescut de la 91,20 % în 2023 la 91,90 % în 2024; salută, de asemenea, creșterea ratei de execuție a creditelor C8 (reportate din 2023 în 2024) de la 85 % în 2023 la 92,20 % în 2024, în timp ce creditele reportate din 2023 în 2024 au fost de 12 578 853 EUR, față de 10 540 464 EUR în exercițiul precedent; felicită Comitetul pentru rata sa constant ridicată de execuție bugetară de-a lungul anilor, datorată optimizării planificării și execuției bugetare, având în vedere presiunile bugetare persistente; recunoaște, în acest context, subfinanțarea structurală a Comitetului, în special având în vedere rolul său de lider inovator și de teren de testare </w:t>
      </w:r>
      <w:r w:rsidRPr="00C63849">
        <w:lastRenderedPageBreak/>
        <w:t xml:space="preserve">pentru practici care ar putea aduce beneficii administrației Uniunii în general, și recunoaște că sunt necesare resurse suplimentare pentru ca această instituție să-și atingă în mod eficace obiectivele, respectând în același timp disciplina bugetară; </w:t>
      </w:r>
    </w:p>
    <w:p w14:paraId="4DD7ABA4" w14:textId="77777777" w:rsidR="00653E30" w:rsidRPr="00C63849" w:rsidRDefault="00653E30" w:rsidP="00653E30">
      <w:pPr>
        <w:pStyle w:val="NormalHanging12a"/>
      </w:pPr>
      <w:r w:rsidRPr="00C63849">
        <w:t>6.</w:t>
      </w:r>
      <w:r w:rsidRPr="00C63849">
        <w:tab/>
        <w:t>subliniază că ratele ridicate de execuție bugetară și nivelurile scăzute de eroare ale Comitetului demonstrează că execuția descentralizată, aproape de autoritățile regionale și locale, poate asigura atât o bună gestiune financiară, cât și rezultate tangibile pentru cetățeni și recunoaște, în același timp, că sunt necesare resurse suplimentare; invită Comisia să implice pe deplin Comitetul, în limitele mandatului său instituțional, în monitorizarea și evaluarea cheltuielilor Uniunii, inclusiv în deciziile care privesc bugetul UE pentru perioada de după 2027, pentru a consolida și mai mult asumarea răspunderii, transparența și performanța proiectelor de coeziune care vizează să reducă disparitățile economice, sociale și teritoriale;</w:t>
      </w:r>
    </w:p>
    <w:p w14:paraId="65E0A36B" w14:textId="77777777" w:rsidR="00653E30" w:rsidRPr="00C63849" w:rsidRDefault="00653E30" w:rsidP="00653E30">
      <w:pPr>
        <w:pStyle w:val="NormalHanging12a"/>
      </w:pPr>
      <w:r w:rsidRPr="00C63849">
        <w:t>7.</w:t>
      </w:r>
      <w:r w:rsidRPr="00C63849">
        <w:tab/>
        <w:t>constată că rata de execuție a creditelor C1 de la postul bugetar 1 0 0 0 – „Cheltuieli de birou ale membrilor” a scăzut de la 76,20 % în 2023 la doar 13,90 % în 2024; ia act de explicația Comitetului, potrivit căreia indemnizațiile pentru cheltuielile de birou aferente exercițiului 2024 au fost executate la începutul anului 2025, folosind credite C8; observă că Comitetul a remediat rata scăzută de execuție din 2023 a creditelor C8 de la postul bugetar 2 0 0 7 – „Amenajarea spațiilor” evitând inițierea unor proiecte imobiliare mari la sfârșitul anului și efectuând plăți intermediare pentru proiecte pe termen lung pentru a preveni facturile întârziate; constată, cu toate acestea, că la acest post s-a înregistrat o scădere a ratei de execuție a creditelor C1 de la 99,20 % în 2023 la 51,90 % în 2024, din cauza calendarului de renovare a unora dintre ascensoarele Comitetului;</w:t>
      </w:r>
    </w:p>
    <w:p w14:paraId="75EA2ED6" w14:textId="77777777" w:rsidR="00653E30" w:rsidRPr="00C63849" w:rsidRDefault="00653E30" w:rsidP="00653E30">
      <w:pPr>
        <w:pStyle w:val="NormalHanging12a"/>
      </w:pPr>
      <w:r w:rsidRPr="00C63849">
        <w:t>8.</w:t>
      </w:r>
      <w:r w:rsidRPr="00C63849">
        <w:tab/>
        <w:t xml:space="preserve">constată, pe baza raportului anual, că, în cursul anului 2024, Comitetul a executat 42 de transferuri în valoare totală de 2,7 milioane EUR, printre care s-au numărat 37 de transferuri interne în valoare totală de 1,1 milioane EUR și cinci transferuri externe în valoare totală de 1,6 milioane EUR, din care suma de aproximativ 1 milion EUR a fost transferată către linii bugetare care acoperă sau consolidează elemente precum plata anuală a chiriei, organizarea unei competiții interne, cheltuielile informatice și amenajarea spațiilor pentru a găzdui un spațiu mediatic destinat utilizării atât de către Comitet, cât și de către Comitetul Economic și Social European („CESE”); </w:t>
      </w:r>
    </w:p>
    <w:p w14:paraId="3413C852" w14:textId="77777777" w:rsidR="00653E30" w:rsidRPr="00C63849" w:rsidRDefault="00653E30" w:rsidP="00653E30">
      <w:pPr>
        <w:pStyle w:val="NormalHanging12a"/>
      </w:pPr>
      <w:r w:rsidRPr="00C63849">
        <w:t>9.</w:t>
      </w:r>
      <w:r w:rsidRPr="00C63849">
        <w:tab/>
        <w:t xml:space="preserve">constată că, în contextul războiului de agresiune al Rusiei împotriva Ucrainei, Comitetul a continuat să fie afectat în 2024 de creșterea costurilor energiei, transportului, cazării și de mecanismele de indexare legate de rata inflației, care au avut un impact direct sau indirect asupra cheltuielilor pentru materii prime, contractanți externi, energie, deplasări, chirii, leasing și întreținerea clădirilor, printre altele; constată că, în perioada 2022-2025, creșterea costurilor cumulate legate de indexare a fost de + 21,50 % pentru chirie și plățile aferente chiriei pentru clădiri și de + 15 % pentru contractele de întreținere și securitate, precum și că, în perioada 2022-2024, costul mediu pentru un deputat care se deplasează la și de la Bruxelles a crescut de la 1 200 EUR la 1 620 EUR; constată, în acest context, creșterea numărului de transferuri bugetare ale Comitetului de la 31 în 2023 la 42 în 2024, parțial pentru a acoperi contractele afectate de inflația ridicată și de indexare; salută acțiunile comune ale Comitetului și ale CESE pentru a asigura colaborări interinstituționale mai bune prin digitalizare și eforturi comune în materie de achiziții publice; salută măsurile reînnoite de economisire a energiei adoptate de Comitet în 2024, care sunt esențiale pentru atenuarea efectelor creșterii costurilor energiei; recunoaște totuși că este necesar ca toate instituțiile Uniunii să își </w:t>
      </w:r>
      <w:r w:rsidRPr="00C63849">
        <w:lastRenderedPageBreak/>
        <w:t>îmbunătățească gestiunea bugetară, ținând seama, de asemenea, de volatilitatea prețurilor, în special în sectorul energetic, atunci când încheie contracte cu furnizorii de servicii;</w:t>
      </w:r>
    </w:p>
    <w:p w14:paraId="75F8BFF0" w14:textId="77777777" w:rsidR="00653E30" w:rsidRPr="00C63849" w:rsidRDefault="00653E30" w:rsidP="00653E30">
      <w:pPr>
        <w:pStyle w:val="NormalHanging12a"/>
        <w:rPr>
          <w:bCs/>
          <w:iCs/>
        </w:rPr>
      </w:pPr>
      <w:r w:rsidRPr="00C63849">
        <w:t>10.</w:t>
      </w:r>
      <w:r w:rsidRPr="00C63849">
        <w:tab/>
        <w:t>invită administrația Comitetului să identifice și să pună în aplicare în mod activ măsuri de reducere a costurilor, inclusiv prin folosirea mai frecventă a tehnologiilor pentru reuniuni hibride, optimizarea utilizării clădirilor, consolidarea activităților administrative și reducerea cheltuielilor logistice inutile; solicită rapoarte periodice privind progresele înregistrate referitoare la măsurile puse în aplicare și la economiile realizate;</w:t>
      </w:r>
    </w:p>
    <w:p w14:paraId="62E84555" w14:textId="77777777" w:rsidR="00653E30" w:rsidRPr="00C63849" w:rsidRDefault="00653E30" w:rsidP="00653E30">
      <w:pPr>
        <w:pStyle w:val="NormalHanging12a"/>
      </w:pPr>
      <w:r w:rsidRPr="00C63849">
        <w:t>11.</w:t>
      </w:r>
      <w:r w:rsidRPr="00C63849">
        <w:tab/>
        <w:t xml:space="preserve">ia act de o creștere a plăților efectuate pentru membrii Comitetului, de la postul bugetar 1 0 0 4, de la 7 955 968 EUR în 2023 la 8 036 613 EUR în 2024, această majorare fiind echivalentă cu 1 % (în scădere față de creșterea de + 20 % înregistrată în exercițiul precedent); observă că 8 231 de plăți au fost efectuate pentru a acoperi cheltuielile de deplasare, 4 188 de plăți au vizat acoperirea indemnizațiilor de deplasare, 7 303 plăți au fost efectuate cu titlu de indemnizații pentru participarea cu prezență fizică la evenimente, iar 164 de plăți s-au efectuat pentru a finanța participarea de la distanță în 2024; constată, pe baza acțiunilor subsecvente întreprinse de Comitet pentru a da curs observațiilor din rezoluția Parlamentului referitoare la descărcarea de gestiune pentru exercițiul financiar 2023 („raportul de monitorizare”), că Comitetul a adoptat un set revizuit de norme privind rambursarea cheltuielilor de deplasare și plata indemnizațiilor pentru membrii Comitetului în 2024, fiind prevăzute mai multe măsuri menite să reducă costurile inutile și emisiile de dioxid de carbon, astfel cum a recomandat Parlamentul în mai multe rezoluții anterioare referitoare la descărcarea de gestiune; </w:t>
      </w:r>
    </w:p>
    <w:p w14:paraId="03B8C47F" w14:textId="77777777" w:rsidR="00653E30" w:rsidRPr="00C63849" w:rsidRDefault="00653E30" w:rsidP="00653E30">
      <w:pPr>
        <w:pStyle w:val="NormalHanging12a"/>
      </w:pPr>
      <w:r w:rsidRPr="00C63849">
        <w:t>12.</w:t>
      </w:r>
      <w:r w:rsidRPr="00C63849">
        <w:tab/>
        <w:t xml:space="preserve">constată că bugetul pentru misiuni (creditele exercițiului curent) a fost majorat cu 13,60 %, de la 420 833 EUR în 2023 la 478 050 EUR în 2024, și că s-a înregistrat o rată de execuție a bugetului respectiv de aproximativ 80 % în 2024 (similară cu rata din 2023); observă că această majorare s-a datorat unei creșteri a numărului de misiuni de la 574 în 2023 la 810 în 2024, în condițiile în care 268 de misiuni au fost legate de organizarea de către Comitet a unui summit la </w:t>
      </w:r>
      <w:proofErr w:type="spellStart"/>
      <w:r w:rsidRPr="00C63849">
        <w:t>Mons</w:t>
      </w:r>
      <w:proofErr w:type="spellEnd"/>
      <w:r w:rsidRPr="00C63849">
        <w:t>, care a marcat cea de a 30-a aniversare a Comitetului în 2024;</w:t>
      </w:r>
    </w:p>
    <w:p w14:paraId="6256DDDA" w14:textId="77777777" w:rsidR="00653E30" w:rsidRPr="00C63849" w:rsidRDefault="00653E30" w:rsidP="00653E30">
      <w:pPr>
        <w:pStyle w:val="NormalHanging12a"/>
      </w:pPr>
      <w:r w:rsidRPr="00C63849">
        <w:t>13.</w:t>
      </w:r>
      <w:r w:rsidRPr="00C63849">
        <w:tab/>
        <w:t xml:space="preserve">constată o scădere cu aproximativ 10 % a creditelor aferente exercițiului curent pentru serviciile de interpretare, de la 4,167 milioane EUR în 2023 la 3,737 milioane EUR în 2024, precum și o rată de execuție de 64,80 % în 2024, în scădere de la 67,30 % în 2023; </w:t>
      </w:r>
    </w:p>
    <w:p w14:paraId="3989EA5C" w14:textId="77777777" w:rsidR="00653E30" w:rsidRPr="00C63849" w:rsidRDefault="00653E30" w:rsidP="00653E30">
      <w:pPr>
        <w:pStyle w:val="NormalHanging12a"/>
        <w:rPr>
          <w:bCs/>
        </w:rPr>
      </w:pPr>
      <w:r w:rsidRPr="00C63849">
        <w:t>14.</w:t>
      </w:r>
      <w:r w:rsidRPr="00C63849">
        <w:tab/>
        <w:t xml:space="preserve">observă că normele actuale ale Comitetului stabilesc valoarea indemnizației forfetare de ședință la distanță ca reprezentând 50 % din indemnizația obișnuită de ședință, aceasta din urmă fiind de 367 EUR, iar cea dintâi de 186,50 EUR după indexare; constată că suma totală plătită pentru indemnizațiile de ședință la distanță a continuat să fie scăzută în comparație cu anii precedenți, după ce în 2023 s-a înregistrat o revenire semnificativă la reuniunile cu prezență fizică; constată, cu toate acestea, o ușoară creștere a sumei plătite, de la 32 632 EUR în 2023 la 38 104 EUR în 2024; constată, pe baza răspunsurilor Comitetului la chestionarul prezentat de Comisia pentru control bugetar a Parlamentului pentru descărcarea de gestiune 2024 (denumit în continuare „chestionarul”), că numai reuniunile organelor nestatutare ale Comitetului se pot desfășura online sau în format hibrid, în timp ce participarea de la distanță este monitorizată prin intermediul platformei </w:t>
      </w:r>
      <w:proofErr w:type="spellStart"/>
      <w:r w:rsidRPr="00C63849">
        <w:t>Interactio</w:t>
      </w:r>
      <w:proofErr w:type="spellEnd"/>
      <w:r w:rsidRPr="00C63849">
        <w:t xml:space="preserve"> și prin extragerea fișierelor.csv din </w:t>
      </w:r>
      <w:r w:rsidRPr="00C63849">
        <w:lastRenderedPageBreak/>
        <w:t>aceasta; invită Comitetul să consolideze transparența și proporționalitatea sistemului de indemnizație de participare de la distanță pentru a consolida încrederea publicului și subliniază că compensația financiară pentru participarea de la distanță trebuie să fie strict justificată; consideră că, deși participarea de la distanță este un instrument important pentru instituțiile moderne – reducând costurile reuniunilor și permițând o participare mai largă – alocarea unei indemnizații reduse pentru organele Comitetului care participă de la distanță la reuniuni, limitată la anumite tipuri de evenimente, poate fi o măsură proporțională și echitabilă pentru responsabilitățile membrilor și cerințele în materie de pregătire; constată, cu toate acestea, că este important să se asigure transparența și proporționalitatea în legătură cu nivelul acestor indemnizații, mai ales atunci când există diferențe între organele Uniunii în ceea ce privește participarea de la distanță; consideră că nivelul actual al indemnizației de ședință la distanță trebuie justificat mai bine în ceea ce privește raportul cost-eficacitate, proporționalitatea și acceptabilitatea publică; solicită o utilizare mai largă și mai sistematică a formatelor online și hibrid ale reuniunilor, după caz, pentru a reduce cheltuielile legate de deplasări, a mări eficiența din punctul de vedere al costurilor, a limita impactul asupra mediului și a îmbunătăți încrederea publicului în utilizarea prudentă a fondurilor Uniunii, precum și pentru a evalua posibilitatea de a armoniza normele Comitetului cu cele aplicate de CESE sau a oferi o justificare clară și transparentă în favoarea menținerii unui sistem diferențiat;</w:t>
      </w:r>
    </w:p>
    <w:p w14:paraId="7AF0900E" w14:textId="77777777" w:rsidR="00653E30" w:rsidRPr="00C63849" w:rsidRDefault="00653E30" w:rsidP="00653E30">
      <w:pPr>
        <w:pStyle w:val="NormalHanging12a"/>
      </w:pPr>
      <w:r w:rsidRPr="00C63849">
        <w:t>15.</w:t>
      </w:r>
      <w:r w:rsidRPr="00C63849">
        <w:tab/>
        <w:t>constată cu satisfacție, pe baza chestionarului și a raportului de monitorizare, că termenul mediu de plată a scăzut de la 21,88 zile în 2023 la 18,46 zile în 2024, în pofida unei noi creșteri a numărului de facturi procesate; felicită Comitetul pentru atingerea unui procent ridicat (83 %) de facturi primite electronic în 2024;</w:t>
      </w:r>
    </w:p>
    <w:p w14:paraId="79D3519C" w14:textId="77777777" w:rsidR="00653E30" w:rsidRPr="00C63849" w:rsidRDefault="00653E30" w:rsidP="00653E30">
      <w:pPr>
        <w:pStyle w:val="NormalHanging12a"/>
        <w:ind w:left="360"/>
        <w:rPr>
          <w:b/>
          <w:i/>
        </w:rPr>
      </w:pPr>
      <w:r w:rsidRPr="00C63849">
        <w:rPr>
          <w:b/>
          <w:i/>
        </w:rPr>
        <w:t>Gestiunea internă, performanța și controlul intern</w:t>
      </w:r>
    </w:p>
    <w:p w14:paraId="3AEEB67F" w14:textId="77777777" w:rsidR="00653E30" w:rsidRPr="00C63849" w:rsidRDefault="00653E30" w:rsidP="00653E30">
      <w:pPr>
        <w:pStyle w:val="NormalHanging12a"/>
      </w:pPr>
      <w:r w:rsidRPr="00C63849">
        <w:t>16.</w:t>
      </w:r>
      <w:r w:rsidRPr="00C63849">
        <w:tab/>
        <w:t>recunoaște că Comitetul este un actor cu o contribuție fundamentală la elaborarea politicilor și la procesele decizionale ale Uniunii prin reprezentarea intereselor autorităților locale și regionale din Uniune, aducând astfel Europa mai aproape de cetățenii săi și sporind legitimitatea democratică a legislației Uniunii; constată, pe baza raportului anual, că, pentru 2024, ca parte a planului operațional anual al Comitetului, raportarea performanței acestuia s-a bazat pe 26 de obiective, a căror realizare a fost evaluată prin intermediul a 87 de indicatori cantitativi; invită Comitetul să consolideze în continuare indicatorii orientați către rezultate și impact pentru a demonstra mai bine impactul și valoarea adăugată a activităților Comitetului pentru politicile Uniunii; întrucât țintele aferente majorității indicatorilor menționați (aproximativ 74 %) au fost atinse cu un nivel de 90 % sau mai mult, șase dintre acestea au fost atinse parțial cu un nivel mai mic de 90 %, iar șase ținte nu au fost atinse; constată, pe baza chestionarului, că Comitetul a pus în aplicare un ciclu cuprinzător de planificare și raportare, care a inclus crearea unui registru central al riscurilor și un exercițiu de evaluare a riscurilor pentru toate obiectivele din planul operațional anual în 2024; încurajează Comitetul să continue să lucreze la îmbunătățirea performanței, precum și la îmbunătățirea eficacității; salută eforturile Comitetului de a introduce soluții reformatoare și inovatoare, de a raționaliza administrația și de a evita suprapunerea rolurilor cu alte organisme;</w:t>
      </w:r>
    </w:p>
    <w:p w14:paraId="72DC0478" w14:textId="77777777" w:rsidR="00653E30" w:rsidRPr="00C63849" w:rsidRDefault="00653E30" w:rsidP="00653E30">
      <w:pPr>
        <w:pStyle w:val="NormalHanging12a"/>
      </w:pPr>
      <w:r w:rsidRPr="00C63849">
        <w:t>17.</w:t>
      </w:r>
      <w:r w:rsidRPr="00C63849">
        <w:tab/>
        <w:t>subliniază relevanța și valoarea strategică a indicatorilor de performanță și invită Comitetul să își consolideze în continuare cadrul de indicatori, asigurând raportarea rezultatelor și a impactului, mai degrabă decât doar a activității administrative;</w:t>
      </w:r>
    </w:p>
    <w:p w14:paraId="7DA463BB" w14:textId="659EB8B2" w:rsidR="00653E30" w:rsidRPr="00C63849" w:rsidRDefault="00653E30" w:rsidP="00653E30">
      <w:pPr>
        <w:pStyle w:val="NormalHanging12a"/>
      </w:pPr>
      <w:r w:rsidRPr="00C63849">
        <w:lastRenderedPageBreak/>
        <w:t>18</w:t>
      </w:r>
      <w:r w:rsidR="00C30A4F">
        <w:t>.</w:t>
      </w:r>
      <w:r w:rsidRPr="00C63849">
        <w:tab/>
        <w:t>constată că Comitetul își îndeplinește misiunea prin avize, care se referă la propunerile legislative ale Comisiei (sesizări), prin avize din proprie inițiativă, care invită instituțiile Uniunii să ia măsuri, precum și prin rezoluții, care evidențiază poziția Comitetului cu privire la anumite subiecte; observă că, în 2024, Comitetul a adoptat 53 de avize (la fel ca în 2023) și patru rezoluții (în 2023 numărul rezoluțiilor fiind de șase); recunoaște realizările politice ale Comitetului din 2024 și rolul său în integrarea perspectivelor locale și regionale în procesul de elaborare a politicilor Uniunii, mărind astfel implicarea cetățenilor;</w:t>
      </w:r>
    </w:p>
    <w:p w14:paraId="2692EBC1" w14:textId="77777777" w:rsidR="00653E30" w:rsidRPr="00C63849" w:rsidRDefault="00653E30" w:rsidP="00653E30">
      <w:pPr>
        <w:pStyle w:val="NormalHanging12a"/>
      </w:pPr>
      <w:r w:rsidRPr="00C63849">
        <w:t xml:space="preserve">19. </w:t>
      </w:r>
      <w:r w:rsidRPr="00C63849">
        <w:tab/>
        <w:t>ia act cu satisfacție, pe baza raportului anual pe 2024 al Comitetului privind impactul avizelor („raportul privind impactul”), de realizările politice ale Comitetului în 2024 în ceea ce privește cele trei priorități politice ale sale pentru perioada 2020-2025, fiind astfel consolidat rolul Comitetului în modelarea politicii Uniunii la nivel regional și local; observă că contribuțiile Comitetului – sub forma declarațiilor și recomandărilor formulate în avize – au avut un impact asupra principalelor domenii de politică ale Uniunii, spre exemplu în ceea ce privește schimbările climatice, natura, energia și economia verde [de exemplu, prin raportul „Pactul verde 2.0”, care a influențat concluziile Consiliului, precum și prin avizul Comitetului referitor la Regulamentul (UE) 2024/1991 al Parlamentului European și al Consiliului</w:t>
      </w:r>
      <w:r w:rsidRPr="00C63849">
        <w:rPr>
          <w:rStyle w:val="FootnoteReference"/>
        </w:rPr>
        <w:footnoteReference w:id="10"/>
      </w:r>
      <w:r w:rsidRPr="00C63849">
        <w:t>], transporturile (de exemplu, prin avizul Comitetului referitor la pachetul privind înverzirea transportului de marfă, care a influențat proiectele de rapoarte relevante ale Parlamentului) și sănătatea [de exemplu, prin avizul Comitetului referitor la Regulamentul (UE) 2025/327 al Parlamentului European și al Consiliului</w:t>
      </w:r>
      <w:r w:rsidRPr="00C63849">
        <w:rPr>
          <w:rStyle w:val="FootnoteReference"/>
        </w:rPr>
        <w:footnoteReference w:id="11"/>
      </w:r>
      <w:r w:rsidRPr="00C63849">
        <w:t xml:space="preserve">, care a influențat textul final de compromis]; constată cu satisfacție că propunerile formulate de Comitet au influențat deciziile Comisiei de a lansa un proiect-pilot în valoare de 23 de milioane EUR pentru cofinanțarea regiunilor și orașelor în vederea reintegrării șomerilor de lungă durată pe piața forței de muncă și de a lansa ambițiosul Plan european privind locuințele la prețuri accesibile, primul de acest fel, care abordează energia, sărăcia și locuințele sustenabile și reafirmă că accesul la locuințe este un drept fundamental; constată, de asemenea, că declarația adoptată la </w:t>
      </w:r>
      <w:proofErr w:type="spellStart"/>
      <w:r w:rsidRPr="00C63849">
        <w:t>Summitul</w:t>
      </w:r>
      <w:proofErr w:type="spellEnd"/>
      <w:r w:rsidRPr="00C63849">
        <w:t xml:space="preserve"> european al regiunilor și orașelor, care a avut loc în martie 2024 la </w:t>
      </w:r>
      <w:proofErr w:type="spellStart"/>
      <w:r w:rsidRPr="00C63849">
        <w:t>Mons</w:t>
      </w:r>
      <w:proofErr w:type="spellEnd"/>
      <w:r w:rsidRPr="00C63849">
        <w:t>, a contribuit la elaborarea Agendei strategice a Consiliului European și la orientările politice ale Comisiei;</w:t>
      </w:r>
    </w:p>
    <w:p w14:paraId="6D6B1776" w14:textId="77777777" w:rsidR="00653E30" w:rsidRPr="00C63849" w:rsidRDefault="00653E30" w:rsidP="00653E30">
      <w:pPr>
        <w:pStyle w:val="NormalHanging12a"/>
      </w:pPr>
      <w:r w:rsidRPr="00C63849">
        <w:t xml:space="preserve">20. </w:t>
      </w:r>
      <w:r w:rsidRPr="00C63849">
        <w:tab/>
        <w:t xml:space="preserve">își exprimă sprijinul pentru Comitet în eforturile sale de a furniza evaluări ale impactului teritorial specifice, proporționale și bazate pe dovezi, prin care se aduce o valoare adăugată clară pentru procesul legislativ, având în vedere rolul important jucat de Comitet în creșterea legitimității democratice a legislației Uniunii prin asigurarea unei coordonări active a autorităților locale și regionale; constată cu satisfacție că Comitetul a creat un mecanism de sine stătător de consultare a părților interesate pentru a colecta opinii înainte de a-și emite avizele, bazându-se pe implicarea diferitelor rețele, alianțe și centre locale și regionale; apreciază că vocile partenerilor din afara Uniunii sunt, de asemenea, luate în considerare, de exemplu, prin intermediul Alianței europene a orașelor și regiunilor pentru reconstrucția Ucrainei și al Adunării autorităților locale și </w:t>
      </w:r>
      <w:r w:rsidRPr="00C63849">
        <w:lastRenderedPageBreak/>
        <w:t xml:space="preserve">regionale din zona </w:t>
      </w:r>
      <w:proofErr w:type="spellStart"/>
      <w:r w:rsidRPr="00C63849">
        <w:t>euromediteraneeană</w:t>
      </w:r>
      <w:proofErr w:type="spellEnd"/>
      <w:r w:rsidRPr="00C63849">
        <w:t xml:space="preserve">; </w:t>
      </w:r>
    </w:p>
    <w:p w14:paraId="40700D97" w14:textId="77777777" w:rsidR="00653E30" w:rsidRPr="00C63849" w:rsidRDefault="00653E30" w:rsidP="00653E30">
      <w:pPr>
        <w:pStyle w:val="NormalHanging12a"/>
      </w:pPr>
      <w:r w:rsidRPr="00C63849">
        <w:t xml:space="preserve">21. </w:t>
      </w:r>
      <w:r w:rsidRPr="00C63849">
        <w:tab/>
        <w:t xml:space="preserve">ia act de implicarea mai amplă a Comitetului în întregul ciclu politic și legislativ al Uniunii, facilitată de cadrele sale de cooperare cu Comisia, Parlamentul și Banca Europeană de Investiții; subliniază că este important ca membrii Comitetului și ai CESE să fie invitați la reuniunile parlamentare care se încadrează în domeniile lor de competență; </w:t>
      </w:r>
    </w:p>
    <w:p w14:paraId="25C64049" w14:textId="77777777" w:rsidR="00653E30" w:rsidRPr="00C63849" w:rsidRDefault="00653E30" w:rsidP="00653E30">
      <w:pPr>
        <w:pStyle w:val="NormalHanging12a"/>
      </w:pPr>
      <w:r w:rsidRPr="00C63849">
        <w:t>22.</w:t>
      </w:r>
      <w:r w:rsidRPr="00C63849">
        <w:tab/>
        <w:t>observă că, în 2024, Comitetul a efectuat cinci consultări ale Rețelei de centre regionale, două consultări ale Grupului de experți privind subsidiaritatea și a finalizat două evaluări, precum și două avize „Pregătiți pentru viitor”; invită Comitetul să continue să furnizeze informații utile și pertinente, cum ar fi date de pe teren și analize, instituțiilor Uniunii și altor beneficiari ai politicilor Uniunii;</w:t>
      </w:r>
    </w:p>
    <w:p w14:paraId="419CEF9C" w14:textId="77777777" w:rsidR="00653E30" w:rsidRPr="00C63849" w:rsidRDefault="00653E30" w:rsidP="00653E30">
      <w:pPr>
        <w:pStyle w:val="NormalHanging12a"/>
      </w:pPr>
      <w:r w:rsidRPr="00C63849">
        <w:t>23.</w:t>
      </w:r>
      <w:r w:rsidRPr="00C63849">
        <w:tab/>
        <w:t>constată cu satisfacție că, în 2024, Comitetul a continuat să pună în aplicare măsuri de îmbunătățire a gestiunii sale interne și de modernizare a administrației sale, de raționalizare a proceselor sale și de îmbunătățire a raportului cost-eficacitate; salută îmbunătățirea utilizării instrumentelor digitale, mai ales eforturile care vizează simplificarea, eficiența administrativă și reducerea procedurilor interne inutile; ia act, pe baza chestionarului și a raportului anual, de progresele înregistrate în 2024 în ceea ce privește digitalizarea și optimizarea fluxului de lucru (de exemplu, utilizarea traducerii automate pentru sarcinile de rutină și extinderea instrumentelor Microsoft 365 și SharePoint), de economiile de costuri în ceea ce privește operațiunile și instalațiile (de exemplu, furnizarea de servicii de interpretare de la distanță, măsurile de economisire a energiei și un regim de lucru hibrid), de îmbunătățirea eficienței (de exemplu, prin renegocierea contractelor), de simplificarea normelor și a procedurilor, în condițiile în care au fost finalizate 63 de proiecte din 73 și s-a redus cu 20 % numărul de proceduri, precum și de alte câteva acțiuni în contextul planului „</w:t>
      </w:r>
      <w:proofErr w:type="spellStart"/>
      <w:r w:rsidRPr="00C63849">
        <w:t>Going</w:t>
      </w:r>
      <w:proofErr w:type="spellEnd"/>
      <w:r w:rsidRPr="00C63849">
        <w:t xml:space="preserve"> for </w:t>
      </w:r>
      <w:proofErr w:type="spellStart"/>
      <w:r w:rsidRPr="00C63849">
        <w:t>IMPact</w:t>
      </w:r>
      <w:proofErr w:type="spellEnd"/>
      <w:r w:rsidRPr="00C63849">
        <w:t>!” de modernizare a administrației Comitetului;</w:t>
      </w:r>
    </w:p>
    <w:p w14:paraId="3CA10B43" w14:textId="77777777" w:rsidR="00653E30" w:rsidRPr="00C63849" w:rsidRDefault="00653E30" w:rsidP="00653E30">
      <w:pPr>
        <w:pStyle w:val="NormalHanging12a"/>
        <w:rPr>
          <w:bCs/>
          <w:iCs/>
        </w:rPr>
      </w:pPr>
      <w:r w:rsidRPr="00C63849">
        <w:t>24.</w:t>
      </w:r>
      <w:r w:rsidRPr="00C63849">
        <w:tab/>
        <w:t>subliniază că eforturile de modernizare trebuie să fie însoțite de o evaluare sistematică a beneficiilor concrete obținute, inclusiv a câștigurilor măsurabile în materie de eficiență, economii de costuri și timpi de prelucrare; invită, prin urmare, Comitetul să stabilească o metodologie de cuantificare a acestor îmbunătățiri și să raporteze periodic cu privire la acestea;</w:t>
      </w:r>
    </w:p>
    <w:p w14:paraId="0939F025" w14:textId="77777777" w:rsidR="00653E30" w:rsidRPr="00C63849" w:rsidRDefault="00653E30" w:rsidP="00653E30">
      <w:pPr>
        <w:pStyle w:val="NormalHanging12a"/>
      </w:pPr>
      <w:r w:rsidRPr="00C63849">
        <w:t>25.</w:t>
      </w:r>
      <w:r w:rsidRPr="00C63849">
        <w:tab/>
        <w:t xml:space="preserve">ia act, pe baza chestionarului și a raportului anual, de acțiunile și măsurile pe care Comitetul le-a întreprins pentru un mediu de control intern simplificat, dar solid; observă că exercițiul de autoevaluare desfășurat în contextul controlului intern în 2024 a acordat atenție în principal gestiunii financiare și celor mai relevante aspecte de control intern pentru cei care execută bugetul Comitetului; constată cu satisfacție că Comitetul a finalizat examinarea a peste 500 de posturi sensibile, un exercițiu care a fost urmat de măsuri de atenuare, mecanisme de control și de adoptarea normelor privind mobilitatea în 2024; observă că planul multianual de acțiune al Comitetului pentru revizuirea și simplificarea mediului său de control intern a continuat prin implementarea instrumentului privind „convergența proiectelor”, ceea ce a implicat o serie de procese care se axează pe monitorizarea în timp real a performanței și impactului Comitetului și pe raportarea în timp real cu privire la acestea; întrucât ultimele două dintre aceste procese privind raportul anual de activitate al Comitetului și continuitatea activității sale au fost puse în aplicare pe deplin în 2024; constată, în ceea ce privește noul cadru de control intern al Comitetului, că au fost atinse și alte obiective de etapă, inclusiv crearea </w:t>
      </w:r>
      <w:r w:rsidRPr="00C63849">
        <w:lastRenderedPageBreak/>
        <w:t>de instrumente care pot fi puse în aplicare pentru utilizarea rapidă în caz de criză, acestea acoperind diverse domenii, cum ar fi IT, comunicarea, circuitele financiare și protecția datelor, printre altele;</w:t>
      </w:r>
    </w:p>
    <w:p w14:paraId="0EBE7703" w14:textId="77777777" w:rsidR="00653E30" w:rsidRPr="00C63849" w:rsidRDefault="00653E30" w:rsidP="00653E30">
      <w:pPr>
        <w:pStyle w:val="NormalHanging12a"/>
      </w:pPr>
      <w:r w:rsidRPr="00C63849">
        <w:t>26.</w:t>
      </w:r>
      <w:r w:rsidRPr="00C63849">
        <w:tab/>
        <w:t>ia act de faptul că, în 2024, Comitetul a pus în aplicare o procedură parțial digitalizată și simplificată pentru fluxurile de lucru financiare și numirea actorilor financiari; constată că, în 2024, 5,60 % dintre tranzacțiile verificate ex-ante au fost refuzate, impunându-se corectarea lor, sau au făcut obiectul unor avize negative și că controalele ex-post s-au axat pe tranzacțiile financiare (în conformitate cu noua metodologie) și nu au evidențiat probleme majore; constată, de asemenea, că numărul rapoartelor privind excepțiile financiare a scăzut în comparație cu 2023, că au fost înregistrate două rapoarte privind excepțiile administrative pentru nerespectarea procedurilor interne și că nu au existat litigii în curs legate de deciziile de achiziții publice;</w:t>
      </w:r>
    </w:p>
    <w:p w14:paraId="3BE87114" w14:textId="77777777" w:rsidR="00653E30" w:rsidRPr="00C63849" w:rsidRDefault="00653E30" w:rsidP="00653E30">
      <w:pPr>
        <w:pStyle w:val="NormalHanging12a"/>
      </w:pPr>
      <w:r w:rsidRPr="00C63849">
        <w:t>27.</w:t>
      </w:r>
      <w:r w:rsidRPr="00C63849">
        <w:tab/>
        <w:t>ia act de faptul că, în 2024, au fost inițiate trei noi audituri: cu privire la performanța serviciilor logistice furnizate membrilor Comitetului, la optimizarea alocării resurselor umane în cadrul Direcției Traducere și la caracterul adecvat al achizițiilor publice și al gestionării contractelor; ia act, pe baza chestionarului, de progresele înregistrate în ceea ce privește auditurile în curs privind gestionarea posturilor vacante, protecția datelor cu caracter personal și performanța organizării resurselor IT în cadrul serviciilor comune; invită Comitetul să informeze în permanență autoritatea care acordă descărcarea de gestiune despre progresele înregistrate în legătură cu aceste aspecte;</w:t>
      </w:r>
    </w:p>
    <w:p w14:paraId="5F46CE93" w14:textId="77777777" w:rsidR="00653E30" w:rsidRPr="00C63849" w:rsidRDefault="00653E30" w:rsidP="00653E30">
      <w:pPr>
        <w:pStyle w:val="NormalHanging12a"/>
        <w:rPr>
          <w:b/>
          <w:bCs/>
          <w:i/>
        </w:rPr>
      </w:pPr>
      <w:r w:rsidRPr="00C63849">
        <w:rPr>
          <w:b/>
          <w:i/>
        </w:rPr>
        <w:t>Resursele umane, egalitatea și starea de bine a personalului</w:t>
      </w:r>
    </w:p>
    <w:p w14:paraId="3A6FD417" w14:textId="77777777" w:rsidR="00653E30" w:rsidRPr="00C63849" w:rsidRDefault="00653E30" w:rsidP="00653E30">
      <w:pPr>
        <w:pStyle w:val="NormalHanging12a"/>
        <w:rPr>
          <w:bCs/>
        </w:rPr>
      </w:pPr>
      <w:r w:rsidRPr="00C63849">
        <w:t>28.</w:t>
      </w:r>
      <w:r w:rsidRPr="00C63849">
        <w:tab/>
        <w:t xml:space="preserve">constată că, la sfârșitul anului 2024, Comitetul avea în total 561 de membri ai personalului (fără a include experții naționali detașați, personalul interimar, </w:t>
      </w:r>
      <w:r w:rsidRPr="00C63849">
        <w:rPr>
          <w:i/>
          <w:iCs/>
        </w:rPr>
        <w:t xml:space="preserve">intra </w:t>
      </w:r>
      <w:proofErr w:type="spellStart"/>
      <w:r w:rsidRPr="00C63849">
        <w:rPr>
          <w:i/>
          <w:iCs/>
        </w:rPr>
        <w:t>muros</w:t>
      </w:r>
      <w:proofErr w:type="spellEnd"/>
      <w:r w:rsidRPr="00C63849">
        <w:t xml:space="preserve"> și stagiarii), față de 559 în 2023; constată că, la sfârșitul anului 2024, la Comitet erau angajați 73 de agenți contractuali față de 74 de agenți contractuali în 2023 și 102 agenți temporari față de 96 de agenți temporari în 2023, dintre care 22 de agenți contractuali aveau un contract pe durată nedeterminată, 51 de agenți contractuali aveau un contract pe durată determinată, 49 de agenți temporari erau pe posturi permanente cu contracte pe durată determinată, 50 de agenți temporari aveau un contract pe durată nedeterminată și 3 agenți temporari aveau un post temporar; constată, în plus, că Comitetul a angajat 39 furnizori externi de servicii care lucrează </w:t>
      </w:r>
      <w:r w:rsidRPr="00C63849">
        <w:rPr>
          <w:i/>
          <w:iCs/>
        </w:rPr>
        <w:t xml:space="preserve">intra </w:t>
      </w:r>
      <w:proofErr w:type="spellStart"/>
      <w:r w:rsidRPr="00C63849">
        <w:rPr>
          <w:i/>
          <w:iCs/>
        </w:rPr>
        <w:t>muros</w:t>
      </w:r>
      <w:proofErr w:type="spellEnd"/>
      <w:r w:rsidRPr="00C63849">
        <w:t>; subliniază importanța de a oferi contracte permanente, după caz, pentru a menține competențele, continuitatea și un mediu de lucru productiv și stabil, păstrând în același timp flexibilitatea și recrutarea pe bază de merit, în conformitate cu nevoile operaționale; atrage atenția cu privire la dependența excesivă de prestatori externi de servicii; constată că, în 2024, rata de ocupare a posturilor din schema de personal a fost de 96,40 % (o scădere de la 98 % în 2023), iar rata de rotație a fost, respectiv, de 7,30 % (o creștere de la 6,60 % în 2023);</w:t>
      </w:r>
    </w:p>
    <w:p w14:paraId="6F284567" w14:textId="77777777" w:rsidR="00653E30" w:rsidRPr="00C63849" w:rsidRDefault="00653E30" w:rsidP="00653E30">
      <w:pPr>
        <w:pStyle w:val="NormalHanging12a"/>
        <w:rPr>
          <w:bCs/>
        </w:rPr>
      </w:pPr>
      <w:r w:rsidRPr="00C63849">
        <w:t>29.</w:t>
      </w:r>
      <w:r w:rsidRPr="00C63849">
        <w:tab/>
        <w:t>observă că, în 2024, Comitetul a angajat 51 de stagiari în cadrul programului Cicero și că stagiarii Comitetului beneficiază de un grant lunar și se bucură de aceleași condiții de muncă ca și personalul, inclusiv de posibilitatea de a lucra de la distanță; subliniază din nou că stagiile trebuie remunerate, în concordanță cu Rezoluția Parlamentului European din 14 iunie 2023 conținând recomandări adresate Comisiei privind stagii de calitate în Uniune (2020/2005(INL)), în care se solicită ca toate stagiile din Uniune să fie plătite;</w:t>
      </w:r>
    </w:p>
    <w:p w14:paraId="76FB7275" w14:textId="4D0215D3" w:rsidR="00653E30" w:rsidRPr="00C63849" w:rsidRDefault="00653E30" w:rsidP="00653E30">
      <w:pPr>
        <w:pStyle w:val="NormalHanging12a"/>
        <w:rPr>
          <w:bCs/>
        </w:rPr>
      </w:pPr>
      <w:r w:rsidRPr="00C63849">
        <w:t>30.</w:t>
      </w:r>
      <w:r w:rsidRPr="00C63849">
        <w:tab/>
        <w:t xml:space="preserve">constată cu regret că Comitetul nu a atins încă paritatea de gen în posturile de conducere, dar recunoaște progresele semnificative înregistrate în cadrul strategiei și </w:t>
      </w:r>
      <w:r w:rsidRPr="00C63849">
        <w:lastRenderedPageBreak/>
        <w:t>planului de acțiune pe cinci ani ale Comitetului privind diversitatea și incluziunea pentru perioada 2022-2026; salută alegerea în 2025 a unei femei în funcția de președintă a Comitetului, reafirmând angajamentul instituției de a promova egalitatea de gen la cel mai înalt nivel politic și încurajează Comitetul să își continue eforturile de creștere a reprezentării femeilor în funcții de conducere, subliniind, în același timp, că meritul și calificările profesionale continuă să fie principalele criterii pentru numire; observă că, la sfârșitul anului 2024, personalul angajat al Comitetului era format din 57,</w:t>
      </w:r>
      <w:r w:rsidR="0093355B" w:rsidRPr="00C63849">
        <w:t>2</w:t>
      </w:r>
      <w:r w:rsidRPr="00C63849">
        <w:t> % femei și 42,8 % bărbați, aproape aceleași proporții ca în 2023; constată că proporția femeilor în funcții de conducere de nivel superior a scăzut de la 44,4 % în 2023 la 33,3 % în 2024 (aceasta a crescut din nou la 44,4 % în 2025), iar proporția femeilor în funcții de conducere de nivel mediu a scăzut de la 32,50 % în 2023 la 29,7 % în 2024; ia act, pe baza chestionarului, de măsurile adoptate pentru a încuraja o mai mare participare a femeilor la rolurile de conducere, cum ar fi posibilități de formare și de mentorat specifice pentru femeile care aspiră la posturi de conducere și promovarea unor formule de lucru mai flexibile; reafirmă că realizarea echilibrului de gen pe termen lung în posturile de conducere este un obiectiv instituțional central și se așteaptă ca Comitetul să adopte un plan de acțiune concret, cu termene precise, cu ținte măsurabile, etape intermediare și raportare anuală; invită Comitetul să se asigure că progresele în direcția parității sunt monitorizate și comunicate public;</w:t>
      </w:r>
    </w:p>
    <w:p w14:paraId="2762DE07" w14:textId="77777777" w:rsidR="00653E30" w:rsidRPr="00C63849" w:rsidRDefault="00653E30" w:rsidP="00653E30">
      <w:pPr>
        <w:pStyle w:val="NormalHanging12a"/>
        <w:rPr>
          <w:bCs/>
        </w:rPr>
      </w:pPr>
      <w:r w:rsidRPr="00C63849">
        <w:t>31.</w:t>
      </w:r>
      <w:r w:rsidRPr="00C63849">
        <w:tab/>
        <w:t>felicită Comitetul pentru acțiunile sale de promovare a echilibrului de gen în rândul membrilor săi, în special prin trimiterea de scrisori Consiliului cu privire la posturile vacante și prin promovarea acestora pe lângă reprezentanțele permanente și asociațiile naționale ale autorităților locale și regionale implicate în procesul de numire; constată, pe baza raportului de monitorizare, că, între timp, procentul membrilor de sex feminin a crescut de la 23,40 % în 2020 la 28,7 % în 2025; apreciază că noul Regulament de procedură al Comitetului, care a intrat în vigoare în august 2024, include obiective explicite pentru a consolida echilibrul de gen, în special în componența Biroului Comitetului; încurajează Comitetul să continue să promoveze echilibrul de gen, asigurându-se, în același timp, că numirile se bazează pe merit, experiență profesională și calificări;</w:t>
      </w:r>
    </w:p>
    <w:p w14:paraId="16EC7F33" w14:textId="77777777" w:rsidR="00653E30" w:rsidRPr="00C63849" w:rsidRDefault="00653E30" w:rsidP="00653E30">
      <w:pPr>
        <w:pStyle w:val="NormalHanging12a"/>
      </w:pPr>
      <w:r w:rsidRPr="00C63849">
        <w:t>32.</w:t>
      </w:r>
      <w:r w:rsidRPr="00C63849">
        <w:tab/>
        <w:t>felicită Comitetul pentru organizarea unui concurs intern în 2024 cu scopul de a răspunde nevoilor actuale și viitoare în materie de recrutare, de a asigura continuitatea activității și de a păstra personalul cu experiență, acoperind astfel golul creat de absența listelor de rezervă ale Oficiului European pentru Selecția Personalului (EPSO); constată, pe baza chestionarului, că pe lista de rezervă a Comitetului erau înscriși 72 de candidați, dintre care 46 au fost deja recrutați în diferite grade, atât AST, cât și AD, la 1 septembrie 2025; se așteaptă, prin urmare, la o scădere a numărului de agenți temporari și de agenți contractuali angajați de Comitet începând cu 2025;</w:t>
      </w:r>
    </w:p>
    <w:p w14:paraId="09D8740A" w14:textId="77777777" w:rsidR="00653E30" w:rsidRPr="00C63849" w:rsidRDefault="00653E30" w:rsidP="00653E30">
      <w:pPr>
        <w:pStyle w:val="NormalHanging12a"/>
      </w:pPr>
      <w:r w:rsidRPr="00C63849">
        <w:t>33.</w:t>
      </w:r>
      <w:r w:rsidRPr="00C63849">
        <w:tab/>
        <w:t xml:space="preserve">observă că, în urma unui proiect-pilot privind un regim de lucru hibrid și a unui sondaj privind satisfacția personalului lansat în 2022, Comitetul a adoptat, la 1 ianuarie 2024, o decizie, aplicabilă începând cu 1 februarie 2024, care prevede un regim de lucru hibrid și un program de lucru săptămânal personalizat pentru fiecare membru al personalului, precum și posibilitatea de a lucra de acasă până la 60 % din timpul de lucru al personalului (cu excepția categoriilor de personal incompatibile cu </w:t>
      </w:r>
      <w:proofErr w:type="spellStart"/>
      <w:r w:rsidRPr="00C63849">
        <w:t>telemunca</w:t>
      </w:r>
      <w:proofErr w:type="spellEnd"/>
      <w:r w:rsidRPr="00C63849">
        <w:t>) și de a lucra din afara orașului de angajare timp de până la 15 zile pe an; recunoaște că aceste măsuri vizează îmbunătățirea echilibrului dintre viața profesională și cea privată, menținând în același timp eficiența operațională și satisfacția personalului;</w:t>
      </w:r>
    </w:p>
    <w:p w14:paraId="4FE85310" w14:textId="77777777" w:rsidR="00653E30" w:rsidRPr="00C63849" w:rsidRDefault="00653E30" w:rsidP="00653E30">
      <w:pPr>
        <w:pStyle w:val="NormalHanging12a"/>
      </w:pPr>
      <w:r w:rsidRPr="00C63849">
        <w:lastRenderedPageBreak/>
        <w:t>34.</w:t>
      </w:r>
      <w:r w:rsidRPr="00C63849">
        <w:tab/>
        <w:t>constată cu satisfacție că 89 % dintre cei care au răspuns la sondajul din 2025 în rândul personalului și-au exprimat satisfacția cu privire la formulele flexibile de lucru ale Comitetului; întrucât aceste formule pot avea, de asemenea, un impact asupra numărului de zile de concediu medical luate de personalul Comitetului; constată, pe baza raportului de monitorizare, că se menține tendința descrescătoare a numărului total de zile de concediu medical, cu 7 303 zile în 2024, comparativ cu 7 544 de zile în 2023, în timp ce: - numărul de angajați fără concediu medical a scăzut de la 211 (sau 36 % din întregul personal) în 2023 la 196 (sau 34 % din întregul personal) în 2024; - numărul de angajați aflați în concediu medical timp de mai puțin de șapte zile a crescut de la 201 (sau 35 % din întregul personal) în 2023 la 211 (sau 36 % în 2024) și - numărul de angajați aflați în concediu medical pentru o durată cuprinsă între 7,5 și 21 de zile a crescut de la 92 (sau 16 % din întregul personal) în 2023 la 96 (sau 16 % din întregul personal) în 2024;</w:t>
      </w:r>
    </w:p>
    <w:p w14:paraId="1EC765D4" w14:textId="77777777" w:rsidR="00653E30" w:rsidRPr="00C63849" w:rsidRDefault="00653E30" w:rsidP="00653E30">
      <w:pPr>
        <w:pStyle w:val="NormalHanging12a"/>
      </w:pPr>
      <w:r w:rsidRPr="00C63849">
        <w:t>35.</w:t>
      </w:r>
      <w:r w:rsidRPr="00C63849">
        <w:tab/>
        <w:t xml:space="preserve">constată, de asemenea, pe baza chestionarului, că numărul cazurilor de epuizare profesională a scăzut de la 18 în 2023 la 6 în 2024; felicită Comitetul pentru abordarea sa </w:t>
      </w:r>
      <w:proofErr w:type="spellStart"/>
      <w:r w:rsidRPr="00C63849">
        <w:t>proactivă</w:t>
      </w:r>
      <w:proofErr w:type="spellEnd"/>
      <w:r w:rsidRPr="00C63849">
        <w:t xml:space="preserve"> în ceea ce privește prevenirea epuizării profesionale, monitorizând îndeaproape personalul aflat în concediu medical de lungă durată prin măsuri adaptate, care presupun un contact periodic cu personalul respectiv și intervenția experților medicali; remarcă și că, în 2024, Comitetul a reușit să reintegreze cu succes trei membri ai personalului după o absență îndelungată ca urmare a epuizării profesionale, datorită unei urmăriri personalizate a concediului medical de lungă durată; salută acțiunile preventive întreprinse de Comitet în 2024 pentru a îmbunătăți sănătatea și starea de bine la locul de muncă, de exemplu, oferind personalului sesiuni la fața locului cu specialiști paramedicali (fizioterapeuți, </w:t>
      </w:r>
      <w:proofErr w:type="spellStart"/>
      <w:r w:rsidRPr="00C63849">
        <w:t>osteopați</w:t>
      </w:r>
      <w:proofErr w:type="spellEnd"/>
      <w:r w:rsidRPr="00C63849">
        <w:t>, formatori angajați în temeiul unui contract-cadru) și organizând conferințe de informare cu privire la sănătate;</w:t>
      </w:r>
    </w:p>
    <w:p w14:paraId="629A47C3" w14:textId="77777777" w:rsidR="00653E30" w:rsidRPr="00C63849" w:rsidRDefault="00653E30" w:rsidP="00653E30">
      <w:pPr>
        <w:pStyle w:val="NormalHanging12a"/>
      </w:pPr>
      <w:r w:rsidRPr="00C63849">
        <w:t>36.</w:t>
      </w:r>
      <w:r w:rsidRPr="00C63849">
        <w:tab/>
        <w:t>observă că, în 2024, Comitetul a continuat să informeze cu privire la măsurile instituite pentru a împiedica și combate hărțuirea la locul de muncă, în concordanță cu decizia sa din 26 aprilie 2021 privind protecția demnității la locul de muncă, gestionarea conflictelor și combaterea hărțuirii, în special prin orientări specifice, comunicare internă (buletin informativ bilunar al resurselor umane) și organizarea mai multor sesiuni de informare pentru personal și manageri, inclusiv formarea obligatorie privind etica și integritatea; constată că Comitetul a înregistrat patru noi cazuri de presupusă hărțuire în 2024, un caz fiind legat de hărțuirea sexuală, iar un caz fiind înaintat poliției belgiene printr-o plângere oficială; ia act de faptul că au fost aplicate procedurile stabilite (evaluare preliminară, anchetă administrativă, măsuri de precauție etc.) și invită Comitetul să informeze autoritatea care acordă descărcarea de gestiune cu privire la rezultatul acestor cazuri;</w:t>
      </w:r>
    </w:p>
    <w:p w14:paraId="53BFE432" w14:textId="77777777" w:rsidR="00653E30" w:rsidRPr="00C63849" w:rsidRDefault="00653E30" w:rsidP="00653E30">
      <w:pPr>
        <w:pStyle w:val="NormalHanging12a"/>
      </w:pPr>
      <w:r w:rsidRPr="00C63849">
        <w:t>37.</w:t>
      </w:r>
      <w:r w:rsidRPr="00C63849">
        <w:tab/>
        <w:t xml:space="preserve">felicită Comitetul pentru că se asigură că persoanele cu dizabilități pot accesa sau utiliza toate produsele sale digitale, aplicând orientările privind accesibilitatea conținutului web; constată, în acest context, că, în 2024, platforma </w:t>
      </w:r>
      <w:proofErr w:type="spellStart"/>
      <w:r w:rsidRPr="00C63849">
        <w:t>HReForms</w:t>
      </w:r>
      <w:proofErr w:type="spellEnd"/>
      <w:r w:rsidRPr="00C63849">
        <w:t xml:space="preserve"> a Comitetului a fost modernizată, accesibilitatea fiind o cerință esențială, cu caracteristici care includ, printre altele, îmbunătățirea contrastului cromatic, navigarea prin tastatură și textul alternativ; constată cu satisfacție că Comitetul rambursează cheltuielile de cazare ale candidaților cu dizabilități, asigurând astfel proceduri de selecție echitabile;</w:t>
      </w:r>
    </w:p>
    <w:p w14:paraId="03A242A3" w14:textId="77777777" w:rsidR="00653E30" w:rsidRPr="00C63849" w:rsidRDefault="00653E30" w:rsidP="00653E30">
      <w:pPr>
        <w:pStyle w:val="NormalHanging12a"/>
      </w:pPr>
      <w:r w:rsidRPr="00C63849">
        <w:t>38.</w:t>
      </w:r>
      <w:r w:rsidRPr="00C63849">
        <w:tab/>
        <w:t xml:space="preserve">observă că, în 2024, Comitetul avea angajați reprezentând toate naționalitățile Uniunii (și un angajat de cetățenie ucraineană), unele dintre acestea fiind suprareprezentate; salută eforturile Comitetului de a echilibra distribuția geografică în rândul personalului </w:t>
      </w:r>
      <w:r w:rsidRPr="00C63849">
        <w:lastRenderedPageBreak/>
        <w:t>său în 2024, prin inițiative de informare specifice care să atragă candidați din țările subreprezentate; observă că aceste inițiative au inclus creșterea utilizării platformelor digitale și a platformelor de comunicare socială pentru oferi o mai mare vizibilitate posturilor vacante, colaborarea directă cu reprezentanțele permanente ale statelor membre, prezentări destinate unui public vizat pentru a încuraja participarea la procedurile de selecție ale Comitetului și analiza tendințelor candidaturilor; constată că aceste măsuri au condus deja la un rezultat pozitiv în 2024, cum ar fi un număr mai mare de candidaturi primite, inclusiv din partea țărilor subreprezentate; salută, în plus, colaborarea Comitetului cu EPSO și cu alte instituții ale Uniunii pentru a diversifica rezerva de candidați, a face schimb de bune practici și a coordona eforturile de eliminare a lacunelor în materie de reprezentare în întreaga administrație a Uniunii; invită Comitetul să continue să adopte măsuri care să urmărească o distribuție geografică mai echilibrată, inclusiv la nivel de conducere, și să informeze autoritatea care acordă descărcarea de gestiune cu privire la tendințele candidaturilor pe care le primește de la o perioadă la alta;</w:t>
      </w:r>
    </w:p>
    <w:p w14:paraId="02E30CFC" w14:textId="77777777" w:rsidR="00653E30" w:rsidRPr="00C63849" w:rsidRDefault="00653E30" w:rsidP="00653E30">
      <w:pPr>
        <w:pStyle w:val="NormalHanging12a"/>
        <w:rPr>
          <w:bCs/>
          <w:iCs/>
        </w:rPr>
      </w:pPr>
      <w:r w:rsidRPr="00C63849">
        <w:t>39.</w:t>
      </w:r>
      <w:r w:rsidRPr="00C63849">
        <w:tab/>
        <w:t>salută dialogul social puternic și structurat din cadrul proceselor de schimbare organizațională de pe parcursul anului 2024; încurajează Comitetul să mențină și să consolideze în continuare implicarea sistematică a reprezentanților personalului în reformele legate, printre altele, de digitalizare, de reorganizarea internă și de noile metode de lucru;</w:t>
      </w:r>
    </w:p>
    <w:p w14:paraId="5B75C1A3" w14:textId="77777777" w:rsidR="00653E30" w:rsidRPr="00C63849" w:rsidRDefault="00653E30" w:rsidP="00653E30">
      <w:pPr>
        <w:pStyle w:val="NormalHanging12a"/>
        <w:rPr>
          <w:b/>
          <w:i/>
        </w:rPr>
      </w:pPr>
      <w:r w:rsidRPr="00C63849">
        <w:rPr>
          <w:b/>
          <w:i/>
        </w:rPr>
        <w:t>Cadrul de etică și transparența</w:t>
      </w:r>
    </w:p>
    <w:p w14:paraId="4F927CDB" w14:textId="77777777" w:rsidR="00653E30" w:rsidRPr="00C63849" w:rsidRDefault="00653E30" w:rsidP="00653E30">
      <w:pPr>
        <w:pStyle w:val="NormalHanging12a"/>
      </w:pPr>
      <w:r w:rsidRPr="00C63849">
        <w:t>40.</w:t>
      </w:r>
      <w:r w:rsidRPr="00C63849">
        <w:tab/>
        <w:t>salută activitatea desfășurată de Comitet în 2023 pentru a consolida normele și practicile etice într-un cadru juridic etic unic (Decizia nr. 157/2023), care cuprinde, printre altele, procedura disciplinară, demnitatea la locul de muncă, gestionarea conflictelor, combaterea hărțuirii, activitățile externe și avertizarea în interes public; observă că 2024 a fost primul an de punere în aplicare a acestui nou cadru; remarcă că, în 2024, Comitetul a oferit frecvent cursuri de formare obligatorii privind etica și integritatea, avertizarea în interes public și prevenirea conflictelor de interese diferitelor grupuri de personal, de la nou-veniți, la manageri și angajați în general;</w:t>
      </w:r>
    </w:p>
    <w:p w14:paraId="41CCCAF4" w14:textId="77777777" w:rsidR="00653E30" w:rsidRPr="00C63849" w:rsidRDefault="00653E30" w:rsidP="00653E30">
      <w:pPr>
        <w:pStyle w:val="NormalHanging12a"/>
      </w:pPr>
      <w:r w:rsidRPr="00C63849">
        <w:t>41.</w:t>
      </w:r>
      <w:r w:rsidRPr="00C63849">
        <w:tab/>
        <w:t>constată că Comitetul nu a raportat niciun caz Oficiului European de Luptă Antifraudă (OLAF), Parchetului European (EPPO) sau Ombudsmanului European și nu a făcut obiectul niciunei investigații din partea acestora în 2024;</w:t>
      </w:r>
    </w:p>
    <w:p w14:paraId="6892D3F8" w14:textId="77777777" w:rsidR="00653E30" w:rsidRPr="00C63849" w:rsidRDefault="00653E30" w:rsidP="00653E30">
      <w:pPr>
        <w:pStyle w:val="NormalHanging12a"/>
      </w:pPr>
      <w:r w:rsidRPr="00C63849">
        <w:t>42.</w:t>
      </w:r>
      <w:r w:rsidRPr="00C63849">
        <w:tab/>
        <w:t>reamintește că Comitetul a adoptat Regulamentul nr. 6/2023 din 4 iulie 2023 de stabilire a unor măsuri de transparență care se axează pe membrii care dețin o funcție și pe raportori; întrucât aceste măsuri se referă la invitația adresată membrilor care dețin o funcție și raportorilor de a se întâlni numai cu reprezentanții de interese care s-au înregistrat în registrul de transparență și de a face publice orice reuniuni cu reprezentanții de interese pe care le organizează în calitatea lor de membri ai Comitetului; observă că, în 2024, un membru al Comitetului a raportat o reuniune cu un reprezentant de interese; felicită, în acest context, Comitetul pentru aderarea oficială la Registrul de transparență al UE la 1 ianuarie 2024;</w:t>
      </w:r>
    </w:p>
    <w:p w14:paraId="63DACF6C" w14:textId="77777777" w:rsidR="00653E30" w:rsidRPr="00C63849" w:rsidRDefault="00653E30" w:rsidP="00653E30">
      <w:pPr>
        <w:pStyle w:val="NormalHanging12a"/>
        <w:rPr>
          <w:b/>
          <w:bCs/>
          <w:i/>
          <w:iCs/>
          <w:szCs w:val="24"/>
        </w:rPr>
      </w:pPr>
      <w:r w:rsidRPr="00C63849">
        <w:t>43.</w:t>
      </w:r>
      <w:r w:rsidRPr="00C63849">
        <w:tab/>
        <w:t>ia act, pe baza chestionarului, de principiile și mecanismele puse în aplicare de Comitet în 2024 pentru a promova transparența în diferite domenii, cum ar fi gestiunea bugetară și financiară, raportarea, cooperarea în materie de audit, resursele umane, achizițiile publice, accesul public la documente și gestionarea evidențelor;</w:t>
      </w:r>
    </w:p>
    <w:p w14:paraId="5C544583" w14:textId="77777777" w:rsidR="00653E30" w:rsidRPr="00C63849" w:rsidRDefault="00653E30" w:rsidP="00653E30">
      <w:pPr>
        <w:pStyle w:val="NormalHanging12a"/>
      </w:pPr>
      <w:r w:rsidRPr="00C63849">
        <w:lastRenderedPageBreak/>
        <w:t>44.</w:t>
      </w:r>
      <w:r w:rsidRPr="00C63849">
        <w:tab/>
        <w:t>salută eforturile reînnoite ale Comitetului în domeniul detectării și prevenirii conflictelor de interese în 2024; ia act de faptul că, grație Deciziei nr. 157/2023, Comitetul a definit conceptul de conflict de interese și a instituit un mecanism de detectare și prevenire a acestor conflicte, prin care personalul este obligat să declare dacă ar putea avea un conflict de interese (potențial sau posibil), completând un formular în diferite momente esențiale ale carierei sau ale activităților sale profesionale; constată cu satisfacție, pe baza chestionarului, că informațiile anuale privind activitățile profesionale ale foștilor înalți funcționari sunt publicate în mod transparent pe site-ul internet al Comitetului și că acestora li se interzice să se implice în activități de lobby sau de reprezentare în raport cu Comitetul în primele 12 luni de la părăsirea funcțiilor lor în cadrul Comitetului;</w:t>
      </w:r>
    </w:p>
    <w:p w14:paraId="27FBA648" w14:textId="77777777" w:rsidR="00653E30" w:rsidRPr="00C63849" w:rsidRDefault="00653E30" w:rsidP="00653E30">
      <w:pPr>
        <w:pStyle w:val="NormalHanging12a"/>
      </w:pPr>
      <w:r w:rsidRPr="00C63849">
        <w:t>45.</w:t>
      </w:r>
      <w:r w:rsidRPr="00C63849">
        <w:tab/>
        <w:t>remarcă, pe baza chestionarului, că nu a fost detectat niciun conflict de interese în cadrul Comitetului în 2024; observă, de asemenea, că un membru al Comitetului și-a exprimat îngrijorarea cu privire la un potențial conflict de interese care decurge din primirea unei plăți pentru elaborarea unui studiu de asistență tehnică destinat unui deputat în Parlament sau unui grup politic din Parlament; salută confirmarea primită în cursul procedurii de descărcare de gestiune, potrivit căreia membrul în cauză al Comitetului nu a acceptat, de fapt, misiunea respectivă;</w:t>
      </w:r>
    </w:p>
    <w:p w14:paraId="7C26DD03" w14:textId="77777777" w:rsidR="00653E30" w:rsidRPr="00C63849" w:rsidRDefault="00653E30" w:rsidP="00653E30">
      <w:pPr>
        <w:pStyle w:val="NormalHanging12a"/>
      </w:pPr>
      <w:r w:rsidRPr="00C63849">
        <w:t>46.</w:t>
      </w:r>
      <w:r w:rsidRPr="00C63849">
        <w:tab/>
        <w:t>constată că, în 2024, nu au fost raportate Comitetului cazuri de avertizare în interes public; observă că, în 2024, Comitetul nu a adoptat nicio măsură nouă privind avertizarea în interes public și a continuat să se bazeze pe normele existente din 2015 și să le promoveze prin cursuri în materie de etică și acțiuni de sensibilizare; sprijină formarea etică obligatorie periodică atât pentru personal, cât și pentru conducere;</w:t>
      </w:r>
    </w:p>
    <w:p w14:paraId="79F9B984" w14:textId="77777777" w:rsidR="00653E30" w:rsidRPr="00C63849" w:rsidRDefault="00653E30" w:rsidP="00653E30">
      <w:pPr>
        <w:pStyle w:val="NormalHanging12a"/>
      </w:pPr>
      <w:r w:rsidRPr="00C63849">
        <w:t>47.</w:t>
      </w:r>
      <w:r w:rsidRPr="00C63849">
        <w:tab/>
        <w:t>observă că Comitetul dispune de o serie de măsuri și acțiuni antifraudă aplicabile membrilor săi și personalului său, care au fost puse în aplicare de diferite servicii; regretă că, în 2024, nu a fost pusă în aplicare nicio strategie antifraudă; constată, cu toate acestea, pe baza chestionarului, că, în 2025, Comitetul a adoptat un cadru antifraudă consolidat, care reprezintă o etapă intermediară în elaborarea unei strategii antifraudă cuprinzătoare, iar metodologia utilizată pentru acest obiectiv va fi furnizată de OLAF; îndeamnă Comitetul să acorde prioritate dezvoltării și punerii în aplicare depline a acestei strategii, inclusiv măsurilor de evaluare, prevenire și detectare a riscurilor și măsurilor subsecvente; solicită Comitetului să informeze autoritatea de descărcare de gestiune în această privință;</w:t>
      </w:r>
    </w:p>
    <w:p w14:paraId="7C4EFFD9" w14:textId="77777777" w:rsidR="00653E30" w:rsidRPr="00C63849" w:rsidRDefault="00653E30" w:rsidP="00653E30">
      <w:pPr>
        <w:pStyle w:val="NormalHanging12a"/>
        <w:ind w:left="360"/>
        <w:rPr>
          <w:b/>
          <w:i/>
        </w:rPr>
      </w:pPr>
      <w:r w:rsidRPr="00C63849">
        <w:rPr>
          <w:b/>
          <w:i/>
        </w:rPr>
        <w:t>Digitalizarea, securitatea cibernetică și protecția datelor</w:t>
      </w:r>
    </w:p>
    <w:p w14:paraId="7DBA349E" w14:textId="77777777" w:rsidR="00653E30" w:rsidRPr="00C63849" w:rsidRDefault="00653E30" w:rsidP="00653E30">
      <w:pPr>
        <w:pStyle w:val="NormalHanging12a"/>
      </w:pPr>
      <w:r w:rsidRPr="00C63849">
        <w:t>48.</w:t>
      </w:r>
      <w:r w:rsidRPr="00C63849">
        <w:tab/>
        <w:t>observă că bugetul combinat pentru IT al Comitetului și al CESE a fost de 13,70 milioane EUR în 2024, față de 12,70 milioane EUR în 2023, ceea ce constituie o scădere de aproximativ 7,90 %, în timp ce 760 000 EUR din acest buget (sau aproximativ 6 %) au fost plătiți pentru securitatea cibernetică în 2024;</w:t>
      </w:r>
    </w:p>
    <w:p w14:paraId="6B819D4A" w14:textId="77777777" w:rsidR="00653E30" w:rsidRPr="00C63849" w:rsidRDefault="00653E30" w:rsidP="00653E30">
      <w:pPr>
        <w:pStyle w:val="NormalHanging12a"/>
      </w:pPr>
      <w:r w:rsidRPr="00C63849">
        <w:t>49.</w:t>
      </w:r>
      <w:r w:rsidRPr="00C63849">
        <w:tab/>
        <w:t xml:space="preserve">constată, pe baza chestionarului, că, în 2024, Direcția pentru inovare și tehnologia informației a pus în aplicare o nouă strategie digitală multianuală pentru perioada 2024-2026, care acordă prioritate gestionării evidențelor digitale, fluxurilor de lucru electronice, semnăturilor electronice și soluțiilor bazate pe </w:t>
      </w:r>
      <w:proofErr w:type="spellStart"/>
      <w:r w:rsidRPr="00C63849">
        <w:t>cloud</w:t>
      </w:r>
      <w:proofErr w:type="spellEnd"/>
      <w:r w:rsidRPr="00C63849">
        <w:t xml:space="preserve"> și se axează pe patru programe emblematice, și anume Mediul de lucru digital M365, ARES, </w:t>
      </w:r>
      <w:proofErr w:type="spellStart"/>
      <w:r w:rsidRPr="00C63849">
        <w:t>EdiT</w:t>
      </w:r>
      <w:proofErr w:type="spellEnd"/>
      <w:r w:rsidRPr="00C63849">
        <w:t xml:space="preserve"> și </w:t>
      </w:r>
      <w:proofErr w:type="spellStart"/>
      <w:r w:rsidRPr="00C63849">
        <w:t>Cybersecurity</w:t>
      </w:r>
      <w:proofErr w:type="spellEnd"/>
      <w:r w:rsidRPr="00C63849">
        <w:t xml:space="preserve">, pentru a consolida colaborarea, automatizarea și reziliența instituțională; subliniază progresele înregistrate de programul M365, cum ar fi planificarea migrării </w:t>
      </w:r>
      <w:r w:rsidRPr="00C63849">
        <w:lastRenderedPageBreak/>
        <w:t xml:space="preserve">către SharePoint Online, implementarea aplicațiilor Windows 11 și M365 și dezvoltarea unei strategii privind IA însoțită de o foaie de parcurs pentru proiectul-pilot M365 Copilot în 2025; observă că Comitetul a început să implementeze sistemul HAN de gestionare a documentelor și a avansat în direcția adoptării editorului </w:t>
      </w:r>
      <w:proofErr w:type="spellStart"/>
      <w:r w:rsidRPr="00C63849">
        <w:t>EdiT</w:t>
      </w:r>
      <w:proofErr w:type="spellEnd"/>
      <w:r w:rsidRPr="00C63849">
        <w:t> XML pentru redactarea legislativă; se bucură că securitatea cibernetică este de acum considerată drept o responsabilitate comună, făcând obiectul unor noi inițiative de formare și a unui plan multianual aliniat la standardele Uniunii; ia act de îmbunătățirile aduse gestionării evidențelor, infrastructurii și instrumentelor de comunicare securizată, precum poșta electronică SECABC, transferul de date SACHA și sistemele de gestionare a punctelor terminale; constată cu satisfacție progresele continue ale Comitetului în ceea ce privește inovarea digitală, inclusiv tranziția către un mediu de lucru complet informatizat și securizat cibernetic; se bucură că planul de lucru „Casa regiunilor” pentru perioada 2025-2027 a acordat prioritate transformării digitale pentru a construi o instituție modernă, flexibilă și bazată pe digitalizare;</w:t>
      </w:r>
    </w:p>
    <w:p w14:paraId="667BFE84" w14:textId="77777777" w:rsidR="00653E30" w:rsidRPr="00C63849" w:rsidRDefault="00653E30" w:rsidP="00653E30">
      <w:pPr>
        <w:pStyle w:val="NormalHanging12a"/>
        <w:rPr>
          <w:bCs/>
        </w:rPr>
      </w:pPr>
      <w:r w:rsidRPr="00C63849">
        <w:t>50.</w:t>
      </w:r>
      <w:r w:rsidRPr="00C63849">
        <w:tab/>
        <w:t>observă că Comitetul a introdus treptat un proiect-pilot privind inteligența artificială intitulat „Panoramic AI” care creează o platformă centrală ce simplifică accesul la conținuturile complexe începând din 2024; remarcă, de asemenea, că Comitetul a utilizat în mod activ instrumentele de IA ale Comisiei pentru traducere, rezumate etc. și a participat în calitate de utilizator-pilot la testarea soluției-pilot de IA GPT@JRC; constată, pe baza chestionarului, că orientările privind IA adoptate de Comitet în 2023 au stabilit o bază de referință pentru modul în care personalul ar putea experimenta tehnologiile IA, pentru punerea în aplicare a Regulamentului (UE) 2024/1689 al Parlamentului European și al Consiliului</w:t>
      </w:r>
      <w:r w:rsidRPr="00C63849">
        <w:rPr>
          <w:rStyle w:val="FootnoteReference"/>
          <w:bCs/>
        </w:rPr>
        <w:footnoteReference w:id="12"/>
      </w:r>
      <w:r w:rsidRPr="00C63849">
        <w:t>, care a intrat în vigoare în august 2024, și pentru dezvoltarea unor alternative instituționale care să se alinieze la standardele etice și de protecție a datelor; salută, în acest context, organizarea de sesiuni de informare destinate personalului pentru a explica orientările privind IA, publicarea unei note privind alfabetizarea în domeniul IA pentru personal și organizarea de ateliere de informare cu privire la IA în 2024 și încurajează continuarea acestei practici, inclusiv organizarea periodică de cursuri de formare privind utilizarea etică, eficientă și în condiții de siguranță a inteligenței artificiale și cursuri de formare privind securitatea cibernetică; recunoaște valoarea adăugată a instrumentelor IA care stimulează productivitatea personală, cum ar fi M365 Copilot, și a integrării capacităților IA în instrumentele de sprijin informatic; accentuează că inteligența artificială trebuie utilizată astfel încât să se garanteze respectarea unor principii stricte de utilizare etică, transparență, protecție a datelor, supraveghere umană și protecție împotriva părtinirii algoritmice sau a folosirii abuzive;</w:t>
      </w:r>
    </w:p>
    <w:p w14:paraId="3DDFF7AD" w14:textId="77777777" w:rsidR="00653E30" w:rsidRPr="00C63849" w:rsidRDefault="00653E30" w:rsidP="00653E30">
      <w:pPr>
        <w:pStyle w:val="NormalHanging12a"/>
      </w:pPr>
      <w:r w:rsidRPr="00C63849">
        <w:t>51.</w:t>
      </w:r>
      <w:r w:rsidRPr="00C63849">
        <w:tab/>
        <w:t xml:space="preserve">constată, pe baza chestionarului, că, în urma unei erori procedurale pe care a comis-o schimbând responsabilul său cu protecția datelor fără consimțământul prealabil al Autorității Europene pentru Protecția Datelor (AEPD), Comitetul a recunoscut eroarea și a luat măsuri corective; recunoaște că transferul funcției de responsabil cu protecția datelor către Serviciul Juridic s-a bazat pe recomandarea unui auditor intern; observă că Comitetul l-a reintegrat pe fostul responsabil cu protecția datelor și a solicitat în mod </w:t>
      </w:r>
      <w:r w:rsidRPr="00C63849">
        <w:lastRenderedPageBreak/>
        <w:t>oficial consimțământul AEPD privind noua numire, pentru a asigura conformitatea deplină;</w:t>
      </w:r>
    </w:p>
    <w:p w14:paraId="542D8D00" w14:textId="77777777" w:rsidR="00653E30" w:rsidRPr="00C63849" w:rsidRDefault="00653E30" w:rsidP="00653E30">
      <w:pPr>
        <w:pStyle w:val="NormalHanging12a"/>
      </w:pPr>
      <w:r w:rsidRPr="00C63849">
        <w:t>52.</w:t>
      </w:r>
      <w:r w:rsidRPr="00C63849">
        <w:tab/>
        <w:t>constată, pe baza chestionarului, că Comitetul nu s-a confruntat cu niciun atac cibernetic reușit în 2024, deoarece măsurile existente de detectare și prevenire au contracarat eficient toate tentativele de amenințare; remarcă că Comitetul a luat mai multe măsuri pentru a-și consolida cadrul de securitate cibernetică și de protecție a datelor, ținând pasul cu ultimele evoluții și cu cele mai bune practici din aceste domenii în 2024; observă că unele dintre aceste acțiuni au inclus participarea personalului relevant la exercițiul de informare privind încălcarea securității datelor cu caracter personal în gestionarea incidentelor de securitate cibernetică organizat de Agenția Uniunii Europene pentru Securitate Cibernetică (ENISA) și AEPD, participarea la Luna europeană a securității cibernetice din 2024, precum și la sesiunile de sensibilizare și la cursurile introductive de formare cu prezență fizică organizate pentru personal, în special pentru nou-veniți; încurajează continuarea acestei practici, inclusiv organizarea de cursuri de formare periodice privind securitatea cibernetică; salută, de asemenea, introducerea autentificării cu doi factori pentru a îmbunătăți securitatea accesului, migrarea sistemului de gestionare a conținutului site-ului Comitetului către o nouă platformă (</w:t>
      </w:r>
      <w:proofErr w:type="spellStart"/>
      <w:r w:rsidRPr="00C63849">
        <w:t>Drupal</w:t>
      </w:r>
      <w:proofErr w:type="spellEnd"/>
      <w:r w:rsidRPr="00C63849">
        <w:t xml:space="preserve">) care asigură o mai bună reziliență și adaptabilitate, precum și cooperarea strânsă continuă cu CERT-UE pentru monitorizarea amenințărilor în timp real și protecția împotriva atacurilor </w:t>
      </w:r>
      <w:proofErr w:type="spellStart"/>
      <w:r w:rsidRPr="00C63849">
        <w:t>DDoS</w:t>
      </w:r>
      <w:proofErr w:type="spellEnd"/>
      <w:r w:rsidRPr="00C63849">
        <w:t xml:space="preserve"> distribuite; observă că Direcția pentru inovare și tehnologia informației a inițiat un program de transformare digitală și în materie de securitate cibernetică în conformitate cu standardele Uniunii și standardele internaționale, care include Regulamentul (UE, Euratom) 2023/2841 al Parlamentului European și al Consiliului</w:t>
      </w:r>
      <w:r w:rsidRPr="00C63849">
        <w:rPr>
          <w:vertAlign w:val="superscript"/>
        </w:rPr>
        <w:footnoteReference w:id="13"/>
      </w:r>
      <w:r w:rsidRPr="00C63849">
        <w:t xml:space="preserve">, Cadrul de securitate cibernetică NIST și Open </w:t>
      </w:r>
      <w:proofErr w:type="spellStart"/>
      <w:r w:rsidRPr="00C63849">
        <w:t>Worldwide</w:t>
      </w:r>
      <w:proofErr w:type="spellEnd"/>
      <w:r w:rsidRPr="00C63849">
        <w:t xml:space="preserve"> Application </w:t>
      </w:r>
      <w:proofErr w:type="spellStart"/>
      <w:r w:rsidRPr="00C63849">
        <w:t>Security</w:t>
      </w:r>
      <w:proofErr w:type="spellEnd"/>
      <w:r w:rsidRPr="00C63849">
        <w:t xml:space="preserve"> Project (OWASP), cu scopul de a consolida reziliența, gestionarea riscurilor, protecția datelor și alte aspecte ale guvernanței în cadrul Comitetului;</w:t>
      </w:r>
    </w:p>
    <w:p w14:paraId="72871B14" w14:textId="77777777" w:rsidR="00653E30" w:rsidRPr="00C63849" w:rsidRDefault="00653E30" w:rsidP="00653E30">
      <w:pPr>
        <w:pStyle w:val="NormalHanging12a"/>
        <w:ind w:left="360"/>
        <w:rPr>
          <w:b/>
          <w:i/>
        </w:rPr>
      </w:pPr>
      <w:r w:rsidRPr="00C63849">
        <w:rPr>
          <w:b/>
          <w:i/>
        </w:rPr>
        <w:t>Clădirile</w:t>
      </w:r>
    </w:p>
    <w:p w14:paraId="4426C58D" w14:textId="77777777" w:rsidR="00653E30" w:rsidRPr="00C63849" w:rsidRDefault="00653E30" w:rsidP="00653E30">
      <w:pPr>
        <w:pStyle w:val="NormalHanging12a"/>
      </w:pPr>
      <w:r w:rsidRPr="00C63849">
        <w:t>53.</w:t>
      </w:r>
      <w:r w:rsidRPr="00C63849">
        <w:tab/>
        <w:t>constată că bugetul Comitetului pentru clădiri și costurile conexe (creditele exercițiului curent) în 2024 a fost de 18 963 de milioane EUR (față de 18 594 de milioane EUR în 2023), cu o rată de execuție a plăților de 92 % (față de 93,70 % în 2023); constată cu satisfacție că Comitetul a realizat economii de 108 000 EUR în ceea ce privește serviciile de curățenie în perioadele în care în clădirile Comitetului erau prezente mai puține persoane;</w:t>
      </w:r>
    </w:p>
    <w:p w14:paraId="1E7592A8" w14:textId="77777777" w:rsidR="00653E30" w:rsidRPr="00C63849" w:rsidRDefault="00653E30" w:rsidP="00653E30">
      <w:pPr>
        <w:pStyle w:val="NormalHanging12a"/>
      </w:pPr>
      <w:r w:rsidRPr="00C63849">
        <w:t>54.</w:t>
      </w:r>
      <w:r w:rsidRPr="00C63849">
        <w:tab/>
        <w:t xml:space="preserve">ia act, pe baza raportului anual, de concluzia Comitetului potrivit căreia acesta a realizat una dintre prioritățile sale majore stabilite în 2017, și anume „concentrarea geografică a clădirilor”; ia act de opinia Comitetului potrivit căreia punerea în aplicare cu succes a noului regim de lucru hibrid pregătește terenul pentru a diminua și mai mult costurile prin reducerea spațiului; observă că, în acest context, la sfârșitul anului 2024, Comitetul a lansat proiectul </w:t>
      </w:r>
      <w:proofErr w:type="spellStart"/>
      <w:r w:rsidRPr="00C63849">
        <w:t>SPaCES</w:t>
      </w:r>
      <w:proofErr w:type="spellEnd"/>
      <w:r w:rsidRPr="00C63849">
        <w:t xml:space="preserve"> pentru a transforma practicile și spațiile de lucru din cadrul Comitetului, inclusiv prin schimbarea amenajării spațiilor, primul pas al acestui proiect fiind transferul personalului din clădirea B100; constată că, în urma deciziei comune a Comitetului și a CESE, contractul de închiriere al clădirii respective va înceta în august </w:t>
      </w:r>
      <w:r w:rsidRPr="00C63849">
        <w:lastRenderedPageBreak/>
        <w:t>2026; invită Comitetul să informeze în permanență autoritatea care acordă descărcarea de gestiune despre progresele înregistrate în acest sens;</w:t>
      </w:r>
    </w:p>
    <w:p w14:paraId="1F88081B" w14:textId="77777777" w:rsidR="00653E30" w:rsidRPr="00C63849" w:rsidRDefault="00653E30" w:rsidP="00653E30">
      <w:pPr>
        <w:pStyle w:val="NormalHanging12a"/>
      </w:pPr>
      <w:r w:rsidRPr="00C63849">
        <w:t>55.</w:t>
      </w:r>
      <w:r w:rsidRPr="00C63849">
        <w:tab/>
        <w:t>observă că lucrările de renovare a clădirii VMA au continuat în 2024; constată, pe baza raportului de monitorizare, că investițiile în instalarea de tehnologii inteligente în VMA vor asigura spații de birouri flexibile și adaptate exigențelor viitorului și confortul optim al utilizatorilor la diferite niveluri, ceea ce va contribui la reduceri suplimentare ale consumului de energie de aproximativ 13 000 EUR pe an (pe baza prețurilor medii la energie electrică și gaz din 2023);</w:t>
      </w:r>
    </w:p>
    <w:p w14:paraId="40ABBBD1" w14:textId="77777777" w:rsidR="00653E30" w:rsidRPr="00C63849" w:rsidRDefault="00653E30" w:rsidP="00653E30">
      <w:pPr>
        <w:pStyle w:val="NormalHanging12a"/>
      </w:pPr>
      <w:r w:rsidRPr="00C63849">
        <w:t>56.</w:t>
      </w:r>
      <w:r w:rsidRPr="00C63849">
        <w:tab/>
        <w:t>salută angajamentul Comitetului și al CESE de a aplica în mod sistematic principiul „proiectării universale” pentru infrastructura lor, asigurând accesibilitatea clădirii lor din faza de proiectare; observă că Comitetele au luat o gamă variată de măsuri pentru a asigura accesibilitatea clădirilor lor, inclusiv a ascensoarelor, pentru persoanele cu diferite tipuri de dizabilități (utilizatori de scaune cu rotile, persoane nevăzătoare și cu deficiențe de vedere, persoane surde, persoane în vârstă cu probleme musculare sau vasculare);</w:t>
      </w:r>
    </w:p>
    <w:p w14:paraId="175109C2" w14:textId="77777777" w:rsidR="00653E30" w:rsidRPr="00C63849" w:rsidRDefault="00653E30" w:rsidP="00653E30">
      <w:pPr>
        <w:pStyle w:val="NormalHanging12a"/>
        <w:ind w:left="360"/>
        <w:rPr>
          <w:b/>
          <w:i/>
        </w:rPr>
      </w:pPr>
      <w:r w:rsidRPr="00C63849">
        <w:rPr>
          <w:b/>
          <w:i/>
        </w:rPr>
        <w:t>Mediul și sustenabilitatea</w:t>
      </w:r>
    </w:p>
    <w:p w14:paraId="1AF0203C" w14:textId="77777777" w:rsidR="00653E30" w:rsidRPr="00C63849" w:rsidRDefault="00653E30" w:rsidP="00653E30">
      <w:pPr>
        <w:pStyle w:val="NormalHanging12a"/>
      </w:pPr>
      <w:r w:rsidRPr="00C63849">
        <w:t>57.</w:t>
      </w:r>
      <w:r w:rsidRPr="00C63849">
        <w:tab/>
        <w:t>observă că Comitetul a continuat să pună în aplicare diverse practici ecologice în 2024, cum ar fi investițiile în sisteme inovatoare de iluminat eficiente din punct de vedere energetic, contoare de energie, senzori instalați în infrastructuri critice pentru a monitoriza nivelurile de CO</w:t>
      </w:r>
      <w:r w:rsidRPr="00C63849">
        <w:rPr>
          <w:vertAlign w:val="subscript"/>
        </w:rPr>
        <w:t>2,</w:t>
      </w:r>
      <w:r w:rsidRPr="00C63849">
        <w:t xml:space="preserve"> reglarea temperaturii în clădiri (aer condiționat, încălzire) în funcție de perioada anului, precum și achiziționarea de energie electrică verde în proporție de 100 %, printre altele; ia act de faptul că Comitetul aplică criterii de mediu în toate procedurile de licitație și clauze de sustenabilitate pentru licitațiile cu o valoare mai mare de 25 000 EUR, precum și clauze personalizate pentru licitațiile cu un impact ridicat asupra mediului sau pentru cele cu o valoare mai mare de 60 000 EUR; remarcă cu satisfacție că Comitetul integrează aspectele de mediu în sistemul său de gestionare a riscurilor și în procesele sale operaționale de bază și a desemnat puncte de contact pentru sistemul comunitar de management de mediu și audit (EMAS);</w:t>
      </w:r>
    </w:p>
    <w:p w14:paraId="09115F96" w14:textId="77777777" w:rsidR="00653E30" w:rsidRPr="00C63849" w:rsidRDefault="00653E30" w:rsidP="00653E30">
      <w:pPr>
        <w:pStyle w:val="NormalHanging12a"/>
      </w:pPr>
      <w:r w:rsidRPr="00C63849">
        <w:t>58.</w:t>
      </w:r>
      <w:r w:rsidRPr="00C63849">
        <w:tab/>
        <w:t>apreciază angajamentul Comitetului de a promova o politică de mobilitate durabilă pentru personalul său; constată, în acest context, că, în 2024, Comitetul a introdus o indemnizație forfetară pentru biciclete de 100 EUR pentru angajații care utilizează bicicleta ca mijloc principal de deplasare, și-a extins capacitatea de parcare pentru biciclete și a organizat mic dejunuri și teste de cunoștințe pe teme de mobilitate; observă, pe baza chestionarului, că, începând din 2024, personalul poate solicita plata a 50 % din costul abonamentului pentru călătoriile cu trenul la clasa a 2-a (până la o distanță maximă de 60 km);</w:t>
      </w:r>
    </w:p>
    <w:p w14:paraId="7A8CC366" w14:textId="77777777" w:rsidR="00653E30" w:rsidRPr="00C63849" w:rsidRDefault="00653E30" w:rsidP="00653E30">
      <w:pPr>
        <w:pStyle w:val="NormalHanging12a"/>
      </w:pPr>
      <w:r w:rsidRPr="00C63849">
        <w:t>59.</w:t>
      </w:r>
      <w:r w:rsidRPr="00C63849">
        <w:tab/>
        <w:t>constată cu satisfacție, pe baza chestionarului, că, datorită măsurilor sale de economisire a energiei, consumul de energie al Comitetului a fost redus cu aproximativ 3-4 % în 2024 comparativ cu 2022; observă că Comitetul a depășit obiectivele EMAS pentru 2024 în toate domeniile (electricitate, gaz, apă, deșeuri, sortarea deșeurilor, hârtie pentru birou, emisii de CO</w:t>
      </w:r>
      <w:r w:rsidRPr="00C63849">
        <w:rPr>
          <w:vertAlign w:val="subscript"/>
        </w:rPr>
        <w:t>2</w:t>
      </w:r>
      <w:r w:rsidRPr="00C63849">
        <w:t>), luând drept referință anul 2019; constată că, în comparație cu 2023, consumul de apă și hârtie a crescut ușor, cu 14 % și, respectiv, 1 %, în timp ce emisiile de carbon generate de activitățile administrative ale Comitetului au scăzut cu 4,3 %, iar utilizarea energiei electrice și a gazului a scăzut cu 5 % și, respectiv, 1 %, generarea de deșeuri scăzând, de asemenea, cu 12 % în 2024;</w:t>
      </w:r>
    </w:p>
    <w:p w14:paraId="05310BF5" w14:textId="77777777" w:rsidR="00653E30" w:rsidRPr="00C63849" w:rsidRDefault="00653E30" w:rsidP="00653E30">
      <w:pPr>
        <w:pStyle w:val="NormalHanging12a"/>
        <w:ind w:left="720"/>
        <w:rPr>
          <w:b/>
          <w:bCs/>
          <w:i/>
          <w:iCs/>
        </w:rPr>
      </w:pPr>
      <w:r w:rsidRPr="00C63849">
        <w:rPr>
          <w:b/>
          <w:i/>
          <w:iCs/>
        </w:rPr>
        <w:lastRenderedPageBreak/>
        <w:t xml:space="preserve">Cooperarea interinstituțională </w:t>
      </w:r>
    </w:p>
    <w:p w14:paraId="45A458B2" w14:textId="77777777" w:rsidR="00653E30" w:rsidRPr="00C63849" w:rsidRDefault="00653E30" w:rsidP="00653E30">
      <w:pPr>
        <w:pStyle w:val="NormalHanging12a"/>
      </w:pPr>
      <w:r w:rsidRPr="00C63849">
        <w:t>60.</w:t>
      </w:r>
      <w:r w:rsidRPr="00C63849">
        <w:tab/>
        <w:t xml:space="preserve">salută reînnoirea, în 2024, a acordurilor de cooperare ale Comitetului cu Parlamentul și Comisia, punând bazele unei implicări instituționale mai puternice a Comitetului în toate etapele procesului legislativ al Uniunii privind diverse politici (cum ar fi dezvoltarea regională, politica privind clima și coeziunea socială) care depășesc cadrul politicilor cu privire la care există o colaborare de lungă durată; ia act de faptul că aceste acorduri includ, de asemenea, dispoziții mai stricte privind cooperarea pentru evaluările impactului teritorial; constată cu satisfacție, pe baza chestionarului, că, la 13 octombrie 2024, Conferința președinților Comitetului s-a întâlnit cu vicepreședintele Parlamentului responsabil cu relațiile cu Comitetul pentru a discuta despre consolidarea cooperării, printre altele, prin încurajarea practicii reuniunilor comune, în special la nivel de comisie și de raportori, prin participarea Comitetului la discuțiile din cadrul </w:t>
      </w:r>
      <w:proofErr w:type="spellStart"/>
      <w:r w:rsidRPr="00C63849">
        <w:t>trilogului</w:t>
      </w:r>
      <w:proofErr w:type="spellEnd"/>
      <w:r w:rsidRPr="00C63849">
        <w:t xml:space="preserve"> și prin cooperarea logistică în timpul lucrărilor în clădirea SPAAK a Parlamentului; observă că, în 2024, membrii Comitetului s-au întâlnit, de asemenea, cu Consiliul și cu reprezentanțele permanente și au participat la evenimentele organizate de președinția Consiliului, pentru a se asigura că pozițiile Comitetului se reflectă în legislația Uniunii;</w:t>
      </w:r>
    </w:p>
    <w:p w14:paraId="4CEB8253" w14:textId="77777777" w:rsidR="00653E30" w:rsidRPr="00C63849" w:rsidRDefault="00653E30" w:rsidP="00653E30">
      <w:pPr>
        <w:pStyle w:val="NormalHanging12a"/>
      </w:pPr>
      <w:r w:rsidRPr="00C63849">
        <w:t>61.</w:t>
      </w:r>
      <w:r w:rsidRPr="00C63849">
        <w:tab/>
        <w:t xml:space="preserve">salută economiile bugetare și administrative realizate prin cooperare interinstituțională, în special cooperarea strânsă stabilită la nivel administrativ cu CESE cu care Comitetul împarte spații și servicii comune în domeniile traducerii, infrastructurii, serviciilor medicale, </w:t>
      </w:r>
      <w:proofErr w:type="spellStart"/>
      <w:r w:rsidRPr="00C63849">
        <w:t>cateringului</w:t>
      </w:r>
      <w:proofErr w:type="spellEnd"/>
      <w:r w:rsidRPr="00C63849">
        <w:t xml:space="preserve">, logisticii și TI, precum și un registru comun de protecție a datelor cu 470 de angajați și peste 68 de milioane EUR (140 de milioane EUR dacă se includ costurile legate de salarii) puse în comun de ambele instituții în 2024; se bucură că aceste economii au fost reorientate către activitățile politice ale Comitetului, consolidându-i astfel capacitatea de a-și îndeplini mandatul; recunoaște că îmbunătățirea eficienței și economiile bugetare rezultate din colaborarea dintre cele două instituții sunt semnificative, fiind estimate la zeci de milioane de euro anual în comparație cu situația în care fiecare comitet ar opera aceste servicii în mod independent; solicită din nou să se extindă cât mai mult această cooperare, astfel încât să se creeze o administrație unică pentru serviciile comune, menținând separate serviciile și unitățile responsabile de mandatele lor independente de bază; încurajează Comitetul și CESE să își continue eforturile de a dezvolta în continuare cooperarea și </w:t>
      </w:r>
      <w:proofErr w:type="spellStart"/>
      <w:r w:rsidRPr="00C63849">
        <w:t>sinergiile</w:t>
      </w:r>
      <w:proofErr w:type="spellEnd"/>
      <w:r w:rsidRPr="00C63849">
        <w:t>;</w:t>
      </w:r>
    </w:p>
    <w:p w14:paraId="01F385F2" w14:textId="77777777" w:rsidR="00653E30" w:rsidRPr="00C63849" w:rsidRDefault="00653E30" w:rsidP="00653E30">
      <w:pPr>
        <w:pStyle w:val="NormalHanging12a"/>
      </w:pPr>
      <w:r w:rsidRPr="00C63849">
        <w:t>62.</w:t>
      </w:r>
      <w:r w:rsidRPr="00C63849">
        <w:tab/>
        <w:t>salută faptul că Comitetul caută sinergii prin achiziția de servicii de la alte instituții pe baza unor acorduri privind nivelul serviciilor și prin participarea la organisme de coordonare interinstituționale și la proceduri de achiziții interinstituționale; observă că Comitetul a realizat sinergii semnificative în domeniul evenimentelor și al comunicării organizând, împreună cu Comisia, Săptămâna europeană a regiunilor și orașelor și, cu Parlamentul, Consiliul și Comisia, printre altele, conferința anuală pentru specialiștii în domeniul comunicării publice intitulată „</w:t>
      </w:r>
      <w:proofErr w:type="spellStart"/>
      <w:r w:rsidRPr="00C63849">
        <w:t>EuroPCom</w:t>
      </w:r>
      <w:proofErr w:type="spellEnd"/>
      <w:r w:rsidRPr="00C63849">
        <w:t>” în 2024; salută fuzionarea, în 2024, a Rețelei europene a consilierilor locali și regionali a Comitetului și a rețelei Comisiei „Construim Europa împreună cu autoritățile locale” într-o singură rețea a consilierilor locali din UE, gestionată în comun;</w:t>
      </w:r>
    </w:p>
    <w:p w14:paraId="76663594" w14:textId="77777777" w:rsidR="00653E30" w:rsidRPr="00C63849" w:rsidRDefault="00653E30" w:rsidP="00653E30">
      <w:pPr>
        <w:pStyle w:val="NormalHanging12a"/>
      </w:pPr>
      <w:r w:rsidRPr="00C63849">
        <w:t>63.</w:t>
      </w:r>
      <w:r w:rsidRPr="00C63849">
        <w:tab/>
        <w:t xml:space="preserve">constată că Comitetul cooperează cu Comisia (în schimbul unei taxe anuale) pentru gestionarea aspectelor legate de resursele umane și utilizarea diferitelor platforme informatice pentru gestiunea financiară și resursele umane și că, în 2024, Comisia a inclus sistemul informatic al Comitetului, denumit LORDIMAS, ca instrument informatic esențial pentru a măsura transformarea digitală a orașelor; observă, de asemenea, că Comitetul își organizează sesiunile plenare la sediul Parlamentului și al </w:t>
      </w:r>
      <w:r w:rsidRPr="00C63849">
        <w:lastRenderedPageBreak/>
        <w:t>Comisiei pentru a compensa lipsa de capacitate a propriilor sale săli de conferințe și cumpără servicii de interpretare de la aceste două instituții;</w:t>
      </w:r>
    </w:p>
    <w:p w14:paraId="4A227676" w14:textId="77777777" w:rsidR="00653E30" w:rsidRPr="00C63849" w:rsidRDefault="00653E30" w:rsidP="00653E30">
      <w:pPr>
        <w:pStyle w:val="NormalHanging12a"/>
        <w:ind w:left="360"/>
        <w:rPr>
          <w:b/>
          <w:i/>
        </w:rPr>
      </w:pPr>
      <w:r w:rsidRPr="00C63849">
        <w:rPr>
          <w:b/>
          <w:i/>
        </w:rPr>
        <w:t>Comunicare</w:t>
      </w:r>
    </w:p>
    <w:p w14:paraId="27277BD6" w14:textId="77777777" w:rsidR="00653E30" w:rsidRPr="00C63849" w:rsidRDefault="00653E30" w:rsidP="00653E30">
      <w:pPr>
        <w:pStyle w:val="NormalHanging12a"/>
      </w:pPr>
      <w:r w:rsidRPr="00C63849">
        <w:t>64.</w:t>
      </w:r>
      <w:r w:rsidRPr="00C63849">
        <w:tab/>
        <w:t>observă că activitățile de comunicare ale Comitetului se axează pe relația cu presa, pe organizarea de evenimente, pe conținutul digital și pe rețelele de socializare, cu un buget total (credite pentru anul curent) de aproximativ 2,3 milioane EUR în 2024, și anume cu aproximativ 500 000 EUR mai puțin decât în 2023; constată că, potrivit raportului de monitorizare, din cauza subfinanțării operațiunilor de comunicare, Comitetul depinde de transferurile de la sfârșitul exercițiului și de creditele C8, ceea ce explică rata scăzută de execuție bugetară (48,20 %) a creditelor C1 și rata ridicată de execuție (98,90 %) a creditelor C8 în 2024 în ceea ce privește postul bugetar 2 6 „Expertiză și [...] distribuție”;</w:t>
      </w:r>
    </w:p>
    <w:p w14:paraId="30C69AF5" w14:textId="77777777" w:rsidR="00653E30" w:rsidRPr="00C63849" w:rsidRDefault="00653E30" w:rsidP="00653E30">
      <w:pPr>
        <w:pStyle w:val="NormalHanging12a"/>
      </w:pPr>
      <w:r w:rsidRPr="00C63849">
        <w:t>65.</w:t>
      </w:r>
      <w:r w:rsidRPr="00C63849">
        <w:tab/>
        <w:t>ia act cu satisfacție de realizările Comitetului în promovarea politicilor și a programelor Uniunii la nivel local și regional, îmbunătățind raza de acțiune a lucrărilor sale consultative și mărind vizibilitatea și impactul acestora; observă că, în 2024, Comitetul a organizat, a găzduit sau a sprijinit 33 de dialoguri locale privind UE, 53 de sesiuni ale Săptămânii europene a regiunilor și orașelor și 47 de evenimente; ia act, în special, de cel de-al 10-lea summit european al regiunilor și orașelor, care a definit agenda pentru viitorul Uniunii, la care au participat peste 7 000 de persoane; - Săptămâna europeană a regiunilor și orașelor, care a abordat tema fondurilor de coeziune în următorul CFM, la care au participat peste 2 500 de persoane; - cea de a 11-a Conferință privind subsidiaritatea, care a abordat îmbunătățirea legiferării și subsidiaritatea în contextul următorului CFM; - Programul pentru tinerii politicieni aleși (YEP) din 2024, la care au participat peste 150 de persoane din toate statele membre și din opt țări candidate; - cea de a 15-a ediție a Conferinței europene pentru specialiștii în domeniul comunicării publice (</w:t>
      </w:r>
      <w:proofErr w:type="spellStart"/>
      <w:r w:rsidRPr="00C63849">
        <w:t>EuroPCom</w:t>
      </w:r>
      <w:proofErr w:type="spellEnd"/>
      <w:r w:rsidRPr="00C63849">
        <w:t>), care a abordat IA și noile tendințe în comunicarea publică, reunind 3 200 de participanți și telespectatori din 55 de țări; observă că Comitetul și-a promovat, de asemenea, activitatea și opiniile de 74 ori în cadrul unor reuniuni sau evenimente la care au participat alte instituții ale Uniunii;</w:t>
      </w:r>
    </w:p>
    <w:p w14:paraId="4E337727" w14:textId="77777777" w:rsidR="00653E30" w:rsidRPr="00C63849" w:rsidRDefault="00653E30" w:rsidP="00653E30">
      <w:pPr>
        <w:pStyle w:val="NormalHanging12a"/>
        <w:rPr>
          <w:b/>
          <w:bCs/>
          <w:i/>
          <w:iCs/>
          <w:szCs w:val="24"/>
        </w:rPr>
      </w:pPr>
      <w:r w:rsidRPr="00C63849">
        <w:t>66.</w:t>
      </w:r>
      <w:r w:rsidRPr="00C63849">
        <w:tab/>
        <w:t xml:space="preserve">felicită Comitetul pentru acțiunile sale de îmbunătățire a accesibilității și a conservării istorice a informațiilor sale prin: - punerea la dispoziție a tuturor documentelor și publicațiilor sale într-un singur loc centralizat, prin intermediul </w:t>
      </w:r>
      <w:proofErr w:type="spellStart"/>
      <w:r w:rsidRPr="00C63849">
        <w:t>widget</w:t>
      </w:r>
      <w:proofErr w:type="spellEnd"/>
      <w:r w:rsidRPr="00C63849">
        <w:t>-urilor Oficiului pentru Publicații încorporate în site-ul extern al Comitetului în 2024; - introducerea platformei „Panoramic-AI”, bazată pe IA, care a oferit un acces îmbunătățit și ușor de utilizat la conținutul instituțional (documente relevante, prezentări, discuții) în 2024; - migrarea arhivei complete de comunicate de presă și știri externe a Comitetului către biroul de presă al Direcției Generale Rețele de Comunicare, Conținut și Tehnologie și - transferul, pentru prima dată, al arhivelor istorice ale Comitetului la arhivele istorice ale Uniunii din Florența;</w:t>
      </w:r>
    </w:p>
    <w:p w14:paraId="276EFE51" w14:textId="77777777" w:rsidR="00653E30" w:rsidRPr="00C63849" w:rsidRDefault="00653E30" w:rsidP="00653E30">
      <w:pPr>
        <w:pStyle w:val="NormalHanging12a"/>
      </w:pPr>
      <w:r w:rsidRPr="00C63849">
        <w:t>67.</w:t>
      </w:r>
      <w:r w:rsidRPr="00C63849">
        <w:tab/>
        <w:t xml:space="preserve">ia act, pe baza raportului de impact și a raportului anual, de contribuția Comitetului la campania de comunicare a Parlamentului pentru alegerile europene din 2024, prin participarea unei rețele de 750 de tineri politicieni aleși, promovarea materialelor Parlamentului, producerea, cu membrii Comitetului, a unor videoclipuri de mobilizare la vot, dedicarea unei pagini web pe site-ul Comitetului pentru această campanie și producerea altor conținuturi vizuale promovate pe platformele de comunicare socială care au ajuns la aproape 5 milioane de conturi; salută aceste eforturi de a implica un </w:t>
      </w:r>
      <w:r w:rsidRPr="00C63849">
        <w:lastRenderedPageBreak/>
        <w:t>public larg și divers din întreaga Uniune și de a sensibiliza publicul cu privire la alegerile europene din 2024; subliniază că o astfel de cooperare interinstituțională în ceea ce privește politicile Uniunii, în special activitatea Parlamentului, este esențială pentru a ajunge la cetățenii din toate regiunile Uniunii, pentru a consolida participarea democratică și pentru a spori legitimitatea democratică a Uniunii;</w:t>
      </w:r>
    </w:p>
    <w:p w14:paraId="681F3986" w14:textId="77777777" w:rsidR="00653E30" w:rsidRPr="00C63849" w:rsidRDefault="00653E30" w:rsidP="00653E30">
      <w:pPr>
        <w:pStyle w:val="NormalHanging12a"/>
      </w:pPr>
      <w:r w:rsidRPr="00C63849">
        <w:t>68.</w:t>
      </w:r>
      <w:r w:rsidRPr="00C63849">
        <w:tab/>
        <w:t>ia act, din raportul anual, de succesul Comitetului în ceea ce privește comunicarea cu mass-media, astfel cum reiese din indicatorii generali pentru 2024, și anume: o creștere cu 28 % a numărului de vizitatori ai site-lui web, o creștere cu 11,60 % a numărului de urmăritori și o creștere cu 16 % a interacțiunilor digitale organice;</w:t>
      </w:r>
    </w:p>
    <w:p w14:paraId="10EEAA31" w14:textId="640C0C87" w:rsidR="00653E30" w:rsidRPr="00C63849" w:rsidRDefault="00653E30" w:rsidP="00653E30">
      <w:pPr>
        <w:pStyle w:val="NormalHanging12a"/>
      </w:pPr>
      <w:r w:rsidRPr="00C63849">
        <w:t>69.</w:t>
      </w:r>
      <w:r w:rsidRPr="00C63849">
        <w:tab/>
        <w:t>observă că Comitetul nu a participat la evenimentul Săptămâna romilor din 2024</w:t>
      </w:r>
      <w:r w:rsidR="00240A02" w:rsidRPr="00C63849">
        <w:t>;</w:t>
      </w:r>
    </w:p>
    <w:p w14:paraId="2F03CB7B" w14:textId="11CA5381" w:rsidR="0086402A" w:rsidRPr="00C63849" w:rsidRDefault="00653E30" w:rsidP="0086402A">
      <w:pPr>
        <w:pStyle w:val="NormalHanging12a"/>
      </w:pPr>
      <w:r w:rsidRPr="00C63849">
        <w:t>70.</w:t>
      </w:r>
      <w:r w:rsidRPr="00C63849">
        <w:tab/>
        <w:t>evidențiază că, în ansamblu, strategia de comunicare a Comitetului urmărește să consolideze vizibilitatea sa instituțională și poziția sa politică în calitate de organism reprezentativ al regiunilor, orașelor și localităților Uniunii și să prezinte rolul pe care îl dețin membrii săi în asigurarea legăturii dintre politicile Uniunii și cetățeni.</w:t>
      </w:r>
    </w:p>
    <w:p w14:paraId="42701E12" w14:textId="28A25224" w:rsidR="00E365E1" w:rsidRPr="00C63849" w:rsidRDefault="00E365E1" w:rsidP="004F2035"/>
    <w:sectPr w:rsidR="00E365E1" w:rsidRPr="00C63849" w:rsidSect="0086402A">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F5A6F1" w14:textId="77777777" w:rsidR="004F2035" w:rsidRPr="0086402A" w:rsidRDefault="004F2035">
      <w:r w:rsidRPr="0086402A">
        <w:separator/>
      </w:r>
    </w:p>
  </w:endnote>
  <w:endnote w:type="continuationSeparator" w:id="0">
    <w:p w14:paraId="071D001C" w14:textId="77777777" w:rsidR="004F2035" w:rsidRPr="0086402A" w:rsidRDefault="004F2035">
      <w:r w:rsidRPr="0086402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8DABC" w14:textId="77777777" w:rsidR="00653E30" w:rsidRPr="0086402A" w:rsidRDefault="00653E30" w:rsidP="007F592C">
    <w:pPr>
      <w:pStyle w:val="EPFooter"/>
    </w:pPr>
    <w:r w:rsidRPr="0086402A">
      <w:t>PE</w:t>
    </w:r>
    <w:r w:rsidRPr="0086402A">
      <w:rPr>
        <w:rStyle w:val="HideTWBExt"/>
      </w:rPr>
      <w:t>&lt;</w:t>
    </w:r>
    <w:proofErr w:type="spellStart"/>
    <w:r w:rsidRPr="0086402A">
      <w:rPr>
        <w:rStyle w:val="HideTWBExt"/>
      </w:rPr>
      <w:t>NoPE</w:t>
    </w:r>
    <w:proofErr w:type="spellEnd"/>
    <w:r w:rsidRPr="0086402A">
      <w:rPr>
        <w:rStyle w:val="HideTWBExt"/>
      </w:rPr>
      <w:t>&gt;</w:t>
    </w:r>
    <w:r w:rsidRPr="0086402A">
      <w:t>778.064</w:t>
    </w:r>
    <w:r w:rsidRPr="0086402A">
      <w:rPr>
        <w:rStyle w:val="HideTWBExt"/>
      </w:rPr>
      <w:t>&lt;/</w:t>
    </w:r>
    <w:proofErr w:type="spellStart"/>
    <w:r w:rsidRPr="0086402A">
      <w:rPr>
        <w:rStyle w:val="HideTWBExt"/>
      </w:rPr>
      <w:t>NoPE</w:t>
    </w:r>
    <w:proofErr w:type="spellEnd"/>
    <w:r w:rsidRPr="0086402A">
      <w:rPr>
        <w:rStyle w:val="HideTWBExt"/>
      </w:rPr>
      <w:t>&gt;&lt;Version&gt;</w:t>
    </w:r>
    <w:r w:rsidRPr="0086402A">
      <w:t>v02-00</w:t>
    </w:r>
    <w:r w:rsidRPr="0086402A">
      <w:rPr>
        <w:rStyle w:val="HideTWBExt"/>
      </w:rPr>
      <w:t>&lt;/</w:t>
    </w:r>
    <w:proofErr w:type="spellStart"/>
    <w:r w:rsidRPr="0086402A">
      <w:rPr>
        <w:rStyle w:val="HideTWBExt"/>
      </w:rPr>
      <w:t>Version</w:t>
    </w:r>
    <w:proofErr w:type="spellEnd"/>
    <w:r w:rsidRPr="0086402A">
      <w:rPr>
        <w:rStyle w:val="HideTWBExt"/>
      </w:rPr>
      <w:t>&gt;</w:t>
    </w:r>
    <w:r w:rsidRPr="0086402A">
      <w:tab/>
    </w:r>
    <w:r w:rsidRPr="0086402A">
      <w:fldChar w:fldCharType="begin"/>
    </w:r>
    <w:r w:rsidRPr="0086402A">
      <w:instrText xml:space="preserve"> PAGE  \* MERGEFORMAT </w:instrText>
    </w:r>
    <w:r w:rsidRPr="0086402A">
      <w:fldChar w:fldCharType="separate"/>
    </w:r>
    <w:r w:rsidRPr="0086402A">
      <w:rPr>
        <w:noProof/>
      </w:rPr>
      <w:t>2</w:t>
    </w:r>
    <w:r w:rsidRPr="0086402A">
      <w:fldChar w:fldCharType="end"/>
    </w:r>
    <w:r w:rsidRPr="0086402A">
      <w:t>/</w:t>
    </w:r>
    <w:fldSimple w:instr=" NUMPAGES  \* MERGEFORMAT ">
      <w:r w:rsidRPr="0086402A">
        <w:rPr>
          <w:noProof/>
        </w:rPr>
        <w:t>27</w:t>
      </w:r>
    </w:fldSimple>
    <w:r w:rsidRPr="0086402A">
      <w:tab/>
    </w:r>
    <w:r w:rsidRPr="0086402A">
      <w:rPr>
        <w:rStyle w:val="HideTWBExt"/>
      </w:rPr>
      <w:t>&lt;PathFdR&gt;</w:t>
    </w:r>
    <w:r w:rsidRPr="0086402A">
      <w:t>RR\1339441RO.docx</w:t>
    </w:r>
    <w:r w:rsidRPr="0086402A">
      <w:rPr>
        <w:rStyle w:val="HideTWBExt"/>
      </w:rPr>
      <w:t>&lt;/</w:t>
    </w:r>
    <w:proofErr w:type="spellStart"/>
    <w:r w:rsidRPr="0086402A">
      <w:rPr>
        <w:rStyle w:val="HideTWBExt"/>
      </w:rPr>
      <w:t>PathFdR</w:t>
    </w:r>
    <w:proofErr w:type="spellEnd"/>
    <w:r w:rsidRPr="0086402A">
      <w:rPr>
        <w:rStyle w:val="HideTWBExt"/>
      </w:rPr>
      <w:t>&gt;</w:t>
    </w:r>
  </w:p>
  <w:p w14:paraId="221C1BF7" w14:textId="77777777" w:rsidR="00653E30" w:rsidRPr="0086402A" w:rsidRDefault="00653E30" w:rsidP="007F592C">
    <w:pPr>
      <w:pStyle w:val="EPFooter2"/>
    </w:pPr>
    <w:r w:rsidRPr="0086402A">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359EE" w14:textId="77777777" w:rsidR="00653E30" w:rsidRPr="0086402A" w:rsidRDefault="00653E30" w:rsidP="007F592C">
    <w:pPr>
      <w:pStyle w:val="EPFooter"/>
    </w:pPr>
    <w:r w:rsidRPr="0086402A">
      <w:rPr>
        <w:rStyle w:val="HideTWBExt"/>
      </w:rPr>
      <w:t>&lt;PathFdR&gt;</w:t>
    </w:r>
    <w:r w:rsidRPr="0086402A">
      <w:t>RR\1339441RO.docx</w:t>
    </w:r>
    <w:r w:rsidRPr="0086402A">
      <w:rPr>
        <w:rStyle w:val="HideTWBExt"/>
      </w:rPr>
      <w:t>&lt;/</w:t>
    </w:r>
    <w:proofErr w:type="spellStart"/>
    <w:r w:rsidRPr="0086402A">
      <w:rPr>
        <w:rStyle w:val="HideTWBExt"/>
      </w:rPr>
      <w:t>PathFdR</w:t>
    </w:r>
    <w:proofErr w:type="spellEnd"/>
    <w:r w:rsidRPr="0086402A">
      <w:rPr>
        <w:rStyle w:val="HideTWBExt"/>
      </w:rPr>
      <w:t>&gt;</w:t>
    </w:r>
    <w:r w:rsidRPr="0086402A">
      <w:tab/>
    </w:r>
    <w:r w:rsidRPr="0086402A">
      <w:tab/>
      <w:t>PE</w:t>
    </w:r>
    <w:r w:rsidRPr="0086402A">
      <w:rPr>
        <w:rStyle w:val="HideTWBExt"/>
      </w:rPr>
      <w:t>&lt;</w:t>
    </w:r>
    <w:proofErr w:type="spellStart"/>
    <w:r w:rsidRPr="0086402A">
      <w:rPr>
        <w:rStyle w:val="HideTWBExt"/>
      </w:rPr>
      <w:t>NoPE</w:t>
    </w:r>
    <w:proofErr w:type="spellEnd"/>
    <w:r w:rsidRPr="0086402A">
      <w:rPr>
        <w:rStyle w:val="HideTWBExt"/>
      </w:rPr>
      <w:t>&gt;</w:t>
    </w:r>
    <w:r w:rsidRPr="0086402A">
      <w:t>778.064</w:t>
    </w:r>
    <w:r w:rsidRPr="0086402A">
      <w:rPr>
        <w:rStyle w:val="HideTWBExt"/>
      </w:rPr>
      <w:t>&lt;/</w:t>
    </w:r>
    <w:proofErr w:type="spellStart"/>
    <w:r w:rsidRPr="0086402A">
      <w:rPr>
        <w:rStyle w:val="HideTWBExt"/>
      </w:rPr>
      <w:t>NoPE</w:t>
    </w:r>
    <w:proofErr w:type="spellEnd"/>
    <w:r w:rsidRPr="0086402A">
      <w:rPr>
        <w:rStyle w:val="HideTWBExt"/>
      </w:rPr>
      <w:t>&gt;&lt;Version&gt;</w:t>
    </w:r>
    <w:r w:rsidRPr="0086402A">
      <w:t>v02-00</w:t>
    </w:r>
    <w:r w:rsidRPr="0086402A">
      <w:rPr>
        <w:rStyle w:val="HideTWBExt"/>
      </w:rPr>
      <w:t>&lt;/</w:t>
    </w:r>
    <w:proofErr w:type="spellStart"/>
    <w:r w:rsidRPr="0086402A">
      <w:rPr>
        <w:rStyle w:val="HideTWBExt"/>
      </w:rPr>
      <w:t>Version</w:t>
    </w:r>
    <w:proofErr w:type="spellEnd"/>
    <w:r w:rsidRPr="0086402A">
      <w:rPr>
        <w:rStyle w:val="HideTWBExt"/>
      </w:rPr>
      <w:t>&gt;</w:t>
    </w:r>
  </w:p>
  <w:p w14:paraId="066DEA3D" w14:textId="77777777" w:rsidR="00653E30" w:rsidRPr="0086402A" w:rsidRDefault="00653E30" w:rsidP="007F592C">
    <w:pPr>
      <w:pStyle w:val="EPFooter2"/>
    </w:pPr>
    <w:r w:rsidRPr="0086402A">
      <w:t>RO</w:t>
    </w:r>
    <w:r w:rsidRPr="0086402A">
      <w:tab/>
    </w:r>
    <w:r w:rsidRPr="0086402A">
      <w:rPr>
        <w:b w:val="0"/>
        <w:i/>
        <w:color w:val="C0C0C0"/>
        <w:sz w:val="22"/>
      </w:rPr>
      <w:t>Unită în diversitate</w:t>
    </w:r>
    <w:r w:rsidRPr="0086402A">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3382F" w14:textId="77777777" w:rsidR="00064002" w:rsidRPr="0086402A"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0D41C" w14:textId="77777777" w:rsidR="00064002" w:rsidRPr="0086402A"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9DFBD" w14:textId="77777777" w:rsidR="00064002" w:rsidRPr="0086402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E38C1C" w14:textId="77777777" w:rsidR="004F2035" w:rsidRPr="0086402A" w:rsidRDefault="004F2035">
      <w:r w:rsidRPr="0086402A">
        <w:separator/>
      </w:r>
    </w:p>
  </w:footnote>
  <w:footnote w:type="continuationSeparator" w:id="0">
    <w:p w14:paraId="07202E64" w14:textId="77777777" w:rsidR="004F2035" w:rsidRPr="0086402A" w:rsidRDefault="004F2035">
      <w:r w:rsidRPr="0086402A">
        <w:continuationSeparator/>
      </w:r>
    </w:p>
  </w:footnote>
  <w:footnote w:id="1">
    <w:p w14:paraId="42BD373F" w14:textId="3D497ED2" w:rsidR="00653E30" w:rsidRPr="0028315B" w:rsidRDefault="00653E30" w:rsidP="0086402A">
      <w:pPr>
        <w:pStyle w:val="FootnoteText"/>
        <w:ind w:left="567" w:hanging="567"/>
        <w:rPr>
          <w:sz w:val="24"/>
          <w:lang w:val="ro-RO"/>
        </w:rPr>
      </w:pPr>
      <w:r w:rsidRPr="0028315B">
        <w:rPr>
          <w:rStyle w:val="FootnoteReference"/>
          <w:sz w:val="24"/>
          <w:lang w:val="ro-RO"/>
        </w:rPr>
        <w:footnoteRef/>
      </w:r>
      <w:r w:rsidR="0086402A" w:rsidRPr="0028315B">
        <w:rPr>
          <w:sz w:val="24"/>
          <w:lang w:val="ro-RO"/>
        </w:rPr>
        <w:t xml:space="preserve"> </w:t>
      </w:r>
      <w:r w:rsidR="0086402A" w:rsidRPr="0028315B">
        <w:rPr>
          <w:sz w:val="24"/>
          <w:lang w:val="ro-RO"/>
        </w:rPr>
        <w:tab/>
      </w:r>
      <w:r w:rsidRPr="0028315B">
        <w:rPr>
          <w:sz w:val="24"/>
          <w:lang w:val="ro-RO"/>
        </w:rPr>
        <w:t>JO L</w:t>
      </w:r>
      <w:r w:rsidR="0093355B" w:rsidRPr="0028315B">
        <w:rPr>
          <w:sz w:val="24"/>
          <w:lang w:val="ro-RO"/>
        </w:rPr>
        <w:t>,</w:t>
      </w:r>
      <w:r w:rsidRPr="0028315B">
        <w:rPr>
          <w:sz w:val="24"/>
          <w:lang w:val="ro-RO"/>
        </w:rPr>
        <w:t xml:space="preserve"> </w:t>
      </w:r>
      <w:r w:rsidR="0093355B" w:rsidRPr="0028315B">
        <w:rPr>
          <w:sz w:val="24"/>
          <w:lang w:val="ro-RO"/>
        </w:rPr>
        <w:t>2024/</w:t>
      </w:r>
      <w:r w:rsidRPr="0028315B">
        <w:rPr>
          <w:sz w:val="24"/>
          <w:lang w:val="ro-RO"/>
        </w:rPr>
        <w:t xml:space="preserve">207, 22.2.2024, ELI: </w:t>
      </w:r>
      <w:hyperlink r:id="rId1" w:history="1">
        <w:r w:rsidRPr="0028315B">
          <w:rPr>
            <w:rStyle w:val="Hyperlink"/>
            <w:sz w:val="24"/>
            <w:lang w:val="ro-RO"/>
          </w:rPr>
          <w:t>http://data.europa.eu/eli/budget/2024/207/oj</w:t>
        </w:r>
      </w:hyperlink>
      <w:r w:rsidRPr="0028315B">
        <w:rPr>
          <w:sz w:val="24"/>
          <w:lang w:val="ro-RO"/>
        </w:rPr>
        <w:t>.</w:t>
      </w:r>
    </w:p>
  </w:footnote>
  <w:footnote w:id="2">
    <w:p w14:paraId="6FFD311E" w14:textId="45C4E06D" w:rsidR="00653E30" w:rsidRPr="0028315B" w:rsidRDefault="00653E30" w:rsidP="0086402A">
      <w:pPr>
        <w:pStyle w:val="FootnoteText"/>
        <w:ind w:left="567" w:hanging="567"/>
        <w:rPr>
          <w:sz w:val="24"/>
          <w:lang w:val="ro-RO"/>
        </w:rPr>
      </w:pPr>
      <w:r w:rsidRPr="0028315B">
        <w:rPr>
          <w:rStyle w:val="FootnoteReference"/>
          <w:sz w:val="24"/>
          <w:lang w:val="ro-RO"/>
        </w:rPr>
        <w:footnoteRef/>
      </w:r>
      <w:r w:rsidR="0086402A" w:rsidRPr="0028315B">
        <w:rPr>
          <w:sz w:val="24"/>
          <w:lang w:val="ro-RO"/>
        </w:rPr>
        <w:t xml:space="preserve"> </w:t>
      </w:r>
      <w:r w:rsidR="0086402A" w:rsidRPr="0028315B">
        <w:rPr>
          <w:sz w:val="24"/>
          <w:lang w:val="ro-RO"/>
        </w:rPr>
        <w:tab/>
      </w:r>
      <w:r w:rsidRPr="0028315B">
        <w:rPr>
          <w:sz w:val="24"/>
          <w:lang w:val="ro-RO"/>
        </w:rPr>
        <w:t>JO C, C/2025/4944, 13.10.2025, ELI: </w:t>
      </w:r>
      <w:hyperlink r:id="rId2" w:tgtFrame="_blank" w:tooltip="Oferă acces la acest document prin identificatorul său uniform de resurse ELI." w:history="1">
        <w:r w:rsidRPr="0028315B">
          <w:rPr>
            <w:rStyle w:val="Hyperlink"/>
            <w:sz w:val="24"/>
            <w:lang w:val="ro-RO"/>
          </w:rPr>
          <w:t>http://data.europa.eu/eli/C/2025/4944/oj</w:t>
        </w:r>
      </w:hyperlink>
      <w:r w:rsidRPr="0028315B">
        <w:rPr>
          <w:sz w:val="24"/>
          <w:lang w:val="ro-RO"/>
        </w:rPr>
        <w:t>.</w:t>
      </w:r>
    </w:p>
  </w:footnote>
  <w:footnote w:id="3">
    <w:p w14:paraId="5F5245CE" w14:textId="08DC81ED" w:rsidR="00653E30" w:rsidRPr="0028315B" w:rsidRDefault="00653E30" w:rsidP="0086402A">
      <w:pPr>
        <w:pStyle w:val="FootnoteText"/>
        <w:ind w:left="567" w:hanging="567"/>
        <w:rPr>
          <w:sz w:val="24"/>
          <w:lang w:val="ro-RO"/>
        </w:rPr>
      </w:pPr>
      <w:r w:rsidRPr="0028315B">
        <w:rPr>
          <w:rStyle w:val="FootnoteReference"/>
          <w:sz w:val="24"/>
          <w:lang w:val="ro-RO"/>
        </w:rPr>
        <w:footnoteRef/>
      </w:r>
      <w:r w:rsidR="0086402A" w:rsidRPr="0028315B">
        <w:rPr>
          <w:sz w:val="24"/>
          <w:lang w:val="ro-RO"/>
        </w:rPr>
        <w:t xml:space="preserve"> </w:t>
      </w:r>
      <w:r w:rsidR="0086402A" w:rsidRPr="0028315B">
        <w:rPr>
          <w:sz w:val="24"/>
          <w:lang w:val="ro-RO"/>
        </w:rPr>
        <w:tab/>
      </w:r>
      <w:r w:rsidRPr="0028315B">
        <w:rPr>
          <w:sz w:val="24"/>
          <w:lang w:val="ro-RO"/>
        </w:rPr>
        <w:t xml:space="preserve">JO C, C/2025/5409, 8.10.2025, ELI: </w:t>
      </w:r>
      <w:hyperlink r:id="rId3" w:history="1">
        <w:r w:rsidRPr="0028315B">
          <w:rPr>
            <w:rStyle w:val="Hyperlink"/>
            <w:sz w:val="24"/>
            <w:lang w:val="ro-RO"/>
          </w:rPr>
          <w:t>http://data.europa.eu/eli/C/2025/5409/oj</w:t>
        </w:r>
      </w:hyperlink>
      <w:r w:rsidRPr="0028315B">
        <w:rPr>
          <w:sz w:val="24"/>
          <w:lang w:val="ro-RO"/>
        </w:rPr>
        <w:t>.</w:t>
      </w:r>
    </w:p>
  </w:footnote>
  <w:footnote w:id="4">
    <w:p w14:paraId="724CDE0D" w14:textId="2393B88D" w:rsidR="00653E30" w:rsidRPr="0028315B" w:rsidRDefault="00653E30" w:rsidP="0086402A">
      <w:pPr>
        <w:pStyle w:val="FootnoteText"/>
        <w:ind w:left="567" w:hanging="567"/>
        <w:rPr>
          <w:sz w:val="24"/>
          <w:lang w:val="ro-RO"/>
        </w:rPr>
      </w:pPr>
      <w:r w:rsidRPr="0028315B">
        <w:rPr>
          <w:rStyle w:val="FootnoteReference"/>
          <w:sz w:val="24"/>
          <w:lang w:val="ro-RO"/>
        </w:rPr>
        <w:footnoteRef/>
      </w:r>
      <w:r w:rsidR="0086402A" w:rsidRPr="0028315B">
        <w:rPr>
          <w:sz w:val="24"/>
          <w:lang w:val="ro-RO"/>
        </w:rPr>
        <w:t xml:space="preserve"> </w:t>
      </w:r>
      <w:r w:rsidR="0086402A" w:rsidRPr="0028315B">
        <w:rPr>
          <w:sz w:val="24"/>
          <w:lang w:val="ro-RO"/>
        </w:rPr>
        <w:tab/>
      </w:r>
      <w:r w:rsidRPr="0028315B">
        <w:rPr>
          <w:sz w:val="24"/>
          <w:lang w:val="ro-RO"/>
        </w:rPr>
        <w:t xml:space="preserve">JO C, C/2025/5407, 13.10.2025, ELI: </w:t>
      </w:r>
      <w:hyperlink r:id="rId4" w:history="1">
        <w:r w:rsidRPr="0028315B">
          <w:rPr>
            <w:rStyle w:val="Hyperlink"/>
            <w:sz w:val="24"/>
            <w:lang w:val="ro-RO"/>
          </w:rPr>
          <w:t>http://data.europa.eu/eli/C/2025/5407/oj</w:t>
        </w:r>
      </w:hyperlink>
      <w:r w:rsidRPr="0028315B">
        <w:rPr>
          <w:sz w:val="24"/>
          <w:lang w:val="ro-RO"/>
        </w:rPr>
        <w:t xml:space="preserve">. </w:t>
      </w:r>
    </w:p>
  </w:footnote>
  <w:footnote w:id="5">
    <w:p w14:paraId="09EFA059" w14:textId="430D7191" w:rsidR="00653E30" w:rsidRPr="0028315B" w:rsidRDefault="00653E30" w:rsidP="0086402A">
      <w:pPr>
        <w:pStyle w:val="FootnoteText"/>
        <w:ind w:left="567" w:hanging="567"/>
        <w:rPr>
          <w:sz w:val="24"/>
          <w:lang w:val="ro-RO"/>
        </w:rPr>
      </w:pPr>
      <w:r w:rsidRPr="0028315B">
        <w:rPr>
          <w:rStyle w:val="FootnoteReference"/>
          <w:sz w:val="24"/>
          <w:lang w:val="ro-RO"/>
        </w:rPr>
        <w:footnoteRef/>
      </w:r>
      <w:r w:rsidR="0086402A" w:rsidRPr="0028315B">
        <w:rPr>
          <w:sz w:val="24"/>
          <w:lang w:val="ro-RO"/>
        </w:rPr>
        <w:t xml:space="preserve"> </w:t>
      </w:r>
      <w:r w:rsidR="0086402A" w:rsidRPr="0028315B">
        <w:rPr>
          <w:sz w:val="24"/>
          <w:lang w:val="ro-RO"/>
        </w:rPr>
        <w:tab/>
      </w:r>
      <w:r w:rsidRPr="0028315B">
        <w:rPr>
          <w:sz w:val="24"/>
          <w:lang w:val="ro-RO"/>
        </w:rPr>
        <w:t xml:space="preserve">JO L 193, 30.7.2018, p. 1, ELI: </w:t>
      </w:r>
      <w:hyperlink r:id="rId5" w:history="1">
        <w:r w:rsidRPr="0028315B">
          <w:rPr>
            <w:rStyle w:val="Hyperlink"/>
            <w:sz w:val="24"/>
            <w:lang w:val="ro-RO"/>
          </w:rPr>
          <w:t>http://data.europa.eu/eli/reg/2018/1046/oj</w:t>
        </w:r>
      </w:hyperlink>
      <w:r w:rsidRPr="0028315B">
        <w:rPr>
          <w:sz w:val="24"/>
          <w:lang w:val="ro-RO"/>
        </w:rPr>
        <w:t>.</w:t>
      </w:r>
    </w:p>
  </w:footnote>
  <w:footnote w:id="6">
    <w:p w14:paraId="48E7211E" w14:textId="7C0FFAB0" w:rsidR="00653E30" w:rsidRPr="0028315B" w:rsidRDefault="00653E30" w:rsidP="0086402A">
      <w:pPr>
        <w:pStyle w:val="FootnoteText"/>
        <w:ind w:left="567" w:hanging="567"/>
        <w:rPr>
          <w:sz w:val="24"/>
          <w:lang w:val="ro-RO"/>
        </w:rPr>
      </w:pPr>
      <w:r w:rsidRPr="0028315B">
        <w:rPr>
          <w:rStyle w:val="FootnoteReference"/>
          <w:sz w:val="24"/>
          <w:lang w:val="ro-RO"/>
        </w:rPr>
        <w:footnoteRef/>
      </w:r>
      <w:r w:rsidR="0086402A" w:rsidRPr="0028315B">
        <w:rPr>
          <w:sz w:val="24"/>
          <w:lang w:val="ro-RO"/>
        </w:rPr>
        <w:t xml:space="preserve"> </w:t>
      </w:r>
      <w:r w:rsidR="0086402A" w:rsidRPr="0028315B">
        <w:rPr>
          <w:sz w:val="24"/>
          <w:lang w:val="ro-RO"/>
        </w:rPr>
        <w:tab/>
      </w:r>
      <w:r w:rsidRPr="0028315B">
        <w:rPr>
          <w:sz w:val="24"/>
          <w:lang w:val="ro-RO"/>
        </w:rPr>
        <w:t xml:space="preserve">JO L, 2024/2509, 26.9.2024, ELI: </w:t>
      </w:r>
      <w:hyperlink r:id="rId6" w:history="1">
        <w:r w:rsidRPr="0028315B">
          <w:rPr>
            <w:rStyle w:val="Hyperlink"/>
            <w:sz w:val="24"/>
            <w:lang w:val="ro-RO"/>
          </w:rPr>
          <w:t>http://data.europa.eu/eli/reg/2024/2509/oj</w:t>
        </w:r>
      </w:hyperlink>
      <w:r w:rsidRPr="0028315B">
        <w:rPr>
          <w:sz w:val="24"/>
          <w:lang w:val="ro-RO"/>
        </w:rPr>
        <w:t>.</w:t>
      </w:r>
    </w:p>
  </w:footnote>
  <w:footnote w:id="7">
    <w:p w14:paraId="65EE4ADF" w14:textId="0986EECC" w:rsidR="00653E30" w:rsidRPr="0028315B" w:rsidRDefault="00653E30" w:rsidP="0086402A">
      <w:pPr>
        <w:pStyle w:val="FootnoteText"/>
        <w:ind w:left="567" w:hanging="567"/>
        <w:rPr>
          <w:sz w:val="24"/>
          <w:lang w:val="ro-RO"/>
        </w:rPr>
      </w:pPr>
      <w:r w:rsidRPr="0028315B">
        <w:rPr>
          <w:rStyle w:val="FootnoteReference"/>
          <w:sz w:val="24"/>
          <w:lang w:val="ro-RO"/>
        </w:rPr>
        <w:footnoteRef/>
      </w:r>
      <w:r w:rsidR="0086402A" w:rsidRPr="0028315B">
        <w:rPr>
          <w:sz w:val="24"/>
          <w:lang w:val="ro-RO"/>
        </w:rPr>
        <w:t xml:space="preserve"> </w:t>
      </w:r>
      <w:r w:rsidR="0086402A" w:rsidRPr="0028315B">
        <w:rPr>
          <w:sz w:val="24"/>
          <w:lang w:val="ro-RO"/>
        </w:rPr>
        <w:tab/>
      </w:r>
      <w:r w:rsidRPr="0028315B">
        <w:rPr>
          <w:sz w:val="24"/>
          <w:lang w:val="ro-RO"/>
        </w:rPr>
        <w:t>Rezoluția Comitetului European al Regiunilor – Prioritățile Comitetului European al Regiunilor pentru perioada 2020-2025 – Europa mai aproape de cetățeni prin intermediul satelor, orașelor și regiunilor sale (JO C 324, 1.10.2020, p. 8).</w:t>
      </w:r>
    </w:p>
  </w:footnote>
  <w:footnote w:id="8">
    <w:p w14:paraId="06636D20" w14:textId="2D783F4F" w:rsidR="00653E30" w:rsidRPr="0028315B" w:rsidRDefault="00653E30" w:rsidP="0086402A">
      <w:pPr>
        <w:pStyle w:val="FootnoteText"/>
        <w:ind w:left="567" w:hanging="567"/>
        <w:rPr>
          <w:sz w:val="24"/>
          <w:lang w:val="ro-RO"/>
        </w:rPr>
      </w:pPr>
      <w:r w:rsidRPr="0028315B">
        <w:rPr>
          <w:rStyle w:val="FootnoteReference"/>
          <w:sz w:val="24"/>
          <w:lang w:val="ro-RO"/>
        </w:rPr>
        <w:footnoteRef/>
      </w:r>
      <w:r w:rsidR="0086402A" w:rsidRPr="0028315B">
        <w:rPr>
          <w:sz w:val="24"/>
          <w:lang w:val="ro-RO"/>
        </w:rPr>
        <w:t xml:space="preserve"> </w:t>
      </w:r>
      <w:r w:rsidR="0086402A" w:rsidRPr="0028315B">
        <w:rPr>
          <w:sz w:val="24"/>
          <w:lang w:val="ro-RO"/>
        </w:rPr>
        <w:tab/>
      </w:r>
      <w:r w:rsidRPr="0028315B">
        <w:rPr>
          <w:sz w:val="24"/>
          <w:lang w:val="ro-RO"/>
        </w:rPr>
        <w:t>Regulamentul (UE) 2021/1060 al Parlamentului European și al Consiliului din 24 iunie 2021 de stabilire a dispozițiilor comune privind Fondul european de dezvoltare regională, Fondul social european Plus, Fondul de coeziune, Fondul pentru o tranziție justă și Fondul european pentru afaceri maritime, pescuit și acvacultură și de stabilire a normelor financiare aplicabile acestor fonduri, precum și Fondului pentru azil, migrație și integrare, Fondului pentru securitate internă și Instrumentului de sprijin financiar pentru managementul frontierelor și politica de vize (JO L 231, 30.6.2021, p. 159, ELI: </w:t>
      </w:r>
      <w:hyperlink r:id="rId7" w:tooltip="Oferă acces la acest document prin identificatorul său uniform de resurse ELI." w:history="1">
        <w:r w:rsidRPr="0028315B">
          <w:rPr>
            <w:rStyle w:val="Hyperlink"/>
            <w:sz w:val="24"/>
            <w:lang w:val="ro-RO"/>
          </w:rPr>
          <w:t>http://data.europa.eu/eli/reg/2021/1060/oj</w:t>
        </w:r>
      </w:hyperlink>
      <w:r w:rsidRPr="0028315B">
        <w:rPr>
          <w:sz w:val="24"/>
          <w:lang w:val="ro-RO"/>
        </w:rPr>
        <w:t>).</w:t>
      </w:r>
    </w:p>
  </w:footnote>
  <w:footnote w:id="9">
    <w:p w14:paraId="2F5E22E5" w14:textId="6A975FFC" w:rsidR="00653E30" w:rsidRPr="0028315B" w:rsidRDefault="00653E30" w:rsidP="0086402A">
      <w:pPr>
        <w:pStyle w:val="FootnoteText"/>
        <w:ind w:left="567" w:hanging="567"/>
        <w:rPr>
          <w:sz w:val="24"/>
          <w:szCs w:val="16"/>
          <w:lang w:val="ro-RO"/>
        </w:rPr>
      </w:pPr>
      <w:r w:rsidRPr="0028315B">
        <w:rPr>
          <w:rStyle w:val="FootnoteReference"/>
          <w:sz w:val="24"/>
          <w:lang w:val="ro-RO"/>
        </w:rPr>
        <w:footnoteRef/>
      </w:r>
      <w:r w:rsidR="0086402A" w:rsidRPr="0028315B">
        <w:rPr>
          <w:sz w:val="24"/>
          <w:lang w:val="ro-RO"/>
        </w:rPr>
        <w:t xml:space="preserve"> </w:t>
      </w:r>
      <w:r w:rsidR="0086402A" w:rsidRPr="0028315B">
        <w:rPr>
          <w:sz w:val="24"/>
          <w:lang w:val="ro-RO"/>
        </w:rPr>
        <w:tab/>
      </w:r>
      <w:r w:rsidRPr="0028315B">
        <w:rPr>
          <w:sz w:val="24"/>
          <w:lang w:val="ro-RO"/>
        </w:rPr>
        <w:t>Regulamentul (UE) 2021/241 al Parlamentului European și al Consiliului din 12 februarie 2021 de instituire a Mecanismului de redresare și reziliență (JO L 57, 18.2.2021, p. 17,</w:t>
      </w:r>
      <w:r w:rsidRPr="0028315B">
        <w:rPr>
          <w:color w:val="333333"/>
          <w:sz w:val="24"/>
          <w:shd w:val="clear" w:color="auto" w:fill="FFFFFF"/>
          <w:lang w:val="ro-RO"/>
        </w:rPr>
        <w:t xml:space="preserve"> ELI:  </w:t>
      </w:r>
      <w:hyperlink r:id="rId8" w:tooltip="Oferă acces la acest document prin identificatorul său uniform de resurse ELI." w:history="1">
        <w:r w:rsidRPr="0028315B">
          <w:rPr>
            <w:rStyle w:val="Hyperlink"/>
            <w:sz w:val="24"/>
            <w:shd w:val="clear" w:color="auto" w:fill="FFFFFF"/>
            <w:lang w:val="ro-RO"/>
          </w:rPr>
          <w:t>http://data.europa.eu/eli/reg/2021/241/oj</w:t>
        </w:r>
      </w:hyperlink>
      <w:r w:rsidRPr="0028315B">
        <w:rPr>
          <w:sz w:val="24"/>
          <w:lang w:val="ro-RO"/>
        </w:rPr>
        <w:t>).</w:t>
      </w:r>
    </w:p>
  </w:footnote>
  <w:footnote w:id="10">
    <w:p w14:paraId="496D737D" w14:textId="558C67D2" w:rsidR="00653E30" w:rsidRPr="0028315B" w:rsidRDefault="00653E30" w:rsidP="0086402A">
      <w:pPr>
        <w:pStyle w:val="FootnoteText"/>
        <w:ind w:left="567" w:hanging="567"/>
        <w:rPr>
          <w:sz w:val="24"/>
          <w:lang w:val="ro-RO"/>
        </w:rPr>
      </w:pPr>
      <w:r w:rsidRPr="0028315B">
        <w:rPr>
          <w:rStyle w:val="FootnoteReference"/>
          <w:sz w:val="24"/>
          <w:lang w:val="ro-RO"/>
        </w:rPr>
        <w:footnoteRef/>
      </w:r>
      <w:r w:rsidR="0086402A" w:rsidRPr="0028315B">
        <w:rPr>
          <w:sz w:val="24"/>
          <w:lang w:val="ro-RO"/>
        </w:rPr>
        <w:t xml:space="preserve"> </w:t>
      </w:r>
      <w:r w:rsidR="0086402A" w:rsidRPr="0028315B">
        <w:rPr>
          <w:sz w:val="24"/>
          <w:lang w:val="ro-RO"/>
        </w:rPr>
        <w:tab/>
      </w:r>
      <w:r w:rsidRPr="0028315B">
        <w:rPr>
          <w:sz w:val="24"/>
          <w:lang w:val="ro-RO"/>
        </w:rPr>
        <w:t xml:space="preserve">Regulamentul (UE) 2024/1991 al Parlamentului European și al Consiliului din 24 iunie 2024 privind restaurarea naturii și de modificare a Regulamentului (UE) 2022/869 (JO L, 2024/1991, 29.7.2024, ELI: </w:t>
      </w:r>
      <w:hyperlink r:id="rId9" w:tooltip="Oferă acces la acest document prin identificatorul său uniform de resurse ELI." w:history="1">
        <w:r w:rsidRPr="0028315B">
          <w:rPr>
            <w:rStyle w:val="Hyperlink"/>
            <w:sz w:val="24"/>
            <w:lang w:val="ro-RO"/>
          </w:rPr>
          <w:t>http://data.europa.eu/eli/reg/2024/1991/oj</w:t>
        </w:r>
      </w:hyperlink>
      <w:r w:rsidRPr="0028315B">
        <w:rPr>
          <w:sz w:val="24"/>
          <w:lang w:val="ro-RO"/>
        </w:rPr>
        <w:t>).</w:t>
      </w:r>
    </w:p>
  </w:footnote>
  <w:footnote w:id="11">
    <w:p w14:paraId="06F457DF" w14:textId="3DDB476A" w:rsidR="00653E30" w:rsidRPr="0028315B" w:rsidRDefault="00653E30" w:rsidP="0086402A">
      <w:pPr>
        <w:pStyle w:val="FootnoteText"/>
        <w:ind w:left="567" w:hanging="567"/>
        <w:rPr>
          <w:sz w:val="24"/>
          <w:lang w:val="ro-RO"/>
        </w:rPr>
      </w:pPr>
      <w:r w:rsidRPr="0028315B">
        <w:rPr>
          <w:rStyle w:val="FootnoteReference"/>
          <w:sz w:val="24"/>
          <w:lang w:val="ro-RO"/>
        </w:rPr>
        <w:footnoteRef/>
      </w:r>
      <w:r w:rsidR="0086402A" w:rsidRPr="0028315B">
        <w:rPr>
          <w:sz w:val="24"/>
          <w:lang w:val="ro-RO"/>
        </w:rPr>
        <w:t xml:space="preserve"> </w:t>
      </w:r>
      <w:r w:rsidR="0086402A" w:rsidRPr="0028315B">
        <w:rPr>
          <w:sz w:val="24"/>
          <w:lang w:val="ro-RO"/>
        </w:rPr>
        <w:tab/>
      </w:r>
      <w:r w:rsidRPr="0028315B">
        <w:rPr>
          <w:sz w:val="24"/>
          <w:lang w:val="ro-RO"/>
        </w:rPr>
        <w:t>Regulamentul (UE) 2025/327 al Parlamentului European și al Consiliului din 11 februarie 2025 referitor la spațiul european al datelor privind sănătatea și de modificare a Directivei 2011/24/UE și a Regulamentului (UE) 2024/2847 (JO L, 2025/327, 5.3.2025, ELI:</w:t>
      </w:r>
      <w:r w:rsidRPr="0028315B">
        <w:rPr>
          <w:color w:val="333333"/>
          <w:sz w:val="24"/>
          <w:shd w:val="clear" w:color="auto" w:fill="FFFFFF"/>
          <w:lang w:val="ro-RO"/>
        </w:rPr>
        <w:t xml:space="preserve"> </w:t>
      </w:r>
      <w:hyperlink r:id="rId10" w:tooltip="Oferă acces la acest document prin identificatorul său uniform de resurse ELI." w:history="1">
        <w:r w:rsidRPr="0028315B">
          <w:rPr>
            <w:rStyle w:val="Hyperlink"/>
            <w:sz w:val="24"/>
            <w:lang w:val="ro-RO"/>
          </w:rPr>
          <w:t>http://data.europa.eu/eli/reg/2025/327/oj</w:t>
        </w:r>
      </w:hyperlink>
      <w:r w:rsidRPr="0028315B">
        <w:rPr>
          <w:sz w:val="24"/>
          <w:lang w:val="ro-RO"/>
        </w:rPr>
        <w:t xml:space="preserve">). </w:t>
      </w:r>
    </w:p>
  </w:footnote>
  <w:footnote w:id="12">
    <w:p w14:paraId="66DBAC86" w14:textId="2652EFA5" w:rsidR="00653E30" w:rsidRPr="0028315B" w:rsidRDefault="00653E30" w:rsidP="0086402A">
      <w:pPr>
        <w:pStyle w:val="FootnoteText"/>
        <w:ind w:left="567" w:hanging="567"/>
        <w:rPr>
          <w:sz w:val="24"/>
          <w:lang w:val="ro-RO"/>
        </w:rPr>
      </w:pPr>
      <w:r w:rsidRPr="0028315B">
        <w:rPr>
          <w:rStyle w:val="FootnoteReference"/>
          <w:sz w:val="24"/>
          <w:lang w:val="ro-RO"/>
        </w:rPr>
        <w:footnoteRef/>
      </w:r>
      <w:r w:rsidR="0086402A" w:rsidRPr="0028315B">
        <w:rPr>
          <w:sz w:val="24"/>
          <w:lang w:val="ro-RO"/>
        </w:rPr>
        <w:t xml:space="preserve"> </w:t>
      </w:r>
      <w:r w:rsidR="0086402A" w:rsidRPr="0028315B">
        <w:rPr>
          <w:sz w:val="24"/>
          <w:lang w:val="ro-RO"/>
        </w:rPr>
        <w:tab/>
      </w:r>
      <w:r w:rsidRPr="0028315B">
        <w:rPr>
          <w:sz w:val="24"/>
          <w:lang w:val="ro-RO"/>
        </w:rPr>
        <w:t>Regulamentul (UE) 2024/1689 al Parlamentului European și al Consiliului din 13 iunie 2024 de stabilire a unor norme armonizate privind inteligența artificială și de modificare a Regulamentelor (CE) nr. 300/2008, (UE) nr. 167/2013, (UE) nr. 168/2013, (UE) 2018/858, (UE) 2018/1139 și (UE) 2019/2144 și a Directivelor 2014/90/UE, (UE) 2016/797 și (UE) 2020/1828 (Regulamentul privind inteligența artificială) (JO L, 2024/1689, 12.7.2024, ELI: </w:t>
      </w:r>
      <w:hyperlink r:id="rId11" w:tgtFrame="_blank" w:tooltip="Oferă acces la acest document prin identificatorul său uniform de resurse ELI." w:history="1">
        <w:r w:rsidRPr="0028315B">
          <w:rPr>
            <w:rStyle w:val="Hyperlink"/>
            <w:sz w:val="24"/>
            <w:lang w:val="ro-RO"/>
          </w:rPr>
          <w:t>http://data.europa.eu/eli/reg/2024/1689/oj</w:t>
        </w:r>
      </w:hyperlink>
      <w:r w:rsidRPr="0028315B">
        <w:rPr>
          <w:sz w:val="24"/>
          <w:lang w:val="ro-RO"/>
        </w:rPr>
        <w:t>).</w:t>
      </w:r>
    </w:p>
  </w:footnote>
  <w:footnote w:id="13">
    <w:p w14:paraId="14767875" w14:textId="29938D9D" w:rsidR="00653E30" w:rsidRPr="0086402A" w:rsidRDefault="00653E30" w:rsidP="0086402A">
      <w:pPr>
        <w:pStyle w:val="FootnoteText"/>
        <w:ind w:left="567" w:hanging="567"/>
        <w:rPr>
          <w:sz w:val="24"/>
          <w:lang w:val="ro-RO"/>
        </w:rPr>
      </w:pPr>
      <w:r w:rsidRPr="0028315B">
        <w:rPr>
          <w:rStyle w:val="FootnoteReference"/>
          <w:sz w:val="24"/>
          <w:lang w:val="ro-RO"/>
        </w:rPr>
        <w:footnoteRef/>
      </w:r>
      <w:r w:rsidR="0086402A" w:rsidRPr="0028315B">
        <w:rPr>
          <w:sz w:val="24"/>
          <w:lang w:val="ro-RO"/>
        </w:rPr>
        <w:t xml:space="preserve"> </w:t>
      </w:r>
      <w:r w:rsidR="0086402A" w:rsidRPr="0028315B">
        <w:rPr>
          <w:sz w:val="24"/>
          <w:lang w:val="ro-RO"/>
        </w:rPr>
        <w:tab/>
      </w:r>
      <w:r w:rsidRPr="0028315B">
        <w:rPr>
          <w:sz w:val="24"/>
          <w:lang w:val="ro-RO"/>
        </w:rPr>
        <w:t xml:space="preserve">Regulamentul (UE, Euratom) 2023/2841 al Parlamentului European și al Consiliului din 13 decembrie 2023 privind măsuri pentru un nivel comun ridicat de securitate cibernetică în instituțiile, organele, oficiile și agențiile Uniunii (JO L, 2023/2841, 18.12.2023, ELI: </w:t>
      </w:r>
      <w:hyperlink r:id="rId12" w:history="1">
        <w:r w:rsidRPr="0028315B">
          <w:rPr>
            <w:rStyle w:val="Hyperlink"/>
            <w:sz w:val="24"/>
            <w:lang w:val="ro-RO"/>
          </w:rPr>
          <w:t>http://data.europa.eu/eli/reg/2023/2841/oj</w:t>
        </w:r>
      </w:hyperlink>
      <w:r w:rsidRPr="0028315B">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A82A4" w14:textId="77777777" w:rsidR="00064002" w:rsidRPr="0086402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0BA9C" w14:textId="77777777" w:rsidR="00064002" w:rsidRPr="0086402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D2FD4" w14:textId="77777777" w:rsidR="00064002" w:rsidRPr="0086402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87238062">
    <w:abstractNumId w:val="9"/>
  </w:num>
  <w:num w:numId="2" w16cid:durableId="1569070657">
    <w:abstractNumId w:val="9"/>
  </w:num>
  <w:num w:numId="3" w16cid:durableId="1604264803">
    <w:abstractNumId w:val="7"/>
  </w:num>
  <w:num w:numId="4" w16cid:durableId="1860465291">
    <w:abstractNumId w:val="7"/>
  </w:num>
  <w:num w:numId="5" w16cid:durableId="340862835">
    <w:abstractNumId w:val="6"/>
  </w:num>
  <w:num w:numId="6" w16cid:durableId="1545828363">
    <w:abstractNumId w:val="6"/>
  </w:num>
  <w:num w:numId="7" w16cid:durableId="425003775">
    <w:abstractNumId w:val="5"/>
  </w:num>
  <w:num w:numId="8" w16cid:durableId="1578249072">
    <w:abstractNumId w:val="5"/>
  </w:num>
  <w:num w:numId="9" w16cid:durableId="2028409573">
    <w:abstractNumId w:val="4"/>
  </w:num>
  <w:num w:numId="10" w16cid:durableId="1719550000">
    <w:abstractNumId w:val="4"/>
  </w:num>
  <w:num w:numId="11" w16cid:durableId="896236599">
    <w:abstractNumId w:val="8"/>
  </w:num>
  <w:num w:numId="12" w16cid:durableId="1227954629">
    <w:abstractNumId w:val="8"/>
  </w:num>
  <w:num w:numId="13" w16cid:durableId="1504054238">
    <w:abstractNumId w:val="3"/>
  </w:num>
  <w:num w:numId="14" w16cid:durableId="1072316102">
    <w:abstractNumId w:val="3"/>
  </w:num>
  <w:num w:numId="15" w16cid:durableId="1116023467">
    <w:abstractNumId w:val="2"/>
  </w:num>
  <w:num w:numId="16" w16cid:durableId="1252545790">
    <w:abstractNumId w:val="2"/>
  </w:num>
  <w:num w:numId="17" w16cid:durableId="932667836">
    <w:abstractNumId w:val="1"/>
  </w:num>
  <w:num w:numId="18" w16cid:durableId="921257283">
    <w:abstractNumId w:val="1"/>
  </w:num>
  <w:num w:numId="19" w16cid:durableId="994602621">
    <w:abstractNumId w:val="0"/>
  </w:num>
  <w:num w:numId="20" w16cid:durableId="1643387640">
    <w:abstractNumId w:val="0"/>
  </w:num>
  <w:num w:numId="21" w16cid:durableId="1883706736">
    <w:abstractNumId w:val="9"/>
  </w:num>
  <w:num w:numId="22" w16cid:durableId="1954052976">
    <w:abstractNumId w:val="7"/>
  </w:num>
  <w:num w:numId="23" w16cid:durableId="1917352074">
    <w:abstractNumId w:val="6"/>
  </w:num>
  <w:num w:numId="24" w16cid:durableId="40785218">
    <w:abstractNumId w:val="5"/>
  </w:num>
  <w:num w:numId="25" w16cid:durableId="433669552">
    <w:abstractNumId w:val="4"/>
  </w:num>
  <w:num w:numId="26" w16cid:durableId="347417402">
    <w:abstractNumId w:val="8"/>
  </w:num>
  <w:num w:numId="27" w16cid:durableId="1193150135">
    <w:abstractNumId w:val="3"/>
  </w:num>
  <w:num w:numId="28" w16cid:durableId="503545434">
    <w:abstractNumId w:val="2"/>
  </w:num>
  <w:num w:numId="29" w16cid:durableId="1215851203">
    <w:abstractNumId w:val="1"/>
  </w:num>
  <w:num w:numId="30" w16cid:durableId="73624285">
    <w:abstractNumId w:val="0"/>
  </w:num>
  <w:num w:numId="31" w16cid:durableId="2049840368">
    <w:abstractNumId w:val="9"/>
  </w:num>
  <w:num w:numId="32" w16cid:durableId="1015693260">
    <w:abstractNumId w:val="7"/>
  </w:num>
  <w:num w:numId="33" w16cid:durableId="1419057405">
    <w:abstractNumId w:val="6"/>
  </w:num>
  <w:num w:numId="34" w16cid:durableId="304050887">
    <w:abstractNumId w:val="5"/>
  </w:num>
  <w:num w:numId="35" w16cid:durableId="1485009617">
    <w:abstractNumId w:val="4"/>
  </w:num>
  <w:num w:numId="36" w16cid:durableId="1906136875">
    <w:abstractNumId w:val="8"/>
  </w:num>
  <w:num w:numId="37" w16cid:durableId="612397535">
    <w:abstractNumId w:val="3"/>
  </w:num>
  <w:num w:numId="38" w16cid:durableId="1813063847">
    <w:abstractNumId w:val="2"/>
  </w:num>
  <w:num w:numId="39" w16cid:durableId="50931192">
    <w:abstractNumId w:val="1"/>
  </w:num>
  <w:num w:numId="40" w16cid:durableId="380178679">
    <w:abstractNumId w:val="0"/>
  </w:num>
  <w:num w:numId="41" w16cid:durableId="1383216070">
    <w:abstractNumId w:val="10"/>
  </w:num>
  <w:num w:numId="42" w16cid:durableId="951739597">
    <w:abstractNumId w:val="10"/>
  </w:num>
  <w:num w:numId="43" w16cid:durableId="1374692022">
    <w:abstractNumId w:val="10"/>
  </w:num>
  <w:num w:numId="44" w16cid:durableId="109945261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6/2026"/>
    <w:docVar w:name="dvlangue" w:val="RO"/>
    <w:docVar w:name="dvnumam" w:val="0"/>
    <w:docVar w:name="dvpe" w:val="778.064"/>
    <w:docVar w:name="dvrapporteur" w:val="Raportor: "/>
    <w:docVar w:name="dvtitre" w:val="Decizia Parlamentului European din 28 aprilie 2026 privind descărcarea de gestiune pentru execuția bugetului general al Uniunii Europene aferent exercițiului financiar 2024, secțiunea VII – Comitetul Regiunilor(2025/2152(DEC))"/>
  </w:docVars>
  <w:rsids>
    <w:rsidRoot w:val="004F2035"/>
    <w:rsid w:val="00002272"/>
    <w:rsid w:val="00064002"/>
    <w:rsid w:val="000677B9"/>
    <w:rsid w:val="000831BA"/>
    <w:rsid w:val="000A42CC"/>
    <w:rsid w:val="000E7DD9"/>
    <w:rsid w:val="0010095E"/>
    <w:rsid w:val="00125B37"/>
    <w:rsid w:val="00187494"/>
    <w:rsid w:val="001F32AE"/>
    <w:rsid w:val="001F5B91"/>
    <w:rsid w:val="00240A02"/>
    <w:rsid w:val="002767FF"/>
    <w:rsid w:val="0028315B"/>
    <w:rsid w:val="002B18FE"/>
    <w:rsid w:val="002B5493"/>
    <w:rsid w:val="00343214"/>
    <w:rsid w:val="00361C00"/>
    <w:rsid w:val="00395FA1"/>
    <w:rsid w:val="003E15D4"/>
    <w:rsid w:val="00411CCE"/>
    <w:rsid w:val="0041666E"/>
    <w:rsid w:val="00421060"/>
    <w:rsid w:val="0046710F"/>
    <w:rsid w:val="00471C19"/>
    <w:rsid w:val="004867E3"/>
    <w:rsid w:val="00494A28"/>
    <w:rsid w:val="004C0004"/>
    <w:rsid w:val="004C5D52"/>
    <w:rsid w:val="004F2035"/>
    <w:rsid w:val="0050519A"/>
    <w:rsid w:val="005072A1"/>
    <w:rsid w:val="00514517"/>
    <w:rsid w:val="00545827"/>
    <w:rsid w:val="00560270"/>
    <w:rsid w:val="005C2568"/>
    <w:rsid w:val="005F1B17"/>
    <w:rsid w:val="006037C0"/>
    <w:rsid w:val="00653E30"/>
    <w:rsid w:val="006631B6"/>
    <w:rsid w:val="00680577"/>
    <w:rsid w:val="006F74FA"/>
    <w:rsid w:val="00731ADD"/>
    <w:rsid w:val="00734777"/>
    <w:rsid w:val="0074466D"/>
    <w:rsid w:val="00747932"/>
    <w:rsid w:val="00751A4A"/>
    <w:rsid w:val="00756632"/>
    <w:rsid w:val="00762C74"/>
    <w:rsid w:val="00786EC0"/>
    <w:rsid w:val="007D1690"/>
    <w:rsid w:val="007E22AD"/>
    <w:rsid w:val="00817416"/>
    <w:rsid w:val="00842779"/>
    <w:rsid w:val="0086402A"/>
    <w:rsid w:val="00865F67"/>
    <w:rsid w:val="00881A7B"/>
    <w:rsid w:val="008840E5"/>
    <w:rsid w:val="00887B3E"/>
    <w:rsid w:val="008C2AC6"/>
    <w:rsid w:val="00930C23"/>
    <w:rsid w:val="0093193B"/>
    <w:rsid w:val="0093355B"/>
    <w:rsid w:val="009509D8"/>
    <w:rsid w:val="00950B64"/>
    <w:rsid w:val="00981893"/>
    <w:rsid w:val="00A1687D"/>
    <w:rsid w:val="00A43E52"/>
    <w:rsid w:val="00A4678D"/>
    <w:rsid w:val="00A778C7"/>
    <w:rsid w:val="00AB441E"/>
    <w:rsid w:val="00AB6293"/>
    <w:rsid w:val="00AE0928"/>
    <w:rsid w:val="00AF3B82"/>
    <w:rsid w:val="00B12E95"/>
    <w:rsid w:val="00B13B02"/>
    <w:rsid w:val="00B22876"/>
    <w:rsid w:val="00B558F0"/>
    <w:rsid w:val="00BD48FE"/>
    <w:rsid w:val="00BD7BD8"/>
    <w:rsid w:val="00BE6ADC"/>
    <w:rsid w:val="00C05BFE"/>
    <w:rsid w:val="00C23CD4"/>
    <w:rsid w:val="00C30A4F"/>
    <w:rsid w:val="00C61C0C"/>
    <w:rsid w:val="00C63849"/>
    <w:rsid w:val="00C941CB"/>
    <w:rsid w:val="00CC2357"/>
    <w:rsid w:val="00CF071A"/>
    <w:rsid w:val="00D058B8"/>
    <w:rsid w:val="00D27A41"/>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C22AD"/>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772031"/>
  <w15:chartTrackingRefBased/>
  <w15:docId w15:val="{F383251A-9D9E-46B1-8F70-5BD5E5EDC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653E30"/>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653E30"/>
    <w:pPr>
      <w:spacing w:before="480" w:after="240"/>
    </w:pPr>
  </w:style>
  <w:style w:type="paragraph" w:customStyle="1" w:styleId="PageHeading">
    <w:name w:val="PageHeading"/>
    <w:basedOn w:val="Normal"/>
    <w:rsid w:val="00653E30"/>
    <w:pPr>
      <w:keepNext/>
      <w:spacing w:after="480"/>
      <w:jc w:val="center"/>
    </w:pPr>
    <w:rPr>
      <w:rFonts w:ascii="Arial" w:hAnsi="Arial" w:cs="Arial"/>
      <w:b/>
    </w:rPr>
  </w:style>
  <w:style w:type="paragraph" w:customStyle="1" w:styleId="NormalBold">
    <w:name w:val="NormalBold"/>
    <w:basedOn w:val="Normal"/>
    <w:rsid w:val="00653E30"/>
    <w:rPr>
      <w:b/>
    </w:rPr>
  </w:style>
  <w:style w:type="paragraph" w:customStyle="1" w:styleId="NormalHanging12a">
    <w:name w:val="NormalHanging12a"/>
    <w:basedOn w:val="Normal"/>
    <w:link w:val="NormalHanging12aChar"/>
    <w:qFormat/>
    <w:rsid w:val="00653E30"/>
    <w:pPr>
      <w:spacing w:after="240"/>
      <w:ind w:left="567" w:hanging="567"/>
    </w:pPr>
  </w:style>
  <w:style w:type="paragraph" w:styleId="Header">
    <w:name w:val="header"/>
    <w:basedOn w:val="Normal"/>
    <w:link w:val="HeaderChar"/>
    <w:rsid w:val="00653E30"/>
    <w:pPr>
      <w:tabs>
        <w:tab w:val="center" w:pos="4513"/>
        <w:tab w:val="right" w:pos="9026"/>
      </w:tabs>
    </w:pPr>
  </w:style>
  <w:style w:type="character" w:customStyle="1" w:styleId="HeaderChar">
    <w:name w:val="Header Char"/>
    <w:basedOn w:val="DefaultParagraphFont"/>
    <w:link w:val="Header"/>
    <w:rsid w:val="00653E30"/>
    <w:rPr>
      <w:sz w:val="24"/>
      <w:lang w:val="ro-RO"/>
    </w:rPr>
  </w:style>
  <w:style w:type="paragraph" w:customStyle="1" w:styleId="EPFooter">
    <w:name w:val="EPFooter"/>
    <w:basedOn w:val="Normal"/>
    <w:rsid w:val="00653E30"/>
    <w:pPr>
      <w:tabs>
        <w:tab w:val="center" w:pos="4535"/>
        <w:tab w:val="right" w:pos="9071"/>
      </w:tabs>
      <w:spacing w:before="240" w:after="240"/>
    </w:pPr>
    <w:rPr>
      <w:color w:val="010000"/>
      <w:sz w:val="22"/>
    </w:rPr>
  </w:style>
  <w:style w:type="character" w:styleId="Hyperlink">
    <w:name w:val="Hyperlink"/>
    <w:basedOn w:val="DefaultParagraphFont"/>
    <w:uiPriority w:val="99"/>
    <w:rsid w:val="00653E30"/>
    <w:rPr>
      <w:color w:val="0563C1" w:themeColor="hyperlink"/>
      <w:u w:val="single"/>
    </w:rPr>
  </w:style>
  <w:style w:type="character" w:customStyle="1" w:styleId="NormalHanging12aChar">
    <w:name w:val="NormalHanging12a Char"/>
    <w:basedOn w:val="DefaultParagraphFont"/>
    <w:link w:val="NormalHanging12a"/>
    <w:locked/>
    <w:rsid w:val="00653E30"/>
    <w:rPr>
      <w:sz w:val="24"/>
      <w:lang w:val="ro-RO"/>
    </w:rPr>
  </w:style>
  <w:style w:type="paragraph" w:styleId="Footer">
    <w:name w:val="footer"/>
    <w:basedOn w:val="Normal"/>
    <w:link w:val="FooterChar"/>
    <w:rsid w:val="00240A02"/>
    <w:pPr>
      <w:tabs>
        <w:tab w:val="center" w:pos="4513"/>
        <w:tab w:val="right" w:pos="9026"/>
      </w:tabs>
    </w:pPr>
  </w:style>
  <w:style w:type="character" w:customStyle="1" w:styleId="FooterChar">
    <w:name w:val="Footer Char"/>
    <w:basedOn w:val="DefaultParagraphFont"/>
    <w:link w:val="Footer"/>
    <w:rsid w:val="00240A02"/>
    <w:rPr>
      <w:sz w:val="24"/>
      <w:lang w:val="ro-RO"/>
    </w:rPr>
  </w:style>
  <w:style w:type="paragraph" w:styleId="Revision">
    <w:name w:val="Revision"/>
    <w:hidden/>
    <w:uiPriority w:val="99"/>
    <w:semiHidden/>
    <w:rsid w:val="00240A02"/>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1/241/oj" TargetMode="External"/><Relationship Id="rId3" Type="http://schemas.openxmlformats.org/officeDocument/2006/relationships/hyperlink" Target="http://data.europa.eu/eli/C/2025/5409/oj" TargetMode="External"/><Relationship Id="rId7" Type="http://schemas.openxmlformats.org/officeDocument/2006/relationships/hyperlink" Target="http://data.europa.eu/eli/reg/2021/1060/oj" TargetMode="External"/><Relationship Id="rId12" Type="http://schemas.openxmlformats.org/officeDocument/2006/relationships/hyperlink" Target="http://data.europa.eu/eli/reg/2023/2841/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11" Type="http://schemas.openxmlformats.org/officeDocument/2006/relationships/hyperlink" Target="http://data.europa.eu/eli/reg/2024/1689/oj" TargetMode="External"/><Relationship Id="rId5" Type="http://schemas.openxmlformats.org/officeDocument/2006/relationships/hyperlink" Target="http://data.europa.eu/eli/reg/2018/1046/oj" TargetMode="External"/><Relationship Id="rId10" Type="http://schemas.openxmlformats.org/officeDocument/2006/relationships/hyperlink" Target="http://data.europa.eu/eli/reg/2025/327/oj" TargetMode="External"/><Relationship Id="rId4" Type="http://schemas.openxmlformats.org/officeDocument/2006/relationships/hyperlink" Target="http://data.europa.eu/eli/C/2025/5407/oj" TargetMode="External"/><Relationship Id="rId9" Type="http://schemas.openxmlformats.org/officeDocument/2006/relationships/hyperlink" Target="http://data.europa.eu/eli/reg/2024/199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10233</Words>
  <Characters>59463</Characters>
  <Application>Microsoft Office Word</Application>
  <DocSecurity>0</DocSecurity>
  <Lines>495</Lines>
  <Paragraphs>139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69557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TEODORESCU-ILIE Camelia</dc:creator>
  <cp:keywords/>
  <cp:lastModifiedBy>GHERMAN Laura-Mirona</cp:lastModifiedBy>
  <cp:revision>2</cp:revision>
  <cp:lastPrinted>2004-11-19T15:42:00Z</cp:lastPrinted>
  <dcterms:created xsi:type="dcterms:W3CDTF">2026-05-19T14:30:00Z</dcterms:created>
  <dcterms:modified xsi:type="dcterms:W3CDTF">2026-05-19T14:30:00Z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P10_TA(2026)0132_</vt:lpwstr>
  </property>
  <property fmtid="{D5CDD505-2E9C-101B-9397-08002B2CF9AE}" pid="4" name="&lt;Type&gt;">
    <vt:lpwstr>RR</vt:lpwstr>
  </property>
</Properties>
</file>