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2D2D" w14:paraId="010D7C1F" w14:textId="77777777" w:rsidTr="0010095E">
        <w:trPr>
          <w:trHeight w:hRule="exact" w:val="1418"/>
        </w:trPr>
        <w:tc>
          <w:tcPr>
            <w:tcW w:w="6804" w:type="dxa"/>
            <w:shd w:val="clear" w:color="auto" w:fill="auto"/>
            <w:vAlign w:val="center"/>
          </w:tcPr>
          <w:p w14:paraId="0F2DFBE9" w14:textId="77777777" w:rsidR="00751A4A" w:rsidRPr="00242D2D" w:rsidRDefault="00577C49" w:rsidP="0010095E">
            <w:pPr>
              <w:pStyle w:val="EPName"/>
            </w:pPr>
            <w:r w:rsidRPr="00242D2D">
              <w:t>Europaparlamentet</w:t>
            </w:r>
          </w:p>
          <w:p w14:paraId="7225CF4A" w14:textId="77777777" w:rsidR="00751A4A" w:rsidRPr="00242D2D" w:rsidRDefault="005F1B17" w:rsidP="005F1B17">
            <w:pPr>
              <w:pStyle w:val="EPTerm"/>
              <w:rPr>
                <w:rStyle w:val="HideTWBExt"/>
                <w:noProof w:val="0"/>
                <w:vanish w:val="0"/>
                <w:color w:val="auto"/>
              </w:rPr>
            </w:pPr>
            <w:r w:rsidRPr="00242D2D">
              <w:t>2024</w:t>
            </w:r>
            <w:r w:rsidR="00817416" w:rsidRPr="00242D2D">
              <w:t>-202</w:t>
            </w:r>
            <w:r w:rsidRPr="00242D2D">
              <w:t>9</w:t>
            </w:r>
          </w:p>
        </w:tc>
        <w:tc>
          <w:tcPr>
            <w:tcW w:w="2268" w:type="dxa"/>
            <w:shd w:val="clear" w:color="auto" w:fill="auto"/>
          </w:tcPr>
          <w:p w14:paraId="2F8E4C2F" w14:textId="77777777" w:rsidR="00751A4A" w:rsidRPr="00242D2D" w:rsidRDefault="00187494" w:rsidP="0010095E">
            <w:pPr>
              <w:pStyle w:val="EPLogo"/>
            </w:pPr>
            <w:r w:rsidRPr="00242D2D">
              <w:rPr>
                <w:noProof/>
                <w:lang w:eastAsia="ja-JP"/>
              </w:rPr>
              <w:drawing>
                <wp:inline distT="0" distB="0" distL="0" distR="0" wp14:anchorId="1FF7F176" wp14:editId="05F709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5F6AF4" w14:textId="77777777" w:rsidR="00D058B8" w:rsidRPr="00242D2D" w:rsidRDefault="00D058B8" w:rsidP="004C5D52">
      <w:pPr>
        <w:pStyle w:val="LineTop"/>
      </w:pPr>
    </w:p>
    <w:p w14:paraId="50970D99" w14:textId="77777777" w:rsidR="00680577" w:rsidRPr="00242D2D" w:rsidRDefault="00577C49" w:rsidP="00680577">
      <w:pPr>
        <w:pStyle w:val="EPBodyTA1"/>
      </w:pPr>
      <w:r w:rsidRPr="00242D2D">
        <w:t>ANTAGNA TEXTER</w:t>
      </w:r>
    </w:p>
    <w:p w14:paraId="4DF18ECF" w14:textId="77777777" w:rsidR="00D058B8" w:rsidRPr="00242D2D" w:rsidRDefault="00D058B8" w:rsidP="00D058B8">
      <w:pPr>
        <w:pStyle w:val="LineBottom"/>
      </w:pPr>
    </w:p>
    <w:p w14:paraId="47006813" w14:textId="03231903" w:rsidR="00577C49" w:rsidRPr="00242D2D" w:rsidRDefault="00577C49" w:rsidP="00577C49">
      <w:pPr>
        <w:pStyle w:val="ATHeading1"/>
      </w:pPr>
      <w:bookmarkStart w:id="0" w:name="TANumber"/>
      <w:r w:rsidRPr="00242D2D">
        <w:t>P10_TA(2026)0</w:t>
      </w:r>
      <w:bookmarkEnd w:id="0"/>
      <w:r w:rsidR="00242D2D" w:rsidRPr="00242D2D">
        <w:t>132</w:t>
      </w:r>
    </w:p>
    <w:p w14:paraId="75A588AD" w14:textId="77777777" w:rsidR="00577C49" w:rsidRPr="00242D2D" w:rsidRDefault="00577C49" w:rsidP="00577C49">
      <w:pPr>
        <w:pStyle w:val="ATHeading2"/>
      </w:pPr>
      <w:bookmarkStart w:id="1" w:name="title"/>
      <w:r w:rsidRPr="00242D2D">
        <w:t>Ansvarsfrihet 2024: EU:s allmänna budget – Regionkommittén</w:t>
      </w:r>
      <w:bookmarkEnd w:id="1"/>
    </w:p>
    <w:p w14:paraId="6A7944A3" w14:textId="77777777" w:rsidR="00577C49" w:rsidRPr="00242D2D" w:rsidRDefault="00577C49" w:rsidP="00577C49">
      <w:pPr>
        <w:rPr>
          <w:i/>
          <w:vanish/>
        </w:rPr>
      </w:pPr>
      <w:r w:rsidRPr="00242D2D">
        <w:rPr>
          <w:i/>
        </w:rPr>
        <w:fldChar w:fldCharType="begin"/>
      </w:r>
      <w:r w:rsidRPr="00242D2D">
        <w:rPr>
          <w:i/>
        </w:rPr>
        <w:instrText xml:space="preserve"> TC"(</w:instrText>
      </w:r>
      <w:bookmarkStart w:id="2" w:name="DocNumber"/>
      <w:r w:rsidRPr="00242D2D">
        <w:rPr>
          <w:i/>
        </w:rPr>
        <w:instrText>A10-0056/2026</w:instrText>
      </w:r>
      <w:bookmarkEnd w:id="2"/>
      <w:r w:rsidRPr="00242D2D">
        <w:rPr>
          <w:i/>
        </w:rPr>
        <w:instrText xml:space="preserve"> - Föredragande: Pasquale </w:instrText>
      </w:r>
      <w:proofErr w:type="spellStart"/>
      <w:r w:rsidRPr="00242D2D">
        <w:rPr>
          <w:i/>
        </w:rPr>
        <w:instrText>Tridico</w:instrText>
      </w:r>
      <w:proofErr w:type="spellEnd"/>
      <w:r w:rsidRPr="00242D2D">
        <w:rPr>
          <w:i/>
        </w:rPr>
        <w:instrText xml:space="preserve">)"\l3 \n&gt; \* MERGEFORMAT </w:instrText>
      </w:r>
      <w:r w:rsidRPr="00242D2D">
        <w:rPr>
          <w:i/>
        </w:rPr>
        <w:fldChar w:fldCharType="end"/>
      </w:r>
    </w:p>
    <w:p w14:paraId="494B21B7" w14:textId="77777777" w:rsidR="00577C49" w:rsidRPr="00242D2D" w:rsidRDefault="00577C49" w:rsidP="00577C49">
      <w:pPr>
        <w:rPr>
          <w:vanish/>
        </w:rPr>
      </w:pPr>
      <w:bookmarkStart w:id="3" w:name="Commission"/>
      <w:r w:rsidRPr="00242D2D">
        <w:rPr>
          <w:vanish/>
        </w:rPr>
        <w:t>Budgetkontrollutskottet</w:t>
      </w:r>
      <w:bookmarkEnd w:id="3"/>
    </w:p>
    <w:p w14:paraId="62595706" w14:textId="77777777" w:rsidR="00577C49" w:rsidRPr="00242D2D" w:rsidRDefault="00577C49" w:rsidP="00577C49">
      <w:pPr>
        <w:rPr>
          <w:vanish/>
        </w:rPr>
      </w:pPr>
      <w:bookmarkStart w:id="4" w:name="PE"/>
      <w:r w:rsidRPr="00242D2D">
        <w:rPr>
          <w:vanish/>
        </w:rPr>
        <w:t>PE778.064</w:t>
      </w:r>
      <w:bookmarkEnd w:id="4"/>
    </w:p>
    <w:p w14:paraId="02BC1D05" w14:textId="23EFDDE8" w:rsidR="00621B78" w:rsidRPr="00242D2D" w:rsidRDefault="003F4169" w:rsidP="003F4169">
      <w:pPr>
        <w:pStyle w:val="ATHeading3"/>
      </w:pPr>
      <w:bookmarkStart w:id="5" w:name="_Toc26759888"/>
      <w:bookmarkStart w:id="6" w:name="_Toc86200285"/>
      <w:r w:rsidRPr="00242D2D">
        <w:t>1. Europaparlamentets beslut av den 29 april</w:t>
      </w:r>
      <w:r w:rsidR="000974D9" w:rsidRPr="00242D2D">
        <w:t xml:space="preserve"> 2026</w:t>
      </w:r>
      <w:r w:rsidRPr="00242D2D">
        <w:t xml:space="preserve"> </w:t>
      </w:r>
      <w:r w:rsidR="00621B78" w:rsidRPr="00242D2D">
        <w:t>om ansvarsfrihet för genomförandet av Europeiska unionens allmänna budget för budgetåret 2024, avsnitt VII – Regionkommittén</w:t>
      </w:r>
      <w:r w:rsidRPr="00242D2D">
        <w:t xml:space="preserve"> </w:t>
      </w:r>
      <w:r w:rsidR="00621B78" w:rsidRPr="00242D2D">
        <w:t>(2025/2152(DEC))</w:t>
      </w:r>
    </w:p>
    <w:p w14:paraId="05B2024A" w14:textId="77777777" w:rsidR="00621B78" w:rsidRPr="00242D2D" w:rsidRDefault="00621B78" w:rsidP="00621B78">
      <w:pPr>
        <w:pStyle w:val="EPComma"/>
      </w:pPr>
      <w:r w:rsidRPr="00242D2D">
        <w:rPr>
          <w:i/>
        </w:rPr>
        <w:t>Europaparlamentet fattar detta beslut</w:t>
      </w:r>
    </w:p>
    <w:p w14:paraId="190E9094" w14:textId="77777777" w:rsidR="00621B78" w:rsidRPr="00242D2D" w:rsidRDefault="00621B78" w:rsidP="00621B78">
      <w:pPr>
        <w:pStyle w:val="NormalHanging12a"/>
      </w:pPr>
      <w:r w:rsidRPr="00242D2D">
        <w:t>–</w:t>
      </w:r>
      <w:r w:rsidRPr="00242D2D">
        <w:tab/>
        <w:t>med beaktande av Europeiska unionens allmänna budget för budgetåret 2024</w:t>
      </w:r>
      <w:r w:rsidRPr="00242D2D">
        <w:rPr>
          <w:rStyle w:val="FootnoteReference"/>
        </w:rPr>
        <w:footnoteReference w:id="1"/>
      </w:r>
      <w:r w:rsidRPr="00242D2D">
        <w:t>,</w:t>
      </w:r>
    </w:p>
    <w:p w14:paraId="5ECD3101" w14:textId="77777777" w:rsidR="00621B78" w:rsidRPr="00242D2D" w:rsidRDefault="00621B78" w:rsidP="00621B78">
      <w:pPr>
        <w:pStyle w:val="NormalHanging12a"/>
      </w:pPr>
      <w:r w:rsidRPr="00242D2D">
        <w:t>–</w:t>
      </w:r>
      <w:r w:rsidRPr="00242D2D">
        <w:tab/>
        <w:t>med beaktande av Europeiska unionens konsoliderade årsredovisning för budgetåret 2024 (COM(2025)0359 – C10</w:t>
      </w:r>
      <w:r w:rsidRPr="00242D2D">
        <w:noBreakHyphen/>
        <w:t>0152/2025)</w:t>
      </w:r>
      <w:r w:rsidRPr="00242D2D">
        <w:rPr>
          <w:rStyle w:val="FootnoteReference"/>
        </w:rPr>
        <w:footnoteReference w:id="2"/>
      </w:r>
      <w:r w:rsidRPr="00242D2D">
        <w:t>,</w:t>
      </w:r>
    </w:p>
    <w:p w14:paraId="00DDED9D" w14:textId="77777777" w:rsidR="00621B78" w:rsidRPr="00242D2D" w:rsidRDefault="00621B78" w:rsidP="00621B78">
      <w:pPr>
        <w:pStyle w:val="NormalHanging12a"/>
      </w:pPr>
      <w:r w:rsidRPr="00242D2D">
        <w:t>–</w:t>
      </w:r>
      <w:r w:rsidRPr="00242D2D">
        <w:tab/>
        <w:t>med beaktande av Regionkommitténs årsrapport till den ansvarsfrihetsbeviljande myndigheten om de internrevisioner som genomförts under 2024,</w:t>
      </w:r>
    </w:p>
    <w:p w14:paraId="5CF14D97" w14:textId="77777777" w:rsidR="00621B78" w:rsidRPr="00242D2D" w:rsidRDefault="00621B78" w:rsidP="00621B78">
      <w:pPr>
        <w:pStyle w:val="NormalHanging12a"/>
      </w:pPr>
      <w:r w:rsidRPr="00242D2D">
        <w:t>–</w:t>
      </w:r>
      <w:r w:rsidRPr="00242D2D">
        <w:tab/>
        <w:t>med beaktande av revisionsrättens årsrapport om genomförandet av budgeten för budgetåret 2024, med institutionernas svar</w:t>
      </w:r>
      <w:r w:rsidRPr="00242D2D">
        <w:rPr>
          <w:rStyle w:val="FootnoteReference"/>
        </w:rPr>
        <w:footnoteReference w:id="3"/>
      </w:r>
      <w:r w:rsidRPr="00242D2D">
        <w:t>,</w:t>
      </w:r>
    </w:p>
    <w:p w14:paraId="303A847B" w14:textId="77777777" w:rsidR="00621B78" w:rsidRPr="00242D2D" w:rsidRDefault="00621B78" w:rsidP="00621B78">
      <w:pPr>
        <w:pStyle w:val="NormalHanging12a"/>
      </w:pPr>
      <w:r w:rsidRPr="00242D2D">
        <w:t>–</w:t>
      </w:r>
      <w:r w:rsidRPr="00242D2D">
        <w:tab/>
        <w:t>med beaktande av förklaringen om räkenskapernas tillförlitlighet och de underliggande transaktionernas laglighet och korrekthet</w:t>
      </w:r>
      <w:r w:rsidRPr="00242D2D">
        <w:rPr>
          <w:rStyle w:val="FootnoteReference"/>
        </w:rPr>
        <w:footnoteReference w:id="4"/>
      </w:r>
      <w:r w:rsidRPr="00242D2D">
        <w:t>, som avgetts av revisionsrätten för budgetåret 2024 i enlighet med artikel 287 i fördraget om Europeiska unionens funktionssätt,</w:t>
      </w:r>
    </w:p>
    <w:p w14:paraId="4FF933D5" w14:textId="77777777" w:rsidR="00621B78" w:rsidRPr="00242D2D" w:rsidRDefault="00621B78" w:rsidP="00621B78">
      <w:pPr>
        <w:pStyle w:val="NormalHanging12a"/>
      </w:pPr>
      <w:r w:rsidRPr="00242D2D">
        <w:t>–</w:t>
      </w:r>
      <w:r w:rsidRPr="00242D2D">
        <w:tab/>
        <w:t>med beaktande av artikel 314.10 och artiklarna 317, 318 och 319 i fördraget om Europeiska unionens funktionssätt,</w:t>
      </w:r>
    </w:p>
    <w:p w14:paraId="2646415B" w14:textId="77777777" w:rsidR="00621B78" w:rsidRPr="00242D2D" w:rsidRDefault="00621B78" w:rsidP="00621B78">
      <w:pPr>
        <w:pStyle w:val="NormalHanging12a"/>
      </w:pPr>
      <w:r w:rsidRPr="00242D2D">
        <w:t>–</w:t>
      </w:r>
      <w:r w:rsidRPr="00242D2D">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w:t>
      </w:r>
      <w:r w:rsidRPr="00242D2D">
        <w:lastRenderedPageBreak/>
        <w:t>Euratom) nr 966/2012</w:t>
      </w:r>
      <w:r w:rsidRPr="00242D2D">
        <w:rPr>
          <w:rStyle w:val="FootnoteReference"/>
        </w:rPr>
        <w:footnoteReference w:id="5"/>
      </w:r>
      <w:r w:rsidRPr="00242D2D">
        <w:t>, särskilt artiklarna 59, 118, 260, 261 och 262,</w:t>
      </w:r>
    </w:p>
    <w:p w14:paraId="704604C4" w14:textId="77777777" w:rsidR="00621B78" w:rsidRPr="00242D2D" w:rsidRDefault="00621B78" w:rsidP="00621B78">
      <w:pPr>
        <w:pStyle w:val="NormalHanging12a"/>
      </w:pPr>
      <w:r w:rsidRPr="00242D2D">
        <w:t>–</w:t>
      </w:r>
      <w:r w:rsidRPr="00242D2D">
        <w:tab/>
        <w:t>med beaktande av Europaparlamentets och rådets förordning (EU, Euratom) 2024/2509 av den 23 september 2024 om finansiella regler för unionens allmänna budget</w:t>
      </w:r>
      <w:r w:rsidRPr="00242D2D">
        <w:rPr>
          <w:rStyle w:val="FootnoteReference"/>
        </w:rPr>
        <w:footnoteReference w:id="6"/>
      </w:r>
      <w:r w:rsidRPr="00242D2D">
        <w:t>, särskilt artiklarna 59, 118, 266, 267 och 268,</w:t>
      </w:r>
    </w:p>
    <w:p w14:paraId="4931C2B2" w14:textId="77777777" w:rsidR="00621B78" w:rsidRPr="00242D2D" w:rsidRDefault="00621B78" w:rsidP="00621B78">
      <w:pPr>
        <w:pStyle w:val="NormalHanging12a"/>
      </w:pPr>
      <w:r w:rsidRPr="00242D2D">
        <w:t>–</w:t>
      </w:r>
      <w:r w:rsidRPr="00242D2D">
        <w:tab/>
        <w:t>med beaktande av artikel 102 och bilaga V i arbetsordningen,</w:t>
      </w:r>
    </w:p>
    <w:p w14:paraId="15070B4C" w14:textId="77777777" w:rsidR="00621B78" w:rsidRPr="00242D2D" w:rsidRDefault="00621B78" w:rsidP="00621B78">
      <w:pPr>
        <w:pStyle w:val="NormalHanging12a"/>
      </w:pPr>
      <w:r w:rsidRPr="00242D2D">
        <w:t>–</w:t>
      </w:r>
      <w:r w:rsidRPr="00242D2D">
        <w:tab/>
        <w:t>med beaktande av betänkandet från budgetkontrollutskottet (A10-0056/2026).</w:t>
      </w:r>
    </w:p>
    <w:p w14:paraId="4A4913E9" w14:textId="77777777" w:rsidR="00621B78" w:rsidRPr="00242D2D" w:rsidRDefault="00621B78" w:rsidP="00621B78">
      <w:pPr>
        <w:pStyle w:val="NormalHanging12a"/>
      </w:pPr>
      <w:r w:rsidRPr="00242D2D">
        <w:t>1.</w:t>
      </w:r>
      <w:r w:rsidRPr="00242D2D">
        <w:tab/>
        <w:t>Europaparlamentet beviljar Regionkommitténs generalsekreterare ansvarsfrihet för genomförandet av Regionkommitténs budget för budgetåret 2024.</w:t>
      </w:r>
    </w:p>
    <w:p w14:paraId="708DBF69" w14:textId="77777777" w:rsidR="00621B78" w:rsidRPr="00242D2D" w:rsidRDefault="00621B78" w:rsidP="00621B78">
      <w:pPr>
        <w:pStyle w:val="NormalHanging12a"/>
      </w:pPr>
      <w:r w:rsidRPr="00242D2D">
        <w:t>2.</w:t>
      </w:r>
      <w:r w:rsidRPr="00242D2D">
        <w:tab/>
        <w:t>Europaparlamentet redovisar sina iakttagelser i resolutionen nedan.</w:t>
      </w:r>
    </w:p>
    <w:p w14:paraId="08F52352" w14:textId="77777777" w:rsidR="00621B78" w:rsidRPr="00242D2D" w:rsidRDefault="00621B78" w:rsidP="00621B78">
      <w:pPr>
        <w:pStyle w:val="NormalHanging12a"/>
      </w:pPr>
      <w:r w:rsidRPr="00242D2D">
        <w:t>3.</w:t>
      </w:r>
      <w:r w:rsidRPr="00242D2D">
        <w:tab/>
        <w:t xml:space="preserve">Europaparlamentet uppdrar åt talmannen att översända detta beslut och den resolution som utgör en del av beslutet till Regionkommittén, rådet, kommissionen och revisionsrätten, och att se till att de offentliggörs i </w:t>
      </w:r>
      <w:r w:rsidRPr="00242D2D">
        <w:rPr>
          <w:i/>
          <w:iCs/>
        </w:rPr>
        <w:t>Europeiska unionens officiella tidning</w:t>
      </w:r>
      <w:r w:rsidRPr="00242D2D">
        <w:t xml:space="preserve"> (L-serien).</w:t>
      </w:r>
    </w:p>
    <w:p w14:paraId="3F58C426" w14:textId="77777777" w:rsidR="00621B78" w:rsidRPr="00242D2D" w:rsidRDefault="00621B78" w:rsidP="00621B78"/>
    <w:p w14:paraId="4B69CAF5" w14:textId="77777777" w:rsidR="00621B78" w:rsidRPr="00242D2D" w:rsidRDefault="00621B78" w:rsidP="003F4169">
      <w:pPr>
        <w:pStyle w:val="PageHeading"/>
        <w:jc w:val="left"/>
        <w:sectPr w:rsidR="00621B78" w:rsidRPr="00242D2D" w:rsidSect="00D560D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F93072" w14:textId="0D571AD8" w:rsidR="00621B78" w:rsidRPr="00242D2D" w:rsidRDefault="00621B78" w:rsidP="003F4169">
      <w:pPr>
        <w:pStyle w:val="ATHeading3"/>
      </w:pPr>
      <w:bookmarkStart w:id="7" w:name="_Toc225152591"/>
      <w:bookmarkEnd w:id="5"/>
      <w:bookmarkEnd w:id="6"/>
      <w:r w:rsidRPr="00242D2D">
        <w:lastRenderedPageBreak/>
        <w:t xml:space="preserve">2. </w:t>
      </w:r>
      <w:r w:rsidR="003F4169" w:rsidRPr="00242D2D">
        <w:t>Europaparlamentets resolution</w:t>
      </w:r>
      <w:bookmarkEnd w:id="7"/>
      <w:r w:rsidR="003F4169" w:rsidRPr="00242D2D">
        <w:t xml:space="preserve"> av den 29 april 2026 </w:t>
      </w:r>
      <w:r w:rsidRPr="00242D2D">
        <w:t>med de iakttagelser som utgör en del av beslutet om ansvarsfrihet för genomförandet av Europeiska unionens allmänna budget för budgetåret 2024, avsnitt VII – Regionkommittén</w:t>
      </w:r>
      <w:r w:rsidR="003F4169" w:rsidRPr="00242D2D">
        <w:t xml:space="preserve"> </w:t>
      </w:r>
      <w:r w:rsidRPr="00242D2D">
        <w:t>(2025/2152(DEC))</w:t>
      </w:r>
    </w:p>
    <w:p w14:paraId="65C4301F" w14:textId="77777777" w:rsidR="00621B78" w:rsidRPr="00242D2D" w:rsidRDefault="00621B78" w:rsidP="00621B78">
      <w:pPr>
        <w:pStyle w:val="EPComma"/>
      </w:pPr>
      <w:r w:rsidRPr="00242D2D">
        <w:rPr>
          <w:i/>
        </w:rPr>
        <w:t>Europaparlamentet utfärdar denna resolution</w:t>
      </w:r>
    </w:p>
    <w:p w14:paraId="327703A2" w14:textId="77777777" w:rsidR="00621B78" w:rsidRPr="00242D2D" w:rsidRDefault="00621B78" w:rsidP="00621B78">
      <w:pPr>
        <w:pStyle w:val="NormalHanging12a"/>
      </w:pPr>
      <w:r w:rsidRPr="00242D2D">
        <w:t>–</w:t>
      </w:r>
      <w:r w:rsidRPr="00242D2D">
        <w:tab/>
        <w:t>med beaktande av sitt beslut om ansvarsfrihet för genomförandet av Europeiska unionens allmänna budget för budgetåret 2024, avsnitt VII – Regionkommittén,</w:t>
      </w:r>
    </w:p>
    <w:p w14:paraId="1AD326AF" w14:textId="77777777" w:rsidR="00621B78" w:rsidRPr="00242D2D" w:rsidRDefault="00621B78" w:rsidP="00621B78">
      <w:pPr>
        <w:pStyle w:val="NormalHanging12a"/>
      </w:pPr>
      <w:r w:rsidRPr="00242D2D">
        <w:t>–</w:t>
      </w:r>
      <w:r w:rsidRPr="00242D2D">
        <w:tab/>
        <w:t>med beaktande av artikel 102 och bilaga V i arbetsordningen,</w:t>
      </w:r>
    </w:p>
    <w:p w14:paraId="317FD055" w14:textId="77777777" w:rsidR="00621B78" w:rsidRPr="00242D2D" w:rsidRDefault="00621B78" w:rsidP="00621B78">
      <w:pPr>
        <w:pStyle w:val="NormalHanging12a"/>
      </w:pPr>
      <w:r w:rsidRPr="00242D2D">
        <w:t>–</w:t>
      </w:r>
      <w:r w:rsidRPr="00242D2D">
        <w:tab/>
        <w:t>med beaktande av betänkandet från budgetkontrollutskottet (A10-0056/2026), och av följande skäl:</w:t>
      </w:r>
    </w:p>
    <w:p w14:paraId="0F680EAB" w14:textId="77777777" w:rsidR="00621B78" w:rsidRPr="00242D2D" w:rsidRDefault="00621B78" w:rsidP="00621B78">
      <w:pPr>
        <w:pStyle w:val="NormalHanging12a"/>
      </w:pPr>
      <w:r w:rsidRPr="00242D2D">
        <w:t>A.</w:t>
      </w:r>
      <w:r w:rsidRPr="00242D2D">
        <w:rPr>
          <w:b/>
          <w:i/>
        </w:rPr>
        <w:t xml:space="preserve"> </w:t>
      </w:r>
      <w:r w:rsidRPr="00242D2D">
        <w:rPr>
          <w:b/>
          <w:i/>
        </w:rPr>
        <w:tab/>
      </w:r>
      <w:r w:rsidRPr="00242D2D">
        <w:t xml:space="preserve">I samband med förfarandet för beviljande av ansvarsfrihet bedömer den ansvarsfrihetsbeviljande myndigheten, samtidigt som den betonar den särskilda vikten av att ytterligare stärka unionsinstitutionernas demokratiska legitimitet, inte bara utgifternas laglighet och korrekthet utan utvärderar även unionens utgifter när det gäller att förbättra transparensen och ansvarsskyldigheten och genomföra begreppet prestationsbaserad budgetering och god förvaltning av personalresurser, för mätbara resultat för medborgarna, särskilt på lokal och regional nivå. </w:t>
      </w:r>
    </w:p>
    <w:p w14:paraId="26077C08" w14:textId="77777777" w:rsidR="00621B78" w:rsidRPr="00242D2D" w:rsidRDefault="00621B78" w:rsidP="00621B78">
      <w:pPr>
        <w:pStyle w:val="NormalHanging12a"/>
      </w:pPr>
      <w:r w:rsidRPr="00242D2D">
        <w:t xml:space="preserve">B. </w:t>
      </w:r>
      <w:r w:rsidRPr="00242D2D">
        <w:tab/>
        <w:t>Regionkommittén (</w:t>
      </w:r>
      <w:r w:rsidRPr="00242D2D">
        <w:rPr>
          <w:i/>
          <w:iCs/>
        </w:rPr>
        <w:t>kommittén</w:t>
      </w:r>
      <w:r w:rsidRPr="00242D2D">
        <w:t xml:space="preserve">) är en politisk församling med 329 ledamöter (och 329 suppleanter) som väljs i regioner, städer, byar och kommuner i unionens 27 medlemsstater, och den spelar en viktig institutionell roll i förhållande till unionens sammanhållningspolitik genom att företräda regionala och lokala myndigheter och fungera som ett rådgivande organ för unionens institutioner, med uppgift att bidra till utformningen av unionens politik och beslutsprocess ur de lokala och regionala myndigheternas perspektiv och till att unionen blir effektivare och står närmare medborgarna. </w:t>
      </w:r>
    </w:p>
    <w:p w14:paraId="082E0472" w14:textId="77777777" w:rsidR="00621B78" w:rsidRPr="00242D2D" w:rsidRDefault="00621B78" w:rsidP="00621B78">
      <w:pPr>
        <w:pStyle w:val="NormalHanging12a"/>
        <w:rPr>
          <w:color w:val="000000"/>
        </w:rPr>
      </w:pPr>
      <w:r w:rsidRPr="00242D2D">
        <w:rPr>
          <w:color w:val="000000"/>
        </w:rPr>
        <w:t>C.</w:t>
      </w:r>
      <w:r w:rsidRPr="00242D2D">
        <w:rPr>
          <w:color w:val="000000"/>
        </w:rPr>
        <w:tab/>
        <w:t>I vissa fall är kommissionen och rådet skyldiga att höra kommittén, men det är också möjligt för kommittén att anta yttranden på eget initiativ, och den har enligt fördragen ett brett remissområde på vilket den kan höras av parlamentet.</w:t>
      </w:r>
    </w:p>
    <w:p w14:paraId="686D2C1B" w14:textId="77777777" w:rsidR="00621B78" w:rsidRPr="00242D2D" w:rsidRDefault="00621B78" w:rsidP="00621B78">
      <w:pPr>
        <w:pStyle w:val="NormalHanging12a"/>
        <w:rPr>
          <w:color w:val="000000"/>
        </w:rPr>
      </w:pPr>
      <w:r w:rsidRPr="00242D2D">
        <w:rPr>
          <w:color w:val="000000"/>
        </w:rPr>
        <w:t>D.</w:t>
      </w:r>
      <w:r w:rsidRPr="00242D2D">
        <w:rPr>
          <w:color w:val="000000"/>
        </w:rPr>
        <w:tab/>
        <w:t>Kommitténs verksamhet fastställs utifrån dess övergripande politiska strategi så som den fastställs i resolutionen av den 2 juli 2020 om kommitténs prioriteringar för 2020</w:t>
      </w:r>
      <w:r w:rsidRPr="00242D2D">
        <w:rPr>
          <w:color w:val="000000"/>
        </w:rPr>
        <w:noBreakHyphen/>
        <w:t>2025</w:t>
      </w:r>
      <w:r w:rsidRPr="00242D2D">
        <w:rPr>
          <w:rStyle w:val="FootnoteReference"/>
          <w:color w:val="000000"/>
        </w:rPr>
        <w:footnoteReference w:id="7"/>
      </w:r>
      <w:r w:rsidRPr="00242D2D">
        <w:rPr>
          <w:color w:val="000000"/>
        </w:rPr>
        <w:t>. Kommittén antog tre politiska prioriteringar för mandatperioden 2020</w:t>
      </w:r>
      <w:r w:rsidRPr="00242D2D">
        <w:rPr>
          <w:color w:val="000000"/>
        </w:rPr>
        <w:noBreakHyphen/>
        <w:t>2025, åtföljda av tre kommunikationskampanjer: Föra EU närmare medborgarna, Bygga motståndskraftiga regionala och lokala samhällen och Främja sammanhållning som ett grundläggande värde för EU.</w:t>
      </w:r>
    </w:p>
    <w:p w14:paraId="3F41E578" w14:textId="77777777" w:rsidR="00621B78" w:rsidRPr="00242D2D" w:rsidRDefault="00621B78" w:rsidP="00621B78">
      <w:pPr>
        <w:pStyle w:val="NormalHanging12a"/>
        <w:rPr>
          <w:b/>
          <w:i/>
          <w:color w:val="000000"/>
        </w:rPr>
      </w:pPr>
      <w:r w:rsidRPr="00242D2D">
        <w:rPr>
          <w:color w:val="000000"/>
        </w:rPr>
        <w:t>E.</w:t>
      </w:r>
      <w:r w:rsidRPr="00242D2D">
        <w:rPr>
          <w:b/>
          <w:i/>
          <w:color w:val="000000"/>
        </w:rPr>
        <w:t xml:space="preserve"> </w:t>
      </w:r>
      <w:r w:rsidRPr="00242D2D">
        <w:rPr>
          <w:b/>
          <w:i/>
          <w:color w:val="000000"/>
        </w:rPr>
        <w:tab/>
      </w:r>
      <w:r w:rsidRPr="00242D2D">
        <w:rPr>
          <w:color w:val="000000"/>
        </w:rPr>
        <w:t xml:space="preserve">De lokala och regionala förvaltningarna står för en tredjedel av de offentliga utgifterna, hälften av de offentliga investeringarna och en fjärdedel av skatteintäkterna, och i många medlemsstater har de befogenheter på nyckelområden såsom utbildning, ekonomisk utveckling och sammanhållning, miljö, socialt skydd, hälso- och sjukvård och tjänster av allmänt intresse. Samordningen på lokal, regional, nationell och </w:t>
      </w:r>
      <w:r w:rsidRPr="00242D2D">
        <w:rPr>
          <w:color w:val="000000"/>
        </w:rPr>
        <w:lastRenderedPageBreak/>
        <w:t>europeisk nivå ökar därför lagstiftningens legitimitet, förbättrar egenansvaret och gynnar på ett effektivare sätt medborgarna, samt bidrar till övervakningen och genomförandet av unionsutgifter med territoriell inverkan samtidigt som det säkerställs att ingen hamnar på efterkälken.</w:t>
      </w:r>
    </w:p>
    <w:p w14:paraId="5E0D0861" w14:textId="77777777" w:rsidR="00621B78" w:rsidRPr="00242D2D" w:rsidRDefault="00621B78" w:rsidP="00621B78">
      <w:pPr>
        <w:pStyle w:val="NormalHanging12a"/>
        <w:rPr>
          <w:color w:val="000000"/>
        </w:rPr>
      </w:pPr>
      <w:r w:rsidRPr="00242D2D">
        <w:rPr>
          <w:color w:val="000000"/>
        </w:rPr>
        <w:t>F.</w:t>
      </w:r>
      <w:r w:rsidRPr="00242D2D">
        <w:rPr>
          <w:color w:val="000000"/>
        </w:rPr>
        <w:tab/>
        <w:t>Kommittén verkar för sitt politiska mål att stärka sitt deltagande i hela unionens politiska process och lagstiftningsprocess och samtidigt skapa en tydligare koppling till unionsmedborgarna med hjälp av kommitténs ledamöter som dynamiska informationsförmedlare i lokalsamhällen och nationella sammanslutningar av lokala och regionala myndigheter.</w:t>
      </w:r>
    </w:p>
    <w:p w14:paraId="35075EA2" w14:textId="77777777" w:rsidR="00621B78" w:rsidRPr="00242D2D" w:rsidRDefault="00621B78" w:rsidP="00621B78">
      <w:pPr>
        <w:pStyle w:val="NormalHanging12a"/>
        <w:rPr>
          <w:color w:val="000000"/>
        </w:rPr>
      </w:pPr>
      <w:r w:rsidRPr="00242D2D">
        <w:rPr>
          <w:color w:val="000000"/>
        </w:rPr>
        <w:t>G.</w:t>
      </w:r>
      <w:r w:rsidRPr="00242D2D">
        <w:rPr>
          <w:color w:val="000000"/>
        </w:rPr>
        <w:tab/>
        <w:t xml:space="preserve">För att göra sina åtgärder mer strategiska och verkningsfulla under 2024 identifierade kommittén följande nio prioriterade områden: </w:t>
      </w:r>
      <w:r w:rsidRPr="00242D2D">
        <w:t xml:space="preserve">Utvidgningen av unionen och stödet till Ukraina Demokrati och bättre lagstiftning </w:t>
      </w:r>
      <w:proofErr w:type="spellStart"/>
      <w:r w:rsidRPr="00242D2D">
        <w:t>Resiliens</w:t>
      </w:r>
      <w:proofErr w:type="spellEnd"/>
      <w:r w:rsidRPr="00242D2D">
        <w:t xml:space="preserve"> Den gröna given på lokal nivå Konkurrenskraft, industri, små och medelstora företag, regellättnader &amp; företagsbeskattning Optimera genomförandet av och kommunikationen om unionens sammanhållningspolitik Hantera de trefaldiga planetära kriserna Sysselsättning, jämställdhet och socialpolitik Främjande av unionens stöd till regionala innovationsekosystem. </w:t>
      </w:r>
    </w:p>
    <w:p w14:paraId="76C64E2E" w14:textId="77777777" w:rsidR="00621B78" w:rsidRPr="00242D2D" w:rsidRDefault="00621B78" w:rsidP="00621B78">
      <w:pPr>
        <w:pStyle w:val="NormalHanging12a"/>
        <w:rPr>
          <w:color w:val="000000"/>
        </w:rPr>
      </w:pPr>
      <w:r w:rsidRPr="00242D2D">
        <w:rPr>
          <w:color w:val="000000"/>
        </w:rPr>
        <w:t>H.</w:t>
      </w:r>
      <w:r w:rsidRPr="00242D2D">
        <w:rPr>
          <w:color w:val="000000"/>
        </w:rPr>
        <w:tab/>
        <w:t>Europaparlamentets och rådets förordning (EU) 2021/1060</w:t>
      </w:r>
      <w:r w:rsidRPr="00242D2D">
        <w:rPr>
          <w:rStyle w:val="FootnoteReference"/>
          <w:color w:val="000000"/>
        </w:rPr>
        <w:footnoteReference w:id="8"/>
      </w:r>
      <w:r w:rsidRPr="00242D2D">
        <w:rPr>
          <w:color w:val="000000"/>
        </w:rPr>
        <w:t xml:space="preserve"> reglerar unionens sammanhållningspolitik och finansiering under perioden 2021–2027 och trädde i kraft i juli 2021. Förordningen innehåller hänvisningar till principen om partnerskap och flernivåstyre, som stöds av kommittén och parlamentet och som förutsätter att regionerna och deras lokala och regionala myndigheter deltar.</w:t>
      </w:r>
    </w:p>
    <w:p w14:paraId="30B2390B" w14:textId="77777777" w:rsidR="00621B78" w:rsidRPr="00242D2D" w:rsidRDefault="00621B78" w:rsidP="00621B78">
      <w:pPr>
        <w:pStyle w:val="NormalHanging12a"/>
        <w:rPr>
          <w:b/>
          <w:bCs/>
          <w:color w:val="000000"/>
        </w:rPr>
      </w:pPr>
      <w:r w:rsidRPr="00242D2D">
        <w:rPr>
          <w:color w:val="000000"/>
        </w:rPr>
        <w:t>I.</w:t>
      </w:r>
      <w:r w:rsidRPr="00242D2D">
        <w:rPr>
          <w:color w:val="000000"/>
        </w:rPr>
        <w:tab/>
        <w:t>De över 400 nationella och regionala program som inrättats för genomförandet av unionens sammanhållningspolitik under programperioden 2021–2027 har tillhandahållit ca 380 miljarder EUR inom ramen för olika fonder för att ta itu med de ekonomiska, sociala och miljömässiga utmaningar som unionens regioner, städer, byar och kommuner står inför.</w:t>
      </w:r>
    </w:p>
    <w:p w14:paraId="40431810" w14:textId="77777777" w:rsidR="00621B78" w:rsidRPr="00242D2D" w:rsidRDefault="00621B78" w:rsidP="00621B78">
      <w:pPr>
        <w:pStyle w:val="NormalHanging12a"/>
        <w:rPr>
          <w:color w:val="000000"/>
        </w:rPr>
      </w:pPr>
      <w:r w:rsidRPr="00242D2D">
        <w:rPr>
          <w:color w:val="000000"/>
        </w:rPr>
        <w:t>J.</w:t>
      </w:r>
      <w:r w:rsidRPr="00242D2D">
        <w:rPr>
          <w:color w:val="000000"/>
        </w:rPr>
        <w:tab/>
      </w:r>
      <w:r w:rsidRPr="00242D2D">
        <w:t>Den 19 februari 2021 trädde Europaparlamentets och rådets förordning (EU) 2021/241</w:t>
      </w:r>
      <w:r w:rsidRPr="00242D2D">
        <w:rPr>
          <w:color w:val="000000"/>
          <w:vertAlign w:val="superscript"/>
        </w:rPr>
        <w:footnoteReference w:id="9"/>
      </w:r>
      <w:r w:rsidRPr="00242D2D">
        <w:t xml:space="preserve"> om inrättande av unionens facilitet för återhämtning och </w:t>
      </w:r>
      <w:proofErr w:type="spellStart"/>
      <w:r w:rsidRPr="00242D2D">
        <w:t>resiliens</w:t>
      </w:r>
      <w:proofErr w:type="spellEnd"/>
      <w:r w:rsidRPr="00242D2D">
        <w:t xml:space="preserve"> i kraft. Faciliteten utgör den rättsliga grunden för fördelning av medel och lån på upp till 672,5 miljarder EUR (i 2018 års priser) till medlemsstaterna under perioden 2021–2026 och syftar även till att stödja ekonomisk, social och territoriell sammanhållning och ta itu med skillnaderna mellan unionens regioner.</w:t>
      </w:r>
      <w:r w:rsidRPr="00242D2D">
        <w:rPr>
          <w:color w:val="000000"/>
        </w:rPr>
        <w:t xml:space="preserve"> </w:t>
      </w:r>
    </w:p>
    <w:p w14:paraId="68FEF913" w14:textId="77777777" w:rsidR="00621B78" w:rsidRPr="00242D2D" w:rsidRDefault="00621B78" w:rsidP="00621B78">
      <w:pPr>
        <w:pStyle w:val="NormalHanging12a"/>
        <w:rPr>
          <w:color w:val="000000"/>
        </w:rPr>
      </w:pPr>
      <w:r w:rsidRPr="00242D2D">
        <w:rPr>
          <w:color w:val="000000"/>
        </w:rPr>
        <w:t>K.</w:t>
      </w:r>
      <w:r w:rsidRPr="00242D2D">
        <w:rPr>
          <w:color w:val="000000"/>
        </w:rPr>
        <w:tab/>
        <w:t xml:space="preserve">I egenskap av EU-institution i den mening som avses i budgetförordningen är </w:t>
      </w:r>
      <w:r w:rsidRPr="00242D2D">
        <w:rPr>
          <w:color w:val="000000"/>
        </w:rPr>
        <w:lastRenderedPageBreak/>
        <w:t>kommittén skyldig att anta sin egen årsredovisning, upprättad i enlighet med de redovisningsregler som antagits av kommissionens räkenskapsförare (EU:s redovisningsregler) och som bygger på de internationella redovisningsstandarderna för den offentliga sektorn, som i slutändan konsolideras med unionens.</w:t>
      </w:r>
    </w:p>
    <w:p w14:paraId="18A630E3" w14:textId="77777777" w:rsidR="00621B78" w:rsidRPr="00242D2D" w:rsidRDefault="00621B78" w:rsidP="00621B78">
      <w:pPr>
        <w:pStyle w:val="NormalHanging12a"/>
      </w:pPr>
      <w:r w:rsidRPr="00242D2D">
        <w:t>1.</w:t>
      </w:r>
      <w:r w:rsidRPr="00242D2D">
        <w:tab/>
        <w:t xml:space="preserve">Europaparlamentet noterar att kommitténs budget sorterar under rubrik 7 i den fleråriga budgetramen, ”Europeisk offentlig förvaltning”, som 2024 uppgick till totalt 13,3 miljarder EUR, dvs. 6,9 % av unionens budgetutgifter. Parlamentet noterar att kommitténs budget utgjorde 0,92 % av anslagen under rubrik 7 i den fleråriga budgetramen. </w:t>
      </w:r>
    </w:p>
    <w:p w14:paraId="3AAE25EB" w14:textId="77777777" w:rsidR="00621B78" w:rsidRPr="00242D2D" w:rsidRDefault="00621B78" w:rsidP="00621B78">
      <w:pPr>
        <w:pStyle w:val="NormalHanging12a"/>
      </w:pPr>
      <w:r w:rsidRPr="00242D2D">
        <w:t>2.</w:t>
      </w:r>
      <w:r w:rsidRPr="00242D2D">
        <w:tab/>
        <w:t>Europaparlamentet noterar att revisionsrätten i sin årsrapport för budgetåret 2024 (</w:t>
      </w:r>
      <w:r w:rsidRPr="00242D2D">
        <w:rPr>
          <w:i/>
          <w:iCs/>
        </w:rPr>
        <w:t>revisionsrättens rapport</w:t>
      </w:r>
      <w:r w:rsidRPr="00242D2D">
        <w:t>) granskade ett urval av 70 transaktioner under rubriken ”Administration”, samma antal som 2023. Revisionsrätten uppger att de administrativa kostnaderna omfattar personalkostnader, inklusive pensioner, som 2024 stod för omkring 69 % av de totala administrativa utgifterna, och kostnader för byggnader, utrustning, energi, kommunikation och it, och att revisionsrättens arbete under många år visat att dessa administrativa kostnader totalt sett är förknippade med låg risk.</w:t>
      </w:r>
    </w:p>
    <w:p w14:paraId="45F17DB7" w14:textId="77777777" w:rsidR="00621B78" w:rsidRPr="00242D2D" w:rsidRDefault="00621B78" w:rsidP="00621B78">
      <w:pPr>
        <w:pStyle w:val="NormalHanging12a"/>
      </w:pPr>
      <w:r w:rsidRPr="00242D2D">
        <w:t>3.</w:t>
      </w:r>
      <w:r w:rsidRPr="00242D2D">
        <w:tab/>
        <w:t>Europaparlamentet noterar att 16 (23 %) av de 70 transaktionerna innehöll fel, men att revisionsrätten, på grundval av de tre fel som kvantifierats, uppskattar att felnivån ligger under väsentlighetströskeln. Parlamentet noterar att revisionsrätten i sin rapport inte identifierar några specifika problem avseende kommittén.</w:t>
      </w:r>
    </w:p>
    <w:p w14:paraId="5C70AB0C" w14:textId="77777777" w:rsidR="00621B78" w:rsidRPr="00242D2D" w:rsidRDefault="00621B78" w:rsidP="00621B78">
      <w:pPr>
        <w:pStyle w:val="NormalHanging12a"/>
        <w:rPr>
          <w:bCs/>
          <w:iCs/>
        </w:rPr>
      </w:pPr>
      <w:r w:rsidRPr="00242D2D">
        <w:t>4.</w:t>
      </w:r>
      <w:r w:rsidRPr="00242D2D">
        <w:tab/>
        <w:t>Europaparlamentet noterar att sammanhållningspolitiken i hög grad bidrar till medborgarnas förtroende för unionen genom att leverera konkreta och synliga resultat genom regionala och lokala projekt, vilket stärker legitimiteten för unionens åtgärder på fältet. Parlamentet understryker i detta sammanhang att kommittén spelar en nyckelroll när det gäller att föra EU-medborgarna närmare EU:s beslutsfattande.</w:t>
      </w:r>
    </w:p>
    <w:p w14:paraId="695ED5D5" w14:textId="77777777" w:rsidR="00621B78" w:rsidRPr="00242D2D" w:rsidRDefault="00621B78" w:rsidP="00621B78">
      <w:pPr>
        <w:pStyle w:val="NormalHanging12a"/>
        <w:ind w:left="360"/>
        <w:rPr>
          <w:b/>
          <w:i/>
        </w:rPr>
      </w:pPr>
      <w:r w:rsidRPr="00242D2D">
        <w:rPr>
          <w:b/>
          <w:i/>
        </w:rPr>
        <w:t>Budgetförvaltningen och den ekonomiska förvaltningen</w:t>
      </w:r>
    </w:p>
    <w:p w14:paraId="763E2A7C" w14:textId="77777777" w:rsidR="00621B78" w:rsidRPr="00242D2D" w:rsidRDefault="00621B78" w:rsidP="00621B78">
      <w:pPr>
        <w:pStyle w:val="NormalHanging12a"/>
      </w:pPr>
      <w:r w:rsidRPr="00242D2D">
        <w:t xml:space="preserve">5. </w:t>
      </w:r>
      <w:r w:rsidRPr="00242D2D">
        <w:tab/>
        <w:t>Europaparlamentet noterar i kommitténs årliga verksamhetsrapport för 2024 (</w:t>
      </w:r>
      <w:r w:rsidRPr="00242D2D">
        <w:rPr>
          <w:i/>
          <w:iCs/>
        </w:rPr>
        <w:t>årsrapporten</w:t>
      </w:r>
      <w:r w:rsidRPr="00242D2D">
        <w:t xml:space="preserve">) att kommitténs slutliga antagna budget uppgick till 123 178 345 EUR 2024, inklusive ändringsbudget nr 5/2024 (avseende löner och energi), vilket innebär en ökning med 6 502 953 EUR (dvs. 5,60 %) jämfört med 2023. Parlamentet noterar med tillfredsställelse att kommitténs budgetgenomförandegrad för innevarande års åtagandebemyndiganden var 99,9 % 2024 (samma som 2023), och genomförandegraden för innevarande års betalningsbemyndiganden ökade från 91,20 % 2023 till 91,90 % 2024. Parlamentet välkomnar vidare en ökning av genomförandegraden för C8-anslag (som fördes över från 2023 till 2024) från 85 % 2023 till 92,20 % 2024, medan de anslag som fördes över från 2023 till 2024 uppgick till 12 578 853 EUR jämfört med 10 540 464 EUR föregående år. Parlamentet lovordar kommittén för dess konstant höga budgetgenomförandegrad under årens lopp på grund av optimeringen av budgetplaneringen och budgetgenomförandet, mot bakgrund av det ihållande budgettrycket. Parlamentet erkänner i detta sammanhang kommitténs strukturella underfinansiering – särskilt mot bakgrund av dess roll som en innovativ föregångare och testplats för metoder som skulle kunna gynna unionens förvaltning i stort, och erkänner dess behov av ytterligare resurser för att effektivt uppnå sina mål, samtidigt som budgetdisciplinen respekteras. </w:t>
      </w:r>
    </w:p>
    <w:p w14:paraId="49F0DCA5" w14:textId="77777777" w:rsidR="00621B78" w:rsidRPr="00242D2D" w:rsidRDefault="00621B78" w:rsidP="00621B78">
      <w:pPr>
        <w:pStyle w:val="NormalHanging12a"/>
      </w:pPr>
      <w:r w:rsidRPr="00242D2D">
        <w:lastRenderedPageBreak/>
        <w:t>6.</w:t>
      </w:r>
      <w:r w:rsidRPr="00242D2D">
        <w:tab/>
        <w:t>Europaparlamentet understryker att kommitténs höga budgetgenomförandegrad och låga felnivåer visar att ett decentraliserat genomförande, nära regionala och lokala myndigheter, kan säkerställa både sund ekonomisk förvaltning och konkreta resultat för medborgarna, samtidigt som behovet av ytterligare resurser erkänns. Europaparlamentet uppmanar kommissionen att fullt ut involvera kommittén, inom ramen för dess institutionella mandat, i övervakningen och utvärderingen av EU:s utgifter, inbegripet i beslut som rör EU:s budget efter 2027, i syfte att ytterligare stärka ansvarsskyldigheten, transparensen och resultaten för sammanhållningsprojekt som syftar till att minska ekonomiska, sociala och territoriella skillnader.</w:t>
      </w:r>
    </w:p>
    <w:p w14:paraId="384D7AB0" w14:textId="77777777" w:rsidR="00621B78" w:rsidRPr="00242D2D" w:rsidRDefault="00621B78" w:rsidP="00621B78">
      <w:pPr>
        <w:pStyle w:val="NormalHanging12a"/>
      </w:pPr>
      <w:r w:rsidRPr="00242D2D">
        <w:t>7.</w:t>
      </w:r>
      <w:r w:rsidRPr="00242D2D">
        <w:tab/>
        <w:t>Europaparlamentet noterar att genomförandegraden för C1-anslagen i budgetpost 1 0 0 0 ”Kontorsutgifter för ledamöter” minskade från 76,20 % 2023 till endast 13,90 % 2024. Parlamentet noterar kommitténs förklaring att ersättningar för kontorsutgifter för 2024 verkställdes i början av 2025 med C8-anslag. Parlamentet noterar att kommittén har åtgärdat den låga genomförandegraden under 2023 för C8-anslag i budgetpost 2 0 0 7 ”Inredning av lokaler” genom att undvika att inleda stora fastighetsprojekt i slutet av året och genom att göra delbetalningar för långsiktiga projekt för att förhindra sena fakturor. Parlamentet noterar dock en minskning av genomförandegraden för denna budgetposts C1-anslag från 99,20 % 2023 till 51,90 % 2024 på grund av tidpunkten för renoveringen av vissa av kommitténs hissar.</w:t>
      </w:r>
    </w:p>
    <w:p w14:paraId="0F687620" w14:textId="77777777" w:rsidR="00621B78" w:rsidRPr="00242D2D" w:rsidRDefault="00621B78" w:rsidP="00621B78">
      <w:pPr>
        <w:pStyle w:val="NormalHanging12a"/>
      </w:pPr>
      <w:r w:rsidRPr="00242D2D">
        <w:t>8.</w:t>
      </w:r>
      <w:r w:rsidRPr="00242D2D">
        <w:tab/>
        <w:t xml:space="preserve">Europaparlamentet noterar från årsrapporten att kommittén under 2024 genomförde 42 överföringar på totalt 2,7 miljoner EUR, varav 37 interna överföringar på totalt 1,1 miljoner EUR och fem externa överföringar på totalt 1,6 miljoner EUR, varav cirka 1 miljon EUR överfördes till budgetposter som omfattar eller förstärker poster såsom årliga leasingavgifter, anordnande av ett internt uttagningsprov, </w:t>
      </w:r>
      <w:proofErr w:type="spellStart"/>
      <w:r w:rsidRPr="00242D2D">
        <w:t>it-utgifter</w:t>
      </w:r>
      <w:proofErr w:type="spellEnd"/>
      <w:r w:rsidRPr="00242D2D">
        <w:t xml:space="preserve"> och inredning av lokaler för ett medieutrymme som ska användas av både kommittén och Europeiska ekonomiska och sociala kommittén (EESK). </w:t>
      </w:r>
    </w:p>
    <w:p w14:paraId="35886857" w14:textId="77777777" w:rsidR="00621B78" w:rsidRPr="00242D2D" w:rsidRDefault="00621B78" w:rsidP="00621B78">
      <w:pPr>
        <w:pStyle w:val="NormalHanging12a"/>
      </w:pPr>
      <w:r w:rsidRPr="00242D2D">
        <w:t>9.</w:t>
      </w:r>
      <w:r w:rsidRPr="00242D2D">
        <w:tab/>
        <w:t xml:space="preserve">Europaparlamentet noterar i samband med Rysslands anfallskrig mot Ukraina att kommittén under 2024 fortsatte att påverkas av stigande kostnader för energi, transport, logi och indexeringsmekanismer kopplade till inflationstakten, som direkt eller indirekt har påverkat bland annat utgifter för råvaror, externa uppdragstagare, energi, resor, hyror, leasing och underhåll av byggnader. Parlamentet noterar att från 2022 till 2025 var den kumulativa kostnadsökningen i samband med indexeringen +21,50 % för hyror och tomträttsavgälder och +15 % för underhålls- och säkerhetsavtal, och från 2022 till 2024 ökade den genomsnittliga kostnaden för en ledamot som reser till och från Bryssel från 1 200 EUR till 1 620 EUR. Parlamentet noterar i detta sammanhang en ökning av kommitténs budgetöverföringar från 31 under 2023 till 42 under 2024, delvis för att täcka kontrakt som påverkas av hög inflation och indexering. Parlamentet lovordar kommitténs och </w:t>
      </w:r>
      <w:proofErr w:type="spellStart"/>
      <w:r w:rsidRPr="00242D2D">
        <w:t>EESK:s</w:t>
      </w:r>
      <w:proofErr w:type="spellEnd"/>
      <w:r w:rsidRPr="00242D2D">
        <w:t xml:space="preserve"> gemensamma åtgärder för att säkra bättre interinstitutionella samarbetsformer genom digitalisering och gemensamma upphandlingsinsatser. Parlamentet välkomnar kommitténs förnyade energibesparingsåtgärder under 2024, som är avgörande för att mildra effekterna av stigande energikostnader. Parlamentet erkänner dock behovet av att alla EU-institutioner förbättrar sin budgetförvaltning genom att även ta hänsyn till prisvolatilitet, särskilt inom energisektorn, när de ingår avtal med tjänsteleverantörer.</w:t>
      </w:r>
    </w:p>
    <w:p w14:paraId="4D17ACB8" w14:textId="77777777" w:rsidR="00621B78" w:rsidRPr="00242D2D" w:rsidRDefault="00621B78" w:rsidP="00621B78">
      <w:pPr>
        <w:pStyle w:val="NormalHanging12a"/>
        <w:rPr>
          <w:bCs/>
          <w:iCs/>
        </w:rPr>
      </w:pPr>
      <w:r w:rsidRPr="00242D2D">
        <w:t>10.</w:t>
      </w:r>
      <w:r w:rsidRPr="00242D2D">
        <w:tab/>
        <w:t xml:space="preserve">Parlamentet uppmanar kommitténs administration att aktivt identifiera och genomföra kostnadsbesparande åtgärder, bland annat genom ökad användning av hybridsammanträdesteknik, optimering av användningen av byggnader, konsolidering </w:t>
      </w:r>
      <w:r w:rsidRPr="00242D2D">
        <w:lastRenderedPageBreak/>
        <w:t>av den administrativa verksamheten och minskning av onödiga logistikutgifter. Parlamentet begär regelbundna lägesrapporter om de åtgärder som genomförts och de besparingar som gjorts.</w:t>
      </w:r>
    </w:p>
    <w:p w14:paraId="2049E3E4" w14:textId="77777777" w:rsidR="00621B78" w:rsidRPr="00242D2D" w:rsidRDefault="00621B78" w:rsidP="00621B78">
      <w:pPr>
        <w:pStyle w:val="NormalHanging12a"/>
      </w:pPr>
      <w:r w:rsidRPr="00242D2D">
        <w:t>11.</w:t>
      </w:r>
      <w:r w:rsidRPr="00242D2D">
        <w:tab/>
        <w:t>Europaparlamentet noterar en ökning av betalningarna till kommitténs ledamöter, från budgetpost 1 0 0 4, från 7 955 968 EUR 2023 till 8 036 613 EUR 2024, vilket innebär en ökning med 1 % (en nedgång från ökningen på +20 % under det föregående året). Parlamentet noterar att 8 231 betalningar gjordes för resekostnader, 4 188 betalningar för traktamenten för resdagar, 7 303 betalningar för traktamenten för sammanträdesdagar vid deltagande på plats och 164 betalningar vid deltagande på distans under 2024. Parlamentet noterar utifrån kommitténs uppföljning av iakttagelserna i parlamentets resolution om ansvarsfrihet för 2023 (</w:t>
      </w:r>
      <w:r w:rsidRPr="00242D2D">
        <w:rPr>
          <w:i/>
          <w:iCs/>
        </w:rPr>
        <w:t>uppföljningsrapporten</w:t>
      </w:r>
      <w:r w:rsidRPr="00242D2D">
        <w:t xml:space="preserve">) att kommittén 2024 antog en reviderad uppsättning regler för reseersättning och utbetalning av traktamenten till kommitténs ledamöter med flera åtgärder som syftar till att minska onödiga kostnader och koldioxidutsläpp, i enlighet med parlamentets rekommendationer i tidigare ansvarsfrihetsresolutioner. </w:t>
      </w:r>
    </w:p>
    <w:p w14:paraId="4DB85B86" w14:textId="77777777" w:rsidR="00621B78" w:rsidRPr="00242D2D" w:rsidRDefault="00621B78" w:rsidP="00621B78">
      <w:pPr>
        <w:pStyle w:val="NormalHanging12a"/>
      </w:pPr>
      <w:r w:rsidRPr="00242D2D">
        <w:t>12.</w:t>
      </w:r>
      <w:r w:rsidRPr="00242D2D">
        <w:tab/>
        <w:t>Europaparlamentet noterar att budgeten för tjänsteresor (anslag för det innevarande året) ökade med 13,60 % från 420 833 EUR 2023 till 478 050 EUR 2024 och att genomförandegraden för den budgeten var cirka 80 % 2024 (liknande 2023). Parlamentet noterar att denna ökning berodde på en ökning av antalet tjänsteresor från 574 under 2023 till 810 under 2024, varav 268 tjänsteresor var kopplade till kommitténs anordnande av ett toppmöte i Mons med anledning av kommitténs 30-årsjubileum 2024.</w:t>
      </w:r>
    </w:p>
    <w:p w14:paraId="349BF846" w14:textId="77777777" w:rsidR="00621B78" w:rsidRPr="00242D2D" w:rsidRDefault="00621B78" w:rsidP="00621B78">
      <w:pPr>
        <w:pStyle w:val="NormalHanging12a"/>
      </w:pPr>
      <w:r w:rsidRPr="00242D2D">
        <w:t>13.</w:t>
      </w:r>
      <w:r w:rsidRPr="00242D2D">
        <w:tab/>
        <w:t xml:space="preserve">Europaparlamentet noterar en minskning av innevarande års anslag för tolktjänster med cirka 10 %, från 4,167 miljoner EUR 2023 till 3,737 miljoner EUR 2024, och en genomförandegrad på 64,80 % 2024, en minskning från 67,30 % 2023. </w:t>
      </w:r>
    </w:p>
    <w:p w14:paraId="5E90720A" w14:textId="77777777" w:rsidR="00621B78" w:rsidRPr="00242D2D" w:rsidRDefault="00621B78" w:rsidP="00621B78">
      <w:pPr>
        <w:pStyle w:val="NormalHanging12a"/>
        <w:rPr>
          <w:bCs/>
        </w:rPr>
      </w:pPr>
      <w:r w:rsidRPr="00242D2D">
        <w:t>14.</w:t>
      </w:r>
      <w:r w:rsidRPr="00242D2D">
        <w:tab/>
        <w:t>Europaparlamentet noterar att kommitténs nuvarande bestämmelser fastställer traktamentet för distanssammanträden till 50 % av det ordinarie traktamentet för sammanträdesdagar, där det senare är 367 EUR och det tidigare 186,50 EUR efter indexering. Parlamentet noterar att det totala belopp som betalades för traktamenten för distanssammanträden förblev lågt jämfört med tidigare år, efter att en betydande återgång till fysiska sammanträden noterades 2023. Parlamentet noterar dock en liten ökning av det utbetalda beloppet från 32 632 EUR 2023 till 38 104 EUR 2024. Parlamentet noterar utifrån kommitténs svar på det frågeformulär som lämnats in av parlamentets budgetkontrollutskott för beviljandet av ansvarsfrihet för 2024 (</w:t>
      </w:r>
      <w:r w:rsidRPr="00242D2D">
        <w:rPr>
          <w:i/>
          <w:iCs/>
        </w:rPr>
        <w:t>frågeformuläret</w:t>
      </w:r>
      <w:r w:rsidRPr="00242D2D">
        <w:t xml:space="preserve">) att endast sammanträden i kommittéorgan som inte föreskrivs i arbetsordningen kan genomföras online eller i hybridformat, medan deltagande på distans övervakas genom </w:t>
      </w:r>
      <w:proofErr w:type="spellStart"/>
      <w:r w:rsidRPr="00242D2D">
        <w:t>Interactio</w:t>
      </w:r>
      <w:proofErr w:type="spellEnd"/>
      <w:r w:rsidRPr="00242D2D">
        <w:t xml:space="preserve">-plattformen och extraheringen av.csv-filer från denna. Parlamentet uppmanar kommittén att stärka transparensen och proportionaliteten i systemet för traktamente för distansdeltagande för att öka allmänhetens förtroende, och betonar att ekonomisk ersättning för distansnärvaro måste vara strikt motiverad. Parlamentet anser att även om distansnärvaro är ett viktigt instrument för moderna institutioner – som minskar sammanträdeskostnaderna och möjliggör ett bredare deltagande – kan tilldelningen av ett reducerat traktamente för kommittéorgans deltagande i sammanträden på distans, begränsat till vissa typer av evenemang, vara en proportionerlig och rimlig åtgärd för ledamöternas ansvar och krav på förberedelser. Parlamentet noterar dock vikten av att säkerställa transparens och proportionalitet när det gäller nivån på sådana ersättningar, främst när det finns skillnader mellan unionens organ när det gäller distansnärvaro. Parlamentet anser att den nuvarande nivån på </w:t>
      </w:r>
      <w:r w:rsidRPr="00242D2D">
        <w:lastRenderedPageBreak/>
        <w:t>traktamentet för distanssammanträden behöver motiveras mer i termer av kostnadseffektivitet, proportionalitet och allmänhetens acceptans. Parlamentet efterlyser en bredare och mer systematisk användning av online- och hybridmötesformat, när så är lämpligt, för att minska reserelaterade utgifter, öka kostnadseffektiviteten, begränsa miljöpåverkan och öka allmänhetens förtroende för en återhållsam användning av unionsmedel, och för att bedöma möjligheten att harmonisera kommitténs regler med de som tillämpas av EESK, eller för att tillhandahålla en tydlig och transparent motivering för att upprätthålla ett differentierat system.</w:t>
      </w:r>
    </w:p>
    <w:p w14:paraId="6673D6F3" w14:textId="77777777" w:rsidR="00621B78" w:rsidRPr="00242D2D" w:rsidRDefault="00621B78" w:rsidP="00621B78">
      <w:pPr>
        <w:pStyle w:val="NormalHanging12a"/>
      </w:pPr>
      <w:r w:rsidRPr="00242D2D">
        <w:t>15.</w:t>
      </w:r>
      <w:r w:rsidRPr="00242D2D">
        <w:tab/>
        <w:t>Europaparlamentet noterar med tillfredsställelse från frågeformuläret och uppföljningsrapporten att den genomsnittliga betalningstiden minskade från 21,88 dagar 2023 till 18,46 dagar 2024, trots en ytterligare ökning av antalet behandlade fakturor. Parlamentet lovordar kommittén för att ha nått en hög procentandel (83 %) av de fakturor som mottogs elektroniskt under 2024.</w:t>
      </w:r>
    </w:p>
    <w:p w14:paraId="050A2902" w14:textId="77777777" w:rsidR="00621B78" w:rsidRPr="00242D2D" w:rsidRDefault="00621B78" w:rsidP="00621B78">
      <w:pPr>
        <w:pStyle w:val="NormalHanging12a"/>
        <w:ind w:left="360"/>
        <w:rPr>
          <w:b/>
          <w:i/>
        </w:rPr>
      </w:pPr>
      <w:r w:rsidRPr="00242D2D">
        <w:rPr>
          <w:b/>
          <w:i/>
        </w:rPr>
        <w:t>Intern förvaltning, prestationer och intern kontroll</w:t>
      </w:r>
    </w:p>
    <w:p w14:paraId="71D3E773" w14:textId="77777777" w:rsidR="00621B78" w:rsidRPr="00242D2D" w:rsidRDefault="00621B78" w:rsidP="00621B78">
      <w:pPr>
        <w:pStyle w:val="NormalHanging12a"/>
      </w:pPr>
      <w:r w:rsidRPr="00242D2D">
        <w:t>16.</w:t>
      </w:r>
      <w:r w:rsidRPr="00242D2D">
        <w:tab/>
        <w:t>Europaparlamentet erkänner att kommittén spelar en fundamental roll när det gäller att bidra till unionens politiska utveckling och beslutsprocesser genom att företräda lokala och regionala myndigheters röster i unionen, och på så sätt föra Europa närmare medborgarna och öka unionslagstiftningens demokratiska legitimitet. Parlamentet noterar från årsrapporten att rapporteringen av kommitténs prestationer för 2024, som en del av dess årliga operativa plan, baserades på 26 mål, vars uppnående bedömdes med hjälp av 87 kvantitativa indikatorer. Parlamentet uppmanar kommittén att ytterligare stärka resultat- och effektinriktade indikatorer för att bättre visa effekterna och mervärdet av kommitténs verksamhet på unionens politik. Målen för de flesta av dessa indikatorer (cirka 74 %) uppnåddes med en nivå på 90 % eller mer, sex uppnåddes delvis med en nivå på mindre än 90 % och sex uppnåddes inte. Parlamentet noterar från frågeformuläret att den genomförde en omfattande planerings- och rapporteringscykel, som inbegrep inrättandet av ett centralt riskregister och en riskbedömning för alla mål i den årliga operativa planen 2024. Parlamentet uppmuntrar kommittén att fortsätta arbetet med att förbättra verksamhetsprestationerna och effektiviteten. Parlamentet välkomnar kommitténs ansträngningar att införa reformerande och innovativa lösningar, rationalisera administrationen och undvika roller som överlappar andra organ.</w:t>
      </w:r>
    </w:p>
    <w:p w14:paraId="696309AE" w14:textId="77777777" w:rsidR="00621B78" w:rsidRPr="00242D2D" w:rsidRDefault="00621B78" w:rsidP="00621B78">
      <w:pPr>
        <w:pStyle w:val="NormalHanging12a"/>
      </w:pPr>
      <w:r w:rsidRPr="00242D2D">
        <w:t>17.</w:t>
      </w:r>
      <w:r w:rsidRPr="00242D2D">
        <w:tab/>
        <w:t>Europaparlamentet understryker prestationsindikatorernas relevans och strategiska värde och uppmanar kommittén att ytterligare konsolidera sin ram för indikatorer och säkerställa rapportering av utfall och effekter snarare än enbart administrativ verksamhet.</w:t>
      </w:r>
    </w:p>
    <w:p w14:paraId="17774F6D" w14:textId="3857E628" w:rsidR="00621B78" w:rsidRPr="00242D2D" w:rsidRDefault="00621B78" w:rsidP="00621B78">
      <w:pPr>
        <w:pStyle w:val="NormalHanging12a"/>
      </w:pPr>
      <w:r w:rsidRPr="00242D2D">
        <w:t>18</w:t>
      </w:r>
      <w:r w:rsidR="000974D9" w:rsidRPr="00242D2D">
        <w:t>.</w:t>
      </w:r>
      <w:r w:rsidRPr="00242D2D">
        <w:tab/>
        <w:t>Europaparlamentet noterar att kommittén fullgör sitt uppdrag genom yttranden över lagstiftningsförslag från kommissionen (remisser), yttranden på eget initiativ, där EU-institutionerna uppmanas att vidta åtgärder, samt resolutioner, där kommitténs ståndpunkter i specifika frågor lyfts fram. Parlamentet noterar att kommittén under 2024 antog 53 yttranden (samma som 2023) och fyra resolutioner (sex under 2023). Parlamentet erkänner kommitténs politiska resultat under 2024 och dess roll när det gäller att integrera lokala och regionala perspektiv i unionens beslutsfattande och därigenom öka medborgarnas deltagande.</w:t>
      </w:r>
    </w:p>
    <w:p w14:paraId="572EBBB3" w14:textId="72977B08" w:rsidR="00621B78" w:rsidRPr="00242D2D" w:rsidRDefault="00621B78" w:rsidP="00621B78">
      <w:pPr>
        <w:pStyle w:val="NormalHanging12a"/>
      </w:pPr>
      <w:r w:rsidRPr="00242D2D">
        <w:t>19.</w:t>
      </w:r>
      <w:r w:rsidRPr="00242D2D">
        <w:tab/>
        <w:t xml:space="preserve">Europaparlamentet noterar med tillfredsställelse utifrån kommitténs årliga </w:t>
      </w:r>
      <w:r w:rsidRPr="00242D2D">
        <w:lastRenderedPageBreak/>
        <w:t>genomslagsrapport för 2024 (</w:t>
      </w:r>
      <w:r w:rsidRPr="00242D2D">
        <w:rPr>
          <w:i/>
          <w:iCs/>
        </w:rPr>
        <w:t>genomslagsrapporten</w:t>
      </w:r>
      <w:r w:rsidRPr="00242D2D">
        <w:t>) kommitténs politiska resultat under 2024 när det gäller dess tre politiska prioriteringar för 2020–2025, vilket stärker kommitténs roll i utformningen av unionens politik på regional och lokal nivå. Parlamentet noterar att kommitténs bidrag från förklaringar och rekommendationer i yttranden har påverkat unionens centrala politikområden såsom klimatförändringar, natur, energi och grön ekonomi (t.ex. genom rapporten ”Den gröna given 2.0”, som påverkade rådets slutsatser och kommitténs yttrande om Europaparlamentets och rådets förordning (EU) 2024/1991</w:t>
      </w:r>
      <w:r w:rsidRPr="00242D2D">
        <w:rPr>
          <w:rStyle w:val="FootnoteReference"/>
        </w:rPr>
        <w:footnoteReference w:id="10"/>
      </w:r>
      <w:r w:rsidRPr="00242D2D">
        <w:t>), transport (t.ex. genom kommitténs yttrande om paketet om grönare godstransporter, som påverkade relevanta förslag till betänkanden från parlamentet) och hälsa (t.ex. genom kommitténs yttrande om Europaparlamentets och rådets förordning (EU) 2025/327</w:t>
      </w:r>
      <w:r w:rsidRPr="00242D2D">
        <w:rPr>
          <w:rStyle w:val="FootnoteReference"/>
        </w:rPr>
        <w:footnoteReference w:id="11"/>
      </w:r>
      <w:r w:rsidRPr="00242D2D">
        <w:t>, som påverkade den slutliga kompromisstexten). Parlamentet noterar med tillfredsställelse att kommitténs förslag påverkade kommissionens beslut att inleda ett pilotprojekt på 23 miljoner EUR för medfinansiering av regioner och städer för att återintegrera långtidsarbetslösa på arbetsmarknaden och lansera den ambitiösa och allra första europeiska planen för överkomliga bostäder som tar itu med energi, fattigdom och hållbara bostäder och bekräftar att tillgång till bostäder är en grundläggande rättighet. Parlamentet noterar vidare att den förklaring som antogs vid det europeiska toppmötet för regioner och städer i mars 2024 i Mons bidrog till Europeiska rådets strategiska agenda och kommissionens politiska riktlinjer.</w:t>
      </w:r>
    </w:p>
    <w:p w14:paraId="36E39739" w14:textId="77777777" w:rsidR="00621B78" w:rsidRPr="00242D2D" w:rsidRDefault="00621B78" w:rsidP="00621B78">
      <w:pPr>
        <w:pStyle w:val="NormalHanging12a"/>
      </w:pPr>
      <w:r w:rsidRPr="00242D2D">
        <w:t xml:space="preserve">20. </w:t>
      </w:r>
      <w:r w:rsidRPr="00242D2D">
        <w:tab/>
        <w:t xml:space="preserve">Europaparlamentet stöder, med tanke på kommitténs viktiga roll när det gäller att stärka unionslagstiftningens demokratiska legitimitet genom att sörja för en aktiv samordning mellan regionala och lokala myndigheter, kommittén i dess ansträngningar att tillhandahålla riktade, proportionerliga och evidensbaserade territoriella konsekvensbedömningar, när de tillför ett tydligt mervärde till lagstiftningsprocessen. Parlamentet noterar med tillfredsställelse att kommittén har skapat en fullfjädrad mekanism för samråd med berörda parter för att samla in synpunkter innan den avger sina yttranden, tack vare deltagandet av olika lokala och regionala nätverk, allianser och nav. Parlamentet uppskattar att synpunkter från partner utanför unionen också beaktas genom t.ex. den europeiska alliansen av kommuner och regioner för att återuppbygga Ukraina och församlingen för regionala och lokala myndigheter i EU och Medelhavsområdet. </w:t>
      </w:r>
    </w:p>
    <w:p w14:paraId="542D2D56" w14:textId="77777777" w:rsidR="00621B78" w:rsidRPr="00242D2D" w:rsidRDefault="00621B78" w:rsidP="00621B78">
      <w:pPr>
        <w:pStyle w:val="NormalHanging12a"/>
      </w:pPr>
      <w:r w:rsidRPr="00242D2D">
        <w:t xml:space="preserve">21. </w:t>
      </w:r>
      <w:r w:rsidRPr="00242D2D">
        <w:tab/>
        <w:t xml:space="preserve">Europaparlamentet noterar kommitténs bredare engagemang i hela unionens politiska cykel och lagstiftningscykel, som möjliggörs av dess samarbetsramar med kommissionen, parlamentet och Europeiska investeringsbanken. Parlamentet understryker vikten av att bjuda in kommitténs och </w:t>
      </w:r>
      <w:proofErr w:type="spellStart"/>
      <w:r w:rsidRPr="00242D2D">
        <w:t>EESK:s</w:t>
      </w:r>
      <w:proofErr w:type="spellEnd"/>
      <w:r w:rsidRPr="00242D2D">
        <w:t xml:space="preserve"> ledamöter till parlamentariska sammanträden som faller inom deras behörighetsområden. </w:t>
      </w:r>
    </w:p>
    <w:p w14:paraId="64312EF5" w14:textId="77777777" w:rsidR="00621B78" w:rsidRPr="00242D2D" w:rsidRDefault="00621B78" w:rsidP="00621B78">
      <w:pPr>
        <w:pStyle w:val="NormalHanging12a"/>
      </w:pPr>
      <w:r w:rsidRPr="00242D2D">
        <w:t>22.</w:t>
      </w:r>
      <w:r w:rsidRPr="00242D2D">
        <w:tab/>
        <w:t xml:space="preserve">Europaparlamentet noterar att kommittén under 2024 genomförde fem samråd med regionala nav, två samråd med expertgruppen i subsidiaritetsfrågor och slutförde två bedömningar samt två yttranden om ”Fit for </w:t>
      </w:r>
      <w:proofErr w:type="spellStart"/>
      <w:r w:rsidRPr="00242D2D">
        <w:t>Future</w:t>
      </w:r>
      <w:proofErr w:type="spellEnd"/>
      <w:r w:rsidRPr="00242D2D">
        <w:t xml:space="preserve">”. Parlamentet uppmanar kommittén </w:t>
      </w:r>
      <w:r w:rsidRPr="00242D2D">
        <w:lastRenderedPageBreak/>
        <w:t>att fortsätta att ge unionens institutioner och andra som omfattas av unionens politik användbar och relevant input, såsom uppgifter från fältet och analyser.</w:t>
      </w:r>
    </w:p>
    <w:p w14:paraId="4DE34A5D" w14:textId="77777777" w:rsidR="00621B78" w:rsidRPr="00242D2D" w:rsidRDefault="00621B78" w:rsidP="00621B78">
      <w:pPr>
        <w:pStyle w:val="NormalHanging12a"/>
      </w:pPr>
      <w:r w:rsidRPr="00242D2D">
        <w:t>23.</w:t>
      </w:r>
      <w:r w:rsidRPr="00242D2D">
        <w:tab/>
        <w:t xml:space="preserve">Europaparlamentet noterar med tillfredsställelse att kommittén under 2024 fortsatte att genomföra åtgärder för att förbättra sin interna förvaltning och modernisera sin administration, effektivisera sina processer och öka kostnadseffektiviteten. Europaparlamentet välkomnar den förbättrade användningen av digitala verktyg, särskilt insatserna för förenkling, administrativ effektivitet och minskning av onödiga interna förfaranden. Parlamentet noterar från frågeformuläret och årsrapporten de framsteg som gjorts under 2024 när det gäller digitalisering och optimering av arbetsflödet (t.ex. maskinöversättning för rutinuppgifter och större användning av Microsoft 365-verktyg och SharePoint), kostnadsbesparingar i drift och anläggningar (t.ex. distanstolkning, energibesparingsåtgärder och ett hybridarbetssystem), förbättrad effektivitet (t.ex. genom omförhandlingar av kontrakt), förenkling av regler och förfaranden med 63 av 73 slutförda projekt och en minskning med 20 % av antalet förfaranden, samt flera andra åtgärder inom ramen för planen ”Going for </w:t>
      </w:r>
      <w:proofErr w:type="spellStart"/>
      <w:r w:rsidRPr="00242D2D">
        <w:t>IMPact</w:t>
      </w:r>
      <w:proofErr w:type="spellEnd"/>
      <w:r w:rsidRPr="00242D2D">
        <w:t>!” för att modernisera kommitténs administration.</w:t>
      </w:r>
    </w:p>
    <w:p w14:paraId="23A8B810" w14:textId="77777777" w:rsidR="00621B78" w:rsidRPr="00242D2D" w:rsidRDefault="00621B78" w:rsidP="00621B78">
      <w:pPr>
        <w:pStyle w:val="NormalHanging12a"/>
        <w:rPr>
          <w:bCs/>
          <w:iCs/>
        </w:rPr>
      </w:pPr>
      <w:r w:rsidRPr="00242D2D">
        <w:t>24.</w:t>
      </w:r>
      <w:r w:rsidRPr="00242D2D">
        <w:tab/>
        <w:t>Europaparlamentet betonar att moderniseringsinsatser måste åtföljas av en systematisk bedömning av de konkreta fördelar som uppnåtts, inbegripet mätbara effektivitetsvinster, kostnadsbesparingar och handläggningstider. Parlamentet uppmanar därför kommittén att fastställa en metod för att kvantifiera dessa förbättringar och att regelbundet rapportera om dem.</w:t>
      </w:r>
    </w:p>
    <w:p w14:paraId="1AAA1555" w14:textId="77777777" w:rsidR="00621B78" w:rsidRPr="00242D2D" w:rsidRDefault="00621B78" w:rsidP="00621B78">
      <w:pPr>
        <w:pStyle w:val="NormalHanging12a"/>
      </w:pPr>
      <w:r w:rsidRPr="00242D2D">
        <w:t>25.</w:t>
      </w:r>
      <w:r w:rsidRPr="00242D2D">
        <w:tab/>
        <w:t xml:space="preserve">Europaparlamentet noterar från frågeformuläret och årsrapporten de insatser och åtgärder som kommittén har vidtagit för en förenklad men stark internkontrollmiljö. Parlamentet noterar att 2024 års självutvärdering av den interna kontrollen var inriktad på den ekonomiska förvaltningen och de mest relevanta aspekterna av intern kontroll för dem som genomför kommitténs budget. Parlamentet noterar med tillfredsställelse att kommittén slutförde granskningen av mer än 500 känsliga befattningar, en granskning som följdes upp med riskreducerande åtgärder, kontrollmekanismer och antagandet av regler för rörlighet under 2024. Parlamentet noterar att kommitténs fleråriga handlingsplan för översyn och förenkling av sin interna kontrollmiljö fortsatte genom </w:t>
      </w:r>
      <w:proofErr w:type="spellStart"/>
      <w:r w:rsidRPr="00242D2D">
        <w:t>Convergence</w:t>
      </w:r>
      <w:proofErr w:type="spellEnd"/>
      <w:r w:rsidRPr="00242D2D">
        <w:t>-projektet, som omfattar en rad processer som fokuserar på övervakning av och rapportering om kommitténs resultat och genomslag i realtid. De två sista av dessa processer avseende kommitténs årliga verksamhetsrapport och driftskontinuitet har genomförts fullt ut under 2024. Parlamentet noterar när det gäller kommitténs nya ram för intern kontroll att andra delmål också uppnåddes, bland annat inrättandet av genomförbara verktyg för snabbt genomförande i händelse av en kris, som omfattar olika områden såsom it, kommunikation, ekonomihanteringsprocesser och dataskydd, bland annat.</w:t>
      </w:r>
    </w:p>
    <w:p w14:paraId="0A01175A" w14:textId="77777777" w:rsidR="00621B78" w:rsidRPr="00242D2D" w:rsidRDefault="00621B78" w:rsidP="00621B78">
      <w:pPr>
        <w:pStyle w:val="NormalHanging12a"/>
      </w:pPr>
      <w:r w:rsidRPr="00242D2D">
        <w:t>26.</w:t>
      </w:r>
      <w:r w:rsidRPr="00242D2D">
        <w:tab/>
        <w:t>Europaparlamentet noterar att kommittén under 2024 genomförde ett delvis digitaliserat och förenklat förfarande för finansiella arbetsflöden och utnämning av finansiella aktörer. Parlamentet noterar att 5,60 % av de förhandskontrollerade transaktionerna under 2024 avslogs och återsändes för korrigering eller blev föremål för negativa yttranden och att efterhandskontrollerna var inriktade på finansiella transaktioner (enligt den nya metoden) och inte visade på några större problem. Parlamentet noterar vidare att antalet rapporter om finansiella undantag minskade jämfört med 2023, att två administrativa undantagsrapporter registrerades för bristande efterlevnad av interna förfaranden och att det inte pågick några rättstvister i samband med upphandlingsbeslut.</w:t>
      </w:r>
    </w:p>
    <w:p w14:paraId="66E99762" w14:textId="77777777" w:rsidR="00621B78" w:rsidRPr="00242D2D" w:rsidRDefault="00621B78" w:rsidP="00621B78">
      <w:pPr>
        <w:pStyle w:val="NormalHanging12a"/>
      </w:pPr>
      <w:r w:rsidRPr="00242D2D">
        <w:lastRenderedPageBreak/>
        <w:t>27.</w:t>
      </w:r>
      <w:r w:rsidRPr="00242D2D">
        <w:tab/>
        <w:t xml:space="preserve">Europaparlamentet noterar att tre nya revisioner inleddes under 2024: om hur logistiktjänster som tillhandahålls kommitténs ledamöter presterat, om optimeringen av personalfördelningen inom direktoratet för översättning och om huruvida upphandlings- och kontraktshanteringens är adekvata. Parlamentet noterar i frågeformuläret de framsteg som gjorts när det gäller pågående revisioner av förvaltningen av lediga tjänster, skyddet av personuppgifter och </w:t>
      </w:r>
      <w:proofErr w:type="spellStart"/>
      <w:r w:rsidRPr="00242D2D">
        <w:t>it-organisationens</w:t>
      </w:r>
      <w:proofErr w:type="spellEnd"/>
      <w:r w:rsidRPr="00242D2D">
        <w:t xml:space="preserve"> prestationer inom samfunktionerna. Parlamentet uppmanar kommittén att hålla den ansvarsfrihetsbeviljande myndigheten uppdaterad om framsteg i detta avseende.</w:t>
      </w:r>
    </w:p>
    <w:p w14:paraId="2A617394" w14:textId="77777777" w:rsidR="00621B78" w:rsidRPr="00242D2D" w:rsidRDefault="00621B78" w:rsidP="00621B78">
      <w:pPr>
        <w:pStyle w:val="NormalHanging12a"/>
        <w:rPr>
          <w:b/>
          <w:bCs/>
          <w:i/>
        </w:rPr>
      </w:pPr>
      <w:r w:rsidRPr="00242D2D">
        <w:rPr>
          <w:b/>
          <w:i/>
        </w:rPr>
        <w:t>Personalresurser, jämställdhet och personalens välbefinnande</w:t>
      </w:r>
    </w:p>
    <w:p w14:paraId="779BBA99" w14:textId="77777777" w:rsidR="00621B78" w:rsidRPr="00242D2D" w:rsidRDefault="00621B78" w:rsidP="00621B78">
      <w:pPr>
        <w:pStyle w:val="NormalHanging12a"/>
        <w:rPr>
          <w:bCs/>
        </w:rPr>
      </w:pPr>
      <w:r w:rsidRPr="00242D2D">
        <w:t>28.</w:t>
      </w:r>
      <w:r w:rsidRPr="00242D2D">
        <w:tab/>
        <w:t xml:space="preserve">Europaparlamentet noterar att kommittén i slutet av 2024 hade totalt 561 anställda (utstationerade nationella experter, </w:t>
      </w:r>
      <w:proofErr w:type="spellStart"/>
      <w:r w:rsidRPr="00242D2D">
        <w:t>interimsanställda</w:t>
      </w:r>
      <w:proofErr w:type="spellEnd"/>
      <w:r w:rsidRPr="00242D2D">
        <w:t>, externa konsulter som arbetade på plats och praktikanter ej medräknade), jämfört med 559 anställda 2023. Parlamentet noterar att 73 kontraktsanställda, jämfört med 74 kontraktsanställda 2023, och 102 tillfälligt anställda, jämfört med 96 tillfälligt anställda 2023, var anställda av kommittén i slutet av 2024, varav 22 kontraktsanställda med tillsvidareanställning, 51 kontraktsanställda med tidsbegränsad anställning, 49 tillfälligt anställda på fasta tjänster med tidsbegränsad anställning, 50 tillfälligt anställda med tillsvidareanställning och 3 tillfälligt anställda på tillfälliga tjänster. Parlamentet noterar dessutom att kommittén sysselsatte 39 externa tjänsteleverantörer som arbetade på plats. Parlamentet betonar vikten av att erbjuda fast anställning, när så är lämpligt, för att behålla kompetens, upprätthålla kontinuitet och sörja för en produktiv och stabil arbetsmiljö, samtidigt som flexibilitet och meritbaserad rekrytering i linje med de operativa behoven bevaras. Parlamentet varnar för ett alltför stort beroende av externa tjänsteleverantörer. Parlamentet noterar att sysselsättningsgraden för tjänsterna i tjänsteförteckningen var 96,40 % (en minskning från 98 % 2023) och att personalomsättningen var 7,30 % (en ökning från 6,60 % 2023) under 2024.</w:t>
      </w:r>
    </w:p>
    <w:p w14:paraId="2C526483" w14:textId="77777777" w:rsidR="00621B78" w:rsidRPr="00242D2D" w:rsidRDefault="00621B78" w:rsidP="00621B78">
      <w:pPr>
        <w:pStyle w:val="NormalHanging12a"/>
        <w:rPr>
          <w:bCs/>
        </w:rPr>
      </w:pPr>
      <w:r w:rsidRPr="00242D2D">
        <w:t>29.</w:t>
      </w:r>
      <w:r w:rsidRPr="00242D2D">
        <w:tab/>
        <w:t>Europaparlamentet noterar att kommittén under 2024 anställde 51 praktikanter inom ramen för Cicero-systemet, medan kommitténs praktikanter får ett månatligt bidrag och åtnjuter samma arbetsvillkor som personalen, inbegripet möjligheten till distansarbete. Parlamentet betonar på nytt att praktiktjänstgöring bör vara avlönad i enlighet med Europaparlamentets resolution av den 14 juni 2023 med rekommendationer till kommissionen om kvalitetspraktik i unionen (2020/2005(INL)), där man förespråkar att alla praktikplatser i Europa bör vara avlönade.</w:t>
      </w:r>
    </w:p>
    <w:p w14:paraId="6FE6C2D7" w14:textId="53EB70AF" w:rsidR="00621B78" w:rsidRPr="00242D2D" w:rsidRDefault="00621B78" w:rsidP="00621B78">
      <w:pPr>
        <w:pStyle w:val="NormalHanging12a"/>
        <w:rPr>
          <w:bCs/>
        </w:rPr>
      </w:pPr>
      <w:r w:rsidRPr="00242D2D">
        <w:t>30.</w:t>
      </w:r>
      <w:r w:rsidRPr="00242D2D">
        <w:tab/>
        <w:t>Europaparlamentet beklagar att kommittén ännu inte har uppnått en jämn könsfördelning i ledande befattningar, men erkänner de betydande framsteg som gjorts inom ramen för kommitténs femåriga strategi och handlingsplan för mångfald och inkludering för 2022–2026. Parlamentet välkomnar valet under 2025 av en kvinnlig ordförande för kommittén, vilket bekräftar institutionens åtagande att främja jämställdhet på högsta politiska nivå, och uppmuntrar kommittén att fortsätta sina insatser för att öka antalet kvinnliga representationer i ledande befattningar, samtidigt som det betonas att meriter och yrkeskvalifikationer fortfarande är de främsta kriterierna för utnämning. Parlamentet noterar att kommittén i slutet av 2024 hade 57,</w:t>
      </w:r>
      <w:r w:rsidR="003F4169" w:rsidRPr="00242D2D">
        <w:t>2</w:t>
      </w:r>
      <w:r w:rsidRPr="00242D2D">
        <w:t> % kvinnor och 42,</w:t>
      </w:r>
      <w:r w:rsidR="003F4169" w:rsidRPr="00242D2D">
        <w:t>8</w:t>
      </w:r>
      <w:r w:rsidRPr="00242D2D">
        <w:t xml:space="preserve">8 % män anställda, vilket är nästan samma andel som 2023. Parlamentet noterar att andelen kvinnor i högre chefsbefattningar minskade från 44,4 % 2023 till 33,3 % 2024 (den ökade tillbaka till 44,4 % 2025) och att andelen kvinnor på mellanchefsnivå minskade från 32,50 % 2023 till 29,7 % 2024. Parlamentet noterar från frågeformuläret åtgärderna för att uppmuntra ökat kvinnligt deltagande i ledande </w:t>
      </w:r>
      <w:r w:rsidRPr="00242D2D">
        <w:lastRenderedPageBreak/>
        <w:t>befattningar, bland annat genom riktad utbildning och coachning för kvinnlig personal som strävar efter ledande befattningar, och främjandet av mer flexibla arbetsformer. Parlamentet upprepar att uppnåendet av en långsiktig jämn könsfördelning i ledande befattningar är ett centralt institutionellt mål och förväntar sig att kommittén antar en konkret, tidsförankrad handlingsplan med mätbara mål, mellanliggande delmål och årlig rapportering. Parlamentet uppmanar kommittén att se till att framstegen mot jämställdhet både övervakas och offentliggörs.</w:t>
      </w:r>
    </w:p>
    <w:p w14:paraId="02CD965D" w14:textId="77777777" w:rsidR="00621B78" w:rsidRPr="00242D2D" w:rsidRDefault="00621B78" w:rsidP="00621B78">
      <w:pPr>
        <w:pStyle w:val="NormalHanging12a"/>
        <w:rPr>
          <w:bCs/>
        </w:rPr>
      </w:pPr>
      <w:r w:rsidRPr="00242D2D">
        <w:t>31.</w:t>
      </w:r>
      <w:r w:rsidRPr="00242D2D">
        <w:tab/>
        <w:t>Europaparlamentet lovordar kommittén för dess åtgärder för att också främja en jämn könsfördelning bland sina ledamöter, särskilt genom att skicka skrivelser till rådet om lediga tjänster och genom att försöka få de ständiga representationerna och de nationella sammanslutningarna av lokala och regionala myndigheter att bli involverade i nomineringsprocessen. Parlamentet noterar från uppföljningsrapporten att andelen kvinnliga ledamöter samtidigt ökade från 23,40 % 2020 till 28,7 % 2025. Parlamentet uppskattar att kommitténs nya arbetsordning, som trädde i kraft i augusti 2024, innehåller uttryckliga mål för att förbättra könsfördelningen, särskilt för sammansättningen av kommitténs presidium. Parlamentet uppmuntrar kommittén att fortsätta att främja en jämn könsfördelning och samtidigt säkerställa att utnämningar baseras på meriter, yrkeserfarenhet och kvalifikationer.</w:t>
      </w:r>
    </w:p>
    <w:p w14:paraId="240E22C3" w14:textId="77777777" w:rsidR="00621B78" w:rsidRPr="00242D2D" w:rsidRDefault="00621B78" w:rsidP="00621B78">
      <w:pPr>
        <w:pStyle w:val="NormalHanging12a"/>
      </w:pPr>
      <w:r w:rsidRPr="00242D2D">
        <w:t>32.</w:t>
      </w:r>
      <w:r w:rsidRPr="00242D2D">
        <w:tab/>
        <w:t>Europaparlamentet lovordar kommittén för anordnandet av ett internt uttagningsprov under 2024 för att ta itu med nuvarande och framtida rekryteringsbehov, säkerställa driftskontinuitet och behålla erfaren personal, och på så sätt fylla den lucka som uppstått till följd av avsaknaden av reservlistor från Europeiska rekryteringsbyrån (</w:t>
      </w:r>
      <w:proofErr w:type="spellStart"/>
      <w:r w:rsidRPr="00242D2D">
        <w:t>Epso</w:t>
      </w:r>
      <w:proofErr w:type="spellEnd"/>
      <w:r w:rsidRPr="00242D2D">
        <w:t>). Parlamentet noterar från frågeformuläret att 72 kandidater placerats på kommitténs reservlista, varav 46 kandidater redan hade rekryterats i olika lönegrader, både AST och AD, den 1 september 2025. Parlamentet förväntar sig därför en minskning av antalet tillfälligt anställda och kontraktsanställda vid kommittén från och med 2025.</w:t>
      </w:r>
    </w:p>
    <w:p w14:paraId="4D58566D" w14:textId="77777777" w:rsidR="00621B78" w:rsidRPr="00242D2D" w:rsidRDefault="00621B78" w:rsidP="00621B78">
      <w:pPr>
        <w:pStyle w:val="NormalHanging12a"/>
      </w:pPr>
      <w:r w:rsidRPr="00242D2D">
        <w:t>33.</w:t>
      </w:r>
      <w:r w:rsidRPr="00242D2D">
        <w:tab/>
        <w:t>Europaparlamentet noterar att kommittén, som ett resultat av ett pilotprojekt om hybridarbetsformer och en personalenkät som inleddes 2022, den 1 januari 2024 antog ett beslut som är tillämpligt från och med den 1 februari 2024 och som föreskriver ett hybridarbetssystem och ett individuellt veckoarbetsschema för varje anställd samt möjligheten att arbeta hemifrån upp till 60 % av den anställdes arbetstid (med undantag för personalkategorier som är oförenliga med distansarbete) och att arbeta utanför anställningsorten i upp till 15 dagar per år. Parlamentet konstaterar att dessa åtgärder syftar till att förbättra balansen mellan arbete och privatliv och samtidigt upprätthålla operativ effektivitet och personalens tillfredsställelse.</w:t>
      </w:r>
    </w:p>
    <w:p w14:paraId="50F87E4B" w14:textId="77777777" w:rsidR="00621B78" w:rsidRPr="00242D2D" w:rsidRDefault="00621B78" w:rsidP="00621B78">
      <w:pPr>
        <w:pStyle w:val="NormalHanging12a"/>
      </w:pPr>
      <w:r w:rsidRPr="00242D2D">
        <w:t>34.</w:t>
      </w:r>
      <w:r w:rsidRPr="00242D2D">
        <w:tab/>
        <w:t>Europaparlamentet noterar med tillfredsställelse att 89 % av dem som svarade på personalenkäten 2025 uppgav att de var nöjda med kommitténs flexibla arbetsformer. Det senare kan också påverka antalet sjukdagar som kommitténs personal tar ut. Parlamentet noterar från uppföljningsrapporten att den nedåtgående trenden för det totala antalet sjukdagar fortsätter, med 7 303 dagar 2024 jämfört med 7 544 dagar 2023, samtidigt som – antalet anställda utan sjukledighet minskade från 211 (eller 36 % av all personal) 2023 till 196 (eller 34 %) 2024, – antalet anställda som var sjukskrivna i mindre än sju dagar ökade från 201 (eller 35 % av all personal) 2023 till 211 (eller 36 % 2024) och – antalet anställda som var sjukskrivna i mellan 7,5 och 21 dagar minskade från 92 (eller 16 % av all personal) 2023 till 96 (eller 16 % av all personal) 2024.</w:t>
      </w:r>
    </w:p>
    <w:p w14:paraId="6811F642" w14:textId="77777777" w:rsidR="00621B78" w:rsidRPr="00242D2D" w:rsidRDefault="00621B78" w:rsidP="00621B78">
      <w:pPr>
        <w:pStyle w:val="NormalHanging12a"/>
      </w:pPr>
      <w:r w:rsidRPr="00242D2D">
        <w:t>35.</w:t>
      </w:r>
      <w:r w:rsidRPr="00242D2D">
        <w:tab/>
        <w:t xml:space="preserve">Europaparlamentet noterar från frågeformuläret att antalet fall av utbrändhet minskade </w:t>
      </w:r>
      <w:r w:rsidRPr="00242D2D">
        <w:lastRenderedPageBreak/>
        <w:t>från 18 under 2023 till 6 under 2024. Parlamentet lovordar kommittén för dess proaktiva strategi för att förebygga utbrändhet genom att noga övervaka personal som är långtidssjukskrivna genom skräddarsydda åtgärder som innebär regelbunden kontakt med respektive person och input från medicinska experter. Parlamentet noterar vidare att kommittén med framgång lyckades återintegrera 16 anställda under 2024 efter en långvarig frånvaro till följd av utbrändhet, tack vare en individanpassad uppföljning av långvarig sjukledighet. Parlamentet välkomnar de förebyggande åtgärder som kommittén vidtog 2024 för att förbättra hälsan och välbefinnandet på arbetsplatsen, såsom att erbjuda personalen möten på plats med paramedicinska specialister (fysioterapeuter, osteopater, utbildare som anlitats inom ramen för ett ramavtal) och anordna konferenser för att öka medvetenheten om hälsa.</w:t>
      </w:r>
    </w:p>
    <w:p w14:paraId="14213B37" w14:textId="77777777" w:rsidR="00621B78" w:rsidRPr="00242D2D" w:rsidRDefault="00621B78" w:rsidP="00621B78">
      <w:pPr>
        <w:pStyle w:val="NormalHanging12a"/>
      </w:pPr>
      <w:r w:rsidRPr="00242D2D">
        <w:t>36.</w:t>
      </w:r>
      <w:r w:rsidRPr="00242D2D">
        <w:tab/>
        <w:t>Europaparlamentet noterar att kommittén under 2024 fortsatte att informera om de åtgärder som införts för att förebygga och bekämpa trakasserier på arbetsplatsen, i enlighet med sitt beslut av den 26 april 2021 om skydd av värdighet på arbetsplatsen, hantering av konflikter och bekämpande av trakasserier, i synnerhet genom särskild vägledning, intern kommunikation (nyhetsbrev om personalfrågor varannan vecka) och anordnande av flera informationsmöten för personal och chefer, inbegripet obligatorisk utbildning om etik och integritet. Parlamentet noterar att kommittén registrerade fyra nya fall av påstådda trakasserier under 2024, medan ett fall gällde sexuella trakasserier och ett fall hänsköts till den belgiska polisen genom ett formellt klagomål. Parlamentet noterar att etablerade förfaranden (preliminär bedömning, administrativ utredning, försiktighetsåtgärder osv.) tillämpades och uppmanar kommittén att hålla den ansvarsfrihetsbeviljande myndigheten uppdaterad om utfallen av dessa fall.</w:t>
      </w:r>
    </w:p>
    <w:p w14:paraId="59E95C69" w14:textId="77777777" w:rsidR="00621B78" w:rsidRPr="00242D2D" w:rsidRDefault="00621B78" w:rsidP="00621B78">
      <w:pPr>
        <w:pStyle w:val="NormalHanging12a"/>
      </w:pPr>
      <w:r w:rsidRPr="00242D2D">
        <w:t>37.</w:t>
      </w:r>
      <w:r w:rsidRPr="00242D2D">
        <w:tab/>
        <w:t xml:space="preserve">Europaparlamentet lovordar kommittén för att ha säkerställt att personer med funktionsnedsättning kan få tillgång till eller använda någon av kommitténs digitala produkter genom att tillämpa riktlinjerna för tillgängligt webbinnehåll. Parlamentet noterar i detta sammanhang att kommitténs </w:t>
      </w:r>
      <w:proofErr w:type="spellStart"/>
      <w:r w:rsidRPr="00242D2D">
        <w:t>HReForms</w:t>
      </w:r>
      <w:proofErr w:type="spellEnd"/>
      <w:r w:rsidRPr="00242D2D">
        <w:t>-plattform uppgraderades 2024 med tillgänglighet som ett centralt krav, med funktioner som bland annat omfattar förbättrad färgkontrast, tangentbordsnavigering och alternativ text. Parlamentet noterar med tillfredsställelse att kommittén betalar ut logikostnader till kandidater med funktionsnedsättning och därmed säkerställer rättvisa urvalsförfaranden.</w:t>
      </w:r>
    </w:p>
    <w:p w14:paraId="688B0128" w14:textId="77777777" w:rsidR="00621B78" w:rsidRPr="00242D2D" w:rsidRDefault="00621B78" w:rsidP="00621B78">
      <w:pPr>
        <w:pStyle w:val="NormalHanging12a"/>
      </w:pPr>
      <w:r w:rsidRPr="00242D2D">
        <w:t>38.</w:t>
      </w:r>
      <w:r w:rsidRPr="00242D2D">
        <w:tab/>
        <w:t xml:space="preserve">Europaparlamentet noterar att kommittén under 2024 anställde personal som representerade alla EU-nationaliteter (och en anställd med ukrainskt medborgarskap), varav vissa var överrepresenterade. Parlamentet välkomnar kommitténs insatser för att balansera den geografiska fördelningen bland sin personal under 2024 genom riktade utåtriktade initiativ som lockar kandidater från underrepresenterade länder. Parlamentet noterar att sådana initiativ omfattade ökad användning av digitala plattformar och sociala medier för att öka synligheten för lediga tjänster, direkt samarbete med medlemsstaternas ständiga representationer, presentationer för målgrupper för att uppmuntra deltagande i kommitténs urvalsförfaranden och analys av ansökningstrender. Parlamentet noterar att dessa åtgärder redan ledde till ett positivt utfall 2024, såsom ett ökat antal mottagna platsansökningar, även från underrepresenterade länder. Parlamentet välkomnar dessutom kommitténs samarbete med </w:t>
      </w:r>
      <w:proofErr w:type="spellStart"/>
      <w:r w:rsidRPr="00242D2D">
        <w:t>Epso</w:t>
      </w:r>
      <w:proofErr w:type="spellEnd"/>
      <w:r w:rsidRPr="00242D2D">
        <w:t xml:space="preserve"> och andra EU-institutioner för att diversifiera kandidatpoolen, utbyta bästa praxis och samordna insatserna för att ta itu med representationsluckor inom unionens förvaltning. Parlamentet uppmanar kommittén att fortsätta att vidta åtgärder som eftersträvar en mer balanserad geografisk fördelning, även på ledningsnivå, och att hålla den ansvarsfrihetsbeviljande myndigheten informerad om trenderna för de platsansökningar </w:t>
      </w:r>
      <w:r w:rsidRPr="00242D2D">
        <w:lastRenderedPageBreak/>
        <w:t>som kommittén tar emot från en period till en annan.</w:t>
      </w:r>
    </w:p>
    <w:p w14:paraId="37B853A4" w14:textId="77777777" w:rsidR="00621B78" w:rsidRPr="00242D2D" w:rsidRDefault="00621B78" w:rsidP="00621B78">
      <w:pPr>
        <w:pStyle w:val="NormalHanging12a"/>
        <w:rPr>
          <w:bCs/>
          <w:iCs/>
        </w:rPr>
      </w:pPr>
      <w:r w:rsidRPr="00242D2D">
        <w:t>39.</w:t>
      </w:r>
      <w:r w:rsidRPr="00242D2D">
        <w:tab/>
        <w:t>Europaparlamentet välkomnar den starka och strukturerade sociala dialogen i organisatoriska förändringsprocesser under hela 2024. Parlamentet uppmuntrar kommittén att upprätthålla och ytterligare stärka personalföreträdarnas systematiska deltagande i reformer som bland annat rör digitalisering, intern omorganisation och nya arbetsmetoder.</w:t>
      </w:r>
    </w:p>
    <w:p w14:paraId="356D9AF0" w14:textId="77777777" w:rsidR="00621B78" w:rsidRPr="00242D2D" w:rsidRDefault="00621B78" w:rsidP="00621B78">
      <w:pPr>
        <w:pStyle w:val="NormalHanging12a"/>
        <w:rPr>
          <w:b/>
          <w:i/>
        </w:rPr>
      </w:pPr>
      <w:r w:rsidRPr="00242D2D">
        <w:rPr>
          <w:b/>
          <w:i/>
        </w:rPr>
        <w:t>Etisk ram och transparens</w:t>
      </w:r>
    </w:p>
    <w:p w14:paraId="48DDB34B" w14:textId="77777777" w:rsidR="00621B78" w:rsidRPr="00242D2D" w:rsidRDefault="00621B78" w:rsidP="00621B78">
      <w:pPr>
        <w:pStyle w:val="NormalHanging12a"/>
      </w:pPr>
      <w:r w:rsidRPr="00242D2D">
        <w:t>40.</w:t>
      </w:r>
      <w:r w:rsidRPr="00242D2D">
        <w:tab/>
        <w:t xml:space="preserve">Europaparlamentet välkomnar kommittéernas arbete under 2023 med att konsolidera etiska regler och praxis i en enda etisk rättslig ram (beslut nr 157/2023) som bland annat omfattar disciplinära förfaranden, värdighet på arbetsplatsen, hantering av konflikter, bekämpande av trakasserier, bisysslor och visselblåsning. Parlamentet noterar att 2024 var det första året för genomförandet av denna nya ram. Parlamentet noterar att kommittén regelbundet erbjöd obligatoriska utbildningskurser om etik och integritet, visselblåsning och förebyggande av intressekonflikter för olika personalgrupper, alla från nyanställda till chefer och personal </w:t>
      </w:r>
      <w:proofErr w:type="gramStart"/>
      <w:r w:rsidRPr="00242D2D">
        <w:t>överlag</w:t>
      </w:r>
      <w:proofErr w:type="gramEnd"/>
      <w:r w:rsidRPr="00242D2D">
        <w:t>, under 2024.</w:t>
      </w:r>
    </w:p>
    <w:p w14:paraId="7C34105F" w14:textId="77777777" w:rsidR="00621B78" w:rsidRPr="00242D2D" w:rsidRDefault="00621B78" w:rsidP="00621B78">
      <w:pPr>
        <w:pStyle w:val="NormalHanging12a"/>
      </w:pPr>
      <w:r w:rsidRPr="00242D2D">
        <w:t>41.</w:t>
      </w:r>
      <w:r w:rsidRPr="00242D2D">
        <w:tab/>
        <w:t>Europaparlamentet noterar att kommittén inte rapporterade några fall till, och inte heller var föremål för någon utredning av, Europeiska byrån för bedrägeribekämpning (Olaf), Europeiska åklagarmyndigheten (</w:t>
      </w:r>
      <w:proofErr w:type="spellStart"/>
      <w:r w:rsidRPr="00242D2D">
        <w:t>Eppo</w:t>
      </w:r>
      <w:proofErr w:type="spellEnd"/>
      <w:r w:rsidRPr="00242D2D">
        <w:t>) eller Europeiska ombudsmannen under 2024.</w:t>
      </w:r>
    </w:p>
    <w:p w14:paraId="7464FB54" w14:textId="77777777" w:rsidR="00621B78" w:rsidRPr="00242D2D" w:rsidRDefault="00621B78" w:rsidP="00621B78">
      <w:pPr>
        <w:pStyle w:val="NormalHanging12a"/>
      </w:pPr>
      <w:r w:rsidRPr="00242D2D">
        <w:t>42.</w:t>
      </w:r>
      <w:r w:rsidRPr="00242D2D">
        <w:tab/>
        <w:t>Europaparlamentet påminner om att kommittén antog anvisningar nr 6/2023 av den 4 juli 2023 om transparensåtgärder med fokus på ledamöter med befattningar och föredragande. Sådana åtgärder avser en uppmaning till ledamöter med befattningar och föredragande att endast träffa företrädare för intressegrupper som har registrerat sig i öppenhetsregistret och att offentliggöra alla sådana möten med företrädare för intressegrupper som de håller i egenskap av kommittéledamöter. Parlamentet noterar att en kommittéledamot under 2024 rapporterade ett möte med en intressegruppföreträdare. Parlamentet lovordar i detta sammanhang kommittén för att formellt ha anslutit sig till EU:s öppenhetsregister den 1 januari 2024.</w:t>
      </w:r>
    </w:p>
    <w:p w14:paraId="610AB83B" w14:textId="77777777" w:rsidR="00621B78" w:rsidRPr="00242D2D" w:rsidRDefault="00621B78" w:rsidP="00621B78">
      <w:pPr>
        <w:pStyle w:val="NormalHanging12a"/>
        <w:rPr>
          <w:b/>
          <w:bCs/>
          <w:i/>
          <w:iCs/>
          <w:szCs w:val="24"/>
        </w:rPr>
      </w:pPr>
      <w:r w:rsidRPr="00242D2D">
        <w:t>43.</w:t>
      </w:r>
      <w:r w:rsidRPr="00242D2D">
        <w:tab/>
        <w:t>Europaparlamentet noterar i frågeformuläret de principer och mekanismer som kommittén genomförde 2024 för att främja transparens inom olika områden, såsom budgetförvaltning och ekonomisk förvaltning, rapportering, revisionssamarbete, personalfrågor, offentlig upphandling, allmänhetens tillgång till handlingar och dokumenthantering.</w:t>
      </w:r>
    </w:p>
    <w:p w14:paraId="734A8CDE" w14:textId="77777777" w:rsidR="00621B78" w:rsidRPr="00242D2D" w:rsidRDefault="00621B78" w:rsidP="00621B78">
      <w:pPr>
        <w:pStyle w:val="NormalHanging12a"/>
      </w:pPr>
      <w:r w:rsidRPr="00242D2D">
        <w:t>44.</w:t>
      </w:r>
      <w:r w:rsidRPr="00242D2D">
        <w:tab/>
        <w:t>Europaparlamentet välkomnar att kommittén tog nya tag för att upptäcka och förebygga intressekonflikter under 2024. Parlamentet noterar att kommittén i och med sitt beslut nr 157/2023 definierade begreppet intressekonflikter och införde en mekanism för att upptäcka och förhindra sådana intressekonflikter, varvid anställda måste uppge om de skulle kunna ha en intressekonflikt (potentiell eller möjlig) genom att fylla i ett formulär vid olika viktiga tidpunkter under sin karriär eller yrkesverksamhet. Parlamentet noterar med tillfredsställelse från frågeformuläret att den årliga informationen om tidigare högre tjänstemäns yrkesverksamhet offentliggörs på ett transparent sätt på kommitténs webbplats och att de är förbjudna att bedriva lobbyverksamhet eller opinionsbildning gentemot kommittén under de första 12 månaderna efter det att de lämnat sina befattningar i kommittén.</w:t>
      </w:r>
    </w:p>
    <w:p w14:paraId="0E0B0DE6" w14:textId="77777777" w:rsidR="00621B78" w:rsidRPr="00242D2D" w:rsidRDefault="00621B78" w:rsidP="00621B78">
      <w:pPr>
        <w:pStyle w:val="NormalHanging12a"/>
      </w:pPr>
      <w:r w:rsidRPr="00242D2D">
        <w:lastRenderedPageBreak/>
        <w:t>45.</w:t>
      </w:r>
      <w:r w:rsidRPr="00242D2D">
        <w:tab/>
        <w:t>Europaparlamentet noterar från frågeformuläret att inga intressekonflikter upptäcktes inom kommittén under 2024. Parlamentet noterar dock att en kommittéledamot uttryckte oro över en potentiell intressekonflikt efter att erbjudits betalning för att utarbeta en teknisk studie för en parlamentsledamot eller en av parlamentets politiska grupper. Parlamentet välkomnar den bekräftelse som mottagits under ansvarsfrihetsförfarandet, enligt vilken den berörda kommittéledamoten i själva verket inte accepterade uppdraget i fråga.</w:t>
      </w:r>
    </w:p>
    <w:p w14:paraId="5920DDBC" w14:textId="77777777" w:rsidR="00621B78" w:rsidRPr="00242D2D" w:rsidRDefault="00621B78" w:rsidP="00621B78">
      <w:pPr>
        <w:pStyle w:val="NormalHanging12a"/>
      </w:pPr>
      <w:r w:rsidRPr="00242D2D">
        <w:t>46.</w:t>
      </w:r>
      <w:r w:rsidRPr="00242D2D">
        <w:tab/>
        <w:t>Europaparlamentet noterar att inga fall av visselblåsning rapporterades till kommittén under 2024. Parlamentet noterar att kommittén under 2024 inte antog några nya åtgärder avseende visselblåsning utan fortsatte att förlita sig på de åtgärder som införts sedan 2015 och att uppmärksamma dem genom kurser i etik och informationsspridning. Parlamentet stöder regelbundna obligatoriska kurser i etik för både personalen som ledningen.</w:t>
      </w:r>
    </w:p>
    <w:p w14:paraId="5CE76371" w14:textId="77777777" w:rsidR="00621B78" w:rsidRPr="00242D2D" w:rsidRDefault="00621B78" w:rsidP="00621B78">
      <w:pPr>
        <w:pStyle w:val="NormalHanging12a"/>
      </w:pPr>
      <w:r w:rsidRPr="00242D2D">
        <w:t>47.</w:t>
      </w:r>
      <w:r w:rsidRPr="00242D2D">
        <w:tab/>
        <w:t>Europaparlamentet noterar att kommittén har en rad bedrägeribekämpningsåtgärder som är tillämpliga på dess ledamöter och personal och som har genomförts av olika avdelningar. Parlamentet beklagar att det 2024 inte fanns någon strategi för bedrägeribekämpning. Parlamentet noterar dock från frågeformuläret att kommittén 2025 antog en konsoliderad ram för bedrägeribekämpning som utgör ett mellanliggande steg i utvecklingen av en övergripande strategi för bedrägeribekämpning, medan den metod som används för detta mål kommer att tillhandahållas av Olaf. Kommittén uppmanas med kraft att prioritera full utveckling och genomförande av denna strategi, inbegripet riskbedömnings-, förebyggande-, upptäckts- och uppföljningsåtgärder. Parlamentet uppmanar kommittén att hålla den ansvarsfrihetsbeviljande myndigheten informerad om denna fråga.</w:t>
      </w:r>
    </w:p>
    <w:p w14:paraId="33DEC057" w14:textId="77777777" w:rsidR="00621B78" w:rsidRPr="00242D2D" w:rsidRDefault="00621B78" w:rsidP="00621B78">
      <w:pPr>
        <w:pStyle w:val="NormalHanging12a"/>
        <w:ind w:left="360"/>
        <w:rPr>
          <w:b/>
          <w:i/>
        </w:rPr>
      </w:pPr>
      <w:r w:rsidRPr="00242D2D">
        <w:rPr>
          <w:b/>
          <w:i/>
        </w:rPr>
        <w:t>Digitalisering, cybersäkerhet och skydd av personuppgifter</w:t>
      </w:r>
    </w:p>
    <w:p w14:paraId="03859EBA" w14:textId="77777777" w:rsidR="00621B78" w:rsidRPr="00242D2D" w:rsidRDefault="00621B78" w:rsidP="00621B78">
      <w:pPr>
        <w:pStyle w:val="NormalHanging12a"/>
      </w:pPr>
      <w:r w:rsidRPr="00242D2D">
        <w:t>48.</w:t>
      </w:r>
      <w:r w:rsidRPr="00242D2D">
        <w:tab/>
        <w:t xml:space="preserve">Europaparlamentet noterar att kommitténs och </w:t>
      </w:r>
      <w:proofErr w:type="spellStart"/>
      <w:r w:rsidRPr="00242D2D">
        <w:t>EESK:s</w:t>
      </w:r>
      <w:proofErr w:type="spellEnd"/>
      <w:r w:rsidRPr="00242D2D">
        <w:t xml:space="preserve"> sammanlagda </w:t>
      </w:r>
      <w:proofErr w:type="spellStart"/>
      <w:r w:rsidRPr="00242D2D">
        <w:t>it-budget</w:t>
      </w:r>
      <w:proofErr w:type="spellEnd"/>
      <w:r w:rsidRPr="00242D2D">
        <w:t xml:space="preserve"> uppgick till 13,70 miljoner EUR 2024, jämfört med 12,70 miljoner EUR 2023, dvs. en minskning med cirka 7,90 %, medan 760 000 EUR av den budgeten (eller cirka 6 %) gick till betalningar för cybersäkerhet 2024.</w:t>
      </w:r>
    </w:p>
    <w:p w14:paraId="3827063C" w14:textId="77777777" w:rsidR="00621B78" w:rsidRPr="00242D2D" w:rsidRDefault="00621B78" w:rsidP="00621B78">
      <w:pPr>
        <w:pStyle w:val="NormalHanging12a"/>
      </w:pPr>
      <w:r w:rsidRPr="00242D2D">
        <w:t>49.</w:t>
      </w:r>
      <w:r w:rsidRPr="00242D2D">
        <w:tab/>
        <w:t xml:space="preserve">Europaparlamentet noterar från frågeformuläret att direktoratet för innovation och informationsteknik under 2024 genomförde en ny flerårig digital strategi för 2024–2026 som prioriterar hantering av digitala register, elektroniska arbetsflöden, e-signaturer och molnbaserade lösningar och fokuserar på fyra flaggskeppsprogram – M365 Digital </w:t>
      </w:r>
      <w:proofErr w:type="spellStart"/>
      <w:r w:rsidRPr="00242D2D">
        <w:t>Workplace</w:t>
      </w:r>
      <w:proofErr w:type="spellEnd"/>
      <w:r w:rsidRPr="00242D2D">
        <w:t xml:space="preserve">, ARES, </w:t>
      </w:r>
      <w:proofErr w:type="spellStart"/>
      <w:r w:rsidRPr="00242D2D">
        <w:t>EdiT</w:t>
      </w:r>
      <w:proofErr w:type="spellEnd"/>
      <w:r w:rsidRPr="00242D2D">
        <w:t xml:space="preserve"> och cybersäkerhet – för att förbättra samarbetet, automatiseringen och den institutionella </w:t>
      </w:r>
      <w:proofErr w:type="spellStart"/>
      <w:r w:rsidRPr="00242D2D">
        <w:t>resiliensen</w:t>
      </w:r>
      <w:proofErr w:type="spellEnd"/>
      <w:r w:rsidRPr="00242D2D">
        <w:t xml:space="preserve">. Parlamentet framhåller framstegen med M365-programmet, inbegripet migrationsplaneringen till SharePoint Online, införandet av Windows 11 och M365-appar och utvecklingen av en AI-strategi med en färdplan för pilotprojektet M365 </w:t>
      </w:r>
      <w:proofErr w:type="spellStart"/>
      <w:r w:rsidRPr="00242D2D">
        <w:t>Copilot</w:t>
      </w:r>
      <w:proofErr w:type="spellEnd"/>
      <w:r w:rsidRPr="00242D2D">
        <w:t xml:space="preserve"> 2025. Parlamentet noterar att kommittén började införa HAN-systemet för dokumenthantering och gick vidare mot att anta XML-redigeringsverktyget </w:t>
      </w:r>
      <w:proofErr w:type="spellStart"/>
      <w:r w:rsidRPr="00242D2D">
        <w:t>EdiT</w:t>
      </w:r>
      <w:proofErr w:type="spellEnd"/>
      <w:r w:rsidRPr="00242D2D">
        <w:t xml:space="preserve"> för utarbetande av lagstiftning. Parlamentet välkomnar att cybersäkerhet nu anses vara mer av ett gemensamt ansvar, med nya utbildningsinitiativ och en flerårig plan som är linjerad med unionens standarder. Parlamentet erkänner förbättringarna av registerhantering, infrastruktur och säkra kommunikationsverktyg, inbegripet SECABC-email, SACHA-dataöverföring och </w:t>
      </w:r>
      <w:proofErr w:type="spellStart"/>
      <w:r w:rsidRPr="00242D2D">
        <w:t>endpointshanteringssystem</w:t>
      </w:r>
      <w:proofErr w:type="spellEnd"/>
      <w:r w:rsidRPr="00242D2D">
        <w:t xml:space="preserve">. Parlamentet noterar med uppskattning kommitténs fortsatta framsteg inom digital innovation, inbegripet övergången till en helt papperslös och </w:t>
      </w:r>
      <w:r w:rsidRPr="00242D2D">
        <w:lastRenderedPageBreak/>
        <w:t>cybersäker arbetsmiljö. Parlamentet lovordar arbetsplanen för ”Regionernas hus” 2025–2027 för att prioritera den digitala omställningen för att bygga en modern, flexibel och digitalt driven institution.</w:t>
      </w:r>
    </w:p>
    <w:p w14:paraId="4C26FC45" w14:textId="77777777" w:rsidR="00621B78" w:rsidRPr="00242D2D" w:rsidRDefault="00621B78" w:rsidP="00621B78">
      <w:pPr>
        <w:pStyle w:val="NormalHanging12a"/>
        <w:rPr>
          <w:bCs/>
        </w:rPr>
      </w:pPr>
      <w:r w:rsidRPr="00242D2D">
        <w:t>50.</w:t>
      </w:r>
      <w:r w:rsidRPr="00242D2D">
        <w:tab/>
        <w:t>Europaparlamentet noterar att kommittén gradvis införde ett pilotprojekt för artificiell intelligens kallat ”</w:t>
      </w:r>
      <w:proofErr w:type="spellStart"/>
      <w:r w:rsidRPr="00242D2D">
        <w:t>Panoramic</w:t>
      </w:r>
      <w:proofErr w:type="spellEnd"/>
      <w:r w:rsidRPr="00242D2D">
        <w:t xml:space="preserve"> AI” som skapar ett centralt nav som effektiviserar tillgången till komplext innehåll från och med 2024. Parlamentet noterar vidare att kommittén aktivt har använt kommissionens AI-verktyg för översättning, sammanfattningar osv. och har deltagit som pilotanvändare för att testa AI-pilotlösningen GPT@JRC. Parlamentet noterar från frågeformuläret att kommitténs AI-riktlinjer, som antogs 2023, fastställde en utgångspunkt för hur personalen skulle kunna experimentera med AI, för att genomföra Europaparlamentets och rådets förordning (EU) 2024/1689</w:t>
      </w:r>
      <w:r w:rsidRPr="00242D2D">
        <w:rPr>
          <w:rStyle w:val="FootnoteReference"/>
          <w:bCs/>
        </w:rPr>
        <w:footnoteReference w:id="12"/>
      </w:r>
      <w:r w:rsidRPr="00242D2D">
        <w:t xml:space="preserve">, som trädde i kraft i augusti 2024, och för att utveckla företagsalternativ som är linjerade med dataskyddsstandarder och etiska standarder. Parlamentet välkomnar i detta sammanhang anordnandet av informationsmöten för personalen för att förklara AI-riktlinjerna, offentliggörandet av ett meddelande om AI-kompetens för personalen och anordnandet av workshoppar för att öka medvetenheten om AI under 2024, och uppmuntrar till en fortsättning av denna praxis, inbegripet anordnandet av regelbundna utbildningar om säker, etisk och effektiv användning av artificiell intelligens och regelbunden utbildning om cybersäkerhet. Parlamentet erkänner mervärdet av AI-verktyg som ökar den personliga produktiviteten, såsom M365 </w:t>
      </w:r>
      <w:proofErr w:type="spellStart"/>
      <w:r w:rsidRPr="00242D2D">
        <w:t>Copilot</w:t>
      </w:r>
      <w:proofErr w:type="spellEnd"/>
      <w:r w:rsidRPr="00242D2D">
        <w:t>, och av att integrera AI-kapacitet i it-stödverktyg. Parlamentet betonar att användningen av artificiell intelligens måste ske genom att man garanterar strikta principer för etisk användning, transparens, dataskydd, mänsklig tillsyn och skydd mot algoritmisk snedvridning eller missbruk.</w:t>
      </w:r>
    </w:p>
    <w:p w14:paraId="0EA8C00E" w14:textId="77777777" w:rsidR="00621B78" w:rsidRPr="00242D2D" w:rsidRDefault="00621B78" w:rsidP="00621B78">
      <w:pPr>
        <w:pStyle w:val="NormalHanging12a"/>
      </w:pPr>
      <w:r w:rsidRPr="00242D2D">
        <w:t>51.</w:t>
      </w:r>
      <w:r w:rsidRPr="00242D2D">
        <w:tab/>
        <w:t>Europaparlamentet noterar utifrån frågeformuläret att kommittén, efter ett förfarandemässigt förbiseende när den bytte dataskyddsombud utan föregående samtycke från Europeiska datatillsynsmannen (EDPS), erkände felet och vidtog korrigerande åtgärder. Parlamentet konstaterar att överföringen av uppgiftsskyddsombudets funktion till rättstjänsten baserades på en rekommendation från internrevisorn. Parlamentet noterar att kommittén återinsatte det tidigare dataskyddsombudet och formellt begärde datatillsynsmannens samtycke till den nya utnämningen för att säkerställa full efterlevnad.</w:t>
      </w:r>
    </w:p>
    <w:p w14:paraId="7ADC9C85" w14:textId="77777777" w:rsidR="00621B78" w:rsidRPr="00242D2D" w:rsidRDefault="00621B78" w:rsidP="00621B78">
      <w:pPr>
        <w:pStyle w:val="NormalHanging12a"/>
      </w:pPr>
      <w:r w:rsidRPr="00242D2D">
        <w:t>52.</w:t>
      </w:r>
      <w:r w:rsidRPr="00242D2D">
        <w:tab/>
        <w:t xml:space="preserve">Europaparlamentet noterar utifrån frågeformuläret att kommittén inte drabbades av några framgångsrika cyberattacker under 2024, eftersom befintliga åtgärder för upptäckt och förebyggande på ett effektivt sätt stoppade alla försök till hot. Parlamentet noterar att kommittén vidtog flera åtgärder för att stärka sin ram för cybersäkerhet och dataskydd genom att hålla sig uppdaterad om den senaste utvecklingen och bästa praxis på dessa områden under 2024. Parlamentet noterar att vissa av dessa åtgärder inbegrep deltagande av relevant personal i övningen ”Personal Data </w:t>
      </w:r>
      <w:proofErr w:type="spellStart"/>
      <w:r w:rsidRPr="00242D2D">
        <w:t>Breach</w:t>
      </w:r>
      <w:proofErr w:type="spellEnd"/>
      <w:r w:rsidRPr="00242D2D">
        <w:t xml:space="preserve"> Awareness in </w:t>
      </w:r>
      <w:proofErr w:type="spellStart"/>
      <w:r w:rsidRPr="00242D2D">
        <w:t>Cybersecurity</w:t>
      </w:r>
      <w:proofErr w:type="spellEnd"/>
      <w:r w:rsidRPr="00242D2D">
        <w:t xml:space="preserve"> Incident Handling”, som anordnades av Europeiska unionens cybersäkerhetsbyrå (</w:t>
      </w:r>
      <w:proofErr w:type="spellStart"/>
      <w:r w:rsidRPr="00242D2D">
        <w:t>Enisa</w:t>
      </w:r>
      <w:proofErr w:type="spellEnd"/>
      <w:r w:rsidRPr="00242D2D">
        <w:t xml:space="preserve">) och EDPS, deltagande i den europeiska </w:t>
      </w:r>
      <w:r w:rsidRPr="00242D2D">
        <w:lastRenderedPageBreak/>
        <w:t xml:space="preserve">cybersäkerhetsmånaden 2024 och medvetandehöjande sessioner och i personlig introduktionsutbildning för personal, särskilt för nykomlingar. Parlamentet uppmuntrar till en fortsättning av denna praxis, inbegripet anordnande av regelbundna utbildningar om cybersäkerhet. Parlamentet välkomnar dessutom införandet av tvåfaktorsautentisering för att förbättra åtkomstsäkerheten, </w:t>
      </w:r>
      <w:proofErr w:type="spellStart"/>
      <w:r w:rsidRPr="00242D2D">
        <w:t>migreringen</w:t>
      </w:r>
      <w:proofErr w:type="spellEnd"/>
      <w:r w:rsidRPr="00242D2D">
        <w:t xml:space="preserve"> av kommitténs innehållshanteringssystem för webbplatser till en ny plattform (</w:t>
      </w:r>
      <w:proofErr w:type="spellStart"/>
      <w:r w:rsidRPr="00242D2D">
        <w:t>Drupal</w:t>
      </w:r>
      <w:proofErr w:type="spellEnd"/>
      <w:r w:rsidRPr="00242D2D">
        <w:t xml:space="preserve">) som säkerställer förbättrad motståndskraft och anpassningsförmåga, och det fortsatta nära samarbetet med CERT-EU för realtidsövervakning av hot och för skydd mot distribuerade </w:t>
      </w:r>
      <w:proofErr w:type="spellStart"/>
      <w:r w:rsidRPr="00242D2D">
        <w:t>DDoS</w:t>
      </w:r>
      <w:proofErr w:type="spellEnd"/>
      <w:r w:rsidRPr="00242D2D">
        <w:t>-attacker. Parlamentet noterar att direktoratet för innovation och informationsteknik inledde ett program för digital omvandling och cybersäkerhetsomvandling i linje med unionens standarder och internationella standarder, inbegripet Europaparlamentets och rådets förordning (EU, Euratom) 2023/2841</w:t>
      </w:r>
      <w:r w:rsidRPr="00242D2D">
        <w:rPr>
          <w:vertAlign w:val="superscript"/>
        </w:rPr>
        <w:footnoteReference w:id="13"/>
      </w:r>
      <w:r w:rsidRPr="00242D2D">
        <w:t xml:space="preserve">, NIST-ramen för cybersäkerhet och </w:t>
      </w:r>
      <w:proofErr w:type="spellStart"/>
      <w:r w:rsidRPr="00242D2D">
        <w:t>Open</w:t>
      </w:r>
      <w:proofErr w:type="spellEnd"/>
      <w:r w:rsidRPr="00242D2D">
        <w:t xml:space="preserve"> </w:t>
      </w:r>
      <w:proofErr w:type="spellStart"/>
      <w:r w:rsidRPr="00242D2D">
        <w:t>Worldwide</w:t>
      </w:r>
      <w:proofErr w:type="spellEnd"/>
      <w:r w:rsidRPr="00242D2D">
        <w:t xml:space="preserve"> </w:t>
      </w:r>
      <w:proofErr w:type="spellStart"/>
      <w:r w:rsidRPr="00242D2D">
        <w:t>Application</w:t>
      </w:r>
      <w:proofErr w:type="spellEnd"/>
      <w:r w:rsidRPr="00242D2D">
        <w:t xml:space="preserve"> </w:t>
      </w:r>
      <w:proofErr w:type="spellStart"/>
      <w:r w:rsidRPr="00242D2D">
        <w:t>Security</w:t>
      </w:r>
      <w:proofErr w:type="spellEnd"/>
      <w:r w:rsidRPr="00242D2D">
        <w:t xml:space="preserve"> Project (OWASP), i syfte att stärka </w:t>
      </w:r>
      <w:proofErr w:type="spellStart"/>
      <w:r w:rsidRPr="00242D2D">
        <w:t>resiliensen</w:t>
      </w:r>
      <w:proofErr w:type="spellEnd"/>
      <w:r w:rsidRPr="00242D2D">
        <w:t>, riskhanteringen, dataskyddet och andra aspekter av styrningen i hela kommittén.</w:t>
      </w:r>
    </w:p>
    <w:p w14:paraId="7C6D866F" w14:textId="77777777" w:rsidR="00621B78" w:rsidRPr="00242D2D" w:rsidRDefault="00621B78" w:rsidP="00621B78">
      <w:pPr>
        <w:pStyle w:val="NormalHanging12a"/>
        <w:ind w:left="360"/>
        <w:rPr>
          <w:b/>
          <w:i/>
        </w:rPr>
      </w:pPr>
      <w:r w:rsidRPr="00242D2D">
        <w:rPr>
          <w:b/>
          <w:i/>
        </w:rPr>
        <w:t>Byggnader</w:t>
      </w:r>
    </w:p>
    <w:p w14:paraId="10CB54BA" w14:textId="77777777" w:rsidR="00621B78" w:rsidRPr="00242D2D" w:rsidRDefault="00621B78" w:rsidP="00621B78">
      <w:pPr>
        <w:pStyle w:val="NormalHanging12a"/>
      </w:pPr>
      <w:r w:rsidRPr="00242D2D">
        <w:t>53.</w:t>
      </w:r>
      <w:r w:rsidRPr="00242D2D">
        <w:tab/>
        <w:t>Europaparlamentet noterar att kommitténs budget för fastigheter och utgifter i samband därmed (anslag för det innevarande året) för 2024 uppgick till 18,963 miljoner EUR (jämfört med 18,594 miljoner EUR 2023) med en genomförandegrad för betalningar på 92 % (jämfört med 93,70 % 2023). Parlamentet noterar med tillfredsställelse att kommittén gjorde besparingar på 108 000 EUR i städtjänster under perioder då färre personer var närvarande i kommitténs byggnader.</w:t>
      </w:r>
    </w:p>
    <w:p w14:paraId="637E158C" w14:textId="77777777" w:rsidR="00621B78" w:rsidRPr="00242D2D" w:rsidRDefault="00621B78" w:rsidP="00621B78">
      <w:pPr>
        <w:pStyle w:val="NormalHanging12a"/>
      </w:pPr>
      <w:r w:rsidRPr="00242D2D">
        <w:t>54.</w:t>
      </w:r>
      <w:r w:rsidRPr="00242D2D">
        <w:tab/>
        <w:t xml:space="preserve">Europaparlamentet noterar utifrån årsrapporten kommitténs slutsats att en av dess viktigaste prioriteringar som fastställdes 2017, nämligen ”byggnadernas geografiska koncentration”, har uppnåtts. Parlamentet noterar kommitténs åsikt att ett framgångsrikt genomförande av det nya hybridarbetssystemet lägger grunden för ytterligare kostnadsbesparingar genom minskning av lokalytan. Parlamentet noterar i detta sammanhang att kommittén i slutet av 2024 inledde </w:t>
      </w:r>
      <w:proofErr w:type="spellStart"/>
      <w:r w:rsidRPr="00242D2D">
        <w:t>SPaCES</w:t>
      </w:r>
      <w:proofErr w:type="spellEnd"/>
      <w:r w:rsidRPr="00242D2D">
        <w:t>-projektet för att omvandla både arbetsmetoder och arbetsutrymmen inom kommittén, bland annat genom att ändra lokalernas utrustning, medan det första steget i detta projekt är att flytta personal som är baserad i B100-byggnaden. Parlamentet noterar att efter ett gemensamt beslut av kommittén och EESK kommer hyresavtalet för denna byggnad att löpa ut i augusti 2026. Parlamentet uppmanar kommittén att hålla den ansvarsbefrielsebeviljande myndigheten informerad om de framsteg som görs i detta avseende.</w:t>
      </w:r>
    </w:p>
    <w:p w14:paraId="770D7B9D" w14:textId="77777777" w:rsidR="00621B78" w:rsidRPr="00242D2D" w:rsidRDefault="00621B78" w:rsidP="00621B78">
      <w:pPr>
        <w:pStyle w:val="NormalHanging12a"/>
      </w:pPr>
      <w:r w:rsidRPr="00242D2D">
        <w:t>55.</w:t>
      </w:r>
      <w:r w:rsidRPr="00242D2D">
        <w:tab/>
        <w:t>Europaparlamentet noterar att renoveringsarbetet i VMA-byggnaden fortsatte under 2024. Parlamentet noterar från uppföljningsrapporten att investeringar i smart teknik som installerats i VMA-byggnaden kommer att säkerställa framtidssäkrade flexibla kontorsutrymmen och optimal komfort för användarna på olika nivåer, vilket kommer att bidra till ytterligare minskningar av energiförbrukningen med cirka 13 000 EUR per år (baserat på 2023 års genomsnittliga el- och gaspriser).</w:t>
      </w:r>
    </w:p>
    <w:p w14:paraId="5B4C3B7B" w14:textId="77777777" w:rsidR="00621B78" w:rsidRPr="00242D2D" w:rsidRDefault="00621B78" w:rsidP="00621B78">
      <w:pPr>
        <w:pStyle w:val="NormalHanging12a"/>
      </w:pPr>
      <w:r w:rsidRPr="00242D2D">
        <w:t>56.</w:t>
      </w:r>
      <w:r w:rsidRPr="00242D2D">
        <w:tab/>
        <w:t xml:space="preserve">Europaparlamentet välkomnar kommitténs och </w:t>
      </w:r>
      <w:proofErr w:type="spellStart"/>
      <w:r w:rsidRPr="00242D2D">
        <w:t>EESK:s</w:t>
      </w:r>
      <w:proofErr w:type="spellEnd"/>
      <w:r w:rsidRPr="00242D2D">
        <w:t xml:space="preserve"> åtagande att systematiskt tillämpa principen om utformning för alla på sin infrastruktur genom att i själva </w:t>
      </w:r>
      <w:r w:rsidRPr="00242D2D">
        <w:lastRenderedPageBreak/>
        <w:t>utformningen säkerställa byggnadens tillgänglighet. Parlamentet noterar att kommittéerna vidtog en rad olika åtgärder för att säkerställa att deras byggnader, inbegripet hissar, är tillgängliga för personer med olika typer av funktionsnedsättning (rullstolsanvändare, blinda personer och personer med synnedsättning, personer som är döva, äldre personer med muskel- eller kärlproblem).</w:t>
      </w:r>
    </w:p>
    <w:p w14:paraId="1692CADB" w14:textId="77777777" w:rsidR="00621B78" w:rsidRPr="00242D2D" w:rsidRDefault="00621B78" w:rsidP="00621B78">
      <w:pPr>
        <w:pStyle w:val="NormalHanging12a"/>
        <w:ind w:left="360"/>
        <w:rPr>
          <w:b/>
          <w:i/>
        </w:rPr>
      </w:pPr>
      <w:r w:rsidRPr="00242D2D">
        <w:rPr>
          <w:b/>
          <w:i/>
        </w:rPr>
        <w:t>Miljö och hållbarhet</w:t>
      </w:r>
    </w:p>
    <w:p w14:paraId="187CFFFD" w14:textId="77777777" w:rsidR="00621B78" w:rsidRPr="00242D2D" w:rsidRDefault="00621B78" w:rsidP="00621B78">
      <w:pPr>
        <w:pStyle w:val="NormalHanging12a"/>
      </w:pPr>
      <w:r w:rsidRPr="00242D2D">
        <w:t>57.</w:t>
      </w:r>
      <w:r w:rsidRPr="00242D2D">
        <w:tab/>
        <w:t xml:space="preserve">Europaparlamentet noterar att kommittén fortsatte att genomföra en rad olika gröna metoder under 2024, såsom investeringar i innovativa energieffektiva belysningssystem, </w:t>
      </w:r>
      <w:proofErr w:type="spellStart"/>
      <w:r w:rsidRPr="00242D2D">
        <w:t>energimätare</w:t>
      </w:r>
      <w:proofErr w:type="spellEnd"/>
      <w:r w:rsidRPr="00242D2D">
        <w:t>, sensorer som installerats i kritiska anläggningar för att övervaka koldioxidnivåerna, reglering av byggnadstemperaturer (luftkonditionering, uppvärmning) beroende på årstiden och inköp av 100 % grön el, med mera. Parlamentet noterar att kommittén tillämpar miljökriterier i alla anbudsförfaranden och hållbarhetsklausuler för anbud som överstiger 25 000 EUR, samt skräddarsydda klausuler för anbud med stor miljöpåverkan eller när de överstiger 60 000 EUR. Parlamentet noterar med tillfredsställelse att kommittén integrerar miljöaspekter i sitt riskhanteringssystem och sina kärnverksamhetsprocesser och har utsett kontaktpunkter för miljölednings- och miljörevisionsordningen (Emas).</w:t>
      </w:r>
    </w:p>
    <w:p w14:paraId="0E754AE1" w14:textId="77777777" w:rsidR="00621B78" w:rsidRPr="00242D2D" w:rsidRDefault="00621B78" w:rsidP="00621B78">
      <w:pPr>
        <w:pStyle w:val="NormalHanging12a"/>
      </w:pPr>
      <w:r w:rsidRPr="00242D2D">
        <w:t>58.</w:t>
      </w:r>
      <w:r w:rsidRPr="00242D2D">
        <w:tab/>
        <w:t>Europaparlamentet uppskattar kommitténs åtagande att främja en hållbar mobilitetspolitik för sin personal. Parlamentet noterar i detta sammanhang att kommittén 2024 införde ett fast cykelbidrag på 100 EUR för anställda som använder en cykel som sitt främsta pendlingssätt, utökade sin cykelparkeringskapacitet och anordnade frukost- och mobilitetsfrågesporter. Parlamentet noterar från frågeformuläret att personalen från och med 2024 kan begära utbetalning av 50 % av abonnemangskostnaden för tågresor i 2:a klass (upp till ett avstånd på högst 60 km).</w:t>
      </w:r>
    </w:p>
    <w:p w14:paraId="44C65588" w14:textId="77777777" w:rsidR="00621B78" w:rsidRPr="00242D2D" w:rsidRDefault="00621B78" w:rsidP="00621B78">
      <w:pPr>
        <w:pStyle w:val="NormalHanging12a"/>
      </w:pPr>
      <w:r w:rsidRPr="00242D2D">
        <w:t>59.</w:t>
      </w:r>
      <w:r w:rsidRPr="00242D2D">
        <w:tab/>
        <w:t>Europaparlamentet noterar med tillfredsställelse från frågeformuläret att kommitténs energiförbrukning, tack vare de energibesparande åtgärderna, minskade med uppskattningsvis 3-4 % 2024 jämfört med 2022. Parlamentet noterar att kommittén har överträffat Emas-målen för 2024 på alla områden (el, gas, vatten, avfall, avfallssortering, papper för kontorsbruk, koldioxidutsläpp), med 2019 som referensår. Parlamentet noterar att förbrukningen av vatten och papper ökade något, med 14 % respektive 1 % jämfört med 2023, medan koldioxidutsläppen från kommitténs administrativa verksamhet minskade med 4,3 % och användningen av el och gas minskade med 5 % respektive 1 %, och att avfallsmängden också minskade med 12 % under 2024.</w:t>
      </w:r>
    </w:p>
    <w:p w14:paraId="07CC1A4D" w14:textId="77777777" w:rsidR="00621B78" w:rsidRPr="00242D2D" w:rsidRDefault="00621B78" w:rsidP="00621B78">
      <w:pPr>
        <w:pStyle w:val="NormalHanging12a"/>
        <w:ind w:left="720"/>
        <w:rPr>
          <w:b/>
          <w:bCs/>
          <w:i/>
          <w:iCs/>
        </w:rPr>
      </w:pPr>
      <w:r w:rsidRPr="00242D2D">
        <w:rPr>
          <w:b/>
          <w:i/>
          <w:iCs/>
        </w:rPr>
        <w:t xml:space="preserve">Interinstitutionellt samarbete </w:t>
      </w:r>
    </w:p>
    <w:p w14:paraId="3C19B1EC" w14:textId="77777777" w:rsidR="00621B78" w:rsidRPr="00242D2D" w:rsidRDefault="00621B78" w:rsidP="00621B78">
      <w:pPr>
        <w:pStyle w:val="NormalHanging12a"/>
      </w:pPr>
      <w:r w:rsidRPr="00242D2D">
        <w:t>60.</w:t>
      </w:r>
      <w:r w:rsidRPr="00242D2D">
        <w:tab/>
        <w:t xml:space="preserve">Europaparlamentet välkomnar att man under 2024 förlängde kommitténs samarbetsavtal med parlamentet och kommissionen, som utgör grunden för kommitténs starkare institutionella deltagande i alla skeden av unionens lagstiftningsprocess om olika politikområden (såsom regional utveckling, </w:t>
      </w:r>
      <w:proofErr w:type="spellStart"/>
      <w:r w:rsidRPr="00242D2D">
        <w:t>klimatpolitik</w:t>
      </w:r>
      <w:proofErr w:type="spellEnd"/>
      <w:r w:rsidRPr="00242D2D">
        <w:t xml:space="preserve"> och social sammanhållning) som går utöver politik som det sedan länge finns en samarbetshistoria kring. Parlamentet noterar att dessa avtal också innehåller strängare bestämmelser om samarbete om territoriella konsekvensbedömningar. Parlamentet noterar med tillfredsställelse utifrån frågeformuläret att kommitténs talmanskonferens den 13 oktober 2024 träffade parlamentets vice talman med ansvar för förbindelserna med kommittén för att diskutera ett stärkt samarbete genom att bland annat uppmuntra praxis </w:t>
      </w:r>
      <w:r w:rsidRPr="00242D2D">
        <w:lastRenderedPageBreak/>
        <w:t>med gemensamma möten, särskilt på utskotts- och föredragandenivå, kommitténs deltagande i trepartsdiskussioner och logistiskt samarbete under arbetet i parlamentets SPAAK-byggnad. Parlamentet noterar att kommitténs ledamöter under 2024 också träffade rådet och ständiga representationer och deltog i de evenemang som anordnades av rådets ordförandeskap, för att säkerställa att kommitténs ståndpunkter återspeglas i unionslagstiftningen.</w:t>
      </w:r>
    </w:p>
    <w:p w14:paraId="40CB7C2F" w14:textId="77777777" w:rsidR="00621B78" w:rsidRPr="00242D2D" w:rsidRDefault="00621B78" w:rsidP="00621B78">
      <w:pPr>
        <w:pStyle w:val="NormalHanging12a"/>
      </w:pPr>
      <w:r w:rsidRPr="00242D2D">
        <w:t>61.</w:t>
      </w:r>
      <w:r w:rsidRPr="00242D2D">
        <w:tab/>
        <w:t>Europaparlamentet välkomnar de budgetmässiga och administrativa besparingar som uppnåtts genom interinstitutionellt samarbete, särskilt det nära samarbete som inrättats på administrativ nivå med EESK, med vilket kommittén delar lokaler och samfunktioner på områdena översättning, infrastruktur, medicinska tjänster, catering, logistik och it samt ett gemensamt dataskyddsregister, med 470 anställda och mer än 68 miljoner EUR i budget (140 miljoner EUR om lönerelaterade kostnader ingår) som sammanfördes av båda institutionerna 2024. Parlamentet välkomnar att dessa besparingar omorienterades till kommitténs politiska verksamhet, vilket stärkte dess kapacitet att fullgöra sitt mandat. Parlamentet konstaterar att effektivitetsvinsterna och budgetbesparingarna till följd av samarbetet mellan de båda institutionerna är betydande, till ett uppskattat värde av tiotals miljoner euro per år jämfört med om de båda kommittéerna skötte dessa tjänster var för sig. Parlamentet upprepar sin uppmaning om att i så stor utsträckning som möjligt utvidga detta samarbete till att inrätta en enda administration för samfunktionerna samtidigt som de avdelningar och den enhet som ansvarar för deras centrala oberoende mandat hålls åtskilda. Parlamentet uppmuntrar kommittén och EESK att även i fortsättningen sträva efter att utveckla ytterligare samarbete och synergier.</w:t>
      </w:r>
    </w:p>
    <w:p w14:paraId="5967DB8F" w14:textId="77777777" w:rsidR="00621B78" w:rsidRPr="00242D2D" w:rsidRDefault="00621B78" w:rsidP="00621B78">
      <w:pPr>
        <w:pStyle w:val="NormalHanging12a"/>
      </w:pPr>
      <w:r w:rsidRPr="00242D2D">
        <w:t>62.</w:t>
      </w:r>
      <w:r w:rsidRPr="00242D2D">
        <w:tab/>
        <w:t xml:space="preserve">Europaparlamentet välkomnar att kommittén strävade efter synergier genom att köpa tjänster från andra institutioner genom servicenivåavtal och genom att vara med i interinstitutionella samordningsorgan och interinstitutionella upphandlingsförfaranden. Parlamentet noterar att kommittén uppnådde betydande synergier på området evenemang och kommunikation genom att tillsammans med kommissionen anordna Europeiska veckan för regioner och städer, och med bland annat parlamentet, rådet och kommissionen, den årliga konferensen för offentliga kommunikatörer, </w:t>
      </w:r>
      <w:proofErr w:type="spellStart"/>
      <w:r w:rsidRPr="00242D2D">
        <w:t>EuroPCom</w:t>
      </w:r>
      <w:proofErr w:type="spellEnd"/>
      <w:r w:rsidRPr="00242D2D">
        <w:t xml:space="preserve"> 2024. Parlamentet välkomnar sammanslagningen 2024 av kommitténs europeiska nätverk för lokala och regionala fullmäktigeledamöter och kommissionens nätverk ”Bygga Europa med lokala företrädare” till ett enda gemensamt EU-nätverk för lokalt förtroendevalda.</w:t>
      </w:r>
    </w:p>
    <w:p w14:paraId="005ED78B" w14:textId="77777777" w:rsidR="00621B78" w:rsidRPr="00242D2D" w:rsidRDefault="00621B78" w:rsidP="00621B78">
      <w:pPr>
        <w:pStyle w:val="NormalHanging12a"/>
      </w:pPr>
      <w:r w:rsidRPr="00242D2D">
        <w:t>63.</w:t>
      </w:r>
      <w:r w:rsidRPr="00242D2D">
        <w:tab/>
        <w:t xml:space="preserve">Europaparlamentet noterar att kommittén samarbetar med kommissionen (mot en årlig avgift) för hanteringen av personalfrågor och användningen av olika it-plattformar för ekonomisk förvaltning och personal, och att kommissionen 2024 inkluderade kommitténs </w:t>
      </w:r>
      <w:proofErr w:type="spellStart"/>
      <w:r w:rsidRPr="00242D2D">
        <w:t>it-system</w:t>
      </w:r>
      <w:proofErr w:type="spellEnd"/>
      <w:r w:rsidRPr="00242D2D">
        <w:t xml:space="preserve"> </w:t>
      </w:r>
      <w:proofErr w:type="spellStart"/>
      <w:r w:rsidRPr="00242D2D">
        <w:t>Lordimas</w:t>
      </w:r>
      <w:proofErr w:type="spellEnd"/>
      <w:r w:rsidRPr="00242D2D">
        <w:t xml:space="preserve"> som ett viktigt </w:t>
      </w:r>
      <w:proofErr w:type="spellStart"/>
      <w:r w:rsidRPr="00242D2D">
        <w:t>it-verktyg</w:t>
      </w:r>
      <w:proofErr w:type="spellEnd"/>
      <w:r w:rsidRPr="00242D2D">
        <w:t xml:space="preserve"> för att mäta städernas digitala omställning. Parlamentet noterar vidare att kommittén håller sina plenarsessioner i parlamentets och kommissionens lokaler för att kompensera för kapacitetsbristen i de egna konferenslokalerna och att den köper tolktjänster av dessa två institutioner.</w:t>
      </w:r>
    </w:p>
    <w:p w14:paraId="517F93C3" w14:textId="77777777" w:rsidR="00621B78" w:rsidRPr="00242D2D" w:rsidRDefault="00621B78" w:rsidP="00621B78">
      <w:pPr>
        <w:pStyle w:val="NormalHanging12a"/>
        <w:ind w:left="360"/>
        <w:rPr>
          <w:b/>
          <w:i/>
        </w:rPr>
      </w:pPr>
      <w:r w:rsidRPr="00242D2D">
        <w:rPr>
          <w:b/>
          <w:i/>
        </w:rPr>
        <w:t>Kommunikation</w:t>
      </w:r>
    </w:p>
    <w:p w14:paraId="26547663" w14:textId="77777777" w:rsidR="00621B78" w:rsidRPr="00242D2D" w:rsidRDefault="00621B78" w:rsidP="00621B78">
      <w:pPr>
        <w:pStyle w:val="NormalHanging12a"/>
      </w:pPr>
      <w:r w:rsidRPr="00242D2D">
        <w:t>64.</w:t>
      </w:r>
      <w:r w:rsidRPr="00242D2D">
        <w:tab/>
        <w:t xml:space="preserve">Europaparlamentet noterar att kommitténs kommunikationsverksamhet är inriktad på förbindelser med pressen, anordnande av evenemang, digitalt innehåll och sociala medier, med en total budget (anslag för det innevarande året) på ca 2,3 miljoner EUR för 2023, dvs. cirka 500 000 EUR mindre än 2023. Parlamentet noterar från uppföljningsrapporten att underfinansieringen av kommunikationsinsatser gör </w:t>
      </w:r>
      <w:r w:rsidRPr="00242D2D">
        <w:lastRenderedPageBreak/>
        <w:t>kommittén beroende av överföringar vid årets slut och av C8-anslag, vilket förklarar den låga budgetgenomförandegraden (48,20 %) av C1-anslag och den höga genomförandegraden (98,90 %) av C8-anslag under 2024 när det gäller budgetpost 2 6 (”Expertutlåtanden och [...] distribution”).</w:t>
      </w:r>
    </w:p>
    <w:p w14:paraId="114E6DF6" w14:textId="77777777" w:rsidR="00621B78" w:rsidRPr="00242D2D" w:rsidRDefault="00621B78" w:rsidP="00621B78">
      <w:pPr>
        <w:pStyle w:val="NormalHanging12a"/>
      </w:pPr>
      <w:r w:rsidRPr="00242D2D">
        <w:t>65.</w:t>
      </w:r>
      <w:r w:rsidRPr="00242D2D">
        <w:tab/>
        <w:t>Europaparlamentet noterar med tillfredsställelse kommitténs resultat när det gäller att främja unionens politik och program på lokal och regional nivå, nå ut bättre med det rådgivande arbetet och öka synligheten och genomslaget. Parlamentet noterar att kommittén under 2024 anordnade, stod värd för eller stödde 33 lokala EU-dialoger, 53 sessioner under Europeiska veckan för regioner och städer och 47 evenemang. Parlamentet noterar särskilt det tionde europeiska toppmötet för regioner och städer för att forma agendan för unionens framtid, med mer än 7 000 deltagare. – Europeiska veckan för regioner och städer för att diskutera sammanhållningsfonderna i nästa fleråriga budgetram, med mer än 2 500 deltagare. – Den elfte subsidiaritetskonferensen om bättre lagstiftning och subsidiaritet inom ramen för nästa fleråriga budgetram. – Programmet för unga folkvalda politiker (YEP) 2024, med mer än 150 deltagare från alla medlemsstater och åtta kandidatländer. – Den 15:e upplagan av den europeiska konferensen om offentlig kommunikation (</w:t>
      </w:r>
      <w:proofErr w:type="spellStart"/>
      <w:r w:rsidRPr="00242D2D">
        <w:t>EuroPCom</w:t>
      </w:r>
      <w:proofErr w:type="spellEnd"/>
      <w:r w:rsidRPr="00242D2D">
        <w:t>) för att möta AI och nya trender inom offentlig kommunikation, med 3 200 deltagare och tittare från 55 länder. Parlamentet noterar att kommittén också främjade sitt arbete och sina synpunkter 74 gånger vid möten eller evenemang som involverade andra EU-institutioner.</w:t>
      </w:r>
    </w:p>
    <w:p w14:paraId="08DD407A" w14:textId="77777777" w:rsidR="00621B78" w:rsidRPr="00242D2D" w:rsidRDefault="00621B78" w:rsidP="00621B78">
      <w:pPr>
        <w:pStyle w:val="NormalHanging12a"/>
        <w:rPr>
          <w:b/>
          <w:bCs/>
          <w:i/>
          <w:iCs/>
          <w:szCs w:val="24"/>
        </w:rPr>
      </w:pPr>
      <w:r w:rsidRPr="00242D2D">
        <w:t>66.</w:t>
      </w:r>
      <w:r w:rsidRPr="00242D2D">
        <w:tab/>
        <w:t xml:space="preserve">Europaparlamentet lovordar kommittén för dess åtgärder för att förbättra tillgängligheten till och det historiska bevarandet av sin information genom att – göra alla sina dokument och publikationer tillgängliga på en enda centraliserad plats via Publikationsbyråns </w:t>
      </w:r>
      <w:proofErr w:type="spellStart"/>
      <w:r w:rsidRPr="00242D2D">
        <w:t>widgetar</w:t>
      </w:r>
      <w:proofErr w:type="spellEnd"/>
      <w:r w:rsidRPr="00242D2D">
        <w:t xml:space="preserve"> som infördes på kommitténs externa webbplats 2024, – införa den AI-drivna plattformen </w:t>
      </w:r>
      <w:proofErr w:type="spellStart"/>
      <w:r w:rsidRPr="00242D2D">
        <w:t>Panoramic</w:t>
      </w:r>
      <w:proofErr w:type="spellEnd"/>
      <w:r w:rsidRPr="00242D2D">
        <w:t>-AI som erbjöd förbättrad användarvänlig tillgång till institutionellt innehåll (relevanta dokument, presentationer, diskussioner) under 2024, – migrera kommitténs fullständiga arkiv med externa pressmeddelanden och nyheter till nyhetsrummet vid generaldirektoratet för kommunikationsnät, innehåll och teknik, – för första gången överföra kommitténs historiska arkiv till unionens historiska arkiv i Florens.</w:t>
      </w:r>
    </w:p>
    <w:p w14:paraId="2AFF2E16" w14:textId="77777777" w:rsidR="00621B78" w:rsidRPr="00242D2D" w:rsidRDefault="00621B78" w:rsidP="00621B78">
      <w:pPr>
        <w:pStyle w:val="NormalHanging12a"/>
      </w:pPr>
      <w:r w:rsidRPr="00242D2D">
        <w:t>67.</w:t>
      </w:r>
      <w:r w:rsidRPr="00242D2D">
        <w:tab/>
        <w:t>Europaparlamentet noterar från genomslagsrapporten och årsrapporten kommitténs bidrag till parlamentets kommunikationskampanj inför valet till Europaparlamentet 2024, genom att engagera ett nätverk med 750 unga folkvalda politiker, marknadsföra parlamentets material, producera röstvideor med kommitténs ledamöter, ägna en webbsida på kommitténs webbplats åt detta och producera annat visuellt innehåll som marknadsförs på sociala medier och som nådde nästan 5 miljoner konton. Parlamentet välkomnar dessa insatser för att engagera en bred och mångfacetterad publik i hela unionen och öka medvetenheten om valet till Europaparlamentet 2024. Parlamentet understryker att ett sådant interinstitutionellt samarbete om unionens politik, särskilt om parlamentets arbete, är avgörande för att nå ut till medborgarna i EU:s alla regioner, stärka det demokratiska deltagandet och höja unionens demokratiska legitimitet.</w:t>
      </w:r>
    </w:p>
    <w:p w14:paraId="1A97CA73" w14:textId="77777777" w:rsidR="00621B78" w:rsidRPr="00242D2D" w:rsidRDefault="00621B78" w:rsidP="00621B78">
      <w:pPr>
        <w:pStyle w:val="NormalHanging12a"/>
      </w:pPr>
      <w:r w:rsidRPr="00242D2D">
        <w:t>68.</w:t>
      </w:r>
      <w:r w:rsidRPr="00242D2D">
        <w:tab/>
        <w:t>Europaparlamentet noterar från årsrapporten kommitténs framgångar när det gäller att nå ut till medierna, vilket framgår av de övergripande måtten för 2024, såsom 28 % ökning av webbesökare, 11,60 % ökning av följare och 16 % ökning av organiskt digitalt engagemang.</w:t>
      </w:r>
    </w:p>
    <w:p w14:paraId="4C3E6A0E" w14:textId="77777777" w:rsidR="00621B78" w:rsidRPr="00242D2D" w:rsidRDefault="00621B78" w:rsidP="00621B78">
      <w:pPr>
        <w:pStyle w:val="NormalHanging12a"/>
      </w:pPr>
      <w:r w:rsidRPr="00242D2D">
        <w:t>69.</w:t>
      </w:r>
      <w:r w:rsidRPr="00242D2D">
        <w:tab/>
        <w:t xml:space="preserve">Europaparlamentet noterar att kommittén inte deltog i evenemanget ”Roma </w:t>
      </w:r>
      <w:proofErr w:type="spellStart"/>
      <w:r w:rsidRPr="00242D2D">
        <w:t>Week</w:t>
      </w:r>
      <w:proofErr w:type="spellEnd"/>
      <w:r w:rsidRPr="00242D2D">
        <w:t xml:space="preserve">” </w:t>
      </w:r>
      <w:r w:rsidRPr="00242D2D">
        <w:lastRenderedPageBreak/>
        <w:t>2024.</w:t>
      </w:r>
    </w:p>
    <w:p w14:paraId="1177717B" w14:textId="4D34495F" w:rsidR="00D560D6" w:rsidRPr="00242D2D" w:rsidRDefault="00621B78" w:rsidP="00D560D6">
      <w:pPr>
        <w:pStyle w:val="NormalHanging12a"/>
      </w:pPr>
      <w:r w:rsidRPr="00242D2D">
        <w:t>70.</w:t>
      </w:r>
      <w:r w:rsidRPr="00242D2D">
        <w:tab/>
        <w:t>Europaparlamentet betonar att kommittén i hela sin kommunikationsstrategi strävar efter att stärka sin institutionella synlighet och politiska ställning som representativt organ för unionens regioner, städer och kommuner, och att visa upp ledamöternas roll när det gäller att koppla samman unionens politik med medborgarna på lokal och regional nivå.</w:t>
      </w:r>
    </w:p>
    <w:p w14:paraId="67C784B0" w14:textId="6A6A05C4" w:rsidR="00E365E1" w:rsidRPr="00242D2D" w:rsidRDefault="00E365E1" w:rsidP="00577C49"/>
    <w:sectPr w:rsidR="00E365E1" w:rsidRPr="00242D2D" w:rsidSect="00D560D6">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57EC5" w14:textId="77777777" w:rsidR="00577C49" w:rsidRPr="00D560D6" w:rsidRDefault="00577C49">
      <w:r w:rsidRPr="00D560D6">
        <w:separator/>
      </w:r>
    </w:p>
  </w:endnote>
  <w:endnote w:type="continuationSeparator" w:id="0">
    <w:p w14:paraId="0EC6EF38" w14:textId="77777777" w:rsidR="00577C49" w:rsidRPr="00D560D6" w:rsidRDefault="00577C49">
      <w:r w:rsidRPr="00D560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86C5A" w14:textId="77777777" w:rsidR="00621B78" w:rsidRPr="00D560D6" w:rsidRDefault="00621B78" w:rsidP="005471D7">
    <w:pPr>
      <w:pStyle w:val="EPFooter"/>
    </w:pPr>
    <w:r w:rsidRPr="00D560D6">
      <w:t>PE</w:t>
    </w:r>
    <w:r w:rsidRPr="00D560D6">
      <w:rPr>
        <w:rStyle w:val="HideTWBExt"/>
      </w:rPr>
      <w:t>&lt;</w:t>
    </w:r>
    <w:proofErr w:type="spellStart"/>
    <w:r w:rsidRPr="00D560D6">
      <w:rPr>
        <w:rStyle w:val="HideTWBExt"/>
      </w:rPr>
      <w:t>NoPE</w:t>
    </w:r>
    <w:proofErr w:type="spellEnd"/>
    <w:r w:rsidRPr="00D560D6">
      <w:rPr>
        <w:rStyle w:val="HideTWBExt"/>
      </w:rPr>
      <w:t>&gt;</w:t>
    </w:r>
    <w:r w:rsidRPr="00D560D6">
      <w:t>778.064</w:t>
    </w:r>
    <w:r w:rsidRPr="00D560D6">
      <w:rPr>
        <w:rStyle w:val="HideTWBExt"/>
      </w:rPr>
      <w:t>&lt;/</w:t>
    </w:r>
    <w:proofErr w:type="spellStart"/>
    <w:r w:rsidRPr="00D560D6">
      <w:rPr>
        <w:rStyle w:val="HideTWBExt"/>
      </w:rPr>
      <w:t>NoPE</w:t>
    </w:r>
    <w:proofErr w:type="spellEnd"/>
    <w:r w:rsidRPr="00D560D6">
      <w:rPr>
        <w:rStyle w:val="HideTWBExt"/>
      </w:rPr>
      <w:t>&gt;&lt;Version&gt;</w:t>
    </w:r>
    <w:r w:rsidRPr="00D560D6">
      <w:t>v02-00</w:t>
    </w:r>
    <w:r w:rsidRPr="00D560D6">
      <w:rPr>
        <w:rStyle w:val="HideTWBExt"/>
      </w:rPr>
      <w:t>&lt;/Version&gt;</w:t>
    </w:r>
    <w:r w:rsidRPr="00D560D6">
      <w:tab/>
    </w:r>
    <w:r w:rsidRPr="00D560D6">
      <w:fldChar w:fldCharType="begin"/>
    </w:r>
    <w:r w:rsidRPr="00D560D6">
      <w:instrText xml:space="preserve"> PAGE  \* MERGEFORMAT </w:instrText>
    </w:r>
    <w:r w:rsidRPr="00D560D6">
      <w:fldChar w:fldCharType="separate"/>
    </w:r>
    <w:r w:rsidRPr="00D560D6">
      <w:rPr>
        <w:noProof/>
      </w:rPr>
      <w:t>1</w:t>
    </w:r>
    <w:r w:rsidRPr="00D560D6">
      <w:fldChar w:fldCharType="end"/>
    </w:r>
    <w:r w:rsidRPr="00D560D6">
      <w:t>/</w:t>
    </w:r>
    <w:fldSimple w:instr=" NUMPAGES  \* MERGEFORMAT ">
      <w:r w:rsidRPr="00D560D6">
        <w:rPr>
          <w:noProof/>
        </w:rPr>
        <w:t>2</w:t>
      </w:r>
    </w:fldSimple>
    <w:r w:rsidRPr="00D560D6">
      <w:tab/>
    </w:r>
    <w:r w:rsidRPr="00D560D6">
      <w:rPr>
        <w:rStyle w:val="HideTWBExt"/>
      </w:rPr>
      <w:t>&lt;PathFdR&gt;</w:t>
    </w:r>
    <w:r w:rsidRPr="00D560D6">
      <w:t>RR\1339441SV.docx</w:t>
    </w:r>
    <w:r w:rsidRPr="00D560D6">
      <w:rPr>
        <w:rStyle w:val="HideTWBExt"/>
      </w:rPr>
      <w:t>&lt;/</w:t>
    </w:r>
    <w:proofErr w:type="spellStart"/>
    <w:r w:rsidRPr="00D560D6">
      <w:rPr>
        <w:rStyle w:val="HideTWBExt"/>
      </w:rPr>
      <w:t>PathFdR</w:t>
    </w:r>
    <w:proofErr w:type="spellEnd"/>
    <w:r w:rsidRPr="00D560D6">
      <w:rPr>
        <w:rStyle w:val="HideTWBExt"/>
      </w:rPr>
      <w:t>&gt;</w:t>
    </w:r>
  </w:p>
  <w:p w14:paraId="2FF1A857" w14:textId="77777777" w:rsidR="00621B78" w:rsidRPr="00D560D6" w:rsidRDefault="00621B78" w:rsidP="005471D7">
    <w:pPr>
      <w:pStyle w:val="EPFooter2"/>
    </w:pPr>
    <w:r w:rsidRPr="00D560D6">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1F10" w14:textId="4D986798" w:rsidR="00621B78" w:rsidRPr="00D560D6" w:rsidRDefault="00621B78" w:rsidP="005471D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76A72" w14:textId="77777777" w:rsidR="00621B78" w:rsidRPr="00D560D6" w:rsidRDefault="00621B78" w:rsidP="005471D7">
    <w:pPr>
      <w:pStyle w:val="EPFooter"/>
    </w:pPr>
    <w:r w:rsidRPr="00D560D6">
      <w:rPr>
        <w:rStyle w:val="HideTWBExt"/>
      </w:rPr>
      <w:t>&lt;PathFdR&gt;</w:t>
    </w:r>
    <w:r w:rsidRPr="00D560D6">
      <w:t>RR\1339441SV.docx</w:t>
    </w:r>
    <w:r w:rsidRPr="00D560D6">
      <w:rPr>
        <w:rStyle w:val="HideTWBExt"/>
      </w:rPr>
      <w:t>&lt;/</w:t>
    </w:r>
    <w:proofErr w:type="spellStart"/>
    <w:r w:rsidRPr="00D560D6">
      <w:rPr>
        <w:rStyle w:val="HideTWBExt"/>
      </w:rPr>
      <w:t>PathFdR</w:t>
    </w:r>
    <w:proofErr w:type="spellEnd"/>
    <w:r w:rsidRPr="00D560D6">
      <w:rPr>
        <w:rStyle w:val="HideTWBExt"/>
      </w:rPr>
      <w:t>&gt;</w:t>
    </w:r>
    <w:r w:rsidRPr="00D560D6">
      <w:tab/>
    </w:r>
    <w:r w:rsidRPr="00D560D6">
      <w:tab/>
      <w:t>PE</w:t>
    </w:r>
    <w:r w:rsidRPr="00D560D6">
      <w:rPr>
        <w:rStyle w:val="HideTWBExt"/>
      </w:rPr>
      <w:t>&lt;</w:t>
    </w:r>
    <w:proofErr w:type="spellStart"/>
    <w:r w:rsidRPr="00D560D6">
      <w:rPr>
        <w:rStyle w:val="HideTWBExt"/>
      </w:rPr>
      <w:t>NoPE</w:t>
    </w:r>
    <w:proofErr w:type="spellEnd"/>
    <w:r w:rsidRPr="00D560D6">
      <w:rPr>
        <w:rStyle w:val="HideTWBExt"/>
      </w:rPr>
      <w:t>&gt;</w:t>
    </w:r>
    <w:r w:rsidRPr="00D560D6">
      <w:t>778.064</w:t>
    </w:r>
    <w:r w:rsidRPr="00D560D6">
      <w:rPr>
        <w:rStyle w:val="HideTWBExt"/>
      </w:rPr>
      <w:t>&lt;/</w:t>
    </w:r>
    <w:proofErr w:type="spellStart"/>
    <w:r w:rsidRPr="00D560D6">
      <w:rPr>
        <w:rStyle w:val="HideTWBExt"/>
      </w:rPr>
      <w:t>NoPE</w:t>
    </w:r>
    <w:proofErr w:type="spellEnd"/>
    <w:r w:rsidRPr="00D560D6">
      <w:rPr>
        <w:rStyle w:val="HideTWBExt"/>
      </w:rPr>
      <w:t>&gt;&lt;Version&gt;</w:t>
    </w:r>
    <w:r w:rsidRPr="00D560D6">
      <w:t>v02-00</w:t>
    </w:r>
    <w:r w:rsidRPr="00D560D6">
      <w:rPr>
        <w:rStyle w:val="HideTWBExt"/>
      </w:rPr>
      <w:t>&lt;/Version&gt;</w:t>
    </w:r>
  </w:p>
  <w:p w14:paraId="273B7F7E" w14:textId="77777777" w:rsidR="00621B78" w:rsidRPr="00D560D6" w:rsidRDefault="00621B78" w:rsidP="005471D7">
    <w:pPr>
      <w:pStyle w:val="EPFooter2"/>
    </w:pPr>
    <w:r w:rsidRPr="00D560D6">
      <w:t>SV</w:t>
    </w:r>
    <w:r w:rsidRPr="00D560D6">
      <w:tab/>
    </w:r>
    <w:r w:rsidRPr="00D560D6">
      <w:rPr>
        <w:b w:val="0"/>
        <w:i/>
        <w:color w:val="C0C0C0"/>
        <w:sz w:val="22"/>
      </w:rPr>
      <w:t>Förenade i mångfalden</w:t>
    </w:r>
    <w:r w:rsidRPr="00D560D6">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9D9D" w14:textId="77777777" w:rsidR="00064002" w:rsidRPr="00D560D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7CC71" w14:textId="77777777" w:rsidR="00064002" w:rsidRPr="00D560D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E053" w14:textId="77777777" w:rsidR="00064002" w:rsidRPr="00D560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A7460" w14:textId="77777777" w:rsidR="00577C49" w:rsidRPr="00D560D6" w:rsidRDefault="00577C49">
      <w:r w:rsidRPr="00D560D6">
        <w:separator/>
      </w:r>
    </w:p>
  </w:footnote>
  <w:footnote w:type="continuationSeparator" w:id="0">
    <w:p w14:paraId="5408D68A" w14:textId="77777777" w:rsidR="00577C49" w:rsidRPr="00D560D6" w:rsidRDefault="00577C49">
      <w:r w:rsidRPr="00D560D6">
        <w:continuationSeparator/>
      </w:r>
    </w:p>
  </w:footnote>
  <w:footnote w:id="1">
    <w:p w14:paraId="647C42E6" w14:textId="5AC6FABE" w:rsidR="00621B78" w:rsidRPr="00151431" w:rsidRDefault="00621B78" w:rsidP="00D560D6">
      <w:pPr>
        <w:pStyle w:val="FootnoteText"/>
        <w:ind w:left="567" w:hanging="567"/>
        <w:rPr>
          <w:sz w:val="24"/>
          <w:lang w:val="fi-FI"/>
        </w:rPr>
      </w:pPr>
      <w:r w:rsidRPr="00D560D6">
        <w:rPr>
          <w:rStyle w:val="FootnoteReference"/>
          <w:sz w:val="24"/>
          <w:lang w:val="sv-SE"/>
        </w:rPr>
        <w:footnoteRef/>
      </w:r>
      <w:r w:rsidR="00D560D6" w:rsidRPr="00151431">
        <w:rPr>
          <w:sz w:val="24"/>
          <w:lang w:val="fi-FI"/>
        </w:rPr>
        <w:t xml:space="preserve"> </w:t>
      </w:r>
      <w:r w:rsidR="00D560D6" w:rsidRPr="00151431">
        <w:rPr>
          <w:sz w:val="24"/>
          <w:lang w:val="fi-FI"/>
        </w:rPr>
        <w:tab/>
      </w:r>
      <w:r w:rsidRPr="00151431">
        <w:rPr>
          <w:sz w:val="24"/>
          <w:lang w:val="fi-FI"/>
        </w:rPr>
        <w:t>EUT L</w:t>
      </w:r>
      <w:r w:rsidR="003F4169" w:rsidRPr="00151431">
        <w:rPr>
          <w:sz w:val="24"/>
          <w:lang w:val="fi-FI"/>
        </w:rPr>
        <w:t>, 2024/</w:t>
      </w:r>
      <w:r w:rsidRPr="00151431">
        <w:rPr>
          <w:sz w:val="24"/>
          <w:lang w:val="fi-FI"/>
        </w:rPr>
        <w:t xml:space="preserve">207, 22.2.2024, ELI: </w:t>
      </w:r>
      <w:hyperlink r:id="rId1" w:history="1">
        <w:r w:rsidRPr="00151431">
          <w:rPr>
            <w:rStyle w:val="Hyperlink"/>
            <w:sz w:val="24"/>
            <w:lang w:val="fi-FI"/>
          </w:rPr>
          <w:t>http://data.europa.eu/eli/budget/2024/207/oj</w:t>
        </w:r>
      </w:hyperlink>
      <w:r w:rsidRPr="00151431">
        <w:rPr>
          <w:sz w:val="24"/>
          <w:lang w:val="fi-FI"/>
        </w:rPr>
        <w:t>.</w:t>
      </w:r>
    </w:p>
  </w:footnote>
  <w:footnote w:id="2">
    <w:p w14:paraId="0E1F6C37" w14:textId="4336317A" w:rsidR="00621B78" w:rsidRPr="00151431" w:rsidRDefault="00621B78" w:rsidP="00D560D6">
      <w:pPr>
        <w:pStyle w:val="FootnoteText"/>
        <w:ind w:left="567" w:hanging="567"/>
        <w:rPr>
          <w:sz w:val="24"/>
          <w:lang w:val="fr-BE"/>
        </w:rPr>
      </w:pPr>
      <w:r w:rsidRPr="00D560D6">
        <w:rPr>
          <w:rStyle w:val="FootnoteReference"/>
          <w:sz w:val="24"/>
          <w:lang w:val="sv-SE"/>
        </w:rPr>
        <w:footnoteRef/>
      </w:r>
      <w:r w:rsidR="00D560D6" w:rsidRPr="00151431">
        <w:rPr>
          <w:sz w:val="24"/>
          <w:lang w:val="fr-BE"/>
        </w:rPr>
        <w:t xml:space="preserve"> </w:t>
      </w:r>
      <w:r w:rsidR="00D560D6" w:rsidRPr="00151431">
        <w:rPr>
          <w:sz w:val="24"/>
          <w:lang w:val="fr-BE"/>
        </w:rPr>
        <w:tab/>
      </w:r>
      <w:r w:rsidRPr="00151431">
        <w:rPr>
          <w:sz w:val="24"/>
          <w:lang w:val="fr-BE"/>
        </w:rPr>
        <w:t>EUT C, C/2025/4944, 13.10.2025, ELI: </w:t>
      </w:r>
      <w:hyperlink r:id="rId2" w:tgtFrame="_blank" w:tooltip="Ger tillgång till detta dokument via dess ELI URI." w:history="1">
        <w:r w:rsidRPr="00151431">
          <w:rPr>
            <w:rStyle w:val="Hyperlink"/>
            <w:sz w:val="24"/>
            <w:lang w:val="fr-BE"/>
          </w:rPr>
          <w:t>http://data.europa.eu/eli/C/2025/4944/oj</w:t>
        </w:r>
      </w:hyperlink>
      <w:r w:rsidRPr="00151431">
        <w:rPr>
          <w:sz w:val="24"/>
          <w:lang w:val="fr-BE"/>
        </w:rPr>
        <w:t>.</w:t>
      </w:r>
    </w:p>
  </w:footnote>
  <w:footnote w:id="3">
    <w:p w14:paraId="66873AB7" w14:textId="6D77EEEC" w:rsidR="00621B78" w:rsidRPr="00151431" w:rsidRDefault="00621B78" w:rsidP="00D560D6">
      <w:pPr>
        <w:pStyle w:val="FootnoteText"/>
        <w:ind w:left="567" w:hanging="567"/>
        <w:rPr>
          <w:sz w:val="24"/>
          <w:lang w:val="fi-FI"/>
        </w:rPr>
      </w:pPr>
      <w:r w:rsidRPr="00D560D6">
        <w:rPr>
          <w:rStyle w:val="FootnoteReference"/>
          <w:sz w:val="24"/>
          <w:lang w:val="sv-SE"/>
        </w:rPr>
        <w:footnoteRef/>
      </w:r>
      <w:r w:rsidR="00D560D6" w:rsidRPr="00151431">
        <w:rPr>
          <w:sz w:val="24"/>
          <w:lang w:val="fi-FI"/>
        </w:rPr>
        <w:t xml:space="preserve"> </w:t>
      </w:r>
      <w:r w:rsidR="00D560D6" w:rsidRPr="00151431">
        <w:rPr>
          <w:sz w:val="24"/>
          <w:lang w:val="fi-FI"/>
        </w:rPr>
        <w:tab/>
      </w:r>
      <w:r w:rsidRPr="00151431">
        <w:rPr>
          <w:sz w:val="24"/>
          <w:lang w:val="fi-FI"/>
        </w:rPr>
        <w:t xml:space="preserve">EUT C, C/2025/5409, 8.10.2025, ELI: </w:t>
      </w:r>
      <w:hyperlink r:id="rId3" w:history="1">
        <w:r w:rsidRPr="00151431">
          <w:rPr>
            <w:rStyle w:val="Hyperlink"/>
            <w:sz w:val="24"/>
            <w:lang w:val="fi-FI"/>
          </w:rPr>
          <w:t>http://data.europa.eu/eli/C/2025/5409/oj</w:t>
        </w:r>
      </w:hyperlink>
      <w:r w:rsidRPr="00151431">
        <w:rPr>
          <w:sz w:val="24"/>
          <w:lang w:val="fi-FI"/>
        </w:rPr>
        <w:t>.</w:t>
      </w:r>
    </w:p>
  </w:footnote>
  <w:footnote w:id="4">
    <w:p w14:paraId="6CE47C48" w14:textId="38A1793F" w:rsidR="00621B78" w:rsidRPr="00151431" w:rsidRDefault="00621B78" w:rsidP="00D560D6">
      <w:pPr>
        <w:pStyle w:val="FootnoteText"/>
        <w:ind w:left="567" w:hanging="567"/>
        <w:rPr>
          <w:sz w:val="24"/>
          <w:lang w:val="fi-FI"/>
        </w:rPr>
      </w:pPr>
      <w:r w:rsidRPr="00D560D6">
        <w:rPr>
          <w:rStyle w:val="FootnoteReference"/>
          <w:sz w:val="24"/>
          <w:lang w:val="sv-SE"/>
        </w:rPr>
        <w:footnoteRef/>
      </w:r>
      <w:r w:rsidR="00D560D6" w:rsidRPr="00151431">
        <w:rPr>
          <w:sz w:val="24"/>
          <w:lang w:val="fi-FI"/>
        </w:rPr>
        <w:t xml:space="preserve"> </w:t>
      </w:r>
      <w:r w:rsidR="00D560D6" w:rsidRPr="00151431">
        <w:rPr>
          <w:sz w:val="24"/>
          <w:lang w:val="fi-FI"/>
        </w:rPr>
        <w:tab/>
      </w:r>
      <w:r w:rsidRPr="00151431">
        <w:rPr>
          <w:sz w:val="24"/>
          <w:lang w:val="fi-FI"/>
        </w:rPr>
        <w:t xml:space="preserve">EUT C, C/2025/5407, 13.10.2025, ELI: </w:t>
      </w:r>
      <w:hyperlink r:id="rId4" w:history="1">
        <w:r w:rsidRPr="00151431">
          <w:rPr>
            <w:rStyle w:val="Hyperlink"/>
            <w:sz w:val="24"/>
            <w:lang w:val="fi-FI"/>
          </w:rPr>
          <w:t>http://data.europa.eu/eli/C/2025/5407/oj</w:t>
        </w:r>
      </w:hyperlink>
      <w:r w:rsidRPr="00151431">
        <w:rPr>
          <w:sz w:val="24"/>
          <w:lang w:val="fi-FI"/>
        </w:rPr>
        <w:t xml:space="preserve">. </w:t>
      </w:r>
    </w:p>
  </w:footnote>
  <w:footnote w:id="5">
    <w:p w14:paraId="1480D563" w14:textId="34CDBA95" w:rsidR="00621B78" w:rsidRPr="00151431" w:rsidRDefault="00621B78" w:rsidP="00D560D6">
      <w:pPr>
        <w:pStyle w:val="FootnoteText"/>
        <w:ind w:left="567" w:hanging="567"/>
        <w:rPr>
          <w:sz w:val="24"/>
          <w:lang w:val="fi-FI"/>
        </w:rPr>
      </w:pPr>
      <w:r w:rsidRPr="00D560D6">
        <w:rPr>
          <w:rStyle w:val="FootnoteReference"/>
          <w:sz w:val="24"/>
          <w:lang w:val="sv-SE"/>
        </w:rPr>
        <w:footnoteRef/>
      </w:r>
      <w:r w:rsidR="00D560D6" w:rsidRPr="00151431">
        <w:rPr>
          <w:sz w:val="24"/>
          <w:lang w:val="fi-FI"/>
        </w:rPr>
        <w:t xml:space="preserve"> </w:t>
      </w:r>
      <w:r w:rsidR="00D560D6" w:rsidRPr="00151431">
        <w:rPr>
          <w:sz w:val="24"/>
          <w:lang w:val="fi-FI"/>
        </w:rPr>
        <w:tab/>
      </w:r>
      <w:r w:rsidRPr="00151431">
        <w:rPr>
          <w:sz w:val="24"/>
          <w:lang w:val="fi-FI"/>
        </w:rPr>
        <w:t xml:space="preserve">EUT L 193, 30.7.2018, s. 1, ELI: </w:t>
      </w:r>
      <w:hyperlink r:id="rId5" w:history="1">
        <w:r w:rsidRPr="00151431">
          <w:rPr>
            <w:rStyle w:val="Hyperlink"/>
            <w:sz w:val="24"/>
            <w:lang w:val="fi-FI"/>
          </w:rPr>
          <w:t>http://data.europa.eu/eli/reg/2018/1046/oj</w:t>
        </w:r>
      </w:hyperlink>
      <w:r w:rsidRPr="00151431">
        <w:rPr>
          <w:sz w:val="24"/>
          <w:lang w:val="fi-FI"/>
        </w:rPr>
        <w:t>.</w:t>
      </w:r>
    </w:p>
  </w:footnote>
  <w:footnote w:id="6">
    <w:p w14:paraId="2D86FAED" w14:textId="4933704C" w:rsidR="00621B78" w:rsidRPr="00151431" w:rsidRDefault="00621B78" w:rsidP="00D560D6">
      <w:pPr>
        <w:pStyle w:val="FootnoteText"/>
        <w:ind w:left="567" w:hanging="567"/>
        <w:rPr>
          <w:sz w:val="24"/>
          <w:lang w:val="fi-FI"/>
        </w:rPr>
      </w:pPr>
      <w:r w:rsidRPr="00D560D6">
        <w:rPr>
          <w:rStyle w:val="FootnoteReference"/>
          <w:sz w:val="24"/>
          <w:lang w:val="sv-SE"/>
        </w:rPr>
        <w:footnoteRef/>
      </w:r>
      <w:r w:rsidR="00D560D6" w:rsidRPr="00151431">
        <w:rPr>
          <w:sz w:val="24"/>
          <w:lang w:val="fi-FI"/>
        </w:rPr>
        <w:t xml:space="preserve"> </w:t>
      </w:r>
      <w:r w:rsidR="00D560D6" w:rsidRPr="00151431">
        <w:rPr>
          <w:sz w:val="24"/>
          <w:lang w:val="fi-FI"/>
        </w:rPr>
        <w:tab/>
      </w:r>
      <w:r w:rsidRPr="00151431">
        <w:rPr>
          <w:sz w:val="24"/>
          <w:lang w:val="fi-FI"/>
        </w:rPr>
        <w:t xml:space="preserve">EUT L, 2024/2509, 26.9.2024, ELI: </w:t>
      </w:r>
      <w:hyperlink r:id="rId6" w:history="1">
        <w:r w:rsidRPr="00151431">
          <w:rPr>
            <w:rStyle w:val="Hyperlink"/>
            <w:sz w:val="24"/>
            <w:lang w:val="fi-FI"/>
          </w:rPr>
          <w:t>http://data.europa.eu/eli/reg/2024/2509/oj</w:t>
        </w:r>
      </w:hyperlink>
      <w:r w:rsidRPr="00151431">
        <w:rPr>
          <w:sz w:val="24"/>
          <w:lang w:val="fi-FI"/>
        </w:rPr>
        <w:t>.</w:t>
      </w:r>
    </w:p>
  </w:footnote>
  <w:footnote w:id="7">
    <w:p w14:paraId="2E552646" w14:textId="0FCDBDCA" w:rsidR="00621B78" w:rsidRPr="00D560D6" w:rsidRDefault="00621B78" w:rsidP="00D560D6">
      <w:pPr>
        <w:pStyle w:val="FootnoteText"/>
        <w:ind w:left="567" w:hanging="567"/>
        <w:rPr>
          <w:sz w:val="24"/>
          <w:lang w:val="sv-SE"/>
        </w:rPr>
      </w:pPr>
      <w:r w:rsidRPr="00D560D6">
        <w:rPr>
          <w:rStyle w:val="FootnoteReference"/>
          <w:sz w:val="24"/>
          <w:lang w:val="sv-SE"/>
        </w:rPr>
        <w:footnoteRef/>
      </w:r>
      <w:r w:rsidR="00D560D6" w:rsidRPr="00D560D6">
        <w:rPr>
          <w:sz w:val="24"/>
          <w:lang w:val="sv-SE"/>
        </w:rPr>
        <w:t xml:space="preserve"> </w:t>
      </w:r>
      <w:r w:rsidR="00D560D6" w:rsidRPr="00D560D6">
        <w:rPr>
          <w:sz w:val="24"/>
          <w:lang w:val="sv-SE"/>
        </w:rPr>
        <w:tab/>
      </w:r>
      <w:r w:rsidRPr="00D560D6">
        <w:rPr>
          <w:sz w:val="24"/>
          <w:lang w:val="sv-SE"/>
        </w:rPr>
        <w:t>Resolution från Europeiska regionkommittén – Europeiska regionkommitténs prioriteringar för 2020−2025 – EU närmare medborgarna genom sina byar, städer och regioner (EUT C 324, 1.10.2020, s. 8).</w:t>
      </w:r>
    </w:p>
  </w:footnote>
  <w:footnote w:id="8">
    <w:p w14:paraId="7DB0046A" w14:textId="3B7AD704" w:rsidR="00621B78" w:rsidRPr="00D560D6" w:rsidRDefault="00621B78" w:rsidP="00D560D6">
      <w:pPr>
        <w:pStyle w:val="FootnoteText"/>
        <w:ind w:left="567" w:hanging="567"/>
        <w:rPr>
          <w:sz w:val="24"/>
          <w:lang w:val="sv-SE"/>
        </w:rPr>
      </w:pPr>
      <w:r w:rsidRPr="00D560D6">
        <w:rPr>
          <w:rStyle w:val="FootnoteReference"/>
          <w:sz w:val="24"/>
          <w:lang w:val="sv-SE"/>
        </w:rPr>
        <w:footnoteRef/>
      </w:r>
      <w:r w:rsidR="00D560D6" w:rsidRPr="00D560D6">
        <w:rPr>
          <w:sz w:val="24"/>
          <w:lang w:val="sv-SE"/>
        </w:rPr>
        <w:t xml:space="preserve"> </w:t>
      </w:r>
      <w:r w:rsidR="00D560D6" w:rsidRPr="00D560D6">
        <w:rPr>
          <w:sz w:val="24"/>
          <w:lang w:val="sv-SE"/>
        </w:rPr>
        <w:tab/>
      </w:r>
      <w:r w:rsidRPr="00D560D6">
        <w:rPr>
          <w:sz w:val="24"/>
          <w:lang w:val="sv-SE"/>
        </w:rPr>
        <w:t>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 (EUT L 231, 30.6.2021, s. 159, ELI: </w:t>
      </w:r>
      <w:hyperlink r:id="rId7" w:tooltip="Ger tillgång till detta dokument via dess ELI URI." w:history="1">
        <w:r w:rsidRPr="00D560D6">
          <w:rPr>
            <w:rStyle w:val="Hyperlink"/>
            <w:sz w:val="24"/>
            <w:lang w:val="sv-SE"/>
          </w:rPr>
          <w:t>http://data.europa.eu/</w:t>
        </w:r>
        <w:proofErr w:type="spellStart"/>
        <w:r w:rsidRPr="00D560D6">
          <w:rPr>
            <w:rStyle w:val="Hyperlink"/>
            <w:sz w:val="24"/>
            <w:lang w:val="sv-SE"/>
          </w:rPr>
          <w:t>eli</w:t>
        </w:r>
        <w:proofErr w:type="spellEnd"/>
        <w:r w:rsidRPr="00D560D6">
          <w:rPr>
            <w:rStyle w:val="Hyperlink"/>
            <w:sz w:val="24"/>
            <w:lang w:val="sv-SE"/>
          </w:rPr>
          <w:t>/</w:t>
        </w:r>
        <w:proofErr w:type="spellStart"/>
        <w:r w:rsidRPr="00D560D6">
          <w:rPr>
            <w:rStyle w:val="Hyperlink"/>
            <w:sz w:val="24"/>
            <w:lang w:val="sv-SE"/>
          </w:rPr>
          <w:t>reg</w:t>
        </w:r>
        <w:proofErr w:type="spellEnd"/>
        <w:r w:rsidRPr="00D560D6">
          <w:rPr>
            <w:rStyle w:val="Hyperlink"/>
            <w:sz w:val="24"/>
            <w:lang w:val="sv-SE"/>
          </w:rPr>
          <w:t>/2021/1060/oj</w:t>
        </w:r>
      </w:hyperlink>
      <w:r w:rsidRPr="00D560D6">
        <w:rPr>
          <w:sz w:val="24"/>
          <w:lang w:val="sv-SE"/>
        </w:rPr>
        <w:t>).</w:t>
      </w:r>
    </w:p>
  </w:footnote>
  <w:footnote w:id="9">
    <w:p w14:paraId="64A64121" w14:textId="2B13F2D4" w:rsidR="00621B78" w:rsidRPr="00D560D6" w:rsidRDefault="00621B78" w:rsidP="00D560D6">
      <w:pPr>
        <w:pStyle w:val="FootnoteText"/>
        <w:ind w:left="567" w:hanging="567"/>
        <w:rPr>
          <w:sz w:val="24"/>
          <w:szCs w:val="16"/>
          <w:lang w:val="sv-SE"/>
        </w:rPr>
      </w:pPr>
      <w:r w:rsidRPr="00D560D6">
        <w:rPr>
          <w:rStyle w:val="FootnoteReference"/>
          <w:sz w:val="24"/>
          <w:lang w:val="sv-SE"/>
        </w:rPr>
        <w:footnoteRef/>
      </w:r>
      <w:r w:rsidR="00D560D6" w:rsidRPr="00D560D6">
        <w:rPr>
          <w:sz w:val="24"/>
          <w:lang w:val="sv-SE"/>
        </w:rPr>
        <w:t xml:space="preserve"> </w:t>
      </w:r>
      <w:r w:rsidR="00D560D6" w:rsidRPr="00D560D6">
        <w:rPr>
          <w:sz w:val="24"/>
          <w:lang w:val="sv-SE"/>
        </w:rPr>
        <w:tab/>
      </w:r>
      <w:r w:rsidRPr="00D560D6">
        <w:rPr>
          <w:sz w:val="24"/>
          <w:lang w:val="sv-SE"/>
        </w:rPr>
        <w:t xml:space="preserve">Europaparlamentets och rådets förordning (EU) 2021/241 av den 12 februari 2021 om inrättande av faciliteten för återhämtning och </w:t>
      </w:r>
      <w:proofErr w:type="spellStart"/>
      <w:r w:rsidRPr="00D560D6">
        <w:rPr>
          <w:sz w:val="24"/>
          <w:lang w:val="sv-SE"/>
        </w:rPr>
        <w:t>resiliens</w:t>
      </w:r>
      <w:proofErr w:type="spellEnd"/>
      <w:r w:rsidRPr="00D560D6">
        <w:rPr>
          <w:sz w:val="24"/>
          <w:lang w:val="sv-SE"/>
        </w:rPr>
        <w:t xml:space="preserve"> (EUT L 57, 18.2.2021, s. 17 ELI:</w:t>
      </w:r>
      <w:r w:rsidRPr="00D560D6">
        <w:rPr>
          <w:color w:val="333333"/>
          <w:sz w:val="24"/>
          <w:shd w:val="clear" w:color="auto" w:fill="FFFFFF"/>
          <w:lang w:val="sv-SE"/>
        </w:rPr>
        <w:t> </w:t>
      </w:r>
      <w:hyperlink r:id="rId8" w:tooltip="Ger tillgång till detta dokument via dess ELI URI." w:history="1">
        <w:r w:rsidRPr="00D560D6">
          <w:rPr>
            <w:rStyle w:val="Hyperlink"/>
            <w:sz w:val="24"/>
            <w:shd w:val="clear" w:color="auto" w:fill="FFFFFF"/>
            <w:lang w:val="sv-SE"/>
          </w:rPr>
          <w:t>http://data.europa.eu/</w:t>
        </w:r>
        <w:proofErr w:type="spellStart"/>
        <w:r w:rsidRPr="00D560D6">
          <w:rPr>
            <w:rStyle w:val="Hyperlink"/>
            <w:sz w:val="24"/>
            <w:shd w:val="clear" w:color="auto" w:fill="FFFFFF"/>
            <w:lang w:val="sv-SE"/>
          </w:rPr>
          <w:t>eli</w:t>
        </w:r>
        <w:proofErr w:type="spellEnd"/>
        <w:r w:rsidRPr="00D560D6">
          <w:rPr>
            <w:rStyle w:val="Hyperlink"/>
            <w:sz w:val="24"/>
            <w:shd w:val="clear" w:color="auto" w:fill="FFFFFF"/>
            <w:lang w:val="sv-SE"/>
          </w:rPr>
          <w:t>/</w:t>
        </w:r>
        <w:proofErr w:type="spellStart"/>
        <w:r w:rsidRPr="00D560D6">
          <w:rPr>
            <w:rStyle w:val="Hyperlink"/>
            <w:sz w:val="24"/>
            <w:shd w:val="clear" w:color="auto" w:fill="FFFFFF"/>
            <w:lang w:val="sv-SE"/>
          </w:rPr>
          <w:t>reg</w:t>
        </w:r>
        <w:proofErr w:type="spellEnd"/>
        <w:r w:rsidRPr="00D560D6">
          <w:rPr>
            <w:rStyle w:val="Hyperlink"/>
            <w:sz w:val="24"/>
            <w:shd w:val="clear" w:color="auto" w:fill="FFFFFF"/>
            <w:lang w:val="sv-SE"/>
          </w:rPr>
          <w:t>/2021/241/oj</w:t>
        </w:r>
      </w:hyperlink>
      <w:r w:rsidRPr="00D560D6">
        <w:rPr>
          <w:sz w:val="24"/>
          <w:lang w:val="sv-SE"/>
        </w:rPr>
        <w:t>).</w:t>
      </w:r>
    </w:p>
  </w:footnote>
  <w:footnote w:id="10">
    <w:p w14:paraId="591D7B1C" w14:textId="2F0B4634" w:rsidR="00621B78" w:rsidRPr="00D560D6" w:rsidRDefault="00621B78" w:rsidP="00D560D6">
      <w:pPr>
        <w:pStyle w:val="FootnoteText"/>
        <w:ind w:left="567" w:hanging="567"/>
        <w:rPr>
          <w:sz w:val="24"/>
          <w:lang w:val="sv-SE"/>
        </w:rPr>
      </w:pPr>
      <w:r w:rsidRPr="00D560D6">
        <w:rPr>
          <w:rStyle w:val="FootnoteReference"/>
          <w:sz w:val="24"/>
          <w:lang w:val="sv-SE"/>
        </w:rPr>
        <w:footnoteRef/>
      </w:r>
      <w:r w:rsidR="00D560D6" w:rsidRPr="00D560D6">
        <w:rPr>
          <w:sz w:val="24"/>
          <w:lang w:val="sv-SE"/>
        </w:rPr>
        <w:t xml:space="preserve"> </w:t>
      </w:r>
      <w:r w:rsidR="00D560D6" w:rsidRPr="00D560D6">
        <w:rPr>
          <w:sz w:val="24"/>
          <w:lang w:val="sv-SE"/>
        </w:rPr>
        <w:tab/>
      </w:r>
      <w:r w:rsidRPr="00D560D6">
        <w:rPr>
          <w:sz w:val="24"/>
          <w:lang w:val="sv-SE"/>
        </w:rPr>
        <w:t xml:space="preserve">Europaparlamentets och rådets förordning (EU) 2024/1991 av den 24 juni 2024 om restaurering av natur och om ändring av förordning (EU) 2022/869 (EUT L, 2024/1991, 29.7.2024, ELI: </w:t>
      </w:r>
      <w:hyperlink r:id="rId9" w:tooltip="Ger tillgång till detta dokument via dess ELI URI." w:history="1">
        <w:r w:rsidRPr="00D560D6">
          <w:rPr>
            <w:rStyle w:val="Hyperlink"/>
            <w:sz w:val="24"/>
            <w:lang w:val="sv-SE"/>
          </w:rPr>
          <w:t>http://data.europa.eu/eli/reg/2024/1991/oj</w:t>
        </w:r>
      </w:hyperlink>
      <w:r w:rsidRPr="00D560D6">
        <w:rPr>
          <w:sz w:val="24"/>
          <w:lang w:val="sv-SE"/>
        </w:rPr>
        <w:t>).</w:t>
      </w:r>
    </w:p>
  </w:footnote>
  <w:footnote w:id="11">
    <w:p w14:paraId="5B08BF21" w14:textId="7E60236A" w:rsidR="00621B78" w:rsidRPr="00D560D6" w:rsidRDefault="00621B78" w:rsidP="00D560D6">
      <w:pPr>
        <w:pStyle w:val="FootnoteText"/>
        <w:ind w:left="567" w:hanging="567"/>
        <w:rPr>
          <w:sz w:val="24"/>
          <w:lang w:val="sv-SE"/>
        </w:rPr>
      </w:pPr>
      <w:r w:rsidRPr="00D560D6">
        <w:rPr>
          <w:rStyle w:val="FootnoteReference"/>
          <w:sz w:val="24"/>
          <w:lang w:val="sv-SE"/>
        </w:rPr>
        <w:footnoteRef/>
      </w:r>
      <w:r w:rsidR="00D560D6" w:rsidRPr="00D560D6">
        <w:rPr>
          <w:sz w:val="24"/>
          <w:lang w:val="sv-SE"/>
        </w:rPr>
        <w:t xml:space="preserve"> </w:t>
      </w:r>
      <w:r w:rsidR="00D560D6" w:rsidRPr="00D560D6">
        <w:rPr>
          <w:sz w:val="24"/>
          <w:lang w:val="sv-SE"/>
        </w:rPr>
        <w:tab/>
      </w:r>
      <w:r w:rsidRPr="00D560D6">
        <w:rPr>
          <w:sz w:val="24"/>
          <w:lang w:val="sv-SE"/>
        </w:rPr>
        <w:t>Europaparlamentets och rådets förordning (EU) 2025/327 av den 11 februari 2025 om det europeiska hälsodataområdet och om ändring av direktiv 2011/24/EU och förordning (EU) 2024/2847 (EUT L, 2025/327, 5.3.2025, ELI:</w:t>
      </w:r>
      <w:r w:rsidRPr="00D560D6">
        <w:rPr>
          <w:color w:val="333333"/>
          <w:sz w:val="24"/>
          <w:shd w:val="clear" w:color="auto" w:fill="FFFFFF"/>
          <w:lang w:val="sv-SE"/>
        </w:rPr>
        <w:t xml:space="preserve"> </w:t>
      </w:r>
      <w:hyperlink r:id="rId10" w:tooltip="Ger tillgång till detta dokument via dess ELI URI." w:history="1">
        <w:r w:rsidRPr="00D560D6">
          <w:rPr>
            <w:rStyle w:val="Hyperlink"/>
            <w:sz w:val="24"/>
            <w:lang w:val="sv-SE"/>
          </w:rPr>
          <w:t>http://data.europa.eu/eli/reg/2025/327/oj</w:t>
        </w:r>
      </w:hyperlink>
      <w:r w:rsidRPr="00D560D6">
        <w:rPr>
          <w:sz w:val="24"/>
          <w:lang w:val="sv-SE"/>
        </w:rPr>
        <w:t xml:space="preserve">). </w:t>
      </w:r>
    </w:p>
  </w:footnote>
  <w:footnote w:id="12">
    <w:p w14:paraId="79994CA5" w14:textId="0B994E7E" w:rsidR="00621B78" w:rsidRPr="00D560D6" w:rsidRDefault="00621B78" w:rsidP="00D560D6">
      <w:pPr>
        <w:pStyle w:val="FootnoteText"/>
        <w:ind w:left="567" w:hanging="567"/>
        <w:rPr>
          <w:sz w:val="24"/>
          <w:lang w:val="sv-SE"/>
        </w:rPr>
      </w:pPr>
      <w:r w:rsidRPr="00D560D6">
        <w:rPr>
          <w:rStyle w:val="FootnoteReference"/>
          <w:sz w:val="24"/>
          <w:lang w:val="sv-SE"/>
        </w:rPr>
        <w:footnoteRef/>
      </w:r>
      <w:r w:rsidR="00D560D6" w:rsidRPr="00D560D6">
        <w:rPr>
          <w:sz w:val="24"/>
          <w:lang w:val="sv-SE"/>
        </w:rPr>
        <w:t xml:space="preserve"> </w:t>
      </w:r>
      <w:r w:rsidR="00D560D6" w:rsidRPr="00D560D6">
        <w:rPr>
          <w:sz w:val="24"/>
          <w:lang w:val="sv-SE"/>
        </w:rPr>
        <w:tab/>
      </w:r>
      <w:r w:rsidRPr="00D560D6">
        <w:rPr>
          <w:sz w:val="24"/>
          <w:lang w:val="sv-SE"/>
        </w:rPr>
        <w:t>Europaparlamentets och rådets förordning (EU) 2024/1689 av den 13 juni 2024 om harmoniserade regler för artificiell intelligens och om ändring av förordningarna (EG) nr 300/2008, (EU) nr 167/2013, (EU) nr 168/2013, (EU) 2018/858, (EU) 2018/1139 och (EU) 2019/2144 samt direktiven 2014/90/EU, (EU) 2016/797 och (EU) 2020/1828 (förordning om artificiell intelligens) (EUT L, 2024/1689, 12.7.2024, ELI: </w:t>
      </w:r>
      <w:hyperlink r:id="rId11" w:tgtFrame="_blank" w:tooltip="Ger tillgång till detta dokument via dess ELI URI." w:history="1">
        <w:r w:rsidRPr="00D560D6">
          <w:rPr>
            <w:rStyle w:val="Hyperlink"/>
            <w:sz w:val="24"/>
            <w:lang w:val="sv-SE"/>
          </w:rPr>
          <w:t>http://data.europa.eu/</w:t>
        </w:r>
        <w:proofErr w:type="spellStart"/>
        <w:r w:rsidRPr="00D560D6">
          <w:rPr>
            <w:rStyle w:val="Hyperlink"/>
            <w:sz w:val="24"/>
            <w:lang w:val="sv-SE"/>
          </w:rPr>
          <w:t>eli</w:t>
        </w:r>
        <w:proofErr w:type="spellEnd"/>
        <w:r w:rsidRPr="00D560D6">
          <w:rPr>
            <w:rStyle w:val="Hyperlink"/>
            <w:sz w:val="24"/>
            <w:lang w:val="sv-SE"/>
          </w:rPr>
          <w:t>/</w:t>
        </w:r>
        <w:proofErr w:type="spellStart"/>
        <w:r w:rsidRPr="00D560D6">
          <w:rPr>
            <w:rStyle w:val="Hyperlink"/>
            <w:sz w:val="24"/>
            <w:lang w:val="sv-SE"/>
          </w:rPr>
          <w:t>reg</w:t>
        </w:r>
        <w:proofErr w:type="spellEnd"/>
        <w:r w:rsidRPr="00D560D6">
          <w:rPr>
            <w:rStyle w:val="Hyperlink"/>
            <w:sz w:val="24"/>
            <w:lang w:val="sv-SE"/>
          </w:rPr>
          <w:t>/2024/1689/oj</w:t>
        </w:r>
      </w:hyperlink>
      <w:r w:rsidRPr="00D560D6">
        <w:rPr>
          <w:sz w:val="24"/>
          <w:lang w:val="sv-SE"/>
        </w:rPr>
        <w:t>).</w:t>
      </w:r>
    </w:p>
  </w:footnote>
  <w:footnote w:id="13">
    <w:p w14:paraId="091E5938" w14:textId="22346154" w:rsidR="00621B78" w:rsidRPr="00D560D6" w:rsidRDefault="00621B78" w:rsidP="00D560D6">
      <w:pPr>
        <w:pStyle w:val="FootnoteText"/>
        <w:ind w:left="567" w:hanging="567"/>
        <w:rPr>
          <w:sz w:val="24"/>
          <w:lang w:val="sv-SE"/>
        </w:rPr>
      </w:pPr>
      <w:r w:rsidRPr="00D560D6">
        <w:rPr>
          <w:rStyle w:val="FootnoteReference"/>
          <w:sz w:val="24"/>
          <w:lang w:val="sv-SE"/>
        </w:rPr>
        <w:footnoteRef/>
      </w:r>
      <w:r w:rsidR="00D560D6" w:rsidRPr="00D560D6">
        <w:rPr>
          <w:sz w:val="24"/>
          <w:lang w:val="sv-SE"/>
        </w:rPr>
        <w:t xml:space="preserve"> </w:t>
      </w:r>
      <w:r w:rsidR="00D560D6" w:rsidRPr="00D560D6">
        <w:rPr>
          <w:sz w:val="24"/>
          <w:lang w:val="sv-SE"/>
        </w:rPr>
        <w:tab/>
      </w:r>
      <w:r w:rsidRPr="00D560D6">
        <w:rPr>
          <w:sz w:val="24"/>
          <w:lang w:val="sv-SE"/>
        </w:rPr>
        <w:t xml:space="preserve">Europaparlamentets och rådets förordning (EU, Euratom) 2023/2841 av den 13 december 2023 om åtgärder för en hög gemensam cybersäkerhetsnivå vid unionens institutioner, organ och byråer (EUT L, 2023/2841, 18.12.2023, ELI: </w:t>
      </w:r>
      <w:hyperlink r:id="rId12" w:history="1">
        <w:r w:rsidRPr="00D560D6">
          <w:rPr>
            <w:rStyle w:val="Hyperlink"/>
            <w:sz w:val="24"/>
            <w:lang w:val="sv-SE"/>
          </w:rPr>
          <w:t>http://data.europa.eu/eli/reg/2023/2841/oj</w:t>
        </w:r>
      </w:hyperlink>
      <w:r w:rsidRPr="00D560D6">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175CF" w14:textId="77777777" w:rsidR="00621B78" w:rsidRPr="00D560D6" w:rsidRDefault="00621B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AAC8" w14:textId="77777777" w:rsidR="00621B78" w:rsidRPr="00D560D6" w:rsidRDefault="00621B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AF659" w14:textId="77777777" w:rsidR="00621B78" w:rsidRPr="00D560D6" w:rsidRDefault="00621B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12F1" w14:textId="77777777" w:rsidR="00064002" w:rsidRPr="00D560D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20238" w14:textId="77777777" w:rsidR="00064002" w:rsidRPr="00D560D6"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AA628" w14:textId="77777777" w:rsidR="00064002" w:rsidRPr="00D560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68452884">
    <w:abstractNumId w:val="9"/>
  </w:num>
  <w:num w:numId="2" w16cid:durableId="363990596">
    <w:abstractNumId w:val="9"/>
  </w:num>
  <w:num w:numId="3" w16cid:durableId="243535204">
    <w:abstractNumId w:val="7"/>
  </w:num>
  <w:num w:numId="4" w16cid:durableId="1662809717">
    <w:abstractNumId w:val="7"/>
  </w:num>
  <w:num w:numId="5" w16cid:durableId="1527475512">
    <w:abstractNumId w:val="6"/>
  </w:num>
  <w:num w:numId="6" w16cid:durableId="1776751603">
    <w:abstractNumId w:val="6"/>
  </w:num>
  <w:num w:numId="7" w16cid:durableId="1196969532">
    <w:abstractNumId w:val="5"/>
  </w:num>
  <w:num w:numId="8" w16cid:durableId="256334547">
    <w:abstractNumId w:val="5"/>
  </w:num>
  <w:num w:numId="9" w16cid:durableId="1191258120">
    <w:abstractNumId w:val="4"/>
  </w:num>
  <w:num w:numId="10" w16cid:durableId="1733965117">
    <w:abstractNumId w:val="4"/>
  </w:num>
  <w:num w:numId="11" w16cid:durableId="111899942">
    <w:abstractNumId w:val="8"/>
  </w:num>
  <w:num w:numId="12" w16cid:durableId="1777286885">
    <w:abstractNumId w:val="8"/>
  </w:num>
  <w:num w:numId="13" w16cid:durableId="470098801">
    <w:abstractNumId w:val="3"/>
  </w:num>
  <w:num w:numId="14" w16cid:durableId="1326131847">
    <w:abstractNumId w:val="3"/>
  </w:num>
  <w:num w:numId="15" w16cid:durableId="1472790583">
    <w:abstractNumId w:val="2"/>
  </w:num>
  <w:num w:numId="16" w16cid:durableId="1437208945">
    <w:abstractNumId w:val="2"/>
  </w:num>
  <w:num w:numId="17" w16cid:durableId="647128840">
    <w:abstractNumId w:val="1"/>
  </w:num>
  <w:num w:numId="18" w16cid:durableId="215969541">
    <w:abstractNumId w:val="1"/>
  </w:num>
  <w:num w:numId="19" w16cid:durableId="944314489">
    <w:abstractNumId w:val="0"/>
  </w:num>
  <w:num w:numId="20" w16cid:durableId="1850214143">
    <w:abstractNumId w:val="0"/>
  </w:num>
  <w:num w:numId="21" w16cid:durableId="939409449">
    <w:abstractNumId w:val="9"/>
  </w:num>
  <w:num w:numId="22" w16cid:durableId="1535461698">
    <w:abstractNumId w:val="7"/>
  </w:num>
  <w:num w:numId="23" w16cid:durableId="1443452939">
    <w:abstractNumId w:val="6"/>
  </w:num>
  <w:num w:numId="24" w16cid:durableId="1106272202">
    <w:abstractNumId w:val="5"/>
  </w:num>
  <w:num w:numId="25" w16cid:durableId="954562135">
    <w:abstractNumId w:val="4"/>
  </w:num>
  <w:num w:numId="26" w16cid:durableId="639841678">
    <w:abstractNumId w:val="8"/>
  </w:num>
  <w:num w:numId="27" w16cid:durableId="1957518218">
    <w:abstractNumId w:val="3"/>
  </w:num>
  <w:num w:numId="28" w16cid:durableId="962462037">
    <w:abstractNumId w:val="2"/>
  </w:num>
  <w:num w:numId="29" w16cid:durableId="1550994996">
    <w:abstractNumId w:val="1"/>
  </w:num>
  <w:num w:numId="30" w16cid:durableId="745148901">
    <w:abstractNumId w:val="0"/>
  </w:num>
  <w:num w:numId="31" w16cid:durableId="156770351">
    <w:abstractNumId w:val="9"/>
  </w:num>
  <w:num w:numId="32" w16cid:durableId="1002659794">
    <w:abstractNumId w:val="7"/>
  </w:num>
  <w:num w:numId="33" w16cid:durableId="1948657406">
    <w:abstractNumId w:val="6"/>
  </w:num>
  <w:num w:numId="34" w16cid:durableId="1584877766">
    <w:abstractNumId w:val="5"/>
  </w:num>
  <w:num w:numId="35" w16cid:durableId="2044592301">
    <w:abstractNumId w:val="4"/>
  </w:num>
  <w:num w:numId="36" w16cid:durableId="673804223">
    <w:abstractNumId w:val="8"/>
  </w:num>
  <w:num w:numId="37" w16cid:durableId="16853210">
    <w:abstractNumId w:val="3"/>
  </w:num>
  <w:num w:numId="38" w16cid:durableId="843325292">
    <w:abstractNumId w:val="2"/>
  </w:num>
  <w:num w:numId="39" w16cid:durableId="56785880">
    <w:abstractNumId w:val="1"/>
  </w:num>
  <w:num w:numId="40" w16cid:durableId="1597905861">
    <w:abstractNumId w:val="0"/>
  </w:num>
  <w:num w:numId="41" w16cid:durableId="208341077">
    <w:abstractNumId w:val="10"/>
  </w:num>
  <w:num w:numId="42" w16cid:durableId="156922647">
    <w:abstractNumId w:val="10"/>
  </w:num>
  <w:num w:numId="43" w16cid:durableId="1113288957">
    <w:abstractNumId w:val="10"/>
  </w:num>
  <w:num w:numId="44" w16cid:durableId="8466001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SV"/>
    <w:docVar w:name="dvnumam" w:val="0"/>
    <w:docVar w:name="dvpe" w:val="778.064"/>
    <w:docVar w:name="dvrapporteur" w:val="Föredragande: "/>
    <w:docVar w:name="dvtitre" w:val="Europaparlamentets beslut av den xx xx 2026 om ansvarsfrihet för genomförandet av Europeiska unionens allmänna budget för budgetåret 2024, avsnitt VII – Regionkommittén(2025/2152(DEC))"/>
  </w:docVars>
  <w:rsids>
    <w:rsidRoot w:val="00577C49"/>
    <w:rsid w:val="00002272"/>
    <w:rsid w:val="00064002"/>
    <w:rsid w:val="000677B9"/>
    <w:rsid w:val="000831BA"/>
    <w:rsid w:val="000974D9"/>
    <w:rsid w:val="000A42CC"/>
    <w:rsid w:val="000D38F1"/>
    <w:rsid w:val="000E7DD9"/>
    <w:rsid w:val="0010095E"/>
    <w:rsid w:val="00125B37"/>
    <w:rsid w:val="00151431"/>
    <w:rsid w:val="00187494"/>
    <w:rsid w:val="001F32AE"/>
    <w:rsid w:val="00242D2D"/>
    <w:rsid w:val="002767FF"/>
    <w:rsid w:val="002B18FE"/>
    <w:rsid w:val="002B5493"/>
    <w:rsid w:val="00343214"/>
    <w:rsid w:val="00361C00"/>
    <w:rsid w:val="00395FA1"/>
    <w:rsid w:val="003E15D4"/>
    <w:rsid w:val="003F4169"/>
    <w:rsid w:val="00411CCE"/>
    <w:rsid w:val="0041666E"/>
    <w:rsid w:val="00421060"/>
    <w:rsid w:val="00471C19"/>
    <w:rsid w:val="004867E3"/>
    <w:rsid w:val="00494A28"/>
    <w:rsid w:val="004C0004"/>
    <w:rsid w:val="004C5D52"/>
    <w:rsid w:val="0050519A"/>
    <w:rsid w:val="005072A1"/>
    <w:rsid w:val="00514517"/>
    <w:rsid w:val="00545827"/>
    <w:rsid w:val="00560270"/>
    <w:rsid w:val="00577C49"/>
    <w:rsid w:val="005C2568"/>
    <w:rsid w:val="005F1B17"/>
    <w:rsid w:val="006037C0"/>
    <w:rsid w:val="00621B78"/>
    <w:rsid w:val="0065762B"/>
    <w:rsid w:val="006631B6"/>
    <w:rsid w:val="00680577"/>
    <w:rsid w:val="006F74FA"/>
    <w:rsid w:val="00731ADD"/>
    <w:rsid w:val="00734777"/>
    <w:rsid w:val="00747932"/>
    <w:rsid w:val="00751A4A"/>
    <w:rsid w:val="00756632"/>
    <w:rsid w:val="00762C74"/>
    <w:rsid w:val="00786EC0"/>
    <w:rsid w:val="007873A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684"/>
    <w:rsid w:val="00BD7BD8"/>
    <w:rsid w:val="00BE6ADC"/>
    <w:rsid w:val="00C05BFE"/>
    <w:rsid w:val="00C23CD4"/>
    <w:rsid w:val="00C61C0C"/>
    <w:rsid w:val="00C941CB"/>
    <w:rsid w:val="00CC2357"/>
    <w:rsid w:val="00CF071A"/>
    <w:rsid w:val="00D058B8"/>
    <w:rsid w:val="00D560D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45A151"/>
  <w15:chartTrackingRefBased/>
  <w15:docId w15:val="{FCBAEB18-6442-4E9E-9C14-9B3B20F1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21B7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21B78"/>
    <w:pPr>
      <w:spacing w:before="480" w:after="240"/>
    </w:pPr>
  </w:style>
  <w:style w:type="paragraph" w:customStyle="1" w:styleId="PageHeading">
    <w:name w:val="PageHeading"/>
    <w:basedOn w:val="Normal"/>
    <w:rsid w:val="00621B78"/>
    <w:pPr>
      <w:keepNext/>
      <w:spacing w:after="480"/>
      <w:jc w:val="center"/>
    </w:pPr>
    <w:rPr>
      <w:rFonts w:ascii="Arial" w:hAnsi="Arial" w:cs="Arial"/>
      <w:b/>
    </w:rPr>
  </w:style>
  <w:style w:type="paragraph" w:customStyle="1" w:styleId="NormalBold">
    <w:name w:val="NormalBold"/>
    <w:basedOn w:val="Normal"/>
    <w:rsid w:val="00621B78"/>
    <w:rPr>
      <w:b/>
    </w:rPr>
  </w:style>
  <w:style w:type="paragraph" w:customStyle="1" w:styleId="NormalHanging12a">
    <w:name w:val="NormalHanging12a"/>
    <w:basedOn w:val="Normal"/>
    <w:link w:val="NormalHanging12aChar"/>
    <w:qFormat/>
    <w:rsid w:val="00621B78"/>
    <w:pPr>
      <w:spacing w:after="240"/>
      <w:ind w:left="567" w:hanging="567"/>
    </w:pPr>
  </w:style>
  <w:style w:type="paragraph" w:styleId="Header">
    <w:name w:val="header"/>
    <w:basedOn w:val="Normal"/>
    <w:link w:val="HeaderChar"/>
    <w:rsid w:val="00621B78"/>
    <w:pPr>
      <w:tabs>
        <w:tab w:val="center" w:pos="4513"/>
        <w:tab w:val="right" w:pos="9026"/>
      </w:tabs>
    </w:pPr>
  </w:style>
  <w:style w:type="character" w:customStyle="1" w:styleId="HeaderChar">
    <w:name w:val="Header Char"/>
    <w:basedOn w:val="DefaultParagraphFont"/>
    <w:link w:val="Header"/>
    <w:rsid w:val="00621B78"/>
    <w:rPr>
      <w:sz w:val="24"/>
      <w:lang w:val="sv-SE"/>
    </w:rPr>
  </w:style>
  <w:style w:type="paragraph" w:customStyle="1" w:styleId="EPFooter">
    <w:name w:val="EPFooter"/>
    <w:basedOn w:val="Normal"/>
    <w:rsid w:val="00621B78"/>
    <w:pPr>
      <w:tabs>
        <w:tab w:val="center" w:pos="4535"/>
        <w:tab w:val="right" w:pos="9071"/>
      </w:tabs>
      <w:spacing w:before="240" w:after="240"/>
    </w:pPr>
    <w:rPr>
      <w:color w:val="010000"/>
      <w:sz w:val="22"/>
    </w:rPr>
  </w:style>
  <w:style w:type="character" w:styleId="Hyperlink">
    <w:name w:val="Hyperlink"/>
    <w:basedOn w:val="DefaultParagraphFont"/>
    <w:uiPriority w:val="99"/>
    <w:rsid w:val="00621B78"/>
    <w:rPr>
      <w:color w:val="0563C1" w:themeColor="hyperlink"/>
      <w:u w:val="single"/>
    </w:rPr>
  </w:style>
  <w:style w:type="character" w:customStyle="1" w:styleId="NormalHanging12aChar">
    <w:name w:val="NormalHanging12a Char"/>
    <w:basedOn w:val="DefaultParagraphFont"/>
    <w:link w:val="NormalHanging12a"/>
    <w:locked/>
    <w:rsid w:val="00621B78"/>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21</Pages>
  <Words>8486</Words>
  <Characters>56814</Characters>
  <Application>Microsoft Office Word</Application>
  <DocSecurity>0</DocSecurity>
  <Lines>473</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2026-04-29T12:29:00Z</dcterms:created>
  <dcterms:modified xsi:type="dcterms:W3CDTF">2026-04-29T12:29:00Z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A10-0056/2026</vt:lpwstr>
  </property>
  <property fmtid="{D5CDD505-2E9C-101B-9397-08002B2CF9AE}" pid="4" name="&lt;Type&gt;">
    <vt:lpwstr>RR</vt:lpwstr>
  </property>
</Properties>
</file>