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FE5" w14:paraId="180FCF50" w14:textId="77777777" w:rsidTr="0010095E">
        <w:trPr>
          <w:trHeight w:hRule="exact" w:val="1418"/>
        </w:trPr>
        <w:tc>
          <w:tcPr>
            <w:tcW w:w="6804" w:type="dxa"/>
            <w:shd w:val="clear" w:color="auto" w:fill="auto"/>
            <w:vAlign w:val="center"/>
          </w:tcPr>
          <w:p w14:paraId="66F98470" w14:textId="783158AD" w:rsidR="00751A4A" w:rsidRPr="00EB6FE5" w:rsidRDefault="00111B27" w:rsidP="0010095E">
            <w:pPr>
              <w:pStyle w:val="EPName"/>
            </w:pPr>
            <w:r w:rsidRPr="00EB6FE5">
              <w:t>Европейски</w:t>
            </w:r>
            <w:r w:rsidR="00F27E2F" w:rsidRPr="00EB6FE5">
              <w:t xml:space="preserve"> парламент</w:t>
            </w:r>
          </w:p>
          <w:p w14:paraId="0D5ABBEB" w14:textId="248FF8C4" w:rsidR="00751A4A" w:rsidRPr="00EB6FE5" w:rsidRDefault="005F1B17" w:rsidP="005F1B17">
            <w:pPr>
              <w:pStyle w:val="EPTerm"/>
              <w:rPr>
                <w:rStyle w:val="HideTWBExt"/>
                <w:noProof w:val="0"/>
                <w:vanish w:val="0"/>
                <w:color w:val="auto"/>
              </w:rPr>
            </w:pPr>
            <w:r w:rsidRPr="00EB6FE5">
              <w:t>2024</w:t>
            </w:r>
            <w:r w:rsidR="00111B27">
              <w:t> – </w:t>
            </w:r>
            <w:r w:rsidR="00817416" w:rsidRPr="00EB6FE5">
              <w:t>202</w:t>
            </w:r>
            <w:r w:rsidRPr="00EB6FE5">
              <w:t>9</w:t>
            </w:r>
          </w:p>
        </w:tc>
        <w:tc>
          <w:tcPr>
            <w:tcW w:w="2268" w:type="dxa"/>
            <w:shd w:val="clear" w:color="auto" w:fill="auto"/>
          </w:tcPr>
          <w:p w14:paraId="6CE7EA2E" w14:textId="77777777" w:rsidR="00751A4A" w:rsidRPr="00EB6FE5" w:rsidRDefault="00187494" w:rsidP="0010095E">
            <w:pPr>
              <w:pStyle w:val="EPLogo"/>
            </w:pPr>
            <w:r w:rsidRPr="00EB6FE5">
              <w:rPr>
                <w:noProof/>
                <w:lang w:eastAsia="ja-JP"/>
              </w:rPr>
              <w:drawing>
                <wp:inline distT="0" distB="0" distL="0" distR="0" wp14:anchorId="4AFFE156" wp14:editId="55746E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90F96B" w14:textId="77777777" w:rsidR="00D058B8" w:rsidRPr="00EB6FE5" w:rsidRDefault="00D058B8" w:rsidP="004C5D52">
      <w:pPr>
        <w:pStyle w:val="LineTop"/>
      </w:pPr>
    </w:p>
    <w:p w14:paraId="21BD510B" w14:textId="77777777" w:rsidR="00680577" w:rsidRPr="00EB6FE5" w:rsidRDefault="00F27E2F" w:rsidP="00680577">
      <w:pPr>
        <w:pStyle w:val="EPBodyTA1"/>
      </w:pPr>
      <w:r w:rsidRPr="00EB6FE5">
        <w:t>ПРИЕТИ ТЕКСТОВЕ</w:t>
      </w:r>
    </w:p>
    <w:p w14:paraId="76DADE4C" w14:textId="77777777" w:rsidR="00D058B8" w:rsidRPr="00EB6FE5" w:rsidRDefault="00D058B8" w:rsidP="00D058B8">
      <w:pPr>
        <w:pStyle w:val="LineBottom"/>
      </w:pPr>
    </w:p>
    <w:p w14:paraId="458EF881" w14:textId="6C3AEA1F" w:rsidR="00F27E2F" w:rsidRPr="00EB6FE5" w:rsidRDefault="00F27E2F" w:rsidP="00F27E2F">
      <w:pPr>
        <w:pStyle w:val="ATHeading1"/>
      </w:pPr>
      <w:bookmarkStart w:id="0" w:name="TANumber"/>
      <w:r w:rsidRPr="00EB6FE5">
        <w:t>P10_TA(2026)0</w:t>
      </w:r>
      <w:r w:rsidR="00E04769">
        <w:t>133</w:t>
      </w:r>
      <w:bookmarkEnd w:id="0"/>
    </w:p>
    <w:p w14:paraId="18E0401C" w14:textId="77777777" w:rsidR="00F27E2F" w:rsidRPr="00EB6FE5" w:rsidRDefault="00F27E2F" w:rsidP="00F27E2F">
      <w:pPr>
        <w:pStyle w:val="ATHeading2"/>
      </w:pPr>
      <w:bookmarkStart w:id="1" w:name="title"/>
      <w:r w:rsidRPr="00EB6FE5">
        <w:t>Освобождаване от отговорност във връзка с изпълнението на бюджета за 2024 г.: Общ бюджет на ЕС - Европейски омбудсман</w:t>
      </w:r>
      <w:bookmarkEnd w:id="1"/>
    </w:p>
    <w:p w14:paraId="6E084471" w14:textId="77777777" w:rsidR="00F27E2F" w:rsidRPr="00EB6FE5" w:rsidRDefault="00F27E2F" w:rsidP="00F27E2F">
      <w:pPr>
        <w:rPr>
          <w:i/>
          <w:vanish/>
        </w:rPr>
      </w:pPr>
      <w:r w:rsidRPr="00EB6FE5">
        <w:rPr>
          <w:i/>
        </w:rPr>
        <w:fldChar w:fldCharType="begin"/>
      </w:r>
      <w:r w:rsidRPr="00EB6FE5">
        <w:rPr>
          <w:i/>
        </w:rPr>
        <w:instrText xml:space="preserve"> TC"(</w:instrText>
      </w:r>
      <w:bookmarkStart w:id="2" w:name="DocNumber"/>
      <w:r w:rsidRPr="00EB6FE5">
        <w:rPr>
          <w:i/>
        </w:rPr>
        <w:instrText>A10-0054/2026</w:instrText>
      </w:r>
      <w:bookmarkEnd w:id="2"/>
      <w:r w:rsidRPr="00EB6FE5">
        <w:rPr>
          <w:i/>
        </w:rPr>
        <w:instrText xml:space="preserve"> - Докладчик: Паскуале </w:instrText>
      </w:r>
      <w:proofErr w:type="spellStart"/>
      <w:r w:rsidRPr="00EB6FE5">
        <w:rPr>
          <w:i/>
        </w:rPr>
        <w:instrText>Тридико</w:instrText>
      </w:r>
      <w:proofErr w:type="spellEnd"/>
      <w:r w:rsidRPr="00EB6FE5">
        <w:rPr>
          <w:i/>
        </w:rPr>
        <w:instrText xml:space="preserve">)"\l3 \n&gt; \* MERGEFORMAT </w:instrText>
      </w:r>
      <w:r w:rsidRPr="00EB6FE5">
        <w:rPr>
          <w:i/>
        </w:rPr>
        <w:fldChar w:fldCharType="end"/>
      </w:r>
    </w:p>
    <w:p w14:paraId="4E368DD3" w14:textId="77777777" w:rsidR="00F27E2F" w:rsidRPr="00EB6FE5" w:rsidRDefault="00F27E2F" w:rsidP="00F27E2F">
      <w:pPr>
        <w:rPr>
          <w:vanish/>
        </w:rPr>
      </w:pPr>
      <w:bookmarkStart w:id="3" w:name="Commission"/>
      <w:r w:rsidRPr="00EB6FE5">
        <w:rPr>
          <w:vanish/>
        </w:rPr>
        <w:t>Комисия по бюджетен контрол</w:t>
      </w:r>
      <w:bookmarkEnd w:id="3"/>
    </w:p>
    <w:p w14:paraId="1DEBAB5A" w14:textId="77777777" w:rsidR="00F27E2F" w:rsidRPr="00EB6FE5" w:rsidRDefault="00F27E2F" w:rsidP="00F27E2F">
      <w:pPr>
        <w:rPr>
          <w:vanish/>
        </w:rPr>
      </w:pPr>
      <w:bookmarkStart w:id="4" w:name="PE"/>
      <w:r w:rsidRPr="00EB6FE5">
        <w:rPr>
          <w:vanish/>
        </w:rPr>
        <w:t>PE778.065</w:t>
      </w:r>
      <w:bookmarkEnd w:id="4"/>
    </w:p>
    <w:p w14:paraId="75194B0C" w14:textId="6C0851F5" w:rsidR="00F27E2F" w:rsidRPr="00EB6FE5" w:rsidRDefault="00134C7F" w:rsidP="00F27E2F">
      <w:pPr>
        <w:pStyle w:val="ATHeading3"/>
      </w:pPr>
      <w:bookmarkStart w:id="5" w:name="Sujet"/>
      <w:r>
        <w:t xml:space="preserve">1. </w:t>
      </w:r>
      <w:r w:rsidR="00F27E2F" w:rsidRPr="00EB6FE5">
        <w:t xml:space="preserve">Решение на Европейския парламент от </w:t>
      </w:r>
      <w:r w:rsidR="00734B00">
        <w:t>29 април</w:t>
      </w:r>
      <w:r w:rsidR="00F27E2F" w:rsidRPr="00EB6FE5">
        <w:t xml:space="preserve"> 2026 г. относно освобождаването от отговорност във връзка с изпълнението на общия бюджет на Европейския съюз за финансовата 2024 година, раздел VIII ‒ Европейски омбудсман</w:t>
      </w:r>
      <w:bookmarkEnd w:id="5"/>
      <w:r w:rsidR="00F27E2F" w:rsidRPr="00EB6FE5">
        <w:t xml:space="preserve"> </w:t>
      </w:r>
      <w:bookmarkStart w:id="6" w:name="References"/>
      <w:r w:rsidR="00F27E2F" w:rsidRPr="00EB6FE5">
        <w:t>(2025/2153(DEC))</w:t>
      </w:r>
      <w:bookmarkEnd w:id="6"/>
    </w:p>
    <w:p w14:paraId="4755B46D" w14:textId="77777777" w:rsidR="00EB3A33" w:rsidRPr="00EB6FE5" w:rsidRDefault="00EB3A33" w:rsidP="00EB3A33">
      <w:pPr>
        <w:pStyle w:val="EPComma"/>
      </w:pPr>
      <w:bookmarkStart w:id="7" w:name="TextBodyBegin"/>
      <w:bookmarkEnd w:id="7"/>
      <w:r w:rsidRPr="00EB6FE5">
        <w:rPr>
          <w:i/>
          <w:iCs/>
        </w:rPr>
        <w:t>Европейският парламент,</w:t>
      </w:r>
    </w:p>
    <w:p w14:paraId="3DF79A08" w14:textId="77777777" w:rsidR="00EB3A33" w:rsidRPr="00EB6FE5" w:rsidRDefault="00EB3A33" w:rsidP="00EB3A33">
      <w:pPr>
        <w:pStyle w:val="NormalHanging12a"/>
      </w:pPr>
      <w:r w:rsidRPr="00EB6FE5">
        <w:t>–</w:t>
      </w:r>
      <w:r w:rsidRPr="00EB6FE5">
        <w:tab/>
        <w:t>като взе предвид общия бюджет на Европейския съюз за финансовата 2024 година</w:t>
      </w:r>
      <w:r w:rsidRPr="00EB6FE5">
        <w:rPr>
          <w:rStyle w:val="FootnoteReference"/>
        </w:rPr>
        <w:footnoteReference w:id="1"/>
      </w:r>
      <w:r w:rsidRPr="00EB6FE5">
        <w:t>,</w:t>
      </w:r>
    </w:p>
    <w:p w14:paraId="5EDCF5FA" w14:textId="77777777" w:rsidR="00EB3A33" w:rsidRPr="00EB6FE5" w:rsidRDefault="00EB3A33" w:rsidP="00EB3A33">
      <w:pPr>
        <w:pStyle w:val="NormalHanging12a"/>
      </w:pPr>
      <w:r w:rsidRPr="00EB6FE5">
        <w:t>–</w:t>
      </w:r>
      <w:r w:rsidRPr="00EB6FE5">
        <w:tab/>
        <w:t>като взе предвид консолидираните годишни отчети на Европейския съюз за финансовата 2024 година (COM(2025)0359 – C10</w:t>
      </w:r>
      <w:r w:rsidRPr="00EB6FE5">
        <w:noBreakHyphen/>
        <w:t>0153/2025)</w:t>
      </w:r>
      <w:r w:rsidRPr="00EB6FE5">
        <w:rPr>
          <w:rStyle w:val="FootnoteReference"/>
        </w:rPr>
        <w:footnoteReference w:id="2"/>
      </w:r>
      <w:r w:rsidRPr="00EB6FE5">
        <w:t>,</w:t>
      </w:r>
    </w:p>
    <w:p w14:paraId="5DD56630" w14:textId="77777777" w:rsidR="00EB3A33" w:rsidRPr="00EB6FE5" w:rsidRDefault="00EB3A33" w:rsidP="00EB3A33">
      <w:pPr>
        <w:pStyle w:val="NormalHanging12a"/>
      </w:pPr>
      <w:r w:rsidRPr="00EB6FE5">
        <w:t>–</w:t>
      </w:r>
      <w:r w:rsidRPr="00EB6FE5">
        <w:tab/>
        <w:t>като взе предвид годишния отчет за дейността на Европейския омбудсман за 2024 г. и доклада му за бюджетното и финансовото управление за финансовата 2024 година,</w:t>
      </w:r>
    </w:p>
    <w:p w14:paraId="5EBE2EA1" w14:textId="77777777" w:rsidR="00EB3A33" w:rsidRPr="00EB6FE5" w:rsidRDefault="00EB3A33" w:rsidP="00EB3A33">
      <w:pPr>
        <w:pStyle w:val="NormalHanging12a"/>
      </w:pPr>
      <w:r w:rsidRPr="00EB6FE5">
        <w:t>–</w:t>
      </w:r>
      <w:r w:rsidRPr="00EB6FE5">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EB6FE5">
        <w:rPr>
          <w:rStyle w:val="FootnoteReference"/>
        </w:rPr>
        <w:footnoteReference w:id="3"/>
      </w:r>
      <w:r w:rsidRPr="00EB6FE5">
        <w:t>,</w:t>
      </w:r>
    </w:p>
    <w:p w14:paraId="410FC59B" w14:textId="77777777" w:rsidR="00EB3A33" w:rsidRPr="00EB6FE5" w:rsidRDefault="00EB3A33" w:rsidP="00EB3A33">
      <w:pPr>
        <w:pStyle w:val="NormalHanging12a"/>
      </w:pPr>
      <w:r w:rsidRPr="00EB6FE5">
        <w:t>–</w:t>
      </w:r>
      <w:r w:rsidRPr="00EB6FE5">
        <w:tab/>
        <w:t>като взе предвид декларацията за достоверност</w:t>
      </w:r>
      <w:r w:rsidRPr="00EB6FE5">
        <w:rPr>
          <w:rStyle w:val="FootnoteReference"/>
        </w:rPr>
        <w:footnoteReference w:id="4"/>
      </w:r>
      <w:r w:rsidRPr="00EB6FE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51CB376" w14:textId="77777777" w:rsidR="00EB3A33" w:rsidRPr="00EB6FE5" w:rsidRDefault="00EB3A33" w:rsidP="00EB3A33">
      <w:pPr>
        <w:pStyle w:val="NormalHanging12a"/>
      </w:pPr>
      <w:r w:rsidRPr="00EB6FE5">
        <w:t>–</w:t>
      </w:r>
      <w:r w:rsidRPr="00EB6FE5">
        <w:tab/>
        <w:t>като взе предвид член 314, параграф 10 и членове 317, 318 и 319 от Договора за функционирането на Европейския съюз,</w:t>
      </w:r>
    </w:p>
    <w:p w14:paraId="091D7BC7" w14:textId="77777777" w:rsidR="00EB3A33" w:rsidRPr="00EB6FE5" w:rsidRDefault="00EB3A33" w:rsidP="00EB3A33">
      <w:pPr>
        <w:pStyle w:val="NormalHanging12a"/>
      </w:pPr>
      <w:r w:rsidRPr="00EB6FE5">
        <w:t>–</w:t>
      </w:r>
      <w:r w:rsidRPr="00EB6FE5">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EB6FE5">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EB6FE5">
        <w:rPr>
          <w:rStyle w:val="FootnoteReference"/>
        </w:rPr>
        <w:footnoteReference w:id="5"/>
      </w:r>
      <w:r w:rsidRPr="00EB6FE5">
        <w:t>, и по-специално членове 59, 118, 260, 261 и 262 от него,</w:t>
      </w:r>
    </w:p>
    <w:p w14:paraId="4B2246D3" w14:textId="41418BC2" w:rsidR="00EB3A33" w:rsidRPr="00EB6FE5" w:rsidRDefault="00EB3A33" w:rsidP="00EB3A33">
      <w:pPr>
        <w:pStyle w:val="NormalHanging12a"/>
      </w:pPr>
      <w:r w:rsidRPr="00EB6FE5">
        <w:t>–</w:t>
      </w:r>
      <w:r w:rsidRPr="00EB6FE5">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EB6FE5">
        <w:rPr>
          <w:rStyle w:val="FootnoteReference"/>
        </w:rPr>
        <w:footnoteReference w:id="6"/>
      </w:r>
      <w:r w:rsidRPr="00EB6FE5">
        <w:t>, и по-специално членове 59, 118, 266, 267 и 268 от него,</w:t>
      </w:r>
    </w:p>
    <w:p w14:paraId="7D03FC11" w14:textId="77777777" w:rsidR="00EB3A33" w:rsidRPr="00EB6FE5" w:rsidRDefault="00EB3A33" w:rsidP="00EB3A33">
      <w:pPr>
        <w:pStyle w:val="NormalHanging12a"/>
      </w:pPr>
      <w:r w:rsidRPr="00EB6FE5">
        <w:t>–</w:t>
      </w:r>
      <w:r w:rsidRPr="00EB6FE5">
        <w:tab/>
        <w:t>като взе предвид член 102 и приложение V към своя Правилник за дейността,</w:t>
      </w:r>
    </w:p>
    <w:p w14:paraId="1CEA1C34" w14:textId="77777777" w:rsidR="00EB3A33" w:rsidRPr="00EB6FE5" w:rsidRDefault="00EB3A33" w:rsidP="00EB3A33">
      <w:pPr>
        <w:pStyle w:val="NormalHanging12a"/>
      </w:pPr>
      <w:r w:rsidRPr="00EB6FE5">
        <w:t>–</w:t>
      </w:r>
      <w:r w:rsidRPr="00EB6FE5">
        <w:tab/>
        <w:t>като взе предвид доклада на комисията по бюджетен контрол (A10-0054/2026),</w:t>
      </w:r>
    </w:p>
    <w:p w14:paraId="5C48AC77" w14:textId="77777777" w:rsidR="00EB3A33" w:rsidRPr="00EB6FE5" w:rsidRDefault="00EB3A33" w:rsidP="00EB3A33">
      <w:pPr>
        <w:pStyle w:val="NormalHanging12a"/>
      </w:pPr>
      <w:r w:rsidRPr="00EB6FE5">
        <w:t>1.</w:t>
      </w:r>
      <w:r w:rsidRPr="00EB6FE5">
        <w:tab/>
        <w:t>освобождава от отговорност Европейския омбудсман във връзка с изпълнението на бюджета на Европейския омбудсман за финансовата 2024 година;</w:t>
      </w:r>
    </w:p>
    <w:p w14:paraId="6B0D2632" w14:textId="77777777" w:rsidR="00EB3A33" w:rsidRPr="00EB6FE5" w:rsidRDefault="00EB3A33" w:rsidP="00EB3A33">
      <w:pPr>
        <w:pStyle w:val="NormalHanging12a"/>
      </w:pPr>
      <w:r w:rsidRPr="00EB6FE5">
        <w:t>2.</w:t>
      </w:r>
      <w:r w:rsidRPr="00EB6FE5">
        <w:tab/>
        <w:t>представя своите забележки в резолюцията по-долу;</w:t>
      </w:r>
    </w:p>
    <w:p w14:paraId="727F4B9D" w14:textId="77777777" w:rsidR="00EB3A33" w:rsidRPr="00EB6FE5" w:rsidRDefault="00EB3A33" w:rsidP="00EB3A33">
      <w:pPr>
        <w:pStyle w:val="NormalHanging12a"/>
      </w:pPr>
      <w:r w:rsidRPr="00EB6FE5">
        <w:t>3.</w:t>
      </w:r>
      <w:r w:rsidRPr="00EB6FE5">
        <w:tab/>
        <w:t xml:space="preserve">възлага на своя председател да предаде настоящото решение, както и резолюцията, която е неразделна част от него, на Европейския омбудсман, Европейския съвет, Съвета, Комисията, Сметната палата, Съда на Европейския съюз, Европейския надзорен орган по защита на данните и Европейската служба за външна дейност и да осигури публикуването им в </w:t>
      </w:r>
      <w:r w:rsidRPr="00EB6FE5">
        <w:rPr>
          <w:i/>
          <w:iCs/>
        </w:rPr>
        <w:t>Официален вестник на Европейския съюз</w:t>
      </w:r>
      <w:r w:rsidRPr="00EB6FE5">
        <w:t xml:space="preserve"> (серия L).</w:t>
      </w:r>
    </w:p>
    <w:p w14:paraId="1884C531" w14:textId="77777777" w:rsidR="00EB3A33" w:rsidRPr="00EB6FE5" w:rsidRDefault="00EB3A33" w:rsidP="00EB3A33">
      <w:pPr>
        <w:pStyle w:val="NormalHanging12a"/>
      </w:pPr>
    </w:p>
    <w:p w14:paraId="388DA5B8" w14:textId="77777777" w:rsidR="00EB3A33" w:rsidRPr="00EB6FE5" w:rsidRDefault="00EB3A33" w:rsidP="00EB3A33">
      <w:pPr>
        <w:pStyle w:val="PageHeading"/>
        <w:sectPr w:rsidR="00EB3A33" w:rsidRPr="00EB6FE5" w:rsidSect="00EB6FE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1E3F2A" w14:textId="0A9B57D6" w:rsidR="00134C7F" w:rsidRDefault="00134C7F" w:rsidP="0045541C">
      <w:pPr>
        <w:pStyle w:val="ATHeading3"/>
      </w:pPr>
      <w:bookmarkStart w:id="8" w:name="_Toc225778167"/>
      <w:r>
        <w:lastRenderedPageBreak/>
        <w:t>2. Резолюция на Европейския парламент от 29 април 2026 г., съдържаща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VIII – Европейски омбудсман (2025/2153(DEC))</w:t>
      </w:r>
    </w:p>
    <w:bookmarkEnd w:id="8"/>
    <w:p w14:paraId="5D5B7628" w14:textId="77777777" w:rsidR="00EB3A33" w:rsidRPr="00EB6FE5" w:rsidRDefault="00EB3A33" w:rsidP="00EB3A33">
      <w:pPr>
        <w:pStyle w:val="EPComma"/>
      </w:pPr>
      <w:r w:rsidRPr="00EB6FE5">
        <w:rPr>
          <w:i/>
          <w:iCs/>
        </w:rPr>
        <w:t>Европейският парламент,</w:t>
      </w:r>
    </w:p>
    <w:p w14:paraId="18D0B4F3" w14:textId="77777777" w:rsidR="00EB3A33" w:rsidRPr="00EB6FE5" w:rsidRDefault="00EB3A33" w:rsidP="00EB3A33">
      <w:pPr>
        <w:pStyle w:val="NormalHanging12a"/>
      </w:pPr>
      <w:r w:rsidRPr="00EB6FE5">
        <w:t>–</w:t>
      </w:r>
      <w:r w:rsidRPr="00EB6FE5">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VIII ‒ Европейски омбудсман,</w:t>
      </w:r>
    </w:p>
    <w:p w14:paraId="19BA8EA5" w14:textId="77777777" w:rsidR="00EB3A33" w:rsidRPr="00EB6FE5" w:rsidRDefault="00EB3A33" w:rsidP="00EB3A33">
      <w:pPr>
        <w:pStyle w:val="NormalHanging12a"/>
      </w:pPr>
      <w:r w:rsidRPr="00EB6FE5">
        <w:t>–</w:t>
      </w:r>
      <w:r w:rsidRPr="00EB6FE5">
        <w:tab/>
        <w:t>като взе предвид член 102 и приложение V към своя Правилник за дейността,</w:t>
      </w:r>
    </w:p>
    <w:p w14:paraId="24FF048B" w14:textId="77777777" w:rsidR="00EB3A33" w:rsidRPr="00EB6FE5" w:rsidRDefault="00EB3A33" w:rsidP="00EB3A33">
      <w:pPr>
        <w:pStyle w:val="NormalHanging12a"/>
      </w:pPr>
      <w:r w:rsidRPr="00EB6FE5">
        <w:t>–</w:t>
      </w:r>
      <w:r w:rsidRPr="00EB6FE5">
        <w:tab/>
        <w:t>като взе предвид доклада на комисията по бюджетен контрол (A10-0054/2026),</w:t>
      </w:r>
    </w:p>
    <w:p w14:paraId="665E0F9A" w14:textId="77777777" w:rsidR="00EB3A33" w:rsidRPr="00EB6FE5" w:rsidRDefault="00EB3A33" w:rsidP="00EB3A33">
      <w:pPr>
        <w:pStyle w:val="NormalHanging12a"/>
      </w:pPr>
      <w:r w:rsidRPr="00EB6FE5">
        <w:t>А.</w:t>
      </w:r>
      <w:r w:rsidRPr="00EB6FE5">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което да гарантира добро, ефикасно и ориентирано към резултатите финансово управление, както и добро управление на човешките ресурси;</w:t>
      </w:r>
    </w:p>
    <w:p w14:paraId="41896F3F" w14:textId="77777777" w:rsidR="00EB3A33" w:rsidRPr="00EB6FE5" w:rsidRDefault="00EB3A33" w:rsidP="00EB3A33">
      <w:pPr>
        <w:pStyle w:val="NormalHanging12a"/>
      </w:pPr>
      <w:r w:rsidRPr="00EB6FE5">
        <w:t>Б.</w:t>
      </w:r>
      <w:r w:rsidRPr="00EB6FE5">
        <w:tab/>
        <w:t>като има предвид, че член 228 от Договора за функционирането на Европейския съюз предвижда избирането на Европейски омбудсман („Омбудсмана“) от Европейския парламент, който е оправомощен да получава жалби от всеки гражданин на Съюза или от всяко физическо или юридическо лице, с пребиваване или седалище в някоя от държавите членки, относно случаи на лошо администриране в действията на институциите, органите, службите или агенциите на Съюза, с изключение на Съда на Европейския съюз при изпълнение на неговите функции, както и да разглежда тези жалби и да докладва за тях;</w:t>
      </w:r>
    </w:p>
    <w:p w14:paraId="507D97BB" w14:textId="77777777" w:rsidR="00EB3A33" w:rsidRPr="00EB6FE5" w:rsidRDefault="00EB3A33" w:rsidP="00EB3A33">
      <w:pPr>
        <w:pStyle w:val="NormalHanging12a"/>
      </w:pPr>
      <w:r w:rsidRPr="00EB6FE5">
        <w:t>В.</w:t>
      </w:r>
      <w:r w:rsidRPr="00EB6FE5">
        <w:tab/>
        <w:t>като има предвид, че с Регламент (ЕС, Евратом) 2021/1163 на Европейския парламент от 24 юни 2021 г.</w:t>
      </w:r>
      <w:r w:rsidRPr="00EB6FE5">
        <w:rPr>
          <w:rStyle w:val="FootnoteReference"/>
        </w:rPr>
        <w:footnoteReference w:id="7"/>
      </w:r>
      <w:r w:rsidRPr="00EB6FE5">
        <w:t xml:space="preserve"> се установяват правилата и общите условия за изпълнението на функциите на Омбудсмана (Устав на Европейския омбудсман);</w:t>
      </w:r>
    </w:p>
    <w:p w14:paraId="7D32C496" w14:textId="77777777" w:rsidR="00EB3A33" w:rsidRPr="00EB6FE5" w:rsidRDefault="00EB3A33" w:rsidP="00EB3A33">
      <w:pPr>
        <w:pStyle w:val="NormalHanging12a"/>
      </w:pPr>
      <w:r w:rsidRPr="00EB6FE5">
        <w:t>Г.</w:t>
      </w:r>
      <w:r w:rsidRPr="00EB6FE5">
        <w:tab/>
        <w:t>като има предвид, че след избирането ѝ от Парламента на 17 декември 2024 г. новият омбудсман положи клетва на 27 февруари 2025 г., като по този начин се осигури приемствеността и ефективното изпълнение на мандата на Омбудсмана за насърчаване на прозрачността, добрата администрация и правата на гражданите в рамките на институциите на Съюза;</w:t>
      </w:r>
    </w:p>
    <w:p w14:paraId="1FAC9EAA" w14:textId="77777777" w:rsidR="00EB3A33" w:rsidRPr="00EB6FE5" w:rsidRDefault="00EB3A33" w:rsidP="00EB3A33">
      <w:pPr>
        <w:pStyle w:val="NormalHanging12a"/>
        <w:rPr>
          <w:b/>
          <w:i/>
        </w:rPr>
      </w:pPr>
      <w:r w:rsidRPr="00EB6FE5">
        <w:t>Д.</w:t>
      </w:r>
      <w:r w:rsidRPr="00EB6FE5">
        <w:rPr>
          <w:b/>
          <w:i/>
        </w:rPr>
        <w:tab/>
      </w:r>
      <w:r w:rsidRPr="00EB6FE5">
        <w:t>като има предвид, че поддържането на най-високите стандарти за институционална независимост и избягването на усещането за привилегироване при назначенията на висши длъжности са от съществено значение за запазване на общественото доверие в ролята на Омбудсмана като пазител на добрата администрация на Съюза;</w:t>
      </w:r>
    </w:p>
    <w:p w14:paraId="3C4F9016" w14:textId="77777777" w:rsidR="00EB3A33" w:rsidRPr="00EB6FE5" w:rsidRDefault="00EB3A33" w:rsidP="00EB3A33">
      <w:pPr>
        <w:pStyle w:val="NormalHanging12a"/>
      </w:pPr>
      <w:r w:rsidRPr="00EB6FE5">
        <w:lastRenderedPageBreak/>
        <w:t>Е.</w:t>
      </w:r>
      <w:r w:rsidRPr="00EB6FE5">
        <w:tab/>
        <w:t xml:space="preserve">като има предвид, че </w:t>
      </w:r>
      <w:r w:rsidRPr="00EB6FE5">
        <w:rPr>
          <w:shd w:val="clear" w:color="auto" w:fill="FFFFFF"/>
        </w:rPr>
        <w:t>след приемането на Регламент (ЕС, Евратом) 2021/1163</w:t>
      </w:r>
      <w:r w:rsidRPr="00EB6FE5">
        <w:t>, Омбудсманът прие на 21 юни 2023 г. преразгледаните разпоредби</w:t>
      </w:r>
      <w:r w:rsidRPr="00EB6FE5">
        <w:rPr>
          <w:rStyle w:val="FootnoteReference"/>
        </w:rPr>
        <w:footnoteReference w:id="8"/>
      </w:r>
      <w:r w:rsidRPr="00EB6FE5">
        <w:t xml:space="preserve"> за неговото прилагане;</w:t>
      </w:r>
    </w:p>
    <w:p w14:paraId="53577BE6" w14:textId="77777777" w:rsidR="00EB3A33" w:rsidRPr="00EB6FE5" w:rsidRDefault="00EB3A33" w:rsidP="00EB3A33">
      <w:pPr>
        <w:pStyle w:val="NormalHanging12a"/>
      </w:pPr>
      <w:r w:rsidRPr="00EB6FE5">
        <w:t>1.</w:t>
      </w:r>
      <w:r w:rsidRPr="00EB6FE5">
        <w:tab/>
        <w:t>отбелязва, че бюджетът на Омбудсмана попада в обхвата на функция 7 от МФР „Европейска публична администрация“, която през 2024 г. възлиза на общо 13,3 милиарда евро, т.е. 6,9 % от бюджетните разходи на Съюза; отбелязва, че бюджетът на Омбудсмана съставлява 0,10% от бюджетните кредити по функция 7 от МФР;</w:t>
      </w:r>
    </w:p>
    <w:p w14:paraId="5E391393" w14:textId="77777777" w:rsidR="00EB3A33" w:rsidRPr="00EB6FE5" w:rsidRDefault="00EB3A33" w:rsidP="00EB3A33">
      <w:pPr>
        <w:pStyle w:val="NormalHanging12a"/>
      </w:pPr>
      <w:r w:rsidRPr="00EB6FE5">
        <w:t>2.</w:t>
      </w:r>
      <w:r w:rsidRPr="00EB6FE5">
        <w:tab/>
        <w:t>отбелязва, че в своя годишен доклад за финансовата 2024 година („доклада на Палатата“) Сметната палата („Палатата“) посочва, че е проверила извадка от 70 операции в обхвата на функция „Администрация“, което е същият брой проверени операции, както през 2023 г.; отбелязва, че Палатата посочва освен това, че административните разходи включват разходи за човешки ресурси, в т.ч. разходи за пенсии, които през 2024 г. представляват приблизително 69%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p w14:paraId="4EB0D341" w14:textId="77777777" w:rsidR="00EB3A33" w:rsidRPr="00EB6FE5" w:rsidRDefault="00EB3A33" w:rsidP="00EB3A33">
      <w:pPr>
        <w:pStyle w:val="NormalHanging12a"/>
      </w:pPr>
      <w:r w:rsidRPr="00EB6FE5">
        <w:t>3.</w:t>
      </w:r>
      <w:r w:rsidRPr="00EB6FE5">
        <w:tab/>
        <w:t xml:space="preserve">отбелязва, че 16 от 70-те операции (т.е. 23%) съдържат грешки, но че въз основа на трите </w:t>
      </w:r>
      <w:proofErr w:type="spellStart"/>
      <w:r w:rsidRPr="00EB6FE5">
        <w:t>остойностени</w:t>
      </w:r>
      <w:proofErr w:type="spellEnd"/>
      <w:r w:rsidRPr="00EB6FE5">
        <w:t xml:space="preserve"> грешки Палатата заключава, че изчисленият процент грешки е под прага на същественост; отбелязва, че в доклада на Палатата не са установени конкретни проблеми, засягащи Омбудсмана;</w:t>
      </w:r>
    </w:p>
    <w:p w14:paraId="70A5512F" w14:textId="77777777" w:rsidR="00EB3A33" w:rsidRPr="00EB6FE5" w:rsidRDefault="00EB3A33" w:rsidP="00EB3A33">
      <w:pPr>
        <w:pStyle w:val="NormalHanging12a"/>
        <w:ind w:left="0" w:firstLine="0"/>
        <w:rPr>
          <w:b/>
          <w:i/>
        </w:rPr>
      </w:pPr>
      <w:r w:rsidRPr="00EB6FE5">
        <w:rPr>
          <w:b/>
          <w:i/>
        </w:rPr>
        <w:t>Бюджетно и финансово управление</w:t>
      </w:r>
    </w:p>
    <w:p w14:paraId="1128597C" w14:textId="77777777" w:rsidR="00EB3A33" w:rsidRPr="00EB6FE5" w:rsidRDefault="00EB3A33" w:rsidP="00EB3A33">
      <w:pPr>
        <w:pStyle w:val="NormalHanging12a"/>
      </w:pPr>
      <w:r w:rsidRPr="00EB6FE5">
        <w:t>4.</w:t>
      </w:r>
      <w:r w:rsidRPr="00EB6FE5">
        <w:tab/>
        <w:t>отбелязва, че през 2024 г. бюджетът на Омбудсмана възлиза на 13 843 160 EUR, което представлява увеличение с 630 713 EUR (т.е. +4,77%) спрямо 2023 г.; отбелязва въз основа на отговорите на Омбудсмана на въпросника, предоставен от комисията по бюджетен контрол във връзка с освобождаването от отговорност за 2024 г. („въпросника“), че това увеличение се дължи главно на корекциите на заплатите;</w:t>
      </w:r>
    </w:p>
    <w:p w14:paraId="53FDA29E" w14:textId="77777777" w:rsidR="00EB3A33" w:rsidRPr="00EB6FE5" w:rsidRDefault="00EB3A33" w:rsidP="00EB3A33">
      <w:pPr>
        <w:pStyle w:val="NormalHanging12a"/>
      </w:pPr>
      <w:r w:rsidRPr="00EB6FE5">
        <w:t>5.</w:t>
      </w:r>
      <w:r w:rsidRPr="00EB6FE5">
        <w:tab/>
        <w:t>отбелязва, че усилията за контрол на бюджета през финансовата 2024 година са довели до степен на изпълнение на бюджета от 97,55%, което представлява увеличение с 2,16% спрямо 2023 г.; отбелязва, че този процент включва бюджетните кредити, пренесени от 2024 г. към 2025 г.; отбелязва, че степента на изпълнение на бюджетните кредити за плащания за текущата година е била 97,08%, което представлява намаление с 0,50% спрямо 2023 г.; отбелязва увеличение с 29,60 % на пренесените бюджетни кредити (кредити C8), т.е. от 304 550 EUR през 2023 г. на 394 667 EUR през 2024 г.; отбелязва подобрение в степента на изпълнение на автоматичните преноси на бюджетни кредити от предходната година, която през 2024 г. е била 76,59% спрямо 73,27% през 2023 г.; отбелязва обаче, че този процент остава нисък в сравнение с 2022 г. (92,59 %), и отново призовава Омбудсмана да увеличи усилията си за подобряване на този процент;</w:t>
      </w:r>
    </w:p>
    <w:p w14:paraId="4454668F" w14:textId="77777777" w:rsidR="00EB3A33" w:rsidRPr="00EB6FE5" w:rsidRDefault="00EB3A33" w:rsidP="00EB3A33">
      <w:pPr>
        <w:pStyle w:val="NormalHanging12a"/>
      </w:pPr>
      <w:r w:rsidRPr="00EB6FE5">
        <w:lastRenderedPageBreak/>
        <w:t>6.</w:t>
      </w:r>
      <w:r w:rsidRPr="00EB6FE5">
        <w:tab/>
        <w:t>отбелязва, че през 2024 г. Омбудсманът е извършил четири бюджетни трансфера по член 29 от Финансовия регламент, възлизащи общо на 280 500 EUR, или 2,02% от бюджетните кредити за посочената финансова година, спрямо 1,8% през 2023 г.; отбелязва, че тези трансфери са били необходими за увеличаването на средствата по различни бюджетни редове, например за почистване, поддръжка и потребление на енергия (+ 41 %), командировъчни разходи (+ 38,60 %) и информатика (+ 24,80 %); отбелязва, че през 2024 г. Омбудсманът значително е намалил разходите си за писмен превод след успешното интегриране на изкуствения интелект (ИИ) в процесите на писмен превод за уебсайта на Омбудсмана; отбелязва, че осъществените в резултат на това икономии са използвани за укрепване на други области чрез бюджетни трансфери;</w:t>
      </w:r>
    </w:p>
    <w:p w14:paraId="74EF49A6" w14:textId="77777777" w:rsidR="00EB3A33" w:rsidRPr="00EB6FE5" w:rsidRDefault="00EB3A33" w:rsidP="00EB3A33">
      <w:pPr>
        <w:pStyle w:val="NormalHanging12a"/>
      </w:pPr>
      <w:r w:rsidRPr="00EB6FE5">
        <w:t>7.</w:t>
      </w:r>
      <w:r w:rsidRPr="00EB6FE5">
        <w:tab/>
        <w:t>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200 000 EUR за права на достъп до нея — същата сума, която трябва да платят и останалите, много по-големи институции, служби, органи и агенции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дейността на Омбудсмана; призовава за създаването на прозрачен, обективен и пропорционален модел на разходите за достъп до споделени корпоративни финансови системи, при който таксите, отразяват размера и бюджета и броя на потребителите в съответната институция, служба, орган или агенция, така че да се предотврати непропорционалната тежест за по-малките и да се гарантира спазването на задълженията за финансово управление, без да се подкопават ресурсите, предназначени за основния им мандат;</w:t>
      </w:r>
    </w:p>
    <w:p w14:paraId="1AE94D02" w14:textId="77777777" w:rsidR="00EB3A33" w:rsidRPr="00EB6FE5" w:rsidRDefault="00EB3A33" w:rsidP="00EB3A33">
      <w:pPr>
        <w:pStyle w:val="NormalHanging12a"/>
      </w:pPr>
      <w:r w:rsidRPr="00EB6FE5">
        <w:t>8.</w:t>
      </w:r>
      <w:r w:rsidRPr="00EB6FE5">
        <w:tab/>
        <w:t xml:space="preserve">отбелязва, че през 2024 г. въздействието на незаконната, агресивна война на Русия срещу Украйна продължи да създава бюджетен натиск за Омбудсмана; отбелязва, че Омбудсманът е бил най-силно засегнат от увеличението на разходите за енергия; отбелязва в този контекст, че за да се предприемат мерки във връзка с въздействието на това увеличение върху бюджета на Омбудсмана, еднократната сума, изплащана от Омбудсмана на Парламента за разходите за наем, трябваше да бъде преизчислена; отбелязва, че в резултат на това действителните разходи за енергия на Омбудсмана през 2024 г. са нараснали с 75 %, като са се увеличили от 168 900 EUR през 2023 г. на 295 400 EUR през 2024 г.; отбелязва въз основа на въпросника становището на Омбудсмана, че кумулативният ефект от инфлационния натиск и ограничаването на разходите, които не са свързани със заплати, до максимум 2 % в сравнение с предходната година, засягат дългосрочната устойчивост на бюджета на Омбудсмана; подчертава, че подобен натиск, ако не бъде преодолян по подходящ начин, рискува да подкопае разходната ефективност, предвидимостта и устойчивостта на операциите на Омбудсмана; признава необходимостта всички институции, служби, органи и агенции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 подчертава, че бюджетната дисциплина трябва </w:t>
      </w:r>
      <w:r w:rsidRPr="00EB6FE5">
        <w:lastRenderedPageBreak/>
        <w:t>да бъде съчетана с реалистични оценки на разходите, за да се защитят парите на данъкоплатците, като същевременно се запази оперативната приемственост;</w:t>
      </w:r>
    </w:p>
    <w:p w14:paraId="033C0831" w14:textId="0DB6FA8A" w:rsidR="00EB3A33" w:rsidRPr="00EB6FE5" w:rsidRDefault="00EB3A33" w:rsidP="00EB3A33">
      <w:pPr>
        <w:pStyle w:val="NormalHanging12a"/>
      </w:pPr>
      <w:r w:rsidRPr="00EB6FE5">
        <w:t>9.</w:t>
      </w:r>
      <w:r w:rsidRPr="00EB6FE5">
        <w:tab/>
        <w:t>отбелязва, че бюджетът за командировки на персонала през 2024 г. е възлизал на 120 000 EUR (същата сума като през 2023 г.); въпреки това отбелязва, че през 2024 г. е извършено увеличение на средствата по бюджетната статия за командировки в размер на + 38,60 % чрез вътрешен трансфер или трансфери; приема за сведение обяснението на Омбудсмана, че това увеличение е било необходимо поради инфлацията и увеличението на разходите за настаняване, увеличаването на броя на необходимите командировки на Омбудсмана и бюджетните прогнози, основани на командировките от предходните години, когато пътуванията бяха ограничени поради пандемията от COVID-19; отбелязва, че през 202</w:t>
      </w:r>
      <w:r w:rsidR="00081E90">
        <w:t>4</w:t>
      </w:r>
      <w:r w:rsidRPr="00EB6FE5">
        <w:t> г. първоначалният бюджет за командировки на Омбудсмана е останал същият, както и през предходните години (2022 г. и 2023 г.), т.е. 35 000 EUR; отбелязва, че след увеличаването на този бюджет чрез вътрешни трансфери, действително направените разходите за командировки през 2024 г. възлизат на общо 41 326 EUR</w:t>
      </w:r>
      <w:r w:rsidRPr="00EB6FE5">
        <w:rPr>
          <w:rStyle w:val="FootnoteReference"/>
        </w:rPr>
        <w:footnoteReference w:id="9"/>
      </w:r>
      <w:r w:rsidRPr="00EB6FE5">
        <w:t>; призовава за по-реалистични първоначални бюджетни прогнози за пътуванията, за да се сведе до минимум зависимостта от големи трансфери в средата на годината и да се гарантира стабилно финансово планиране;</w:t>
      </w:r>
    </w:p>
    <w:p w14:paraId="3112F7B3" w14:textId="77777777" w:rsidR="00EB3A33" w:rsidRPr="00EB6FE5" w:rsidRDefault="00EB3A33" w:rsidP="00EB3A33">
      <w:pPr>
        <w:pStyle w:val="NormalHanging12a"/>
        <w:ind w:left="0" w:firstLine="0"/>
        <w:rPr>
          <w:b/>
          <w:i/>
        </w:rPr>
      </w:pPr>
      <w:r w:rsidRPr="00EB6FE5">
        <w:rPr>
          <w:b/>
          <w:i/>
        </w:rPr>
        <w:t>Вътрешно управление, резултати от дейността и вътрешен контрол</w:t>
      </w:r>
    </w:p>
    <w:p w14:paraId="3FB554D6" w14:textId="77777777" w:rsidR="00EB3A33" w:rsidRPr="00EB6FE5" w:rsidRDefault="00EB3A33" w:rsidP="00EB3A33">
      <w:pPr>
        <w:pStyle w:val="NormalHanging12a"/>
      </w:pPr>
      <w:r w:rsidRPr="00EB6FE5">
        <w:t>10.</w:t>
      </w:r>
      <w:r w:rsidRPr="00EB6FE5">
        <w:tab/>
        <w:t>отбелязва, че Омбудсманът е обвързал целите на високо равнище на своята стратегия „С поглед към 2024 г.“ с девет ключови показатели за ефективност (КПЕ), включващи 17 компонента, както е посочено в годишния план за управление на Омбудсмана за 2024 г.; отбелязва, че през 2024 г. 13 от тези компоненти на КПЕ бяха достигнати или надхвърлени;</w:t>
      </w:r>
    </w:p>
    <w:p w14:paraId="2A84792C" w14:textId="77777777" w:rsidR="00EB3A33" w:rsidRPr="00EB6FE5" w:rsidRDefault="00EB3A33" w:rsidP="00EB3A33">
      <w:pPr>
        <w:pStyle w:val="NormalHanging12a"/>
      </w:pPr>
      <w:r w:rsidRPr="00EB6FE5">
        <w:t>11.</w:t>
      </w:r>
      <w:r w:rsidRPr="00EB6FE5">
        <w:tab/>
        <w:t>отбелязва, че през 2024 г. Омбудсманът е разгледал 2 264 нови жалби (2 392 през 2023 г.), започнал е 411 проверки (392 през 2023 г.), включително 49 проверки от обществено значение (56 през 2023 г.), приключил е 421 проверки (372 през 2023 г.) и е разгледал голям брой жалби за публичен достъп, който са се увеличили от 167 през 2023 г. на (новия) рекорден брой от 212 жалби през 2024 г. (160 от които бяха последвани от разследване, а 193 бяха приключени);</w:t>
      </w:r>
    </w:p>
    <w:p w14:paraId="3729683F" w14:textId="77777777" w:rsidR="00EB3A33" w:rsidRPr="00EB6FE5" w:rsidRDefault="00EB3A33" w:rsidP="00EB3A33">
      <w:pPr>
        <w:pStyle w:val="NormalHanging12a"/>
      </w:pPr>
      <w:r w:rsidRPr="00EB6FE5">
        <w:t>12.</w:t>
      </w:r>
      <w:r w:rsidRPr="00EB6FE5">
        <w:tab/>
        <w:t xml:space="preserve">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препоръчва </w:t>
      </w:r>
      <w:r w:rsidRPr="00EB6FE5">
        <w:lastRenderedPageBreak/>
        <w:t>на Омбудсмана да усъвършенства допълнително ключовите показатели за ефективност, свързани с продължителността на разглеждането на случаите, като отразява по-добре различната сложност на случаите, за да се гарантира по-реалистична, съдържателна и ориентирана към ефективност оценка на изпълнението; потвърждава, че сложните случаи, особено тези, в които участват няколко институции, служби, органи или агенции, може да изискват по-дълго време за разглеждане; подчертава обаче, че прекомерните забавяния при разглеждането на случаите, свързани с достъпа до документи, подкопават правата на гражданите и общественото доверие в администрацията на Съюза като цяло; призовава за план за справяне с тези закъснения и предлага част от икономиите, постигнати чрез превод с ИИ, да се пренасочи за укрепване на екипите за разследване, особено за случаите на публичен достъп;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службите, органите и агенциите на Съюза с цел в крайна сметка да се намали времето, необходимо за обработване на проверките;</w:t>
      </w:r>
    </w:p>
    <w:p w14:paraId="4A911BDE" w14:textId="77777777" w:rsidR="00EB3A33" w:rsidRPr="00EB6FE5" w:rsidRDefault="00EB3A33" w:rsidP="00EB3A33">
      <w:pPr>
        <w:pStyle w:val="NormalHanging12a"/>
      </w:pPr>
      <w:r w:rsidRPr="00EB6FE5">
        <w:t>13.</w:t>
      </w:r>
      <w:r w:rsidRPr="00EB6FE5">
        <w:tab/>
        <w:t>отбелязва по отношение на констатациите, че през 2024 г. Омбудсманът е направил предложение за решение в 14 случая и е изказал препоръки в три случая, свързани с публичния достъп до документи; отбелязва подобрение във връзка с положителните отговори от страна на институциите, службите, органите и агенциите на ЕС на предложенията на Омбудсмана за подобряване на тяхната администрация, с общ процент на приемане от 82% през 2024 г. (в сравнение с 81% през 2023 г.), като този процент включва случаите, приключени през 2023 г.; приканва Омбудсмана да разработи целенасочен план за действие, насочен към установяване и разглеждане на най-често срещаните причини за останалите неприети предложения, и призовава Омбудсмана да продължи да работи за постигане на високо равнище на прилагане на неговите констатации, препоръки и предложения;</w:t>
      </w:r>
    </w:p>
    <w:p w14:paraId="3BE6EB77" w14:textId="77777777" w:rsidR="00EB3A33" w:rsidRPr="00EB6FE5" w:rsidRDefault="00EB3A33" w:rsidP="00EB3A33">
      <w:pPr>
        <w:pStyle w:val="NormalHanging12a"/>
      </w:pPr>
      <w:r w:rsidRPr="00EB6FE5">
        <w:t>14.</w:t>
      </w:r>
      <w:r w:rsidRPr="00EB6FE5">
        <w:tab/>
        <w:t>оценява факта, че през 2024 г. Омбудсманът продължи да полага усилия за повишаване на осведомеността на гражданите и тяхното разбиране на неговия мандат; отбелязва със задоволство в този контекст увеличение на дела на жалбите в рамките на неговия мандат — от 33 % през 2022 г. и 37 % през 2023 г. на 39 % през 2024 г.; отбелязва освен това въз основа на доклада за последващите действия, че една от новите стратегически цели на Омбудсмана е да започне целенасочени комуникационни дейности, за да се гарантира, че гражданите, които се нуждаят от Омбудсмана, са запознати с правата си и използват неговите услуги; отбелязва в този контекст, че в резултат на това се очаква увеличаване на броя на жалбите, което ще доведе до необходимостта от преразглеждане и адаптиране на методите на работа и ще засили използването на цифрови инструменти, по-специално на изкуствен интелект, с цел допълнително рационализиране на процеса на разглеждане на жалби; приканва Омбудсмана да направи оценка на потенциалното въздействие върху бюджета и човешките ресурси на очакваното увеличение на жалбите и да информира редовно органа по освобождаване от отговорност за напредъка, постигнат по този въпрос;</w:t>
      </w:r>
    </w:p>
    <w:p w14:paraId="24E40993" w14:textId="77777777" w:rsidR="00EB3A33" w:rsidRPr="00EB6FE5" w:rsidRDefault="00EB3A33" w:rsidP="00EB3A33">
      <w:pPr>
        <w:pStyle w:val="NormalHanging12a"/>
      </w:pPr>
      <w:r w:rsidRPr="00EB6FE5">
        <w:t>15.</w:t>
      </w:r>
      <w:r w:rsidRPr="00EB6FE5">
        <w:tab/>
        <w:t xml:space="preserve">признава положените усилия и положителното въздействие на Омбудсмана във връзка с етиката, прозрачността и отчетността през 2024 г., по-специално в </w:t>
      </w:r>
      <w:r w:rsidRPr="00EB6FE5">
        <w:lastRenderedPageBreak/>
        <w:t>резултат на проверките, засягащи различни институции, служби, органи и агенции на Съюза; отбелязва, че през 2025 г. по-голямата част от тези проверки (65 %) са били свързани с Комисията;</w:t>
      </w:r>
    </w:p>
    <w:p w14:paraId="5B5021F8" w14:textId="77777777" w:rsidR="00EB3A33" w:rsidRPr="00EB6FE5" w:rsidRDefault="00EB3A33" w:rsidP="00EB3A33">
      <w:pPr>
        <w:pStyle w:val="NormalHanging12a"/>
      </w:pPr>
      <w:bookmarkStart w:id="9" w:name="_Hlk215843998"/>
      <w:r w:rsidRPr="00EB6FE5">
        <w:t>16.</w:t>
      </w:r>
      <w:r w:rsidRPr="00EB6FE5">
        <w:tab/>
        <w:t>отбелязва по-специално проверките на Омбудсмана относно: начина, по който Съветът и Комисията обработват заявленията за публичен достъп до законодателни документи (по-специално относно изключенията за отказ на достъп), като има предвид, че Омбудсманът заключи, че в много случаи двете институции са прилагали изключенията съгласно правото на Съюза относно достъпа до документи твърде широко, като са използвали обосновка, която вече е била отхвърлена от Съда на Европейския съюз, ii) относно отказите на Комисията да предостави на потребителите достъп до документи във връзка с преразглеждането на правилата на Съюза относно информацията за храните и да предостави достъп до приноса на заинтересованите страни и на държавите членки във връзка със Закона на Съюза за възстановяване на природата, и iii) относно факта, че Комисията не успя да идентифицира документи, обхващащи обмен с държавите членки или вътрешен обмен във връзка с подготовката на срещите на високо равнище относно Меморандума за разбирателство за стратегическо и глобално партньорство между ЕС и Тунис;</w:t>
      </w:r>
    </w:p>
    <w:bookmarkEnd w:id="9"/>
    <w:p w14:paraId="2C341192" w14:textId="77777777" w:rsidR="00EB3A33" w:rsidRPr="00EB6FE5" w:rsidRDefault="00EB3A33" w:rsidP="00EB3A33">
      <w:pPr>
        <w:pStyle w:val="NormalHanging12a"/>
      </w:pPr>
      <w:r w:rsidRPr="00EB6FE5">
        <w:t>17.</w:t>
      </w:r>
      <w:r w:rsidRPr="00EB6FE5">
        <w:tab/>
        <w:t>приветства проверките на Омбудсмана, извършени през 2024 г. в областта на етиката; отбелязва по-специално случая с кадровата въртележка между държавния и частния сектор, засягащ двама бивши служители на Агенцията на Европейския съюз за сътрудничество в областта на правоприлагането (Европол), разследване въз основа на жалба за нарушение относно предполагаем конфликт на интереси с участието на члена на Комисията, отговарящ за земеделието, и разследване на начина, по който Комисията гарантира недопускането на конфликт на интереси с експертите, които я подпомагат при оценката на предложенията, които ще бъдат финансирани по линия на Европейския фонд за отбрана;</w:t>
      </w:r>
    </w:p>
    <w:p w14:paraId="6492C5C9" w14:textId="77777777" w:rsidR="00EB3A33" w:rsidRPr="00EB6FE5" w:rsidRDefault="00EB3A33" w:rsidP="00EB3A33">
      <w:pPr>
        <w:pStyle w:val="NormalHanging12a"/>
      </w:pPr>
      <w:r w:rsidRPr="00EB6FE5">
        <w:t>18.</w:t>
      </w:r>
      <w:r w:rsidRPr="00EB6FE5">
        <w:tab/>
        <w:t xml:space="preserve">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с безпокойство,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което има вероятност да подкопае доверието на гражданите в администрацията на Съюза;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значително забавяне при предоставянето на достъп до документи и счита, че такива забавяния се равняват на отказ на прозрачност и отслабват демократичния надзор; споделя становището на Омбудсмана, че Комисията следва внимателно да разгледа наличието на по-висш обществен </w:t>
      </w:r>
      <w:r w:rsidRPr="00EB6FE5">
        <w:lastRenderedPageBreak/>
        <w:t>интерес при прилагането на изключенията за публичен достъп съгласно Регламент (ЕО) № 1049/2001</w:t>
      </w:r>
      <w:r w:rsidRPr="00EB6FE5">
        <w:rPr>
          <w:rStyle w:val="FootnoteReference"/>
        </w:rPr>
        <w:footnoteReference w:id="10"/>
      </w:r>
      <w:r w:rsidRPr="00EB6FE5">
        <w:t>; призовава Омбудсмана да уведоми съответните комисии на Парламента веднага щом забавянето на Комисията по документи, свързани с МВУ, бъде прекалено дълго, за да се даде възможност за своевременен политически контрол; призовава освен това Омбудсмана да продължи да дава приоритет на системната работа по ненужните забавяния в процедурите за достъп до документи, включително чрез идентифициране на повтарящи се административни пречки и добри практики във всички институции, служби, органи или агенции; подкрепя Омбудсмана в насърчаването на последователно прилагане на проверката за „по-висш обществен интерес“, особено за досиетата с голямо въздействие, така че достъпът да се предоставя навреме и да има смисъл за целите на упражняването на обществен контрол;</w:t>
      </w:r>
    </w:p>
    <w:p w14:paraId="6DBA8F40" w14:textId="77777777" w:rsidR="00EB3A33" w:rsidRPr="00EB6FE5" w:rsidRDefault="00EB3A33" w:rsidP="00EB3A33">
      <w:pPr>
        <w:pStyle w:val="NormalHanging12a"/>
      </w:pPr>
      <w:r w:rsidRPr="00EB6FE5">
        <w:t>19.</w:t>
      </w:r>
      <w:r w:rsidRPr="00EB6FE5">
        <w:tab/>
        <w:t>припомня, че според Омбудсмана ограниченията на достъпа до документи, по-специално до законодателни документи, следва да бъдат изключение и да се ограничават до абсолютно необходимото; припомня също така, че всяко решение за отказ на публичен достъп до документи трябва да се основава на ясно и строго определени правни изключения, придружени с мотивирана и конкретна обосновка, която да даде възможност на гражданите да разберат отказа на достъп и да използват ефективно съществуващите правни средства за обжалване; счита, че един по-проактивен подход ще спомогне за гарантирането на ефективна прозрачност и за предотвратяването на скъпи и утежнени съдебни спорове между граждани и институции</w:t>
      </w:r>
      <w:r w:rsidRPr="00EB6FE5">
        <w:rPr>
          <w:rStyle w:val="FootnoteReference"/>
        </w:rPr>
        <w:footnoteReference w:id="11"/>
      </w:r>
      <w:r w:rsidRPr="00EB6FE5">
        <w:t>; насърчава Омбудсмана да продължи да насърчава проактивни практики за публикуване, по-специално на законодателни документи и документи за оформяне на политики, за да се заложи прозрачността по план и да се намалят административната тежест и рискът от съдебни спорове, свързани с повтарящи се искания за достъп до документи;</w:t>
      </w:r>
    </w:p>
    <w:p w14:paraId="29168549" w14:textId="77777777" w:rsidR="00EB3A33" w:rsidRPr="00EB6FE5" w:rsidRDefault="00EB3A33" w:rsidP="00EB3A33">
      <w:pPr>
        <w:pStyle w:val="NormalHanging12a"/>
        <w:rPr>
          <w:b/>
          <w:bCs/>
        </w:rPr>
      </w:pPr>
      <w:r w:rsidRPr="00EB6FE5">
        <w:t>20.</w:t>
      </w:r>
      <w:r w:rsidRPr="00EB6FE5">
        <w:tab/>
        <w:t>припомня, че вътрешният одитор е извършил преглед на рамката на Омбудсмана за управление на риска, като е постигнато съгласие относно план за действие от девет точки, който да бъде изпълнен до края на 2024 г.; отбелязва въз основа на въпросника и доклада за последващите действия, че всички действия са изпълнени, включително приемането на нова методология за оценка на риска; приканва Омбудсмана да информира редовно органа по освобождаване от отговорност за резултатите от прегледа, извършен от вътрешния одитор, на изпълнението на този план за действие; изисква от Омбудсмана също така да информира органа по освобождаване от отговорност за последващите действия във връзка с препоръките, отправени в рамките на докладите за вътрешен одит 20/04 (относно сигурността на информационните технологии), 21/03 (относно рамката за защита на данните) и 22/03 (относно етичната рамка);</w:t>
      </w:r>
    </w:p>
    <w:p w14:paraId="6003FEE2" w14:textId="77777777" w:rsidR="00EB3A33" w:rsidRPr="00EB6FE5" w:rsidRDefault="00EB3A33" w:rsidP="00EB3A33">
      <w:pPr>
        <w:pStyle w:val="NormalHanging12a"/>
        <w:rPr>
          <w:b/>
          <w:i/>
        </w:rPr>
      </w:pPr>
      <w:r w:rsidRPr="00EB6FE5">
        <w:rPr>
          <w:b/>
          <w:i/>
        </w:rPr>
        <w:t>Човешки ресурси, равенство и благосъстояние на служителите</w:t>
      </w:r>
    </w:p>
    <w:p w14:paraId="14561B3E" w14:textId="77777777" w:rsidR="00EB3A33" w:rsidRPr="00EB6FE5" w:rsidRDefault="00EB3A33" w:rsidP="00EB3A33">
      <w:pPr>
        <w:pStyle w:val="NormalHanging12a"/>
      </w:pPr>
      <w:bookmarkStart w:id="10" w:name="_Hlk215163299"/>
      <w:r w:rsidRPr="00EB6FE5">
        <w:t>21.</w:t>
      </w:r>
      <w:r w:rsidRPr="00EB6FE5">
        <w:tab/>
        <w:t xml:space="preserve">отбелязва намаляване с 4,90 % на общия брой на служителите на Омбудсмана от 82 през 2023 г. на 78 през 2024 г.; отбелязва освен това, че през 2024 г. 46 </w:t>
      </w:r>
      <w:r w:rsidRPr="00EB6FE5">
        <w:lastRenderedPageBreak/>
        <w:t>длъжностни лица са били наети от Омбудсмана в сравнение със съответно 40 през 2023 г., а договорно наетите служители са били 9, също както през 2023 г.; отбелязва леко намаление на дела на служителите, работещи във връзка с основната дейност на Омбудсмана (жалби и проверки) – от 42,68% през 2023 г. на 42,30% през 2024 г.; отбелязва освен това, че процентът на заетост на работните места се е увеличил от 95% през 2023 г. на 97% през 2024 г., а текучеството се е увеличило от 5,20% през 2023 г. на 6,40% през 2024 г.; припомня, че е важно да се осигурят безсрочни трудови договори с цел поддържането на умения, приемственост и продуктивна работна среда; подчертава, че намаляващият брой на служителите в основните оперативни области и значителното разчитане на временни договори могат да намалят институционалната памет и ефективността на Омбудсмана;</w:t>
      </w:r>
    </w:p>
    <w:p w14:paraId="465FC5A8" w14:textId="3FB6370E" w:rsidR="00EB3A33" w:rsidRPr="00EB6FE5" w:rsidRDefault="00EB3A33" w:rsidP="00EB3A33">
      <w:pPr>
        <w:pStyle w:val="NormalHanging12a"/>
      </w:pPr>
      <w:r w:rsidRPr="00EB6FE5">
        <w:t>22.</w:t>
      </w:r>
      <w:r w:rsidRPr="00EB6FE5">
        <w:tab/>
        <w:t>припомня, че длъжността генерален секретар на Омбудсмана е свободна вече повече от две години – от 1 септември 2022 г.; отбелязва, че след неколкократни призиви от страна на Парламента за запълване на тази свободна длъжност,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 самият Омбудсман и двама външни, независими членове – които са участвали в оценката на допустимостта на кандидатурите и събеседванията; отбелязва, че Омбудсманът счита, че назначаването на тези двама членове и участието на висши служители представляват значителни гаранции в целия процес, като гарантират почтеността и законосъобразността на процеса на подбор; счита – без да се засяга неговият опит като длъжностно лице на Съюза в продължение на 30 години с 10 години управленски опит – че фактът, че избраният генерален секретар преди това е бил началник на кабинета на настоящия Омбудсман, би могъл да създаде впечатление за конфликт на интереси, дори ако този процес е бил проведен в пълно съответствие с приложимата рамка;</w:t>
      </w:r>
      <w:bookmarkEnd w:id="10"/>
      <w:r w:rsidRPr="00EB6FE5">
        <w:t xml:space="preserve"> призовава Омбудсмана, с оглед на бъдещите процедури, да продължи да обмисля начини за засилване на предпазните мерки в процедурите за подбор и в решенията за назначаване, за да се противодейства на всякакви предполагаеми конфликти на интереси или привилегироване, като се осигурят пълни гаранции за справедливост и прозрачност;</w:t>
      </w:r>
    </w:p>
    <w:p w14:paraId="632E9758" w14:textId="77777777" w:rsidR="00EB3A33" w:rsidRPr="00EB6FE5" w:rsidRDefault="00EB3A33" w:rsidP="00EB3A33">
      <w:pPr>
        <w:pStyle w:val="NormalHanging12a"/>
      </w:pPr>
      <w:bookmarkStart w:id="11" w:name="_Hlk215830609"/>
      <w:r w:rsidRPr="00EB6FE5">
        <w:t>23.</w:t>
      </w:r>
      <w:r w:rsidRPr="00EB6FE5">
        <w:tab/>
        <w:t xml:space="preserve">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 изразява несъгласие в този контекст със становището на Омбудсмана, че съдебната практика по делото </w:t>
      </w:r>
      <w:proofErr w:type="spellStart"/>
      <w:r w:rsidRPr="00EB6FE5">
        <w:t>Meroni</w:t>
      </w:r>
      <w:proofErr w:type="spellEnd"/>
      <w:r w:rsidRPr="00EB6FE5">
        <w:t xml:space="preserve"> (C-9/56 и C-10/56) е приложима, тъй като тя не се отнася до делегирането на правомощия по въпроси, свързани с персонала (като например подбора на служител), а по-скоро до делегирането на </w:t>
      </w:r>
      <w:proofErr w:type="spellStart"/>
      <w:r w:rsidRPr="00EB6FE5">
        <w:t>дискреционни</w:t>
      </w:r>
      <w:proofErr w:type="spellEnd"/>
      <w:r w:rsidRPr="00EB6FE5">
        <w:t xml:space="preserve"> правомощия на външни/частни органи; подчертава освен това, че Парламентът не изисква от Омбудсмана да делегира своите права и задължения като орган по назначаването, но същевременно поставя под въпрос нейното присъствие в конкурсната комисия, тъй като правото на Съюза не </w:t>
      </w:r>
      <w:r w:rsidRPr="00EB6FE5">
        <w:lastRenderedPageBreak/>
        <w:t>изисква органът по назначаване да бъде член на конкурсната комисия; подчертава, че като взема окончателно решение, което е задача на органа по назначаването, последният също така потвърждава, че цялата процедура за подбор е била законосъобразна, включително спазването от страна на кандидата на всички критерии за допустимост; отбелязва обаче, че тази роля може да изглежда по-малко отчетлива, когато органът по назначаването е председателствал и конкурсната комисия на определени етапи от процедурата за подбор, какъвто беше случаят в настоящия процес; разбира обаче, че може да е необходимо Омбудсманът, в качеството си на титуляр, да участва в последните етапи на някои процедури за подбор; отбелязва обяснението на Омбудсмана, че правните ограничения, свързани с поверителността, които имат за цел да гарантират независимостта и почтеността на процеса на подбор, ограничават степента, в която документите, свързани с проверката за допустимост, могат да бъдат споделяни с органа по освобождаване от отговорност; при все това припомня правото на Парламента да получава информацията, необходима за освобождаването от отговорност във връзка с изпълнението на бюджета; подчертава, че предоставянето на такава информация не означава, че тя се оповестява публично, и подчертава, че Парламентът разполага с подходящи предпазни мерки за сигурно боравене с чувствителни материали; с оглед на горепосоченото настоятелно призовава Омбудсмана да разгледа отново искането на Парламента и да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 насърчава Омбудсмана да обмисли провеждането на вътрешен последващ размисъл относно процедурите за назначаване, провеждани при висока степен на контрол, с цел да се установят извлечените поуки и възможните подобрения за бъдещите процеси, както и да информира органа по освобождаване от отговорност за резултатите;</w:t>
      </w:r>
    </w:p>
    <w:bookmarkEnd w:id="11"/>
    <w:p w14:paraId="0D70F898" w14:textId="77777777" w:rsidR="00EB3A33" w:rsidRPr="00EB6FE5" w:rsidRDefault="00EB3A33" w:rsidP="00EB3A33">
      <w:pPr>
        <w:pStyle w:val="NormalHanging12a"/>
      </w:pPr>
      <w:r w:rsidRPr="00EB6FE5">
        <w:t>24.</w:t>
      </w:r>
      <w:r w:rsidRPr="00EB6FE5">
        <w:tab/>
        <w:t>подчертава, че ролята на Омбудсмана е да насърчава добрата администрация, включително като гарантира, че етичната рамка на всички институции, служби, органи и агенции на Съюза е стабилна и е в състояние да гарантира прозрачност и отчетност; изразява твърдо убеждение, че Омбудсманът трябва да отговаря на най-високите стандарти за независимост, безпристрастност и почтеност и че трябва да се избягва всяко възприятие за привилегироване или конфликт на интереси, тъй като подобни възприятия биха могли да подкопаят доверието в Омбудсмана, неговата мисия и доверието на гражданите на Съюза; припомня, че тъй като Съюзът е възложил на Омбудсмана да насърчава етичните стандарти и добрата администрация, от Омбудсмана се очаква да прилага особено строги стандарти по отношение на собственото си управление и назначенията на висши служители, като определя референтен показател за останалите институции, служби, органи и агенции;</w:t>
      </w:r>
    </w:p>
    <w:p w14:paraId="41FD88BB" w14:textId="77777777" w:rsidR="00EB3A33" w:rsidRPr="00EB6FE5" w:rsidRDefault="00EB3A33" w:rsidP="00EB3A33">
      <w:pPr>
        <w:pStyle w:val="NormalHanging12a"/>
      </w:pPr>
      <w:r w:rsidRPr="00EB6FE5">
        <w:t>25.</w:t>
      </w:r>
      <w:r w:rsidRPr="00EB6FE5">
        <w:tab/>
        <w:t xml:space="preserve">отбелязва, че макар да е малка институция, служба, орган или агенция на Съюза, през 2024 г. Омбудсманът е успял да привлече в своя персонал служители от 19 националности, както и през 2023 г.; отбелязва обаче прекомерно представителство на някои националности (като една от тях представлява повече от 30 % от служителите на Омбудсмана); подчертава, че с оглед на относително малкия си размер, такава висока концентрация на представители на една националност би могло да окаже въздействие върху междуинституционалното </w:t>
      </w:r>
      <w:r w:rsidRPr="00EB6FE5">
        <w:lastRenderedPageBreak/>
        <w:t>възприемане на многообразието на службата; призовава Омбудсмана да приеме целенасочени мерки за набиране на персонал и информиране, насочени специално към по-слабо представените държави членки, за да се гарантира, че службата продължава да отразява многообразието на Съюза;</w:t>
      </w:r>
    </w:p>
    <w:p w14:paraId="3673398A" w14:textId="77777777" w:rsidR="00EB3A33" w:rsidRPr="00EB6FE5" w:rsidRDefault="00EB3A33" w:rsidP="00EB3A33">
      <w:pPr>
        <w:pStyle w:val="NormalHanging12a"/>
      </w:pPr>
      <w:r w:rsidRPr="00EB6FE5">
        <w:t>26.</w:t>
      </w:r>
      <w:r w:rsidRPr="00EB6FE5">
        <w:tab/>
        <w:t>отбелязва, че по отношение на баланса между половете в Омбудсмана работят повече жени, отколкото мъже, във всички категории служители, особено на управленско равнище, където всички длъжности се заемат от жени; отбелязва общо представителство на персонала от 68 % жени и 32 % мъже в сравнение с 67 % жени и 33 % мъже през 2023 г.; приканва Омбудсмана да се стреми към по-балансирано представителство на половете сред своите служители; настоятелно призовава Омбудсмана да разработи стратегия за справяне с факта, че понастоящем мъжете изцяло отсъстват от ръководни длъжности; счита, че гарантирането, че Омбудсманът отразява по-добре разнообразния състав на гражданите на Съюза, е от съществено значение за поддържането на балансирана и приобщаваща работна среда на всички равнища на йерархията;</w:t>
      </w:r>
    </w:p>
    <w:p w14:paraId="7D73212C" w14:textId="77777777" w:rsidR="00EB3A33" w:rsidRPr="00EB6FE5" w:rsidRDefault="00EB3A33" w:rsidP="00EB3A33">
      <w:pPr>
        <w:pStyle w:val="NormalHanging12a"/>
      </w:pPr>
      <w:r w:rsidRPr="00EB6FE5">
        <w:t>27.</w:t>
      </w:r>
      <w:r w:rsidRPr="00EB6FE5">
        <w:tab/>
        <w:t>отбелязва, че Омбудсманът полага усилия да гарантира физическото и психическото благосъстояние на своите служители на работното им място и се фокусира върху укрепването на екипния дух; отбелязва в този контекст, че през 2024 г. Омбудсманът е организирал обучения, някои от които задължителни, относно разрешаването на конфликти, предоставянето и получаването на обратна информация, уврежданията и приобщаването, както и относно оказването на първа помощ; отбелязва, че през 2024 г. Омбудсманът е приел политика относно родителския отпуск, която, заедно с приетата през 2021 г. политика относно работното време и хибридния режим, предвижда гъвкави схеми на работа, които се използват и оценяват високо от служителите; отбелязва, че през 2024 г. медицинската служба на Парламента не е предупредила Омбудсмана за никакви дългосрочни заболявания, причинени от професионално изчерпване;</w:t>
      </w:r>
    </w:p>
    <w:p w14:paraId="44CC7E1C" w14:textId="77777777" w:rsidR="00EB3A33" w:rsidRPr="00EB6FE5" w:rsidRDefault="00EB3A33" w:rsidP="00EB3A33">
      <w:pPr>
        <w:pStyle w:val="NormalHanging12a"/>
      </w:pPr>
      <w:r w:rsidRPr="00EB6FE5">
        <w:t>28.</w:t>
      </w:r>
      <w:r w:rsidRPr="00EB6FE5">
        <w:tab/>
        <w:t>отбелязва със задоволство въз основа на въпросника, че през 2024 г. не са докладвани никакви случаи на тормоз; признава усилията на Омбудсмана за осигуряване на работна среда без сексуален и психически тормоз, по-специално чрез повишаване на осведомеността и предоставяне на обучение; отбелязва освен това, че Омбудсманът е провел проучване, съсредоточено върху осведомеността на служителите по етични въпроси, което е показало високи равнища на осведоменост на служителите относно политиката и насоките на Омбудсмана във връзка с психическия и сексуалния тормоз;</w:t>
      </w:r>
    </w:p>
    <w:p w14:paraId="740ECC04" w14:textId="77777777" w:rsidR="00EB3A33" w:rsidRPr="00EB6FE5" w:rsidRDefault="00EB3A33" w:rsidP="00EB3A33">
      <w:pPr>
        <w:pStyle w:val="NormalHanging12a"/>
      </w:pPr>
      <w:r w:rsidRPr="00EB6FE5">
        <w:t>29.</w:t>
      </w:r>
      <w:r w:rsidRPr="00EB6FE5">
        <w:tab/>
        <w:t>отбелязва, че през 2024 г. Омбудсманът е приел 18 платени стажанти (същия брой като през 2023 г.), един от които е бил избран в рамките на похвалната програма за стажове на Омбудсмана, насочена към кандидати с увреждания; отново 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Съюза да бъдат платени; подчертава, че платените стажове са от съществено значение за гарантирането на равни възможности;</w:t>
      </w:r>
    </w:p>
    <w:p w14:paraId="76B5991B" w14:textId="77777777" w:rsidR="00EB3A33" w:rsidRPr="00EB6FE5" w:rsidRDefault="00EB3A33" w:rsidP="00EB3A33">
      <w:pPr>
        <w:pStyle w:val="NormalHanging12a"/>
        <w:ind w:left="0" w:firstLine="0"/>
        <w:rPr>
          <w:b/>
          <w:i/>
        </w:rPr>
      </w:pPr>
      <w:r w:rsidRPr="00EB6FE5">
        <w:rPr>
          <w:b/>
          <w:i/>
        </w:rPr>
        <w:t>Етична рамка и прозрачност</w:t>
      </w:r>
    </w:p>
    <w:p w14:paraId="2FBF9121" w14:textId="77777777" w:rsidR="00EB3A33" w:rsidRPr="00EB6FE5" w:rsidRDefault="00EB3A33" w:rsidP="00EB3A33">
      <w:pPr>
        <w:pStyle w:val="NormalHanging12a"/>
      </w:pPr>
      <w:r w:rsidRPr="00EB6FE5">
        <w:t>30.</w:t>
      </w:r>
      <w:r w:rsidRPr="00EB6FE5">
        <w:tab/>
        <w:t xml:space="preserve">приветства продължаващите усилия на Омбудсмана за подобряване и повишаване </w:t>
      </w:r>
      <w:r w:rsidRPr="00EB6FE5">
        <w:lastRenderedPageBreak/>
        <w:t>на осведомеността относно неговата етична рамка; отбелязва, че Омбудсманът е организирал обучения по етични въпроси за новоназначените доверени съветници на Омбудсмана и за членовете на помирителния комитет, както и задължителни специализирани обучения относно разрешаването на конфликти за всички служители; отбелязва, че през 2024 г. Омбудсманът е преработил, а през 2025 г. приел преразгледана политика в областта на етиката и доброто поведение с цел изясняване на работните процеси за одобряване и разрешаване и преодоляване на пропуските в прилагането на правилата, свързани с етиката; оценява факта, че е внедрено ИТ решение, което позволява на всеки служител, изпълняващ проверки, да потвърди липсата на конфликт на интереси по възложените му случаи; отбелязва освен това, че от всички служители на Омбудсмана, включително висшите служители, се изисква да преразглеждат ежегодно своите декларации за професионалните дейности на своите съпрузи/партньори, както и собствените си декларации за конфликт на интереси;</w:t>
      </w:r>
    </w:p>
    <w:p w14:paraId="632F5D40" w14:textId="77777777" w:rsidR="00EB3A33" w:rsidRPr="00EB6FE5" w:rsidRDefault="00EB3A33" w:rsidP="00EB3A33">
      <w:pPr>
        <w:pStyle w:val="NormalHanging12a"/>
      </w:pPr>
      <w:r w:rsidRPr="00EB6FE5">
        <w:t>31.</w:t>
      </w:r>
      <w:r w:rsidRPr="00EB6FE5">
        <w:tab/>
        <w:t>отбелязва по отношение на вътрешния одит (доклад 22/03) на етичната рамка на Омбудсмана, че от шестте отправени препоръки пет са били изпълнени, а една е била в процес на изпълнение в края на 2024 г.; отбелязва в този контекст, че Омбудсманът е създал дисциплинарен съвет и е приел политика за борба с измамите, приложима и за командированите национални експерти, стажантите и външните изпълнители, с цел по-нататъшно укрепване на етичната рамка на Омбудсмана;</w:t>
      </w:r>
    </w:p>
    <w:p w14:paraId="2B195E48" w14:textId="77777777" w:rsidR="00EB3A33" w:rsidRPr="00EB6FE5" w:rsidRDefault="00EB3A33" w:rsidP="00EB3A33">
      <w:pPr>
        <w:pStyle w:val="NormalHanging12a"/>
      </w:pPr>
      <w:r w:rsidRPr="00EB6FE5">
        <w:t>32.</w:t>
      </w:r>
      <w:r w:rsidRPr="00EB6FE5">
        <w:tab/>
        <w:t>отбелязва със задоволство, че през 2024 г. не са докладвани случаи на конфликти на интереси и на подаване на сигнали за нередности;</w:t>
      </w:r>
    </w:p>
    <w:p w14:paraId="0742B791" w14:textId="77777777" w:rsidR="00EB3A33" w:rsidRPr="00EB6FE5" w:rsidRDefault="00EB3A33" w:rsidP="00EB3A33">
      <w:pPr>
        <w:pStyle w:val="NormalHanging12a"/>
      </w:pPr>
      <w:r w:rsidRPr="00EB6FE5">
        <w:t>33.</w:t>
      </w:r>
      <w:r w:rsidRPr="00EB6FE5">
        <w:tab/>
        <w:t>отбелязва въз основа на въпросника, че Омбудсманът не се е присъединил официално към регистъра за прозрачност на Съюза (създаден с Междуинституционалното споразумение от 20 май 2021 г. между Парламента, Съвета и Комисията относно задължителен регистър за прозрачност), за да се гарантира, че Омбудсманът може да разглежда и потенциални жалби във връзка със секретариата на регистъра за прозрачност; отбелязва обаче, че Омбудсманът е привел своите практики в съответствие с принципите на регистъра за прозрачност и проверява дали в него са включени оратори или дискусионни партньори на провежданите от него прояви или срещи; приветства високата степен на прозрачност, постигната от Омбудсмана чрез публикуването на неговия уебсайт на информация относно проверките, командировките (и свързаните с тях разходи), заседанията и проявите, в които Омбудсманът участва, както и оценката на исканията от висши ръководители или членове на кабинета за извършване на професионална дейност, след като са напуснали Омбудсмана;</w:t>
      </w:r>
    </w:p>
    <w:p w14:paraId="2588ED20" w14:textId="77777777" w:rsidR="00EB3A33" w:rsidRPr="00EB6FE5" w:rsidRDefault="00EB3A33" w:rsidP="00EB3A33">
      <w:pPr>
        <w:pStyle w:val="NormalHanging12a"/>
        <w:ind w:left="0" w:firstLine="0"/>
        <w:rPr>
          <w:b/>
          <w:i/>
        </w:rPr>
      </w:pPr>
      <w:r w:rsidRPr="00EB6FE5">
        <w:rPr>
          <w:b/>
          <w:i/>
        </w:rPr>
        <w:t>Сгради</w:t>
      </w:r>
    </w:p>
    <w:p w14:paraId="10FDA7FD" w14:textId="77777777" w:rsidR="00EB3A33" w:rsidRPr="00EB6FE5" w:rsidRDefault="00EB3A33" w:rsidP="00EB3A33">
      <w:pPr>
        <w:pStyle w:val="NormalHanging12a"/>
      </w:pPr>
      <w:r w:rsidRPr="00EB6FE5">
        <w:t>34.</w:t>
      </w:r>
      <w:r w:rsidRPr="00EB6FE5">
        <w:tab/>
        <w:t>отбелязва, че окончателният бюджет на Омбудсмана за сгради и свързани с тях разходи (след извършването на трансфери) се е увеличил с около 13,60% – от 1 373 000 EUR през 2023 г. на 1 560 709 EUR през 2024 г.; отбелязва, че бюджетните кредити за наем са се увеличили с приблизително 7 % – от 866 100 EUR през 2023 г. на 926 620 EUR през 2024 г.; отбелязва, че степента на изпълнение за плащанията и през двете години е близо 100 %;</w:t>
      </w:r>
    </w:p>
    <w:p w14:paraId="6E2253B3" w14:textId="77777777" w:rsidR="00EB3A33" w:rsidRPr="00EB6FE5" w:rsidRDefault="00EB3A33" w:rsidP="00EB3A33">
      <w:pPr>
        <w:pStyle w:val="NormalHanging12a"/>
      </w:pPr>
      <w:r w:rsidRPr="00EB6FE5">
        <w:t>35.</w:t>
      </w:r>
      <w:r w:rsidRPr="00EB6FE5">
        <w:tab/>
        <w:t xml:space="preserve">отбелязва въз основа на въпросника, че не са направени промени в условията на </w:t>
      </w:r>
      <w:r w:rsidRPr="00EB6FE5">
        <w:lastRenderedPageBreak/>
        <w:t>отделните служби на Омбудсмана, които преди това са били доведени до знанието на органа по освобождаване от отговорност; отбелязва със задоволство, че сградата „Хавел“ в Страсбург е напълно достъпна за лица с намалена подвижност или други увреждания; подкрепя Омбудсмана в усилията му да подобри достъпността на помещенията, наети в Брюксел;</w:t>
      </w:r>
    </w:p>
    <w:p w14:paraId="35F1DC1C" w14:textId="77777777" w:rsidR="00EB3A33" w:rsidRPr="00EB6FE5" w:rsidRDefault="00EB3A33" w:rsidP="00EB3A33">
      <w:pPr>
        <w:pStyle w:val="NormalHanging12a"/>
        <w:ind w:left="0" w:firstLine="0"/>
        <w:rPr>
          <w:b/>
          <w:bCs/>
          <w:i/>
          <w:iCs/>
        </w:rPr>
      </w:pPr>
      <w:r w:rsidRPr="00EB6FE5">
        <w:rPr>
          <w:b/>
          <w:i/>
        </w:rPr>
        <w:t>Цифровизация, киберсигурност и защита на данните</w:t>
      </w:r>
      <w:bookmarkStart w:id="12" w:name="_Hlk215320147"/>
    </w:p>
    <w:p w14:paraId="1A95EF2C" w14:textId="77777777" w:rsidR="00EB3A33" w:rsidRPr="00EB6FE5" w:rsidRDefault="00EB3A33" w:rsidP="00EB3A33">
      <w:pPr>
        <w:spacing w:after="240"/>
        <w:ind w:left="567" w:hanging="567"/>
      </w:pPr>
      <w:r w:rsidRPr="00EB6FE5">
        <w:t>36.</w:t>
      </w:r>
      <w:r w:rsidRPr="00EB6FE5">
        <w:tab/>
        <w:t>поздравява Омбудсмана за финализирането през 2024 г. на ключов проект относно цифровизацията на неговите исторически архиви, преди тяхното прехвърляне към историческите архиви на Съюза във Флоренция; отбелязва със задоволство, че архивите на Омбудсмана вече се съхраняват и са достъпни за бъдещите поколения;</w:t>
      </w:r>
    </w:p>
    <w:p w14:paraId="05052C07" w14:textId="77777777" w:rsidR="00EB3A33" w:rsidRPr="00EB6FE5" w:rsidRDefault="00EB3A33" w:rsidP="00EB3A33">
      <w:pPr>
        <w:spacing w:after="240"/>
        <w:ind w:left="567" w:hanging="567"/>
      </w:pPr>
      <w:r w:rsidRPr="00EB6FE5">
        <w:t>37.</w:t>
      </w:r>
      <w:r w:rsidRPr="00EB6FE5">
        <w:tab/>
        <w:t>приветства положителното въздействие на използването от страна на Омбудсмана на автоматични преводи, които подобриха достъпността на уебсайта на Омбудсмана, рационализираха разпределянето на случаите и ускориха обработването на жалбите, което доведе до намаляване на разходите за писмен превод с над 65 % (от 2022 до 2024 г.) и на административната тежест; насърчава Омбудсмана да продължи да изпитва и оценява инструментите с изкуствен интелект и случаите на употреба, като същевременно възприеме предпазлив подход към тяхното разработване и внедряване; в този контекст призовава Омбудсмана да вземе предвид средносрочните бюджетни последици, свързани с поддръжката, възможностите за разрастване, уменията на персонала и потенциалните зависимости от цифрови инструменти и доставчици на услуги, и да гарантира, че внедряването остава сигурно и подлежи на подходящ човешки надзор;</w:t>
      </w:r>
    </w:p>
    <w:p w14:paraId="3276AF22" w14:textId="77777777" w:rsidR="00EB3A33" w:rsidRPr="00EB6FE5" w:rsidRDefault="00EB3A33" w:rsidP="00EB3A33">
      <w:pPr>
        <w:spacing w:after="240"/>
        <w:ind w:left="567" w:hanging="567"/>
      </w:pPr>
      <w:r w:rsidRPr="00EB6FE5">
        <w:t>38.</w:t>
      </w:r>
      <w:r w:rsidRPr="00EB6FE5">
        <w:tab/>
        <w:t>отбелязва със задоволство въз основа на въпросника, че Омбудсманът е въвел вътрешни насоки относно използването на инструменти с генеративен изкуствен интелект на трети страни, които следва да осигурят яснота и ориентация относно безопасното и ефективно интегриране на инструментите с изкуствен интелект в работните процеси на Омбудсмана; очаква планираното разширяване на използването на изкуствен интелект в области извън превода, например за интегрирането на резултатите от практиката на „Омбудсмана“ в рамките на голям езиков модел на Комисията и за използване на историческата съдебна практика, която ще се използва при бъдещи разследвания; насърчава Омбудсмана да продължи да изпитва и внедрява инструменти с ИИ, когато те доказано подобряват достъпността и ефективността; подчертава обаче необходимостта от ясно управление, човешки надзор, прозрачност спрямо ползвателите и стабилни гаранции за защита на данните, включително документирани оценки на риска и контрол на качеството за автоматизираните резултати, по-специално когато ИИ може да повлияе на разглеждането на случаите, разпределението или външните комуникации; призовава Омбудсмана да гарантира, че цялата правна информация, генерирана от ИИ, се проверява от служители, на които са възложени проверки, и дава приоритет на устния превод, предоставян от човека, пред основаните на ИИ решения; освен това изисква да се докладва относно техническите мерки, приети за премахване на предубедеността на алгоритмите и за запазване на обективността на констатациите на Омбудсмана;</w:t>
      </w:r>
    </w:p>
    <w:p w14:paraId="0E2973BC" w14:textId="77777777" w:rsidR="00EB3A33" w:rsidRPr="00EB6FE5" w:rsidRDefault="00EB3A33" w:rsidP="00EB3A33">
      <w:pPr>
        <w:pStyle w:val="NormalHanging12a"/>
      </w:pPr>
      <w:r w:rsidRPr="00EB6FE5">
        <w:t>39.</w:t>
      </w:r>
      <w:r w:rsidRPr="00EB6FE5">
        <w:tab/>
        <w:t xml:space="preserve">отбелязва със задоволство въз основа на въпросника, че през 2024 г. един </w:t>
      </w:r>
      <w:r w:rsidRPr="00EB6FE5">
        <w:lastRenderedPageBreak/>
        <w:t>служител е преминал интензивно двумесечно обучение в областта на науката за данните и изкуствения интелект с цел укрепване на експертния опит на Омбудсмана в тази област и понастоящем представлява Омбудсмана в мрежата от кореспонденти за изкуствения интелект, създадена от Европейския надзорен орган по защита на данните (ЕНОЗД) след влизането в сила на Регламент (ЕС) 2024/1689 („Акта за изкуствения интелект“)</w:t>
      </w:r>
      <w:r w:rsidRPr="00EB6FE5">
        <w:rPr>
          <w:vertAlign w:val="superscript"/>
        </w:rPr>
        <w:footnoteReference w:id="12"/>
      </w:r>
      <w:r w:rsidRPr="00EB6FE5">
        <w:t>; отбелязва освен това ангажимента на Омбудсмана да разработи обучение относно безопасното и етично използване на инструменти с изкуствен интелект за всички свои служители; отбелязва освен това, че през цялата 2024 г. Омбудсманът е провеждал ежемесечно целенасочено задължително обучение за повишаване на осведомеността и уменията на персонала по отношение на най-добрите практики в областта на киберсигурността; отбелязва със задоволство, че Омбудсманът изисква от всички свои служители да преминават редовни обучения в областта на киберсигурността; насърчава Омбудсмана да продължи да разработва своята стратегия за цифровизация, като гарантира, че внедряването на инструменти с изкуствен интелект продължава да бъде в пълно съответствие с принципите на етично използване, прозрачност, защита на данните, човешки надзор и защита срещу алгоритмична предубеденост или злоупотреба;</w:t>
      </w:r>
    </w:p>
    <w:p w14:paraId="6749B89A" w14:textId="77777777" w:rsidR="00EB3A33" w:rsidRPr="00EB6FE5" w:rsidRDefault="00EB3A33" w:rsidP="00EB3A33">
      <w:pPr>
        <w:pStyle w:val="NormalHanging12a"/>
        <w:rPr>
          <w:bCs/>
          <w:iCs/>
        </w:rPr>
      </w:pPr>
      <w:r w:rsidRPr="00EB6FE5">
        <w:t>40.</w:t>
      </w:r>
      <w:r w:rsidRPr="00EB6FE5">
        <w:tab/>
        <w:t>подчертава значението на обществените поръчки като средство за постигане на напредък по целите на политиката, като например програмата в областта на околната среда и социалните въпроси; призовава Омбудсмана да засили включването на стратегически критерии за социална отговорност и екологична устойчивост в своите процедури за възлагане на обществени поръчки;</w:t>
      </w:r>
    </w:p>
    <w:p w14:paraId="123BECD3" w14:textId="77777777" w:rsidR="00EB3A33" w:rsidRPr="00EB6FE5" w:rsidRDefault="00EB3A33" w:rsidP="00EB3A33">
      <w:pPr>
        <w:spacing w:after="240"/>
        <w:ind w:left="567" w:hanging="567"/>
      </w:pPr>
      <w:r w:rsidRPr="00EB6FE5">
        <w:t>41.</w:t>
      </w:r>
      <w:r w:rsidRPr="00EB6FE5">
        <w:tab/>
        <w:t xml:space="preserve">отбелязва, че по отношение на информационните технологии Омбудсманът разчита на рамката на Парламента за инфраструктура и киберсигурност и си сътрудничи тясно с Комисията за интегрирането и поддръжката на корпоративните инструменти на Съюза (SYSPER, ABAC, </w:t>
      </w:r>
      <w:proofErr w:type="spellStart"/>
      <w:r w:rsidRPr="00EB6FE5">
        <w:t>MiPS</w:t>
      </w:r>
      <w:proofErr w:type="spellEnd"/>
      <w:r w:rsidRPr="00EB6FE5">
        <w:t xml:space="preserve"> и ARES) и използването на рамкови договори в областта на информационните технологии; признава успеха на дългогодишния подход на Омбудсмана за обезпечаване на интегрирани системи и ресурси от тези две институции, с цел да се оптимизира използването на бюджета и да се подобри координацията, например в областта на цифровизацията; отбелязва, че за основните операции Омбудсманът запазва пряк контрол върху разработването и поддръжката на инструменти в рамките на сигурната среда на Парламента, като по този начин се осигурява гъвкавост, защита на данните и повишена киберсигурност; отбелязва, че през 2024 г. Омбудсманът не е бил обект на кибератаки;</w:t>
      </w:r>
    </w:p>
    <w:p w14:paraId="1FF91E51" w14:textId="77777777" w:rsidR="00EB3A33" w:rsidRPr="00EB6FE5" w:rsidRDefault="00EB3A33" w:rsidP="00EB3A33">
      <w:pPr>
        <w:spacing w:after="240"/>
        <w:ind w:left="567" w:hanging="567"/>
      </w:pPr>
      <w:r w:rsidRPr="00EB6FE5">
        <w:t>42.</w:t>
      </w:r>
      <w:r w:rsidRPr="00EB6FE5">
        <w:tab/>
        <w:t xml:space="preserve">отбелязва въз основа на въпросника, че през декември 2024 г., след жалба от субект на данни, ЕНОЗД е започнал производство срещу Омбудсмана съгласно </w:t>
      </w:r>
      <w:r w:rsidRPr="00EB6FE5">
        <w:lastRenderedPageBreak/>
        <w:t>член 57, параграф 1, буква д) от Регламент (ЕС) 2018/1725</w:t>
      </w:r>
      <w:r w:rsidRPr="00EB6FE5">
        <w:rPr>
          <w:rStyle w:val="FootnoteReference"/>
        </w:rPr>
        <w:footnoteReference w:id="13"/>
      </w:r>
      <w:r w:rsidRPr="00EB6FE5">
        <w:t>; отбелязва, че след като Омбудсманът е предоставил поисканите разяснения, ЕНОЗД е приключил разглеждането на случая през 2025 г., като е стигнал до заключението, че субектът на данни е получил достатъчно информация;</w:t>
      </w:r>
      <w:bookmarkEnd w:id="12"/>
    </w:p>
    <w:p w14:paraId="330CBDBA" w14:textId="77777777" w:rsidR="00EB3A33" w:rsidRPr="00EB6FE5" w:rsidRDefault="00EB3A33" w:rsidP="00EB3A33">
      <w:pPr>
        <w:spacing w:after="240"/>
      </w:pPr>
      <w:r w:rsidRPr="00EB6FE5">
        <w:rPr>
          <w:b/>
          <w:i/>
        </w:rPr>
        <w:t>Околна среда и устойчивост</w:t>
      </w:r>
    </w:p>
    <w:p w14:paraId="0AD75A2C" w14:textId="77777777" w:rsidR="00EB3A33" w:rsidRPr="00EB6FE5" w:rsidRDefault="00EB3A33" w:rsidP="00EB3A33">
      <w:pPr>
        <w:spacing w:after="240"/>
        <w:ind w:left="567" w:hanging="567"/>
      </w:pPr>
      <w:r w:rsidRPr="00EB6FE5">
        <w:t>43.</w:t>
      </w:r>
      <w:r w:rsidRPr="00EB6FE5">
        <w:tab/>
        <w:t xml:space="preserve">отбелязва въз основа на годишния доклад и въпросника, че Омбудсманът е продължил да намалява своя отпечатък върху околната среда чрез цифровизация на своите процеси, премахване на отделните принтери, </w:t>
      </w:r>
      <w:proofErr w:type="spellStart"/>
      <w:r w:rsidRPr="00EB6FE5">
        <w:t>неподмяна</w:t>
      </w:r>
      <w:proofErr w:type="spellEnd"/>
      <w:r w:rsidRPr="00EB6FE5">
        <w:t xml:space="preserve"> на централните процесори при достигане на края на жизнения цикъл и почти пълно преминаване към цифрови публикации; приветства усилията на Омбудсмана да направи проявите по-устойчиви, включително чрез използване на QR кодове и кетъринг услуги с местно снабдяване, както и чрез прилагане на мерки за предотвратяване на разхищението на храни; отбелязва със задоволство, че и двете сгради, в които има офиси на Омбудсмана, използват 100 % електроенергия от възобновяеми източници, доставяна съгласно договорите на Парламента, и че инсталирането от Парламента на слънчеви панели в сградите му в Страсбург, включително сградата „Хавел“, е започнало да генерира електроенергия през 2024 г.;</w:t>
      </w:r>
    </w:p>
    <w:p w14:paraId="02AAF60C" w14:textId="77777777" w:rsidR="00EB3A33" w:rsidRPr="00EB6FE5" w:rsidRDefault="00EB3A33" w:rsidP="00EB3A33">
      <w:pPr>
        <w:spacing w:after="240"/>
        <w:ind w:left="567" w:hanging="567"/>
        <w:rPr>
          <w:b/>
          <w:bCs/>
          <w:i/>
          <w:iCs/>
        </w:rPr>
      </w:pPr>
      <w:r w:rsidRPr="00EB6FE5">
        <w:t>44.</w:t>
      </w:r>
      <w:r w:rsidRPr="00EB6FE5">
        <w:tab/>
        <w:t>отбелязва, че тъй като Омбудсманът наема помещенията си от Парламента, той се възползва от управлението на околната среда на Парламента съгласно EMAS, включително от мерки като температурните настройки от 19 °C през зимата, селективното сортиране на отпадъците, събирането на биологични отпадъци, въведено през 2024 г., и замяната на кухненските изделия за еднократна употреба с трайни съдове и прибори за сервиране; приветства прилагането от Омбудсмана на принципите за екологосъобразни обществени поръчки както чрез собствените му договори, така и чрез споразумения за сътрудничество с други институции на Съюза;</w:t>
      </w:r>
    </w:p>
    <w:p w14:paraId="73ADD657" w14:textId="77777777" w:rsidR="00EB3A33" w:rsidRPr="00EB6FE5" w:rsidRDefault="00EB3A33" w:rsidP="00EB3A33">
      <w:pPr>
        <w:spacing w:after="240"/>
        <w:ind w:left="567" w:hanging="567"/>
        <w:rPr>
          <w:b/>
          <w:bCs/>
          <w:i/>
          <w:iCs/>
        </w:rPr>
      </w:pPr>
      <w:r w:rsidRPr="00EB6FE5">
        <w:t>45.</w:t>
      </w:r>
      <w:r w:rsidRPr="00EB6FE5">
        <w:tab/>
        <w:t>приветства продължаващото насърчаване от страна на Омбудсмана на устойчивата мобилност чрез фиксирана вноска за използването на устойчиви видове транспорт, получена от 67 % от отговарящите на условията служители на Омбудсмана (до степен AST8/AD8) през 2024 г., организирането на годишни сесии за поддръжка на велосипеди и редовното участие на неговите служители в междуинституционалните състезания, свързани с колоезденето и ходенето пеша; отбелязва, че възможностите за паркиране на автомобили остават ограничени, докато инфраструктурата за велосипеди продължава да се подобрява;</w:t>
      </w:r>
    </w:p>
    <w:p w14:paraId="6F04B959" w14:textId="77777777" w:rsidR="00EB3A33" w:rsidRPr="00EB6FE5" w:rsidRDefault="00EB3A33" w:rsidP="00EB3A33">
      <w:pPr>
        <w:spacing w:after="240"/>
        <w:ind w:left="567" w:hanging="567"/>
      </w:pPr>
      <w:r w:rsidRPr="00EB6FE5">
        <w:t>46.</w:t>
      </w:r>
      <w:r w:rsidRPr="00EB6FE5">
        <w:tab/>
        <w:t xml:space="preserve">отбелязва със задоволство усилията на Омбудсмана за намаляване на емисиите, свързани с пътуванията, чрез систематично насърчаване на видеоконферентните връзки и цифровите решения като алтернативи на командировките и чрез насърчаване на пътуването с влак пред въздушния транспорт; насърчава Омбудсмана да продължи да интегрира съображенията за устойчивост в своите </w:t>
      </w:r>
      <w:r w:rsidRPr="00EB6FE5">
        <w:lastRenderedPageBreak/>
        <w:t>дейности за управление на риска и повишаване на осведомеността в съответствие с оперативната си цел за 2024 г. за насърчаване на екологичната и социалната отговорност;</w:t>
      </w:r>
    </w:p>
    <w:p w14:paraId="234771E9" w14:textId="77777777" w:rsidR="00EB3A33" w:rsidRPr="00EB6FE5" w:rsidRDefault="00EB3A33" w:rsidP="00EB3A33">
      <w:pPr>
        <w:pStyle w:val="NormalHanging12a"/>
        <w:rPr>
          <w:b/>
          <w:i/>
        </w:rPr>
      </w:pPr>
      <w:r w:rsidRPr="00EB6FE5">
        <w:rPr>
          <w:b/>
          <w:i/>
        </w:rPr>
        <w:t>Междуинституционално сътрудничество</w:t>
      </w:r>
    </w:p>
    <w:p w14:paraId="06E9C4C0" w14:textId="77777777" w:rsidR="00EB3A33" w:rsidRPr="00EB6FE5" w:rsidRDefault="00EB3A33" w:rsidP="00EB3A33">
      <w:pPr>
        <w:pStyle w:val="NormalHanging12a"/>
      </w:pPr>
      <w:r w:rsidRPr="00EB6FE5">
        <w:t>47.</w:t>
      </w:r>
      <w:r w:rsidRPr="00EB6FE5">
        <w:tab/>
        <w:t>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от Омбудсмана с Парламента и Комисията в различни области, и участието в междуинституционални процедури за възлагане на обществени поръчки; приветства формализирането на сътрудничеството между Парламента и Омбудсмана през октомври 2024 г. в областта на киберсигурността чрез преразгледано междуинституционално споразумение, което осигурява рамка за Парламента, за да може той да продължи да предоставя солидна подкрепа за киберсигурността на Омбудсмана; подчертава, че това сътрудничество е от съществено значение, за да се избегне дублирането на структури и да се гарантира ефективното използване на ресурсите на Съюза; насърчава Омбудсмана да гарантира, че на всички служители се предоставя редовно и актуално обучение в областта на киберсигурността, за да се поддържа високо равнище на осведоменост и устойчивост срещу променящите се киберзаплахи;</w:t>
      </w:r>
    </w:p>
    <w:p w14:paraId="512DA9B4" w14:textId="77777777" w:rsidR="00EB3A33" w:rsidRPr="00EB6FE5" w:rsidRDefault="00EB3A33" w:rsidP="00EB3A33">
      <w:pPr>
        <w:pStyle w:val="NormalHanging12a"/>
      </w:pPr>
      <w:r w:rsidRPr="00EB6FE5">
        <w:t>48.</w:t>
      </w:r>
      <w:r w:rsidRPr="00EB6FE5">
        <w:tab/>
        <w:t xml:space="preserve">поздравява Омбудсмана за доброто му сътрудничество с Европейската служба за борба с измамите (OLAF) и Палатата, което през 2024 г. беше под формата на срещи и размяна на мнения между Омбудсмана, членовете на Палатата и генералния директор на OLAF; отбелязва, че Омбудсманът също така се е изказал на конференция на Палатата относно прозрачността при възстановяването на средства на Съюза; отбелязва освен това, че през 2024 г. Омбудсманът е представил констатациите от ключови разследвания на съответните комисии на Парламента и е продължил доброто си сътрудничество с националните и регионалните омбудсмани чрез процедурата за оправяне на запитване, при която членовете на Европейската мрежа на омбудсманите (ЕМО) могат да задават въпроси относно правото на Съюза, които възникват по време на техните проверки, а Омбудсманът получава експертни отговори от институциите на Съюза; отбелязва в този контекст, че през 2024 г. Омбудсманът е организирал </w:t>
      </w:r>
      <w:proofErr w:type="spellStart"/>
      <w:r w:rsidRPr="00EB6FE5">
        <w:t>уебинар</w:t>
      </w:r>
      <w:proofErr w:type="spellEnd"/>
      <w:r w:rsidRPr="00EB6FE5">
        <w:t xml:space="preserve"> на ЕМО по различни теми, включително прилагането на Директивата на Съюза за лицата, сигнализиращи за нередности, както и въпроси, свързани със свободното движение;</w:t>
      </w:r>
    </w:p>
    <w:p w14:paraId="5FD441D2" w14:textId="77777777" w:rsidR="00EB3A33" w:rsidRPr="00EB6FE5" w:rsidRDefault="00EB3A33" w:rsidP="00EB3A33">
      <w:pPr>
        <w:pStyle w:val="NormalHanging12a"/>
      </w:pPr>
      <w:r w:rsidRPr="00EB6FE5">
        <w:t>49.</w:t>
      </w:r>
      <w:r w:rsidRPr="00EB6FE5">
        <w:tab/>
        <w:t>отбелязва въз основа на въпросника, че Омбудсманът и ЕНОЗД си сътрудничат главно спорадично и неформално с цел бързо и ефикасно съдействие, когато това е необходимо; отбелязва освен това със задоволство, че Омбудсманът и ЕНОЗД разполагат с меморандум за разбирателство, въведен с цел да регулира техните съответни правомощия за разглеждане на жалби и да се избягва дублирането на процедури;</w:t>
      </w:r>
    </w:p>
    <w:p w14:paraId="6CEDF08D" w14:textId="77777777" w:rsidR="00EB3A33" w:rsidRPr="00EB6FE5" w:rsidRDefault="00EB3A33" w:rsidP="00EB3A33">
      <w:pPr>
        <w:pStyle w:val="NormalHanging12a"/>
      </w:pPr>
      <w:r w:rsidRPr="00EB6FE5">
        <w:t>50.</w:t>
      </w:r>
      <w:r w:rsidRPr="00EB6FE5">
        <w:tab/>
        <w:t xml:space="preserve">приветства факта, че през 2024 г. Омбудсманът е продължил тясното си сътрудничество със съответните комисии на Парламента (комисията по петиции, комисията по граждански свободи, правосъдие и вътрешни работи, подкомисията правата на човека) по важни проверки чрез пряко представяне на работата си на заседанията на комисиите или чрез изпращане на информация до председателите </w:t>
      </w:r>
      <w:r w:rsidRPr="00EB6FE5">
        <w:lastRenderedPageBreak/>
        <w:t>на комисии; подчертава, че стратегическите инициативи и проверки, осъществявани от Омбудсмана, са от основно значение за подобряване на прозрачността и отчетността на администрацията на Съюза;</w:t>
      </w:r>
    </w:p>
    <w:p w14:paraId="7F323433" w14:textId="77777777" w:rsidR="00EB3A33" w:rsidRPr="00EB6FE5" w:rsidRDefault="00EB3A33" w:rsidP="00EB3A33">
      <w:pPr>
        <w:spacing w:after="240"/>
        <w:rPr>
          <w:b/>
          <w:i/>
        </w:rPr>
      </w:pPr>
      <w:r w:rsidRPr="00EB6FE5">
        <w:rPr>
          <w:b/>
          <w:i/>
        </w:rPr>
        <w:t>Комуникация</w:t>
      </w:r>
    </w:p>
    <w:p w14:paraId="440986C8" w14:textId="77777777" w:rsidR="00EB3A33" w:rsidRPr="00EB6FE5" w:rsidRDefault="00EB3A33" w:rsidP="00EB3A33">
      <w:pPr>
        <w:pStyle w:val="NormalHanging12a"/>
      </w:pPr>
      <w:r w:rsidRPr="00EB6FE5">
        <w:t>51.</w:t>
      </w:r>
      <w:r w:rsidRPr="00EB6FE5">
        <w:tab/>
        <w:t>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155 200 EUR през 2023 г. на 96 515 EUR през 2024 г.; подчертава, че въпреки че бюджетните средства трябва да бъдат стратегически и ориентирани към резултатите, Омбудсманът следва да продължи да се съсредоточава върху това да информира гражданите относно неговия мандат и да запази достатъчно комуникационен капацитет, по-специално за гражданите, които се обръщат към Омбудсмана, за да се разгледат опасения на равнището на Съюза; приканва Омбудсмана да помисли за преразпределяне на икономиите, за да се гарантира, че Омбудсманът поддържа необходимата видимост и информационни дейности;</w:t>
      </w:r>
    </w:p>
    <w:p w14:paraId="3C84830B" w14:textId="77777777" w:rsidR="00EB3A33" w:rsidRPr="00EB6FE5" w:rsidRDefault="00EB3A33" w:rsidP="00EB3A33">
      <w:pPr>
        <w:pStyle w:val="NormalHanging12a"/>
      </w:pPr>
      <w:r w:rsidRPr="00EB6FE5">
        <w:t>52.</w:t>
      </w:r>
      <w:r w:rsidRPr="00EB6FE5">
        <w:tab/>
        <w:t>признава усилията на Омбудсмана за предоставяне на прозрачна информация и за публикуването на данни (включително статистика за неговата натовареност) в информативен и удобен за ползване формат на уебсайта на Омбудсмана; приветства публикуването на уебсайта на график за всички проверки по жалби, в който се предоставя информация за миналите и бъдещите ключови етапи от всяко проучване;</w:t>
      </w:r>
    </w:p>
    <w:p w14:paraId="42A41569" w14:textId="77777777" w:rsidR="00EB3A33" w:rsidRPr="00EB6FE5" w:rsidRDefault="00EB3A33" w:rsidP="00EB3A33">
      <w:pPr>
        <w:pStyle w:val="NormalHanging12a"/>
      </w:pPr>
      <w:r w:rsidRPr="00EB6FE5">
        <w:t>53.</w:t>
      </w:r>
      <w:r w:rsidRPr="00EB6FE5">
        <w:tab/>
        <w:t xml:space="preserve">отбелязва въз основа на въпросника и годишния доклад, че през 2024 г. Омбудсманът е разширил усилията си за популяризиране, като е стартирал профили в </w:t>
      </w:r>
      <w:proofErr w:type="spellStart"/>
      <w:r w:rsidRPr="00EB6FE5">
        <w:t>Threads</w:t>
      </w:r>
      <w:proofErr w:type="spellEnd"/>
      <w:r w:rsidRPr="00EB6FE5">
        <w:t xml:space="preserve"> и </w:t>
      </w:r>
      <w:proofErr w:type="spellStart"/>
      <w:r w:rsidRPr="00EB6FE5">
        <w:t>Bluesky</w:t>
      </w:r>
      <w:proofErr w:type="spellEnd"/>
      <w:r w:rsidRPr="00EB6FE5">
        <w:t>, като по този начин е диверсифицирал присъствието си в социалните медии; отбелязва, че Омбудсманът е продължил да насочва вниманието към ключови тематични области чрез специални кампании в социалните медии и уеб истории, като през 2024 г. комуникацията е била съсредоточена върху етичните стандарти в рамките на институциите на Съюза; приветства въз основа на доклада за последващите действия ключовата стратегическа цел на новоизбрания Омбудсман за овластяване на гражданите, което ще включва целенасочени комуникационни дейности, за да се гарантира, че гражданите, които се нуждаят от Омбудсмана, са запознати със своите права и използват услугите на Омбудсмана;</w:t>
      </w:r>
    </w:p>
    <w:p w14:paraId="2BD643DF" w14:textId="77777777" w:rsidR="00EB3A33" w:rsidRPr="00EB6FE5" w:rsidRDefault="00EB3A33" w:rsidP="00EB3A33">
      <w:pPr>
        <w:pStyle w:val="NormalHanging12a"/>
      </w:pPr>
      <w:r w:rsidRPr="00EB6FE5">
        <w:t>54.</w:t>
      </w:r>
      <w:r w:rsidRPr="00EB6FE5">
        <w:tab/>
        <w:t>приветства редовния бюлетин на Омбудсмана „ЕО Express“, който информира абонатите чрез популяризиране на всички платформите; подчертава, че Омбудсманът е участвал в широк спектър от прояви, организирани от Съюза и международни органи, и е провеждал чести интервюта с медиите, за да изясни мандата на Омбудсмана, да обясни кои видове жалби може да разглежда и да информира гражданите кога могат да потърсят подкрепа от Омбудсмана;</w:t>
      </w:r>
    </w:p>
    <w:p w14:paraId="55F69CF9" w14:textId="77777777" w:rsidR="00EB3A33" w:rsidRPr="00EB6FE5" w:rsidRDefault="00EB3A33" w:rsidP="00EB3A33">
      <w:pPr>
        <w:pStyle w:val="NormalHanging12a"/>
      </w:pPr>
      <w:r w:rsidRPr="00EB6FE5">
        <w:t>55.</w:t>
      </w:r>
      <w:r w:rsidRPr="00EB6FE5">
        <w:tab/>
        <w:t xml:space="preserve">отбелязва със задоволство въз основа на въпросника, че уебсайтът на Омбудсмана е проектиран така, че да бъде съобразен със стандартите и насоките на Съюза за достъпност и предоставя на потребителите приобщаваща и безпрепятствена онлайн среда, оборудвана с различни характеристики за достъпност; отбелязва, че одитът на достъпността и използваемостта на уебсайта на Омбудсмана, извършен през 2025 г., показва средно съответствие от почти 90 %; насърчава Омбудсмана </w:t>
      </w:r>
      <w:r w:rsidRPr="00EB6FE5">
        <w:lastRenderedPageBreak/>
        <w:t>да продължи да извършва редовни одити по този въпрос;</w:t>
      </w:r>
    </w:p>
    <w:p w14:paraId="70F0E9ED" w14:textId="2453CEB5" w:rsidR="00EB6FE5" w:rsidRPr="00EB6FE5" w:rsidRDefault="00EB3A33" w:rsidP="00EB6FE5">
      <w:pPr>
        <w:pStyle w:val="NormalHanging12a"/>
      </w:pPr>
      <w:r w:rsidRPr="00EB6FE5">
        <w:t>56.</w:t>
      </w:r>
      <w:r w:rsidRPr="00EB6FE5">
        <w:tab/>
        <w:t xml:space="preserve">приветства трайното равнище на медийно внимание с около 5 000 статии, в които се споменава работата на Омбудсмана през 2024 г.; отбелязва, че Омбудсманът оценява обществената ангажираност предимно чрез растежа на активността в социалните медии и трафика на уебсайтове, а броят на последователите е нараствал постоянно през годината; отбелязва, че профилите на Омбудсмана в Instagram, </w:t>
      </w:r>
      <w:proofErr w:type="spellStart"/>
      <w:r w:rsidRPr="00EB6FE5">
        <w:t>LinkedIn</w:t>
      </w:r>
      <w:proofErr w:type="spellEnd"/>
      <w:r w:rsidRPr="00EB6FE5">
        <w:t xml:space="preserve"> и X са достигнали общо 9 186 допълнителни последователи, което надхвърля целите му за дейности в социалните медии през 2024 г., както и по отношение на броя на отделните посетители на неговия уебсайт; подчертава, че е важно да продължи да се отдава приоритет на външната комуникация, за да се повиши обществената осведоменост относно мандата на Омбудсмана и услугите, които той предоставя на гражданите на Съюза;</w:t>
      </w:r>
    </w:p>
    <w:p w14:paraId="0167CC2F" w14:textId="46313C89" w:rsidR="00E365E1" w:rsidRPr="00EB6FE5" w:rsidRDefault="00E365E1" w:rsidP="00F27E2F"/>
    <w:sectPr w:rsidR="00E365E1" w:rsidRPr="00EB6FE5" w:rsidSect="00EB6FE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ABC2B" w14:textId="77777777" w:rsidR="00F27E2F" w:rsidRPr="00EB6FE5" w:rsidRDefault="00F27E2F">
      <w:r w:rsidRPr="00EB6FE5">
        <w:separator/>
      </w:r>
    </w:p>
  </w:endnote>
  <w:endnote w:type="continuationSeparator" w:id="0">
    <w:p w14:paraId="1CF11C60" w14:textId="77777777" w:rsidR="00F27E2F" w:rsidRPr="00EB6FE5" w:rsidRDefault="00F27E2F">
      <w:r w:rsidRPr="00EB6F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F858" w14:textId="77777777" w:rsidR="00EB3A33" w:rsidRPr="00EB6FE5" w:rsidRDefault="00EB3A33" w:rsidP="004266A3">
    <w:pPr>
      <w:pStyle w:val="EPFooter"/>
    </w:pPr>
    <w:r w:rsidRPr="00EB6FE5">
      <w:t>PE</w:t>
    </w:r>
    <w:r w:rsidRPr="00EB6FE5">
      <w:rPr>
        <w:rStyle w:val="HideTWBExt"/>
      </w:rPr>
      <w:t>&lt;</w:t>
    </w:r>
    <w:proofErr w:type="spellStart"/>
    <w:r w:rsidRPr="00EB6FE5">
      <w:rPr>
        <w:rStyle w:val="HideTWBExt"/>
      </w:rPr>
      <w:t>NoPE</w:t>
    </w:r>
    <w:proofErr w:type="spellEnd"/>
    <w:r w:rsidRPr="00EB6FE5">
      <w:rPr>
        <w:rStyle w:val="HideTWBExt"/>
      </w:rPr>
      <w:t>&gt;</w:t>
    </w:r>
    <w:r w:rsidRPr="00EB6FE5">
      <w:t>778.065</w:t>
    </w:r>
    <w:r w:rsidRPr="00EB6FE5">
      <w:rPr>
        <w:rStyle w:val="HideTWBExt"/>
      </w:rPr>
      <w:t>&lt;/</w:t>
    </w:r>
    <w:proofErr w:type="spellStart"/>
    <w:r w:rsidRPr="00EB6FE5">
      <w:rPr>
        <w:rStyle w:val="HideTWBExt"/>
      </w:rPr>
      <w:t>NoPE</w:t>
    </w:r>
    <w:proofErr w:type="spellEnd"/>
    <w:r w:rsidRPr="00EB6FE5">
      <w:rPr>
        <w:rStyle w:val="HideTWBExt"/>
      </w:rPr>
      <w:t>&gt;&lt;Version&gt;</w:t>
    </w:r>
    <w:r w:rsidRPr="00EB6FE5">
      <w:t>v02-00</w:t>
    </w:r>
    <w:r w:rsidRPr="00EB6FE5">
      <w:rPr>
        <w:rStyle w:val="HideTWBExt"/>
      </w:rPr>
      <w:t>&lt;/</w:t>
    </w:r>
    <w:proofErr w:type="spellStart"/>
    <w:r w:rsidRPr="00EB6FE5">
      <w:rPr>
        <w:rStyle w:val="HideTWBExt"/>
      </w:rPr>
      <w:t>Version</w:t>
    </w:r>
    <w:proofErr w:type="spellEnd"/>
    <w:r w:rsidRPr="00EB6FE5">
      <w:rPr>
        <w:rStyle w:val="HideTWBExt"/>
      </w:rPr>
      <w:t>&gt;</w:t>
    </w:r>
    <w:r w:rsidRPr="00EB6FE5">
      <w:tab/>
    </w:r>
    <w:r w:rsidRPr="00EB6FE5">
      <w:fldChar w:fldCharType="begin"/>
    </w:r>
    <w:r w:rsidRPr="00EB6FE5">
      <w:instrText xml:space="preserve"> PAGE  \* MERGEFORMAT </w:instrText>
    </w:r>
    <w:r w:rsidRPr="00EB6FE5">
      <w:fldChar w:fldCharType="separate"/>
    </w:r>
    <w:r w:rsidRPr="00EB6FE5">
      <w:rPr>
        <w:noProof/>
      </w:rPr>
      <w:t>24</w:t>
    </w:r>
    <w:r w:rsidRPr="00EB6FE5">
      <w:fldChar w:fldCharType="end"/>
    </w:r>
    <w:r w:rsidRPr="00EB6FE5">
      <w:t>/</w:t>
    </w:r>
    <w:fldSimple w:instr=" NUMPAGES  \* MERGEFORMAT ">
      <w:r w:rsidRPr="00EB6FE5">
        <w:rPr>
          <w:noProof/>
        </w:rPr>
        <w:t>24</w:t>
      </w:r>
    </w:fldSimple>
    <w:r w:rsidRPr="00EB6FE5">
      <w:tab/>
    </w:r>
    <w:r w:rsidRPr="00EB6FE5">
      <w:rPr>
        <w:rStyle w:val="HideTWBExt"/>
      </w:rPr>
      <w:t>&lt;PathFdR&gt;</w:t>
    </w:r>
    <w:r w:rsidRPr="00EB6FE5">
      <w:t>RR\1339391BG.docx</w:t>
    </w:r>
    <w:r w:rsidRPr="00EB6FE5">
      <w:rPr>
        <w:rStyle w:val="HideTWBExt"/>
      </w:rPr>
      <w:t>&lt;/</w:t>
    </w:r>
    <w:proofErr w:type="spellStart"/>
    <w:r w:rsidRPr="00EB6FE5">
      <w:rPr>
        <w:rStyle w:val="HideTWBExt"/>
      </w:rPr>
      <w:t>PathFdR</w:t>
    </w:r>
    <w:proofErr w:type="spellEnd"/>
    <w:r w:rsidRPr="00EB6FE5">
      <w:rPr>
        <w:rStyle w:val="HideTWBExt"/>
      </w:rPr>
      <w:t>&gt;</w:t>
    </w:r>
  </w:p>
  <w:p w14:paraId="57772B53" w14:textId="77777777" w:rsidR="00EB3A33" w:rsidRPr="00EB6FE5" w:rsidRDefault="00EB3A33" w:rsidP="004266A3">
    <w:pPr>
      <w:pStyle w:val="EPFooter2"/>
    </w:pPr>
    <w:r w:rsidRPr="00EB6FE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EDD3" w14:textId="77777777" w:rsidR="00EB3A33" w:rsidRPr="00EB6FE5" w:rsidRDefault="00EB3A33" w:rsidP="004266A3">
    <w:pPr>
      <w:pStyle w:val="EPFooter"/>
    </w:pPr>
    <w:r w:rsidRPr="00EB6FE5">
      <w:rPr>
        <w:rStyle w:val="HideTWBExt"/>
      </w:rPr>
      <w:t>&lt;PathFdR&gt;</w:t>
    </w:r>
    <w:r w:rsidRPr="00EB6FE5">
      <w:t>RR\1339391BG.docx</w:t>
    </w:r>
    <w:r w:rsidRPr="00EB6FE5">
      <w:rPr>
        <w:rStyle w:val="HideTWBExt"/>
      </w:rPr>
      <w:t>&lt;/</w:t>
    </w:r>
    <w:proofErr w:type="spellStart"/>
    <w:r w:rsidRPr="00EB6FE5">
      <w:rPr>
        <w:rStyle w:val="HideTWBExt"/>
      </w:rPr>
      <w:t>PathFdR</w:t>
    </w:r>
    <w:proofErr w:type="spellEnd"/>
    <w:r w:rsidRPr="00EB6FE5">
      <w:rPr>
        <w:rStyle w:val="HideTWBExt"/>
      </w:rPr>
      <w:t>&gt;</w:t>
    </w:r>
    <w:r w:rsidRPr="00EB6FE5">
      <w:tab/>
    </w:r>
    <w:r w:rsidRPr="00EB6FE5">
      <w:tab/>
      <w:t>PE</w:t>
    </w:r>
    <w:r w:rsidRPr="00EB6FE5">
      <w:rPr>
        <w:rStyle w:val="HideTWBExt"/>
      </w:rPr>
      <w:t>&lt;</w:t>
    </w:r>
    <w:proofErr w:type="spellStart"/>
    <w:r w:rsidRPr="00EB6FE5">
      <w:rPr>
        <w:rStyle w:val="HideTWBExt"/>
      </w:rPr>
      <w:t>NoPE</w:t>
    </w:r>
    <w:proofErr w:type="spellEnd"/>
    <w:r w:rsidRPr="00EB6FE5">
      <w:rPr>
        <w:rStyle w:val="HideTWBExt"/>
      </w:rPr>
      <w:t>&gt;</w:t>
    </w:r>
    <w:r w:rsidRPr="00EB6FE5">
      <w:t>778.065</w:t>
    </w:r>
    <w:r w:rsidRPr="00EB6FE5">
      <w:rPr>
        <w:rStyle w:val="HideTWBExt"/>
      </w:rPr>
      <w:t>&lt;/</w:t>
    </w:r>
    <w:proofErr w:type="spellStart"/>
    <w:r w:rsidRPr="00EB6FE5">
      <w:rPr>
        <w:rStyle w:val="HideTWBExt"/>
      </w:rPr>
      <w:t>NoPE</w:t>
    </w:r>
    <w:proofErr w:type="spellEnd"/>
    <w:r w:rsidRPr="00EB6FE5">
      <w:rPr>
        <w:rStyle w:val="HideTWBExt"/>
      </w:rPr>
      <w:t>&gt;&lt;Version&gt;</w:t>
    </w:r>
    <w:r w:rsidRPr="00EB6FE5">
      <w:t>v02-00</w:t>
    </w:r>
    <w:r w:rsidRPr="00EB6FE5">
      <w:rPr>
        <w:rStyle w:val="HideTWBExt"/>
      </w:rPr>
      <w:t>&lt;/</w:t>
    </w:r>
    <w:proofErr w:type="spellStart"/>
    <w:r w:rsidRPr="00EB6FE5">
      <w:rPr>
        <w:rStyle w:val="HideTWBExt"/>
      </w:rPr>
      <w:t>Version</w:t>
    </w:r>
    <w:proofErr w:type="spellEnd"/>
    <w:r w:rsidRPr="00EB6FE5">
      <w:rPr>
        <w:rStyle w:val="HideTWBExt"/>
      </w:rPr>
      <w:t>&gt;</w:t>
    </w:r>
  </w:p>
  <w:p w14:paraId="632B874D" w14:textId="77777777" w:rsidR="00EB3A33" w:rsidRPr="00EB6FE5" w:rsidRDefault="00EB3A33" w:rsidP="004266A3">
    <w:pPr>
      <w:pStyle w:val="EPFooter2"/>
    </w:pPr>
    <w:r w:rsidRPr="00EB6FE5">
      <w:t>BG</w:t>
    </w:r>
    <w:r w:rsidRPr="00EB6FE5">
      <w:tab/>
    </w:r>
    <w:r w:rsidRPr="00EB6FE5">
      <w:rPr>
        <w:b w:val="0"/>
        <w:i/>
        <w:color w:val="C0C0C0"/>
        <w:sz w:val="22"/>
      </w:rPr>
      <w:t>Единство в многообразието</w:t>
    </w:r>
    <w:r w:rsidRPr="00EB6FE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CEB5" w14:textId="77777777" w:rsidR="00064002" w:rsidRPr="00EB6FE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ABA6" w14:textId="77777777" w:rsidR="00064002" w:rsidRPr="00EB6FE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3C0D" w14:textId="77777777" w:rsidR="00064002" w:rsidRPr="00EB6F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F8DA3" w14:textId="77777777" w:rsidR="00F27E2F" w:rsidRPr="00EB6FE5" w:rsidRDefault="00F27E2F">
      <w:r w:rsidRPr="00EB6FE5">
        <w:separator/>
      </w:r>
    </w:p>
  </w:footnote>
  <w:footnote w:type="continuationSeparator" w:id="0">
    <w:p w14:paraId="6F686069" w14:textId="77777777" w:rsidR="00F27E2F" w:rsidRPr="00EB6FE5" w:rsidRDefault="00F27E2F">
      <w:r w:rsidRPr="00EB6FE5">
        <w:continuationSeparator/>
      </w:r>
    </w:p>
  </w:footnote>
  <w:footnote w:id="1">
    <w:p w14:paraId="0BE749E7" w14:textId="4C6AF365"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ОВ L</w:t>
      </w:r>
      <w:r w:rsidR="00BD1045">
        <w:rPr>
          <w:sz w:val="24"/>
          <w:lang w:val="en-GB"/>
        </w:rPr>
        <w:t>,</w:t>
      </w:r>
      <w:r w:rsidRPr="00EB6FE5">
        <w:rPr>
          <w:sz w:val="24"/>
          <w:lang w:val="bg-BG"/>
        </w:rPr>
        <w:t> </w:t>
      </w:r>
      <w:r w:rsidR="00BD1045">
        <w:rPr>
          <w:sz w:val="24"/>
          <w:lang w:val="en-GB"/>
        </w:rPr>
        <w:t>2024/</w:t>
      </w:r>
      <w:r w:rsidRPr="00EB6FE5">
        <w:rPr>
          <w:sz w:val="24"/>
          <w:lang w:val="bg-BG"/>
        </w:rPr>
        <w:t xml:space="preserve">207, 22.2.2024 г., ELI: </w:t>
      </w:r>
      <w:hyperlink r:id="rId1" w:history="1">
        <w:r w:rsidRPr="00EB6FE5">
          <w:rPr>
            <w:rStyle w:val="Hyperlink"/>
            <w:sz w:val="24"/>
            <w:lang w:val="bg-BG"/>
          </w:rPr>
          <w:t>http://data.europa.eu/eli/budget/2024/207/oj</w:t>
        </w:r>
      </w:hyperlink>
      <w:r w:rsidRPr="00EB6FE5">
        <w:rPr>
          <w:sz w:val="24"/>
          <w:lang w:val="bg-BG"/>
        </w:rPr>
        <w:t>.</w:t>
      </w:r>
    </w:p>
  </w:footnote>
  <w:footnote w:id="2">
    <w:p w14:paraId="430AE036" w14:textId="2F14551B"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B6FE5">
          <w:rPr>
            <w:rStyle w:val="Hyperlink"/>
            <w:sz w:val="24"/>
            <w:lang w:val="bg-BG"/>
          </w:rPr>
          <w:t>http://data.europa.eu/eli/C/2025/4944/oj</w:t>
        </w:r>
      </w:hyperlink>
      <w:r w:rsidRPr="00EB6FE5">
        <w:rPr>
          <w:sz w:val="24"/>
          <w:lang w:val="bg-BG"/>
        </w:rPr>
        <w:t>.</w:t>
      </w:r>
    </w:p>
  </w:footnote>
  <w:footnote w:id="3">
    <w:p w14:paraId="1348416D" w14:textId="119B39B0"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 xml:space="preserve">ОВ C, C/2025/5409, 8.10.2025 г., ELI: </w:t>
      </w:r>
      <w:hyperlink r:id="rId3" w:history="1">
        <w:r w:rsidRPr="00EB6FE5">
          <w:rPr>
            <w:rStyle w:val="Hyperlink"/>
            <w:sz w:val="24"/>
            <w:lang w:val="bg-BG"/>
          </w:rPr>
          <w:t>http://data.europa.eu/eli/C/2025/5409/oj</w:t>
        </w:r>
      </w:hyperlink>
      <w:r w:rsidRPr="00EB6FE5">
        <w:rPr>
          <w:rStyle w:val="Hyperlink"/>
          <w:sz w:val="24"/>
          <w:lang w:val="bg-BG"/>
        </w:rPr>
        <w:t>.</w:t>
      </w:r>
    </w:p>
  </w:footnote>
  <w:footnote w:id="4">
    <w:p w14:paraId="5602A2DA" w14:textId="59E32578"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 xml:space="preserve">ОВ C, C/2025/5407, 13.10.2025 г., ELI: </w:t>
      </w:r>
      <w:hyperlink r:id="rId4" w:history="1">
        <w:r w:rsidRPr="00EB6FE5">
          <w:rPr>
            <w:rStyle w:val="Hyperlink"/>
            <w:sz w:val="24"/>
            <w:lang w:val="bg-BG"/>
          </w:rPr>
          <w:t>http://data.europa.eu/eli/C/2025/5407/oj</w:t>
        </w:r>
      </w:hyperlink>
      <w:r w:rsidRPr="00EB6FE5">
        <w:rPr>
          <w:rStyle w:val="Hyperlink"/>
          <w:sz w:val="24"/>
          <w:lang w:val="bg-BG"/>
        </w:rPr>
        <w:t>.</w:t>
      </w:r>
    </w:p>
  </w:footnote>
  <w:footnote w:id="5">
    <w:p w14:paraId="3E2E5E23" w14:textId="102D6248"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00BE1329">
        <w:rPr>
          <w:sz w:val="24"/>
          <w:lang w:val="bg-BG"/>
        </w:rPr>
        <w:t>ОВ</w:t>
      </w:r>
      <w:r w:rsidRPr="00EB6FE5">
        <w:rPr>
          <w:sz w:val="24"/>
          <w:lang w:val="bg-BG"/>
        </w:rPr>
        <w:t xml:space="preserve"> L 193, 30.7.2018 г., стр. 1, ELI: </w:t>
      </w:r>
      <w:hyperlink r:id="rId5" w:history="1">
        <w:r w:rsidRPr="00EB6FE5">
          <w:rPr>
            <w:rStyle w:val="Hyperlink"/>
            <w:sz w:val="24"/>
            <w:lang w:val="bg-BG"/>
          </w:rPr>
          <w:t>http://data.europa.eu/eli/reg/2018/1046/oj</w:t>
        </w:r>
      </w:hyperlink>
      <w:r w:rsidRPr="00EB6FE5">
        <w:rPr>
          <w:sz w:val="24"/>
          <w:lang w:val="bg-BG"/>
        </w:rPr>
        <w:t>.</w:t>
      </w:r>
    </w:p>
  </w:footnote>
  <w:footnote w:id="6">
    <w:p w14:paraId="13DE2F7F" w14:textId="11519E5C"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 xml:space="preserve">ОВ L, 2024/2509, 26.9.2024 г., ELI: </w:t>
      </w:r>
      <w:hyperlink r:id="rId6" w:history="1">
        <w:r w:rsidRPr="00EB6FE5">
          <w:rPr>
            <w:rStyle w:val="Hyperlink"/>
            <w:sz w:val="24"/>
            <w:lang w:val="bg-BG"/>
          </w:rPr>
          <w:t>http://data.europa.eu/eli/reg/2024/2509/oj</w:t>
        </w:r>
      </w:hyperlink>
      <w:r w:rsidRPr="00EB6FE5">
        <w:rPr>
          <w:sz w:val="24"/>
          <w:lang w:val="bg-BG"/>
        </w:rPr>
        <w:t>.</w:t>
      </w:r>
    </w:p>
  </w:footnote>
  <w:footnote w:id="7">
    <w:p w14:paraId="4DD0D940" w14:textId="3EB5A325"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OВ L 253, 16.7.2021 г., стр. 1, ELI: </w:t>
      </w:r>
      <w:hyperlink r:id="rId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B6FE5">
          <w:rPr>
            <w:rStyle w:val="Hyperlink"/>
            <w:sz w:val="24"/>
            <w:lang w:val="bg-BG"/>
          </w:rPr>
          <w:t>http://data.europa.eu/eli/reg/2021/1163/oj</w:t>
        </w:r>
      </w:hyperlink>
      <w:r w:rsidRPr="00EB6FE5">
        <w:rPr>
          <w:sz w:val="24"/>
          <w:lang w:val="bg-BG"/>
        </w:rPr>
        <w:t>.</w:t>
      </w:r>
    </w:p>
  </w:footnote>
  <w:footnote w:id="8">
    <w:p w14:paraId="602B5C57" w14:textId="2CB86EA8"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color w:val="333333"/>
          <w:sz w:val="24"/>
          <w:shd w:val="clear" w:color="auto" w:fill="FFFFFF"/>
          <w:lang w:val="bg-BG"/>
        </w:rPr>
        <w:t xml:space="preserve"> </w:t>
      </w:r>
      <w:r w:rsidR="00EB6FE5" w:rsidRPr="00EB6FE5">
        <w:rPr>
          <w:color w:val="333333"/>
          <w:sz w:val="24"/>
          <w:shd w:val="clear" w:color="auto" w:fill="FFFFFF"/>
          <w:lang w:val="bg-BG"/>
        </w:rPr>
        <w:tab/>
      </w:r>
      <w:r w:rsidRPr="00EB6FE5">
        <w:rPr>
          <w:color w:val="333333"/>
          <w:sz w:val="24"/>
          <w:shd w:val="clear" w:color="auto" w:fill="FFFFFF"/>
          <w:lang w:val="bg-BG"/>
        </w:rPr>
        <w:t>OВ C, C/2023/161, 10.10.2023</w:t>
      </w:r>
      <w:r w:rsidR="00734B00">
        <w:rPr>
          <w:color w:val="333333"/>
          <w:sz w:val="24"/>
          <w:shd w:val="clear" w:color="auto" w:fill="FFFFFF"/>
          <w:lang w:val="bg-BG"/>
        </w:rPr>
        <w:t> г.</w:t>
      </w:r>
      <w:r w:rsidRPr="00EB6FE5">
        <w:rPr>
          <w:color w:val="333333"/>
          <w:sz w:val="24"/>
          <w:shd w:val="clear" w:color="auto" w:fill="FFFFFF"/>
          <w:lang w:val="bg-BG"/>
        </w:rPr>
        <w:t>,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B6FE5">
          <w:rPr>
            <w:rStyle w:val="Hyperlink"/>
            <w:color w:val="23527C"/>
            <w:sz w:val="24"/>
            <w:lang w:val="bg-BG"/>
          </w:rPr>
          <w:t>http://data.europa.eu/eli/C/2023/161/oj</w:t>
        </w:r>
      </w:hyperlink>
      <w:r w:rsidRPr="00EB6FE5">
        <w:rPr>
          <w:color w:val="23527C"/>
          <w:sz w:val="24"/>
          <w:lang w:val="bg-BG"/>
        </w:rPr>
        <w:t>.</w:t>
      </w:r>
    </w:p>
  </w:footnote>
  <w:footnote w:id="9">
    <w:p w14:paraId="7A826B9D" w14:textId="3E084554"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hyperlink r:id="rId9" w:history="1">
        <w:r w:rsidRPr="00EB6FE5">
          <w:rPr>
            <w:rStyle w:val="Hyperlink"/>
            <w:sz w:val="24"/>
            <w:lang w:val="bg-BG"/>
          </w:rPr>
          <w:t>https://www.ombudsman.europa.eu/en/doc/declarations-and-transparency/en/196382</w:t>
        </w:r>
      </w:hyperlink>
      <w:r w:rsidRPr="00EB6FE5">
        <w:rPr>
          <w:sz w:val="24"/>
          <w:lang w:val="bg-BG"/>
        </w:rPr>
        <w:t xml:space="preserve"> </w:t>
      </w:r>
      <w:r w:rsidR="00111B27">
        <w:rPr>
          <w:sz w:val="24"/>
          <w:lang w:val="bg-BG"/>
        </w:rPr>
        <w:t>и</w:t>
      </w:r>
      <w:r w:rsidRPr="00EB6FE5">
        <w:rPr>
          <w:sz w:val="24"/>
          <w:lang w:val="bg-BG"/>
        </w:rPr>
        <w:t xml:space="preserve"> </w:t>
      </w:r>
      <w:hyperlink r:id="rId10" w:history="1">
        <w:r w:rsidRPr="00EB6FE5">
          <w:rPr>
            <w:rStyle w:val="Hyperlink"/>
            <w:sz w:val="24"/>
            <w:lang w:val="bg-BG"/>
          </w:rPr>
          <w:t>https://www.ombudsman.europa.eu/en/doc/declarations-and-transparency/en/198831</w:t>
        </w:r>
      </w:hyperlink>
      <w:r w:rsidRPr="00EB6FE5">
        <w:rPr>
          <w:sz w:val="24"/>
          <w:lang w:val="bg-BG"/>
        </w:rPr>
        <w:t>.</w:t>
      </w:r>
    </w:p>
  </w:footnote>
  <w:footnote w:id="10">
    <w:p w14:paraId="78676975" w14:textId="053EE809"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(OВ L 145, 31.5.2001 г., стр. 43, ELI: </w:t>
      </w:r>
      <w:hyperlink r:id="rId1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B6FE5">
          <w:rPr>
            <w:rStyle w:val="Hyperlink"/>
            <w:sz w:val="24"/>
            <w:lang w:val="bg-BG"/>
          </w:rPr>
          <w:t>http://data.europa.eu/eli/reg/2001/1049/oj</w:t>
        </w:r>
      </w:hyperlink>
      <w:r w:rsidRPr="00EB6FE5">
        <w:rPr>
          <w:sz w:val="24"/>
          <w:lang w:val="bg-BG"/>
        </w:rPr>
        <w:t>).</w:t>
      </w:r>
    </w:p>
  </w:footnote>
  <w:footnote w:id="11">
    <w:p w14:paraId="32459E6C" w14:textId="17C75034" w:rsidR="00EB3A33" w:rsidRPr="00E647B0"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00E647B0" w:rsidRPr="00E647B0">
        <w:rPr>
          <w:sz w:val="24"/>
          <w:lang w:val="fi-FI"/>
        </w:rPr>
        <w:t>O</w:t>
      </w:r>
      <w:r w:rsidR="00E647B0">
        <w:rPr>
          <w:sz w:val="24"/>
          <w:lang w:val="bg-BG"/>
        </w:rPr>
        <w:t>В</w:t>
      </w:r>
      <w:r w:rsidR="00E647B0" w:rsidRPr="00E647B0">
        <w:rPr>
          <w:sz w:val="24"/>
          <w:lang w:val="fi-FI"/>
        </w:rPr>
        <w:t xml:space="preserve"> C, C/2024/4014, 17.7.2024</w:t>
      </w:r>
      <w:r w:rsidR="00E647B0">
        <w:rPr>
          <w:sz w:val="24"/>
          <w:lang w:val="bg-BG"/>
        </w:rPr>
        <w:t> г.</w:t>
      </w:r>
      <w:r w:rsidR="00E647B0" w:rsidRPr="00E647B0">
        <w:rPr>
          <w:sz w:val="24"/>
          <w:lang w:val="fi-FI"/>
        </w:rPr>
        <w:t xml:space="preserve">, ELI: </w:t>
      </w:r>
      <w:hyperlink r:id="rId12" w:history="1">
        <w:r w:rsidR="00E647B0" w:rsidRPr="00E647B0">
          <w:rPr>
            <w:rStyle w:val="Hyperlink"/>
            <w:sz w:val="24"/>
            <w:lang w:val="fi-FI"/>
          </w:rPr>
          <w:t>http://data.europa.eu/eli/C/2024/4014/oj</w:t>
        </w:r>
      </w:hyperlink>
      <w:r w:rsidR="00E647B0">
        <w:rPr>
          <w:sz w:val="24"/>
          <w:lang w:val="bg-BG"/>
        </w:rPr>
        <w:t>.</w:t>
      </w:r>
    </w:p>
  </w:footnote>
  <w:footnote w:id="12">
    <w:p w14:paraId="33DB64E2" w14:textId="5958521F"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Регламент (ЕС) 2024/1689 на Европейския парламент и на Съвета от 13 юни 2024</w:t>
      </w:r>
      <w:r w:rsidR="00BD1045">
        <w:rPr>
          <w:sz w:val="24"/>
          <w:lang w:val="bg-BG"/>
        </w:rPr>
        <w:t> </w:t>
      </w:r>
      <w:r w:rsidRPr="00EB6FE5">
        <w:rPr>
          <w:sz w:val="24"/>
          <w:lang w:val="bg-BG"/>
        </w:rPr>
        <w:t>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sidR="00BD1045">
        <w:rPr>
          <w:sz w:val="24"/>
          <w:lang w:val="en-GB"/>
        </w:rPr>
        <w:t> </w:t>
      </w:r>
      <w:r w:rsidR="00BD1045">
        <w:rPr>
          <w:sz w:val="24"/>
          <w:lang w:val="bg-BG"/>
        </w:rPr>
        <w:t>г.</w:t>
      </w:r>
      <w:r w:rsidRPr="00EB6FE5">
        <w:rPr>
          <w:sz w:val="24"/>
          <w:lang w:val="bg-BG"/>
        </w:rPr>
        <w:t xml:space="preserve">, ELI: </w:t>
      </w:r>
      <w:hyperlink r:id="rId13" w:history="1">
        <w:r w:rsidRPr="00EB6FE5">
          <w:rPr>
            <w:rStyle w:val="Hyperlink"/>
            <w:sz w:val="24"/>
            <w:lang w:val="bg-BG"/>
          </w:rPr>
          <w:t>https://eur-lex.europa.eu/eli/reg/2024/1689/oj</w:t>
        </w:r>
      </w:hyperlink>
      <w:r w:rsidRPr="00EB6FE5">
        <w:rPr>
          <w:sz w:val="24"/>
          <w:lang w:val="bg-BG"/>
        </w:rPr>
        <w:t>).</w:t>
      </w:r>
    </w:p>
  </w:footnote>
  <w:footnote w:id="13">
    <w:p w14:paraId="02BA0F2B" w14:textId="2C535996" w:rsidR="00EB3A33" w:rsidRPr="00EB6FE5" w:rsidRDefault="00EB3A33" w:rsidP="00EB6FE5">
      <w:pPr>
        <w:pStyle w:val="FootnoteText"/>
        <w:ind w:left="567" w:hanging="567"/>
        <w:rPr>
          <w:sz w:val="24"/>
          <w:lang w:val="bg-BG"/>
        </w:rPr>
      </w:pPr>
      <w:r w:rsidRPr="00EB6FE5">
        <w:rPr>
          <w:rStyle w:val="FootnoteReference"/>
          <w:sz w:val="24"/>
          <w:lang w:val="bg-BG"/>
        </w:rPr>
        <w:footnoteRef/>
      </w:r>
      <w:r w:rsidR="00EB6FE5" w:rsidRPr="00EB6FE5">
        <w:rPr>
          <w:sz w:val="24"/>
          <w:lang w:val="bg-BG"/>
        </w:rPr>
        <w:t xml:space="preserve"> </w:t>
      </w:r>
      <w:r w:rsidR="00EB6FE5" w:rsidRPr="00EB6FE5">
        <w:rPr>
          <w:sz w:val="24"/>
          <w:lang w:val="bg-BG"/>
        </w:rPr>
        <w:tab/>
      </w:r>
      <w:r w:rsidRPr="00EB6FE5">
        <w:rPr>
          <w:sz w:val="24"/>
          <w:lang w:val="bg-BG"/>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w:t>
      </w:r>
      <w:hyperlink r:id="rId1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B6FE5">
          <w:rPr>
            <w:rStyle w:val="Hyperlink"/>
            <w:sz w:val="24"/>
            <w:lang w:val="bg-BG"/>
          </w:rPr>
          <w:t>http://data.europa.eu/eli/reg/2018/1725/oj</w:t>
        </w:r>
      </w:hyperlink>
      <w:r w:rsidRPr="00EB6FE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E1C6" w14:textId="77777777" w:rsidR="00064002" w:rsidRPr="00EB6F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D1B2" w14:textId="77777777" w:rsidR="00064002" w:rsidRPr="00EB6F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757A" w14:textId="77777777" w:rsidR="00064002" w:rsidRPr="00EB6F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4801836">
    <w:abstractNumId w:val="9"/>
  </w:num>
  <w:num w:numId="2" w16cid:durableId="1017735804">
    <w:abstractNumId w:val="9"/>
  </w:num>
  <w:num w:numId="3" w16cid:durableId="1905722965">
    <w:abstractNumId w:val="7"/>
  </w:num>
  <w:num w:numId="4" w16cid:durableId="515076209">
    <w:abstractNumId w:val="7"/>
  </w:num>
  <w:num w:numId="5" w16cid:durableId="597981911">
    <w:abstractNumId w:val="6"/>
  </w:num>
  <w:num w:numId="6" w16cid:durableId="1568219780">
    <w:abstractNumId w:val="6"/>
  </w:num>
  <w:num w:numId="7" w16cid:durableId="563880977">
    <w:abstractNumId w:val="5"/>
  </w:num>
  <w:num w:numId="8" w16cid:durableId="463275935">
    <w:abstractNumId w:val="5"/>
  </w:num>
  <w:num w:numId="9" w16cid:durableId="638148688">
    <w:abstractNumId w:val="4"/>
  </w:num>
  <w:num w:numId="10" w16cid:durableId="1463037902">
    <w:abstractNumId w:val="4"/>
  </w:num>
  <w:num w:numId="11" w16cid:durableId="132647443">
    <w:abstractNumId w:val="8"/>
  </w:num>
  <w:num w:numId="12" w16cid:durableId="340209184">
    <w:abstractNumId w:val="8"/>
  </w:num>
  <w:num w:numId="13" w16cid:durableId="1309435618">
    <w:abstractNumId w:val="3"/>
  </w:num>
  <w:num w:numId="14" w16cid:durableId="393479180">
    <w:abstractNumId w:val="3"/>
  </w:num>
  <w:num w:numId="15" w16cid:durableId="724834929">
    <w:abstractNumId w:val="2"/>
  </w:num>
  <w:num w:numId="16" w16cid:durableId="1534465112">
    <w:abstractNumId w:val="2"/>
  </w:num>
  <w:num w:numId="17" w16cid:durableId="1014307612">
    <w:abstractNumId w:val="1"/>
  </w:num>
  <w:num w:numId="18" w16cid:durableId="1413425694">
    <w:abstractNumId w:val="1"/>
  </w:num>
  <w:num w:numId="19" w16cid:durableId="1342656977">
    <w:abstractNumId w:val="0"/>
  </w:num>
  <w:num w:numId="20" w16cid:durableId="471210979">
    <w:abstractNumId w:val="0"/>
  </w:num>
  <w:num w:numId="21" w16cid:durableId="506596186">
    <w:abstractNumId w:val="9"/>
  </w:num>
  <w:num w:numId="22" w16cid:durableId="1930234607">
    <w:abstractNumId w:val="7"/>
  </w:num>
  <w:num w:numId="23" w16cid:durableId="2041199302">
    <w:abstractNumId w:val="6"/>
  </w:num>
  <w:num w:numId="24" w16cid:durableId="1383556959">
    <w:abstractNumId w:val="5"/>
  </w:num>
  <w:num w:numId="25" w16cid:durableId="2007584699">
    <w:abstractNumId w:val="4"/>
  </w:num>
  <w:num w:numId="26" w16cid:durableId="229312913">
    <w:abstractNumId w:val="8"/>
  </w:num>
  <w:num w:numId="27" w16cid:durableId="1376733711">
    <w:abstractNumId w:val="3"/>
  </w:num>
  <w:num w:numId="28" w16cid:durableId="1272590485">
    <w:abstractNumId w:val="2"/>
  </w:num>
  <w:num w:numId="29" w16cid:durableId="210651151">
    <w:abstractNumId w:val="1"/>
  </w:num>
  <w:num w:numId="30" w16cid:durableId="766389686">
    <w:abstractNumId w:val="0"/>
  </w:num>
  <w:num w:numId="31" w16cid:durableId="1908615166">
    <w:abstractNumId w:val="9"/>
  </w:num>
  <w:num w:numId="32" w16cid:durableId="72899882">
    <w:abstractNumId w:val="7"/>
  </w:num>
  <w:num w:numId="33" w16cid:durableId="957759738">
    <w:abstractNumId w:val="6"/>
  </w:num>
  <w:num w:numId="34" w16cid:durableId="808742060">
    <w:abstractNumId w:val="5"/>
  </w:num>
  <w:num w:numId="35" w16cid:durableId="2102751984">
    <w:abstractNumId w:val="4"/>
  </w:num>
  <w:num w:numId="36" w16cid:durableId="1373728676">
    <w:abstractNumId w:val="8"/>
  </w:num>
  <w:num w:numId="37" w16cid:durableId="1481847970">
    <w:abstractNumId w:val="3"/>
  </w:num>
  <w:num w:numId="38" w16cid:durableId="1777552970">
    <w:abstractNumId w:val="2"/>
  </w:num>
  <w:num w:numId="39" w16cid:durableId="1974434380">
    <w:abstractNumId w:val="1"/>
  </w:num>
  <w:num w:numId="40" w16cid:durableId="1645624713">
    <w:abstractNumId w:val="0"/>
  </w:num>
  <w:num w:numId="41" w16cid:durableId="1181242261">
    <w:abstractNumId w:val="10"/>
  </w:num>
  <w:num w:numId="42" w16cid:durableId="712391252">
    <w:abstractNumId w:val="10"/>
  </w:num>
  <w:num w:numId="43" w16cid:durableId="700402876">
    <w:abstractNumId w:val="10"/>
  </w:num>
  <w:num w:numId="44" w16cid:durableId="1906212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BG"/>
    <w:docVar w:name="dvnumam" w:val="0"/>
    <w:docVar w:name="dvpe" w:val="778.065"/>
    <w:docVar w:name="dvrapporteur" w:val="Докладчик: "/>
    <w:docVar w:name="dvtitre" w:val="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VIII ‒ Европейски омбудсман(2025/2153(DEC))"/>
  </w:docVars>
  <w:rsids>
    <w:rsidRoot w:val="00F27E2F"/>
    <w:rsid w:val="00002272"/>
    <w:rsid w:val="00064002"/>
    <w:rsid w:val="000677B9"/>
    <w:rsid w:val="00081AFA"/>
    <w:rsid w:val="00081E90"/>
    <w:rsid w:val="000831BA"/>
    <w:rsid w:val="000A42CC"/>
    <w:rsid w:val="000E7DD9"/>
    <w:rsid w:val="0010095E"/>
    <w:rsid w:val="00104C77"/>
    <w:rsid w:val="00111B27"/>
    <w:rsid w:val="00125B37"/>
    <w:rsid w:val="00134C7F"/>
    <w:rsid w:val="00187494"/>
    <w:rsid w:val="001F32AE"/>
    <w:rsid w:val="002767FF"/>
    <w:rsid w:val="002B18FE"/>
    <w:rsid w:val="002B5493"/>
    <w:rsid w:val="00343214"/>
    <w:rsid w:val="00361C00"/>
    <w:rsid w:val="00395FA1"/>
    <w:rsid w:val="003E15D4"/>
    <w:rsid w:val="00411CCE"/>
    <w:rsid w:val="0041666E"/>
    <w:rsid w:val="00421060"/>
    <w:rsid w:val="0045541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715"/>
    <w:rsid w:val="00734777"/>
    <w:rsid w:val="00734B00"/>
    <w:rsid w:val="00747932"/>
    <w:rsid w:val="00751A4A"/>
    <w:rsid w:val="00756632"/>
    <w:rsid w:val="00762C74"/>
    <w:rsid w:val="00786EC0"/>
    <w:rsid w:val="007D1690"/>
    <w:rsid w:val="007E22AD"/>
    <w:rsid w:val="00817416"/>
    <w:rsid w:val="008252F2"/>
    <w:rsid w:val="00842779"/>
    <w:rsid w:val="00865F67"/>
    <w:rsid w:val="00881A7B"/>
    <w:rsid w:val="008840E5"/>
    <w:rsid w:val="00887B3E"/>
    <w:rsid w:val="008C2AC6"/>
    <w:rsid w:val="00930C23"/>
    <w:rsid w:val="0093193B"/>
    <w:rsid w:val="009509D8"/>
    <w:rsid w:val="00950B64"/>
    <w:rsid w:val="00981893"/>
    <w:rsid w:val="00985370"/>
    <w:rsid w:val="00A1687D"/>
    <w:rsid w:val="00A43E52"/>
    <w:rsid w:val="00A4678D"/>
    <w:rsid w:val="00A778C7"/>
    <w:rsid w:val="00AB441E"/>
    <w:rsid w:val="00AB6293"/>
    <w:rsid w:val="00AE0928"/>
    <w:rsid w:val="00AF3B82"/>
    <w:rsid w:val="00B12E95"/>
    <w:rsid w:val="00B22876"/>
    <w:rsid w:val="00B558F0"/>
    <w:rsid w:val="00BD1045"/>
    <w:rsid w:val="00BD48FE"/>
    <w:rsid w:val="00BD7BD8"/>
    <w:rsid w:val="00BE1329"/>
    <w:rsid w:val="00BE6ADC"/>
    <w:rsid w:val="00C05BFE"/>
    <w:rsid w:val="00C23CD4"/>
    <w:rsid w:val="00C61C0C"/>
    <w:rsid w:val="00C941CB"/>
    <w:rsid w:val="00CB533A"/>
    <w:rsid w:val="00CB7857"/>
    <w:rsid w:val="00CC2357"/>
    <w:rsid w:val="00CF071A"/>
    <w:rsid w:val="00D058B8"/>
    <w:rsid w:val="00D56C11"/>
    <w:rsid w:val="00D70DB7"/>
    <w:rsid w:val="00D834A0"/>
    <w:rsid w:val="00D872DF"/>
    <w:rsid w:val="00D91E21"/>
    <w:rsid w:val="00DA7FCD"/>
    <w:rsid w:val="00E04769"/>
    <w:rsid w:val="00E365E1"/>
    <w:rsid w:val="00E647B0"/>
    <w:rsid w:val="00E820A4"/>
    <w:rsid w:val="00E95A2D"/>
    <w:rsid w:val="00EB006A"/>
    <w:rsid w:val="00EB3A33"/>
    <w:rsid w:val="00EB4772"/>
    <w:rsid w:val="00EB6437"/>
    <w:rsid w:val="00EB6FE5"/>
    <w:rsid w:val="00ED169E"/>
    <w:rsid w:val="00ED4235"/>
    <w:rsid w:val="00F04346"/>
    <w:rsid w:val="00F075DC"/>
    <w:rsid w:val="00F149E9"/>
    <w:rsid w:val="00F27E2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915D3"/>
  <w15:chartTrackingRefBased/>
  <w15:docId w15:val="{18A677C1-30A1-4B70-B258-51DEBDBC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3A3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B3A33"/>
    <w:pPr>
      <w:spacing w:before="480" w:after="240"/>
    </w:pPr>
  </w:style>
  <w:style w:type="paragraph" w:customStyle="1" w:styleId="PageHeading">
    <w:name w:val="PageHeading"/>
    <w:basedOn w:val="Normal"/>
    <w:rsid w:val="00EB3A33"/>
    <w:pPr>
      <w:keepNext/>
      <w:spacing w:after="480"/>
      <w:jc w:val="center"/>
    </w:pPr>
    <w:rPr>
      <w:rFonts w:ascii="Arial" w:hAnsi="Arial" w:cs="Arial"/>
      <w:b/>
    </w:rPr>
  </w:style>
  <w:style w:type="paragraph" w:customStyle="1" w:styleId="NormalBold">
    <w:name w:val="NormalBold"/>
    <w:basedOn w:val="Normal"/>
    <w:rsid w:val="00EB3A33"/>
    <w:rPr>
      <w:b/>
    </w:rPr>
  </w:style>
  <w:style w:type="paragraph" w:customStyle="1" w:styleId="NormalHanging12a">
    <w:name w:val="NormalHanging12a"/>
    <w:basedOn w:val="Normal"/>
    <w:link w:val="NormalHanging12aChar"/>
    <w:qFormat/>
    <w:rsid w:val="00EB3A33"/>
    <w:pPr>
      <w:spacing w:after="240"/>
      <w:ind w:left="567" w:hanging="567"/>
    </w:pPr>
  </w:style>
  <w:style w:type="paragraph" w:styleId="Header">
    <w:name w:val="header"/>
    <w:basedOn w:val="Normal"/>
    <w:link w:val="HeaderChar"/>
    <w:rsid w:val="00EB3A33"/>
    <w:pPr>
      <w:tabs>
        <w:tab w:val="center" w:pos="4513"/>
        <w:tab w:val="right" w:pos="9026"/>
      </w:tabs>
    </w:pPr>
  </w:style>
  <w:style w:type="character" w:customStyle="1" w:styleId="HeaderChar">
    <w:name w:val="Header Char"/>
    <w:basedOn w:val="DefaultParagraphFont"/>
    <w:link w:val="Header"/>
    <w:rsid w:val="00EB3A33"/>
    <w:rPr>
      <w:sz w:val="24"/>
      <w:lang w:val="bg-BG"/>
    </w:rPr>
  </w:style>
  <w:style w:type="paragraph" w:customStyle="1" w:styleId="EPFooter">
    <w:name w:val="EPFooter"/>
    <w:basedOn w:val="Normal"/>
    <w:rsid w:val="00EB3A33"/>
    <w:pPr>
      <w:tabs>
        <w:tab w:val="center" w:pos="4535"/>
        <w:tab w:val="right" w:pos="9071"/>
      </w:tabs>
      <w:spacing w:before="240" w:after="240"/>
    </w:pPr>
    <w:rPr>
      <w:color w:val="010000"/>
      <w:sz w:val="22"/>
    </w:rPr>
  </w:style>
  <w:style w:type="character" w:styleId="Hyperlink">
    <w:name w:val="Hyperlink"/>
    <w:basedOn w:val="DefaultParagraphFont"/>
    <w:uiPriority w:val="99"/>
    <w:rsid w:val="00EB3A33"/>
    <w:rPr>
      <w:color w:val="0563C1" w:themeColor="hyperlink"/>
      <w:u w:val="single"/>
    </w:rPr>
  </w:style>
  <w:style w:type="character" w:customStyle="1" w:styleId="NormalHanging12aChar">
    <w:name w:val="NormalHanging12a Char"/>
    <w:basedOn w:val="DefaultParagraphFont"/>
    <w:link w:val="NormalHanging12a"/>
    <w:locked/>
    <w:rsid w:val="00EB3A33"/>
    <w:rPr>
      <w:sz w:val="24"/>
      <w:lang w:val="bg-BG"/>
    </w:rPr>
  </w:style>
  <w:style w:type="paragraph" w:styleId="Revision">
    <w:name w:val="Revision"/>
    <w:hidden/>
    <w:uiPriority w:val="99"/>
    <w:semiHidden/>
    <w:rsid w:val="00111B27"/>
    <w:rPr>
      <w:sz w:val="24"/>
      <w:lang w:val="bg-BG"/>
    </w:rPr>
  </w:style>
  <w:style w:type="character" w:styleId="FollowedHyperlink">
    <w:name w:val="FollowedHyperlink"/>
    <w:basedOn w:val="DefaultParagraphFont"/>
    <w:rsid w:val="00BD1045"/>
    <w:rPr>
      <w:color w:val="954F72" w:themeColor="followedHyperlink"/>
      <w:u w:val="single"/>
    </w:rPr>
  </w:style>
  <w:style w:type="paragraph" w:styleId="Footer">
    <w:name w:val="footer"/>
    <w:basedOn w:val="Normal"/>
    <w:link w:val="FooterChar"/>
    <w:rsid w:val="00BE1329"/>
    <w:pPr>
      <w:tabs>
        <w:tab w:val="center" w:pos="4513"/>
        <w:tab w:val="right" w:pos="9026"/>
      </w:tabs>
    </w:pPr>
  </w:style>
  <w:style w:type="character" w:customStyle="1" w:styleId="FooterChar">
    <w:name w:val="Footer Char"/>
    <w:basedOn w:val="DefaultParagraphFont"/>
    <w:link w:val="Footer"/>
    <w:rsid w:val="00BE132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en/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en/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8124</Words>
  <Characters>46307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2026-05-05T09:26:00Z</dcterms:created>
  <dcterms:modified xsi:type="dcterms:W3CDTF">2026-05-05T09:26:00Z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P10_TA(2026)0133_</vt:lpwstr>
  </property>
  <property fmtid="{D5CDD505-2E9C-101B-9397-08002B2CF9AE}" pid="4" name="&lt;Type&gt;">
    <vt:lpwstr>RR</vt:lpwstr>
  </property>
</Properties>
</file>