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67B5" w14:paraId="6E0670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3A9DAF" w14:textId="0233BC26" w:rsidR="00751A4A" w:rsidRPr="000B67B5" w:rsidRDefault="007C68E7" w:rsidP="0010095E">
            <w:pPr>
              <w:pStyle w:val="EPName"/>
            </w:pPr>
            <w:r w:rsidRPr="000B67B5">
              <w:t>Evropský parlament</w:t>
            </w:r>
          </w:p>
          <w:p w14:paraId="36C03777" w14:textId="77777777" w:rsidR="00751A4A" w:rsidRPr="000B67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67B5">
              <w:t>2024</w:t>
            </w:r>
            <w:r w:rsidR="00817416" w:rsidRPr="000B67B5">
              <w:t>-202</w:t>
            </w:r>
            <w:r w:rsidRPr="000B67B5">
              <w:t>9</w:t>
            </w:r>
          </w:p>
        </w:tc>
        <w:tc>
          <w:tcPr>
            <w:tcW w:w="2268" w:type="dxa"/>
            <w:shd w:val="clear" w:color="auto" w:fill="auto"/>
          </w:tcPr>
          <w:p w14:paraId="071C917F" w14:textId="77777777" w:rsidR="00751A4A" w:rsidRPr="000B67B5" w:rsidRDefault="00187494" w:rsidP="0010095E">
            <w:pPr>
              <w:pStyle w:val="EPLogo"/>
            </w:pPr>
            <w:r w:rsidRPr="000B67B5">
              <w:rPr>
                <w:noProof/>
                <w:lang w:eastAsia="ja-JP"/>
              </w:rPr>
              <w:drawing>
                <wp:inline distT="0" distB="0" distL="0" distR="0" wp14:anchorId="3097EF0E" wp14:editId="4FBAB1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1BB2DF" w14:textId="77777777" w:rsidR="00D058B8" w:rsidRPr="000B67B5" w:rsidRDefault="00D058B8" w:rsidP="004C5D52">
      <w:pPr>
        <w:pStyle w:val="LineTop"/>
      </w:pPr>
    </w:p>
    <w:p w14:paraId="29A9DB85" w14:textId="5CBEA25D" w:rsidR="00680577" w:rsidRPr="000B67B5" w:rsidRDefault="007C68E7" w:rsidP="00680577">
      <w:pPr>
        <w:pStyle w:val="EPBodyTA1"/>
      </w:pPr>
      <w:r w:rsidRPr="000B67B5">
        <w:t>PŘIJATÉ TEXTY</w:t>
      </w:r>
    </w:p>
    <w:p w14:paraId="7457543B" w14:textId="77777777" w:rsidR="00D058B8" w:rsidRPr="000B67B5" w:rsidRDefault="00D058B8" w:rsidP="00D058B8">
      <w:pPr>
        <w:pStyle w:val="LineBottom"/>
      </w:pPr>
    </w:p>
    <w:p w14:paraId="22E47A2F" w14:textId="4C5D9EC7" w:rsidR="007C68E7" w:rsidRPr="000B67B5" w:rsidRDefault="007C68E7" w:rsidP="007C68E7">
      <w:pPr>
        <w:pStyle w:val="ATHeading1"/>
      </w:pPr>
      <w:bookmarkStart w:id="0" w:name="TANumber"/>
      <w:r w:rsidRPr="000B67B5">
        <w:t>P10_TA(2026)0</w:t>
      </w:r>
      <w:r w:rsidR="00C516FF">
        <w:t>133</w:t>
      </w:r>
      <w:bookmarkEnd w:id="0"/>
    </w:p>
    <w:p w14:paraId="65971D95" w14:textId="77777777" w:rsidR="007C68E7" w:rsidRPr="000B67B5" w:rsidRDefault="007C68E7" w:rsidP="007C68E7">
      <w:pPr>
        <w:pStyle w:val="ATHeading2"/>
      </w:pPr>
      <w:bookmarkStart w:id="1" w:name="title"/>
      <w:r w:rsidRPr="000B67B5">
        <w:t>Udělení absolutoria za rok 2024: souhrnný rozpočet EU – Evropský veřejný ochránce práv</w:t>
      </w:r>
      <w:bookmarkEnd w:id="1"/>
    </w:p>
    <w:p w14:paraId="3FE0DB11" w14:textId="77777777" w:rsidR="007C68E7" w:rsidRPr="000B67B5" w:rsidRDefault="007C68E7" w:rsidP="007C68E7">
      <w:pPr>
        <w:rPr>
          <w:i/>
          <w:vanish/>
        </w:rPr>
      </w:pPr>
      <w:r w:rsidRPr="000B67B5">
        <w:rPr>
          <w:i/>
        </w:rPr>
        <w:fldChar w:fldCharType="begin"/>
      </w:r>
      <w:r w:rsidRPr="000B67B5">
        <w:rPr>
          <w:i/>
        </w:rPr>
        <w:instrText xml:space="preserve"> TC"(</w:instrText>
      </w:r>
      <w:bookmarkStart w:id="2" w:name="DocNumber"/>
      <w:r w:rsidRPr="000B67B5">
        <w:rPr>
          <w:i/>
        </w:rPr>
        <w:instrText>A10-0054/2026</w:instrText>
      </w:r>
      <w:bookmarkEnd w:id="2"/>
      <w:r w:rsidRPr="000B67B5">
        <w:rPr>
          <w:i/>
        </w:rPr>
        <w:instrText xml:space="preserve"> - Zpravodaj: </w:instrText>
      </w:r>
      <w:proofErr w:type="spellStart"/>
      <w:r w:rsidRPr="000B67B5">
        <w:rPr>
          <w:i/>
        </w:rPr>
        <w:instrText>Pasquale</w:instrText>
      </w:r>
      <w:proofErr w:type="spellEnd"/>
      <w:r w:rsidRPr="000B67B5">
        <w:rPr>
          <w:i/>
        </w:rPr>
        <w:instrText xml:space="preserve"> </w:instrText>
      </w:r>
      <w:proofErr w:type="spellStart"/>
      <w:r w:rsidRPr="000B67B5">
        <w:rPr>
          <w:i/>
        </w:rPr>
        <w:instrText>Tridico</w:instrText>
      </w:r>
      <w:proofErr w:type="spellEnd"/>
      <w:r w:rsidRPr="000B67B5">
        <w:rPr>
          <w:i/>
        </w:rPr>
        <w:instrText xml:space="preserve">)"\l3 \n&gt; \* MERGEFORMAT </w:instrText>
      </w:r>
      <w:r w:rsidRPr="000B67B5">
        <w:rPr>
          <w:i/>
        </w:rPr>
        <w:fldChar w:fldCharType="end"/>
      </w:r>
    </w:p>
    <w:p w14:paraId="506A18D5" w14:textId="77777777" w:rsidR="007C68E7" w:rsidRPr="000B67B5" w:rsidRDefault="007C68E7" w:rsidP="007C68E7">
      <w:pPr>
        <w:rPr>
          <w:vanish/>
        </w:rPr>
      </w:pPr>
      <w:bookmarkStart w:id="3" w:name="Commission"/>
      <w:r w:rsidRPr="000B67B5">
        <w:rPr>
          <w:vanish/>
        </w:rPr>
        <w:t>Výbor pro rozpočtovou kontrolu</w:t>
      </w:r>
      <w:bookmarkEnd w:id="3"/>
    </w:p>
    <w:p w14:paraId="254467DD" w14:textId="77777777" w:rsidR="007C68E7" w:rsidRPr="000B67B5" w:rsidRDefault="007C68E7" w:rsidP="007C68E7">
      <w:pPr>
        <w:rPr>
          <w:vanish/>
        </w:rPr>
      </w:pPr>
      <w:bookmarkStart w:id="4" w:name="PE"/>
      <w:r w:rsidRPr="000B67B5">
        <w:rPr>
          <w:vanish/>
        </w:rPr>
        <w:t>PE778.065</w:t>
      </w:r>
      <w:bookmarkEnd w:id="4"/>
    </w:p>
    <w:p w14:paraId="5D2BB91F" w14:textId="6C858231" w:rsidR="007C68E7" w:rsidRPr="000B67B5" w:rsidRDefault="003A0FEE" w:rsidP="007C68E7">
      <w:pPr>
        <w:pStyle w:val="ATHeading3"/>
      </w:pPr>
      <w:bookmarkStart w:id="5" w:name="Sujet"/>
      <w:r>
        <w:t xml:space="preserve">1. </w:t>
      </w:r>
      <w:r w:rsidR="007C68E7" w:rsidRPr="000B67B5">
        <w:t>Rozhodnutí Evropského parlamentu ze dne 29. dubna 2026 o udělení absolutoria za plnění souhrnného rozpočtu Evropské unie na rozpočtový rok 2024, oddíl VIII – Evropský veřejný ochránce práv</w:t>
      </w:r>
      <w:bookmarkEnd w:id="5"/>
      <w:r w:rsidR="007C68E7" w:rsidRPr="000B67B5">
        <w:t xml:space="preserve"> </w:t>
      </w:r>
      <w:bookmarkStart w:id="6" w:name="References"/>
      <w:r w:rsidR="007C68E7" w:rsidRPr="000B67B5">
        <w:t>(2025/2153(DEC))</w:t>
      </w:r>
      <w:bookmarkEnd w:id="6"/>
    </w:p>
    <w:p w14:paraId="1C4060A6" w14:textId="77777777" w:rsidR="007C50F9" w:rsidRPr="000B67B5" w:rsidRDefault="007C50F9" w:rsidP="007C50F9">
      <w:pPr>
        <w:pStyle w:val="EPComma"/>
      </w:pPr>
      <w:bookmarkStart w:id="7" w:name="TextBodyBegin"/>
      <w:bookmarkEnd w:id="7"/>
      <w:r w:rsidRPr="000B67B5">
        <w:rPr>
          <w:i/>
        </w:rPr>
        <w:t>Evropský parlament</w:t>
      </w:r>
      <w:r w:rsidRPr="000B67B5">
        <w:t>,</w:t>
      </w:r>
    </w:p>
    <w:p w14:paraId="6CC87101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 ohledem na souhrnný rozpočet Evropské unie na rozpočtový rok 2024</w:t>
      </w:r>
      <w:r w:rsidRPr="000B67B5">
        <w:rPr>
          <w:rStyle w:val="FootnoteReference"/>
        </w:rPr>
        <w:footnoteReference w:id="1"/>
      </w:r>
      <w:r w:rsidRPr="000B67B5">
        <w:t>,</w:t>
      </w:r>
    </w:p>
    <w:p w14:paraId="60A4361D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 ohledem na konsolidovanou roční účetní závěrku Evropské unie za rozpočtový rok 2024 (</w:t>
      </w:r>
      <w:proofErr w:type="gramStart"/>
      <w:r w:rsidRPr="000B67B5">
        <w:t>COM(</w:t>
      </w:r>
      <w:proofErr w:type="gramEnd"/>
      <w:r w:rsidRPr="000B67B5">
        <w:t>2025)0359 – C10</w:t>
      </w:r>
      <w:r w:rsidRPr="000B67B5">
        <w:noBreakHyphen/>
        <w:t>0153/2025)</w:t>
      </w:r>
      <w:r w:rsidRPr="000B67B5">
        <w:rPr>
          <w:rStyle w:val="FootnoteReference"/>
        </w:rPr>
        <w:footnoteReference w:id="2"/>
      </w:r>
      <w:r w:rsidRPr="000B67B5">
        <w:t>,</w:t>
      </w:r>
    </w:p>
    <w:p w14:paraId="16BCCF07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 ohledem na výroční zprávu o činnosti úřadu evropského veřejného ochránce práv za rok 2024 a na jeho zprávu o rozpočtovém a finančním řízení za rozpočtový rok 2024,</w:t>
      </w:r>
    </w:p>
    <w:p w14:paraId="645F06DF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 ohledem na výroční zprávu Účetního dvora o plnění rozpočtu na rozpočtový rok 2024 spolu s odpověďmi orgánů</w:t>
      </w:r>
      <w:r w:rsidRPr="000B67B5">
        <w:rPr>
          <w:rStyle w:val="FootnoteReference"/>
        </w:rPr>
        <w:footnoteReference w:id="3"/>
      </w:r>
      <w:r w:rsidRPr="000B67B5">
        <w:t>,</w:t>
      </w:r>
    </w:p>
    <w:p w14:paraId="2C979638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 ohledem na prohlášení o věrohodnosti</w:t>
      </w:r>
      <w:r w:rsidRPr="000B67B5">
        <w:rPr>
          <w:rStyle w:val="FootnoteReference"/>
        </w:rPr>
        <w:footnoteReference w:id="4"/>
      </w:r>
      <w:r w:rsidRPr="000B67B5">
        <w:t xml:space="preserve"> účetnictví a o legalitě a správnosti uskutečněných operací, které předložil Účetní dvůr za rozpočtový rok 2024 podle článku 287 Smlouvy o fungování Evropské unie,</w:t>
      </w:r>
    </w:p>
    <w:p w14:paraId="4E6AA9D3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 ohledem na čl. 314 odst. 10 a články 317, 318 a 319 Smlouvy o fungování Evropské unie,</w:t>
      </w:r>
    </w:p>
    <w:p w14:paraId="6D01E86E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 a (EU) č. 283/2014 a rozhodnutí č. 541/2014/EU a zrušuje nařízení (EU, Euratom) č. 966/2012</w:t>
      </w:r>
      <w:r w:rsidRPr="000B67B5">
        <w:rPr>
          <w:rStyle w:val="FootnoteReference"/>
        </w:rPr>
        <w:footnoteReference w:id="5"/>
      </w:r>
      <w:r w:rsidRPr="000B67B5">
        <w:t xml:space="preserve">, </w:t>
      </w:r>
      <w:r w:rsidRPr="000B67B5">
        <w:lastRenderedPageBreak/>
        <w:t>a zejména na články 59, 118, 260, 261 a 262 tohoto nařízení,</w:t>
      </w:r>
    </w:p>
    <w:p w14:paraId="7D3EA98F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 ohledem na nařízení Evropského parlamentu a Rady (EU, Euratom) 2024/2509 ze dne 23. září 2024, kterým se stanoví finanční pravidla pro souhrnný rozpočet Unie</w:t>
      </w:r>
      <w:r w:rsidRPr="000B67B5">
        <w:rPr>
          <w:rStyle w:val="FootnoteReference"/>
        </w:rPr>
        <w:footnoteReference w:id="6"/>
      </w:r>
      <w:r w:rsidRPr="000B67B5">
        <w:t>, a zejména na články 59, 118, 266, 267 a 268 tohoto nařízení,</w:t>
      </w:r>
    </w:p>
    <w:p w14:paraId="67FBDED7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 ohledem na článek 102 a přílohu V jednacího řádu,</w:t>
      </w:r>
    </w:p>
    <w:p w14:paraId="44A0BCBD" w14:textId="77777777" w:rsidR="007C50F9" w:rsidRPr="000B67B5" w:rsidRDefault="007C50F9" w:rsidP="003A0FEE">
      <w:pPr>
        <w:pStyle w:val="NormalHanging12a"/>
      </w:pPr>
      <w:r w:rsidRPr="000B67B5">
        <w:t>–</w:t>
      </w:r>
      <w:r w:rsidRPr="000B67B5">
        <w:tab/>
        <w:t>s ohledem na zprávu Výboru pro rozpočtovou kontrolu (A10</w:t>
      </w:r>
      <w:r w:rsidRPr="000B67B5">
        <w:noBreakHyphen/>
        <w:t>0054/2026),</w:t>
      </w:r>
    </w:p>
    <w:p w14:paraId="6575884F" w14:textId="77777777" w:rsidR="007C50F9" w:rsidRPr="000B67B5" w:rsidRDefault="007C50F9" w:rsidP="003A0FEE">
      <w:pPr>
        <w:pStyle w:val="NormalHanging12a"/>
      </w:pPr>
      <w:r w:rsidRPr="000B67B5">
        <w:t>1.</w:t>
      </w:r>
      <w:r w:rsidRPr="000B67B5">
        <w:tab/>
        <w:t>uděluje absolutorium evropské veřejné ochránkyni práv za plnění rozpočtu úřadu evropského veřejného ochránce práv na rozpočtový rok 2024;</w:t>
      </w:r>
    </w:p>
    <w:p w14:paraId="68FB1CE2" w14:textId="77777777" w:rsidR="007C50F9" w:rsidRPr="000B67B5" w:rsidRDefault="007C50F9" w:rsidP="003A0FEE">
      <w:pPr>
        <w:pStyle w:val="NormalHanging12a"/>
      </w:pPr>
      <w:r w:rsidRPr="000B67B5">
        <w:t>2.</w:t>
      </w:r>
      <w:r w:rsidRPr="000B67B5">
        <w:tab/>
        <w:t>předkládá své připomínky v níže uvedeném usnesení;</w:t>
      </w:r>
    </w:p>
    <w:p w14:paraId="048FF04F" w14:textId="77777777" w:rsidR="007C50F9" w:rsidRPr="000B67B5" w:rsidRDefault="007C50F9" w:rsidP="003A0FEE">
      <w:pPr>
        <w:pStyle w:val="NormalHanging12a"/>
      </w:pPr>
      <w:r w:rsidRPr="000B67B5">
        <w:t>3.</w:t>
      </w:r>
      <w:r w:rsidRPr="000B67B5">
        <w:tab/>
        <w:t>pověřuje svou předsedkyni, aby předala toto rozhodnutí a usnesení, které je jeho nedílnou součástí, evropské veřejné ochránkyni práv, Evropské radě, Radě, Komisi, Účetnímu dvoru, Soudnímu dvoru Evropské unie, evropskému inspektorovi ochrany údajů a Evropské službě pro vnější činnost a aby zajistila jejich zveřejnění v </w:t>
      </w:r>
      <w:r w:rsidRPr="000B67B5">
        <w:rPr>
          <w:i/>
        </w:rPr>
        <w:t>Úředním věstníku Evropské unie</w:t>
      </w:r>
      <w:r w:rsidRPr="000B67B5">
        <w:t xml:space="preserve"> (řada L).</w:t>
      </w:r>
    </w:p>
    <w:p w14:paraId="2102B0E3" w14:textId="77777777" w:rsidR="007C50F9" w:rsidRPr="000B67B5" w:rsidRDefault="007C50F9" w:rsidP="007C50F9">
      <w:pPr>
        <w:pStyle w:val="NormalHanging12a"/>
      </w:pPr>
    </w:p>
    <w:p w14:paraId="7F48B20D" w14:textId="77777777" w:rsidR="007C50F9" w:rsidRPr="000B67B5" w:rsidRDefault="007C50F9" w:rsidP="007C50F9">
      <w:pPr>
        <w:pStyle w:val="PageHeading"/>
        <w:sectPr w:rsidR="007C50F9" w:rsidRPr="000B67B5" w:rsidSect="000B67B5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B0F68E" w14:textId="54E37793" w:rsidR="007C50F9" w:rsidRPr="000B67B5" w:rsidRDefault="007C50F9" w:rsidP="003A0FEE">
      <w:pPr>
        <w:pStyle w:val="ATHeading3"/>
      </w:pPr>
      <w:bookmarkStart w:id="8" w:name="_Toc225849303"/>
      <w:r w:rsidRPr="000B67B5">
        <w:lastRenderedPageBreak/>
        <w:t xml:space="preserve">2. </w:t>
      </w:r>
      <w:r w:rsidR="003A0FEE" w:rsidRPr="000B67B5">
        <w:t>Usnesení Evropského parlamentu</w:t>
      </w:r>
      <w:bookmarkEnd w:id="8"/>
      <w:r w:rsidR="003A0FEE">
        <w:t xml:space="preserve"> </w:t>
      </w:r>
      <w:r w:rsidR="003A0FEE" w:rsidRPr="000B67B5">
        <w:t xml:space="preserve">ze dne 29. dubna 2026 </w:t>
      </w:r>
      <w:r w:rsidRPr="000B67B5">
        <w:t>obsahující připomínky, které jsou nedílnou součástí rozhodnutí o udělení absolutoria za plnění souhrnného rozpočtu Evropské unie na rozpočtový rok 2024, oddíl VIII – Evropský veřejný ochránce práv</w:t>
      </w:r>
      <w:r w:rsidR="003A0FEE">
        <w:t xml:space="preserve"> </w:t>
      </w:r>
      <w:r w:rsidRPr="000B67B5">
        <w:t>(2025/</w:t>
      </w:r>
      <w:r w:rsidRPr="003A0FEE">
        <w:t>2153</w:t>
      </w:r>
      <w:r w:rsidRPr="000B67B5">
        <w:t>(DEC))</w:t>
      </w:r>
    </w:p>
    <w:p w14:paraId="41EF5E28" w14:textId="77777777" w:rsidR="007C50F9" w:rsidRPr="000B67B5" w:rsidRDefault="007C50F9" w:rsidP="007C50F9">
      <w:pPr>
        <w:pStyle w:val="EPComma"/>
      </w:pPr>
      <w:r w:rsidRPr="000B67B5">
        <w:rPr>
          <w:i/>
        </w:rPr>
        <w:t>Evropský parlament</w:t>
      </w:r>
      <w:r w:rsidRPr="000B67B5">
        <w:t>,</w:t>
      </w:r>
    </w:p>
    <w:p w14:paraId="16FC03B1" w14:textId="77777777" w:rsidR="007C50F9" w:rsidRPr="003A0FEE" w:rsidRDefault="007C50F9" w:rsidP="003A0FEE">
      <w:pPr>
        <w:pStyle w:val="NormalHanging12a"/>
        <w:rPr>
          <w:szCs w:val="24"/>
        </w:rPr>
      </w:pPr>
      <w:r w:rsidRPr="000B67B5">
        <w:t>–</w:t>
      </w:r>
      <w:r w:rsidRPr="000B67B5">
        <w:tab/>
        <w:t>s ohledem</w:t>
      </w:r>
      <w:r w:rsidRPr="003A0FEE">
        <w:rPr>
          <w:szCs w:val="24"/>
        </w:rPr>
        <w:t xml:space="preserve"> na své rozhodnutí o udělení absolutoria za plnění souhrnného rozpočtu Evropské unie na rozpočtový rok 2024, oddíl VIII – Evropský veřejný ochránce práv,</w:t>
      </w:r>
    </w:p>
    <w:p w14:paraId="5D266B00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–</w:t>
      </w:r>
      <w:r w:rsidRPr="003A0FEE">
        <w:rPr>
          <w:szCs w:val="24"/>
        </w:rPr>
        <w:tab/>
        <w:t>s ohledem na článek 102 a přílohu V jednacího řádu,</w:t>
      </w:r>
    </w:p>
    <w:p w14:paraId="25E3C6B4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–</w:t>
      </w:r>
      <w:r w:rsidRPr="003A0FEE">
        <w:rPr>
          <w:szCs w:val="24"/>
        </w:rPr>
        <w:tab/>
        <w:t>s ohledem na zprávu Výboru pro rozpočtovou kontrolu (A10</w:t>
      </w:r>
      <w:r w:rsidRPr="003A0FEE">
        <w:rPr>
          <w:szCs w:val="24"/>
        </w:rPr>
        <w:noBreakHyphen/>
        <w:t>0054/2026),</w:t>
      </w:r>
    </w:p>
    <w:p w14:paraId="2E4AA9DA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A.</w:t>
      </w:r>
      <w:r w:rsidRPr="003A0FEE">
        <w:rPr>
          <w:szCs w:val="24"/>
        </w:rPr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výkonnosti, zajišťováním řádného a účinného finančního řízení zaměřeného na výsledky a řádným řízením lidských zdrojů;</w:t>
      </w:r>
    </w:p>
    <w:p w14:paraId="0162EE76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B.</w:t>
      </w:r>
      <w:r w:rsidRPr="003A0FEE">
        <w:rPr>
          <w:szCs w:val="24"/>
        </w:rPr>
        <w:tab/>
        <w:t>vzhledem k tomu, že článek 228 Smlouvy o fungování Evropské unie stanoví, že Evropský parlament volí evropského veřejného ochránce práv, který je oprávněn přijímat od kteréhokoli občana Unie nebo od kterékoli fyzické osoby s bydlištěm nebo právnické osoby se statutárním sídlem v členském státě stížnosti týkající se nesprávného úředního postupu orgánů, institucí nebo jiných subjektů Unie, s výjimkou Soudního dvora Evropské unie při výkonu jeho soudních pravomocí, a tyto stížnosti přezkoumává a podává o nich zprávu;</w:t>
      </w:r>
    </w:p>
    <w:p w14:paraId="4B62C550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C.</w:t>
      </w:r>
      <w:r w:rsidRPr="003A0FEE">
        <w:rPr>
          <w:szCs w:val="24"/>
        </w:rPr>
        <w:tab/>
        <w:t>vzhledem k tomu, že nařízení Evropského parlamentu (EU, Euratom) 2021/1163 ze dne 24. června 2021</w:t>
      </w:r>
      <w:r w:rsidRPr="003A0FEE">
        <w:rPr>
          <w:rStyle w:val="FootnoteReference"/>
          <w:szCs w:val="24"/>
        </w:rPr>
        <w:footnoteReference w:id="7"/>
      </w:r>
      <w:r w:rsidRPr="003A0FEE">
        <w:rPr>
          <w:szCs w:val="24"/>
        </w:rPr>
        <w:t xml:space="preserve"> stanoví pravidla a obecné podmínky výkonu funkce veřejného ochránce práv (statut evropského veřejného ochránce práv);</w:t>
      </w:r>
    </w:p>
    <w:p w14:paraId="27385A7E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D.</w:t>
      </w:r>
      <w:r w:rsidRPr="003A0FEE">
        <w:rPr>
          <w:szCs w:val="24"/>
        </w:rPr>
        <w:tab/>
        <w:t>vzhledem k tomu, že nová veřejná ochránkyně práv složila po svém zvolení Parlamentem dne 17. prosince 2024 přísahu dne 27. února 2025, čímž byla zajištěna kontinuita a účinné plnění mandátu veřejného ochránce práv při prosazování transparentnosti, řádné správy a práv občanů v orgánech Unie;</w:t>
      </w:r>
    </w:p>
    <w:p w14:paraId="37F45D34" w14:textId="77777777" w:rsidR="007C50F9" w:rsidRPr="003A0FEE" w:rsidRDefault="007C50F9" w:rsidP="003A0FEE">
      <w:pPr>
        <w:pStyle w:val="NormalHanging12a"/>
        <w:rPr>
          <w:b/>
          <w:i/>
          <w:szCs w:val="24"/>
        </w:rPr>
      </w:pPr>
      <w:r w:rsidRPr="003A0FEE">
        <w:rPr>
          <w:szCs w:val="24"/>
        </w:rPr>
        <w:t>E.</w:t>
      </w:r>
      <w:r w:rsidRPr="003A0FEE">
        <w:rPr>
          <w:b/>
          <w:i/>
          <w:szCs w:val="24"/>
        </w:rPr>
        <w:tab/>
      </w:r>
      <w:r w:rsidRPr="003A0FEE">
        <w:rPr>
          <w:szCs w:val="24"/>
        </w:rPr>
        <w:t>vzhledem k tomu, že zachování nejvyšších standardů institucionální nezávislosti a zamezení jakémukoli vnímání zvýhodňování při jmenování do vyšších funkcí má zásadní význam pro zajištění důvěry veřejnosti v úlohu veřejného ochránce práv jako strážce řádné správy Unie;</w:t>
      </w:r>
    </w:p>
    <w:p w14:paraId="34A86E08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F.</w:t>
      </w:r>
      <w:r w:rsidRPr="003A0FEE">
        <w:rPr>
          <w:szCs w:val="24"/>
        </w:rPr>
        <w:tab/>
        <w:t xml:space="preserve">vzhledem k tomu, že </w:t>
      </w:r>
      <w:r w:rsidRPr="003A0FEE">
        <w:rPr>
          <w:szCs w:val="24"/>
          <w:shd w:val="clear" w:color="auto" w:fill="FFFFFF"/>
        </w:rPr>
        <w:t xml:space="preserve">po přijetí nařízení (EU, Euratom) 2021/1163 </w:t>
      </w:r>
      <w:r w:rsidRPr="003A0FEE">
        <w:rPr>
          <w:szCs w:val="24"/>
        </w:rPr>
        <w:t>přijala evropská veřejná ochránkyně práv dne 21. června 2023 vlastní revidovaná prováděcí pravidla</w:t>
      </w:r>
      <w:r w:rsidRPr="003A0FEE">
        <w:rPr>
          <w:rStyle w:val="FootnoteReference"/>
          <w:szCs w:val="24"/>
        </w:rPr>
        <w:footnoteReference w:id="8"/>
      </w:r>
      <w:r w:rsidRPr="003A0FEE">
        <w:rPr>
          <w:szCs w:val="24"/>
        </w:rPr>
        <w:t xml:space="preserve"> ;</w:t>
      </w:r>
    </w:p>
    <w:p w14:paraId="3C91F017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1.</w:t>
      </w:r>
      <w:r w:rsidRPr="003A0FEE">
        <w:rPr>
          <w:szCs w:val="24"/>
        </w:rPr>
        <w:tab/>
        <w:t xml:space="preserve">konstatuje, že rozpočet evropského veřejného ochránce práv spadá do okruhu 7 VFR „Evropská veřejná správa“, který v roce 2024 činil celkem 13,3 miliardy EUR, tj. 6,9 % rozpočtových výdajů Unie; konstatuje, že rozpočet evropského veřejného ochránce práv </w:t>
      </w:r>
      <w:r w:rsidRPr="003A0FEE">
        <w:rPr>
          <w:szCs w:val="24"/>
        </w:rPr>
        <w:lastRenderedPageBreak/>
        <w:t>představoval 0,10 % prostředků okruhu 7 VFR;</w:t>
      </w:r>
    </w:p>
    <w:p w14:paraId="45B46B43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2.</w:t>
      </w:r>
      <w:r w:rsidRPr="003A0FEE">
        <w:rPr>
          <w:szCs w:val="24"/>
        </w:rPr>
        <w:tab/>
        <w:t>konstatuje, že Evropský účetní dvůr (dále jen „Účetní dvůr“) ve výroční zprávě za rozpočtový rok 2024 (dále jen „zpráva Účetního dvora“) zkoumal vzorek 70 transakcí v okruhu „Správa“, tedy stejný počet transakcí jako v roce 2023; konstatuje, že Účetní dvůr dále uvádí, že správní výdaje zahrnují výdaje na lidské zdroje včetně výdajů na důchody, které v roce 2024 představovaly přibližně 69 % celkových správních výdajů, a výdaje na budovy, vybavení, energie a komunikační a informační technologie (IT), a že z jeho dlouholeté práce vyplývá, že tyto výdaje celkově vykazují nízké riziko;</w:t>
      </w:r>
    </w:p>
    <w:p w14:paraId="3583B911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3.</w:t>
      </w:r>
      <w:r w:rsidRPr="003A0FEE">
        <w:rPr>
          <w:szCs w:val="24"/>
        </w:rPr>
        <w:tab/>
        <w:t>konstatuje, že 16 ze 70 transakcí (tj. 23 %) obsahovalo chyby, ale že Účetní dvůr na základě tří chyb, které byly vyčísleny, odhaduje, že míra chyb nedosahuje prahu významnosti; konstatuje, že zpráva Účetního dvora neuvedla žádné specifické otázky týkající se evropského veřejného ochránce práv;</w:t>
      </w:r>
    </w:p>
    <w:p w14:paraId="195F7ED8" w14:textId="77777777" w:rsidR="007C50F9" w:rsidRPr="003A0FEE" w:rsidRDefault="007C50F9" w:rsidP="003A0FEE">
      <w:pPr>
        <w:pStyle w:val="NormalHanging12a"/>
        <w:rPr>
          <w:b/>
          <w:i/>
          <w:szCs w:val="24"/>
        </w:rPr>
      </w:pPr>
      <w:r w:rsidRPr="003A0FEE">
        <w:rPr>
          <w:b/>
          <w:i/>
          <w:szCs w:val="24"/>
        </w:rPr>
        <w:t>Rozpočtové a finanční řízení</w:t>
      </w:r>
    </w:p>
    <w:p w14:paraId="7F91EABF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4.</w:t>
      </w:r>
      <w:r w:rsidRPr="003A0FEE">
        <w:rPr>
          <w:szCs w:val="24"/>
        </w:rPr>
        <w:tab/>
        <w:t>konstatuje, že rozpočet evropského veřejného ochránce práv v roce 2024 činil 13 843 160 EUR, což představuje navýšení o 630 713 EUR (tj. +4,77 %) oproti roku 2023; bere na vědomí, že z odpovědí veřejného ochránce práv na dotazník předložený Výborem pro rozpočtovou kontrolu k udělení absolutoria za rok 2024 (dále jen „dotazník“) vyplývá, že toto zvýšení je způsobeno zejména úpravami platů;</w:t>
      </w:r>
    </w:p>
    <w:p w14:paraId="1BE7B021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5.</w:t>
      </w:r>
      <w:r w:rsidRPr="003A0FEE">
        <w:rPr>
          <w:szCs w:val="24"/>
        </w:rPr>
        <w:tab/>
        <w:t>konstatuje, že výsledkem úsilí o monitorování rozpočtu během rozpočtového roku 2024 byla míra plnění rozpočtu ve výši 97,55 %, což představuje oproti roku 2023 nárůst o 2,16 %; upozorňuje, že tato míra zahrnuje prostředky přenesené z let 2024 do roku 2025; konstatuje, že míra čerpání prostředků na platby na běžný rok dosáhla 97,08 %, což ve srovnání s rokem 2023 představuje pokles o 0,50 %; konstatuje, že došlo k nárůstu přenesených prostředků (prostředky C8) o 29,60 %, tj. z 304 550 EUR v roce 2023 na 394 667 EUR v roce 2024; konstatuje, že se zlepšila míra plnění automatických přenosů prostředků z předchozího roku, která v roce 2024 činila 76,59 % oproti 73,27 % v roce 2023; konstatuje však, že tato míra zůstala ve srovnání s rokem 2022 nízká (92,59 %), a opakuje svou výzvu veřejné ochránkyni práv, aby zvýšila úsilí o zlepšení této míry;</w:t>
      </w:r>
    </w:p>
    <w:p w14:paraId="225C9684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6.</w:t>
      </w:r>
      <w:r w:rsidRPr="003A0FEE">
        <w:rPr>
          <w:szCs w:val="24"/>
        </w:rPr>
        <w:tab/>
        <w:t>konstatuje, že v průběhu roku 2024 uskutečnila veřejná ochránkyně práv čtyři rozpočtové převody podle článku 29 finančního nařízení, které dosáhly celkové výše 280 500 EUR neboli 2,02 % prostředků na daný rozpočtový rok oproti 1,8 % v roce 2023; konstatuje, že tyto převody byly nutné pro posílení různých rozpočtových položek, například na úklid, údržbu a spotřebu energie (+41 %), výdaje na služební cesty (+38,60 %) a informatiku (+24,80 %); konstatuje, že v roce 2024 úřad veřejného ochránce práv výrazně snížil své výdaje na překlady poté, co se mu podařilo do překladatelských procesů na internetových stránkách veřejného ochránce práv začlenit umělou inteligenci; konstatuje, že úspory, které z toho vyplynuly, byly použity na posílení jiných oblastí formou rozpočtových převodů;</w:t>
      </w:r>
    </w:p>
    <w:p w14:paraId="55070617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7.</w:t>
      </w:r>
      <w:r w:rsidRPr="003A0FEE">
        <w:rPr>
          <w:szCs w:val="24"/>
        </w:rPr>
        <w:tab/>
        <w:t xml:space="preserve">s uspokojením konstatuje, že podle výroční zprávy o činnosti veřejného ochránce práv za rok 2024 (dále jen „výroční zpráva“) byly všechny platby v roce 2024 provedeny v zákonné lhůtě 30 dnů; dále konstatuje, že průměrná doba proplácení faktur činila 13,20 dne, což oproti roku 2023 (13,50 dne) představuje zlepšení; konstatuje, že úřad veřejného ochránce práv má v souvislosti s přechodem na nový finanční a účetní systém </w:t>
      </w:r>
      <w:r w:rsidRPr="003A0FEE">
        <w:rPr>
          <w:szCs w:val="24"/>
        </w:rPr>
        <w:lastRenderedPageBreak/>
        <w:t>(SUMMA) za přístupová práva k tomuto systému zaplatit 200 000 EUR, což je stejná částka, jakou mají zaplatit jiné, mnohem větší orgány, instituce, kanceláře, subjekty či agentury Unie; konstatuje, že tato částka představuje dvojnásobek rozpočtu veřejného ochránce práv na tento druh služeb; vyzývá Komisi, aby nalezla řešení, které by veřejné ochránkyni práv umožnilo získat přístup do systému SUMMA za cenu přiměřenou objemu její činnosti; vyzývá k vytvoření transparentního, objektivního a přiměřeného nákladového modelu pro přístup ke sdíleným korporátním finančním systémům s poplatky, jež odrážejí velikost a rozpočet i počet uživatelů v dotčeném orgánu, instituci, kanceláři nebo jiném subjektu či agentuře, aby se zabránilo nepřiměřenému zatížení těch, kdo jsou menší, a aby se zajistilo dodržování povinností finančního řízení, aniž by byly ohroženy zdroje vyčleněné na jejich hlavní mandát;</w:t>
      </w:r>
    </w:p>
    <w:p w14:paraId="09818CC8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8.</w:t>
      </w:r>
      <w:r w:rsidRPr="003A0FEE">
        <w:rPr>
          <w:szCs w:val="24"/>
        </w:rPr>
        <w:tab/>
        <w:t>konstatuje, že v důsledku dopadu nezákonné ruské útočné války proti Ukrajině byl veřejný ochránce práv v roce 2024 i nadále pod rozpočtovým tlakem; konstatuje, že veřejný ochránce práv byl nejvíce zasažen nárůstem nákladů na energie; v této souvislosti poznamenává, že paušální částka, kterou veřejný ochránce práv platí Parlamentu jako nájemné, musela být přepočítána, aby byl zohledněn dopad tohoto zvýšení na rozpočet veřejného ochránce; konstatuje, že skutečné výdaje veřejného ochránce práv na energie v roce 2024 tak vzrostly o 75 %, a to ze 168 900 EUR v roce 2023 na 295 400 EUR v roce 2024; bere na vědomí názor veřejné ochránkyně práv vyplývající z dotazníku, že dlouhodobou udržitelnost rozpočtu veřejného ochránce práv ovlivní kumulativní účinek inflačního tlaku a omezení výdajů nesouvisejících s platy na maximálně 2 % oproti předchozímu roku; zdůrazňuje, že nebude-li tento tlak odpovídajícím způsobem řešen, hrozí, že oslabí nákladovou efektivnost, předvídatelnost a udržitelnost činností veřejného ochránce; uznává, že je třeba, aby všechny orgány, instituce, kanceláře, subjekty či agentury Unie zlepšily své rozpočtové řízení tím, že při uzavírání smluv s poskytovateli služeb zohlední také kolísání cen, zejména v odvětví energetiky; zdůrazňuje, že rozpočtová kázeň musí být v souladu s realistickým posouzením nákladů, aby byly chráněny peníze daňových poplatníků a zároveň zachována provozní kontinuita;</w:t>
      </w:r>
    </w:p>
    <w:p w14:paraId="4A0281C3" w14:textId="607E746D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9.</w:t>
      </w:r>
      <w:r w:rsidRPr="003A0FEE">
        <w:rPr>
          <w:szCs w:val="24"/>
        </w:rPr>
        <w:tab/>
        <w:t>konstatuje, že rozpočet na služební cesty zaměstnanců v roce 2024 činil 120 000 EUR (stejná částka jako v roce 2023); konstatuje nicméně, že v průběhu roku 2024 došlo k navýšení článku rozpočtu pro služební cesty o +38,60 % formou interního převodu (převodů); bere na vědomí vysvětlení veřejné ochránkyně práv, podle něhož bylo toto navýšení nezbytné z důvodu inflace a zvýšení nákladů na ubytování, zvýšení počtu nezbytných služebních cest veřejného ochránce práv a rozpočtových odhadů založených na odhadech z předchozích let, kdy byly cesty omezeny kvůli pandemii COVID-19; konstatuje, že původní rozpočet na služební cesty zůstal pro veřejn</w:t>
      </w:r>
      <w:r w:rsidR="00662C91">
        <w:rPr>
          <w:szCs w:val="24"/>
        </w:rPr>
        <w:t>ou</w:t>
      </w:r>
      <w:r w:rsidRPr="003A0FEE">
        <w:rPr>
          <w:szCs w:val="24"/>
        </w:rPr>
        <w:t xml:space="preserve"> ochrán</w:t>
      </w:r>
      <w:r w:rsidR="00662C91">
        <w:rPr>
          <w:szCs w:val="24"/>
        </w:rPr>
        <w:t>kyni</w:t>
      </w:r>
      <w:r w:rsidRPr="003A0FEE">
        <w:rPr>
          <w:szCs w:val="24"/>
        </w:rPr>
        <w:t xml:space="preserve"> práv v roce 202</w:t>
      </w:r>
      <w:r w:rsidR="00681F19">
        <w:rPr>
          <w:szCs w:val="24"/>
        </w:rPr>
        <w:t>4</w:t>
      </w:r>
      <w:r w:rsidRPr="003A0FEE">
        <w:rPr>
          <w:szCs w:val="24"/>
        </w:rPr>
        <w:t xml:space="preserve"> ve stejné výši jako v předchozích letech (2022 a 2023), tj. 35 000 EUR; konstatuje, že v návaznosti na posílení tohoto rozpočtu formou interních převodů činily skutečné výdaje na služební cesty veřejné ochránkyně práv v roce 2024 celkem 41 326 EUR</w:t>
      </w:r>
      <w:r w:rsidRPr="003A0FEE">
        <w:rPr>
          <w:rStyle w:val="FootnoteReference"/>
          <w:szCs w:val="24"/>
        </w:rPr>
        <w:footnoteReference w:id="9"/>
      </w:r>
      <w:r w:rsidRPr="003A0FEE">
        <w:rPr>
          <w:szCs w:val="24"/>
        </w:rPr>
        <w:t>; požaduje realističtější počáteční rozpočtové prognózy pro cesty, aby se minimalizovalo spoléhání se na velké převody v polovině roku a zajistilo stabilní finanční plánování;</w:t>
      </w:r>
    </w:p>
    <w:p w14:paraId="5D38FD04" w14:textId="77777777" w:rsidR="007C50F9" w:rsidRPr="003A0FEE" w:rsidRDefault="007C50F9" w:rsidP="003A0FEE">
      <w:pPr>
        <w:pStyle w:val="NormalHanging12a"/>
        <w:rPr>
          <w:b/>
          <w:i/>
          <w:szCs w:val="24"/>
        </w:rPr>
      </w:pPr>
      <w:r w:rsidRPr="003A0FEE">
        <w:rPr>
          <w:b/>
          <w:i/>
          <w:szCs w:val="24"/>
        </w:rPr>
        <w:lastRenderedPageBreak/>
        <w:t>Vnitřní řízení, výkonnost a interní kontrola</w:t>
      </w:r>
    </w:p>
    <w:p w14:paraId="6E4F60DC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10.</w:t>
      </w:r>
      <w:r w:rsidRPr="003A0FEE">
        <w:rPr>
          <w:szCs w:val="24"/>
        </w:rPr>
        <w:tab/>
        <w:t>konstatuje, že veřejná ochránkyně práv propojila cíle na vysoké úrovni uvedené v její strategii „Směrem k roku 2024“ s devíti klíčovými ukazateli výkonnosti (KPI) sestávajícími z 17 složek, jak je stanoveno v ročním plánu řízení veřejného ochránce práv na rok 2024; všímá si, že 13 z těchto složek KPI bylo v roce 2024 splněno nebo překročeno;</w:t>
      </w:r>
    </w:p>
    <w:p w14:paraId="7643D307" w14:textId="65F69613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11.</w:t>
      </w:r>
      <w:r w:rsidRPr="003A0FEE">
        <w:rPr>
          <w:szCs w:val="24"/>
        </w:rPr>
        <w:tab/>
        <w:t>všímá si, že v roce 2024 veřejná ochránkyně práv řešila 2 264 nových stížností (2</w:t>
      </w:r>
      <w:r w:rsidR="003A0FEE" w:rsidRPr="003A0FEE">
        <w:rPr>
          <w:szCs w:val="24"/>
        </w:rPr>
        <w:t> </w:t>
      </w:r>
      <w:r w:rsidRPr="003A0FEE">
        <w:rPr>
          <w:szCs w:val="24"/>
        </w:rPr>
        <w:t>392</w:t>
      </w:r>
      <w:r w:rsidR="003A0FEE" w:rsidRPr="003A0FEE">
        <w:rPr>
          <w:szCs w:val="24"/>
        </w:rPr>
        <w:t> </w:t>
      </w:r>
      <w:r w:rsidRPr="003A0FEE">
        <w:rPr>
          <w:szCs w:val="24"/>
        </w:rPr>
        <w:t>v roce 2023), zahájila 411 šetření (392 v roce 2023), z toho 49 šetření veřejného významu (56 v roce 2023), uzavřela 421 šetření (372 v roce 2023) a zabývala se vysokým počtem stížností týkajících se přístupu veřejnosti, který vzrostl ze 167 v roce 2023 na (nový) rekordní počet 212 v roce 2024 (160 z nich bylo následně prošetřeno a 193 z nich bylo uzavřeno);</w:t>
      </w:r>
    </w:p>
    <w:p w14:paraId="23039E2B" w14:textId="75BB548E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12.</w:t>
      </w:r>
      <w:r w:rsidRPr="003A0FEE">
        <w:rPr>
          <w:szCs w:val="24"/>
        </w:rPr>
        <w:tab/>
        <w:t>chválí úřad veřejného ochránce práv za to, že zkrátil dobu nutnou ke zpracování dokumentů na různých úrovních řízení, jako je průměrný čas pro projednání stížnosti (z</w:t>
      </w:r>
      <w:r w:rsidR="003A0FEE" w:rsidRPr="003A0FEE">
        <w:rPr>
          <w:szCs w:val="24"/>
        </w:rPr>
        <w:t> </w:t>
      </w:r>
      <w:r w:rsidRPr="003A0FEE">
        <w:rPr>
          <w:szCs w:val="24"/>
        </w:rPr>
        <w:t>39 dnů v roce 2023 na 36 dnů v roce 2024) a pro projednání stížnosti v rámci své pravomoci (z 91 dnů v roce 2023 na 86 dnů v roce 2024); nicméně konstatuje, že se výrazně prodloužila průměrná doba k uzavření případů v oblasti přístupu veřejnosti k dokumentům ze 42 dnů v roce 2023 na 85 pracovních dnů v roce 2024; konstatuje, že veřejná ochránkyně práv překročila svůj cíl (100 %), pokud jde o míru objasněnosti (tj. počet uzavřených případů v porovnání s nově zaevidovanými případy v průběhu roku); lituje však, že průměrná doba (168 dní) pro provedení šetření byla i v roce 2024 dlouhá (oproti 165 dnům v roce 2023), což výrazně překračuje cílovou hodnotu 150 dní; doporučuje, aby veřejná ochránkyně práv dále zpřesnila klíčové ukazatele výkonnosti týkající se délky vyřizování případů tím, že budou lépe odrážet různorodou složitost případů, aby bylo zajištěno realističtější a smysluplnější posouzení výkonnosti zaměřené na účinnost; uznává, že složité případy, zejména ty, které se týkají několika institucí, kanceláří, subjektů či agentur mohou vyžadovat delší dobu zpracování; zdůrazňuje však, že přílišná zpoždění při vyřizování případů týkajících se přístupu k dokumentům narušují práva občanů a důvěru veřejnosti ve správu Unie obecně; žádá plán k řešení těchto zpoždění a navrhuje přesměrovat část úspor dosažených překlady umělou inteligencí na posílení vyšetřovacích týmů, zejména na případy týkající se přístupu veřejnosti; bere s uspokojením na vědomí zprávu veřejné ochrán</w:t>
      </w:r>
      <w:r w:rsidR="008C04A2">
        <w:rPr>
          <w:szCs w:val="24"/>
        </w:rPr>
        <w:t>kyně</w:t>
      </w:r>
      <w:r w:rsidRPr="003A0FEE">
        <w:rPr>
          <w:szCs w:val="24"/>
        </w:rPr>
        <w:t xml:space="preserve"> práv Parlamentu o opatřeních přijatých v návaznosti na udělení absolutoria za rozpočtový rok 2023 (dále jen „zpráva o přijatých opatřeních“), z níž plyne, že jedním z klíčových strategických cílů nově zvolené veřejné ochránkyně práv je posílit spolupráci a dialog s orgány, institucemi, kancelářemi, subjekty a agenturami Unie s cílem zkrátit v konečném důsledku dobu potřebnou k vyřízení šetření;</w:t>
      </w:r>
    </w:p>
    <w:p w14:paraId="5CD79D61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13.</w:t>
      </w:r>
      <w:r w:rsidRPr="003A0FEE">
        <w:rPr>
          <w:szCs w:val="24"/>
        </w:rPr>
        <w:tab/>
        <w:t>pokud jde o zjištění, konstatuje, že veřejná ochránkyně práv předložila v roce 2024 návrh řešení ve 14 případech a doporučení ve třech případech týkajících se přístupu veřejnosti k dokumentům; bere na vědomí zlepšení, pokud jde o kladné odpovědi orgánů, institucí, kanceláří, subjektů a agentur Unie na návrhy veřejné ochránkyně práv na zlepšení jejich správy, přičemž celková míra přijetí v roce 2024 činila 82 % (oproti 81 % v roce 2023), přičemž tato míra zahrnuje i případy uzavřené v roce 2023; vyzývá veřejnou ochránkyni práv, aby vypracovala cílený akční plán zaměřený na určení a řešení nejběžnějších důvodů, na nichž jsou založeny zbývající nepřijaté návrhy, a žádá veřejnou ochránkyni práv, aby i nadále usilovala o vysokou míru respektování svých závěrů, doporučení a návrhů;</w:t>
      </w:r>
    </w:p>
    <w:p w14:paraId="56BD7033" w14:textId="5C899A8E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lastRenderedPageBreak/>
        <w:t>14.</w:t>
      </w:r>
      <w:r w:rsidRPr="003A0FEE">
        <w:rPr>
          <w:szCs w:val="24"/>
        </w:rPr>
        <w:tab/>
        <w:t>oceňuje, že veřejná ochránkyně práv i v roce 2024 vyvíjela úsilí o zvýšení informovanosti občanů o svých pravomocích a jejich pochopení; v této souvislosti s uspokojením konstatuje, že vzrostl podíl stížností v rámci jejích pravomocí, a to z 33</w:t>
      </w:r>
      <w:r w:rsidR="003A0FEE" w:rsidRPr="003A0FEE">
        <w:rPr>
          <w:szCs w:val="24"/>
        </w:rPr>
        <w:t> </w:t>
      </w:r>
      <w:r w:rsidRPr="003A0FEE">
        <w:rPr>
          <w:szCs w:val="24"/>
        </w:rPr>
        <w:t>% v roce 2022 a 37 % v roce 2023 na 39 % v roce 2024; konstatuje, že ze zprávy o přijatých opatřeních dále vyplývá, že jedním z nových strategických cílů veřejného ochránce práv je zahájit cílené komunikační aktivity, aby občané, kteří veřejného ochránce práv potřebují, měli o svém právu povědomí a využívali jeho služeb; v této souvislosti konstatuje, že se tudíž očekává nárůst počtu stížností, v důsledku čehož bude nutné přezkoumat a přizpůsobit pracovní metody a posílit využívání digitálních nástrojů, zejména umělé inteligence, s cílem dále zefektivnit proces vyřizování stížností; vyzývá veřejnou ochránkyni práv, aby posoudila potenciální dopad očekávaného nárůstu stížností na rozpočet a lidské zdroje a aby orgán příslušný k udělení absolutoria průběžně informovala o pokroku dosaženém v této věci;</w:t>
      </w:r>
    </w:p>
    <w:p w14:paraId="3C8625D3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15.</w:t>
      </w:r>
      <w:r w:rsidRPr="003A0FEE">
        <w:rPr>
          <w:szCs w:val="24"/>
        </w:rPr>
        <w:tab/>
        <w:t>oceňuje úsilí a pozitivní dopad veřejného ochránce práv v oblasti etiky, transparentnosti a odpovědnosti v roce 2024, zejména v důsledku šetření týkajících se různých orgánů, institucí, kanceláří, subjektů a agentur Unie; konstatuje, že naprostá většina těchto šetření (65 %) se týkala Komise v roce 2025;</w:t>
      </w:r>
    </w:p>
    <w:p w14:paraId="0165EC91" w14:textId="728D40CE" w:rsidR="007C50F9" w:rsidRPr="003A0FEE" w:rsidRDefault="007C50F9" w:rsidP="003A0FEE">
      <w:pPr>
        <w:pStyle w:val="NormalHanging12a"/>
        <w:rPr>
          <w:szCs w:val="24"/>
        </w:rPr>
      </w:pPr>
      <w:bookmarkStart w:id="9" w:name="_Hlk215843998"/>
      <w:r w:rsidRPr="003A0FEE">
        <w:rPr>
          <w:szCs w:val="24"/>
        </w:rPr>
        <w:t>16.</w:t>
      </w:r>
      <w:r w:rsidRPr="003A0FEE">
        <w:rPr>
          <w:szCs w:val="24"/>
        </w:rPr>
        <w:tab/>
        <w:t>bere na vědomí zejména tato šetření veřejné ochrán</w:t>
      </w:r>
      <w:r w:rsidR="008C04A2">
        <w:rPr>
          <w:szCs w:val="24"/>
        </w:rPr>
        <w:t>kyně</w:t>
      </w:r>
      <w:r w:rsidRPr="003A0FEE">
        <w:rPr>
          <w:szCs w:val="24"/>
        </w:rPr>
        <w:t xml:space="preserve"> práv: i) jak Rada a Komise vyřizují žádosti o přístup veřejnosti k legislativním dokumentům (zejména ohledně výjimek pro odepření přístupu), přičemž veřejná ochránkyně práv dospěla k závěru, že oba orgány v mnoha případech uplatňují výjimky podle práva Unie o přístupu k dokumentům příliš široce, když používají argumentaci, kterou Soudní dvůr Evropské unie již odmítl, </w:t>
      </w:r>
      <w:proofErr w:type="spellStart"/>
      <w:r w:rsidRPr="003A0FEE">
        <w:rPr>
          <w:szCs w:val="24"/>
        </w:rPr>
        <w:t>ii</w:t>
      </w:r>
      <w:proofErr w:type="spellEnd"/>
      <w:r w:rsidRPr="003A0FEE">
        <w:rPr>
          <w:szCs w:val="24"/>
        </w:rPr>
        <w:t>) odmítnutí Komise poskytnout přístup k dokumentům týkajícím se revize pravidel Unie pro poskytování informací o potravinách spotřebitelům a k příspěvkům zúčastněných stran a členských států týkajících se „právního rámce pro obnovu přírody“ a </w:t>
      </w:r>
      <w:proofErr w:type="spellStart"/>
      <w:r w:rsidRPr="003A0FEE">
        <w:rPr>
          <w:szCs w:val="24"/>
        </w:rPr>
        <w:t>iii</w:t>
      </w:r>
      <w:proofErr w:type="spellEnd"/>
      <w:r w:rsidRPr="003A0FEE">
        <w:rPr>
          <w:szCs w:val="24"/>
        </w:rPr>
        <w:t>) skutečnosti, že Komise neurčila žádné dokumenty týkající se výměn informací s členskými státy nebo interních výměn ohledně přípravy jednání na vysoké úrovni o Memorandu o porozumění o strategickém a globálním partnerství mezi Evropskou unií a Tuniskem;</w:t>
      </w:r>
    </w:p>
    <w:bookmarkEnd w:id="9"/>
    <w:p w14:paraId="3E313325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17.</w:t>
      </w:r>
      <w:r w:rsidRPr="003A0FEE">
        <w:rPr>
          <w:szCs w:val="24"/>
        </w:rPr>
        <w:tab/>
        <w:t>vítá šetření veřejné ochránkyně práv provedená v roce 2024 v oblasti etiky; bere na vědomí zejména případ „otáčivých dveří“ týkající se dvou bývalých zaměstnanců Agentury Evropské unie pro spolupráci v oblasti prosazování práva (Europol), šetření založené na stížnosti na porušení práva týkající se údajného střetu zájmů komisaře pro zemědělství a šetření, jak Komise zajišťuje, aby nedocházelo ke střetu zájmů u odborníků, kteří jsou jí nápomocni při hodnocení návrhů financovaných z Evropského obranného fondu;</w:t>
      </w:r>
    </w:p>
    <w:p w14:paraId="0083DC53" w14:textId="5F89B898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18.</w:t>
      </w:r>
      <w:r w:rsidRPr="003A0FEE">
        <w:rPr>
          <w:szCs w:val="24"/>
        </w:rPr>
        <w:tab/>
        <w:t>konstatuje, že podle zprávy o přijatých opatřeních pokračovala veřejná ochránkyně práv v monitorování otázek transparentnosti a odpovědnosti souvisejících s Nástrojem pro oživení a odolnost (RRF) v rámci vyřizování stížností v oblasti přístupu veřejnosti k dokumentům, jež se většinou týkaly jednání o národních plánech pro oživení a odolnost (RRP); mezi těmito problémy bere se znepokojením na vědomí významná zpoždění, s nimiž se Komise setkala při odpovídání na žádosti o přístup k informacím, a úroveň poskytnutého přístupu, což pravděpodobně podkopává důvěru občanů ve správu Unie; oceňuje, že v případě týkajícím se nizozemského národního plánu pro oživení a odolnost Komise na základě návrhu řešení předloženého veřejn</w:t>
      </w:r>
      <w:r w:rsidR="00D67F29">
        <w:rPr>
          <w:szCs w:val="24"/>
        </w:rPr>
        <w:t>ou</w:t>
      </w:r>
      <w:r w:rsidRPr="003A0FEE">
        <w:rPr>
          <w:szCs w:val="24"/>
        </w:rPr>
        <w:t xml:space="preserve"> ochrán</w:t>
      </w:r>
      <w:r w:rsidR="00D67F29">
        <w:rPr>
          <w:szCs w:val="24"/>
        </w:rPr>
        <w:t>kyní</w:t>
      </w:r>
      <w:r w:rsidRPr="003A0FEE">
        <w:rPr>
          <w:szCs w:val="24"/>
        </w:rPr>
        <w:t xml:space="preserve"> práv poskytla širší přístup ke 172 dokumentům; důrazně však odsuzuje, že Komise na potvrzující žádost stěžovatele (novináře) odpověděla až po 21 měsících, tj. v červenci </w:t>
      </w:r>
      <w:r w:rsidRPr="003A0FEE">
        <w:rPr>
          <w:szCs w:val="24"/>
        </w:rPr>
        <w:lastRenderedPageBreak/>
        <w:t xml:space="preserve">2024, kdy poskytnutý přístup k dokumentům už nebyl k zamýšlenému účelu užitečný; souhlasí, že v záležitostech významného veřejného zájmu, jako je národní plán pro oživení a odolnost, by při zpřístupňování dokumentů nemělo docházet k větším prodlevám, a domnívá se, že taková zpoždění představují odepření transparentnosti a oslabují demokratickou kontrolu; opakuje názor veřejného ochránce práv, že Komise by měla při uplatňování výjimek z přístupu veřejnosti podle nařízení </w:t>
      </w:r>
      <w:r w:rsidR="00A47401">
        <w:rPr>
          <w:szCs w:val="24"/>
        </w:rPr>
        <w:t xml:space="preserve">(ES) </w:t>
      </w:r>
      <w:r w:rsidRPr="003A0FEE">
        <w:rPr>
          <w:szCs w:val="24"/>
        </w:rPr>
        <w:t>č. 1049/2001</w:t>
      </w:r>
      <w:r w:rsidRPr="003A0FEE">
        <w:rPr>
          <w:rStyle w:val="FootnoteReference"/>
          <w:szCs w:val="24"/>
        </w:rPr>
        <w:footnoteReference w:id="10"/>
      </w:r>
      <w:r w:rsidRPr="003A0FEE">
        <w:rPr>
          <w:szCs w:val="24"/>
        </w:rPr>
        <w:t>; pečlivě zvažovat existenci převažujícího veřejného zájmu; vyzývá veřejnou ochránkyni práv, aby informovala příslušné výbory Parlamentu, jakmile bude zpoždění Komise v souvislosti s dokumenty týkajícími se Nástroje pro oživení a odolnost příliš pregnantní, s cílem umožnit včasnou politickou kontrolu; dále vyzývá veřejnou ochránkyni práv, aby i nadále upřednostňovala systémovou práci, pokud jde o zbytečné průtahy v řízeních o přístupu k dokumentům, mimo jiné tím, že bude zjišťovat opakující se administrativní překážky a osvědčené postupy napříč orgány, institucemi, kancelářemi, subjekty či agenturami; podporuje veřejnou ochránkyni práv při prosazování důsledného uplatňování testu „převažujícího veřejného zájmu“, zejména u spisů s velkým dopadem, aby byl přístup poskytován včas, a byl tak smysluplný pro účely veřejné kontroly;</w:t>
      </w:r>
    </w:p>
    <w:p w14:paraId="5DA81ED6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19.</w:t>
      </w:r>
      <w:r w:rsidRPr="003A0FEE">
        <w:rPr>
          <w:szCs w:val="24"/>
        </w:rPr>
        <w:tab/>
        <w:t>připomíná, že podle veřejné ochránkyně práv by omezení přístupu k dokumentům, zejména k legislativním dokumentům, měla být uplatňována jen výjimečně a pouze v rozsahu, který je naprosto nutný; dále připomíná, že každé rozhodnutí o odepření přístupu veřejnosti k dokumentům se musí zakládat na jasně a striktně vymezených zákonných výjimkách, doložených racionálním a konkrétním odůvodněním, tak aby občané mohli zamítnutí přístupu pochopit a účinně využít dostupné opravné právní prostředky; je toho názoru, že by proaktivnější přístup pomohl zajistit skutečnou transparentnost a předcházet nákladným a zatěžujícím soudním sporům mezi občany a orgány</w:t>
      </w:r>
      <w:r w:rsidRPr="003A0FEE">
        <w:rPr>
          <w:rStyle w:val="FootnoteReference"/>
          <w:szCs w:val="24"/>
        </w:rPr>
        <w:footnoteReference w:id="11"/>
      </w:r>
      <w:r w:rsidRPr="003A0FEE">
        <w:rPr>
          <w:szCs w:val="24"/>
        </w:rPr>
        <w:t>; vybízí veřejnou ochránkyni práv, aby dále podporovala proaktivní postupy zveřejňování dokumentů, zejména pokud jde o legislativní a politické dokumenty, s cílem posílit transparentnost již od návrhu a snížit administrativní zátěž a riziko soudních sporů spojené s opakovanými žádostmi o přístup k dokumentům;</w:t>
      </w:r>
    </w:p>
    <w:p w14:paraId="15B3EAE9" w14:textId="77777777" w:rsidR="007C50F9" w:rsidRPr="003A0FEE" w:rsidRDefault="007C50F9" w:rsidP="003A0FEE">
      <w:pPr>
        <w:pStyle w:val="NormalHanging12a"/>
        <w:rPr>
          <w:b/>
          <w:bCs/>
          <w:szCs w:val="24"/>
        </w:rPr>
      </w:pPr>
      <w:r w:rsidRPr="003A0FEE">
        <w:rPr>
          <w:szCs w:val="24"/>
        </w:rPr>
        <w:t>20.</w:t>
      </w:r>
      <w:r w:rsidRPr="003A0FEE">
        <w:rPr>
          <w:szCs w:val="24"/>
        </w:rPr>
        <w:tab/>
        <w:t>připomíná, že interní auditor provedl přezkum rámce veřejného ochránce práv pro řízení rizik, přičemž byl schválen devítibodový akční plán, který má být realizován do konce roku 2024; na základě dotazníku a zprávy o přijatých opatřeních konstatuje, že všechna opatření byla provedena, mimo jiné byla přijata nová metodika posuzování rizik; vyzývá veřejnou ochránkyni práv, aby orgán příslušný k udělení absolutoria informovala o výsledku přezkumu provádění tohoto akčního plánu, který provedl interní auditor; žádá veřejnou ochránkyni práv, aby orgán příslušný k udělení absolutoria rovněž informovala o opatřeních přijatých v návaznosti na doporučení uvedená ve zprávách o interním auditu č. 20/04 (o bezpečnosti IT), č. 21/03 (o rámci ochrany údajů) a č. 22/03 (o etickém rámci);</w:t>
      </w:r>
    </w:p>
    <w:p w14:paraId="3247B28E" w14:textId="77777777" w:rsidR="007C50F9" w:rsidRPr="003A0FEE" w:rsidRDefault="007C50F9" w:rsidP="003A0FEE">
      <w:pPr>
        <w:pStyle w:val="NormalHanging12a"/>
        <w:rPr>
          <w:b/>
          <w:i/>
          <w:szCs w:val="24"/>
        </w:rPr>
      </w:pPr>
      <w:r w:rsidRPr="003A0FEE">
        <w:rPr>
          <w:b/>
          <w:i/>
          <w:szCs w:val="24"/>
        </w:rPr>
        <w:t>Lidské zdroje, rovnost a dobré pracovní podmínky zaměstnanců</w:t>
      </w:r>
    </w:p>
    <w:p w14:paraId="0399B720" w14:textId="77777777" w:rsidR="007C50F9" w:rsidRPr="003A0FEE" w:rsidRDefault="007C50F9" w:rsidP="003A0FEE">
      <w:pPr>
        <w:pStyle w:val="NormalHanging12a"/>
        <w:rPr>
          <w:szCs w:val="24"/>
        </w:rPr>
      </w:pPr>
      <w:bookmarkStart w:id="10" w:name="_Hlk215163299"/>
      <w:r w:rsidRPr="003A0FEE">
        <w:rPr>
          <w:szCs w:val="24"/>
        </w:rPr>
        <w:t>21.</w:t>
      </w:r>
      <w:r w:rsidRPr="003A0FEE">
        <w:rPr>
          <w:szCs w:val="24"/>
        </w:rPr>
        <w:tab/>
        <w:t xml:space="preserve">bere na vědomí pokles celkového počtu zaměstnanců veřejného ochránce práv o 4,90 % z 82 v roce 2023 na 78 v roce 2024; dále si všímá, že v roce 2024 bylo v úřadu </w:t>
      </w:r>
      <w:r w:rsidRPr="003A0FEE">
        <w:rPr>
          <w:szCs w:val="24"/>
        </w:rPr>
        <w:lastRenderedPageBreak/>
        <w:t>veřejného ochránce práv zaměstnáno 46 úředníků, zatímco v roce 2023 jich bylo 40, a 9 smluvních zaměstnanců, stejně jako v roce 2023; všímá si mírného poklesu počtu podílu zaměstnanců pracujících na hlavních činnostech úřadu veřejného ochránce práv (stížnosti a šetření) ze 42,68 % v roce 2023 na 42,30 % v roce 2024; dále bere na vědomí, že se obsazenost zvýšila z 95 % v roce 2023 na 97 % v roce 2024 a míra fluktuace se zvýšila z 5,20 % v roce 2023 na 6,40 % v roce 2024; připomíná, že v zájmu udržení dovedností, kontinuity a produktivního pracovního prostředí je důležité nabízet smlouvy na dobu neurčitou; zdůrazňuje, že klesající počet zaměstnanců v hlavních oblastech aktivity a značná závislost na smlouvách na dobu určitou mohou snížit institucionální paměť a efektivitu veřejného ochránce práv;</w:t>
      </w:r>
    </w:p>
    <w:p w14:paraId="3B12E951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22.</w:t>
      </w:r>
      <w:r w:rsidRPr="003A0FEE">
        <w:rPr>
          <w:szCs w:val="24"/>
        </w:rPr>
        <w:tab/>
        <w:t>lituje toho, že pozice generálního tajemníka úřadu veřejného ochránce práv není obsazena již více než dva roky, a to od 1. září 2022; konstatuje, že v návaznosti na několik výzev Parlamentu k obsazení tohoto volného místa zahájila veřejná ochránkyně práv dne 30. června 2025 interinstitucionální postup pro nábor nového generálního tajemníka zveřejněním výzvy k vyjádření zájmu (č. OMB/2/2025), jejímž výsledkem bylo 14 způsobilých přihlášek; dále konstatuje, že výběrové řízení bylo ukončeno v roce 2025 a byl vybrán nový generální tajemník zahajující výkon své funkce dne 1. ledna 2026; konstatuje, že v tomto případě byla výběrová komise složena ze tří osob, z nichž jednou byla veřejná ochránkyně práv, a dvou dalších externích nezávislých členů, kteří se podíleli na posuzování způsobilosti přihlášek a pohovorech; konstatuje, že veřejná ochránkyně práv je toho názoru, že jmenování těchto dvou členů a zapojení vedoucích pracovníků představují významné záruky v celém procesu, což zajišťuje integritu a zákonnost výběrového řízení; domnívá se, že aniž je dotčena jeho třicetiletá zkušenost úředníka Unie s desetiletou praxí v oblasti řízení, skutečnost, že vybraný generální tajemník dříve působil jako vedoucí kabinetu stávající veřejné ochránkyně práv, by mohla vést k domněnce o střetu zájmů, i kdyby byl tento postup veden v plném souladu s platným rámcem;</w:t>
      </w:r>
      <w:bookmarkEnd w:id="10"/>
      <w:r w:rsidRPr="003A0FEE">
        <w:rPr>
          <w:szCs w:val="24"/>
        </w:rPr>
        <w:t xml:space="preserve"> vyzývá veřejnou ochránkyni práv, aby s ohledem na budoucí postupy pokračovala v úvahách o způsobech, jak posílit záruky, co se týče výběrových řízení a rozhodnutí o jmenování, proti jakémukoli vnímanému střetu zájmů nebo zvýhodňování, a zajistila tak plné záruky spravedlnosti a transparentnosti;</w:t>
      </w:r>
    </w:p>
    <w:p w14:paraId="5F8DA616" w14:textId="77777777" w:rsidR="007C50F9" w:rsidRPr="003A0FEE" w:rsidRDefault="007C50F9" w:rsidP="003A0FEE">
      <w:pPr>
        <w:pStyle w:val="NormalHanging12a"/>
        <w:rPr>
          <w:szCs w:val="24"/>
        </w:rPr>
      </w:pPr>
      <w:bookmarkStart w:id="11" w:name="_Hlk215830609"/>
      <w:r w:rsidRPr="003A0FEE">
        <w:rPr>
          <w:szCs w:val="24"/>
        </w:rPr>
        <w:t>23.</w:t>
      </w:r>
      <w:r w:rsidRPr="003A0FEE">
        <w:rPr>
          <w:szCs w:val="24"/>
        </w:rPr>
        <w:tab/>
        <w:t xml:space="preserve">konstatuje, že po slyšení veřejné ochránkyně práv na schůzi parlamentního Výboru pro rozpočtovou kontrolu dne 6. listopadu 2025 předložili členové tohoto výboru dne 18. listopadu 2025 řadu doplňujících otázek k písemnému zodpovězení týkajících se výběru nového generálního tajemníka (OMB/2/2025), na které veřejná ochránkyně práv odpověděla dne 21. listopadu 2025; v této souvislosti nesouhlasí s názorem veřejné ochránkyně práv, že je použitelná judikatura ve věci </w:t>
      </w:r>
      <w:proofErr w:type="spellStart"/>
      <w:r w:rsidRPr="003A0FEE">
        <w:rPr>
          <w:szCs w:val="24"/>
        </w:rPr>
        <w:t>Meroni</w:t>
      </w:r>
      <w:proofErr w:type="spellEnd"/>
      <w:r w:rsidRPr="003A0FEE">
        <w:rPr>
          <w:szCs w:val="24"/>
        </w:rPr>
        <w:t xml:space="preserve"> (C-9/56 a C-10/56), neboť se netýká přenesení pravomocí v personálních záležitostech (jako je výběr zaměstnance), ale spíše přenesení diskrečních pravomocí na vnější / soukromé subjekty; zdůrazňuje, že Parlament nevyžaduje, aby veřejná ochránkyně práv delegovala svá práva a povinnosti jakožto orgán oprávněný ke jmenování, ale poukazuje na její přítomnost ve výběrové komisi, neboť právo Unie přítomnost orgánu oprávněného ke jmenování v této komisi nevyžaduje; zdůrazňuje, že orgán oprávněný ke jmenování přijetím konečného rozhodnutí, což je jeho úkol, rovněž potvrzuje, že celé výběrové řízení proběhlo v souladu s předpisy, mimo jiné že uchazeč splnil všechna kritéria přípustnosti a podmínky účasti; konstatuje však, že tato úloha se může jevit jako méně rozporuplná, pokud orgán oprávněný ke jmenování rovněž předsedal výběrové komisi v určitých fázích výběrového řízení, jak tomu v současném postupu bylo; chápe však, že může být nutné, aby byl veřejný ochránce práv ve své funkci úředníka zapojen do posledních fází některých výběrových řízení; bere na vědomí vysvětlení veřejné </w:t>
      </w:r>
      <w:r w:rsidRPr="003A0FEE">
        <w:rPr>
          <w:szCs w:val="24"/>
        </w:rPr>
        <w:lastRenderedPageBreak/>
        <w:t>ochránkyně práv, že právní omezení týkající se důvěrnosti, jejichž cílem je zajistit nezávislost a integritu výběrového řízení, omezují rozsah, v němž mohou být dokumenty související s kontrolou způsobilosti sdíleny s orgánem příslušným k udělení absolutoria; připomíná však právo Parlamentu získat informace nezbytné pro udělení absolutoria, zdůrazňuje, že poskytování těchto informací neznamená jejich zveřejnění, a zdůrazňuje, že Parlament má zavedeny odpovídající záruky pro bezpečné nakládání s citlivým materiálem; s ohledem na výše uvedené skutečnosti naléhavě vyzývá veřejnou ochránkyni práv, aby dále zvážila žádost Parlamentu a poskytla orgánu příslušnému k udělení absolutoria všechny dokumenty týkající se kontrol způsobilosti, posuzování žádostí, skutečných pohovorů s výběrovou komisí a dvoustranného pohovoru s veřejnou ochránkyní práv v souvislosti s postupem výběru generálního tajemníka veřejné ochránkyně práv (OMB/2/2025); vybízí veřejnou ochránkyni práv, aby zvážila provedení interních následných úvah o vysoce kontrolovaných postupech jmenování s cílem identifikovat získané zkušenosti a možná zlepšení budoucích procesů a aby orgán příslušný k udělení absolutoria informovala o výsledcích;</w:t>
      </w:r>
    </w:p>
    <w:bookmarkEnd w:id="11"/>
    <w:p w14:paraId="582975C7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24.</w:t>
      </w:r>
      <w:r w:rsidRPr="003A0FEE">
        <w:rPr>
          <w:szCs w:val="24"/>
        </w:rPr>
        <w:tab/>
        <w:t>zdůrazňuje, že úlohou veřejného ochránce práv je podporovat řádnou správu, přičemž mimo jiné dbá na to, aby etický rámec všech orgánů, institucí, kanceláří, subjektů a agentur Unie byl spolehlivý a schopný zajistit transparentnost a odpovědnost; je pevně přesvědčen, že veřejný ochránce práv musí splňovat nejvyšší standardy nezávislosti, nestrannosti a integrity a že je třeba zabránit jakémukoli vnímání zvýhodňování či střetu zájmů, neboť takové vnímání by mohlo oslabit důvěryhodnost veřejného ochránce práv, jeho poslání i důvěru občanů Unie; připomíná, že jelikož je veřejná ochránkyně práv Unií pověřena prosazováním etických norem a řádné správy, očekává se, že bude uplatňovat obzvláště přísné normy na svou vlastní správu i jmenování do vyšších funkcí, čímž stanoví měřítko pro ostatní orgány, instituce, kanceláře, subjekty a agentury;</w:t>
      </w:r>
    </w:p>
    <w:p w14:paraId="499840B0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25.</w:t>
      </w:r>
      <w:r w:rsidRPr="003A0FEE">
        <w:rPr>
          <w:szCs w:val="24"/>
        </w:rPr>
        <w:tab/>
        <w:t>konstatuje, že navzdory tomu, že úřad veřejného ochránce práv patří mezi malé unijní instituce, podařilo se mu mít v roce 2024 stejně jako v roce 2023 zaměstnance, kteří zastupují 19 státních příslušností; všímá si nicméně nadměrného zastoupení některých státních příslušností (jedna z nich tvoří více než 30 % zaměstnanců úřadu veřejného ochránce práv); zdůrazňuje, že vzhledem k tomu, že je úřad poměrně malou institucí, může mít tak vysoká koncentrace jediné státní příslušnosti dopad na interinstitucionální vnímání rozmanitosti úřadu; vyzývá veřejnou ochránkyni práv, aby přijala cílená náborová a informační opatření zaměřená konkrétně na nedostatečně zastoupené členské státy s cílem zajistit, aby úřad nadále odrážel rozmanitost Unie;</w:t>
      </w:r>
    </w:p>
    <w:p w14:paraId="70F68144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26.</w:t>
      </w:r>
      <w:r w:rsidRPr="003A0FEE">
        <w:rPr>
          <w:szCs w:val="24"/>
        </w:rPr>
        <w:tab/>
        <w:t>konstatuje, že z hlediska genderové vyváženosti zaměstnává úřad veřejného ochránce práv ve všech kategoriích zaměstnanců více žen než mužů, zejména na úrovni řízení, kde jsou všechny pozice obsazeny ženami; bere na vědomí celkové zastoupení zaměstnanců, jež tvoří 68 % žen a 32 % mužů, zatímco v roce 2023 to bylo 67 % žen a 33 % mužů; vyzývá veřejnou ochránkyni práv, aby usilovala o vyváženější zastoupení žen a mužů mezi svými zaměstnanci; naléhavě vyzývá veřejnou ochránkyni práv, aby vypracovala strategii pro řešení skutečnosti, že muži jsou v současné době zcela nepřítomni ve vedoucích funkcích; domnívá se, že zajištění toho, aby úřad veřejného ochránce práv lépe odrážel rozmanité složení občanů Unie, má zásadní význam pro zachování vyváženého a inkluzivního pracovního prostředí na všech úrovních hierarchie;</w:t>
      </w:r>
    </w:p>
    <w:p w14:paraId="3BCA0C08" w14:textId="4663321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27.</w:t>
      </w:r>
      <w:r w:rsidRPr="003A0FEE">
        <w:rPr>
          <w:szCs w:val="24"/>
        </w:rPr>
        <w:tab/>
        <w:t xml:space="preserve">konstatuje, že se úřad veřejného ochránce práv snaží zajistit tělesnou a duševní pohodu </w:t>
      </w:r>
      <w:r w:rsidRPr="003A0FEE">
        <w:rPr>
          <w:szCs w:val="24"/>
        </w:rPr>
        <w:lastRenderedPageBreak/>
        <w:t>svých zaměstnanců v práci a zaměřuje se na posílení týmového ducha; v této souvislosti konstatuje, že veřejná ochránkyně práv uspořádala v roce 2024 školení, z nichž některá byla povinná, o řešení konfliktů, poskytování a přijímání zpětné vazby, zdravotním postižení a začleňování a také o první pomoci; bere na vědomí, že veřejn</w:t>
      </w:r>
      <w:r w:rsidR="00504D6E">
        <w:rPr>
          <w:szCs w:val="24"/>
        </w:rPr>
        <w:t>ý</w:t>
      </w:r>
      <w:r w:rsidRPr="003A0FEE">
        <w:rPr>
          <w:szCs w:val="24"/>
        </w:rPr>
        <w:t xml:space="preserve"> ochrán</w:t>
      </w:r>
      <w:r w:rsidR="00504D6E">
        <w:rPr>
          <w:szCs w:val="24"/>
        </w:rPr>
        <w:t>ce</w:t>
      </w:r>
      <w:r w:rsidRPr="003A0FEE">
        <w:rPr>
          <w:szCs w:val="24"/>
        </w:rPr>
        <w:t xml:space="preserve"> práv přijal v roce 20</w:t>
      </w:r>
      <w:r w:rsidR="00681F19">
        <w:rPr>
          <w:szCs w:val="24"/>
        </w:rPr>
        <w:t>04</w:t>
      </w:r>
      <w:r w:rsidRPr="003A0FEE">
        <w:rPr>
          <w:szCs w:val="24"/>
        </w:rPr>
        <w:t xml:space="preserve"> politiku v oblasti rodičovské dovolené, která ve spojení s politikou týkající se pracovní doby a hybridní pracovní doby přijatou v roce 2021 zajišťuje pružné uspořádání práce, jež zaměstnanci využívají a oceňují; konstatuje, že v roce 2024 lékařská služba Parlamentu neupozornila veřejnou ochránkyni práv na žádnou dlouhodobou nemoc, která by měla původ ve vyhoření;</w:t>
      </w:r>
    </w:p>
    <w:p w14:paraId="513C7256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28.</w:t>
      </w:r>
      <w:r w:rsidRPr="003A0FEE">
        <w:rPr>
          <w:szCs w:val="24"/>
        </w:rPr>
        <w:tab/>
        <w:t>s uspokojením konstatuje, že v roce 2024 nebyl v rámci dotazníku nahlášen žádný případ obtěžování; bere na vědomí úsilí úřadu veřejného ochránce práv zajistit pracovní prostředí bez sexuálního a psychologického obtěžování, zejména prostřednictvím osvěty a školení; dále konstatuje, že úřad veřejného ochránce práv provedl průzkum zaměřený na informovanost zaměstnanců o etických otázkách, který ukazuje vysokou úroveň informovanosti zaměstnanců o politice a pokynech veřejného ochránce práv týkajících se psychologického a sexuálního obtěžování;</w:t>
      </w:r>
    </w:p>
    <w:p w14:paraId="16FB2882" w14:textId="3BEDE2F2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29.</w:t>
      </w:r>
      <w:r w:rsidRPr="003A0FEE">
        <w:rPr>
          <w:szCs w:val="24"/>
        </w:rPr>
        <w:tab/>
        <w:t>konstatuje, že úřad veřejného ochránce práv přivítal v roce 2024 18 placených stážistů (stejný počet jako v roce 2023), z nichž jeden byl vybrán v rámci chvályhodného programu stáží úřadu veřejného ochránce práv určeného osobám se zdravotním postižením; opět zdůrazňuje, že za stáže by měla být vyplácena odměna v souladu s usnesením Parlamentu ze dne 14. června 2023 o kvalitních stážích v Unii (2020/2005(INL)), které obsahuje výzvu, aby všechny stáže v Unii byly placené; zdůrazňuje, že placené stáže mají zásadní význam pro zajištění rovných příležitostí;</w:t>
      </w:r>
    </w:p>
    <w:p w14:paraId="3C4DBFD8" w14:textId="77777777" w:rsidR="007C50F9" w:rsidRPr="003A0FEE" w:rsidRDefault="007C50F9" w:rsidP="003A0FEE">
      <w:pPr>
        <w:pStyle w:val="NormalHanging12a"/>
        <w:rPr>
          <w:b/>
          <w:i/>
          <w:szCs w:val="24"/>
        </w:rPr>
      </w:pPr>
      <w:r w:rsidRPr="003A0FEE">
        <w:rPr>
          <w:b/>
          <w:i/>
          <w:szCs w:val="24"/>
        </w:rPr>
        <w:t>Etický rámec a transparentnost</w:t>
      </w:r>
    </w:p>
    <w:p w14:paraId="0DC5994A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30.</w:t>
      </w:r>
      <w:r w:rsidRPr="003A0FEE">
        <w:rPr>
          <w:szCs w:val="24"/>
        </w:rPr>
        <w:tab/>
        <w:t>vítá pokračující úsilí úřadu veřejného ochránce práv o posílení a zvýšení povědomí o svém etickém rámci; konstatuje, že úřad veřejného ochránce práv uspořádal pro nově jmenované důvěrné poradce veřejného ochránce práv a členy dohodovacího výboru školení o etických otázkách, jakož i povinná přizpůsobená školení o řešení konfliktů pro všechny zaměstnance; bere na vědomí, že úřad veřejného ochránce práv v roce 2024 přepracoval a v roce 2025 přijal revidovanou politiku v oblasti etiky a řádného chování, aby vyjasnil pracovní postupy schvalování a povolování a odstranil nedostatky v provádění pravidel souvisejících s etikou; oceňuje, že bylo zavedeno řešení v oblasti informačních technologií, které každému úředníkovi pro šetření případů umožňuje potvrdit neexistenci střetu zájmů v případech, které mu byly přiděleny; dále bere na vědomí, že všichni zaměstnanci úřadu veřejného ochránce práv, včetně vedoucích pracovníků, jsou vyzváni, aby každoročně revidovali svá prohlášení o profesní činnosti svých manželů / manželek nebo partnerů / partnerek, jakož i svá vlastní prohlášení o střetu zájmů;</w:t>
      </w:r>
    </w:p>
    <w:p w14:paraId="70965ADC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31.</w:t>
      </w:r>
      <w:r w:rsidRPr="003A0FEE">
        <w:rPr>
          <w:szCs w:val="24"/>
        </w:rPr>
        <w:tab/>
        <w:t>v souvislosti s interním auditem (zpráva 22/03) týkajícím se etického rámce úřadu veřejného ochránce práv konstatuje, že ze šesti předložených doporučení bylo na konci roku 2024 pět provedeno a jedno stále probíhalo; v této souvislosti konstatuje, že úřad veřejného ochránce práv zřídil disciplinární komisi a přijal politiku v oblasti boje proti podvodům, která se vztahuje i na vyslané národní odborníky, stážisty a externí dodavatele s cílem ještě více posílit etický rámec úřadu veřejného ochránce práv;</w:t>
      </w:r>
    </w:p>
    <w:p w14:paraId="5328A5DA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32.</w:t>
      </w:r>
      <w:r w:rsidRPr="003A0FEE">
        <w:rPr>
          <w:szCs w:val="24"/>
        </w:rPr>
        <w:tab/>
        <w:t xml:space="preserve">s uspokojením konstatuje, že v roce 2024 nebyly zaznamenány žádné případy střetu </w:t>
      </w:r>
      <w:r w:rsidRPr="003A0FEE">
        <w:rPr>
          <w:szCs w:val="24"/>
        </w:rPr>
        <w:lastRenderedPageBreak/>
        <w:t xml:space="preserve">zájmů ani případy </w:t>
      </w:r>
      <w:proofErr w:type="spellStart"/>
      <w:r w:rsidRPr="003A0FEE">
        <w:rPr>
          <w:szCs w:val="24"/>
        </w:rPr>
        <w:t>whistleblowingu</w:t>
      </w:r>
      <w:proofErr w:type="spellEnd"/>
      <w:r w:rsidRPr="003A0FEE">
        <w:rPr>
          <w:szCs w:val="24"/>
        </w:rPr>
        <w:t>;</w:t>
      </w:r>
    </w:p>
    <w:p w14:paraId="596F86D1" w14:textId="7D94C663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33.</w:t>
      </w:r>
      <w:r w:rsidRPr="003A0FEE">
        <w:rPr>
          <w:szCs w:val="24"/>
        </w:rPr>
        <w:tab/>
        <w:t>na základě dotazníku konstatuje, že se úřad veřejného ochránce práv formálně nepřipojil k rejstříku transparentnosti Unie (zřízenému interinstitucionální dohodou ze dne 20.</w:t>
      </w:r>
      <w:r w:rsidR="003A0FEE" w:rsidRPr="003A0FEE">
        <w:rPr>
          <w:szCs w:val="24"/>
        </w:rPr>
        <w:t> </w:t>
      </w:r>
      <w:r w:rsidRPr="003A0FEE">
        <w:rPr>
          <w:szCs w:val="24"/>
        </w:rPr>
        <w:t>května 2021 mezi Evropským parlamentem, Radou a Komisí o povinném rejstříku transparentnosti), aby byl schopen zkoumat i případné stížnosti na sekretariát rejstříku transparentnosti; konstatuje však, že úřad veřejného ochránce práv sladil své postupy se zásadami rejstříku transparentnosti a ověřuje, že osoby vystupující s projevy nebo jiní řečníci na akcích a schůzích pořádaných úřadem veřejného ochránce práv jsou v tomto rejstříku registrováni; vítá vysokou míru transparentnosti, které úřad veřejného ochránce práv dosáhl tím, že na svých internetových stránkách zveřejňuje informace o šetřeních, služebních cestách (a souvisejících výdajích), schůzích a akcích, jichž se veřejná ochránkyně práv účastní, a také hodnocení žádostí vedoucích pracovníků nebo členů kanceláře o zapojení do profesní činnosti po odchodu z úřadu veřejného ochránce práv;</w:t>
      </w:r>
    </w:p>
    <w:p w14:paraId="2693EBF9" w14:textId="77777777" w:rsidR="007C50F9" w:rsidRPr="003A0FEE" w:rsidRDefault="007C50F9" w:rsidP="003A0FEE">
      <w:pPr>
        <w:pStyle w:val="NormalHanging12a"/>
        <w:rPr>
          <w:b/>
          <w:i/>
          <w:szCs w:val="24"/>
        </w:rPr>
      </w:pPr>
      <w:r w:rsidRPr="003A0FEE">
        <w:rPr>
          <w:b/>
          <w:i/>
          <w:szCs w:val="24"/>
        </w:rPr>
        <w:t>Budovy</w:t>
      </w:r>
    </w:p>
    <w:p w14:paraId="13D08674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34.</w:t>
      </w:r>
      <w:r w:rsidRPr="003A0FEE">
        <w:rPr>
          <w:szCs w:val="24"/>
        </w:rPr>
        <w:tab/>
        <w:t>konstatuje, že konečný rozpočet úřadu veřejného ochránce práv (po převodech) na budovy a související náklady vzrostl o asi 13,60 % z 1 373 000 EUR v roce 2023 na 1 560 709 EUR v roce 2024; konstatuje, že prostředky na nájemné se zvýšily přibližně o 7 % z 866 100 EUR v roce 2023 na 926 620 EUR v roce 2024; všímá si, že v obou letech činila míra plnění plateb téměř 100 %;</w:t>
      </w:r>
    </w:p>
    <w:p w14:paraId="41C2BF32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35.</w:t>
      </w:r>
      <w:r w:rsidRPr="003A0FEE">
        <w:rPr>
          <w:szCs w:val="24"/>
        </w:rPr>
        <w:tab/>
        <w:t>na základě dotazníku konstatuje, že v podmínkách jednotlivých kanceláří úřadu veřejného ochránce práv nedošlo k žádným změnám, na které byl orgán příslušný k udělení absolutoria dříve upozorněn; s uspokojením konstatuje, že budova Havel ve Štrasburku je plně přístupná osobám s omezenou schopností pohybu a orientace nebo jiným zdravotním postižením; podporuje veřejnou ochránkyni práv v jejím úsilí o zlepšení přístupnosti prostor pronajímaných v Bruselu;</w:t>
      </w:r>
    </w:p>
    <w:p w14:paraId="672DBDB3" w14:textId="77777777" w:rsidR="007C50F9" w:rsidRPr="003A0FEE" w:rsidRDefault="007C50F9" w:rsidP="003A0FEE">
      <w:pPr>
        <w:pStyle w:val="NormalHanging12a"/>
        <w:rPr>
          <w:b/>
          <w:bCs/>
          <w:i/>
          <w:iCs/>
          <w:szCs w:val="24"/>
        </w:rPr>
      </w:pPr>
      <w:r w:rsidRPr="003A0FEE">
        <w:rPr>
          <w:b/>
          <w:i/>
          <w:szCs w:val="24"/>
        </w:rPr>
        <w:t>Digitalizace, kybernetická bezpečnost a ochrana údajů</w:t>
      </w:r>
      <w:bookmarkStart w:id="12" w:name="_Hlk215320147"/>
    </w:p>
    <w:p w14:paraId="60D36261" w14:textId="77777777" w:rsidR="007C50F9" w:rsidRPr="003A0FEE" w:rsidRDefault="007C50F9" w:rsidP="003A0FEE">
      <w:pPr>
        <w:spacing w:after="240"/>
        <w:ind w:left="567" w:hanging="567"/>
        <w:rPr>
          <w:szCs w:val="24"/>
        </w:rPr>
      </w:pPr>
      <w:r w:rsidRPr="003A0FEE">
        <w:rPr>
          <w:szCs w:val="24"/>
        </w:rPr>
        <w:t>36.</w:t>
      </w:r>
      <w:r w:rsidRPr="003A0FEE">
        <w:rPr>
          <w:szCs w:val="24"/>
        </w:rPr>
        <w:tab/>
        <w:t>oceňuje úřad veřejného ochránce práv za to, že v roce 2024 dokončil klíčový projekt digitalizace svých historických archivů před jejich předáním do historických archivů Unie ve Florencii; s uspokojením konstatuje, že archivy úřadu veřejného ochránce práv jsou nyní zachovány a přístupné budoucím generacím;</w:t>
      </w:r>
    </w:p>
    <w:p w14:paraId="287201BA" w14:textId="77777777" w:rsidR="007C50F9" w:rsidRPr="003A0FEE" w:rsidRDefault="007C50F9" w:rsidP="003A0FEE">
      <w:pPr>
        <w:spacing w:after="240"/>
        <w:ind w:left="567" w:hanging="567"/>
        <w:rPr>
          <w:szCs w:val="24"/>
        </w:rPr>
      </w:pPr>
      <w:r w:rsidRPr="003A0FEE">
        <w:rPr>
          <w:szCs w:val="24"/>
        </w:rPr>
        <w:t>37.</w:t>
      </w:r>
      <w:r w:rsidRPr="003A0FEE">
        <w:rPr>
          <w:szCs w:val="24"/>
        </w:rPr>
        <w:tab/>
        <w:t>vítá pozitivní dopad používání automatických překladů v úřadu veřejného ochráncem práv, neboť zlepšily přístupnost internetových stránek úřadu, zefektivnily přidělování případů a urychlily vyřizování stížností, což vedlo ke snížení nákladů na překlady o více než 65 % (od roku 2022 do roku 2024) a rovněž administrativní zátěže; vybízí úřad veřejného ochránce práv, aby pokračoval v testování a vyhodnocování nástrojů a případů použití umělé inteligence a aby k jejich vývoji a zavádění přistupoval obezřetně; vyzývá v této souvislosti veřejnou ochránkyni práv, aby zohlednila střednědobé rozpočtové důsledky související s údržbou, škálovatelností, dovednostmi zaměstnanců i potenciální závislostí na digitálních nástrojích a poskytovatelích služeb a zajistila, aby zavádění zůstalo bezpečné a podléhalo odpovídajícímu lidskému dohledu;</w:t>
      </w:r>
    </w:p>
    <w:p w14:paraId="38B8F1EC" w14:textId="77777777" w:rsidR="007C50F9" w:rsidRPr="003A0FEE" w:rsidRDefault="007C50F9" w:rsidP="003A0FEE">
      <w:pPr>
        <w:spacing w:after="240"/>
        <w:ind w:left="567" w:hanging="567"/>
        <w:rPr>
          <w:szCs w:val="24"/>
        </w:rPr>
      </w:pPr>
      <w:r w:rsidRPr="003A0FEE">
        <w:rPr>
          <w:szCs w:val="24"/>
        </w:rPr>
        <w:t>38.</w:t>
      </w:r>
      <w:r w:rsidRPr="003A0FEE">
        <w:rPr>
          <w:szCs w:val="24"/>
        </w:rPr>
        <w:tab/>
        <w:t xml:space="preserve">na základě dotazníku s uspokojením konstatuje, že úřad veřejného ochránce práv zavedl interní pokyny k používání nástrojů generativní umělé inteligence třetích stran, které by </w:t>
      </w:r>
      <w:r w:rsidRPr="003A0FEE">
        <w:rPr>
          <w:szCs w:val="24"/>
        </w:rPr>
        <w:lastRenderedPageBreak/>
        <w:t>měly zajistit srozumitelnost a návod pro bezpečné a efektivní zapojení nástrojů umělé inteligence do pracovních postupů úřadu; se zájmem očekává plánované používání umělé inteligence mimo rámec překladů, například k začlenění „obezřetnosti veřejného ochránce práv“ do velkého jazykového modelu Komise a k využití judikatury z minulosti v budoucích šetřeních; vybízí veřejnou ochránkyni práv, aby pokračovala v testování a zavádění nástrojů umělé inteligence tam, kde prokazatelně zlepšují přístupnost a účinnost; zdůrazňuje však, že je zapotřebí jasná správa, lidský dohled, transparentnost vůči uživatelům a spolehlivé záruky ochrany údajů, včetně zdokumentovaných posouzení rizik a kontrol kvality pro automatizované výstupy, zejména v případech, kdy může umělá inteligence ovlivnit vyřizování případů, přidělování nebo externí komunikaci; vyzývá veřejnou ochránkyni práv k zajištění toho, aby všechny právní poznatky vytvořené umělou inteligencí byly ověřovány lidskými úředníky zabývajícími se šetřeními, a aby upřednostňovala tlumočení zajišťované člověkem před řešeními založenými na umělé inteligenci; dále požaduje podávání zpráv o technických opatřeních přijatých k odstranění algoritmického zkreslení a k zajištění objektivity zjištění veřejného ochránce práv;</w:t>
      </w:r>
    </w:p>
    <w:p w14:paraId="2A25AACD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39.</w:t>
      </w:r>
      <w:r w:rsidRPr="003A0FEE">
        <w:rPr>
          <w:szCs w:val="24"/>
        </w:rPr>
        <w:tab/>
        <w:t>na základě dotazníku s uspokojením konstatuje, že v roce 2024 absolvoval jeden zaměstnanec intenzivní dvouměsíční školení v oblasti datové vědy a umělé inteligence, aby se zvýšily odborné znalosti úřadu veřejného ochránce práv v této oblasti, a nyní úřad zastupuje v síti korespondentů pro umělou inteligenci, kterou zřídil evropský inspektor ochrany údajů (EIOÚ) po vstupu nařízení (EU) 2024/1689 („akt o AI“) v platnost</w:t>
      </w:r>
      <w:r w:rsidRPr="003A0FEE">
        <w:rPr>
          <w:szCs w:val="24"/>
          <w:vertAlign w:val="superscript"/>
        </w:rPr>
        <w:footnoteReference w:id="12"/>
      </w:r>
      <w:r w:rsidRPr="003A0FEE">
        <w:rPr>
          <w:szCs w:val="24"/>
        </w:rPr>
        <w:t>; dále bere na vědomí závazek veřejné ochránkyně práv připravit pro všechny své zaměstnance školení o bezpečném a etickém používání nástrojů umělé inteligence; dále konstatuje, že úřad veřejného ochránce práv pořádal v průběhu roku 2024 každý měsíc cílené povinné školení zaměřené na zvýšení informovanosti a dovedností zaměstnanců v oblasti osvědčených postupů v oblasti kybernetické bezpečnosti; s uspokojením konstatuje, že úřad veřejného ochránce práv vyžaduje, aby všichni jeho zaměstnanci pravidelně absolvovali školení o kybernetické bezpečnosti; vybízí veřejnou ochránkyni práv, aby pokračovala v rozvoji své strategie digitalizace a zajistila, aby zavádění nástrojů umělé inteligence zůstalo plně v souladu se zásadami etického využívání, transparentnosti, ochrany údajů, lidského dohledu a ochrany před algoritmickým zkreslením nebo zneužitím;</w:t>
      </w:r>
    </w:p>
    <w:p w14:paraId="02163991" w14:textId="77777777" w:rsidR="007C50F9" w:rsidRPr="003A0FEE" w:rsidRDefault="007C50F9" w:rsidP="003A0FEE">
      <w:pPr>
        <w:pStyle w:val="NormalHanging12a"/>
        <w:rPr>
          <w:bCs/>
          <w:iCs/>
          <w:szCs w:val="24"/>
        </w:rPr>
      </w:pPr>
      <w:r w:rsidRPr="003A0FEE">
        <w:rPr>
          <w:szCs w:val="24"/>
        </w:rPr>
        <w:t>40.</w:t>
      </w:r>
      <w:r w:rsidRPr="003A0FEE">
        <w:rPr>
          <w:szCs w:val="24"/>
        </w:rPr>
        <w:tab/>
        <w:t>zdůrazňuje význam zadávání veřejných zakázek jako nástroje k prosazování politických cílů, jako je environmentální a sociální agenda; vyzývá veřejnou ochránkyni práv, aby do svých zadávacích řízení posílila začlenění strategických kritérií sociální odpovědnosti a environmentální udržitelnosti;</w:t>
      </w:r>
    </w:p>
    <w:p w14:paraId="29AB20E8" w14:textId="77777777" w:rsidR="007C50F9" w:rsidRPr="003A0FEE" w:rsidRDefault="007C50F9" w:rsidP="003A0FEE">
      <w:pPr>
        <w:spacing w:after="240"/>
        <w:ind w:left="567" w:hanging="567"/>
        <w:rPr>
          <w:szCs w:val="24"/>
        </w:rPr>
      </w:pPr>
      <w:r w:rsidRPr="003A0FEE">
        <w:rPr>
          <w:szCs w:val="24"/>
        </w:rPr>
        <w:t>41.</w:t>
      </w:r>
      <w:r w:rsidRPr="003A0FEE">
        <w:rPr>
          <w:szCs w:val="24"/>
        </w:rPr>
        <w:tab/>
        <w:t xml:space="preserve">konstatuje, že pokud jde o IT, úřad veřejného ochránce práv se spoléhá na infrastrukturu a rámec kybernetické bezpečnosti Parlamentu a úzce spolupracuje s Komisí, pokud jde o integraci a údržbu podnikových nástrojů Unie (SYSPER, ABAC, </w:t>
      </w:r>
      <w:proofErr w:type="spellStart"/>
      <w:r w:rsidRPr="003A0FEE">
        <w:rPr>
          <w:szCs w:val="24"/>
        </w:rPr>
        <w:t>MiPS</w:t>
      </w:r>
      <w:proofErr w:type="spellEnd"/>
      <w:r w:rsidRPr="003A0FEE">
        <w:rPr>
          <w:szCs w:val="24"/>
        </w:rPr>
        <w:t xml:space="preserve"> a ARES) a využívání rámcových smluv v oblasti IT; uznává úspěšnost dlouhodobého přístupu úřadu veřejného ochránce práv, který využívá integrované systémy a zdroje těchto dvou </w:t>
      </w:r>
      <w:r w:rsidRPr="003A0FEE">
        <w:rPr>
          <w:szCs w:val="24"/>
        </w:rPr>
        <w:lastRenderedPageBreak/>
        <w:t>orgánů s cílem optimalizovat využívání rozpočtu a zlepšit koordinaci, například v oblasti digitalizace; konstatuje, že v případě hlavních operací si úřad veřejného ochránce práv ponechává přímou kontrolu nad vývojem a údržbou nástrojů v rámci zabezpečeného prostředí Parlamentu, což zajišťuje pružnost, ochranu údajů a zvýšenou kybernetickou bezpečnost; konstatuje, že v roce 2024 úřad veřejného ochránce práv nezaznamenal žádný kybernetický útok;</w:t>
      </w:r>
    </w:p>
    <w:p w14:paraId="251A24B9" w14:textId="77777777" w:rsidR="007C50F9" w:rsidRPr="003A0FEE" w:rsidRDefault="007C50F9" w:rsidP="003A0FEE">
      <w:pPr>
        <w:spacing w:after="240"/>
        <w:ind w:left="567" w:hanging="567"/>
        <w:rPr>
          <w:szCs w:val="24"/>
        </w:rPr>
      </w:pPr>
      <w:r w:rsidRPr="003A0FEE">
        <w:rPr>
          <w:szCs w:val="24"/>
        </w:rPr>
        <w:t>42.</w:t>
      </w:r>
      <w:r w:rsidRPr="003A0FEE">
        <w:rPr>
          <w:szCs w:val="24"/>
        </w:rPr>
        <w:tab/>
        <w:t>na základě dotazníku konstatuje, že v prosinci 2024 zahájil evropský inspektor ochrany údajů na základě stížnosti subjektu údajů řízení proti úřadu veřejného ochránce práv podle čl. 57 písm. e) nařízení (EU) 2018/1725</w:t>
      </w:r>
      <w:r w:rsidRPr="003A0FEE">
        <w:rPr>
          <w:rStyle w:val="FootnoteReference"/>
          <w:szCs w:val="24"/>
        </w:rPr>
        <w:footnoteReference w:id="13"/>
      </w:r>
      <w:r w:rsidRPr="003A0FEE">
        <w:rPr>
          <w:szCs w:val="24"/>
        </w:rPr>
        <w:t>; bere na vědomí, že poté, co úřad veřejného ochránce práv poskytl požadovaná vysvětlení, evropský inspektor ochrany údajů případ v roce 2025 uzavřel s tím, že subjekt údajů obdržel dostatečné informace;</w:t>
      </w:r>
      <w:bookmarkEnd w:id="12"/>
    </w:p>
    <w:p w14:paraId="76FF9FC6" w14:textId="77777777" w:rsidR="007C50F9" w:rsidRPr="003A0FEE" w:rsidRDefault="007C50F9" w:rsidP="003A0FEE">
      <w:pPr>
        <w:spacing w:after="240"/>
        <w:ind w:left="567" w:hanging="567"/>
        <w:rPr>
          <w:szCs w:val="24"/>
        </w:rPr>
      </w:pPr>
      <w:r w:rsidRPr="003A0FEE">
        <w:rPr>
          <w:b/>
          <w:i/>
          <w:szCs w:val="24"/>
        </w:rPr>
        <w:t>Životní prostředí a udržitelnost</w:t>
      </w:r>
    </w:p>
    <w:p w14:paraId="47A17593" w14:textId="77777777" w:rsidR="007C50F9" w:rsidRPr="003A0FEE" w:rsidRDefault="007C50F9" w:rsidP="003A0FEE">
      <w:pPr>
        <w:spacing w:after="240"/>
        <w:ind w:left="567" w:hanging="567"/>
        <w:rPr>
          <w:szCs w:val="24"/>
        </w:rPr>
      </w:pPr>
      <w:r w:rsidRPr="003A0FEE">
        <w:rPr>
          <w:szCs w:val="24"/>
        </w:rPr>
        <w:t>43.</w:t>
      </w:r>
      <w:r w:rsidRPr="003A0FEE">
        <w:rPr>
          <w:szCs w:val="24"/>
        </w:rPr>
        <w:tab/>
        <w:t>na základě výroční zprávy a dotazníku konstatuje, že úřad veřejného ochránce práv pokračoval ve snižování své environmentální stopy digitalizací svých procesů, odstraněním jednotlivých tiskáren, nenahrazováním procesorů po skončení jejich životnosti a téměř úplným přechodem na digitální publikace; vítá snahu úřadu veřejného ochránce práv o udržitelnější pořádání akcí, včetně používání QR kódů a stravování využívající místní zdroje a zavádění opatření k předcházení plýtvání potravinami; s uspokojením konstatuje, že obě budovy, v nichž má úřad veřejného ochránce práv své kanceláře, využívají 100 % elektřiny z obnovitelných zdrojů dodávané na základě smluv uzavřených Parlamentem a že v důsledku instalace solárních panelů na budovách Parlamentu ve Štrasburku, včetně budovy Havel, se v roce 2024 začala vyrábět elektřina;</w:t>
      </w:r>
    </w:p>
    <w:p w14:paraId="182871FB" w14:textId="77777777" w:rsidR="007C50F9" w:rsidRPr="003A0FEE" w:rsidRDefault="007C50F9" w:rsidP="003A0FEE">
      <w:pPr>
        <w:spacing w:after="240"/>
        <w:ind w:left="567" w:hanging="567"/>
        <w:rPr>
          <w:b/>
          <w:bCs/>
          <w:i/>
          <w:iCs/>
          <w:szCs w:val="24"/>
        </w:rPr>
      </w:pPr>
      <w:r w:rsidRPr="003A0FEE">
        <w:rPr>
          <w:szCs w:val="24"/>
        </w:rPr>
        <w:t>44.</w:t>
      </w:r>
      <w:r w:rsidRPr="003A0FEE">
        <w:rPr>
          <w:szCs w:val="24"/>
        </w:rPr>
        <w:tab/>
        <w:t>konstatuje, že vzhledem k tomu, že úřad veřejného ochránce práv pronajímá své prostory od Parlamentu, využívá jeho environmentálního řízení v rámci systému EMAS, včetně takových opatření, jako je nastavení teploty na 19 °C v zimě, třídění odpadu, sběr biologického odpadu zavedený v roce 2024 a nahrazení jednorázových kuchyňských potřeb trvanlivým nádobím; vítá, že úřad veřejného ochránce práv uplatňuje zásady zadávání zelených veřejných zakázek, a to jak prostřednictvím svých vlastních smluv, tak dohod o spolupráci s jinými orgány Unie;</w:t>
      </w:r>
    </w:p>
    <w:p w14:paraId="62A95B09" w14:textId="77777777" w:rsidR="007C50F9" w:rsidRPr="003A0FEE" w:rsidRDefault="007C50F9" w:rsidP="003A0FEE">
      <w:pPr>
        <w:spacing w:after="240"/>
        <w:ind w:left="567" w:hanging="567"/>
        <w:rPr>
          <w:b/>
          <w:bCs/>
          <w:i/>
          <w:iCs/>
          <w:szCs w:val="24"/>
        </w:rPr>
      </w:pPr>
      <w:r w:rsidRPr="003A0FEE">
        <w:rPr>
          <w:szCs w:val="24"/>
        </w:rPr>
        <w:t>45.</w:t>
      </w:r>
      <w:r w:rsidRPr="003A0FEE">
        <w:rPr>
          <w:szCs w:val="24"/>
        </w:rPr>
        <w:tab/>
        <w:t>vítá, že úřad veřejného ochránce práv nadále podporuje udržitelnou mobilitu formou paušálního příspěvku na využívání udržitelných druhů dopravy, který v roce 2024 obdrželo 67 % způsobilých zaměstnanců úřadu (do platové třídy AST8 / AD8), pořádání každoročních kurzů údržby jízdních kol a pravidelné účasti zaměstnanců na interinstitucionálních výzvách v oblasti cyklistiky a chůze; konstatuje, že počet parkovacích míst pro automobily je stále omezený, zatímco infrastruktura pro cyklisty se stále zlepšuje;</w:t>
      </w:r>
    </w:p>
    <w:p w14:paraId="16165298" w14:textId="2892D3A8" w:rsidR="007C50F9" w:rsidRPr="003A0FEE" w:rsidRDefault="007C50F9" w:rsidP="003A0FEE">
      <w:pPr>
        <w:spacing w:after="240"/>
        <w:ind w:left="567" w:hanging="567"/>
        <w:rPr>
          <w:szCs w:val="24"/>
        </w:rPr>
      </w:pPr>
      <w:r w:rsidRPr="003A0FEE">
        <w:rPr>
          <w:szCs w:val="24"/>
        </w:rPr>
        <w:t>46.</w:t>
      </w:r>
      <w:r w:rsidRPr="003A0FEE">
        <w:rPr>
          <w:szCs w:val="24"/>
        </w:rPr>
        <w:tab/>
        <w:t>s uspokojením bere na vědomí úsilí veřejné ochrán</w:t>
      </w:r>
      <w:r w:rsidR="006A2F2B">
        <w:rPr>
          <w:szCs w:val="24"/>
        </w:rPr>
        <w:t>kyně</w:t>
      </w:r>
      <w:r w:rsidRPr="003A0FEE">
        <w:rPr>
          <w:szCs w:val="24"/>
        </w:rPr>
        <w:t xml:space="preserve"> práv o snížení emisí spojených s cestováním systematickým prosazováním videokonferencí a digitálních řešení coby </w:t>
      </w:r>
      <w:r w:rsidRPr="003A0FEE">
        <w:rPr>
          <w:szCs w:val="24"/>
        </w:rPr>
        <w:lastRenderedPageBreak/>
        <w:t>alternativ ke služebním cestám a podporou cestování vlakem namísto letadlem; vybízí úřad veřejného ochránce práv, aby v souladu se svým operačním cílem pro rok 2024, jenž spočívá v podpoře ekologické a společenské odpovědnosti, pokračoval v začleňování hlediska udržitelnosti do svých činností v oblasti řízení rizik a zvyšování povědomí;</w:t>
      </w:r>
    </w:p>
    <w:p w14:paraId="716B6164" w14:textId="77777777" w:rsidR="007C50F9" w:rsidRPr="003A0FEE" w:rsidRDefault="007C50F9" w:rsidP="003A0FEE">
      <w:pPr>
        <w:pStyle w:val="NormalHanging12a"/>
        <w:rPr>
          <w:b/>
          <w:i/>
          <w:szCs w:val="24"/>
        </w:rPr>
      </w:pPr>
      <w:r w:rsidRPr="003A0FEE">
        <w:rPr>
          <w:b/>
          <w:i/>
          <w:szCs w:val="24"/>
        </w:rPr>
        <w:t>Interinstitucionální spolupráce</w:t>
      </w:r>
    </w:p>
    <w:p w14:paraId="3F8420CE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47.</w:t>
      </w:r>
      <w:r w:rsidRPr="003A0FEE">
        <w:rPr>
          <w:szCs w:val="24"/>
        </w:rPr>
        <w:tab/>
        <w:t>vítá finanční a administrativní úspory dosažené díky interinstitucionální spolupráci, zejména široké škále dohod o poskytování služeb uzavřených úřadem veřejného ochránce práv s Parlamentem a Komisí v celé řadě oblastí a účasti na interinstitucionálních zadávacích řízeních; vítá formalizaci spolupráce mezi Parlamentem a úřadem veřejného ochránce práv v říjnu 2024 v oblasti kybernetické bezpečnosti prostřednictvím revidované interinstitucionální dohody, která stanoví rámec, podle kterého Parlament i nadále poskytuje úřadu veřejného ochránce práv solidní podporu v oblasti kybernetické bezpečnosti; zdůrazňuje, že tato spolupráce má zásadní význam pro to, aby se zabránilo zdvojování struktur a zajistilo se účinné využívání zdrojů Unie; vybízí veřejnou ochránkyni práv, aby zajistila, že všem zaměstnancům bude poskytováno pravidelné a aktuální školení v oblasti kybernetické bezpečnosti s cílem zachovat vysokou úroveň povědomí a odolnosti vůči vyvíjejícím se kybernetickým hrozbám;</w:t>
      </w:r>
    </w:p>
    <w:p w14:paraId="4AEB52D5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48.</w:t>
      </w:r>
      <w:r w:rsidRPr="003A0FEE">
        <w:rPr>
          <w:szCs w:val="24"/>
        </w:rPr>
        <w:tab/>
        <w:t>oceňuje úřad veřejného ochránce práv za dobrou spolupráci s Evropským úřadem pro boj proti podvodům (OLAF) a Účetním dvorem, která v roce 2024 probíhala formou schůzí a výměny názorů mezi úřadem veřejného ochránce práv, členy Účetního dvora a generálním ředitelem úřadu OLAF; konstatuje, že veřejná ochránkyně práv rovněž vystoupila na konferenci Účetního dvora o transparentnosti zpětného získávání prostředků Unie; dále konstatuje, že v roce 2024 předložil úřad veřejného ochránce práv příslušným výborům Parlamentu výsledky klíčových šetření a pokračoval v dobré spolupráci s vnitrostátními a regionálními veřejnými ochránci práv prostřednictvím dotazování, v jehož rámci mohou členové Evropské sítě veřejných ochránců práv (ENO) klást otázky týkající se práva Unie, které vyvstanou během jejich šetření, a veřejný ochránce práv získává odborné odpovědi od orgánů Unie; v této souvislosti konstatuje, že úřad veřejného ochránce práv uspořádal v roce 2024 webinář Evropské sítě veřejných ochránců práv na různá témata, včetně provádění směrnice Unie o ochraně oznamovatelů a otázek spojených s volným pohybem;</w:t>
      </w:r>
    </w:p>
    <w:p w14:paraId="40D5809B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49.</w:t>
      </w:r>
      <w:r w:rsidRPr="003A0FEE">
        <w:rPr>
          <w:szCs w:val="24"/>
        </w:rPr>
        <w:tab/>
        <w:t>na základě dotazníku konstatuje, že úřad veřejného ochránce práv a EIOÚ spolupracují zejména ad hoc a na neformálním základě v zájmu rychlé a účinné spolupráce, když je to zapotřebí; dále s uspokojením konstatuje, že úřad veřejného ochránce práv a EIOÚ přijali memorandum o porozumění, které upravuje jejich kompetence při vyřizování stížností a zamezuje zdvojování postupů;</w:t>
      </w:r>
    </w:p>
    <w:p w14:paraId="59B3A23C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50.</w:t>
      </w:r>
      <w:r w:rsidRPr="003A0FEE">
        <w:rPr>
          <w:szCs w:val="24"/>
        </w:rPr>
        <w:tab/>
        <w:t>vítá skutečnost, že úřad veřejného ochránce práv v roce 2024 pokračoval v úzké spolupráci s příslušnými výbory Parlamentu (Petiční výbor, Výbor pro občanské svobody, spravedlnost a vnitřní věci, Podvýbor pro lidská práva) při důležitých šetřeních, a to buď prezentací své činnosti přímo na schůzích výborů, nebo informacemi zasílanými předsedům výborů; podtrhuje, že strategické iniciativy a šetření úřadu veřejného ochránce práv jsou klíčové pro zlepšení transparentnosti a odpovědnosti správy Unie;</w:t>
      </w:r>
    </w:p>
    <w:p w14:paraId="5B63AF29" w14:textId="77777777" w:rsidR="007C50F9" w:rsidRPr="003A0FEE" w:rsidRDefault="007C50F9" w:rsidP="003A0FEE">
      <w:pPr>
        <w:spacing w:after="240"/>
        <w:ind w:left="567" w:hanging="567"/>
        <w:rPr>
          <w:b/>
          <w:i/>
          <w:szCs w:val="24"/>
        </w:rPr>
      </w:pPr>
      <w:r w:rsidRPr="003A0FEE">
        <w:rPr>
          <w:b/>
          <w:i/>
          <w:szCs w:val="24"/>
        </w:rPr>
        <w:lastRenderedPageBreak/>
        <w:t>Komunikační činnost</w:t>
      </w:r>
    </w:p>
    <w:p w14:paraId="1A43B028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51.</w:t>
      </w:r>
      <w:r w:rsidRPr="003A0FEE">
        <w:rPr>
          <w:szCs w:val="24"/>
        </w:rPr>
        <w:tab/>
        <w:t>na základě dotazníku konstatuje, že celkový rozpočet na komunikaci a propagační činnosti (publikace, pořádání akcí, digitální komunikace atd.) se snížil o přibližných 38 % z 155 200 EUR v roce 2023 na 96 515 EUR v roce 2024; zdůrazňuje, že ačkoli přidělování rozpočtových prostředků musí být strategické a zaměřené na výsledky, veřejná ochránkyně práv by se měla i nadále zaměřovat na to, aby informovala občany o své úloze, a zachovat si dostatečnou komunikační kapacitu, zejména pro občany, kteří se na veřejnou ochránkyni práv obracejí s cílem řešit obavy na úrovni Unie; vyzývá veřejnou ochránkyni práv, aby zvážila přerozdělení úspor s cílem zajistit, aby si zachovala nezbytnou viditelnost a dosah;</w:t>
      </w:r>
    </w:p>
    <w:p w14:paraId="31C9B677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52.</w:t>
      </w:r>
      <w:r w:rsidRPr="003A0FEE">
        <w:rPr>
          <w:szCs w:val="24"/>
        </w:rPr>
        <w:tab/>
        <w:t>oceňuje úsilí úřadu veřejného ochránce práv o poskytování transparentních informací a zveřejňování údajů (včetně statistik o počtu případů) v informativní a uživatelsky přívětivé podobě na internetových stránkách úřadu; vítá, že na internetových stránkách byla zveřejněna časová osa pro všechna šetření stížností, ze které lze zjistit informace o minulých a budoucích milnících v rámci každého šetření;</w:t>
      </w:r>
    </w:p>
    <w:p w14:paraId="2269B518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53.</w:t>
      </w:r>
      <w:r w:rsidRPr="003A0FEE">
        <w:rPr>
          <w:szCs w:val="24"/>
        </w:rPr>
        <w:tab/>
        <w:t xml:space="preserve">na základě dotazníku a výroční zprávy konstatuje, že úřad veřejného ochránce práv v roce 2024 rozšířil své informační úsilí a založil si účty na platformách </w:t>
      </w:r>
      <w:proofErr w:type="spellStart"/>
      <w:r w:rsidRPr="003A0FEE">
        <w:rPr>
          <w:szCs w:val="24"/>
        </w:rPr>
        <w:t>Threads</w:t>
      </w:r>
      <w:proofErr w:type="spellEnd"/>
      <w:r w:rsidRPr="003A0FEE">
        <w:rPr>
          <w:szCs w:val="24"/>
        </w:rPr>
        <w:t xml:space="preserve"> a </w:t>
      </w:r>
      <w:proofErr w:type="spellStart"/>
      <w:r w:rsidRPr="003A0FEE">
        <w:rPr>
          <w:szCs w:val="24"/>
        </w:rPr>
        <w:t>Bluesky</w:t>
      </w:r>
      <w:proofErr w:type="spellEnd"/>
      <w:r w:rsidRPr="003A0FEE">
        <w:rPr>
          <w:szCs w:val="24"/>
        </w:rPr>
        <w:t>, diverzifikoval tak svou přítomnost na sociálních sítích; konstatuje, že úřad veřejného ochránce práv formou specializovaných kampaní na sociálních médiích a internetových článků nadále upozorňoval na hlavní tematické oblasti, přičemž komunikace se v roce 2024 soustředila na etické normy v orgánech Unie; vítá, že podle zprávy o přijatých opatřeních je hlavním strategickým cílem nově zvolené veřejné ochránkyně práv posílení postavení občanů, což bude zahrnovat cílené komunikační aktivity, aby občané, kteří veřejného ochránce práv potřebují, měli o svých právech povědomí a využívali jeho služeb;</w:t>
      </w:r>
    </w:p>
    <w:p w14:paraId="4C552698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54.</w:t>
      </w:r>
      <w:r w:rsidRPr="003A0FEE">
        <w:rPr>
          <w:szCs w:val="24"/>
        </w:rPr>
        <w:tab/>
        <w:t>vítá pravidelný informační zpravodaj úřadu veřejného ochránce práv „EO Express“, který předplatitele informuje formou propagace na různých platformách; zdůrazňuje, že se veřejná ochránkyně práv zapojila do řady akcí pořádaných Unií a mezinárodními subjekty a často poskytovala rozhovory sdělovacím prostředkům, aby objasnila mandát úřadu veřejného ochránce práv, vysvětlila, které typy stížností může vyřizovat, a informovala občany o tom, kdy se mohou na úřad veřejného ochránce práv obrátit;</w:t>
      </w:r>
    </w:p>
    <w:p w14:paraId="79B67CFE" w14:textId="77777777" w:rsidR="007C50F9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55.</w:t>
      </w:r>
      <w:r w:rsidRPr="003A0FEE">
        <w:rPr>
          <w:szCs w:val="24"/>
        </w:rPr>
        <w:tab/>
        <w:t>na základě dotazníku s uspokojením konstatuje, že internetové stránky úřadu veřejného ochránce práv jsou koncipovány v souladu s normami a pokyny Unie pro přístupnost a poskytují uživatelům bezbariérové on-line prostředí podporující začlenění a vybavené různými prvky přístupnosti; konstatuje, že z auditu přístupnosti a použitelnosti internetových stránek úřadu veřejného ochránce práv, který byl proveden v roce 2025, vyplynulo, že průměrná míra souladu činí téměř 90 %; vybízí úřad veřejného ochránce práv, aby v tomto ohledu pokračoval v pravidelných auditech;</w:t>
      </w:r>
    </w:p>
    <w:p w14:paraId="6222B012" w14:textId="49EB8174" w:rsidR="00E365E1" w:rsidRPr="003A0FEE" w:rsidRDefault="007C50F9" w:rsidP="003A0FEE">
      <w:pPr>
        <w:pStyle w:val="NormalHanging12a"/>
        <w:rPr>
          <w:szCs w:val="24"/>
        </w:rPr>
      </w:pPr>
      <w:r w:rsidRPr="003A0FEE">
        <w:rPr>
          <w:szCs w:val="24"/>
        </w:rPr>
        <w:t>56.</w:t>
      </w:r>
      <w:r w:rsidRPr="003A0FEE">
        <w:rPr>
          <w:szCs w:val="24"/>
        </w:rPr>
        <w:tab/>
        <w:t>vítá trvalou pozornost sdělovacích prostředků, které v roce 2024 zveřejnily přibližně 5</w:t>
      </w:r>
      <w:r w:rsidR="001A4865" w:rsidRPr="003A0FEE">
        <w:rPr>
          <w:szCs w:val="24"/>
        </w:rPr>
        <w:t> </w:t>
      </w:r>
      <w:r w:rsidRPr="003A0FEE">
        <w:rPr>
          <w:szCs w:val="24"/>
        </w:rPr>
        <w:t>000</w:t>
      </w:r>
      <w:r w:rsidR="001A4865" w:rsidRPr="003A0FEE">
        <w:rPr>
          <w:szCs w:val="24"/>
        </w:rPr>
        <w:t> </w:t>
      </w:r>
      <w:r w:rsidRPr="003A0FEE">
        <w:rPr>
          <w:szCs w:val="24"/>
        </w:rPr>
        <w:t xml:space="preserve">článků zmiňujících činnost úřadu veřejného ochránce práv; konstatuje, že úřad veřejného ochránce práv vyhodnocuje zapojení veřejnosti především prostřednictvím růstu sociálních médií a návštěvnosti internetových stránek, přičemž počet jeho sledujících se v průběhu roku neustále zvyšoval; konstatuje, že účty úřadu veřejného ochránce práv na sociálních sítích Instagram, LinkedIn a X získaly celkem 9 186 dalších sledujících, a úřad tak v roce 2024 překonal své cíle pro aktivity na sociálních </w:t>
      </w:r>
      <w:r w:rsidRPr="003A0FEE">
        <w:rPr>
          <w:szCs w:val="24"/>
        </w:rPr>
        <w:lastRenderedPageBreak/>
        <w:t>sítích, a stejně tak co se týče počtu jednotlivých návštěvníků jeho internetových stránek; zdůrazňuje, že je důležité i nadále upřednostňovat vnější komunikaci s cílem zvýšit povědomí veřejnosti o mandátu veřejného ochránce práv a službách, které poskytuje občanům Unie.</w:t>
      </w:r>
    </w:p>
    <w:sectPr w:rsidR="00E365E1" w:rsidRPr="003A0FEE" w:rsidSect="000B67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5A1A2" w14:textId="77777777" w:rsidR="007C68E7" w:rsidRPr="000B67B5" w:rsidRDefault="007C68E7">
      <w:r w:rsidRPr="000B67B5">
        <w:separator/>
      </w:r>
    </w:p>
  </w:endnote>
  <w:endnote w:type="continuationSeparator" w:id="0">
    <w:p w14:paraId="6B108637" w14:textId="77777777" w:rsidR="007C68E7" w:rsidRPr="000B67B5" w:rsidRDefault="007C68E7">
      <w:r w:rsidRPr="000B67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15F1E" w14:textId="77777777" w:rsidR="007C50F9" w:rsidRPr="000B67B5" w:rsidRDefault="007C50F9" w:rsidP="006B5401">
    <w:pPr>
      <w:pStyle w:val="EPFooter"/>
    </w:pPr>
    <w:r w:rsidRPr="000B67B5">
      <w:t>PE</w:t>
    </w:r>
    <w:r w:rsidRPr="000B67B5">
      <w:rPr>
        <w:rStyle w:val="HideTWBExt"/>
      </w:rPr>
      <w:t>&lt;</w:t>
    </w:r>
    <w:proofErr w:type="spellStart"/>
    <w:r w:rsidRPr="000B67B5">
      <w:rPr>
        <w:rStyle w:val="HideTWBExt"/>
      </w:rPr>
      <w:t>NoPE</w:t>
    </w:r>
    <w:proofErr w:type="spellEnd"/>
    <w:r w:rsidRPr="000B67B5">
      <w:rPr>
        <w:rStyle w:val="HideTWBExt"/>
      </w:rPr>
      <w:t>&gt;</w:t>
    </w:r>
    <w:r w:rsidRPr="000B67B5">
      <w:t>778.065</w:t>
    </w:r>
    <w:r w:rsidRPr="000B67B5">
      <w:rPr>
        <w:rStyle w:val="HideTWBExt"/>
      </w:rPr>
      <w:t>&lt;/</w:t>
    </w:r>
    <w:proofErr w:type="spellStart"/>
    <w:r w:rsidRPr="000B67B5">
      <w:rPr>
        <w:rStyle w:val="HideTWBExt"/>
      </w:rPr>
      <w:t>NoPE</w:t>
    </w:r>
    <w:proofErr w:type="spellEnd"/>
    <w:r w:rsidRPr="000B67B5">
      <w:rPr>
        <w:rStyle w:val="HideTWBExt"/>
      </w:rPr>
      <w:t>&gt;&lt;Version&gt;</w:t>
    </w:r>
    <w:r w:rsidRPr="000B67B5">
      <w:t>v02-00</w:t>
    </w:r>
    <w:r w:rsidRPr="000B67B5">
      <w:rPr>
        <w:rStyle w:val="HideTWBExt"/>
      </w:rPr>
      <w:t>&lt;/</w:t>
    </w:r>
    <w:proofErr w:type="spellStart"/>
    <w:r w:rsidRPr="000B67B5">
      <w:rPr>
        <w:rStyle w:val="HideTWBExt"/>
      </w:rPr>
      <w:t>Version</w:t>
    </w:r>
    <w:proofErr w:type="spellEnd"/>
    <w:r w:rsidRPr="000B67B5">
      <w:rPr>
        <w:rStyle w:val="HideTWBExt"/>
      </w:rPr>
      <w:t>&gt;</w:t>
    </w:r>
    <w:r w:rsidRPr="000B67B5">
      <w:tab/>
    </w:r>
    <w:r w:rsidRPr="000B67B5">
      <w:fldChar w:fldCharType="begin"/>
    </w:r>
    <w:r w:rsidRPr="000B67B5">
      <w:instrText xml:space="preserve"> PAGE  \* MERGEFORMAT </w:instrText>
    </w:r>
    <w:r w:rsidRPr="000B67B5">
      <w:fldChar w:fldCharType="separate"/>
    </w:r>
    <w:r w:rsidRPr="000B67B5">
      <w:rPr>
        <w:noProof/>
      </w:rPr>
      <w:t>2</w:t>
    </w:r>
    <w:r w:rsidRPr="000B67B5">
      <w:fldChar w:fldCharType="end"/>
    </w:r>
    <w:r w:rsidRPr="000B67B5">
      <w:t>/</w:t>
    </w:r>
    <w:fldSimple w:instr=" NUMPAGES  \* MERGEFORMAT ">
      <w:r w:rsidRPr="000B67B5">
        <w:rPr>
          <w:noProof/>
        </w:rPr>
        <w:t>3</w:t>
      </w:r>
    </w:fldSimple>
    <w:r w:rsidRPr="000B67B5">
      <w:tab/>
    </w:r>
    <w:r w:rsidRPr="000B67B5">
      <w:rPr>
        <w:rStyle w:val="HideTWBExt"/>
      </w:rPr>
      <w:t>&lt;PathFdR&gt;</w:t>
    </w:r>
    <w:r w:rsidRPr="000B67B5">
      <w:t>RR\1339391CS.docx</w:t>
    </w:r>
    <w:r w:rsidRPr="000B67B5">
      <w:rPr>
        <w:rStyle w:val="HideTWBExt"/>
      </w:rPr>
      <w:t>&lt;/</w:t>
    </w:r>
    <w:proofErr w:type="spellStart"/>
    <w:r w:rsidRPr="000B67B5">
      <w:rPr>
        <w:rStyle w:val="HideTWBExt"/>
      </w:rPr>
      <w:t>PathFdR</w:t>
    </w:r>
    <w:proofErr w:type="spellEnd"/>
    <w:r w:rsidRPr="000B67B5">
      <w:rPr>
        <w:rStyle w:val="HideTWBExt"/>
      </w:rPr>
      <w:t>&gt;</w:t>
    </w:r>
  </w:p>
  <w:p w14:paraId="2C2AA38B" w14:textId="77777777" w:rsidR="007C50F9" w:rsidRPr="000B67B5" w:rsidRDefault="007C50F9" w:rsidP="006B5401">
    <w:pPr>
      <w:pStyle w:val="EPFooter2"/>
    </w:pPr>
    <w:r w:rsidRPr="000B67B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95BB" w14:textId="77777777" w:rsidR="007C50F9" w:rsidRPr="000B67B5" w:rsidRDefault="007C50F9" w:rsidP="006B5401">
    <w:pPr>
      <w:pStyle w:val="EPFooter"/>
    </w:pPr>
    <w:r w:rsidRPr="000B67B5">
      <w:rPr>
        <w:rStyle w:val="HideTWBExt"/>
      </w:rPr>
      <w:t>&lt;PathFdR&gt;</w:t>
    </w:r>
    <w:r w:rsidRPr="000B67B5">
      <w:t>RR\1339391CS.docx</w:t>
    </w:r>
    <w:r w:rsidRPr="000B67B5">
      <w:rPr>
        <w:rStyle w:val="HideTWBExt"/>
      </w:rPr>
      <w:t>&lt;/</w:t>
    </w:r>
    <w:proofErr w:type="spellStart"/>
    <w:r w:rsidRPr="000B67B5">
      <w:rPr>
        <w:rStyle w:val="HideTWBExt"/>
      </w:rPr>
      <w:t>PathFdR</w:t>
    </w:r>
    <w:proofErr w:type="spellEnd"/>
    <w:r w:rsidRPr="000B67B5">
      <w:rPr>
        <w:rStyle w:val="HideTWBExt"/>
      </w:rPr>
      <w:t>&gt;</w:t>
    </w:r>
    <w:r w:rsidRPr="000B67B5">
      <w:tab/>
    </w:r>
    <w:r w:rsidRPr="000B67B5">
      <w:tab/>
      <w:t>PE</w:t>
    </w:r>
    <w:r w:rsidRPr="000B67B5">
      <w:rPr>
        <w:rStyle w:val="HideTWBExt"/>
      </w:rPr>
      <w:t>&lt;</w:t>
    </w:r>
    <w:proofErr w:type="spellStart"/>
    <w:r w:rsidRPr="000B67B5">
      <w:rPr>
        <w:rStyle w:val="HideTWBExt"/>
      </w:rPr>
      <w:t>NoPE</w:t>
    </w:r>
    <w:proofErr w:type="spellEnd"/>
    <w:r w:rsidRPr="000B67B5">
      <w:rPr>
        <w:rStyle w:val="HideTWBExt"/>
      </w:rPr>
      <w:t>&gt;</w:t>
    </w:r>
    <w:r w:rsidRPr="000B67B5">
      <w:t>778.065</w:t>
    </w:r>
    <w:r w:rsidRPr="000B67B5">
      <w:rPr>
        <w:rStyle w:val="HideTWBExt"/>
      </w:rPr>
      <w:t>&lt;/</w:t>
    </w:r>
    <w:proofErr w:type="spellStart"/>
    <w:r w:rsidRPr="000B67B5">
      <w:rPr>
        <w:rStyle w:val="HideTWBExt"/>
      </w:rPr>
      <w:t>NoPE</w:t>
    </w:r>
    <w:proofErr w:type="spellEnd"/>
    <w:r w:rsidRPr="000B67B5">
      <w:rPr>
        <w:rStyle w:val="HideTWBExt"/>
      </w:rPr>
      <w:t>&gt;&lt;Version&gt;</w:t>
    </w:r>
    <w:r w:rsidRPr="000B67B5">
      <w:t>v02-00</w:t>
    </w:r>
    <w:r w:rsidRPr="000B67B5">
      <w:rPr>
        <w:rStyle w:val="HideTWBExt"/>
      </w:rPr>
      <w:t>&lt;/</w:t>
    </w:r>
    <w:proofErr w:type="spellStart"/>
    <w:r w:rsidRPr="000B67B5">
      <w:rPr>
        <w:rStyle w:val="HideTWBExt"/>
      </w:rPr>
      <w:t>Version</w:t>
    </w:r>
    <w:proofErr w:type="spellEnd"/>
    <w:r w:rsidRPr="000B67B5">
      <w:rPr>
        <w:rStyle w:val="HideTWBExt"/>
      </w:rPr>
      <w:t>&gt;</w:t>
    </w:r>
  </w:p>
  <w:p w14:paraId="14F1153C" w14:textId="77777777" w:rsidR="007C50F9" w:rsidRPr="000B67B5" w:rsidRDefault="007C50F9" w:rsidP="006B5401">
    <w:pPr>
      <w:pStyle w:val="EPFooter2"/>
    </w:pPr>
    <w:r w:rsidRPr="000B67B5">
      <w:t>CS</w:t>
    </w:r>
    <w:r w:rsidRPr="000B67B5">
      <w:tab/>
    </w:r>
    <w:r w:rsidRPr="000B67B5">
      <w:rPr>
        <w:b w:val="0"/>
        <w:i/>
        <w:color w:val="C0C0C0"/>
        <w:sz w:val="22"/>
      </w:rPr>
      <w:t>Jednotná v rozmanitosti</w:t>
    </w:r>
    <w:r w:rsidRPr="000B67B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F76" w14:textId="77777777" w:rsidR="00064002" w:rsidRPr="000B67B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C017" w14:textId="77777777" w:rsidR="00064002" w:rsidRPr="000B67B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33934" w14:textId="77777777" w:rsidR="00064002" w:rsidRPr="000B67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2C322" w14:textId="77777777" w:rsidR="007C68E7" w:rsidRPr="000B67B5" w:rsidRDefault="007C68E7">
      <w:r w:rsidRPr="000B67B5">
        <w:separator/>
      </w:r>
    </w:p>
  </w:footnote>
  <w:footnote w:type="continuationSeparator" w:id="0">
    <w:p w14:paraId="242A0E58" w14:textId="77777777" w:rsidR="007C68E7" w:rsidRPr="000B67B5" w:rsidRDefault="007C68E7">
      <w:r w:rsidRPr="000B67B5">
        <w:continuationSeparator/>
      </w:r>
    </w:p>
  </w:footnote>
  <w:footnote w:id="1">
    <w:p w14:paraId="6050649B" w14:textId="417B8D70" w:rsidR="007C50F9" w:rsidRPr="000B67B5" w:rsidRDefault="007C50F9" w:rsidP="000B67B5">
      <w:pPr>
        <w:pStyle w:val="FootnoteText"/>
        <w:ind w:left="567" w:hanging="567"/>
        <w:rPr>
          <w:sz w:val="24"/>
          <w:szCs w:val="24"/>
          <w:lang w:val="cs-CZ"/>
        </w:rPr>
      </w:pPr>
      <w:r w:rsidRPr="000B67B5">
        <w:rPr>
          <w:rStyle w:val="FootnoteReference"/>
          <w:sz w:val="24"/>
          <w:szCs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 xml:space="preserve">. 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>. L</w:t>
      </w:r>
      <w:r w:rsidR="00A47401">
        <w:rPr>
          <w:sz w:val="24"/>
          <w:lang w:val="cs-CZ"/>
        </w:rPr>
        <w:t>,</w:t>
      </w:r>
      <w:r w:rsidRPr="000B67B5">
        <w:rPr>
          <w:sz w:val="24"/>
          <w:lang w:val="cs-CZ"/>
        </w:rPr>
        <w:t xml:space="preserve"> </w:t>
      </w:r>
      <w:r w:rsidR="00681F19">
        <w:rPr>
          <w:sz w:val="24"/>
          <w:lang w:val="cs-CZ"/>
        </w:rPr>
        <w:t>2024/</w:t>
      </w:r>
      <w:r w:rsidRPr="000B67B5">
        <w:rPr>
          <w:sz w:val="24"/>
          <w:lang w:val="cs-CZ"/>
        </w:rPr>
        <w:t xml:space="preserve">207, 22.2.2024, ELI: </w:t>
      </w:r>
      <w:hyperlink r:id="rId1" w:history="1">
        <w:r w:rsidRPr="000B67B5">
          <w:rPr>
            <w:rStyle w:val="Hyperlink"/>
            <w:sz w:val="24"/>
            <w:lang w:val="cs-CZ"/>
          </w:rPr>
          <w:t>http://data.europa.eu/eli/budget/2024/207/oj</w:t>
        </w:r>
      </w:hyperlink>
      <w:r w:rsidRPr="000B67B5">
        <w:rPr>
          <w:sz w:val="24"/>
          <w:lang w:val="cs-CZ"/>
        </w:rPr>
        <w:t>.</w:t>
      </w:r>
    </w:p>
  </w:footnote>
  <w:footnote w:id="2">
    <w:p w14:paraId="07307D95" w14:textId="6BC493A4" w:rsidR="007C50F9" w:rsidRPr="000B67B5" w:rsidRDefault="007C50F9" w:rsidP="000B67B5">
      <w:pPr>
        <w:pStyle w:val="FootnoteText"/>
        <w:ind w:left="567" w:hanging="567"/>
        <w:rPr>
          <w:sz w:val="24"/>
          <w:szCs w:val="24"/>
          <w:lang w:val="cs-CZ"/>
        </w:rPr>
      </w:pPr>
      <w:r w:rsidRPr="000B67B5">
        <w:rPr>
          <w:rStyle w:val="FootnoteReference"/>
          <w:sz w:val="24"/>
          <w:szCs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 xml:space="preserve">. 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>. C, C/2025/4944, 13.10.2025, ELI: </w:t>
      </w:r>
      <w:hyperlink r:id="rId2" w:tgtFrame="_blank" w:tooltip="Umožňuje přístup k tomuto dokumentu prostřednictvím jeho URI v rámci ELI." w:history="1">
        <w:r w:rsidRPr="000B67B5">
          <w:rPr>
            <w:rStyle w:val="Hyperlink"/>
            <w:sz w:val="24"/>
            <w:lang w:val="cs-CZ"/>
          </w:rPr>
          <w:t>http://data.europa.eu/</w:t>
        </w:r>
        <w:proofErr w:type="spellStart"/>
        <w:r w:rsidRPr="000B67B5">
          <w:rPr>
            <w:rStyle w:val="Hyperlink"/>
            <w:sz w:val="24"/>
            <w:lang w:val="cs-CZ"/>
          </w:rPr>
          <w:t>eli</w:t>
        </w:r>
        <w:proofErr w:type="spellEnd"/>
        <w:r w:rsidRPr="000B67B5">
          <w:rPr>
            <w:rStyle w:val="Hyperlink"/>
            <w:sz w:val="24"/>
            <w:lang w:val="cs-CZ"/>
          </w:rPr>
          <w:t>/C/2025/4944/oj</w:t>
        </w:r>
      </w:hyperlink>
      <w:r w:rsidR="003A0FEE" w:rsidRPr="000B67B5">
        <w:rPr>
          <w:sz w:val="24"/>
          <w:lang w:val="cs-CZ"/>
        </w:rPr>
        <w:t>.</w:t>
      </w:r>
    </w:p>
  </w:footnote>
  <w:footnote w:id="3">
    <w:p w14:paraId="6A4E667D" w14:textId="71E7116D" w:rsidR="007C50F9" w:rsidRPr="000B67B5" w:rsidRDefault="007C50F9" w:rsidP="000B67B5">
      <w:pPr>
        <w:pStyle w:val="FootnoteText"/>
        <w:ind w:left="567" w:hanging="567"/>
        <w:rPr>
          <w:sz w:val="24"/>
          <w:szCs w:val="24"/>
          <w:lang w:val="cs-CZ"/>
        </w:rPr>
      </w:pPr>
      <w:r w:rsidRPr="000B67B5">
        <w:rPr>
          <w:rStyle w:val="FootnoteReference"/>
          <w:sz w:val="24"/>
          <w:szCs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 xml:space="preserve">. 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 xml:space="preserve">. C, C/2025/5409, 8.10.2025, ELI: </w:t>
      </w:r>
      <w:hyperlink r:id="rId3" w:history="1">
        <w:r w:rsidRPr="000B67B5">
          <w:rPr>
            <w:rStyle w:val="Hyperlink"/>
            <w:sz w:val="24"/>
            <w:lang w:val="cs-CZ"/>
          </w:rPr>
          <w:t>http://data.europa.eu/eli/C/2025/5409/oj</w:t>
        </w:r>
      </w:hyperlink>
      <w:r w:rsidR="003A0FEE" w:rsidRPr="000B67B5">
        <w:rPr>
          <w:sz w:val="24"/>
          <w:lang w:val="cs-CZ"/>
        </w:rPr>
        <w:t>.</w:t>
      </w:r>
    </w:p>
  </w:footnote>
  <w:footnote w:id="4">
    <w:p w14:paraId="5CBEAD70" w14:textId="7FE73834" w:rsidR="007C50F9" w:rsidRPr="000B67B5" w:rsidRDefault="007C50F9" w:rsidP="000B67B5">
      <w:pPr>
        <w:pStyle w:val="FootnoteText"/>
        <w:ind w:left="567" w:hanging="567"/>
        <w:rPr>
          <w:sz w:val="24"/>
          <w:szCs w:val="24"/>
          <w:lang w:val="cs-CZ"/>
        </w:rPr>
      </w:pPr>
      <w:r w:rsidRPr="000B67B5">
        <w:rPr>
          <w:rStyle w:val="FootnoteReference"/>
          <w:sz w:val="24"/>
          <w:szCs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 xml:space="preserve">. 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 xml:space="preserve">. C, C/2025/5407, 13.10.2025, ELI: </w:t>
      </w:r>
      <w:hyperlink r:id="rId4" w:history="1">
        <w:r w:rsidRPr="000B67B5">
          <w:rPr>
            <w:rStyle w:val="Hyperlink"/>
            <w:sz w:val="24"/>
            <w:lang w:val="cs-CZ"/>
          </w:rPr>
          <w:t>http://data.europa.eu/eli/C/2025/5407/oj</w:t>
        </w:r>
      </w:hyperlink>
      <w:r w:rsidR="003A0FEE" w:rsidRPr="000B67B5">
        <w:rPr>
          <w:sz w:val="24"/>
          <w:lang w:val="cs-CZ"/>
        </w:rPr>
        <w:t>.</w:t>
      </w:r>
    </w:p>
  </w:footnote>
  <w:footnote w:id="5">
    <w:p w14:paraId="1A108E56" w14:textId="12B734B6" w:rsidR="007C50F9" w:rsidRPr="000B67B5" w:rsidRDefault="007C50F9" w:rsidP="000B67B5">
      <w:pPr>
        <w:pStyle w:val="FootnoteText"/>
        <w:ind w:left="567" w:hanging="567"/>
        <w:rPr>
          <w:sz w:val="24"/>
          <w:szCs w:val="24"/>
          <w:lang w:val="cs-CZ"/>
        </w:rPr>
      </w:pPr>
      <w:r w:rsidRPr="000B67B5">
        <w:rPr>
          <w:rStyle w:val="FootnoteReference"/>
          <w:sz w:val="24"/>
          <w:szCs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 xml:space="preserve">. 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 xml:space="preserve">. L 193, 30.7.2018, s. 1, ELI: </w:t>
      </w:r>
      <w:hyperlink r:id="rId5" w:history="1">
        <w:r w:rsidRPr="000B67B5">
          <w:rPr>
            <w:rStyle w:val="Hyperlink"/>
            <w:sz w:val="24"/>
            <w:lang w:val="cs-CZ"/>
          </w:rPr>
          <w:t>http://data.europa.eu/eli/reg/2018/1046/oj</w:t>
        </w:r>
      </w:hyperlink>
      <w:r w:rsidRPr="000B67B5">
        <w:rPr>
          <w:sz w:val="24"/>
          <w:lang w:val="cs-CZ"/>
        </w:rPr>
        <w:t>.</w:t>
      </w:r>
    </w:p>
  </w:footnote>
  <w:footnote w:id="6">
    <w:p w14:paraId="08313B42" w14:textId="280DD622" w:rsidR="007C50F9" w:rsidRPr="000B67B5" w:rsidRDefault="007C50F9" w:rsidP="000B67B5">
      <w:pPr>
        <w:pStyle w:val="FootnoteText"/>
        <w:ind w:left="567" w:hanging="567"/>
        <w:rPr>
          <w:sz w:val="24"/>
          <w:szCs w:val="24"/>
          <w:lang w:val="cs-CZ"/>
        </w:rPr>
      </w:pPr>
      <w:r w:rsidRPr="000B67B5">
        <w:rPr>
          <w:rStyle w:val="FootnoteReference"/>
          <w:sz w:val="24"/>
          <w:szCs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 xml:space="preserve">. 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 xml:space="preserve">. L, 2024/2509, 26.9.2024, ELI: </w:t>
      </w:r>
      <w:hyperlink r:id="rId6" w:history="1">
        <w:r w:rsidRPr="000B67B5">
          <w:rPr>
            <w:rStyle w:val="Hyperlink"/>
            <w:sz w:val="24"/>
            <w:lang w:val="cs-CZ"/>
          </w:rPr>
          <w:t>http://data.europa.eu/eli/reg/2024/2509/oj</w:t>
        </w:r>
      </w:hyperlink>
      <w:r w:rsidRPr="000B67B5">
        <w:rPr>
          <w:sz w:val="24"/>
          <w:lang w:val="cs-CZ"/>
        </w:rPr>
        <w:t>.</w:t>
      </w:r>
    </w:p>
  </w:footnote>
  <w:footnote w:id="7">
    <w:p w14:paraId="63BB076D" w14:textId="68E278B6" w:rsidR="007C50F9" w:rsidRPr="000B67B5" w:rsidRDefault="007C50F9" w:rsidP="000B67B5">
      <w:pPr>
        <w:pStyle w:val="FootnoteText"/>
        <w:ind w:left="567" w:hanging="567"/>
        <w:rPr>
          <w:sz w:val="24"/>
          <w:lang w:val="cs-CZ"/>
        </w:rPr>
      </w:pPr>
      <w:r w:rsidRPr="000B67B5">
        <w:rPr>
          <w:rStyle w:val="FootnoteReference"/>
          <w:sz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 xml:space="preserve">. 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>. L 253, 16.7.2021, s. 1, ELI: </w:t>
      </w:r>
      <w:hyperlink r:id="rId7" w:tooltip="Umožňuje přístup k tomuto dokumentu prostřednictvím jeho URI v rámci ELI." w:history="1">
        <w:r w:rsidRPr="000B67B5">
          <w:rPr>
            <w:rStyle w:val="Hyperlink"/>
            <w:sz w:val="24"/>
            <w:lang w:val="cs-CZ"/>
          </w:rPr>
          <w:t>http://data.europa.eu/</w:t>
        </w:r>
        <w:proofErr w:type="spellStart"/>
        <w:r w:rsidRPr="000B67B5">
          <w:rPr>
            <w:rStyle w:val="Hyperlink"/>
            <w:sz w:val="24"/>
            <w:lang w:val="cs-CZ"/>
          </w:rPr>
          <w:t>eli</w:t>
        </w:r>
        <w:proofErr w:type="spellEnd"/>
        <w:r w:rsidRPr="000B67B5">
          <w:rPr>
            <w:rStyle w:val="Hyperlink"/>
            <w:sz w:val="24"/>
            <w:lang w:val="cs-CZ"/>
          </w:rPr>
          <w:t>/</w:t>
        </w:r>
        <w:proofErr w:type="spellStart"/>
        <w:r w:rsidRPr="000B67B5">
          <w:rPr>
            <w:rStyle w:val="Hyperlink"/>
            <w:sz w:val="24"/>
            <w:lang w:val="cs-CZ"/>
          </w:rPr>
          <w:t>reg</w:t>
        </w:r>
        <w:proofErr w:type="spellEnd"/>
        <w:r w:rsidRPr="000B67B5">
          <w:rPr>
            <w:rStyle w:val="Hyperlink"/>
            <w:sz w:val="24"/>
            <w:lang w:val="cs-CZ"/>
          </w:rPr>
          <w:t>/2021/1163/oj</w:t>
        </w:r>
      </w:hyperlink>
      <w:r w:rsidRPr="000B67B5">
        <w:rPr>
          <w:sz w:val="24"/>
          <w:lang w:val="cs-CZ"/>
        </w:rPr>
        <w:t>.</w:t>
      </w:r>
    </w:p>
  </w:footnote>
  <w:footnote w:id="8">
    <w:p w14:paraId="1918C022" w14:textId="71C87A43" w:rsidR="007C50F9" w:rsidRPr="000B67B5" w:rsidRDefault="007C50F9" w:rsidP="000B67B5">
      <w:pPr>
        <w:pStyle w:val="FootnoteText"/>
        <w:ind w:left="567" w:hanging="567"/>
        <w:rPr>
          <w:sz w:val="24"/>
          <w:lang w:val="cs-CZ"/>
        </w:rPr>
      </w:pPr>
      <w:r w:rsidRPr="00681F19">
        <w:rPr>
          <w:rStyle w:val="FootnoteReference"/>
          <w:sz w:val="24"/>
          <w:lang w:val="cs-CZ"/>
        </w:rPr>
        <w:footnoteRef/>
      </w:r>
      <w:r w:rsidR="000B67B5" w:rsidRPr="00C61279">
        <w:rPr>
          <w:sz w:val="24"/>
          <w:shd w:val="clear" w:color="auto" w:fill="FFFFFF"/>
          <w:lang w:val="cs-CZ"/>
        </w:rPr>
        <w:t xml:space="preserve"> </w:t>
      </w:r>
      <w:r w:rsidR="000B67B5" w:rsidRPr="00C61279">
        <w:rPr>
          <w:sz w:val="24"/>
          <w:shd w:val="clear" w:color="auto" w:fill="FFFFFF"/>
          <w:lang w:val="cs-CZ"/>
        </w:rPr>
        <w:tab/>
      </w:r>
      <w:proofErr w:type="spellStart"/>
      <w:r w:rsidRPr="00C61279">
        <w:rPr>
          <w:sz w:val="24"/>
          <w:shd w:val="clear" w:color="auto" w:fill="FFFFFF"/>
          <w:lang w:val="cs-CZ"/>
        </w:rPr>
        <w:t>Úř</w:t>
      </w:r>
      <w:proofErr w:type="spellEnd"/>
      <w:r w:rsidRPr="00C61279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C61279">
        <w:rPr>
          <w:sz w:val="24"/>
          <w:shd w:val="clear" w:color="auto" w:fill="FFFFFF"/>
          <w:lang w:val="cs-CZ"/>
        </w:rPr>
        <w:t>věst</w:t>
      </w:r>
      <w:proofErr w:type="spellEnd"/>
      <w:r w:rsidRPr="00C61279">
        <w:rPr>
          <w:sz w:val="24"/>
          <w:shd w:val="clear" w:color="auto" w:fill="FFFFFF"/>
          <w:lang w:val="cs-CZ"/>
        </w:rPr>
        <w:t>. C, C/2023/161, 10.10.2023, ELI: </w:t>
      </w:r>
      <w:hyperlink r:id="rId8" w:tgtFrame="_blank" w:tooltip="Umožňuje přístup k tomuto dokumentu prostřednictvím jeho URI v rámci ELI." w:history="1">
        <w:r w:rsidRPr="000B67B5">
          <w:rPr>
            <w:rStyle w:val="Hyperlink"/>
            <w:color w:val="23527C"/>
            <w:sz w:val="24"/>
            <w:lang w:val="cs-CZ"/>
          </w:rPr>
          <w:t>http://data.europa.eu/</w:t>
        </w:r>
        <w:proofErr w:type="spellStart"/>
        <w:r w:rsidRPr="000B67B5">
          <w:rPr>
            <w:rStyle w:val="Hyperlink"/>
            <w:color w:val="23527C"/>
            <w:sz w:val="24"/>
            <w:lang w:val="cs-CZ"/>
          </w:rPr>
          <w:t>eli</w:t>
        </w:r>
        <w:proofErr w:type="spellEnd"/>
        <w:r w:rsidRPr="000B67B5">
          <w:rPr>
            <w:rStyle w:val="Hyperlink"/>
            <w:color w:val="23527C"/>
            <w:sz w:val="24"/>
            <w:lang w:val="cs-CZ"/>
          </w:rPr>
          <w:t>/C/2023/161/oj</w:t>
        </w:r>
      </w:hyperlink>
      <w:r w:rsidRPr="000B67B5">
        <w:rPr>
          <w:color w:val="23527C"/>
          <w:sz w:val="24"/>
          <w:lang w:val="cs-CZ"/>
        </w:rPr>
        <w:t>.</w:t>
      </w:r>
    </w:p>
  </w:footnote>
  <w:footnote w:id="9">
    <w:p w14:paraId="658FA287" w14:textId="350DB0EE" w:rsidR="007C50F9" w:rsidRPr="000B67B5" w:rsidRDefault="007C50F9" w:rsidP="000B67B5">
      <w:pPr>
        <w:pStyle w:val="FootnoteText"/>
        <w:ind w:left="567" w:hanging="567"/>
        <w:rPr>
          <w:sz w:val="24"/>
          <w:lang w:val="cs-CZ"/>
        </w:rPr>
      </w:pPr>
      <w:r w:rsidRPr="000B67B5">
        <w:rPr>
          <w:rStyle w:val="FootnoteReference"/>
          <w:sz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hyperlink r:id="rId9" w:history="1">
        <w:r w:rsidRPr="000B67B5">
          <w:rPr>
            <w:rStyle w:val="Hyperlink"/>
            <w:sz w:val="24"/>
            <w:lang w:val="cs-CZ"/>
          </w:rPr>
          <w:t>https://www.ombudsman.europa.eu/en/doc/declarations-and-transparency/en/196382</w:t>
        </w:r>
      </w:hyperlink>
      <w:r w:rsidRPr="000B67B5">
        <w:rPr>
          <w:sz w:val="24"/>
          <w:lang w:val="cs-CZ"/>
        </w:rPr>
        <w:t xml:space="preserve"> and </w:t>
      </w:r>
      <w:hyperlink r:id="rId10" w:history="1">
        <w:r w:rsidRPr="000B67B5">
          <w:rPr>
            <w:rStyle w:val="Hyperlink"/>
            <w:sz w:val="24"/>
            <w:lang w:val="cs-CZ"/>
          </w:rPr>
          <w:t>https://www.ombudsman.europa.eu/en/doc/declarations-and-transparency/en/198831</w:t>
        </w:r>
      </w:hyperlink>
    </w:p>
  </w:footnote>
  <w:footnote w:id="10">
    <w:p w14:paraId="525B0E80" w14:textId="2E0238CE" w:rsidR="007C50F9" w:rsidRPr="000B67B5" w:rsidRDefault="007C50F9" w:rsidP="000B67B5">
      <w:pPr>
        <w:pStyle w:val="FootnoteText"/>
        <w:ind w:left="567" w:hanging="567"/>
        <w:rPr>
          <w:sz w:val="24"/>
          <w:lang w:val="cs-CZ"/>
        </w:rPr>
      </w:pPr>
      <w:r w:rsidRPr="000B67B5">
        <w:rPr>
          <w:rStyle w:val="FootnoteReference"/>
          <w:sz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r w:rsidRPr="000B67B5">
        <w:rPr>
          <w:sz w:val="24"/>
          <w:lang w:val="cs-CZ"/>
        </w:rPr>
        <w:t>Nařízení Evropského parlamentu a Rady (ES) č. 1049/2001 ze dne 30. května 2001 o</w:t>
      </w:r>
      <w:r w:rsidR="003A0FEE" w:rsidRPr="003A0FEE">
        <w:rPr>
          <w:sz w:val="24"/>
          <w:szCs w:val="24"/>
          <w:lang w:val="cs-CZ"/>
        </w:rPr>
        <w:t> </w:t>
      </w:r>
      <w:r w:rsidRPr="000B67B5">
        <w:rPr>
          <w:sz w:val="24"/>
          <w:lang w:val="cs-CZ"/>
        </w:rPr>
        <w:t>přístupu veřejnosti k dokumentům Evropského parlamentu, Rady a Komise (</w:t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>. 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>. L 145, 31.5.2001, s. 43, ELI: </w:t>
      </w:r>
      <w:hyperlink r:id="rId11" w:tooltip="Umožňuje přístup k tomuto dokumentu prostřednictvím jeho URI v rámci ELI." w:history="1">
        <w:r w:rsidRPr="000B67B5">
          <w:rPr>
            <w:rStyle w:val="Hyperlink"/>
            <w:sz w:val="24"/>
            <w:lang w:val="cs-CZ"/>
          </w:rPr>
          <w:t>http://data.europa.eu/</w:t>
        </w:r>
        <w:proofErr w:type="spellStart"/>
        <w:r w:rsidRPr="000B67B5">
          <w:rPr>
            <w:rStyle w:val="Hyperlink"/>
            <w:sz w:val="24"/>
            <w:lang w:val="cs-CZ"/>
          </w:rPr>
          <w:t>eli</w:t>
        </w:r>
        <w:proofErr w:type="spellEnd"/>
        <w:r w:rsidRPr="000B67B5">
          <w:rPr>
            <w:rStyle w:val="Hyperlink"/>
            <w:sz w:val="24"/>
            <w:lang w:val="cs-CZ"/>
          </w:rPr>
          <w:t>/</w:t>
        </w:r>
        <w:proofErr w:type="spellStart"/>
        <w:r w:rsidRPr="000B67B5">
          <w:rPr>
            <w:rStyle w:val="Hyperlink"/>
            <w:sz w:val="24"/>
            <w:lang w:val="cs-CZ"/>
          </w:rPr>
          <w:t>reg</w:t>
        </w:r>
        <w:proofErr w:type="spellEnd"/>
        <w:r w:rsidRPr="000B67B5">
          <w:rPr>
            <w:rStyle w:val="Hyperlink"/>
            <w:sz w:val="24"/>
            <w:lang w:val="cs-CZ"/>
          </w:rPr>
          <w:t>/2001/1049/oj</w:t>
        </w:r>
      </w:hyperlink>
      <w:r w:rsidRPr="000B67B5">
        <w:rPr>
          <w:sz w:val="24"/>
          <w:lang w:val="cs-CZ"/>
        </w:rPr>
        <w:t>).</w:t>
      </w:r>
    </w:p>
  </w:footnote>
  <w:footnote w:id="11">
    <w:p w14:paraId="0A482F34" w14:textId="2C974CC5" w:rsidR="007C50F9" w:rsidRPr="000B67B5" w:rsidRDefault="007C50F9" w:rsidP="000B67B5">
      <w:pPr>
        <w:pStyle w:val="FootnoteText"/>
        <w:ind w:left="567" w:hanging="567"/>
        <w:rPr>
          <w:sz w:val="24"/>
          <w:lang w:val="cs-CZ"/>
        </w:rPr>
      </w:pPr>
      <w:r w:rsidRPr="000B67B5">
        <w:rPr>
          <w:rStyle w:val="FootnoteReference"/>
          <w:sz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proofErr w:type="spellStart"/>
      <w:r w:rsidR="008C4693">
        <w:rPr>
          <w:sz w:val="24"/>
          <w:lang w:val="fi-FI"/>
        </w:rPr>
        <w:t>Úř</w:t>
      </w:r>
      <w:proofErr w:type="spellEnd"/>
      <w:r w:rsidR="008C4693">
        <w:rPr>
          <w:sz w:val="24"/>
          <w:lang w:val="fi-FI"/>
        </w:rPr>
        <w:t xml:space="preserve">. </w:t>
      </w:r>
      <w:proofErr w:type="spellStart"/>
      <w:r w:rsidR="008C4693">
        <w:rPr>
          <w:sz w:val="24"/>
          <w:lang w:val="fi-FI"/>
        </w:rPr>
        <w:t>věst</w:t>
      </w:r>
      <w:proofErr w:type="spellEnd"/>
      <w:r w:rsidR="008C4693">
        <w:rPr>
          <w:sz w:val="24"/>
          <w:lang w:val="fi-FI"/>
        </w:rPr>
        <w:t>.</w:t>
      </w:r>
      <w:r w:rsidR="008C4693" w:rsidRPr="00C61279">
        <w:rPr>
          <w:sz w:val="24"/>
          <w:lang w:val="fi-FI"/>
        </w:rPr>
        <w:t xml:space="preserve"> C, C/2024/4014, 17.7.2024, ELI: </w:t>
      </w:r>
      <w:hyperlink r:id="rId12" w:history="1">
        <w:r w:rsidR="008C4693" w:rsidRPr="00C61279">
          <w:rPr>
            <w:rStyle w:val="Hyperlink"/>
            <w:sz w:val="24"/>
            <w:lang w:val="fi-FI"/>
          </w:rPr>
          <w:t>http://data.europa.eu/eli/C/2024/4014/oj</w:t>
        </w:r>
      </w:hyperlink>
      <w:r w:rsidR="00E214BA" w:rsidRPr="000B67B5">
        <w:rPr>
          <w:sz w:val="24"/>
          <w:lang w:val="cs-CZ"/>
        </w:rPr>
        <w:t>.</w:t>
      </w:r>
    </w:p>
  </w:footnote>
  <w:footnote w:id="12">
    <w:p w14:paraId="0E47842F" w14:textId="715F3634" w:rsidR="007C50F9" w:rsidRPr="000B67B5" w:rsidRDefault="007C50F9" w:rsidP="000B67B5">
      <w:pPr>
        <w:pStyle w:val="FootnoteText"/>
        <w:ind w:left="567" w:hanging="567"/>
        <w:rPr>
          <w:sz w:val="24"/>
          <w:lang w:val="cs-CZ"/>
        </w:rPr>
      </w:pPr>
      <w:r w:rsidRPr="000B67B5">
        <w:rPr>
          <w:rStyle w:val="FootnoteReference"/>
          <w:sz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r w:rsidRPr="000B67B5">
        <w:rPr>
          <w:sz w:val="24"/>
          <w:lang w:val="cs-CZ"/>
        </w:rPr>
        <w:t>Nařízení Evropského parlamentu a 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 (akt o umělé inteligenci) (</w:t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 xml:space="preserve">. 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 xml:space="preserve">. L, 2024/1689, 12.7.2024, ELI: </w:t>
      </w:r>
      <w:hyperlink r:id="rId13" w:history="1">
        <w:r w:rsidRPr="000B67B5">
          <w:rPr>
            <w:rStyle w:val="Hyperlink"/>
            <w:sz w:val="24"/>
            <w:lang w:val="cs-CZ"/>
          </w:rPr>
          <w:t>https://eur-lex.europa.eu/eli/reg/2024/1689/oj</w:t>
        </w:r>
      </w:hyperlink>
      <w:r w:rsidRPr="000B67B5">
        <w:rPr>
          <w:sz w:val="24"/>
          <w:lang w:val="cs-CZ"/>
        </w:rPr>
        <w:t>).</w:t>
      </w:r>
    </w:p>
  </w:footnote>
  <w:footnote w:id="13">
    <w:p w14:paraId="68A6AB94" w14:textId="12FFB0CA" w:rsidR="007C50F9" w:rsidRPr="000B67B5" w:rsidRDefault="007C50F9" w:rsidP="000B67B5">
      <w:pPr>
        <w:pStyle w:val="FootnoteText"/>
        <w:ind w:left="567" w:hanging="567"/>
        <w:rPr>
          <w:sz w:val="24"/>
          <w:lang w:val="cs-CZ"/>
        </w:rPr>
      </w:pPr>
      <w:r w:rsidRPr="000B67B5">
        <w:rPr>
          <w:rStyle w:val="FootnoteReference"/>
          <w:sz w:val="24"/>
          <w:lang w:val="cs-CZ"/>
        </w:rPr>
        <w:footnoteRef/>
      </w:r>
      <w:r w:rsidR="000B67B5" w:rsidRPr="000B67B5">
        <w:rPr>
          <w:sz w:val="24"/>
          <w:lang w:val="cs-CZ"/>
        </w:rPr>
        <w:t xml:space="preserve"> </w:t>
      </w:r>
      <w:r w:rsidR="000B67B5" w:rsidRPr="000B67B5">
        <w:rPr>
          <w:sz w:val="24"/>
          <w:lang w:val="cs-CZ"/>
        </w:rPr>
        <w:tab/>
      </w:r>
      <w:r w:rsidRPr="000B67B5">
        <w:rPr>
          <w:sz w:val="24"/>
          <w:lang w:val="cs-CZ"/>
        </w:rPr>
        <w:t>Nařízení Evropského parlamentu a Rady (EU) 2018/1725 ze dne 23. října 2018 o ochraně fyzických osob v souvislosti se zpracováním osobních údajů orgány, institucemi a jinými subjekty Unie a o volném pohybu těchto údajů a o zrušení nařízení (ES) č. 45/2001 a rozhodnutí č. 1247/2002/ES (</w:t>
      </w:r>
      <w:proofErr w:type="spellStart"/>
      <w:r w:rsidRPr="000B67B5">
        <w:rPr>
          <w:sz w:val="24"/>
          <w:lang w:val="cs-CZ"/>
        </w:rPr>
        <w:t>Úř</w:t>
      </w:r>
      <w:proofErr w:type="spellEnd"/>
      <w:r w:rsidRPr="000B67B5">
        <w:rPr>
          <w:sz w:val="24"/>
          <w:lang w:val="cs-CZ"/>
        </w:rPr>
        <w:t>. </w:t>
      </w:r>
      <w:proofErr w:type="spellStart"/>
      <w:r w:rsidRPr="000B67B5">
        <w:rPr>
          <w:sz w:val="24"/>
          <w:lang w:val="cs-CZ"/>
        </w:rPr>
        <w:t>věst</w:t>
      </w:r>
      <w:proofErr w:type="spellEnd"/>
      <w:r w:rsidRPr="000B67B5">
        <w:rPr>
          <w:sz w:val="24"/>
          <w:lang w:val="cs-CZ"/>
        </w:rPr>
        <w:t>. L 295, 21.11.2018, s. 39, ELI: </w:t>
      </w:r>
      <w:hyperlink r:id="rId14" w:tooltip="Umožňuje přístup k tomuto dokumentu prostřednictvím jeho URI v rámci ELI." w:history="1">
        <w:r w:rsidRPr="000B67B5">
          <w:rPr>
            <w:rStyle w:val="Hyperlink"/>
            <w:sz w:val="24"/>
            <w:lang w:val="cs-CZ"/>
          </w:rPr>
          <w:t>http://data.europa.eu/</w:t>
        </w:r>
        <w:proofErr w:type="spellStart"/>
        <w:r w:rsidRPr="000B67B5">
          <w:rPr>
            <w:rStyle w:val="Hyperlink"/>
            <w:sz w:val="24"/>
            <w:lang w:val="cs-CZ"/>
          </w:rPr>
          <w:t>eli</w:t>
        </w:r>
        <w:proofErr w:type="spellEnd"/>
        <w:r w:rsidRPr="000B67B5">
          <w:rPr>
            <w:rStyle w:val="Hyperlink"/>
            <w:sz w:val="24"/>
            <w:lang w:val="cs-CZ"/>
          </w:rPr>
          <w:t>/</w:t>
        </w:r>
        <w:proofErr w:type="spellStart"/>
        <w:r w:rsidRPr="000B67B5">
          <w:rPr>
            <w:rStyle w:val="Hyperlink"/>
            <w:sz w:val="24"/>
            <w:lang w:val="cs-CZ"/>
          </w:rPr>
          <w:t>reg</w:t>
        </w:r>
        <w:proofErr w:type="spellEnd"/>
        <w:r w:rsidRPr="000B67B5">
          <w:rPr>
            <w:rStyle w:val="Hyperlink"/>
            <w:sz w:val="24"/>
            <w:lang w:val="cs-CZ"/>
          </w:rPr>
          <w:t>/2018/1725/oj</w:t>
        </w:r>
      </w:hyperlink>
      <w:r w:rsidRPr="000B67B5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1D7A" w14:textId="77777777" w:rsidR="00064002" w:rsidRPr="000B67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92FB" w14:textId="77777777" w:rsidR="00064002" w:rsidRPr="000B67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613B" w14:textId="77777777" w:rsidR="00064002" w:rsidRPr="000B67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5E05FE2"/>
    <w:multiLevelType w:val="hybridMultilevel"/>
    <w:tmpl w:val="BAA00C64"/>
    <w:lvl w:ilvl="0" w:tplc="A99658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91318"/>
    <w:multiLevelType w:val="hybridMultilevel"/>
    <w:tmpl w:val="143224D2"/>
    <w:lvl w:ilvl="0" w:tplc="9D5C48F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C49F6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82684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1C33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D7A2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B86177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66A7D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B8EE4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A3282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62D6E49"/>
    <w:multiLevelType w:val="hybridMultilevel"/>
    <w:tmpl w:val="78B8CEFC"/>
    <w:lvl w:ilvl="0" w:tplc="3410A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64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265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1C0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A2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6E8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8E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2C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6E6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0B6A11"/>
    <w:multiLevelType w:val="hybridMultilevel"/>
    <w:tmpl w:val="C716338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6444FF"/>
    <w:multiLevelType w:val="hybridMultilevel"/>
    <w:tmpl w:val="72C43F7A"/>
    <w:lvl w:ilvl="0" w:tplc="85D6EF9A">
      <w:start w:val="1"/>
      <w:numFmt w:val="upperLetter"/>
      <w:lvlText w:val="%1."/>
      <w:lvlJc w:val="left"/>
      <w:pPr>
        <w:ind w:left="570" w:hanging="57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02673398">
    <w:abstractNumId w:val="9"/>
  </w:num>
  <w:num w:numId="2" w16cid:durableId="379936740">
    <w:abstractNumId w:val="9"/>
  </w:num>
  <w:num w:numId="3" w16cid:durableId="507521710">
    <w:abstractNumId w:val="7"/>
  </w:num>
  <w:num w:numId="4" w16cid:durableId="1332106435">
    <w:abstractNumId w:val="7"/>
  </w:num>
  <w:num w:numId="5" w16cid:durableId="177698517">
    <w:abstractNumId w:val="6"/>
  </w:num>
  <w:num w:numId="6" w16cid:durableId="862015637">
    <w:abstractNumId w:val="6"/>
  </w:num>
  <w:num w:numId="7" w16cid:durableId="1239056046">
    <w:abstractNumId w:val="5"/>
  </w:num>
  <w:num w:numId="8" w16cid:durableId="733360781">
    <w:abstractNumId w:val="5"/>
  </w:num>
  <w:num w:numId="9" w16cid:durableId="2125924046">
    <w:abstractNumId w:val="4"/>
  </w:num>
  <w:num w:numId="10" w16cid:durableId="1149324119">
    <w:abstractNumId w:val="4"/>
  </w:num>
  <w:num w:numId="11" w16cid:durableId="510220941">
    <w:abstractNumId w:val="8"/>
  </w:num>
  <w:num w:numId="12" w16cid:durableId="1155075278">
    <w:abstractNumId w:val="8"/>
  </w:num>
  <w:num w:numId="13" w16cid:durableId="272709564">
    <w:abstractNumId w:val="3"/>
  </w:num>
  <w:num w:numId="14" w16cid:durableId="197939039">
    <w:abstractNumId w:val="3"/>
  </w:num>
  <w:num w:numId="15" w16cid:durableId="1604878315">
    <w:abstractNumId w:val="2"/>
  </w:num>
  <w:num w:numId="16" w16cid:durableId="1037045420">
    <w:abstractNumId w:val="2"/>
  </w:num>
  <w:num w:numId="17" w16cid:durableId="1300649862">
    <w:abstractNumId w:val="1"/>
  </w:num>
  <w:num w:numId="18" w16cid:durableId="967202915">
    <w:abstractNumId w:val="1"/>
  </w:num>
  <w:num w:numId="19" w16cid:durableId="1702048147">
    <w:abstractNumId w:val="0"/>
  </w:num>
  <w:num w:numId="20" w16cid:durableId="45302692">
    <w:abstractNumId w:val="0"/>
  </w:num>
  <w:num w:numId="21" w16cid:durableId="583340291">
    <w:abstractNumId w:val="9"/>
  </w:num>
  <w:num w:numId="22" w16cid:durableId="1095907083">
    <w:abstractNumId w:val="7"/>
  </w:num>
  <w:num w:numId="23" w16cid:durableId="426972921">
    <w:abstractNumId w:val="6"/>
  </w:num>
  <w:num w:numId="24" w16cid:durableId="738527032">
    <w:abstractNumId w:val="5"/>
  </w:num>
  <w:num w:numId="25" w16cid:durableId="916017299">
    <w:abstractNumId w:val="4"/>
  </w:num>
  <w:num w:numId="26" w16cid:durableId="1695887227">
    <w:abstractNumId w:val="8"/>
  </w:num>
  <w:num w:numId="27" w16cid:durableId="1828980153">
    <w:abstractNumId w:val="3"/>
  </w:num>
  <w:num w:numId="28" w16cid:durableId="432169287">
    <w:abstractNumId w:val="2"/>
  </w:num>
  <w:num w:numId="29" w16cid:durableId="175922349">
    <w:abstractNumId w:val="1"/>
  </w:num>
  <w:num w:numId="30" w16cid:durableId="525367501">
    <w:abstractNumId w:val="0"/>
  </w:num>
  <w:num w:numId="31" w16cid:durableId="268894786">
    <w:abstractNumId w:val="9"/>
  </w:num>
  <w:num w:numId="32" w16cid:durableId="1081098409">
    <w:abstractNumId w:val="7"/>
  </w:num>
  <w:num w:numId="33" w16cid:durableId="1667781863">
    <w:abstractNumId w:val="6"/>
  </w:num>
  <w:num w:numId="34" w16cid:durableId="1951744491">
    <w:abstractNumId w:val="5"/>
  </w:num>
  <w:num w:numId="35" w16cid:durableId="982975454">
    <w:abstractNumId w:val="4"/>
  </w:num>
  <w:num w:numId="36" w16cid:durableId="692220726">
    <w:abstractNumId w:val="8"/>
  </w:num>
  <w:num w:numId="37" w16cid:durableId="1180923702">
    <w:abstractNumId w:val="3"/>
  </w:num>
  <w:num w:numId="38" w16cid:durableId="534925178">
    <w:abstractNumId w:val="2"/>
  </w:num>
  <w:num w:numId="39" w16cid:durableId="172260923">
    <w:abstractNumId w:val="1"/>
  </w:num>
  <w:num w:numId="40" w16cid:durableId="1183280802">
    <w:abstractNumId w:val="0"/>
  </w:num>
  <w:num w:numId="41" w16cid:durableId="828865444">
    <w:abstractNumId w:val="10"/>
  </w:num>
  <w:num w:numId="42" w16cid:durableId="1287076811">
    <w:abstractNumId w:val="10"/>
  </w:num>
  <w:num w:numId="43" w16cid:durableId="1448813084">
    <w:abstractNumId w:val="10"/>
  </w:num>
  <w:num w:numId="44" w16cid:durableId="723524961">
    <w:abstractNumId w:val="13"/>
  </w:num>
  <w:num w:numId="45" w16cid:durableId="221140009">
    <w:abstractNumId w:val="14"/>
  </w:num>
  <w:num w:numId="46" w16cid:durableId="448011062">
    <w:abstractNumId w:val="12"/>
  </w:num>
  <w:num w:numId="47" w16cid:durableId="5338847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777522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59293125">
    <w:abstractNumId w:val="11"/>
  </w:num>
  <w:num w:numId="50" w16cid:durableId="18921074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4/2026"/>
    <w:docVar w:name="dvlangue" w:val="CS"/>
    <w:docVar w:name="dvnumam" w:val="0"/>
    <w:docVar w:name="dvpe" w:val="778.065"/>
    <w:docVar w:name="dvrapporteur" w:val="Zpravodaj: "/>
    <w:docVar w:name="dvtitre" w:val="Rozhodnutí Evropského parlamentu ze dne 29. dubna 2026 o udělení absolutoria za plnění souhrnného rozpočtu Evropské unie na rozpočtový rok 2024, oddíl VIII – Evropský veřejný ochránce práv(2025/2153(DEC))"/>
  </w:docVars>
  <w:rsids>
    <w:rsidRoot w:val="007C68E7"/>
    <w:rsid w:val="00002272"/>
    <w:rsid w:val="00006E96"/>
    <w:rsid w:val="00064002"/>
    <w:rsid w:val="000677B9"/>
    <w:rsid w:val="000831BA"/>
    <w:rsid w:val="000A42CC"/>
    <w:rsid w:val="000B67B5"/>
    <w:rsid w:val="000E7DD9"/>
    <w:rsid w:val="0010095E"/>
    <w:rsid w:val="00125B37"/>
    <w:rsid w:val="00161DEB"/>
    <w:rsid w:val="00187494"/>
    <w:rsid w:val="001A4865"/>
    <w:rsid w:val="001F32AE"/>
    <w:rsid w:val="002718CB"/>
    <w:rsid w:val="002767FF"/>
    <w:rsid w:val="002954B6"/>
    <w:rsid w:val="002B18FE"/>
    <w:rsid w:val="002B5493"/>
    <w:rsid w:val="00343214"/>
    <w:rsid w:val="00361C00"/>
    <w:rsid w:val="00395FA1"/>
    <w:rsid w:val="003A0FEE"/>
    <w:rsid w:val="003E15D4"/>
    <w:rsid w:val="00411CCE"/>
    <w:rsid w:val="0041666E"/>
    <w:rsid w:val="00421060"/>
    <w:rsid w:val="00471C19"/>
    <w:rsid w:val="004867E3"/>
    <w:rsid w:val="00494A28"/>
    <w:rsid w:val="004A5DA5"/>
    <w:rsid w:val="004C0004"/>
    <w:rsid w:val="004C5D52"/>
    <w:rsid w:val="004E02CB"/>
    <w:rsid w:val="00504D6E"/>
    <w:rsid w:val="0050519A"/>
    <w:rsid w:val="005072A1"/>
    <w:rsid w:val="00514517"/>
    <w:rsid w:val="00545827"/>
    <w:rsid w:val="00560270"/>
    <w:rsid w:val="005625B5"/>
    <w:rsid w:val="005C2568"/>
    <w:rsid w:val="005F1B17"/>
    <w:rsid w:val="006037C0"/>
    <w:rsid w:val="00662C91"/>
    <w:rsid w:val="006631B6"/>
    <w:rsid w:val="00680577"/>
    <w:rsid w:val="00681F19"/>
    <w:rsid w:val="006A2F2B"/>
    <w:rsid w:val="006F74FA"/>
    <w:rsid w:val="00731ADD"/>
    <w:rsid w:val="00734777"/>
    <w:rsid w:val="00747932"/>
    <w:rsid w:val="00751A4A"/>
    <w:rsid w:val="00756632"/>
    <w:rsid w:val="00762C74"/>
    <w:rsid w:val="00786EC0"/>
    <w:rsid w:val="007C50F9"/>
    <w:rsid w:val="007C68E7"/>
    <w:rsid w:val="007D1690"/>
    <w:rsid w:val="007E22AD"/>
    <w:rsid w:val="00817416"/>
    <w:rsid w:val="00842779"/>
    <w:rsid w:val="00865F67"/>
    <w:rsid w:val="00881A7B"/>
    <w:rsid w:val="008840E5"/>
    <w:rsid w:val="00887B3E"/>
    <w:rsid w:val="008C04A2"/>
    <w:rsid w:val="008C2AC6"/>
    <w:rsid w:val="008C4693"/>
    <w:rsid w:val="00930C23"/>
    <w:rsid w:val="0093193B"/>
    <w:rsid w:val="009509D8"/>
    <w:rsid w:val="00950B64"/>
    <w:rsid w:val="00965661"/>
    <w:rsid w:val="00981893"/>
    <w:rsid w:val="00981A1E"/>
    <w:rsid w:val="00A1687D"/>
    <w:rsid w:val="00A43E52"/>
    <w:rsid w:val="00A4678D"/>
    <w:rsid w:val="00A4740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6E4"/>
    <w:rsid w:val="00C23CD4"/>
    <w:rsid w:val="00C516FF"/>
    <w:rsid w:val="00C61279"/>
    <w:rsid w:val="00C61C0C"/>
    <w:rsid w:val="00C941CB"/>
    <w:rsid w:val="00CC2357"/>
    <w:rsid w:val="00CF071A"/>
    <w:rsid w:val="00D058B8"/>
    <w:rsid w:val="00D515E0"/>
    <w:rsid w:val="00D56C11"/>
    <w:rsid w:val="00D67F29"/>
    <w:rsid w:val="00D834A0"/>
    <w:rsid w:val="00D872DF"/>
    <w:rsid w:val="00D91E21"/>
    <w:rsid w:val="00DA7FCD"/>
    <w:rsid w:val="00E214BA"/>
    <w:rsid w:val="00E365E1"/>
    <w:rsid w:val="00E820A4"/>
    <w:rsid w:val="00EB006A"/>
    <w:rsid w:val="00EB39A1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B3B4C"/>
  <w15:chartTrackingRefBased/>
  <w15:docId w15:val="{25525907-F6A7-4C85-A786-A7FD67A5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A0FEE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C50F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C50F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C50F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C50F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C50F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C50F9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7C50F9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7C50F9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7C50F9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7C50F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C50F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C50F9"/>
    <w:pPr>
      <w:spacing w:before="480" w:after="240"/>
    </w:pPr>
  </w:style>
  <w:style w:type="paragraph" w:customStyle="1" w:styleId="TOCPage">
    <w:name w:val="TOC Page"/>
    <w:basedOn w:val="Normal"/>
    <w:next w:val="TOC1"/>
    <w:rsid w:val="007C50F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C50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C50F9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7C50F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C50F9"/>
    <w:pPr>
      <w:spacing w:after="480"/>
      <w:ind w:left="1417"/>
    </w:pPr>
  </w:style>
  <w:style w:type="paragraph" w:customStyle="1" w:styleId="CoverNormal">
    <w:name w:val="CoverNormal"/>
    <w:basedOn w:val="Normal"/>
    <w:rsid w:val="007C50F9"/>
    <w:pPr>
      <w:ind w:left="1418"/>
    </w:pPr>
  </w:style>
  <w:style w:type="paragraph" w:customStyle="1" w:styleId="CoverReference">
    <w:name w:val="CoverReference"/>
    <w:basedOn w:val="Normal"/>
    <w:rsid w:val="007C50F9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7C50F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C50F9"/>
    <w:pPr>
      <w:spacing w:before="240" w:after="1200"/>
    </w:pPr>
  </w:style>
  <w:style w:type="paragraph" w:styleId="Header">
    <w:name w:val="header"/>
    <w:basedOn w:val="Normal"/>
    <w:link w:val="HeaderChar"/>
    <w:rsid w:val="007C50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C50F9"/>
    <w:rPr>
      <w:sz w:val="24"/>
      <w:lang w:val="cs-CZ"/>
    </w:rPr>
  </w:style>
  <w:style w:type="paragraph" w:customStyle="1" w:styleId="EPBody">
    <w:name w:val="EPBody"/>
    <w:basedOn w:val="Normal"/>
    <w:rsid w:val="007C50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C50F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7C50F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7C50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50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50F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C50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50F9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7C50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50F9"/>
    <w:rPr>
      <w:rFonts w:ascii="Segoe UI" w:hAnsi="Segoe UI" w:cs="Segoe UI"/>
      <w:sz w:val="18"/>
      <w:szCs w:val="18"/>
      <w:lang w:val="cs-CZ"/>
    </w:rPr>
  </w:style>
  <w:style w:type="paragraph" w:styleId="Footer">
    <w:name w:val="footer"/>
    <w:basedOn w:val="Normal"/>
    <w:link w:val="FooterChar"/>
    <w:rsid w:val="007C50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C50F9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7C50F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50F9"/>
    <w:pPr>
      <w:ind w:left="720"/>
      <w:contextualSpacing/>
    </w:pPr>
  </w:style>
  <w:style w:type="character" w:customStyle="1" w:styleId="NormalHanging12aChar">
    <w:name w:val="NormalHanging12a Char"/>
    <w:basedOn w:val="DefaultParagraphFont"/>
    <w:link w:val="NormalHanging12a"/>
    <w:locked/>
    <w:rsid w:val="007C50F9"/>
    <w:rPr>
      <w:sz w:val="24"/>
      <w:lang w:val="cs-CZ"/>
    </w:rPr>
  </w:style>
  <w:style w:type="character" w:styleId="FollowedHyperlink">
    <w:name w:val="FollowedHyperlink"/>
    <w:basedOn w:val="DefaultParagraphFont"/>
    <w:rsid w:val="007C50F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C50F9"/>
    <w:rPr>
      <w:sz w:val="24"/>
      <w:lang w:val="cs-CZ"/>
    </w:rPr>
  </w:style>
  <w:style w:type="paragraph" w:styleId="NormalWeb">
    <w:name w:val="Normal (Web)"/>
    <w:basedOn w:val="Normal"/>
    <w:rsid w:val="007C50F9"/>
    <w:rPr>
      <w:szCs w:val="24"/>
    </w:rPr>
  </w:style>
  <w:style w:type="paragraph" w:customStyle="1" w:styleId="Normal24a">
    <w:name w:val="Normal24a"/>
    <w:basedOn w:val="Normal"/>
    <w:rsid w:val="007C50F9"/>
    <w:pPr>
      <w:spacing w:after="480"/>
    </w:pPr>
  </w:style>
  <w:style w:type="paragraph" w:customStyle="1" w:styleId="NormalBoldCenter">
    <w:name w:val="NormalBoldCenter"/>
    <w:basedOn w:val="Normal"/>
    <w:rsid w:val="007C50F9"/>
    <w:pPr>
      <w:jc w:val="center"/>
    </w:pPr>
    <w:rPr>
      <w:b/>
    </w:rPr>
  </w:style>
  <w:style w:type="paragraph" w:customStyle="1" w:styleId="Footprint12b">
    <w:name w:val="Footprint12b"/>
    <w:basedOn w:val="Normal"/>
    <w:rsid w:val="007C50F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C50F9"/>
    <w:rPr>
      <w:szCs w:val="24"/>
    </w:rPr>
  </w:style>
  <w:style w:type="paragraph" w:customStyle="1" w:styleId="Normal12a">
    <w:name w:val="Normal12a"/>
    <w:basedOn w:val="Normal"/>
    <w:rsid w:val="007C50F9"/>
    <w:pPr>
      <w:spacing w:after="240"/>
    </w:pPr>
  </w:style>
  <w:style w:type="paragraph" w:customStyle="1" w:styleId="RollCallVotes">
    <w:name w:val="RollCallVotes"/>
    <w:basedOn w:val="Normal"/>
    <w:rsid w:val="007C50F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C50F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C50F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C50F9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61/oj" TargetMode="External"/><Relationship Id="rId13" Type="http://schemas.openxmlformats.org/officeDocument/2006/relationships/hyperlink" Target="https://eur-lex.europa.eu/eli/reg/2024/1689/oj" TargetMode="External"/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1/1163/oj" TargetMode="External"/><Relationship Id="rId12" Type="http://schemas.openxmlformats.org/officeDocument/2006/relationships/hyperlink" Target="http://data.europa.eu/eli/C/2024/4014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11" Type="http://schemas.openxmlformats.org/officeDocument/2006/relationships/hyperlink" Target="http://data.europa.eu/eli/reg/2001/1049/oj" TargetMode="External"/><Relationship Id="rId5" Type="http://schemas.openxmlformats.org/officeDocument/2006/relationships/hyperlink" Target="http://data.europa.eu/eli/reg/2018/1046/oj" TargetMode="External"/><Relationship Id="rId10" Type="http://schemas.openxmlformats.org/officeDocument/2006/relationships/hyperlink" Target="https://www.ombudsman.europa.eu/cs/doc/declarations-and-transparency/cs/198831" TargetMode="External"/><Relationship Id="rId4" Type="http://schemas.openxmlformats.org/officeDocument/2006/relationships/hyperlink" Target="http://data.europa.eu/eli/C/2025/5407/oj" TargetMode="External"/><Relationship Id="rId9" Type="http://schemas.openxmlformats.org/officeDocument/2006/relationships/hyperlink" Target="https://www.ombudsman.europa.eu/cs/doc/declarations-and-transparency/cs/196382" TargetMode="External"/><Relationship Id="rId14" Type="http://schemas.openxmlformats.org/officeDocument/2006/relationships/hyperlink" Target="http://data.europa.eu/eli/reg/2018/1725/oj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7377</Words>
  <Characters>43681</Characters>
  <Application>Microsoft Office Word</Application>
  <DocSecurity>0</DocSecurity>
  <Lines>364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2026-05-05T14:18:00Z</dcterms:created>
  <dcterms:modified xsi:type="dcterms:W3CDTF">2026-05-05T14:18:00Z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P10_TA(2026)0133_</vt:lpwstr>
  </property>
  <property fmtid="{D5CDD505-2E9C-101B-9397-08002B2CF9AE}" pid="4" name="&lt;Type&gt;">
    <vt:lpwstr>RR</vt:lpwstr>
  </property>
</Properties>
</file>