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B66" w14:paraId="05CA545B" w14:textId="77777777" w:rsidTr="0010095E">
        <w:trPr>
          <w:trHeight w:hRule="exact" w:val="1418"/>
        </w:trPr>
        <w:tc>
          <w:tcPr>
            <w:tcW w:w="6804" w:type="dxa"/>
            <w:shd w:val="clear" w:color="auto" w:fill="auto"/>
            <w:vAlign w:val="center"/>
          </w:tcPr>
          <w:p w14:paraId="42CCA09F" w14:textId="77777777" w:rsidR="00751A4A" w:rsidRPr="003B4B66" w:rsidRDefault="00B67448" w:rsidP="0010095E">
            <w:pPr>
              <w:pStyle w:val="EPName"/>
            </w:pPr>
            <w:r w:rsidRPr="003B4B66">
              <w:t>Ευρωπαϊκό Κοινοβούλιο</w:t>
            </w:r>
          </w:p>
          <w:p w14:paraId="3F3ACDE7" w14:textId="77777777" w:rsidR="00751A4A" w:rsidRPr="003B4B66" w:rsidRDefault="005F1B17" w:rsidP="005F1B17">
            <w:pPr>
              <w:pStyle w:val="EPTerm"/>
              <w:rPr>
                <w:rStyle w:val="HideTWBExt"/>
                <w:noProof w:val="0"/>
                <w:vanish w:val="0"/>
                <w:color w:val="auto"/>
              </w:rPr>
            </w:pPr>
            <w:r w:rsidRPr="003B4B66">
              <w:t>2024</w:t>
            </w:r>
            <w:r w:rsidR="00817416" w:rsidRPr="003B4B66">
              <w:t>-202</w:t>
            </w:r>
            <w:r w:rsidRPr="003B4B66">
              <w:t>9</w:t>
            </w:r>
          </w:p>
        </w:tc>
        <w:tc>
          <w:tcPr>
            <w:tcW w:w="2268" w:type="dxa"/>
            <w:shd w:val="clear" w:color="auto" w:fill="auto"/>
          </w:tcPr>
          <w:p w14:paraId="4DF9DE19" w14:textId="77777777" w:rsidR="00751A4A" w:rsidRPr="003B4B66" w:rsidRDefault="00187494" w:rsidP="0010095E">
            <w:pPr>
              <w:pStyle w:val="EPLogo"/>
            </w:pPr>
            <w:r w:rsidRPr="003B4B66">
              <w:rPr>
                <w:noProof/>
                <w:lang w:eastAsia="ja-JP"/>
              </w:rPr>
              <w:drawing>
                <wp:inline distT="0" distB="0" distL="0" distR="0" wp14:anchorId="31AA0A92" wp14:editId="63644D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12D06B" w14:textId="77777777" w:rsidR="00D058B8" w:rsidRPr="003B4B66" w:rsidRDefault="00D058B8" w:rsidP="004C5D52">
      <w:pPr>
        <w:pStyle w:val="LineTop"/>
      </w:pPr>
    </w:p>
    <w:p w14:paraId="72D27CE6" w14:textId="77777777" w:rsidR="00680577" w:rsidRPr="003B4B66" w:rsidRDefault="00B67448" w:rsidP="00680577">
      <w:pPr>
        <w:pStyle w:val="EPBodyTA1"/>
      </w:pPr>
      <w:r w:rsidRPr="003B4B66">
        <w:t>ΚΕΙΜΕΝΑ ΠΟΥ ΕΓΚΡΙΘΗΚΑΝ</w:t>
      </w:r>
    </w:p>
    <w:p w14:paraId="100E7034" w14:textId="77777777" w:rsidR="00D058B8" w:rsidRPr="003B4B66" w:rsidRDefault="00D058B8" w:rsidP="00D058B8">
      <w:pPr>
        <w:pStyle w:val="LineBottom"/>
      </w:pPr>
    </w:p>
    <w:p w14:paraId="14F33D0E" w14:textId="63B4BFDD" w:rsidR="00B67448" w:rsidRPr="003B4B66" w:rsidRDefault="00B67448" w:rsidP="00B67448">
      <w:pPr>
        <w:pStyle w:val="ATHeading1"/>
      </w:pPr>
      <w:bookmarkStart w:id="0" w:name="TANumber"/>
      <w:r w:rsidRPr="003B4B66">
        <w:t>P10_TA(2026)0</w:t>
      </w:r>
      <w:r w:rsidR="003B4B66" w:rsidRPr="003B4B66">
        <w:t>133</w:t>
      </w:r>
      <w:bookmarkEnd w:id="0"/>
    </w:p>
    <w:p w14:paraId="527A0479" w14:textId="071BEEC8" w:rsidR="00B67448" w:rsidRPr="003B4B66" w:rsidRDefault="00B67448" w:rsidP="00B67448">
      <w:pPr>
        <w:pStyle w:val="ATHeading2"/>
      </w:pPr>
      <w:bookmarkStart w:id="1" w:name="title"/>
      <w:r w:rsidRPr="003B4B66">
        <w:t xml:space="preserve">Απαλλαγή 2024: Γενικός προϋπολογισμός της ΕΕ </w:t>
      </w:r>
      <w:r w:rsidR="000E22FF" w:rsidRPr="003B4B66">
        <w:t xml:space="preserve">– </w:t>
      </w:r>
      <w:r w:rsidRPr="003B4B66">
        <w:t>Ευρωπαίος Διαμεσολαβητής</w:t>
      </w:r>
      <w:bookmarkEnd w:id="1"/>
    </w:p>
    <w:p w14:paraId="2E0A6D40" w14:textId="77777777" w:rsidR="00B67448" w:rsidRPr="003B4B66" w:rsidRDefault="00B67448" w:rsidP="00B67448">
      <w:pPr>
        <w:rPr>
          <w:i/>
          <w:vanish/>
        </w:rPr>
      </w:pPr>
      <w:r w:rsidRPr="003B4B66">
        <w:rPr>
          <w:i/>
        </w:rPr>
        <w:fldChar w:fldCharType="begin"/>
      </w:r>
      <w:r w:rsidRPr="003B4B66">
        <w:rPr>
          <w:i/>
        </w:rPr>
        <w:instrText xml:space="preserve"> TC"(</w:instrText>
      </w:r>
      <w:bookmarkStart w:id="2" w:name="DocNumber"/>
      <w:r w:rsidRPr="003B4B66">
        <w:rPr>
          <w:i/>
        </w:rPr>
        <w:instrText>A10-0054/2026</w:instrText>
      </w:r>
      <w:bookmarkEnd w:id="2"/>
      <w:r w:rsidRPr="003B4B66">
        <w:rPr>
          <w:i/>
        </w:rPr>
        <w:instrText xml:space="preserve"> - Εισηγητής: </w:instrText>
      </w:r>
      <w:proofErr w:type="spellStart"/>
      <w:r w:rsidRPr="003B4B66">
        <w:rPr>
          <w:i/>
        </w:rPr>
        <w:instrText>Pasquale</w:instrText>
      </w:r>
      <w:proofErr w:type="spellEnd"/>
      <w:r w:rsidRPr="003B4B66">
        <w:rPr>
          <w:i/>
        </w:rPr>
        <w:instrText xml:space="preserve"> </w:instrText>
      </w:r>
      <w:proofErr w:type="spellStart"/>
      <w:r w:rsidRPr="003B4B66">
        <w:rPr>
          <w:i/>
        </w:rPr>
        <w:instrText>Tridico</w:instrText>
      </w:r>
      <w:proofErr w:type="spellEnd"/>
      <w:r w:rsidRPr="003B4B66">
        <w:rPr>
          <w:i/>
        </w:rPr>
        <w:instrText xml:space="preserve">)"\l3 \n&gt; \* MERGEFORMAT </w:instrText>
      </w:r>
      <w:r w:rsidRPr="003B4B66">
        <w:rPr>
          <w:i/>
        </w:rPr>
        <w:fldChar w:fldCharType="end"/>
      </w:r>
    </w:p>
    <w:p w14:paraId="610DFB2D" w14:textId="77777777" w:rsidR="00B67448" w:rsidRPr="003B4B66" w:rsidRDefault="00B67448" w:rsidP="00B67448">
      <w:pPr>
        <w:rPr>
          <w:vanish/>
        </w:rPr>
      </w:pPr>
      <w:bookmarkStart w:id="3" w:name="Commission"/>
      <w:r w:rsidRPr="003B4B66">
        <w:rPr>
          <w:vanish/>
        </w:rPr>
        <w:t>Επιτροπή Ελέγχου του Προϋπολογισμού</w:t>
      </w:r>
      <w:bookmarkEnd w:id="3"/>
    </w:p>
    <w:p w14:paraId="7069DFC3" w14:textId="77777777" w:rsidR="00B67448" w:rsidRPr="003B4B66" w:rsidRDefault="00B67448" w:rsidP="00B67448">
      <w:pPr>
        <w:rPr>
          <w:vanish/>
        </w:rPr>
      </w:pPr>
      <w:bookmarkStart w:id="4" w:name="PE"/>
      <w:r w:rsidRPr="003B4B66">
        <w:rPr>
          <w:vanish/>
        </w:rPr>
        <w:t>PE778.065</w:t>
      </w:r>
      <w:bookmarkEnd w:id="4"/>
    </w:p>
    <w:p w14:paraId="28BA23B1" w14:textId="538EBA37" w:rsidR="00B67448" w:rsidRPr="003B4B66" w:rsidRDefault="00CF55E1" w:rsidP="00B67448">
      <w:pPr>
        <w:pStyle w:val="ATHeading3"/>
      </w:pPr>
      <w:bookmarkStart w:id="5" w:name="Sujet"/>
      <w:r w:rsidRPr="003B4B66">
        <w:t>1. Απόφαση</w:t>
      </w:r>
      <w:r w:rsidR="00B67448" w:rsidRPr="003B4B66">
        <w:t xml:space="preserve"> του Ευρωπαϊκού Κοινοβουλίου της </w:t>
      </w:r>
      <w:r w:rsidRPr="003B4B66">
        <w:t>29ης Απριλίου</w:t>
      </w:r>
      <w:r w:rsidR="00B67448" w:rsidRPr="003B4B66">
        <w:t xml:space="preserve"> 2026 σχετικά με την απαλλαγή όσον αφορά την εκτέλεση του γενικού προϋπολογισμού της Ευρωπαϊκής Ένωσης για το οικονομικό έτος 2024, τμήμα VIII – Ευρωπαίος Διαμεσολαβητής</w:t>
      </w:r>
      <w:bookmarkEnd w:id="5"/>
      <w:r w:rsidR="00B67448" w:rsidRPr="003B4B66">
        <w:t xml:space="preserve"> </w:t>
      </w:r>
      <w:bookmarkStart w:id="6" w:name="References"/>
      <w:r w:rsidR="00B67448" w:rsidRPr="003B4B66">
        <w:t>(2025/2153(DEC))</w:t>
      </w:r>
      <w:bookmarkEnd w:id="6"/>
    </w:p>
    <w:p w14:paraId="170C88E4" w14:textId="77777777" w:rsidR="00420901" w:rsidRPr="003B4B66" w:rsidRDefault="00420901" w:rsidP="00420901">
      <w:pPr>
        <w:pStyle w:val="EPComma"/>
      </w:pPr>
      <w:bookmarkStart w:id="7" w:name="TextBodyBegin"/>
      <w:bookmarkEnd w:id="7"/>
      <w:r w:rsidRPr="003B4B66">
        <w:rPr>
          <w:i/>
        </w:rPr>
        <w:t>Το Ευρωπαϊκό Κοινοβούλιο</w:t>
      </w:r>
      <w:r w:rsidRPr="003B4B66">
        <w:t>,</w:t>
      </w:r>
    </w:p>
    <w:p w14:paraId="56EC41A8" w14:textId="77777777" w:rsidR="00420901" w:rsidRPr="003B4B66" w:rsidRDefault="00420901" w:rsidP="00420901">
      <w:pPr>
        <w:pStyle w:val="NormalHanging12a"/>
      </w:pPr>
      <w:r w:rsidRPr="003B4B66">
        <w:t>–</w:t>
      </w:r>
      <w:r w:rsidRPr="003B4B66">
        <w:tab/>
        <w:t>έχοντας υπόψη τον γενικό προϋπολογισμό της Ευρωπαϊκής Ένωσης για το οικονομικό έτος 2024</w:t>
      </w:r>
      <w:r w:rsidRPr="003B4B66">
        <w:rPr>
          <w:rStyle w:val="FootnoteReference"/>
        </w:rPr>
        <w:footnoteReference w:id="1"/>
      </w:r>
      <w:r w:rsidRPr="003B4B66">
        <w:t>,</w:t>
      </w:r>
    </w:p>
    <w:p w14:paraId="409FB807" w14:textId="77777777" w:rsidR="00420901" w:rsidRPr="003B4B66" w:rsidRDefault="00420901" w:rsidP="00420901">
      <w:pPr>
        <w:pStyle w:val="NormalHanging12a"/>
      </w:pPr>
      <w:r w:rsidRPr="003B4B66">
        <w:t>–</w:t>
      </w:r>
      <w:r w:rsidRPr="003B4B66">
        <w:tab/>
        <w:t>έχοντας υπόψη τους ενοποιημένους ετήσιους λογαριασμούς της Ευρωπαϊκής Ένωσης για το οικονομικό έτος 2024 (COM(2025)0359 – C10</w:t>
      </w:r>
      <w:r w:rsidRPr="003B4B66">
        <w:noBreakHyphen/>
        <w:t>0153/2025)</w:t>
      </w:r>
      <w:r w:rsidRPr="003B4B66">
        <w:rPr>
          <w:rStyle w:val="FootnoteReference"/>
        </w:rPr>
        <w:footnoteReference w:id="2"/>
      </w:r>
      <w:r w:rsidRPr="003B4B66">
        <w:t>,</w:t>
      </w:r>
    </w:p>
    <w:p w14:paraId="4A63B0E5" w14:textId="77777777" w:rsidR="00420901" w:rsidRPr="003B4B66" w:rsidRDefault="00420901" w:rsidP="00420901">
      <w:pPr>
        <w:pStyle w:val="NormalHanging12a"/>
      </w:pPr>
      <w:r w:rsidRPr="003B4B66">
        <w:t>–</w:t>
      </w:r>
      <w:r w:rsidRPr="003B4B66">
        <w:tab/>
        <w:t>έχοντας υπόψη την ετήσια έκθεση δραστηριοτήτων του Ευρωπαίου Διαμεσολαβητή για το έτος 2024 και την έκθεσή του σχετικά με τη δημοσιονομική και χρηματοοικονομική διαχείριση για το οικονομικό έτος 2024,</w:t>
      </w:r>
    </w:p>
    <w:p w14:paraId="6D861E8D" w14:textId="77777777" w:rsidR="00420901" w:rsidRPr="003B4B66" w:rsidRDefault="00420901" w:rsidP="00420901">
      <w:pPr>
        <w:pStyle w:val="NormalHanging12a"/>
      </w:pPr>
      <w:r w:rsidRPr="003B4B66">
        <w:t>–</w:t>
      </w:r>
      <w:r w:rsidRPr="003B4B66">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3B4B66">
        <w:rPr>
          <w:rStyle w:val="FootnoteReference"/>
        </w:rPr>
        <w:footnoteReference w:id="3"/>
      </w:r>
      <w:r w:rsidRPr="003B4B66">
        <w:t>,</w:t>
      </w:r>
    </w:p>
    <w:p w14:paraId="4D4EED80" w14:textId="77777777" w:rsidR="00420901" w:rsidRPr="003B4B66" w:rsidRDefault="00420901" w:rsidP="00420901">
      <w:pPr>
        <w:pStyle w:val="NormalHanging12a"/>
      </w:pPr>
      <w:r w:rsidRPr="003B4B66">
        <w:t>–</w:t>
      </w:r>
      <w:r w:rsidRPr="003B4B66">
        <w:tab/>
        <w:t>έχοντας υπόψη τη δήλωση αξιοπιστίας</w:t>
      </w:r>
      <w:r w:rsidRPr="003B4B66">
        <w:rPr>
          <w:rStyle w:val="FootnoteReference"/>
        </w:rPr>
        <w:footnoteReference w:id="4"/>
      </w:r>
      <w:r w:rsidRPr="003B4B66">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7FA1F17" w14:textId="77777777" w:rsidR="00420901" w:rsidRPr="003B4B66" w:rsidRDefault="00420901" w:rsidP="00420901">
      <w:pPr>
        <w:pStyle w:val="NormalHanging12a"/>
      </w:pPr>
      <w:r w:rsidRPr="003B4B66">
        <w:t>–</w:t>
      </w:r>
      <w:r w:rsidRPr="003B4B66">
        <w:tab/>
        <w:t>έχοντας υπόψη το άρθρο 314 παράγραφος 10 και τα άρθρα 317, 318 και 319 της Συνθήκης για τη λειτουργία της Ευρωπαϊκής Ένωσης,</w:t>
      </w:r>
    </w:p>
    <w:p w14:paraId="01879C29" w14:textId="77777777" w:rsidR="00420901" w:rsidRPr="003B4B66" w:rsidRDefault="00420901" w:rsidP="00420901">
      <w:pPr>
        <w:pStyle w:val="NormalHanging12a"/>
      </w:pPr>
      <w:r w:rsidRPr="003B4B66">
        <w:t>–</w:t>
      </w:r>
      <w:r w:rsidRPr="003B4B66">
        <w:tab/>
        <w:t xml:space="preserve">έχοντας υπόψη τον κανονισμό (ΕΕ, Ευρατόμ) 2018/1046 του Ευρωπαϊκού </w:t>
      </w:r>
      <w:r w:rsidRPr="003B4B66">
        <w:lastRenderedPageBreak/>
        <w:t>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B4B66">
        <w:rPr>
          <w:rStyle w:val="FootnoteReference"/>
        </w:rPr>
        <w:footnoteReference w:id="5"/>
      </w:r>
      <w:r w:rsidRPr="003B4B66">
        <w:t>, και ιδίως τα άρθρα 59, 118, 260, 261 και 262,</w:t>
      </w:r>
    </w:p>
    <w:p w14:paraId="4A7E8C76" w14:textId="77777777" w:rsidR="00420901" w:rsidRPr="003B4B66" w:rsidRDefault="00420901" w:rsidP="00420901">
      <w:pPr>
        <w:pStyle w:val="NormalHanging12a"/>
      </w:pPr>
      <w:r w:rsidRPr="003B4B66">
        <w:t>–</w:t>
      </w:r>
      <w:r w:rsidRPr="003B4B66">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3B4B66">
        <w:rPr>
          <w:rStyle w:val="FootnoteReference"/>
        </w:rPr>
        <w:footnoteReference w:id="6"/>
      </w:r>
      <w:r w:rsidRPr="003B4B66">
        <w:t>, και ιδίως τα άρθρα 59, 118, 266, 267 και 268,</w:t>
      </w:r>
    </w:p>
    <w:p w14:paraId="73DF7437" w14:textId="77777777" w:rsidR="00420901" w:rsidRPr="003B4B66" w:rsidRDefault="00420901" w:rsidP="00420901">
      <w:pPr>
        <w:pStyle w:val="NormalHanging12a"/>
      </w:pPr>
      <w:r w:rsidRPr="003B4B66">
        <w:t>–</w:t>
      </w:r>
      <w:r w:rsidRPr="003B4B66">
        <w:tab/>
        <w:t>έχοντας υπόψη το άρθρο 102 και το παράρτημα V του Κανονισμού του,</w:t>
      </w:r>
    </w:p>
    <w:p w14:paraId="5E7A561E" w14:textId="77777777" w:rsidR="00420901" w:rsidRPr="003B4B66" w:rsidRDefault="00420901" w:rsidP="00420901">
      <w:pPr>
        <w:pStyle w:val="NormalHanging12a"/>
      </w:pPr>
      <w:r w:rsidRPr="003B4B66">
        <w:t>–</w:t>
      </w:r>
      <w:r w:rsidRPr="003B4B66">
        <w:tab/>
        <w:t>έχοντας υπόψη την έκθεση της Επιτροπής Ελέγχου του Προϋπολογισμού (A10-0054/2026),</w:t>
      </w:r>
    </w:p>
    <w:p w14:paraId="1646ABB8" w14:textId="081BE595" w:rsidR="00420901" w:rsidRPr="003B4B66" w:rsidRDefault="003B4B66" w:rsidP="003B4B66">
      <w:pPr>
        <w:pStyle w:val="NormalHanging12a"/>
        <w:ind w:hanging="570"/>
      </w:pPr>
      <w:r w:rsidRPr="003B4B66">
        <w:t>1.</w:t>
      </w:r>
      <w:r w:rsidRPr="003B4B66">
        <w:tab/>
      </w:r>
      <w:r w:rsidR="00420901" w:rsidRPr="003B4B66">
        <w:t>χορηγεί απαλλαγή στην Ευρωπαία Διαμεσολαβήτρια όσον αφορά την εκτέλεση του προϋπολογισμού του Ευρωπαίου Διαμεσολαβητή για το οικονομικό έτος 2024·</w:t>
      </w:r>
    </w:p>
    <w:p w14:paraId="30367E1F" w14:textId="6BF744EB" w:rsidR="00420901" w:rsidRPr="003B4B66" w:rsidRDefault="003B4B66" w:rsidP="003B4B66">
      <w:pPr>
        <w:pStyle w:val="NormalHanging12a"/>
        <w:ind w:hanging="570"/>
      </w:pPr>
      <w:r w:rsidRPr="003B4B66">
        <w:t>2.</w:t>
      </w:r>
      <w:r w:rsidRPr="003B4B66">
        <w:tab/>
      </w:r>
      <w:r w:rsidR="00420901" w:rsidRPr="003B4B66">
        <w:t>εκθέτει τις παρατηρήσεις του στο ψήφισμα που ακολουθεί·</w:t>
      </w:r>
    </w:p>
    <w:p w14:paraId="359141A8" w14:textId="36FEE72C" w:rsidR="00420901" w:rsidRPr="003B4B66" w:rsidRDefault="003B4B66" w:rsidP="003B4B66">
      <w:pPr>
        <w:pStyle w:val="NormalHanging12a"/>
        <w:ind w:hanging="570"/>
      </w:pPr>
      <w:r w:rsidRPr="003B4B66">
        <w:t>3.</w:t>
      </w:r>
      <w:r w:rsidRPr="003B4B66">
        <w:tab/>
      </w:r>
      <w:r w:rsidR="00420901" w:rsidRPr="003B4B66">
        <w:t xml:space="preserve">αναθέτει στην Πρόεδρό του να διαβιβάσει την παρούσα απόφαση και το ψήφισμα που αποτελεί αναπόσπαστο μέρος της στον Ευρωπαίο Διαμεσολαβητή, στο Ευρωπαϊκό Συμβούλιο, στο Συμβούλιο, στην Επιτροπή και στο Ελεγκτικό Συνέδριο, στο Δικαστήριο της Ευρωπαϊκής Ένωσης, στον Ευρωπαίο Επόπτη Προστασίας Δεδομένων και στην Ευρωπαϊκή Υπηρεσία Εξωτερικής Δράσης, και να μεριμνήσει για τη δημοσίευσή τους στην </w:t>
      </w:r>
      <w:r w:rsidR="00420901" w:rsidRPr="003B4B66">
        <w:rPr>
          <w:i/>
        </w:rPr>
        <w:t>Επίσημη Εφημερίδα της Ευρωπαϊκής Ένωσης</w:t>
      </w:r>
      <w:r w:rsidR="00420901" w:rsidRPr="003B4B66">
        <w:t xml:space="preserve"> (σειρά L).</w:t>
      </w:r>
    </w:p>
    <w:p w14:paraId="20908E12" w14:textId="77777777" w:rsidR="00420901" w:rsidRPr="003B4B66" w:rsidRDefault="00420901" w:rsidP="00420901">
      <w:pPr>
        <w:pStyle w:val="NormalHanging12a"/>
      </w:pPr>
    </w:p>
    <w:p w14:paraId="64A6F951" w14:textId="77777777" w:rsidR="00420901" w:rsidRPr="003B4B66" w:rsidRDefault="00420901" w:rsidP="00420901">
      <w:pPr>
        <w:pStyle w:val="PageHeading"/>
        <w:sectPr w:rsidR="00420901" w:rsidRPr="003B4B66" w:rsidSect="007F0363">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E40074" w14:textId="41F8B15C" w:rsidR="00420901" w:rsidRPr="003B4B66" w:rsidRDefault="00CF55E1" w:rsidP="00CF55E1">
      <w:pPr>
        <w:pStyle w:val="ATHeading3"/>
      </w:pPr>
      <w:r w:rsidRPr="003B4B66">
        <w:lastRenderedPageBreak/>
        <w:t xml:space="preserve">2. Ψήφισμα του Ευρωπαϊκού Κοινοβουλίου της 29ης Απριλίου 2026 </w:t>
      </w:r>
      <w:r w:rsidR="00420901" w:rsidRPr="003B4B66">
        <w:t>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VIII – Ευρωπαίος Διαμεσολαβητής</w:t>
      </w:r>
      <w:r w:rsidRPr="003B4B66">
        <w:t xml:space="preserve"> </w:t>
      </w:r>
      <w:r w:rsidR="00420901" w:rsidRPr="003B4B66">
        <w:t>(2025/2153(DEC))</w:t>
      </w:r>
    </w:p>
    <w:p w14:paraId="6FF2408C" w14:textId="77777777" w:rsidR="00420901" w:rsidRPr="003B4B66" w:rsidRDefault="00420901" w:rsidP="00420901">
      <w:pPr>
        <w:pStyle w:val="EPComma"/>
      </w:pPr>
      <w:r w:rsidRPr="003B4B66">
        <w:rPr>
          <w:i/>
        </w:rPr>
        <w:t>Το Ευρωπαϊκό Κοινοβούλιο</w:t>
      </w:r>
      <w:r w:rsidRPr="003B4B66">
        <w:t>,</w:t>
      </w:r>
    </w:p>
    <w:p w14:paraId="3BA335F8" w14:textId="77777777" w:rsidR="00420901" w:rsidRPr="003B4B66" w:rsidRDefault="00420901" w:rsidP="00420901">
      <w:pPr>
        <w:pStyle w:val="NormalHanging12a"/>
      </w:pPr>
      <w:r w:rsidRPr="003B4B66">
        <w:t>–</w:t>
      </w:r>
      <w:r w:rsidRPr="003B4B6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VIII – Ευρωπαίος Διαμεσολαβητής,</w:t>
      </w:r>
    </w:p>
    <w:p w14:paraId="7F5A2F5A" w14:textId="77777777" w:rsidR="00420901" w:rsidRPr="003B4B66" w:rsidRDefault="00420901" w:rsidP="00420901">
      <w:pPr>
        <w:pStyle w:val="NormalHanging12a"/>
      </w:pPr>
      <w:r w:rsidRPr="003B4B66">
        <w:t>–</w:t>
      </w:r>
      <w:r w:rsidRPr="003B4B66">
        <w:tab/>
        <w:t>έχοντας υπόψη το άρθρο 102 και το παράρτημα V του Κανονισμού του,</w:t>
      </w:r>
    </w:p>
    <w:p w14:paraId="41D77BBE" w14:textId="77777777" w:rsidR="00420901" w:rsidRPr="003B4B66" w:rsidRDefault="00420901" w:rsidP="00420901">
      <w:pPr>
        <w:pStyle w:val="NormalHanging12a"/>
      </w:pPr>
      <w:r w:rsidRPr="003B4B66">
        <w:t>–</w:t>
      </w:r>
      <w:r w:rsidRPr="003B4B66">
        <w:tab/>
        <w:t>έχοντας υπόψη την έκθεση της Επιτροπής Ελέγχου του Προϋπολογισμού (A10-0054/2026),</w:t>
      </w:r>
    </w:p>
    <w:p w14:paraId="02B2FF2B" w14:textId="77777777" w:rsidR="00420901" w:rsidRPr="003B4B66" w:rsidRDefault="00420901" w:rsidP="00420901">
      <w:pPr>
        <w:pStyle w:val="NormalHanging12a"/>
      </w:pPr>
      <w:r w:rsidRPr="003B4B66">
        <w:t>Α.</w:t>
      </w:r>
      <w:r w:rsidRPr="003B4B66">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η διασφάλιση της ορθής, αποτελεσματικής και προσανατολισμένης στα αποτελέσματα δημοσιονομικής διαχείρισης και της χρηστής διαχείρισης των ανθρώπινων πόρων·</w:t>
      </w:r>
    </w:p>
    <w:p w14:paraId="27F3D19D" w14:textId="77777777" w:rsidR="00420901" w:rsidRPr="003B4B66" w:rsidRDefault="00420901" w:rsidP="00420901">
      <w:pPr>
        <w:pStyle w:val="NormalHanging12a"/>
      </w:pPr>
      <w:r w:rsidRPr="003B4B66">
        <w:t>Β.</w:t>
      </w:r>
      <w:r w:rsidRPr="003B4B66">
        <w:tab/>
        <w:t>λαμβάνοντας υπόψη ότι το άρθρο 228 της Συνθήκης για τη λειτουργία της Ευρωπαϊκής Ένωσης προβλέπει την εκλογή Ευρωπαίου Διαμεσολαβητή από το Ευρωπαϊκό Κοινοβούλιο, ο οποίος είναι εξουσιοδοτημένος να δέχεται τις καταγγελίες κάθε πολίτη της Ένωσης ή κάθε φυσικού ή νομικού προσώπου που κατοικεί ή έχει την καταστατική έδρα του σε κράτος μέλος, σχετικά με περιπτώσεις κακοδιοίκησης στο πλαίσιο της δράσης των θεσμικών και λοιπών οργάνων ή οργανισμών της Ένωσης, με εξαίρεση το Δικαστήριο της Ευρωπαϊκής Ένωσης (ΔΕΕ) κατά την άσκηση των δικαιοδοτικών του καθηκόντων, καθώς και να εξετάζει τις εν λόγω καταγγελίες και να υποβάλλει σχετικές εκθέσεις·</w:t>
      </w:r>
    </w:p>
    <w:p w14:paraId="4FBD4855" w14:textId="77777777" w:rsidR="00420901" w:rsidRPr="003B4B66" w:rsidRDefault="00420901" w:rsidP="00420901">
      <w:pPr>
        <w:pStyle w:val="NormalHanging12a"/>
      </w:pPr>
      <w:r w:rsidRPr="003B4B66">
        <w:t>Γ.</w:t>
      </w:r>
      <w:r w:rsidRPr="003B4B66">
        <w:tab/>
        <w:t>λαμβάνοντας υπόψη ότι ο κανονισμός (ΕΕ, Ευρατόμ) 2021/1163 του Ευρωπαϊκού Κοινοβουλίου της 24ης Ιουνίου 2021</w:t>
      </w:r>
      <w:r w:rsidRPr="003B4B66">
        <w:rPr>
          <w:rStyle w:val="FootnoteReference"/>
        </w:rPr>
        <w:footnoteReference w:id="7"/>
      </w:r>
      <w:r w:rsidRPr="003B4B66">
        <w:t xml:space="preserve"> θεσπίζει το καθεστώς του Ευρωπαίου Διαμεσολαβητή και τους γενικούς όρους άσκησης των καθηκόντων του (καθεστώς του Ευρωπαίου Διαμεσολαβητή)·</w:t>
      </w:r>
    </w:p>
    <w:p w14:paraId="2B8CBC9F" w14:textId="77777777" w:rsidR="00420901" w:rsidRPr="003B4B66" w:rsidRDefault="00420901" w:rsidP="00420901">
      <w:pPr>
        <w:pStyle w:val="NormalHanging12a"/>
      </w:pPr>
      <w:r w:rsidRPr="003B4B66">
        <w:t>Δ.</w:t>
      </w:r>
      <w:r w:rsidRPr="003B4B66">
        <w:tab/>
        <w:t>λαμβάνοντας υπόψη ότι, μετά την εκλογή της από το Κοινοβούλιο στις 17 Δεκεμβρίου 2024, η νέα Διαμεσολαβήτρια ορκίστηκε στις 27 Φεβρουαρίου 2025, διασφαλίζοντας τη συνέχεια και την αποτελεσματική εκπλήρωση της εντολής του Διαμεσολαβητή όσον αφορά την προώθηση της διαφάνειας, της χρηστής διοίκησης και των δικαιωμάτων των πολιτών στο πλαίσιο των θεσμικών οργάνων της Ένωσης·</w:t>
      </w:r>
    </w:p>
    <w:p w14:paraId="512CEE23" w14:textId="77777777" w:rsidR="00420901" w:rsidRPr="003B4B66" w:rsidRDefault="00420901" w:rsidP="00420901">
      <w:pPr>
        <w:pStyle w:val="NormalHanging12a"/>
        <w:rPr>
          <w:b/>
          <w:i/>
        </w:rPr>
      </w:pPr>
      <w:r w:rsidRPr="003B4B66">
        <w:t>Ε.</w:t>
      </w:r>
      <w:r w:rsidRPr="003B4B66">
        <w:rPr>
          <w:b/>
          <w:i/>
        </w:rPr>
        <w:tab/>
      </w:r>
      <w:r w:rsidRPr="003B4B66">
        <w:t xml:space="preserve">λαμβάνοντας υπόψη ότι η διατήρηση των υψηλότερων δυνατών προτύπων θεσμικής ανεξαρτησίας και η αποφυγή κάθε αίσθησης ευνοιοκρατίας στους διορισμούς ανώτερων υπαλλήλων είναι ουσιαστικής σημασίας για τη διασφάλιση της </w:t>
      </w:r>
      <w:r w:rsidRPr="003B4B66">
        <w:lastRenderedPageBreak/>
        <w:t>εμπιστοσύνης του κοινού στον ρόλο του Διαμεσολαβητή ως φορέα ελέγχου της χρηστής διοίκησης της Ένωσης·</w:t>
      </w:r>
    </w:p>
    <w:p w14:paraId="43B88E67" w14:textId="7CB8DDE6" w:rsidR="00420901" w:rsidRPr="003B4B66" w:rsidRDefault="00420901" w:rsidP="00420901">
      <w:pPr>
        <w:pStyle w:val="NormalHanging12a"/>
      </w:pPr>
      <w:r w:rsidRPr="003B4B66">
        <w:t>ΣΤ.</w:t>
      </w:r>
      <w:r w:rsidRPr="003B4B66">
        <w:tab/>
        <w:t xml:space="preserve">λαμβάνοντας υπόψη ότι, </w:t>
      </w:r>
      <w:r w:rsidRPr="003B4B66">
        <w:rPr>
          <w:shd w:val="clear" w:color="auto" w:fill="FFFFFF"/>
        </w:rPr>
        <w:t>μετά την έγκριση του κανονισμού (ΕΕ, Ευρατόμ) 2021/1163,</w:t>
      </w:r>
      <w:r w:rsidRPr="003B4B66">
        <w:t xml:space="preserve"> η Διαμεσολαβήτρια ενέκρινε τις αναθεωρημένες εκτελεστικές διατάξεις του</w:t>
      </w:r>
      <w:r w:rsidRPr="003B4B66">
        <w:rPr>
          <w:rStyle w:val="FootnoteReference"/>
        </w:rPr>
        <w:footnoteReference w:id="8"/>
      </w:r>
      <w:r w:rsidRPr="003B4B66">
        <w:t xml:space="preserve"> στις 21</w:t>
      </w:r>
      <w:r w:rsidR="000E22FF" w:rsidRPr="003B4B66">
        <w:t> </w:t>
      </w:r>
      <w:r w:rsidRPr="003B4B66">
        <w:t>Ιουνίου 2023·</w:t>
      </w:r>
    </w:p>
    <w:p w14:paraId="1A3BEF85" w14:textId="22767F50" w:rsidR="00420901" w:rsidRPr="003B4B66" w:rsidRDefault="003B4B66" w:rsidP="003B4B66">
      <w:pPr>
        <w:pStyle w:val="NormalHanging12a"/>
        <w:ind w:hanging="570"/>
      </w:pPr>
      <w:r w:rsidRPr="003B4B66">
        <w:t>1.</w:t>
      </w:r>
      <w:r w:rsidRPr="003B4B66">
        <w:tab/>
      </w:r>
      <w:r w:rsidR="00420901" w:rsidRPr="003B4B66">
        <w:t>σημειώνει ότι ο προϋπολογισμός του Διαμεσολαβητή εντάσσεται στον τομέα 7 του ΠΔΠ («Ευρωπαϊκή δημόσια διοίκηση»), ο οποίος ανήλθε συνολικά σε 13,3 δισεκατομμύρια EUR, δηλ</w:t>
      </w:r>
      <w:r w:rsidR="00CF55E1" w:rsidRPr="003B4B66">
        <w:t>αδή</w:t>
      </w:r>
      <w:r w:rsidR="00420901" w:rsidRPr="003B4B66">
        <w:t xml:space="preserve"> στο 6,9 % των δαπανών του προϋπολογισμού της Ένωσης, το 2024· σημειώνει ότι ο προϋπολογισμός του Διαμεσολαβητή αντιπροσώπευε το 0,10 % των πιστώσεων του τομέα 7 του ΠΔΠ·</w:t>
      </w:r>
    </w:p>
    <w:p w14:paraId="08607C97" w14:textId="750A2D3D" w:rsidR="00420901" w:rsidRPr="003B4B66" w:rsidRDefault="003B4B66" w:rsidP="003B4B66">
      <w:pPr>
        <w:pStyle w:val="NormalHanging12a"/>
        <w:ind w:hanging="570"/>
      </w:pPr>
      <w:r w:rsidRPr="003B4B66">
        <w:t>2.</w:t>
      </w:r>
      <w:r w:rsidRPr="003B4B66">
        <w:tab/>
      </w:r>
      <w:r w:rsidR="00420901" w:rsidRPr="003B4B66">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ίσο αριθμό με αυτές που εξετάστηκαν το 2023· σημειώνει ότι το Ελεγκτικό Συνέδριο αναφέρει περαιτέρω ότι οι διοικητικές δαπάνες περιλαμβάνουν τις δαπάνες για ανθρώπινους πόρους, συμπεριλαμβανομένων των δαπανών για συντάξεις, οι οποίες το 2024 αντιπροσώπευαν περίπου το 69 %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δαπάνες αυτές είναι χαμηλού κινδύνου·</w:t>
      </w:r>
    </w:p>
    <w:p w14:paraId="789853F7" w14:textId="0E15CA9A" w:rsidR="00420901" w:rsidRPr="003B4B66" w:rsidRDefault="003B4B66" w:rsidP="003B4B66">
      <w:pPr>
        <w:pStyle w:val="NormalHanging12a"/>
        <w:ind w:hanging="570"/>
      </w:pPr>
      <w:r w:rsidRPr="003B4B66">
        <w:t>3.</w:t>
      </w:r>
      <w:r w:rsidRPr="003B4B66">
        <w:tab/>
      </w:r>
      <w:r w:rsidR="00420901" w:rsidRPr="003B4B66">
        <w:t>σημειώνει ότι 16 από τις 70 πράξεις (ήτοι το 23 %)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τον Διαμεσολαβητή·</w:t>
      </w:r>
    </w:p>
    <w:p w14:paraId="06DA23E5" w14:textId="77777777" w:rsidR="00420901" w:rsidRPr="003B4B66" w:rsidRDefault="00420901" w:rsidP="00420901">
      <w:pPr>
        <w:pStyle w:val="NormalHanging12a"/>
        <w:ind w:left="0" w:firstLine="0"/>
        <w:rPr>
          <w:b/>
          <w:i/>
        </w:rPr>
      </w:pPr>
      <w:r w:rsidRPr="003B4B66">
        <w:rPr>
          <w:b/>
          <w:i/>
        </w:rPr>
        <w:t>Δημοσιονομική και οικονομική διαχείριση</w:t>
      </w:r>
    </w:p>
    <w:p w14:paraId="799FB0B9" w14:textId="4A1E7906" w:rsidR="00420901" w:rsidRPr="003B4B66" w:rsidRDefault="003B4B66" w:rsidP="003B4B66">
      <w:pPr>
        <w:pStyle w:val="NormalHanging12a"/>
        <w:ind w:hanging="570"/>
      </w:pPr>
      <w:r w:rsidRPr="003B4B66">
        <w:t>4.</w:t>
      </w:r>
      <w:r w:rsidRPr="003B4B66">
        <w:tab/>
      </w:r>
      <w:r w:rsidR="00420901" w:rsidRPr="003B4B66">
        <w:t>σημειώνει ότι ο προϋπολογισμός του Διαμεσολαβητή ανήλθε σε 13 843 160 EUR το 2024, ποσό που αντιπροσωπεύει αύξηση κατά 630 713 EUR (δηλαδή +4,77 %) σε σύγκριση με το 2023· σημειώνει, με βάση τις απαντήσεις της Διαμεσολαβήτριας στο ερωτηματολόγιο που υπέβαλε η Επιτροπή Ελέγχου του Προϋπολογισμού για την απαλλαγή για την εκτέλεση του προϋπολογισμού του 2024 («ερωτηματολόγιο»), ότι η αύξηση αυτή οφείλεται κυρίως σε μισθολογικές αναπροσαρμογές·</w:t>
      </w:r>
    </w:p>
    <w:p w14:paraId="7E4BB3AC" w14:textId="6FA28D95" w:rsidR="00420901" w:rsidRPr="003B4B66" w:rsidRDefault="003B4B66" w:rsidP="003B4B66">
      <w:pPr>
        <w:pStyle w:val="NormalHanging12a"/>
        <w:ind w:hanging="570"/>
      </w:pPr>
      <w:r w:rsidRPr="003B4B66">
        <w:t>5.</w:t>
      </w:r>
      <w:r w:rsidRPr="003B4B66">
        <w:tab/>
      </w:r>
      <w:r w:rsidR="00420901" w:rsidRPr="003B4B66">
        <w:t xml:space="preserve">σημειώνει ότι οι προσπάθειες παρακολούθησης του προϋπολογισμού κατά τη διάρκεια του οικονομικού έτους 2024 είχαν ως αποτέλεσμα ποσοστό εκτέλεσης του προϋπολογισμού 97,55 %, το οποίο συνιστά αύξηση κατά 2,16 % σε σύγκριση με το 2023· σημειώνει ότι το ποσοστό αυτό περιλαμβάνει πιστώσεις που μεταφέρθηκαν από το 2024 στο 2025· σημειώνει ότι το ποσοστό εκτέλεσης των πιστώσεων πληρωμών του τρέχοντος έτους ήταν 97,08 %, που συνιστά μείωση κατά 0,50 % σε σύγκριση με το 2023· σημειώνει αύξηση κατά 29,60 % των πιστώσεων που μεταφέρθηκαν (πιστώσεις C8), δηλαδή από 304 550 EUR το 2023 σε 394 667 EUR το 2024· σημειώνει βελτίωση στο ποσοστό εκτέλεσης των αυτόματων μεταφορών πιστώσεων από το προηγούμενο έτος, το οποίο το 2024 ήταν 76,59 % έναντι 73,27 % το 2023· σημειώνει, ωστόσο, ότι το ποσοστό αυτό παρέμεινε χαμηλό σε σύγκριση με το 2022 (92,59 %), και </w:t>
      </w:r>
      <w:r w:rsidR="00420901" w:rsidRPr="003B4B66">
        <w:lastRenderedPageBreak/>
        <w:t>επαναλαμβάνει την έκκλησή του προς τη Διαμεσολαβήτρια να εντείνει τις προσπάθειες για τη βελτίωση του εν λόγω ποσοστού·</w:t>
      </w:r>
    </w:p>
    <w:p w14:paraId="3938C119" w14:textId="56C57190" w:rsidR="00420901" w:rsidRPr="003B4B66" w:rsidRDefault="003B4B66" w:rsidP="003B4B66">
      <w:pPr>
        <w:pStyle w:val="NormalHanging12a"/>
        <w:ind w:hanging="570"/>
      </w:pPr>
      <w:r w:rsidRPr="003B4B66">
        <w:t>6.</w:t>
      </w:r>
      <w:r w:rsidRPr="003B4B66">
        <w:tab/>
      </w:r>
      <w:r w:rsidR="00420901" w:rsidRPr="003B4B66">
        <w:t>σημειώνει ότι, κατά τη διάρκεια του 2024, η Διαμεσολαβήτρια πραγματοποίησε τέσσερις μεταφορές πιστώσεων δυνάμει του άρθρου 29 του δημοσιονομικού κανονισμού, οι οποίες αντιστοιχούν συνολικά σε 280 500 EUR ή στο 2,02 % των πιστώσεων για το εν λόγω οικονομικό έτος, σε σύγκριση με 1,8 % το 2023· σημειώνει ότι οι μεταφορές αυτές ήταν αναγκαίες για την ενίσχυση διαφόρων γραμμών του προϋπολογισμού που αφορούν, για παράδειγμα, τον καθαρισμό, τη συντήρηση και την κατανάλωση ενέργειας (+41 %), τα έξοδα αποστολών (+38,60 %) και την πληροφορική (+24,80 %)· σημειώνει ότι το 2024 η Διαμεσολαβήτρια μείωσε σημαντικά τις δαπάνες της για μετάφραση, μετά την επιτυχή ενσωμάτωση της τεχνητής νοημοσύνης (ΤΝ) στις μεταφραστικές διαδικασίες για τον ιστότοπο του Διαμεσολαβητή· σημειώνει ότι οι εξοικονομήσεις που προέκυψαν χρησιμοποιήθηκαν για την ενίσχυση άλλων τομέων μέσω μεταφορών πιστώσεων·</w:t>
      </w:r>
    </w:p>
    <w:p w14:paraId="5154C069" w14:textId="1A660473" w:rsidR="00420901" w:rsidRPr="003B4B66" w:rsidRDefault="003B4B66" w:rsidP="003B4B66">
      <w:pPr>
        <w:pStyle w:val="NormalHanging12a"/>
        <w:ind w:hanging="570"/>
      </w:pPr>
      <w:r w:rsidRPr="003B4B66">
        <w:t>7.</w:t>
      </w:r>
      <w:r w:rsidRPr="003B4B66">
        <w:tab/>
      </w:r>
      <w:r w:rsidR="00420901" w:rsidRPr="003B4B66">
        <w:t>σημειώνει με ικανοποίηση, με βάση την ετήσια έκθεση δραστηριοτήτων του Διαμεσολαβητή για το 2024 («ετήσια έκθεση»), ότι όλες οι πληρωμές πραγματοποιήθηκαν εντός της καθορισμένης προθεσμίας των 30 ημερών το 2024· σημειώνει περαιτέρω ότι ο μέσος χρόνος πληρωμής των τιμολογίων ήταν 13,20 ημέρες, βελτιωμένος σε σχέση με το 2023 (13,50 ημέρες)· σημειώνει, όσον αφορά τη μετάβαση του Διαμεσολαβητή σε ένα νέο δημοσιονομικό και λογιστικό σύστημα (SUMMA), ότι ο Διαμεσολαβητής καλείται να καταβάλει 200 000 EUR για δικαιώματα πρόσβασης σε αυτό το σύστημα, το ίδιο ποσό που καλούνται να καταβάλουν άλλα, πολύ μεγαλύτερα θεσμικά και λοιπά όργανα, οργανισμοί και υπηρεσίες της Ένωσης· σημειώνει ότι το ποσό αυτό είναι διπλάσιο από τον προϋπολογισμό του Διαμεσολαβητή για αυτό το είδος υπηρεσίας· καλεί την Επιτροπή να βρει μια λύση που θα επιτρέπει στον Διαμεσολαβητή να έχει πρόσβαση στο SUMMA σε τιμή ανάλογη προς το εύρος των δραστηριοτήτων του· ζητεί τη θέσπιση ενός διαφανούς, αντικειμενικού και αναλογικού μοντέλου κόστους για την πρόσβαση σε κοινά εταιρικά χρηματοπιστωτικά συστήματα, με τέλη που να αντικατοπτρίζουν το μέγεθος και τον προϋπολογισμό και τον αριθμό των χρηστών στο οικείο θεσμικό ή άλλο όργανο, οργανισμό ή υπηρεσία, ώστε να αποφευχθεί η δυσανάλογη επιβάρυνση εκείνων που είναι μικρότεροι και να διασφαλιστεί η συμμόρφωση με τις υποχρεώσεις δημοσιονομικής διαχείρισης χωρίς να υπονομεύονται οι πόροι που διατίθενται για τη βασική εντολή τους·</w:t>
      </w:r>
    </w:p>
    <w:p w14:paraId="3B665E4D" w14:textId="427EED65" w:rsidR="00420901" w:rsidRPr="003B4B66" w:rsidRDefault="003B4B66" w:rsidP="003B4B66">
      <w:pPr>
        <w:pStyle w:val="NormalHanging12a"/>
        <w:ind w:hanging="570"/>
      </w:pPr>
      <w:r w:rsidRPr="003B4B66">
        <w:t>8.</w:t>
      </w:r>
      <w:r w:rsidRPr="003B4B66">
        <w:tab/>
      </w:r>
      <w:r w:rsidR="00420901" w:rsidRPr="003B4B66">
        <w:t xml:space="preserve">σημειώνει ότι ο αντίκτυπος του παράνομου επιθετικού πολέμου της Ρωσίας κατά της Ουκρανίας συνέχισε να δημιουργεί δημοσιονομική πίεση στον Διαμεσολαβητή το 2024· σημειώνει ότι ο Διαμεσολαβητής επηρεάστηκε περισσότερο από την αύξηση του ενεργειακού κόστους· σημειώνει, στο πλαίσιο αυτό, ότι, προκειμένου να αντιμετωπίσει τον αντίκτυπο αυτής της αύξησης στον προϋπολογισμό του Διαμεσολαβητή, το κατ’ αποκοπή ποσό που κατέβαλε ο Διαμεσολαβητής στο Κοινοβούλιο για μισθώματα χρειάστηκε να υπολογιστεί εκ νέου· σημειώνει ότι, ως αποτέλεσμα, οι πραγματικές ενεργειακές δαπάνες του Διαμεσολαβητή το 2024 αυξήθηκαν κατά 75 %, από 168 900 EUR το 2023 σε 295 400 EUR το 2024· σημειώνει ότι, με βάση το ερωτηματολόγιο, η Διαμεσολαβήτρια θεωρεί ότι το σωρευτικό αποτέλεσμα της πληθωριστικής πίεσης και του περιορισμού των μη μισθολογικών δαπανών σε 2 % κατ’ ανώτατο όριο σε σύγκριση με το προηγούμενο έτος θα επηρεάσουν τη μακροπρόθεσμη βιωσιμότητα του προϋπολογισμού του Διαμεσολαβητή· τονίζει ότι οι πιέσεις αυτές, εάν δεν αντιμετωπιστούν καταλλήλως, ενέχουν τον κίνδυνο να υπονομεύσουν την οικονομική αποδοτικότητα, την προβλεψιμότητα και τη </w:t>
      </w:r>
      <w:r w:rsidR="00420901" w:rsidRPr="003B4B66">
        <w:lastRenderedPageBreak/>
        <w:t>βιωσιμότητα των δραστηριοτήτων του Διαμεσολαβητή· αναγνωρίζει την ανάγκη να βελτιώσουν όλα τα θεσμικά και λοιπά όργανα, οργανισμοί και υπηρεσίες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 τονίζει ότι η δημοσιονομική πειθαρχία πρέπει να συνδυάζεται με ρεαλιστικές εκτιμήσεις κόστους, ώστε να διασφαλίζονται τα χρήματα των φορολογουμένων και παράλληλα να διατηρείται η επιχειρησιακή συνέχεια·</w:t>
      </w:r>
    </w:p>
    <w:p w14:paraId="613C87DD" w14:textId="79335CE0" w:rsidR="00420901" w:rsidRPr="003B4B66" w:rsidRDefault="003B4B66" w:rsidP="003B4B66">
      <w:pPr>
        <w:pStyle w:val="NormalHanging12a"/>
        <w:ind w:hanging="570"/>
      </w:pPr>
      <w:r w:rsidRPr="003B4B66">
        <w:t>9.</w:t>
      </w:r>
      <w:r w:rsidRPr="003B4B66">
        <w:tab/>
      </w:r>
      <w:r w:rsidR="00420901" w:rsidRPr="003B4B66">
        <w:t xml:space="preserve">σημειώνει ότι ο προϋπολογισμός για τις αποστολές του προσωπικού ανήλθε σε 120 000 EUR το 2024 (ίδιο ποσό με το 2023)· σημειώνει, ωστόσο, ότι κατά τη διάρκεια του 2024 πραγματοποιήθηκε ενίσχυση του άρθρου του προϋπολογισμού για τις αποστολές κατά +38,60 % μέσω εσωτερικής μεταφοράς/εσωτερικών μεταφορών· σημειώνει την εξήγηση της Διαμεσολαβήτριας ότι η ενίσχυση αυτή ήταν αναγκαία λόγω του πληθωρισμού και της αύξησης των εξόδων διαμονής, της αύξησης του αριθμού των αναγκαίων αποστολών του Διαμεσολαβητή και των δημοσιονομικών εκτιμήσεων με βάση εκείνες των προηγούμενων ετών, κατά τη διάρκεια των οποίων τα ταξίδια ήταν περιορισμένα λόγω της πανδημίας </w:t>
      </w:r>
      <w:r w:rsidR="000E22FF" w:rsidRPr="003B4B66">
        <w:t xml:space="preserve">της </w:t>
      </w:r>
      <w:r w:rsidR="00420901" w:rsidRPr="003B4B66">
        <w:t>COVID-19· σημειώνει ότι ο αρχικός προϋπολογισμός των αποστολών του Διαμεσολαβητή παρέμεινε ο ίδιος το 202</w:t>
      </w:r>
      <w:r w:rsidR="00C17880" w:rsidRPr="003B4B66">
        <w:t>4</w:t>
      </w:r>
      <w:r w:rsidR="00420901" w:rsidRPr="003B4B66">
        <w:t xml:space="preserve"> όπως και τα προηγούμενα έτη (2022 και 2023), δηλαδή 35 000 EUR· σημειώνει ότι, μετά την ενίσχυση του εν λόγω προϋπολογισμού μέσω εσωτερικών μεταφορών, οι πραγματικές δαπάνες για τις αποστολές του Διαμεσολαβητή ανήλθαν συνολικά σε 41 326 EUR το 2024</w:t>
      </w:r>
      <w:r w:rsidR="00420901" w:rsidRPr="003B4B66">
        <w:rPr>
          <w:rStyle w:val="FootnoteReference"/>
        </w:rPr>
        <w:footnoteReference w:id="9"/>
      </w:r>
      <w:r w:rsidR="00420901" w:rsidRPr="003B4B66">
        <w:t>· ζητεί πιο ρεαλιστικές αρχικές δημοσιονομικές προβλέψεις για τα ταξίδια, ώστε να ελαχιστοποιηθεί η εξάρτηση από μεγάλες μεταφορές πιστώσεων στα μέσα του έτους και να διασφαλιστεί σταθερός δημοσιονομικός σχεδιασμός·</w:t>
      </w:r>
    </w:p>
    <w:p w14:paraId="6A350598" w14:textId="77777777" w:rsidR="00420901" w:rsidRPr="003B4B66" w:rsidRDefault="00420901" w:rsidP="00420901">
      <w:pPr>
        <w:pStyle w:val="NormalHanging12a"/>
        <w:ind w:left="0" w:firstLine="0"/>
        <w:rPr>
          <w:b/>
          <w:i/>
        </w:rPr>
      </w:pPr>
      <w:r w:rsidRPr="003B4B66">
        <w:rPr>
          <w:b/>
          <w:i/>
        </w:rPr>
        <w:t>Εσωτερική διαχείριση, επιδόσεις και εσωτερικός έλεγχος</w:t>
      </w:r>
    </w:p>
    <w:p w14:paraId="0F249008" w14:textId="113D56B0" w:rsidR="00420901" w:rsidRPr="003B4B66" w:rsidRDefault="003B4B66" w:rsidP="003B4B66">
      <w:pPr>
        <w:pStyle w:val="NormalHanging12a"/>
        <w:ind w:hanging="570"/>
      </w:pPr>
      <w:r w:rsidRPr="003B4B66">
        <w:t>10.</w:t>
      </w:r>
      <w:r w:rsidRPr="003B4B66">
        <w:tab/>
      </w:r>
      <w:r w:rsidR="00420901" w:rsidRPr="003B4B66">
        <w:t>σημειώνει ότι ο Διαμεσολαβητής έχει συνδεθεί με τους υψηλού επιπέδου στόχους της στρατηγικής της με τίτλο «Προς το 2024: εννέα βασικοί δείκτες επιδόσεων (ΒΔΕ)» που αποτελείται από 17 συνιστώσες, όπως ορίζεται στο ετήσιο σχέδιο διαχείρισης του Διαμεσολαβητή για το 2024· παρατηρεί ότι το 2024 επιτεύχθηκαν ή ξεπεράστηκαν 13 από αυτές τις συνιστώσες ΒΔΕ·</w:t>
      </w:r>
    </w:p>
    <w:p w14:paraId="08B64765" w14:textId="36F2874D" w:rsidR="00420901" w:rsidRPr="003B4B66" w:rsidRDefault="003B4B66" w:rsidP="003B4B66">
      <w:pPr>
        <w:pStyle w:val="NormalHanging12a"/>
        <w:ind w:hanging="570"/>
      </w:pPr>
      <w:r w:rsidRPr="003B4B66">
        <w:t>11.</w:t>
      </w:r>
      <w:r w:rsidRPr="003B4B66">
        <w:tab/>
      </w:r>
      <w:r w:rsidR="00420901" w:rsidRPr="003B4B66">
        <w:t>παρατηρεί ότι το 2024 ο Διαμεσολαβητής χειρίστηκε 2 264 νέες καταγγελίες (2 392 το 2023), κίνησε 411 έρευνες (392 το 2023), συμπεριλαμβανομένων 49 ερευνών δημόσιου ενδιαφέροντος (56 το 2023), περάτωσε 421 έρευνες (372 το 2023) και εξέτασε μεγάλο αριθμό καταγγελιών σχετικά με την πρόσβαση του κοινού, ο οποίος αυξήθηκε από 167 το 2023 σε (νέο) πρωτοφανή αριθμό 212 καταγγελιών το 2024 (σε 160 από αυτές δόθηκε συνέχεια με έρευνες ενώ 193 από αυτές περατώθηκαν)·</w:t>
      </w:r>
    </w:p>
    <w:p w14:paraId="53DDA1EA" w14:textId="78643281" w:rsidR="00420901" w:rsidRPr="003B4B66" w:rsidRDefault="003B4B66" w:rsidP="003B4B66">
      <w:pPr>
        <w:pStyle w:val="NormalHanging12a"/>
        <w:ind w:hanging="570"/>
      </w:pPr>
      <w:r w:rsidRPr="003B4B66">
        <w:t>12.</w:t>
      </w:r>
      <w:r w:rsidRPr="003B4B66">
        <w:tab/>
      </w:r>
      <w:r w:rsidR="00420901" w:rsidRPr="003B4B66">
        <w:t xml:space="preserve">συγχαίρει τον Διαμεσολαβητή για τη μείωση του χρόνου που απαιτείται για την επεξεργασία φακέλων σε διάφορα στάδια της διαδικασίας, όπως του μέσου χρόνου που απαιτείται για τον χειρισμό μιας καταγγελίας (από 39 ημέρες το 2023 σε 36 ημέρες το 2024) και για τον χειρισμό μιας καταγγελίας στο πλαίσιο της εντολής του (από 91 ημέρες το 2023 σε 86 ημέρες το 2024)· σημειώνει, ωστόσο, τη σημαντική αύξηση του μέσου χρόνου που απαιτείται για την περάτωση υποθέσεων στον τομέα της πρόσβασης του κοινού σε έγγραφα από 42 ημέρες το 2023 σε 85 εργάσιμες ημέρες το 2024· σημειώνει ότι ο Διαμεσολαβητής υπερέβη τον στόχο του (100 %) όσον αφορά το </w:t>
      </w:r>
      <w:r w:rsidR="00420901" w:rsidRPr="003B4B66">
        <w:lastRenderedPageBreak/>
        <w:t xml:space="preserve">ποσοστό εκκαθάρισης (δηλαδή τις περατωθείσες υποθέσεις σε σύγκριση με τις νέες υποθέσεις που καταγράφηκαν κατά τη διάρκεια του έτους)· εκφράζει, ωστόσο, τη λύπη του για το γεγονός ότι ο μέσος χρόνος (168 ημέρες) για τη διεκπεραίωση μιας έρευνας παρέμεινε υψηλός το 2024 (από 165 ημέρες το 2023), υπερβαίνοντας κατά πολύ τον στόχο των 150 ημερών· συνιστά όπως ο Διαμεσολαβητής βελτιώσει περαιτέρω τους βασικούς δείκτες επιδόσεων που σχετίζονται με τη διάρκεια της διεκπεραίωσης υποθέσεων, αντικατοπτρίζοντας καλύτερα τον διαφορετικό βαθμό πολυπλοκότητας των υποθέσεων, ώστε να διασφαλιστεί μια πιο ρεαλιστική, ουσιαστική και προσανατολισμένη στην αποδοτικότητα αξιολόγηση των επιδόσεων· αναγνωρίζει ότι σε περίπλοκες υποθέσεις, ιδίως σε όσες εμπλέκονται περισσότερα θεσμικά και λοιπά όργανα, οργανισμοί ή υπηρεσίες, ενδέχεται να απαιτούνται μεγαλύτεροι χρόνοι διεκπεραίωσης· τονίζει, ωστόσο, ότι οι υπερβολικές καθυστερήσεις στη διεκπεραίωση υποθέσεων πρόσβασης σε έγγραφα υπονομεύουν άμεσα τα δικαιώματα των πολιτών και την εμπιστοσύνη του κοινού στη διοίκηση της Ένωσης συνολικά· ζητεί να καταρτιστεί ένα σχέδιο για την αντιμετώπιση αυτών των καθυστερήσεων και προτείνει τον αναπροσανατολισμό ενός τμήματος των εξοικονομήσεων που επιτεύχθηκαν μέσω της μετάφρασης με τη βοήθεια της τεχνητής νοημοσύνης προκειμένου να ενισχυθούν οι ομάδες ερευνών, ιδίως σε υποθέσεις που αφορούν την πρόσβαση του κοινού· σημειώνει με ικανοποίηση, με βάση την έκθεση του Διαμεσολαβητή προς το Κοινοβούλιο σχετικά με τη συνέχεια που δόθηκε στην απαλλαγή για το οικονομικό έτος 2023 («έκθεση παρακολούθησης»), ότι ένας από τους βασικούς στρατηγικούς στόχους της </w:t>
      </w:r>
      <w:proofErr w:type="spellStart"/>
      <w:r w:rsidR="00420901" w:rsidRPr="003B4B66">
        <w:t>νεοεκλεγείσας</w:t>
      </w:r>
      <w:proofErr w:type="spellEnd"/>
      <w:r w:rsidR="00420901" w:rsidRPr="003B4B66">
        <w:t xml:space="preserve"> </w:t>
      </w:r>
      <w:proofErr w:type="spellStart"/>
      <w:r w:rsidR="00420901" w:rsidRPr="003B4B66">
        <w:t>Διαμεσολαβήτριας</w:t>
      </w:r>
      <w:proofErr w:type="spellEnd"/>
      <w:r w:rsidR="00420901" w:rsidRPr="003B4B66">
        <w:t xml:space="preserve"> είναι να ενισχύσει τη συνεργασία και τον διάλογο με τα θεσμικά και λοιπά όργανα, οργανισμούς και υπηρεσίες της Ένωσης, με απώτερο σκοπό τη μείωση του χρόνου που απαιτείται για τη διεκπεραίωση των ερευνών·</w:t>
      </w:r>
    </w:p>
    <w:p w14:paraId="78997EFF" w14:textId="0503A882" w:rsidR="00420901" w:rsidRPr="003B4B66" w:rsidRDefault="003B4B66" w:rsidP="003B4B66">
      <w:pPr>
        <w:pStyle w:val="NormalHanging12a"/>
        <w:ind w:hanging="570"/>
      </w:pPr>
      <w:r w:rsidRPr="003B4B66">
        <w:t>13.</w:t>
      </w:r>
      <w:r w:rsidRPr="003B4B66">
        <w:tab/>
      </w:r>
      <w:r w:rsidR="00420901" w:rsidRPr="003B4B66">
        <w:t>σημειώνει, όσον αφορά τα πορίσματα, ότι το 2024 ο Διαμεσολαβητής υπέβαλε πρόταση λύσης σε 14 υποθέσεις και συστάσεις σε τρεις υποθέσεις που αφορούσαν την πρόσβαση του κοινού σε έγγραφα· σημειώνει τη βελτίωση όσον αφορά τις θετικές απαντήσεις των θεσμικών και λοιπών οργάνων, οργανισμών και υπηρεσιών της Ένωσης στις προτάσεις του Διαμεσολαβητή για βελτίωση της διοίκησής τους, με συνολικό ποσοστό αποδοχής 82 % το 2024 (έναντι 81 % το 2023), λαμβάνοντας υπόψη ότι αυτό το ποσοστό περιλαμβάνει υποθέσεις που περατώθηκαν το 2023· καλεί τον Διαμεσολαβητή να αναπτύξει ένα στοχευμένο σχέδιο δράσης με σκοπό τον εντοπισμό και την αντιμετώπιση των συνηθέστερων λόγων στους οποίους βασίζονται οι υπόλοιπες μη αποδεκτές προτάσεις και ζητεί από τον Διαμεσολαβητή να συνεχίσει να εργάζεται για την επίτευξη υψηλότερου επιπέδου συμμόρφωσης με τα πορίσματα, τις συστάσεις και τις προτάσεις του·</w:t>
      </w:r>
    </w:p>
    <w:p w14:paraId="33A9F98B" w14:textId="02B56C2D" w:rsidR="00420901" w:rsidRPr="003B4B66" w:rsidRDefault="003B4B66" w:rsidP="003B4B66">
      <w:pPr>
        <w:pStyle w:val="NormalHanging12a"/>
        <w:ind w:hanging="570"/>
      </w:pPr>
      <w:r w:rsidRPr="003B4B66">
        <w:t>14.</w:t>
      </w:r>
      <w:r w:rsidRPr="003B4B66">
        <w:tab/>
      </w:r>
      <w:r w:rsidR="00420901" w:rsidRPr="003B4B66">
        <w:t xml:space="preserve">εκτιμά το γεγονός ότι ο Διαμεσολαβητής συνέχισε να καταβάλλει προσπάθειες το 2024 για την ενίσχυση της ενημέρωσης των πολιτών και της κατανόησης της εντολής του· παρατηρεί με ικανοποίηση, στο πλαίσιο αυτό, μια αύξηση του ποσοστού των καταγγελιών στο πλαίσιο της εντολής του, από 33 % το 2022 και 37 % το 2023 σε 39 % το 2024· σημειώνει περαιτέρω, με βάση την έκθεση παρακολούθησης, ότι ένας από τους νέους στρατηγικούς στόχους της Διαμεσολαβήτριας είναι να δρομολογήσει στοχευμένες δραστηριότητες επικοινωνίας προκειμένου να διασφαλίσει ότι οι πολίτες που χρειάζονται τον Διαμεσολαβητή γνωρίζουν το δικαίωμά τους και χρησιμοποιούν τις υπηρεσίες του· σημειώνει, στο πλαίσιο αυτό, ότι, ως αποτέλεσμα, αναμένεται αύξηση του αριθμού των καταγγελιών, γεγονός που θα οδηγήσει στην ανάγκη επανεξέτασης και προσαρμογής των μεθόδων εργασίας, καθώς και ενίσχυσης της χρήσης ψηφιακών εργαλείων, ιδίως της ΤΝ, προκειμένου να εξορθολογιστεί περαιτέρω η διαδικασία χειρισμού των καταγγελιών· ζητεί από τον Διαμεσολαβητή να αξιολογεί </w:t>
      </w:r>
      <w:r w:rsidR="00420901" w:rsidRPr="003B4B66">
        <w:lastRenderedPageBreak/>
        <w:t>τις δυνητικές επιπτώσεις στον προϋπολογισμό και στους ανθρώπινους πόρους από την αναμενόμενη αύξηση των καταγγελιών και να ενημερώνει την αρμόδια για την απαλλαγή αρχή σχετικά με την πρόοδο που σημειώνεται στο θέμα αυτό·</w:t>
      </w:r>
    </w:p>
    <w:p w14:paraId="1AD71B8C" w14:textId="1E962FD3" w:rsidR="00420901" w:rsidRPr="003B4B66" w:rsidRDefault="003B4B66" w:rsidP="003B4B66">
      <w:pPr>
        <w:pStyle w:val="NormalHanging12a"/>
        <w:ind w:hanging="570"/>
      </w:pPr>
      <w:r w:rsidRPr="003B4B66">
        <w:t>15.</w:t>
      </w:r>
      <w:r w:rsidRPr="003B4B66">
        <w:tab/>
      </w:r>
      <w:r w:rsidR="00420901" w:rsidRPr="003B4B66">
        <w:t>αναγνωρίζει τις προσπάθειες που κατέβαλε και τον θετικό αντίκτυπο που είχε ο Διαμεσολαβητής στους τομείς της δεοντολογίας, της διαφάνειας και της λογοδοσίας το 2024, ιδίως ως αποτέλεσμα ερευνών που αφορούσαν διάφορα θεσμικά και λοιπά όργανα, οργανισμούς και υπηρεσίες της Ένωσης· σημειώνει ότι η συντριπτική πλειονότητα των εν λόγω ερευνών (65 %) αφορούσε την Επιτροπή το 2025·</w:t>
      </w:r>
    </w:p>
    <w:p w14:paraId="4948795D" w14:textId="24D14610" w:rsidR="00420901" w:rsidRPr="003B4B66" w:rsidRDefault="003B4B66" w:rsidP="003B4B66">
      <w:pPr>
        <w:pStyle w:val="NormalHanging12a"/>
        <w:ind w:hanging="570"/>
      </w:pPr>
      <w:bookmarkStart w:id="8" w:name="_Hlk215843998"/>
      <w:r w:rsidRPr="003B4B66">
        <w:t>16.</w:t>
      </w:r>
      <w:r w:rsidRPr="003B4B66">
        <w:tab/>
      </w:r>
      <w:r w:rsidR="00420901" w:rsidRPr="003B4B66">
        <w:t xml:space="preserve">σημειώνει ειδικότερα τις έρευνες του Διαμεσολαβητή: i) για τον τρόπο με τον οποίο το Συμβούλιο και η Επιτροπή χειρίζονται τα αιτήματα πρόσβασης του κοινού σε νομοθετικά έγγραφα (ιδίως όσον αφορά τις εξαιρέσεις για την άρνηση πρόσβασης), λαμβάνοντας υπόψη ότι ο Διαμεσολαβητής κατέληξε στο συμπέρασμα ότι σε πολλές περιπτώσεις τα δύο θεσμικά όργανα εφάρμοζαν υπερβολικά διασταλτικά τις εξαιρέσεις βάσει του δικαίου της Ένωσης για την πρόσβαση σε έγγραφα, χρησιμοποιώντας σκεπτικό που είχε ήδη απορριφθεί από το ΔΕΕ, </w:t>
      </w:r>
      <w:proofErr w:type="spellStart"/>
      <w:r w:rsidR="00420901" w:rsidRPr="003B4B66">
        <w:t>ii</w:t>
      </w:r>
      <w:proofErr w:type="spellEnd"/>
      <w:r w:rsidR="00420901" w:rsidRPr="003B4B66">
        <w:t xml:space="preserve">) για τις αρνήσεις της Επιτροπής να χορηγήσει πρόσβαση σε έγγραφα που αφορούν την αναθεώρηση των κανόνων της Ένωσης σχετικά με τις πληροφορίες για τα τρόφιμα, και να παράσχει πρόσβαση στις παρατηρήσεις των ενδιαφερόμενων μερών και των κρατών μελών σχετικά με το «νομοθέτημα για την αποκατάσταση της φύσης» της Ένωσης, και </w:t>
      </w:r>
      <w:proofErr w:type="spellStart"/>
      <w:r w:rsidR="00420901" w:rsidRPr="003B4B66">
        <w:t>iii</w:t>
      </w:r>
      <w:proofErr w:type="spellEnd"/>
      <w:r w:rsidR="00420901" w:rsidRPr="003B4B66">
        <w:t>) για την αδυναμία της Επιτροπής να εντοπίσει έγγραφα που καλύπτουν επικοινωνίες με κράτη μέλη ή εσωτερικές επικοινωνίες σε σχέση με την προετοιμασία συνεδριάσεων υψηλού επιπέδου για το μνημόνιο συνεννόησης σχετικά με μια στρατηγική και συνολική εταιρική σχέση μεταξύ της Ένωσης και της Τυνησίας·</w:t>
      </w:r>
    </w:p>
    <w:bookmarkEnd w:id="8"/>
    <w:p w14:paraId="7C64C4C4" w14:textId="40129B01" w:rsidR="00420901" w:rsidRPr="003B4B66" w:rsidRDefault="003B4B66" w:rsidP="003B4B66">
      <w:pPr>
        <w:pStyle w:val="NormalHanging12a"/>
        <w:ind w:hanging="570"/>
      </w:pPr>
      <w:r w:rsidRPr="003B4B66">
        <w:t>17.</w:t>
      </w:r>
      <w:r w:rsidRPr="003B4B66">
        <w:tab/>
      </w:r>
      <w:r w:rsidR="00420901" w:rsidRPr="003B4B66">
        <w:t>εκφράζει την ικανοποίησή του για τις έρευνες που διεξήγαγε ο Διαμεσολαβητής το 2024 στον τομέα της δεοντολογίας· σημειώνει ειδικότερα μια υπόθεση μεταπήδησης από τον δημόσιο στον ιδιωτικό τομέα που αφορά δύο πρώην μέλη του προσωπικού του Οργανισμού της Ευρωπαϊκής Ένωσης για τη Συνεργασία στον Τομέα της Επιβολής του Νόμου (Ευρωπόλ), μια έρευνα που βασίστηκε σε καταγγελία επί παραβάσει σχετικά με εικαζόμενη σύγκρουση συμφερόντων στην οποία εμπλεκόταν ο Επίτροπος Γεωργίας και μια έρευνα για τον τρόπο με τον οποίο η Επιτροπή διασφαλίζει ότι δεν υπάρχουν συγκρούσεις συμφερόντων με τους εμπειρογνώμονες που την επικουρούν στην αξιολόγηση των προτάσεων που πρόκειται να χρηματοδοτηθούν στο πλαίσιο του Ευρωπαϊκού Ταμείου Άμυνας·</w:t>
      </w:r>
    </w:p>
    <w:p w14:paraId="40DD8731" w14:textId="6C490FCD" w:rsidR="00420901" w:rsidRPr="003B4B66" w:rsidRDefault="003B4B66" w:rsidP="003B4B66">
      <w:pPr>
        <w:pStyle w:val="NormalHanging12a"/>
        <w:ind w:hanging="570"/>
      </w:pPr>
      <w:r w:rsidRPr="003B4B66">
        <w:t>18.</w:t>
      </w:r>
      <w:r w:rsidRPr="003B4B66">
        <w:tab/>
      </w:r>
      <w:r w:rsidR="00420901" w:rsidRPr="003B4B66">
        <w:t xml:space="preserve">σημειώνει, με βάση την έκθεση παρακολούθησης, ότι ο Διαμεσολαβητής συνέχισε να παρακολουθεί ζητήματα που σχετίζονται με τη διαφάνεια και τη λογοδοσία και συνδέονται με τον Μηχανισμό Ανάκαμψης και Ανθεκτικότητας (ΜΑΑ), στο πλαίσιο του χειρισμού καταγγελιών στον τομέα της πρόσβασης του κοινού σε έγγραφα, κυρίως όσον αφορά τις διαπραγματεύσεις για τα εθνικά σχέδια ανάκαμψης και ανθεκτικότητας (ΣΑΑ)· σημειώνει με ανησυχία, μεταξύ των ζητημάτων αυτών, τις σημαντικές καθυστερήσεις που αντιμετώπισε η Επιτροπή όσον αφορά τις απαντήσεις σε αιτήματα για πρόσβαση σε πληροφορίες, καθώς και το επίπεδο πρόσβασης που χορηγήθηκε, ζητήματα τα οποία είναι πιθανό να διαβρώσουν την εμπιστοσύνη των πολιτών στη διοίκηση της Ένωσης· εκτιμά το γεγονός ότι η Επιτροπή, σε υπόθεση που αφορούσε το ολλανδικό ΣΑΑ, μετά την πρόταση λύσης του Διαμεσολαβητή, χορήγησε ευρύτερη πρόσβαση σε 172 έγγραφα· καταδικάζει απερίφραστα, ωστόσο, το γεγονός ότι η Επιτροπή χρειάστηκε 21 μήνες για να απαντήσει στην επιβεβαιωτική αίτηση του καταγγέλλοντος (δημοσιογράφου), δηλαδή τον Ιούλιο του 2024, όταν η χορηγηθείσα </w:t>
      </w:r>
      <w:r w:rsidR="00420901" w:rsidRPr="003B4B66">
        <w:lastRenderedPageBreak/>
        <w:t xml:space="preserve">πρόσβαση σε έγγραφα δεν ήταν πλέον χρήσιμη για τον επιδιωκόμενο σκοπό· συμφωνεί ότι σε θέματα σημαντικού δημόσιου συμφέροντος, όπως ο ΜΑΑ, δεν θα πρέπει να υπάρχουν σημαντικές καθυστερήσεις στην παροχή πρόσβασης σε έγγραφα και θεωρεί ότι οι καθυστερήσεις αυτές ισοδυναμούν με άρνηση διαφάνειας και αποδυναμώνουν τον δημοκρατικό έλεγχο· συμμερίζεται την άποψη της Διαμεσολαβήτριας ότι η Επιτροπή θα πρέπει να εξετάζει προσεκτικά την ύπαρξη υπερισχύοντος δημόσιου συμφέροντος κατά την εφαρμογή των εξαιρέσεων όσον αφορά την πρόσβαση του κοινού δυνάμει του κανονισμού </w:t>
      </w:r>
      <w:r w:rsidR="005822CB">
        <w:t>(ΕΚ) αριθ. </w:t>
      </w:r>
      <w:r w:rsidR="00420901" w:rsidRPr="003B4B66">
        <w:t>1049/2001</w:t>
      </w:r>
      <w:r w:rsidR="00420901" w:rsidRPr="003B4B66">
        <w:rPr>
          <w:rStyle w:val="FootnoteReference"/>
        </w:rPr>
        <w:footnoteReference w:id="10"/>
      </w:r>
      <w:r w:rsidR="00420901" w:rsidRPr="003B4B66">
        <w:t>· καλεί τον Διαμεσολαβητή να ενημερώνει τις αρμόδιες επιτροπές του Κοινοβουλίου όταν η καθυστέρηση της Επιτροπής όσον αφορά τα έγγραφα σχετικά με τον ΜΑΑ είναι υπερβολικά μεγάλη, ώστε να καθίσταται δυνατός ο έγκαιρος πολιτικός έλεγχος· καλεί, επιπλέον, τον Διαμεσολαβητή να συνεχίσει να δίνει προτεραιότητα στο συστημικό έργο σχετικά με τις αδικαιολόγητες καθυστερήσεις στις διαδικασίες πρόσβασης στα έγγραφα, μεταξύ άλλων εντοπίζοντας επαναλαμβανόμενα διοικητικά εμπόδια και ορθές πρακτικές σε όλα τα θεσμικά και λοιπά όργανα, οργανισμούς ή υπηρεσίες· υποστηρίζει τον Διαμεσολαβητή στην προώθηση της συνεπούς εφαρμογής του κριτηρίου «υπερισχύοντος δημοσίου συμφέροντος», ιδίως για φακέλους υψηλού αντικτύπου, με σκοπό η πρόσβαση να παρέχεται εγκαίρως ώστε να είναι ουσιαστική για τους σκοπούς του δημόσιου ελέγχου·</w:t>
      </w:r>
    </w:p>
    <w:p w14:paraId="0D984389" w14:textId="278A55D7" w:rsidR="00420901" w:rsidRPr="003B4B66" w:rsidRDefault="003B4B66" w:rsidP="003B4B66">
      <w:pPr>
        <w:pStyle w:val="NormalHanging12a"/>
        <w:ind w:hanging="570"/>
      </w:pPr>
      <w:r w:rsidRPr="003B4B66">
        <w:t>19.</w:t>
      </w:r>
      <w:r w:rsidRPr="003B4B66">
        <w:tab/>
      </w:r>
      <w:r w:rsidR="00420901" w:rsidRPr="003B4B66">
        <w:t>υπενθυμίζει ότι, σύμφωνα με τον Διαμεσολαβητή, οι περιορισμοί στην πρόσβαση στα έγγραφα, ιδίως στα νομοθετικά έγγραφα, θα πρέπει να είναι έκτακτοι και να περιορίζονται στους απολύτως αναγκαίους· υπενθυμίζει επίσης ότι κάθε απόφαση απόρριψης της πρόσβασης του κοινού σε έγγραφα πρέπει να στηρίζεται σε σαφώς και αυστηρώς καθορισμένες από τον νόμο εξαιρέσεις και να συνοδεύεται από εύλογη και συγκεκριμένη αιτιολόγηση, ώστε να μπορούν οι πολίτες να κατανοούν την άρνηση της πρόσβασης και να αξιοποιούν αποτελεσματικά τα διαθέσιμα ένδικα μέσα· θεωρεί ότι μια πιο προορατική προσέγγιση θα συμβάλει στη διασφάλιση ουσιαστικής διαφάνειας και στην πρόληψη δαπανηρών και επαχθών νομικών διαφορών μεταξύ πολιτών και θεσμικών οργάνων</w:t>
      </w:r>
      <w:r w:rsidR="00420901" w:rsidRPr="003B4B66">
        <w:rPr>
          <w:rStyle w:val="FootnoteReference"/>
        </w:rPr>
        <w:footnoteReference w:id="11"/>
      </w:r>
      <w:r w:rsidR="00420901" w:rsidRPr="003B4B66">
        <w:t>· ενθαρρύνει τον Διαμεσολαβητή να προωθήσει περαιτέρω προορατικές πρακτικές δημοσίευσης, ιδίως για τα νομοθετικά έγγραφα και τα έγγραφα διαμόρφωσης πολιτικής, προκειμένου να ενισχυθεί η διαφάνεια ήδη από τον σχεδιασμό και να μειωθεί ο διοικητικός φόρτος και ο κίνδυνος δικαστικών διαφορών που συνδέονται με επαναλαμβανόμενα αιτήματα πρόσβασης σε έγγραφα·</w:t>
      </w:r>
    </w:p>
    <w:p w14:paraId="2563A55B" w14:textId="7B19CAE9" w:rsidR="00420901" w:rsidRPr="003B4B66" w:rsidRDefault="003B4B66" w:rsidP="003B4B66">
      <w:pPr>
        <w:pStyle w:val="NormalHanging12a"/>
        <w:ind w:hanging="570"/>
        <w:rPr>
          <w:b/>
          <w:bCs/>
        </w:rPr>
      </w:pPr>
      <w:r w:rsidRPr="003B4B66">
        <w:t>20.</w:t>
      </w:r>
      <w:r w:rsidRPr="003B4B66">
        <w:tab/>
      </w:r>
      <w:r w:rsidR="00420901" w:rsidRPr="003B4B66">
        <w:t xml:space="preserve">υπενθυμίζει ότι ο εσωτερικός ελεγκτής προέβη σε επανεξέταση του πλαισίου διαχείρισης κινδύνων του Διαμεσολαβητή, με σχέδιο δράσης εννέα σημείων που συμφωνήθηκε να τεθεί σε εφαρμογή έως το τέλος του 2024· σημειώνει, με βάση το ερωτηματολόγιο και την έκθεση παρακολούθησης, ότι έχουν υλοποιηθεί όλες οι δράσεις, συμπεριλαμβανομένης της έγκρισης νέας μεθοδολογίας εκτίμησης κινδύνου· καλεί τον Διαμεσολαβητή να τηρεί ενήμερη την αρμόδια για την απαλλαγή αρχή σχετικά με το αποτέλεσμα της επανεξέτασης του εσωτερικού ελεγκτή όσον αφορά την εφαρμογή του εν λόγω σχεδίου δράσης· ζητεί από τον Διαμεσολαβητή να τηρεί επίσης ενήμερη την αρμόδια για την απαλλαγή αρχή σχετικά με τη συνέχεια που δίνεται στις συστάσεις που διατυπώνονται στις εκθέσεις εσωτερικού ελέγχου 20/04 (σχετικά με την </w:t>
      </w:r>
      <w:r w:rsidR="00420901" w:rsidRPr="003B4B66">
        <w:lastRenderedPageBreak/>
        <w:t>ασφάλεια των πληροφοριακών συστημάτων), 21/03 (σχετικά με το πλαίσιο προστασίας των δεδομένων) και 22/03 (σχετικά με το δεοντολογικό πλαίσιο)·</w:t>
      </w:r>
    </w:p>
    <w:p w14:paraId="7ACB4B94" w14:textId="77777777" w:rsidR="00420901" w:rsidRPr="003B4B66" w:rsidRDefault="00420901" w:rsidP="00420901">
      <w:pPr>
        <w:pStyle w:val="NormalHanging12a"/>
        <w:rPr>
          <w:b/>
          <w:i/>
        </w:rPr>
      </w:pPr>
      <w:r w:rsidRPr="003B4B66">
        <w:rPr>
          <w:b/>
          <w:i/>
        </w:rPr>
        <w:t>Ανθρώπινοι πόροι, ισότητα και ευημερία του προσωπικού</w:t>
      </w:r>
    </w:p>
    <w:p w14:paraId="641F5D75" w14:textId="21E369E7" w:rsidR="00420901" w:rsidRPr="003B4B66" w:rsidRDefault="003B4B66" w:rsidP="003B4B66">
      <w:pPr>
        <w:pStyle w:val="NormalHanging12a"/>
        <w:ind w:hanging="570"/>
      </w:pPr>
      <w:bookmarkStart w:id="9" w:name="_Hlk215163299"/>
      <w:r w:rsidRPr="003B4B66">
        <w:t>21.</w:t>
      </w:r>
      <w:r w:rsidRPr="003B4B66">
        <w:tab/>
      </w:r>
      <w:r w:rsidR="00420901" w:rsidRPr="003B4B66">
        <w:t>σημειώνει μείωση κατά 4,90 % του συνολικού αριθμού των μελών του προσωπικού του Διαμεσολαβητή από 82 το 2023 σε 78 το 2024· σημειώνει περαιτέρω ότι, το 2024, ο Διαμεσολαβητής απασχολούσε 46 υπαλλήλους, έναντι 40 το 2023 αντίστοιχα, και 9 συμβασιούχους υπαλλήλους, όπως και το 2023· σημειώνει μια ελαφρά μείωση του ποσοστού του προσωπικού που εργάζεται για την κύρια δραστηριότητα του Διαμεσολαβητή (καταγγελίες και έρευνες), από 42,68 % το 2023 σε 42,30 % το 2024· σημειώνει επίσης ότι το ποσοστό κάλυψης του προσωπικού αυξήθηκε από 95 % το 2023 σε 97 % το 2024 και ότι το ποσοστό εναλλαγής προσωπικού αυξήθηκε από 5,20 % το 2023 σε 6,40 % το 2024·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 υπογραμμίζει ότι η μείωση του αριθμού του προσωπικού σε βασικούς επιχειρησιακούς τομείς και η σημαντική εξάρτηση από συμβάσεις ορισμένου χρόνου ενδέχεται να μειώσουν τη θεσμική μνήμη και την αποτελεσματικότητα του Διαμεσολαβητή·</w:t>
      </w:r>
    </w:p>
    <w:p w14:paraId="2251328A" w14:textId="3B8CC161" w:rsidR="00420901" w:rsidRPr="003B4B66" w:rsidRDefault="003B4B66" w:rsidP="003B4B66">
      <w:pPr>
        <w:pStyle w:val="NormalHanging12a"/>
        <w:ind w:hanging="570"/>
      </w:pPr>
      <w:r w:rsidRPr="003B4B66">
        <w:t>22.</w:t>
      </w:r>
      <w:r w:rsidRPr="003B4B66">
        <w:tab/>
      </w:r>
      <w:r w:rsidR="00420901" w:rsidRPr="003B4B66">
        <w:t>υπενθυμίζει ότι η θέση του γενικού γραμματέα του Διαμεσολαβητή είναι κενή για περισσότερα από δύο έτη, από την 1η Σεπτεμβρίου 2022· σημειώνει ότι ο Διαμεσολαβητής, μετά από επανειλημμένες εκκλήσεις του Κοινοβουλίου για την πλήρωση αυτής της κενής θέσης, δρομολόγησε διοργανική διαδικασία για την πρόσληψη του νέου γενικού γραμματέα του με τη δημοσίευση πρόσκλησης εκδήλωσης ενδιαφέροντος (αριθ. OMB/2/2025) στις 30 Ιουνίου 2025, η οποία απέφερε 14 επιλέξιμες αιτήσεις· σημειώνει περαιτέρω ότι η διαδικασία επιλογής ολοκληρώθηκε το 2025 και επιλέχθηκε νέος γενικός γραμματέας, που προβλέπεται να αναλάβει τα καθήκοντά του την 1η Ιανουαρίου 2026· σημειώνει ότι, στην περίπτωση αυτή, η εξεταστική επιτροπή απαρτιζόταν από τρία άτομα, ένα από τα οποία ήταν η ίδια η Διαμεσολαβήτρια και άλλα δύο εξωτερικά μέλη, τα οποία συμμετείχαν στην αξιολόγηση της επιλεξιμότητας των αιτήσεων και στις συνεντεύξεις· σημειώνει ότι η Διαμεσολαβήτρια είναι της άποψης ότι ο διορισμός των εν λόγω δύο μελών και η συμμετοχή ανώτερων στελεχών του προσωπικού αποτέλεσαν σημαντικές διασφαλίσεις σε ολόκληρη τη διαδικασία, διασφαλίζοντας την ακεραιότητα και τη νομιμότητα της διαδικασίας επιλογής· πιστεύει ότι, ανεξάρτητα από την πείρα του ως υπαλλήλου της Ένωσης επί 30 έτη, εκ των οποίων τα 10 ως διοικητικό στέλεχος, το γεγονός ότι ο επιλεγείς γενικός γραμματέας είχε προηγουμένως υπηρετήσει ως προϊστάμενος του ιδιαίτερου γραφείου της νυν Διαμεσολαβήτριας θα μπορούσε να οδηγήσει σε υποψίες περί σύγκρουσης συμφερόντων, ακόμη και αν η εν λόγω διαδικασία διεξήχθη σε πλήρη συμμόρφωση με το ισχύον πλαίσιο·</w:t>
      </w:r>
      <w:bookmarkEnd w:id="9"/>
      <w:r w:rsidR="00420901" w:rsidRPr="003B4B66">
        <w:t xml:space="preserve"> καλεί τη Διαμεσολαβήτρια, ενόψει των μελλοντικών διαδικασιών, να συνεχίσει να εξετάζει τρόπους ενίσχυσης των διασφαλίσεων στις διαδικασίες επιλογής και τις αποφάσεις διορισμού, ώστε να αποφευχθεί κάθε υποψία σύγκρουσης συμφερόντων ή ευνοιοκρατίας και να διασφαλιστούν πλήρεις εγγυήσεις δικαιοσύνης και διαφάνειας·</w:t>
      </w:r>
    </w:p>
    <w:p w14:paraId="200C943A" w14:textId="6665E677" w:rsidR="00420901" w:rsidRPr="003B4B66" w:rsidRDefault="003B4B66" w:rsidP="003B4B66">
      <w:pPr>
        <w:pStyle w:val="NormalHanging12a"/>
        <w:ind w:hanging="570"/>
      </w:pPr>
      <w:bookmarkStart w:id="10" w:name="_Hlk215830609"/>
      <w:r w:rsidRPr="003B4B66">
        <w:t>23.</w:t>
      </w:r>
      <w:r w:rsidRPr="003B4B66">
        <w:tab/>
      </w:r>
      <w:r w:rsidR="00420901" w:rsidRPr="003B4B66">
        <w:t xml:space="preserve">σημειώνει ότι, μετά την ακρόαση της Διαμεσολαβήτριας κατά τη συνεδρίαση της Επιτροπής Ελέγχου του Προϋπολογισμού του Κοινοβουλίου στις 6 Νοεμβρίου 2025, τα μέλη της Επιτροπής Ελέγχου του Προϋπολογισμού του Κοινοβουλίου υπέβαλαν σειρά γραπτών επακόλουθων ερωτήσεων σχετικά με την επιλογή του νέου γενικού γραμματέα (OMB/2/2025) στις 18 Νοεμβρίου 2025, στις οποίες η Διαμεσολαβήτρια απάντησε στις </w:t>
      </w:r>
      <w:r w:rsidR="00420901" w:rsidRPr="003B4B66">
        <w:lastRenderedPageBreak/>
        <w:t xml:space="preserve">21 Νοεμβρίου 2025· διαφωνεί, στο πλαίσιο αυτό, με την άποψη της Διαμεσολαβήτριας ότι έχει εν προκειμένω εφαρμογή η νομολογία </w:t>
      </w:r>
      <w:proofErr w:type="spellStart"/>
      <w:r w:rsidR="00420901" w:rsidRPr="003B4B66">
        <w:t>Meroni</w:t>
      </w:r>
      <w:proofErr w:type="spellEnd"/>
      <w:r w:rsidR="00420901" w:rsidRPr="003B4B66">
        <w:t xml:space="preserve"> (C-9/56 και C-10/56), δεδομένου ότι αυτή δεν αφορά τη μεταβίβαση εξουσιών σε θέματα προσωπικού (όπως η επιλογή μέλους του προσωπικού), αλλά μάλλον τη μεταβίβαση διακριτικών εξουσιών σε εξωτερικές/ιδιωτικές αρχές· τονίζει ότι το Κοινοβούλιο δεν απαιτεί από τη Διαμεσολαβήτρια, ως αρμόδια για τους διορισμούς αρχή, να μεταβιβάσει τα δικαιώματα και τις υποχρεώσεις της, αλλά διερωτάται για την παρουσία της στην εξεταστική επιτροπή, δεδομένου ότι το ενωσιακό δίκαιο δεν απαιτεί από την αρμόδια για τους διορισμούς αρχή να είναι μέλος της εξεταστικής επιτροπής· υπογραμμίζει ότι, με τη λήψη τελικής απόφασης, η οποία αποτελεί καθήκον της αρμόδιας για τους διορισμούς αρχής, η εν λόγω αρχή επιβεβαιώνει επίσης ότι ολόκληρη η διαδικασία επιλογής ήταν νόμιμη, συμπεριλαμβανομένης της συμμόρφωσης του υποψηφίου με όλα τα κριτήρια παραδεκτού και επιλεξιμότητας· σημειώνει, ωστόσο, ότι ο ρόλος αυτός μπορεί να φαίνεται λιγότερο διακριτός όταν η αρμόδια για τους διορισμούς αρχή έχει επίσης προεδρεύσει της εξεταστικής επιτροπής σε ορισμένα στάδια της διαδικασίας επιλογής, όπως συνέβη στην προκείμενη διαδικασία· κατανοεί, ωστόσο, ότι η Διαμεσολαβήτρια, ως κάτοχος του αξιώματος, μπορεί να χρειάζεται να συμμετέχει στα τελευταία στάδια ορισμένων διαδικασιών επιλογής· σημειώνει την εξήγηση της Διαμεσολαβήτριας ότι οι νομικοί περιορισμοί που σχετίζονται με την εμπιστευτικότητα και αποσκοπούν στη διασφάλιση της ανεξαρτησίας και της ακεραιότητας της διαδικασίας επιλογής περιορίζουν τις δυνατότητες κοινοποίησης των εγγράφων που σχετίζονται με τον έλεγχο επιλεξιμότητας στην αρμόδια για την απαλλαγή αρχή· υπενθυμίζει, ωστόσο, το δικαίωμα του Κοινοβουλίου να λαμβάνει τις πληροφορίες που είναι αναγκαίες για την απαλλαγή και υπογραμμίζει ότι η παροχή των πληροφοριών αυτών δεν συνεπάγεται τη δημοσιοποίησή τους, τονίζει δε ότι το Κοινοβούλιο διαθέτει επαρκείς διασφαλίσεις για τον ασφαλή χειρισμό ευαίσθητου υλικού· καλεί, υπό το πρίσμα των ανωτέρω, τη Διαμεσολαβήτρια να εξετάσει περαιτέρω το αίτημα του Κοινοβουλίου και να παράσχει στην αρμόδια για την απαλλαγή αρχή όλα τα έγγραφα που αφορούν τους ελέγχους επιλεξιμότητας, την αξιολόγηση των αιτήσεων, τις πραγματικές συνεντεύξεις των επικρατέστερων υποψηφίων με την εξεταστική επιτροπή και τη διμερή συνέντευξη με τη Διαμεσολαβήτρια στο πλαίσιο της διαδικασίας επιλογής του γενικού γραμματέα του Διαμεσολαβητή (OMB/2/2025)· ενθαρρύνει τη Διαμεσολαβήτρια να εξετάσει το ενδεχόμενο διεξαγωγής εσωτερικής εκ των υστέρων διαβούλευσης σχετικά με τις εξαιρετικά ενδελεχείς διαδικασίες διορισμού, με σκοπό τον προσδιορισμό των διδαγμάτων που αντλήθηκαν και πιθανών βελτιώσεων για τις μελλοντικές διαδικασίες, και να ενημερώσει την αρμόδια για την απαλλαγή αρχή σχετικά με τα αποτελέσματα·</w:t>
      </w:r>
    </w:p>
    <w:bookmarkEnd w:id="10"/>
    <w:p w14:paraId="1D9F4279" w14:textId="05033070" w:rsidR="00420901" w:rsidRPr="003B4B66" w:rsidRDefault="003B4B66" w:rsidP="003B4B66">
      <w:pPr>
        <w:pStyle w:val="NormalHanging12a"/>
        <w:ind w:hanging="570"/>
      </w:pPr>
      <w:r w:rsidRPr="003B4B66">
        <w:t>24.</w:t>
      </w:r>
      <w:r w:rsidRPr="003B4B66">
        <w:tab/>
      </w:r>
      <w:r w:rsidR="00420901" w:rsidRPr="003B4B66">
        <w:t xml:space="preserve">υπογραμμίζει ότι ο Διαμεσολαβητής έχει τον ρόλο να προωθεί τη χρηστή διοίκηση, μεταξύ άλλων εξασφαλίζοντας ότι το δεοντολογικό πλαίσιο όλων των θεσμικών και λοιπών οργάνων, οργανισμών και υπηρεσιών της Ένωσης είναι ισχυρό και ικανό να διασφαλίζει τη διαφάνεια και τη λογοδοσία· πιστεύει ακράδαντα ότι ο Διαμεσολαβητής πρέπει να πληροί τα υψηλότερα πρότυπα ανεξαρτησίας, αμεροληψίας και ακεραιότητας, και ότι πρέπει να αποφεύγεται κάθε αντίληψη ευνοιοκρατίας ή σύγκρουσης συμφερόντων, δεδομένου ότι οι αντιλήψεις αυτές θα μπορούσαν να υπονομεύσουν την αξιοπιστία και την αποστολή του Διαμεσολαβητή και την εμπιστοσύνη των πολιτών της Ένωσης· υπενθυμίζει ότι, καθώς η Ένωση έχει αναθέσει στον Διαμεσολαβητή την προώθηση δεοντολογικών προτύπων και μιας χρηστής διοίκησης, αναμένεται από τον Διαμεσολαβητή να εφαρμόζει ιδιαίτερα αυστηρά πρότυπα στη διακυβέρνησή του και στους διορισμούς ανώτερων υπαλλήλων, </w:t>
      </w:r>
      <w:r w:rsidR="00420901" w:rsidRPr="003B4B66">
        <w:lastRenderedPageBreak/>
        <w:t>αποτελώντας έτσι σημείο αναφοράς για τα άλλα θεσμικά και λοιπά όργανα, οργανισμούς και υπηρεσίες·</w:t>
      </w:r>
    </w:p>
    <w:p w14:paraId="01C5E7CA" w14:textId="7D822645" w:rsidR="00420901" w:rsidRPr="003B4B66" w:rsidRDefault="003B4B66" w:rsidP="003B4B66">
      <w:pPr>
        <w:pStyle w:val="NormalHanging12a"/>
        <w:ind w:hanging="570"/>
      </w:pPr>
      <w:r w:rsidRPr="003B4B66">
        <w:t>25.</w:t>
      </w:r>
      <w:r w:rsidRPr="003B4B66">
        <w:tab/>
      </w:r>
      <w:r w:rsidR="00420901" w:rsidRPr="003B4B66">
        <w:t>σημειώνει ότι, παρόλο που ανήκει στα μικρά θεσμικά και λοιπά όργανα, οργανισμούς και υπηρεσίες της Ένωσης, ο Διαμεσολαβητής κατάφερε να εκπροσωπούνται 19 εθνικότητες στο προσωπικό του το 2024, ίδιος αριθμός με το 2023· παρατηρεί, ωστόσο, υπερεκπροσώπηση ορισμένων εθνικοτήτων (μία από τις οποίες αντιπροσωπεύει πάνω από το 30 % του προσωπικού του Διαμεσολαβητή)· τονίζει ότι, δεδομένου του σχετικά μικρού μεγέθους του, μια τόσο υψηλή συγκέντρωση μίας μόνο ιθαγένειας θα μπορούσε να επηρεάσει τη διοργανική αντίληψη για την πολυμορφία του οργάνου· καλεί τον Διαμεσολαβητή να εγκρίνει στοχευμένα μέτρα πρόσληψης και προβολής που απευθύνονται ειδικά σε υποεκπροσωπούμενα κράτη μέλη, προκειμένου να διασφαλιστεί ότι το αξίωμα εξακολουθεί να αντικατοπτρίζει την πολυμορφία της Ένωσης·</w:t>
      </w:r>
    </w:p>
    <w:p w14:paraId="2059DCF8" w14:textId="1811CA14" w:rsidR="00420901" w:rsidRPr="003B4B66" w:rsidRDefault="003B4B66" w:rsidP="003B4B66">
      <w:pPr>
        <w:pStyle w:val="NormalHanging12a"/>
        <w:ind w:hanging="570"/>
      </w:pPr>
      <w:r w:rsidRPr="003B4B66">
        <w:t>26.</w:t>
      </w:r>
      <w:r w:rsidRPr="003B4B66">
        <w:tab/>
      </w:r>
      <w:r w:rsidR="00420901" w:rsidRPr="003B4B66">
        <w:t>σημειώνει ότι, όσον αφορά την ισόρροπη εκπροσώπηση των φύλων, ο Διαμεσολαβητής απασχολεί περισσότερες γυναίκες από ό,τι άνδρες σε όλες τις κατηγορίες προσωπικού, ιδίως σε επίπεδο διοικητικών στελεχών, όπου όλες οι θέσεις καλύπτονται από γυναίκες· σημειώνει ότι η συνολική εκπροσώπηση του προσωπικού ήταν 68 % γυναίκες και 32 % άνδρες, σε σύγκριση με 67 % γυναίκες και 33 % άνδρες το 2023· καλεί τον Διαμεσολαβητή να καταβάλει προσπάθειες για μια περισσότερο ισόρροπη εκπροσώπηση των φύλων στο προσωπικό του· παροτρύνει τον Διαμεσολαβητή να αναπτύξει στρατηγική για να αντιμετωπιστεί το γεγονός ότι, επί του παρόντος, οι άνδρες απουσιάζουν πλήρως από διευθυντικές θέσεις· πιστεύει ότι, για να διατηρηθεί ένα ισόρροπο συμπεριληπτικό εργασιακό περιβάλλον σε όλα τα επίπεδα της ιεραρχίας, είναι απαραίτητο να διασφαλιστεί ότι ο Διαμεσολαβητής θα αντικατοπτρίζει καλύτερα την πολυμορφία των πολιτών της Ένωσης·</w:t>
      </w:r>
    </w:p>
    <w:p w14:paraId="327ECC7F" w14:textId="7BE194AE" w:rsidR="00420901" w:rsidRPr="003B4B66" w:rsidRDefault="003B4B66" w:rsidP="003B4B66">
      <w:pPr>
        <w:pStyle w:val="NormalHanging12a"/>
        <w:ind w:hanging="570"/>
      </w:pPr>
      <w:r w:rsidRPr="003B4B66">
        <w:t>27.</w:t>
      </w:r>
      <w:r w:rsidRPr="003B4B66">
        <w:tab/>
      </w:r>
      <w:r w:rsidR="00420901" w:rsidRPr="003B4B66">
        <w:t>σημειώνει ότι ο Διαμεσολαβητής καταβάλλει προσπάθειες προκειμένου να διασφαλίσει τη σωματική και ψυχική ευεξία του προσωπικού του στην εργασία και δίνει έμφαση στην ενίσχυση του ομαδικού πνεύματος· σημειώνει, στο πλαίσιο αυτό, ότι η Διαμεσολαβήτρια διοργάνωσε το 2024 προγράμματα κατάρτισης, ορισμένα από τα οποία ήταν υποχρεωτικά, σχετικά με την επίλυση συγκρούσεων, την παροχή και λήψη ανατροφοδότησης, την αναπηρία και την ένταξη, καθώς και σχετικά με τις πρώτες βοήθειες· σημειώνει ότι η Διαμεσολαβήτρια ενέκρινε πολιτική για τη γονική άδεια το 20</w:t>
      </w:r>
      <w:r w:rsidR="00C17880" w:rsidRPr="003B4B66">
        <w:t>0</w:t>
      </w:r>
      <w:r w:rsidR="00420901" w:rsidRPr="003B4B66">
        <w:t>4, η οποία, σε συνδυασμό με την πολιτική της για τον χρόνο εργασίας και την υβριδική εργασία που εγκρίθηκε το 2021, παρέχει ευέλικτες εργασιακές ρυθμίσεις που χρησιμοποιούνται και εκτιμώνται από το προσωπικό· σημειώνει ότι το 2024 η ιατρική υπηρεσία του Κοινοβουλίου δεν ειδοποίησε τη Διαμεσολαβήτρια για καμία μακροχρόνια ασθένεια που προκλήθηκε από επαγγελματική εξουθένωση·</w:t>
      </w:r>
    </w:p>
    <w:p w14:paraId="4577E9AC" w14:textId="7343675F" w:rsidR="00420901" w:rsidRPr="003B4B66" w:rsidRDefault="003B4B66" w:rsidP="003B4B66">
      <w:pPr>
        <w:pStyle w:val="NormalHanging12a"/>
        <w:ind w:hanging="570"/>
      </w:pPr>
      <w:r w:rsidRPr="003B4B66">
        <w:t>28.</w:t>
      </w:r>
      <w:r w:rsidRPr="003B4B66">
        <w:tab/>
      </w:r>
      <w:r w:rsidR="00420901" w:rsidRPr="003B4B66">
        <w:t>σημειώνει με ικανοποίηση, με βάση το ερωτηματολόγιο, ότι το 2024 δεν αναφέρθηκαν περιπτώσεις παρενόχλησης· αναγνωρίζει τις προσπάθειες που καταβάλλει η Διαμεσολαβήτρια για την παροχή ενός εργασιακού περιβάλλοντος απαλλαγμένου από σεξουαλική και ψυχολογική παρενόχληση, ιδίως μέσω της ευαισθητοποίησης και της κατάρτισης· σημειώνει περαιτέρω ότι η Διαμεσολαβήτρια διεξήγαγε έρευνα που επικεντρώθηκε στην ευαισθητοποίηση του προσωπικού σε θέματα δεοντολογίας, η οποία κατέδειξε υψηλά επίπεδα ευαισθητοποίησης του προσωπικού σχετικά με την πολιτική και τις κατευθυντήριες γραμμές του Διαμεσολαβητή για την ψυχολογική και σεξουαλική παρενόχληση·</w:t>
      </w:r>
    </w:p>
    <w:p w14:paraId="244C348B" w14:textId="6A0C41C1" w:rsidR="00420901" w:rsidRPr="003B4B66" w:rsidRDefault="003B4B66" w:rsidP="003B4B66">
      <w:pPr>
        <w:pStyle w:val="NormalHanging12a"/>
        <w:ind w:hanging="570"/>
      </w:pPr>
      <w:r w:rsidRPr="003B4B66">
        <w:lastRenderedPageBreak/>
        <w:t>29.</w:t>
      </w:r>
      <w:r w:rsidRPr="003B4B66">
        <w:tab/>
      </w:r>
      <w:r w:rsidR="00420901" w:rsidRPr="003B4B66">
        <w:t>σημειώνει ότι η Διαμεσολαβήτρια υποδέχθηκε 18 αμειβόμενους ασκούμενους το 2024 (τον ίδιο αριθμό με το 2023), ένας από τους οποίους επιλέχθηκε στο πλαίσιο του αξιέπαινου προγράμματος πρακτικής άσκησης ατόμων με αναπηρία στον Διαμεσολαβητή· τονίζει εκ νέου ότι η πρακτική άσκηση θα πρέπει να αμείβεται σύμφωνα με το ψήφισμα του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Ένωση· τονίζει ότι οι αμειβόμενες θέσεις πρακτικής άσκησης είναι ουσιαστικής σημασίας για τη διασφάλιση ίσων ευκαιριών·</w:t>
      </w:r>
    </w:p>
    <w:p w14:paraId="1A886FCC" w14:textId="77777777" w:rsidR="00420901" w:rsidRPr="003B4B66" w:rsidRDefault="00420901" w:rsidP="00420901">
      <w:pPr>
        <w:pStyle w:val="NormalHanging12a"/>
        <w:ind w:left="0" w:firstLine="0"/>
        <w:rPr>
          <w:b/>
          <w:i/>
        </w:rPr>
      </w:pPr>
      <w:r w:rsidRPr="003B4B66">
        <w:rPr>
          <w:b/>
          <w:i/>
        </w:rPr>
        <w:t>Δεοντολογικό πλαίσιο και διαφάνεια</w:t>
      </w:r>
    </w:p>
    <w:p w14:paraId="7F359A88" w14:textId="5D5391C6" w:rsidR="00420901" w:rsidRPr="003B4B66" w:rsidRDefault="003B4B66" w:rsidP="003B4B66">
      <w:pPr>
        <w:pStyle w:val="NormalHanging12a"/>
        <w:ind w:hanging="570"/>
      </w:pPr>
      <w:r w:rsidRPr="003B4B66">
        <w:t>30.</w:t>
      </w:r>
      <w:r w:rsidRPr="003B4B66">
        <w:tab/>
      </w:r>
      <w:r w:rsidR="00420901" w:rsidRPr="003B4B66">
        <w:t>επικροτεί τις συνεχιζόμενες προσπάθειες του Διαμεσολαβητή όσο αφορά την ενίσχυση της ευαισθητοποίησης σχετικά με το δεοντολογικό του πλαίσιο· σημειώνει ότι ο Διαμεσολαβητής διοργάνωσε προγράμματα κατάρτισης σε θέματα δεοντολογίας για τους νεοδιορισθέντες εμπιστευτικούς συμβούλους του Διαμεσολαβητή και τα μέλη της επιτροπής συνδιαλλαγής, καθώς και υποχρεωτικά ειδικά προσαρμοσμένα προγράμματα κατάρτισης σχετικά με την επίλυση συγκρούσεων για όλο το προσωπικό· σημειώνει ότι ο Διαμεσολαβητής επεξεργάστηκε εκ νέου το 2024 και ενέκρινε το 2025 αναθεωρημένη πολιτική για τη δεοντολογία και την ορθή συμπεριφορά, ώστε να αποσαφηνιστούν οι ροές εργασιών έγκρισης και εξουσιοδότησης και να αντιμετωπιστούν τα κενά στην εφαρμογή των κανόνων που σχετίζονται με τη δεοντολογία· εκφράζει την ικανοποίησή του για το γεγονός ότι αναπτύχθηκε λύση ΤΠ που επιτρέπει σε κάθε υπεύθυνο για τη διενέργεια ερευνών να επιβεβαιώνει την απουσία σύγκρουσης συμφερόντων στις υποθέσεις που του ανατίθενται· σημειώνει περαιτέρω ότι όλα τα μέλη του προσωπικού του Διαμεσολαβητή, συμπεριλαμβανομένων των ανώτερων στελεχών, καλούνται να αναθεωρούν ετησίως τις δηλώσεις τους σχετικά με τις επαγγελματικές δραστηριότητες των συζύγων/συντρόφων τους, καθώς και τις δικές τους δηλώσεις σύγκρουσης συμφερόντων·</w:t>
      </w:r>
    </w:p>
    <w:p w14:paraId="467640CD" w14:textId="12262B30" w:rsidR="00420901" w:rsidRPr="003B4B66" w:rsidRDefault="003B4B66" w:rsidP="003B4B66">
      <w:pPr>
        <w:pStyle w:val="NormalHanging12a"/>
        <w:ind w:hanging="570"/>
      </w:pPr>
      <w:r w:rsidRPr="003B4B66">
        <w:t>31.</w:t>
      </w:r>
      <w:r w:rsidRPr="003B4B66">
        <w:tab/>
      </w:r>
      <w:r w:rsidR="00420901" w:rsidRPr="003B4B66">
        <w:t>σημειώνει, όσον αφορά τον εσωτερικό έλεγχο (έκθεση 22/03) σχετικά με το δεοντολογικό πλαίσιο του Διαμεσολαβητή, ότι από τις έξι συστάσεις που εκδόθηκαν, πέντε υλοποιήθηκαν και μία βρισκόταν σε εξέλιξη στο τέλος του 2024· σημειώνει, στο πλαίσιο αυτό, ότι ο Διαμεσολαβητής συγκρότησε πειθαρχικό συμβούλιο και ενέκρινε πολιτική καταπολέμησης της απάτης, η οποία ισχύει επίσης για τους αποσπασμένους εθνικούς εμπειρογνώμονες, τους ασκούμενους και τους εξωτερικούς αναδόχους, με σκοπό την περαιτέρω ενίσχυση του δεοντολογικού πλαισίου του Διαμεσολαβητή·</w:t>
      </w:r>
    </w:p>
    <w:p w14:paraId="41A0D9CE" w14:textId="3EF683AC" w:rsidR="00420901" w:rsidRPr="003B4B66" w:rsidRDefault="003B4B66" w:rsidP="003B4B66">
      <w:pPr>
        <w:pStyle w:val="NormalHanging12a"/>
        <w:ind w:hanging="570"/>
      </w:pPr>
      <w:r w:rsidRPr="003B4B66">
        <w:t>32.</w:t>
      </w:r>
      <w:r w:rsidRPr="003B4B66">
        <w:tab/>
      </w:r>
      <w:r w:rsidR="00420901" w:rsidRPr="003B4B66">
        <w:t>σημειώνει με ικανοποίηση ότι το 2024 δεν αναφέρθηκαν υποθέσεις σύγκρουσης συμφερόντων ούτε καταγγελίες δυσλειτουργιών·</w:t>
      </w:r>
    </w:p>
    <w:p w14:paraId="52D08BCD" w14:textId="7E98976F" w:rsidR="00420901" w:rsidRPr="003B4B66" w:rsidRDefault="003B4B66" w:rsidP="003B4B66">
      <w:pPr>
        <w:pStyle w:val="NormalHanging12a"/>
        <w:ind w:hanging="570"/>
      </w:pPr>
      <w:r w:rsidRPr="003B4B66">
        <w:t>33.</w:t>
      </w:r>
      <w:r w:rsidRPr="003B4B66">
        <w:tab/>
      </w:r>
      <w:r w:rsidR="00420901" w:rsidRPr="003B4B66">
        <w:t xml:space="preserve">σημειώνει, με βάση το ερωτηματολόγιο, ότι ο Διαμεσολαβητής δεν προσχώρησε επίσημα στο μητρώο διαφάνειας της Ένωσης (που θεσπίστηκε με τη διοργανική συμφωνία της 20ής Μαΐου 2021 μεταξύ του Κοινοβουλίου, του Συμβουλίου και της Επιτροπής σχετικά με ένα υποχρεωτικό μητρώο διαφάνειας), προκειμένου να διασφαλιστεί ότι ο Διαμεσολαβητής μπορεί επίσης να εξετάσει πιθανές καταγγελίες σχετικά με τη γραμματεία του εν λόγω μητρώου διαφάνειας· σημειώνει, ωστόσο, ότι ο Διαμεσολαβητής έχει ευθυγραμμίσει τις πρακτικές του με τις αρχές του μητρώου διαφάνειας, ελέγχοντας ότι οι ομιλητές ή οι συνομιλητές σε εκδηλώσεις ή συνεδριάσεις που διοργανώνονται από τον Διαμεσολαβητή είναι εγγεγραμμένοι σε αυτό· εκφράζει την ικανοποίησή του για τον υψηλό βαθμό διαφάνειας που πέτυχε ο Διαμεσολαβητής δημοσιεύοντας στον </w:t>
      </w:r>
      <w:proofErr w:type="spellStart"/>
      <w:r w:rsidR="00420901" w:rsidRPr="003B4B66">
        <w:t>ιστότοπό</w:t>
      </w:r>
      <w:proofErr w:type="spellEnd"/>
      <w:r w:rsidR="00420901" w:rsidRPr="003B4B66">
        <w:t xml:space="preserve"> του πληροφορίες σχετικά με έρευνες, αποστολές (και </w:t>
      </w:r>
      <w:r w:rsidR="00420901" w:rsidRPr="003B4B66">
        <w:lastRenderedPageBreak/>
        <w:t>σχετικές δαπάνες), συνεδριάσεις και εκδηλώσεις στις οποίες συμμετέχει ο Διαμεσολαβητής, καθώς και αξιολογώντας τα αιτήματα ανώτερων διοικητικών στελεχών ή μελών του ιδιαίτερου γραφείου του για την άσκηση επαγγελματικής δραστηριότητας μετά την αποχώρησή τους από τον Διαμεσολαβητή·</w:t>
      </w:r>
    </w:p>
    <w:p w14:paraId="25901AC1" w14:textId="77777777" w:rsidR="00420901" w:rsidRPr="003B4B66" w:rsidRDefault="00420901" w:rsidP="00420901">
      <w:pPr>
        <w:pStyle w:val="NormalHanging12a"/>
        <w:ind w:left="0" w:firstLine="0"/>
        <w:rPr>
          <w:b/>
          <w:i/>
        </w:rPr>
      </w:pPr>
      <w:r w:rsidRPr="003B4B66">
        <w:rPr>
          <w:b/>
          <w:i/>
        </w:rPr>
        <w:t>Κτίρια</w:t>
      </w:r>
    </w:p>
    <w:p w14:paraId="245F2B71" w14:textId="622D4AB9" w:rsidR="00420901" w:rsidRPr="003B4B66" w:rsidRDefault="003B4B66" w:rsidP="003B4B66">
      <w:pPr>
        <w:pStyle w:val="NormalHanging12a"/>
        <w:ind w:hanging="570"/>
      </w:pPr>
      <w:r w:rsidRPr="003B4B66">
        <w:t>34.</w:t>
      </w:r>
      <w:r w:rsidRPr="003B4B66">
        <w:tab/>
      </w:r>
      <w:r w:rsidR="00420901" w:rsidRPr="003B4B66">
        <w:t>σημειώνει ότι ο τελικός προϋπολογισμός του Διαμεσολαβητή (μετά τις μεταφορές) για τα κτίρια και τις συναφείς δαπάνες αυξήθηκε κατά περίπου 13,60 %, από 1 373 000 EUR το 2023 σε 1 560 709 EUR το 2024· σημειώνει ότι οι πιστώσεις για μισθώματα αυξήθηκαν κατά περίπου 7 %, από 866 100 EUR το 2023 σε 926 620 EUR το 2024· σημειώνει ότι το ποσοστό εκτέλεσης των πληρωμών και για τα δύο έτη προσεγγίζει το 100 %·</w:t>
      </w:r>
    </w:p>
    <w:p w14:paraId="721252E8" w14:textId="152FB487" w:rsidR="00420901" w:rsidRPr="003B4B66" w:rsidRDefault="003B4B66" w:rsidP="003B4B66">
      <w:pPr>
        <w:pStyle w:val="NormalHanging12a"/>
        <w:ind w:hanging="570"/>
      </w:pPr>
      <w:r w:rsidRPr="003B4B66">
        <w:t>35.</w:t>
      </w:r>
      <w:r w:rsidRPr="003B4B66">
        <w:tab/>
      </w:r>
      <w:r w:rsidR="00420901" w:rsidRPr="003B4B66">
        <w:t xml:space="preserve">σημειώνει, με βάση το ερωτηματολόγιο, ότι δεν υπήρξαν αλλαγές στις συνθήκες των ατομικών γραφείων του Διαμεσολαβητή που είχαν προηγουμένως τεθεί υπόψη της αρμόδιας για την απαλλαγή αρχής· σημειώνει με ικανοποίηση ότι το κτίριο </w:t>
      </w:r>
      <w:proofErr w:type="spellStart"/>
      <w:r w:rsidR="00420901" w:rsidRPr="003B4B66">
        <w:t>Havel</w:t>
      </w:r>
      <w:proofErr w:type="spellEnd"/>
      <w:r w:rsidR="00420901" w:rsidRPr="003B4B66">
        <w:t xml:space="preserve"> στο Στρασβούργο είναι πλήρως προσβάσιμο σε άτομα με μειωμένη κινητικότητα ή άλλες αναπηρίες· στηρίζει τη Διαμεσολαβήτρια στις προσπάθειές της να βελτιώσει την προσβασιμότητα των χώρων που μισθώνονται στις Βρυξέλλες·</w:t>
      </w:r>
    </w:p>
    <w:p w14:paraId="44038BB6" w14:textId="77777777" w:rsidR="00420901" w:rsidRPr="003B4B66" w:rsidRDefault="00420901" w:rsidP="00420901">
      <w:pPr>
        <w:pStyle w:val="NormalHanging12a"/>
        <w:ind w:left="0" w:firstLine="0"/>
        <w:rPr>
          <w:b/>
          <w:bCs/>
          <w:i/>
          <w:iCs/>
        </w:rPr>
      </w:pPr>
      <w:r w:rsidRPr="003B4B66">
        <w:rPr>
          <w:b/>
          <w:i/>
        </w:rPr>
        <w:t>Ψηφιοποίηση, κυβερνοασφάλεια και προστασία δεδομένων</w:t>
      </w:r>
      <w:bookmarkStart w:id="11" w:name="_Hlk215320147"/>
    </w:p>
    <w:p w14:paraId="5713A1A7" w14:textId="779B2036" w:rsidR="00420901" w:rsidRPr="003B4B66" w:rsidRDefault="003B4B66" w:rsidP="003B4B66">
      <w:pPr>
        <w:spacing w:after="240"/>
        <w:ind w:left="567" w:hanging="570"/>
      </w:pPr>
      <w:r w:rsidRPr="003B4B66">
        <w:t>36.</w:t>
      </w:r>
      <w:r w:rsidRPr="003B4B66">
        <w:tab/>
      </w:r>
      <w:r w:rsidR="00420901" w:rsidRPr="003B4B66">
        <w:t>συγχαίρει τον Διαμεσολαβητή για την ολοκλήρωση, το 2024, ενός βασικού έργου που αφορούσε την ψηφιοποίηση των ιστορικών αρχείων του, πριν από τη μεταφορά τους στα ιστορικά αρχεία της Ένωσης στη Φλωρεντία· σημειώνει με ικανοποίηση ότι τα αρχεία του Διαμεσολαβητή είναι πλέον διατηρημένα και προσβάσιμα για τις μελλοντικές γενιές·</w:t>
      </w:r>
    </w:p>
    <w:p w14:paraId="272D6A06" w14:textId="2489067D" w:rsidR="00420901" w:rsidRPr="003B4B66" w:rsidRDefault="003B4B66" w:rsidP="003B4B66">
      <w:pPr>
        <w:spacing w:after="240"/>
        <w:ind w:left="567" w:hanging="570"/>
      </w:pPr>
      <w:r w:rsidRPr="003B4B66">
        <w:t>37.</w:t>
      </w:r>
      <w:r w:rsidRPr="003B4B66">
        <w:tab/>
      </w:r>
      <w:r w:rsidR="00420901" w:rsidRPr="003B4B66">
        <w:t>εκφράζει την ικανοποίησή του για τον θετικό αντίκτυπο της χρήσης αυτόματων μεταφράσεων από τον Διαμεσολαβητή, η οποία ενίσχυσε την προσβασιμότητα του ιστοτόπου του Διαμεσολαβητή, εξορθολόγισε την κατανομή των υποθέσεων και επιτάχυνε την επεξεργασία των καταγγελιών, οδηγώντας σε μείωση του κόστους μετάφρασης κατά περισσότερο από 65 % (από 2022 σε 2024) και του διοικητικού φόρτου· ενθαρρύνει τον Διαμεσολαβητή να συνεχίσει να δοκιμάζει και να αξιολογεί τα εργαλεία ΤΝ και τις περιπτώσεις χρήσης τους, υιοθετώντας παράλληλα μια συνετή προσέγγιση όσον αφορά την ανάπτυξη και την εφαρμογή τους· καλεί, στο πλαίσιο αυτό, τον Διαμεσολαβητή να λάβει υπόψη τις μεσοπρόθεσμες δημοσιονομικές επιπτώσεις που σχετίζονται με τη συντήρηση, την εξελιξιμότητα, τις δεξιότητες του προσωπικού και τις πιθανές εξαρτήσεις από ψηφιακά εργαλεία και παρόχους υπηρεσιών και να διασφαλίσει ότι η ανάπτυξη παραμένει ασφαλής και υπόκειται σε κατάλληλη ανθρώπινη εποπτεία·</w:t>
      </w:r>
    </w:p>
    <w:p w14:paraId="1449204E" w14:textId="4A758A35" w:rsidR="00420901" w:rsidRPr="003B4B66" w:rsidRDefault="003B4B66" w:rsidP="003B4B66">
      <w:pPr>
        <w:spacing w:after="240"/>
        <w:ind w:left="567" w:hanging="570"/>
      </w:pPr>
      <w:r w:rsidRPr="003B4B66">
        <w:t>38.</w:t>
      </w:r>
      <w:r w:rsidRPr="003B4B66">
        <w:tab/>
      </w:r>
      <w:r w:rsidR="00420901" w:rsidRPr="003B4B66">
        <w:t xml:space="preserve">σημειώνει με ικανοποίηση, με βάση το ερωτηματολόγιο, ότι ο Διαμεσολαβητής έχει θεσπίσει εσωτερικές κατευθυντήριες γραμμές σχετικά με τη χρήση εργαλείων παραγωγικής ΤΝ τρίτων, οι οποίες αναμένεται να παρέχουν σαφήνεια και καθοδήγηση σχετικά με την ασφαλή και αποτελεσματική ενσωμάτωση των εργαλείων ΤΝ στις ροές εργασίας του Διαμεσολαβητή· προσβλέπει στη σχεδιαζόμενη επέκταση της χρήσης της ΤΝ πέραν της μετάφρασης, για παράδειγμα για την ενσωμάτωση της «νομολογίας του διαμεσολαβητή» σε ένα μεγάλο γλωσσικό μοντέλο της Επιτροπής και για την αξιοποίηση της ιστορικής νομολογίας που θα τροφοδοτήσει μελλοντικές έρευνες· </w:t>
      </w:r>
      <w:r w:rsidR="00420901" w:rsidRPr="003B4B66">
        <w:lastRenderedPageBreak/>
        <w:t>ενθαρρύνει τον Διαμεσολαβητή να συνεχίσει να δοκιμάζει και να αναπτύσσει εργαλεία ΤΝ όπου αποδεδειγμένα βελτιώνουν την προσβασιμότητα και την αποδοτικότητα· τονίζει, ωστόσο, την ανάγκη για σαφή διακυβέρνηση, ανθρώπινη εποπτεία, διαφάνεια έναντι των χρηστών και ισχυρές διασφαλίσεις για την προστασία των δεδομένων, συμπεριλαμβανομένων τεκμηριωμένων εκτιμήσεων κινδύνου και ελέγχων ποιότητας για αυτοματοποιημένα αποτελέσματα, ιδίως όταν η ΤΝ μπορεί να επηρεάσει τη διεκπεραίωση και την κατανομή υποθέσεων ή τις εξωτερικές επικοινωνίες· καλεί τον Διαμεσολαβητή να διασφαλίσει ότι όλες οι νομικές πληροφορίες που παράγονται από την ΤΝ επαληθεύονται από υπευθύνους έρευνας και να δίνει προτεραιότητα στην ερμηνεία που παρέχεται από τον άνθρωπο έναντι των λύσεων που βασίζονται στην ΤΝ· ζητεί επίσης την υποβολή εκθέσεων σχετικά με τα τεχνικά μέτρα που έχουν εγκριθεί για την εξάλειψη της αλγοριθμικής μεροληψίας και για τη διασφάλιση της αντικειμενικότητας των πορισμάτων του Διαμεσολαβητή·</w:t>
      </w:r>
    </w:p>
    <w:p w14:paraId="546905AF" w14:textId="1F9586DA" w:rsidR="00420901" w:rsidRPr="003B4B66" w:rsidRDefault="003B4B66" w:rsidP="003B4B66">
      <w:pPr>
        <w:pStyle w:val="NormalHanging12a"/>
        <w:ind w:hanging="570"/>
      </w:pPr>
      <w:r w:rsidRPr="003B4B66">
        <w:t>39.</w:t>
      </w:r>
      <w:r w:rsidRPr="003B4B66">
        <w:tab/>
      </w:r>
      <w:r w:rsidR="00420901" w:rsidRPr="003B4B66">
        <w:t>σημειώνει με ικανοποίηση, με βάση το ερωτηματολόγιο, ότι το 2024 ένα μέλος του προσωπικού ολοκλήρωσε εντατική κατάρτιση δύο μηνών στην επιστήμη των δεδομένων και την τεχνητή νοημοσύνη, με σκοπό την ενίσχυση της εμπειρογνωμοσύνης του Διαμεσολαβητή στον τομέα αυτό, και εκπροσωπεί πλέον τον Διαμεσολαβητή στο δίκτυο ανταποκριτών ΤΝ που συστάθηκε από τον Ευρωπαίο Επόπτη Προστασίας Δεδομένων (ΕΕΠΔ) μετά την έναρξη ισχύος του κανονισμού (ΕΕ) 2024/1689 («πράξη για την τεχνητή νοημοσύνη»)</w:t>
      </w:r>
      <w:r w:rsidR="00420901" w:rsidRPr="003B4B66">
        <w:rPr>
          <w:vertAlign w:val="superscript"/>
        </w:rPr>
        <w:footnoteReference w:id="12"/>
      </w:r>
      <w:r w:rsidR="00420901" w:rsidRPr="003B4B66">
        <w:t>· σημειώνει επίσης τη δέσμευση του Διαμεσολαβητή να αναπτύξει κατάρτιση σχετικά με την ασφαλή και δεοντολογική χρήση των εργαλείων ΤΝ για όλο το προσωπικό του· σημειώνει περαιτέρω ότι ο Διαμεσολαβητής πραγματοποίησε σε μηνιαία βάση στοχευμένη υποχρεωτική κατάρτιση για την ενίσχυση της ενημέρωσης του προσωπικού και των δεξιοτήτων του όσον αφορά τις βέλτιστες πρακτικές κυβερνοασφάλειας καθ’ όλη τη διάρκεια του 2024· σημειώνει με ικανοποίηση ότι ο Διαμεσολαβητής απαιτεί από όλο το προσωπικό του να ολοκληρώνει τακτικά προγράμματα κατάρτισης στον τομέα της κυβερνοασφάλειας· ενθαρρύνει τον Διαμεσολαβητή να συνεχίσει να αναπτύσσει την οικεία στρατηγική ψηφιοποίησης, διασφαλίζοντας ότι η ανάπτυξη εργαλείων τεχνητής νοημοσύνης εξακολουθεί να συνάδει πλήρως με τις αρχές της δεοντολογικής χρήσης, της διαφάνειας, της προστασίας των δεδομένων, της ανθρώπινης εποπτείας και της προστασίας από αλγοριθμική μεροληψία ή κατάχρηση·</w:t>
      </w:r>
    </w:p>
    <w:p w14:paraId="5C0BF100" w14:textId="124FEF21" w:rsidR="00420901" w:rsidRPr="003B4B66" w:rsidRDefault="003B4B66" w:rsidP="003B4B66">
      <w:pPr>
        <w:pStyle w:val="NormalHanging12a"/>
        <w:ind w:hanging="570"/>
        <w:rPr>
          <w:bCs/>
          <w:iCs/>
        </w:rPr>
      </w:pPr>
      <w:r w:rsidRPr="003B4B66">
        <w:rPr>
          <w:iCs/>
        </w:rPr>
        <w:t>40.</w:t>
      </w:r>
      <w:r w:rsidRPr="003B4B66">
        <w:rPr>
          <w:iCs/>
        </w:rPr>
        <w:tab/>
      </w:r>
      <w:r w:rsidR="00420901" w:rsidRPr="003B4B66">
        <w:t>τονίζει τη σημασία των δημόσιων συμβάσεων ως εργαλείου για την προαγωγή των στόχων πολιτικής, όπως το περιβαλλοντικό και κοινωνικό θεματολόγιο· καλεί τον Διαμεσολαβητή να ενισχύσει, στο πλαίσιο των οικείων διαδικασιών σύναψης συμβάσεων, τη συμπερίληψη στρατηγικών κριτηρίων για την κοινωνική ευθύνη και την περιβαλλοντική βιωσιμότητα·</w:t>
      </w:r>
    </w:p>
    <w:p w14:paraId="51297274" w14:textId="450CACDA" w:rsidR="00420901" w:rsidRPr="003B4B66" w:rsidRDefault="003B4B66" w:rsidP="003B4B66">
      <w:pPr>
        <w:spacing w:after="240"/>
        <w:ind w:left="567" w:hanging="570"/>
      </w:pPr>
      <w:r w:rsidRPr="003B4B66">
        <w:t>41.</w:t>
      </w:r>
      <w:r w:rsidRPr="003B4B66">
        <w:tab/>
      </w:r>
      <w:r w:rsidR="00420901" w:rsidRPr="003B4B66">
        <w:t xml:space="preserve">σημειώνει ότι, όσον αφορά την τεχνολογία πληροφοριών, ο Διαμεσολαβητής βασίζεται στο πλαίσιο υποδομών και κυβερνοασφάλειας του Κοινοβουλίου και συνεργάζεται στενά με την Επιτροπή όσον αφορά την ενσωμάτωση και τη συντήρηση των </w:t>
      </w:r>
      <w:r w:rsidR="00420901" w:rsidRPr="003B4B66">
        <w:lastRenderedPageBreak/>
        <w:t xml:space="preserve">υπηρεσιακών εργαλείων της Ένωσης (SYSPER, ABAC, </w:t>
      </w:r>
      <w:proofErr w:type="spellStart"/>
      <w:r w:rsidR="00420901" w:rsidRPr="003B4B66">
        <w:t>MiPS</w:t>
      </w:r>
      <w:proofErr w:type="spellEnd"/>
      <w:r w:rsidR="00420901" w:rsidRPr="003B4B66">
        <w:t xml:space="preserve"> και ARES) και τη χρήση συμβάσεων-πλαισίων ΤΠ· αναγνωρίζει την επιτυχία της μακροχρόνιας προσέγγισης του Διαμεσολαβητή όσον αφορά τη μόχλευση ολοκληρωμένων συστημάτων και πόρων από τα δύο αυτά θεσμικά όργανα, προκειμένου να βελτιστοποιηθεί η χρήση του προϋπολογισμού και να ενισχυθεί ο συντονισμός, για παράδειγμα στον τομέα της ψηφιοποίησης· σημειώνει ότι, όσον αφορά τις βασικές λειτουργίες, ο Διαμεσολαβητής διατηρεί τον άμεσο έλεγχο της ανάπτυξης και της συντήρησης εργαλείων εντός του ασφαλούς περιβάλλοντος του Κοινοβουλίου, εξασφαλίζοντας ευελιξία, προστασία των δεδομένων και ενισχυμένη κυβερνοασφάλεια· σημειώνει ότι ο Διαμεσολαβητής δεν αντιμετώπισε καμία κυβερνοεπίθεση το 2024·</w:t>
      </w:r>
    </w:p>
    <w:p w14:paraId="3E18A3BB" w14:textId="77E00124" w:rsidR="00420901" w:rsidRPr="003B4B66" w:rsidRDefault="003B4B66" w:rsidP="003B4B66">
      <w:pPr>
        <w:spacing w:after="240"/>
        <w:ind w:left="567" w:hanging="570"/>
      </w:pPr>
      <w:r w:rsidRPr="003B4B66">
        <w:t>42.</w:t>
      </w:r>
      <w:r w:rsidRPr="003B4B66">
        <w:tab/>
      </w:r>
      <w:r w:rsidR="00420901" w:rsidRPr="003B4B66">
        <w:t>σημειώνει, με βάση το ερωτηματολόγιο, ότι τον Δεκέμβριο του 2024, κατόπιν αναφοράς από υποκείμενο των δεδομένων, ο ΕΕΠΔ κίνησε διαδικασία κατά του Διαμεσολαβητή σύμφωνα με το άρθρο 57 παράγραφος 1 στοιχείο ε) του κανονισμού (ΕΕ) 2018/1725</w:t>
      </w:r>
      <w:r w:rsidR="00420901" w:rsidRPr="003B4B66">
        <w:rPr>
          <w:rStyle w:val="FootnoteReference"/>
        </w:rPr>
        <w:footnoteReference w:id="13"/>
      </w:r>
      <w:r w:rsidR="00420901" w:rsidRPr="003B4B66">
        <w:t>· σημειώνει ότι, μετά την παροχή των ζητούμενων διευκρινίσεων από τον Διαμεσολαβητή, ο ΕΕΠΔ περάτωσε την υπόθεση το 2025, καταλήγοντας στο συμπέρασμα ότι το υποκείμενο των δεδομένων είχε λάβει επαρκείς πληροφορίες·</w:t>
      </w:r>
      <w:bookmarkEnd w:id="11"/>
    </w:p>
    <w:p w14:paraId="524E23BC" w14:textId="77777777" w:rsidR="00420901" w:rsidRPr="003B4B66" w:rsidRDefault="00420901" w:rsidP="00420901">
      <w:pPr>
        <w:spacing w:after="240"/>
      </w:pPr>
      <w:r w:rsidRPr="003B4B66">
        <w:rPr>
          <w:b/>
          <w:i/>
        </w:rPr>
        <w:t>Περιβάλλον και βιωσιμότητα</w:t>
      </w:r>
    </w:p>
    <w:p w14:paraId="1ABDC53B" w14:textId="0F2C5306" w:rsidR="00420901" w:rsidRPr="003B4B66" w:rsidRDefault="003B4B66" w:rsidP="003B4B66">
      <w:pPr>
        <w:spacing w:after="240"/>
        <w:ind w:left="567" w:hanging="573"/>
      </w:pPr>
      <w:r w:rsidRPr="003B4B66">
        <w:t>43.</w:t>
      </w:r>
      <w:r w:rsidRPr="003B4B66">
        <w:tab/>
      </w:r>
      <w:r w:rsidR="00420901" w:rsidRPr="003B4B66">
        <w:t xml:space="preserve">σημειώνει, με βάση την ετήσια έκθεση και το ερωτηματολόγιο, ότι ο Διαμεσολαβητής συνέχισε να μειώνει το περιβαλλοντικό του αποτύπωμα μέσω της ψηφιοποίησης των διαδικασιών του, της κατάργησης των ατομικών εκτυπωτών, της μη αντικατάστασης των κεντρικών μονάδων επεξεργασίας όταν φτάνουν στο τέλος του κύκλου ζωής τους και της σχεδόν πλήρους μετάβασης σε ψηφιακές δημοσιεύσεις· εκφράζει την ικανοποίησή του για τις προσπάθειες του Διαμεσολαβητή να καταστήσει τις εκδηλώσεις πιο βιώσιμες, μεταξύ άλλων με τη χρήση κωδικών QR και την τροφοδοσία τοπικής προέλευσης, καθώς και με την εφαρμογή μέτρων πρόληψης της σπατάλης τροφίμων· σημειώνει με ικανοποίηση ότι και τα δύο κτίρια στα οποία ο Διαμεσολαβητής διαθέτει γραφεία λειτουργούν με 100 % ηλεκτρική ενέργεια από ανανεώσιμες πηγές που παρέχεται στο πλαίσιο των συμβάσεων του Κοινοβουλίου, και ότι η εγκατάσταση ηλιακών συλλεκτών από το Κοινοβούλιο στα κτίριά του στο Στρασβούργο, συμπεριλαμβανομένου του κτιρίου </w:t>
      </w:r>
      <w:proofErr w:type="spellStart"/>
      <w:r w:rsidR="00420901" w:rsidRPr="003B4B66">
        <w:t>Havel</w:t>
      </w:r>
      <w:proofErr w:type="spellEnd"/>
      <w:r w:rsidR="00420901" w:rsidRPr="003B4B66">
        <w:t>, άρχισε να παράγει ενέργεια το 2024·</w:t>
      </w:r>
    </w:p>
    <w:p w14:paraId="7D442B6B" w14:textId="3E4E1FAC" w:rsidR="00420901" w:rsidRPr="003B4B66" w:rsidRDefault="003B4B66" w:rsidP="003B4B66">
      <w:pPr>
        <w:spacing w:after="240"/>
        <w:ind w:left="567" w:hanging="573"/>
        <w:rPr>
          <w:b/>
          <w:bCs/>
        </w:rPr>
      </w:pPr>
      <w:r w:rsidRPr="003B4B66">
        <w:t>44.</w:t>
      </w:r>
      <w:r w:rsidRPr="003B4B66">
        <w:tab/>
      </w:r>
      <w:r w:rsidR="00420901" w:rsidRPr="003B4B66">
        <w:t xml:space="preserve">σημειώνει ότι, καθώς ο Διαμεσολαβητής μισθώνει τους χώρους του από το Κοινοβούλιο, επωφελείται από την περιβαλλοντική διαχείριση του τελευταίου στο πλαίσιο του συστήματος οικολογικής διαχείρισης και οικολογικού ελέγχου (EMAS), συμπεριλαμβανομένων μέτρων όπως η ρύθμιση της θερμοκρασίας στους 19 °C τον χειμώνα, η επιλεκτική διαλογή των αποβλήτων, η συλλογή βιολογικών αποβλήτων, που άρχισε να εφαρμόζεται το 2024, και η αντικατάσταση των επιτραπέζιων σκευών μίας χρήσης με ανθεκτικά επιτραπέζια σκεύη· εκφράζει την ικανοποίησή του για την εφαρμογή των αρχών των πράσινων δημόσιων συμβάσεων από τον Διαμεσολαβητή, </w:t>
      </w:r>
      <w:r w:rsidR="00420901" w:rsidRPr="003B4B66">
        <w:lastRenderedPageBreak/>
        <w:t>τόσο μέσω των δικών του συμβάσεων όσο και μέσω συμφωνιών συνεργασίας με άλλα θεσμικά όργανα της Ένωσης·</w:t>
      </w:r>
    </w:p>
    <w:p w14:paraId="3B42908C" w14:textId="240478D0" w:rsidR="00420901" w:rsidRPr="003B4B66" w:rsidRDefault="003B4B66" w:rsidP="003B4B66">
      <w:pPr>
        <w:spacing w:after="240"/>
        <w:ind w:left="567" w:hanging="573"/>
        <w:rPr>
          <w:b/>
          <w:bCs/>
          <w:i/>
          <w:iCs/>
        </w:rPr>
      </w:pPr>
      <w:r w:rsidRPr="003B4B66">
        <w:rPr>
          <w:i/>
          <w:iCs/>
        </w:rPr>
        <w:t>45.</w:t>
      </w:r>
      <w:r w:rsidRPr="003B4B66">
        <w:rPr>
          <w:i/>
          <w:iCs/>
        </w:rPr>
        <w:tab/>
      </w:r>
      <w:r w:rsidR="00420901" w:rsidRPr="003B4B66">
        <w:t>εκφράζει την ικανοποίησή του για τη συνεχιζόμενη προώθηση της βιώσιμης κινητικότητας από τον Διαμεσολαβητή, μέσω κατ’ αποκοπή συνεισφοράς για τη χρήση βιώσιμων τρόπων μεταφοράς, την οποία έλαβε το 67 % του επιλέξιμου προσωπικού του Διαμεσολαβητή (έως τον βαθμό AST8/AD8) το 2024, μέσω της οργάνωσης ετήσιων συντηρήσεων των ποδηλάτων και της τακτικής συμμετοχής του προσωπικού του στις διοργανικές προκλήσεις ποδηλασίας και πεζοπορίας· σημειώνει ότι η στάθμευση αυτοκινήτων παραμένει περιορισμένη, ενώ οι υποδομές ποδηλάτων εξακολουθούν να βελτιώνονται·</w:t>
      </w:r>
    </w:p>
    <w:p w14:paraId="03B01B43" w14:textId="5EEBDFD8" w:rsidR="00420901" w:rsidRPr="003B4B66" w:rsidRDefault="003B4B66" w:rsidP="003B4B66">
      <w:pPr>
        <w:spacing w:after="240"/>
        <w:ind w:left="567" w:hanging="573"/>
      </w:pPr>
      <w:r w:rsidRPr="003B4B66">
        <w:t>46.</w:t>
      </w:r>
      <w:r w:rsidRPr="003B4B66">
        <w:tab/>
      </w:r>
      <w:r w:rsidR="00420901" w:rsidRPr="003B4B66">
        <w:t>σημειώνει με ικανοποίηση τις προσπάθειες του Διαμεσολαβητή να μειώσει τις εκπομπές που σχετίζονται με τα ταξίδια, προωθώντας συστηματικά τις βιντεοδιασκέψεις και τις ψηφιακές λύσεις ως εναλλακτικές αντί των αποστολών, και ενθαρρύνοντας τα σιδηροδρομικά ταξίδια αντί των αεροπορικών· ενθαρρύνει τον Διαμεσολαβητή να συνεχίσει να ενσωματώνει παραμέτρους βιωσιμότητας στις δραστηριότητές του για τη διαχείριση κινδύνων και την ευαισθητοποίηση, σύμφωνα με τον επιχειρησιακό του στόχο για το 2024 όσον αφορά την προώθηση της πράσινης και κοινωνικής ευθύνης·</w:t>
      </w:r>
    </w:p>
    <w:p w14:paraId="161288FF" w14:textId="77777777" w:rsidR="00420901" w:rsidRPr="003B4B66" w:rsidRDefault="00420901" w:rsidP="00420901">
      <w:pPr>
        <w:pStyle w:val="NormalHanging12a"/>
        <w:rPr>
          <w:b/>
          <w:i/>
        </w:rPr>
      </w:pPr>
      <w:r w:rsidRPr="003B4B66">
        <w:rPr>
          <w:b/>
          <w:i/>
        </w:rPr>
        <w:t>Διοργανική συνεργασία</w:t>
      </w:r>
    </w:p>
    <w:p w14:paraId="601E6631" w14:textId="5200090F" w:rsidR="00420901" w:rsidRPr="003B4B66" w:rsidRDefault="003B4B66" w:rsidP="003B4B66">
      <w:pPr>
        <w:pStyle w:val="NormalHanging12a"/>
        <w:ind w:hanging="570"/>
      </w:pPr>
      <w:r w:rsidRPr="003B4B66">
        <w:t>47.</w:t>
      </w:r>
      <w:r w:rsidRPr="003B4B66">
        <w:tab/>
      </w:r>
      <w:r w:rsidR="00420901" w:rsidRPr="003B4B66">
        <w:t>εκφράζει την ικανοποίησή του για την εξοικονόμηση οικονομικών και διοικητικών πόρων που επιτεύχθηκε μέσω της διοργανικής συνεργασίας, ιδίως για το ευρύ φάσμα συμφωνιών επιπέδου εξυπηρέτησης που έχουν συναφθεί από τον Διαμεσολαβητή με το Κοινοβούλιο και την Επιτροπή σε ποικίλους τομείς, και τη συμμετοχή σε διοργανικές διαδικασίες σύναψης συμβάσεων· εκφράζει την ικανοποίησή του για την επισημοποίηση της συνεργασίας μεταξύ του Κοινοβουλίου και του Διαμεσολαβητή, τον Οκτώβριο του 2024, στον τομέα της κυβερνοασφάλειας μέσω μιας αναθεωρημένης διοργανικής συμφωνίας, η οποία παρέχει ένα πλαίσιο ώστε το Κοινοβούλιο να συνεχίσει να παρέχει σταθερή στήριξη στον Διαμεσολαβητή στον τομέα της κυβερνοασφάλειας· τονίζει ότι η συνεργασία αυτή είναι ουσιαστικής σημασίας για την αποφυγή αλληλεπικαλύψεων των δομών και τη διασφάλιση της αποδοτικής χρήσης των πόρων της Ένωσης· ενθαρρύνει τον Διαμεσολαβητή να διασφαλίσει την παροχή τακτικής και επικαιροποιημένης κατάρτισης στον τομέα της κυβερνοασφάλειας σε όλο το προσωπικό, ώστε να διατηρηθεί υψηλό επίπεδο ευαισθητοποίησης και ανθεκτικότητας έναντι των εξελισσόμενων κυβερνοαπειλών·</w:t>
      </w:r>
    </w:p>
    <w:p w14:paraId="0943518D" w14:textId="3595E1B1" w:rsidR="00420901" w:rsidRPr="003B4B66" w:rsidRDefault="003B4B66" w:rsidP="003B4B66">
      <w:pPr>
        <w:pStyle w:val="NormalHanging12a"/>
        <w:ind w:hanging="570"/>
      </w:pPr>
      <w:r w:rsidRPr="003B4B66">
        <w:t>48.</w:t>
      </w:r>
      <w:r w:rsidRPr="003B4B66">
        <w:tab/>
      </w:r>
      <w:r w:rsidR="00420901" w:rsidRPr="003B4B66">
        <w:t xml:space="preserve">συγχαίρει τον Διαμεσολαβητή για την καλή συνεργασία του με την Ευρωπαϊκή Υπηρεσία Καταπολέμησης της Απάτης (OLAF) και το Ελεγκτικό Συνέδριο, η οποία το 2024 έλαβε τη μορφή συναντήσεων και ανταλλαγών απόψεων μεταξύ του Διαμεσολαβητή, μελών του Ελεγκτικού Συνεδρίου και του Γενικού Διευθυντή της OLAF· σημειώνει ότι η Διαμεσολαβήτρια μίλησε επίσης σε διάσκεψη του Ελεγκτικού Συνεδρίου σχετικά με τη διαφάνεια της ανάκτησης κονδυλίων της Ένωσης· σημειώνει περαιτέρω ότι το 2024 η Διαμεσολαβήτρια παρουσίασε τα πορίσματα βασικών ερευνών στις αρμόδιες επιτροπές του Κοινοβουλίου και συνέχισε την καλή συνεργασία του με τους εθνικούς και περιφερειακούς διαμεσολαβητές μέσω της διαδικασίας υποβολής ερωτημάτων, στο πλαίσιο της οποίας τα μέλη του Ευρωπαϊκού Δικτύου Διαμεσολαβητών (ENO) μπορούν να υποβάλλουν ερωτήσεις σχετικά με το δίκαιο της Ένωσης οι οποίες προκύπτουν κατά τη διάρκεια των ερευνών τους, και ο </w:t>
      </w:r>
      <w:r w:rsidR="00420901" w:rsidRPr="003B4B66">
        <w:lastRenderedPageBreak/>
        <w:t>Διαμεσολαβητής λαμβάνει απαντήσεις εμπειρογνωμόνων από τα θεσμικά όργανα της Ένωσης· σημειώνει, στο πλαίσιο αυτό, ότι η Διαμεσολαβήτρια διοργάνωσε διαδικτυακό σεμινάριο του ENO το 2024 για διάφορα θέματα, συμπεριλαμβανομένης της εφαρμογής της οδηγίας της Ένωσης για τους πληροφοριοδότες δημοσίου συμφέροντος και ζητημάτων που συνδέονται με την ελεύθερη κυκλοφορία·</w:t>
      </w:r>
    </w:p>
    <w:p w14:paraId="769C4957" w14:textId="6E791134" w:rsidR="00420901" w:rsidRPr="003B4B66" w:rsidRDefault="003B4B66" w:rsidP="003B4B66">
      <w:pPr>
        <w:pStyle w:val="NormalHanging12a"/>
        <w:ind w:hanging="570"/>
      </w:pPr>
      <w:r w:rsidRPr="003B4B66">
        <w:t>49.</w:t>
      </w:r>
      <w:r w:rsidRPr="003B4B66">
        <w:tab/>
      </w:r>
      <w:r w:rsidR="00420901" w:rsidRPr="003B4B66">
        <w:t>σημειώνει, με βάση το ερωτηματολόγιο, ότι ο Διαμεσολαβητής και ο ΕΕΠΔ συνεργάζονται κυρίως σε ad hoc και άτυπη βάση με στόχο την ταχεία και αποτελεσματική συνεργασία όταν χρειάζεται· σημειώνει επίσης με ικανοποίηση ότι ο Διαμεσολαβητής και ο ΕΕΠΔ έχουν συνάψει μνημόνιο συνεννόησης για τη ρύθμιση των αντίστοιχων αρμοδιοτήτων τους όσον αφορά τον χειρισμό καταγγελιών και την αποφυγή της αλληλεπικάλυψης των διαδικασιών·</w:t>
      </w:r>
    </w:p>
    <w:p w14:paraId="64B67482" w14:textId="4CDA5198" w:rsidR="00420901" w:rsidRPr="003B4B66" w:rsidRDefault="003B4B66" w:rsidP="003B4B66">
      <w:pPr>
        <w:pStyle w:val="NormalHanging12a"/>
        <w:ind w:hanging="570"/>
      </w:pPr>
      <w:r w:rsidRPr="003B4B66">
        <w:t>50.</w:t>
      </w:r>
      <w:r w:rsidRPr="003B4B66">
        <w:tab/>
      </w:r>
      <w:r w:rsidR="00420901" w:rsidRPr="003B4B66">
        <w:t>εκφράζει την ικανοποίησή του για το γεγονός ότι ο Διαμεσολαβητής συνέχισε το 2024 τη στενή συνεργασία του με τις αρμόδιες επιτροπές του Κοινοβουλίου (Επιτροπή Αναφορών, Επιτροπή Πολιτικών Ελευθεριών, Δικαιοσύνης και Εσωτερικών Υποθέσεων, Υποεπιτροπή Ανθρωπίνων Δικαιωμάτων) σε σημαντικές έρευνες, είτε παρουσιάζοντας τις εργασίες απευθείας στις συνεδριάσεις της εκάστοτε επιτροπής είτε αποστέλλοντας πληροφορίες στους προέδρους των επιτροπών· επισημαίνει ότι οι στρατηγικές πρωτοβουλίες και έρευνες που διεξάγει ο Διαμεσολαβητής είναι καίριας σημασίας για τη βελτίωση της διαφάνειας και της λογοδοσίας της διοίκησης της Ένωσης·</w:t>
      </w:r>
    </w:p>
    <w:p w14:paraId="46A07A44" w14:textId="77777777" w:rsidR="00420901" w:rsidRPr="003B4B66" w:rsidRDefault="00420901" w:rsidP="00420901">
      <w:pPr>
        <w:spacing w:after="240"/>
        <w:rPr>
          <w:b/>
          <w:i/>
        </w:rPr>
      </w:pPr>
      <w:r w:rsidRPr="003B4B66">
        <w:rPr>
          <w:b/>
          <w:i/>
        </w:rPr>
        <w:t>Επικοινωνία</w:t>
      </w:r>
    </w:p>
    <w:p w14:paraId="157F50C8" w14:textId="783964BB" w:rsidR="00420901" w:rsidRPr="003B4B66" w:rsidRDefault="003B4B66" w:rsidP="003B4B66">
      <w:pPr>
        <w:pStyle w:val="NormalHanging12a"/>
        <w:ind w:hanging="570"/>
      </w:pPr>
      <w:r w:rsidRPr="003B4B66">
        <w:t>51.</w:t>
      </w:r>
      <w:r w:rsidRPr="003B4B66">
        <w:tab/>
      </w:r>
      <w:r w:rsidR="00420901" w:rsidRPr="003B4B66">
        <w:t>σημειώνει, με βάση το ερωτηματολόγιο, ότι ο συνολικός προϋπολογισμός για δραστηριότητες επικοινωνίας και προώθησης (δημοσιεύσεις, διοργάνωση εκδηλώσεων, ψηφιακή επικοινωνία κ.λπ.) μειώθηκε κατά περίπου 38 %, από 155 200 EUR το 2023 σε 96 515 EUR το 2024· τονίζει ότι, μολονότι τα κονδύλια του προϋπολογισμού πρέπει να είναι στρατηγικά και προσανατολισμένα στα αποτελέσματα, ο Διαμεσολαβητής θα πρέπει να παραμένει επικεντρωμένος στην ενημέρωση των πολιτών σχετικά με την εντολή του Διαμεσολαβητή και να διατηρεί επαρκή επικοινωνιακή ικανότητα, ιδίως για τους πολίτες που απευθύνονται στον Διαμεσολαβητή για την αντιμετώπιση ανησυχιών σε ενωσιακό επίπεδο· καλεί τον Διαμεσολαβητή να εξετάσει το ενδεχόμενο ανακατανομής των εξοικονομήσεων, ώστε να διασφαλιστεί ότι ο Διαμεσολαβητής διατηρεί την αναγκαία προβολή και απήχηση·</w:t>
      </w:r>
    </w:p>
    <w:p w14:paraId="504AC679" w14:textId="41FBE97E" w:rsidR="00420901" w:rsidRPr="003B4B66" w:rsidRDefault="003B4B66" w:rsidP="003B4B66">
      <w:pPr>
        <w:pStyle w:val="NormalHanging12a"/>
        <w:ind w:hanging="570"/>
      </w:pPr>
      <w:r w:rsidRPr="003B4B66">
        <w:t>52.</w:t>
      </w:r>
      <w:r w:rsidRPr="003B4B66">
        <w:tab/>
      </w:r>
      <w:r w:rsidR="00420901" w:rsidRPr="003B4B66">
        <w:t>αναγνωρίζει τις προσπάθειες που καταβάλλει ο Διαμεσολαβητής για την παροχή διαφανών πληροφοριών και τη δημοσίευση δεδομένων (συμπεριλαμβανομένων στατιστικών στοιχείων σχετικά με τον όγκο των υποθέσεών του) σε ενημερωτικό και φιλικό προς τον χρήστη μορφότυπο στον ιστότοπο του Διαμεσολαβητή· εκφράζει την ικανοποίησή του για τη δημοσίευση στον ιστότοπο χρονοδιαγράμματος για όλες τις έρευνες σχετικά με καταγγελίες που παρέχουν πληροφορίες σχετικά με προηγούμενα και μελλοντικά ορόσημα σε κάθε έρευνα·</w:t>
      </w:r>
    </w:p>
    <w:p w14:paraId="5FACE42D" w14:textId="10F27EEC" w:rsidR="00420901" w:rsidRPr="003B4B66" w:rsidRDefault="003B4B66" w:rsidP="003B4B66">
      <w:pPr>
        <w:pStyle w:val="NormalHanging12a"/>
        <w:ind w:hanging="570"/>
      </w:pPr>
      <w:r w:rsidRPr="003B4B66">
        <w:t>53.</w:t>
      </w:r>
      <w:r w:rsidRPr="003B4B66">
        <w:tab/>
      </w:r>
      <w:r w:rsidR="00420901" w:rsidRPr="003B4B66">
        <w:t xml:space="preserve">σημειώνει, με βάση το ερωτηματολόγιο και την ετήσια έκθεση, ότι το 2024 ο Διαμεσολαβητής διεύρυνε τις προσπάθειες προβολής του με τη δημιουργία λογαριασμών σε </w:t>
      </w:r>
      <w:proofErr w:type="spellStart"/>
      <w:r w:rsidR="00420901" w:rsidRPr="003B4B66">
        <w:t>Threads</w:t>
      </w:r>
      <w:proofErr w:type="spellEnd"/>
      <w:r w:rsidR="00420901" w:rsidRPr="003B4B66">
        <w:t xml:space="preserve"> και </w:t>
      </w:r>
      <w:proofErr w:type="spellStart"/>
      <w:r w:rsidR="00420901" w:rsidRPr="003B4B66">
        <w:t>Bluesky</w:t>
      </w:r>
      <w:proofErr w:type="spellEnd"/>
      <w:r w:rsidR="00420901" w:rsidRPr="003B4B66">
        <w:t xml:space="preserve">, διαφοροποιώντας έτσι την παρουσία του στα μέσα κοινωνικής δικτύωσης· παρατηρεί ότι ο Διαμεσολαβητής συνέχισε να αναδεικνύει βασικούς θεματικούς τομείς μέσω ειδικών εκστρατειών στα μέσα κοινωνικής δικτύωσης και διαδικτυακών ιστοριών, με την επικοινωνία να επικεντρώνεται στα </w:t>
      </w:r>
      <w:r w:rsidR="00420901" w:rsidRPr="003B4B66">
        <w:lastRenderedPageBreak/>
        <w:t xml:space="preserve">δεοντολογικά πρότυπα εντός των θεσμικών οργάνων της Ένωσης το 2024· εκφράζει την ικανοποίησή του, με βάση την έκθεση παρακολούθησης, για τον βασικό στρατηγικό στόχο της </w:t>
      </w:r>
      <w:proofErr w:type="spellStart"/>
      <w:r w:rsidR="00420901" w:rsidRPr="003B4B66">
        <w:t>νεοεκλεγείσας</w:t>
      </w:r>
      <w:proofErr w:type="spellEnd"/>
      <w:r w:rsidR="00420901" w:rsidRPr="003B4B66">
        <w:t xml:space="preserve"> </w:t>
      </w:r>
      <w:proofErr w:type="spellStart"/>
      <w:r w:rsidR="00420901" w:rsidRPr="003B4B66">
        <w:t>Διαμεσολαβήτριας</w:t>
      </w:r>
      <w:proofErr w:type="spellEnd"/>
      <w:r w:rsidR="00420901" w:rsidRPr="003B4B66">
        <w:t xml:space="preserve"> να ενδυναμώσει τους πολίτες, μεταξύ άλλων με στοχευμένες δραστηριότητες επικοινωνίας, προκειμένου να διασφαλίσει ότι οι πολίτες που χρειάζονται τον Διαμεσολαβητή γνωρίζουν τα δικαιώματά τους και χρησιμοποιούν τις υπηρεσίες του Διαμεσολαβητή·</w:t>
      </w:r>
    </w:p>
    <w:p w14:paraId="35D78663" w14:textId="23B279AC" w:rsidR="00E454F2" w:rsidRPr="003B4B66" w:rsidRDefault="003B4B66" w:rsidP="003B4B66">
      <w:pPr>
        <w:pStyle w:val="NormalHanging12a"/>
        <w:widowControl/>
      </w:pPr>
      <w:r w:rsidRPr="003B4B66">
        <w:t>54.</w:t>
      </w:r>
      <w:r w:rsidRPr="003B4B66">
        <w:tab/>
      </w:r>
      <w:r w:rsidR="00420901" w:rsidRPr="003B4B66">
        <w:t xml:space="preserve">εκφράζει την ικανοποίησή του για το τακτικό ενημερωτικό δελτίο του Διαμεσολαβητή (EO </w:t>
      </w:r>
      <w:proofErr w:type="spellStart"/>
      <w:r w:rsidR="00420901" w:rsidRPr="003B4B66">
        <w:t>express</w:t>
      </w:r>
      <w:proofErr w:type="spellEnd"/>
      <w:r w:rsidR="00420901" w:rsidRPr="003B4B66">
        <w:t>), το οποίο ενημερώνει τους συνδρομητές μέσω προώθησης σε όλες τις πλατφόρμες· επισημαίνει ότι η Διαμεσολαβήτρια συμμετείχε σε ευρύ φάσμα εκδηλώσεων που διοργανώθηκαν από την Ένωση και διεθνείς φορείς και έδωσε συχνές συνεντεύξεις στα μέσα ενημέρωσης για να αποσαφηνίσει την εντολή του Διαμεσολαβητή, να εξηγήσει ποια είδη καταγγελιών μπορεί να χειριστεί και να ενημερώσει τους πολίτες σχετικά με το πότε μπορούν να ζητήσουν στήριξη από τον Διαμεσολαβητή·</w:t>
      </w:r>
      <w:r w:rsidR="00E454F2" w:rsidRPr="003B4B66">
        <w:t xml:space="preserve"> </w:t>
      </w:r>
    </w:p>
    <w:p w14:paraId="3183068A" w14:textId="3191067B" w:rsidR="00E454F2" w:rsidRPr="003B4B66" w:rsidRDefault="003B4B66" w:rsidP="003B4B66">
      <w:pPr>
        <w:pStyle w:val="NormalHanging12a"/>
        <w:widowControl/>
      </w:pPr>
      <w:r w:rsidRPr="003B4B66">
        <w:t>55.</w:t>
      </w:r>
      <w:r w:rsidRPr="003B4B66">
        <w:tab/>
      </w:r>
      <w:r w:rsidR="00420901" w:rsidRPr="003B4B66">
        <w:t>σημειώνει με ικανοποίηση, με βάση το ερωτηματολόγιο, ότι ο ιστότοπος του Διαμεσολαβητή έχει σχεδιαστεί έτσι ώστε να συμμορφώνεται με τα πρότυπα και τις κατευθυντήριες γραμμές της Ένωσης για την προσβασιμότητα, και παρέχει στους χρήστες ένα διαδικτυακό περιβάλλον χωρίς αποκλεισμούς και φραγμούς, εξοπλισμένο με διάφορα χαρακτηριστικά προσβασιμότητας· σημειώνει ότι ο έλεγχος της προσβασιμότητας και της χρηστικότητας του ιστοτόπου του Διαμεσολαβητή που διενεργήθηκε το 2025 κατέδειξε μέση συμμόρφωση σχεδόν 90 %· ενθαρρύνει τον Διαμεσολαβητή να συνεχίσει να διενεργεί τακτικούς ελέγχους για το θέμα αυτό·</w:t>
      </w:r>
    </w:p>
    <w:p w14:paraId="16FDAD61" w14:textId="4CE969EA" w:rsidR="007F0363" w:rsidRPr="003B4B66" w:rsidRDefault="003B4B66" w:rsidP="003B4B66">
      <w:pPr>
        <w:pStyle w:val="NormalHanging12a"/>
        <w:widowControl/>
      </w:pPr>
      <w:r w:rsidRPr="003B4B66">
        <w:t>56.</w:t>
      </w:r>
      <w:r w:rsidRPr="003B4B66">
        <w:tab/>
      </w:r>
      <w:r w:rsidR="00420901" w:rsidRPr="003B4B66">
        <w:t xml:space="preserve">εκφράζει την ικανοποίησή του για το σταθερό επίπεδο προσοχής από τα μέσα ενημέρωσης, με περίπου 5 000 άρθρα να αναφέρονται στο έργο του Διαμεσολαβητή το 2024· σημειώνει ότι ο Διαμεσολαβητής υπολογίζει κυρίως τη συμμετοχή του κοινού μέσω της αύξησης της προβολής στα μέσα κοινωνικής δικτύωσης και της </w:t>
      </w:r>
      <w:proofErr w:type="spellStart"/>
      <w:r w:rsidR="00420901" w:rsidRPr="003B4B66">
        <w:t>επισκεψιμότητας</w:t>
      </w:r>
      <w:proofErr w:type="spellEnd"/>
      <w:r w:rsidR="00420901" w:rsidRPr="003B4B66">
        <w:t xml:space="preserve"> του </w:t>
      </w:r>
      <w:proofErr w:type="spellStart"/>
      <w:r w:rsidR="00420901" w:rsidRPr="003B4B66">
        <w:t>ιστοτόπου</w:t>
      </w:r>
      <w:proofErr w:type="spellEnd"/>
      <w:r w:rsidR="00420901" w:rsidRPr="003B4B66">
        <w:t xml:space="preserve">, ενώ ο αριθμός των ακολούθων αυξήθηκε σταθερά κατά τη διάρκεια του έτους· παρατηρεί ότι οι λογαριασμοί </w:t>
      </w:r>
      <w:proofErr w:type="spellStart"/>
      <w:r w:rsidR="00420901" w:rsidRPr="003B4B66">
        <w:t>Instagram</w:t>
      </w:r>
      <w:proofErr w:type="spellEnd"/>
      <w:r w:rsidR="00420901" w:rsidRPr="003B4B66">
        <w:t xml:space="preserve">, LinkedIn και X του Διαμεσολαβητή κέρδισαν συνολικά 9 186 επιπλέον ακολούθους, υπερβαίνοντας τους στόχους του για τις δραστηριότητες στα μέσα κοινωνικής δικτύωσης το 2024, καθώς και όσον αφορά τον αριθμό των μοναδικών επισκεπτών στον </w:t>
      </w:r>
      <w:proofErr w:type="spellStart"/>
      <w:r w:rsidR="00420901" w:rsidRPr="003B4B66">
        <w:t>ιστότοπό</w:t>
      </w:r>
      <w:proofErr w:type="spellEnd"/>
      <w:r w:rsidR="00420901" w:rsidRPr="003B4B66">
        <w:t xml:space="preserve"> του· τονίζει ότι είναι σημαντικό να συνεχίσει να δίνεται προτεραιότητα στην εξωτερική επικοινωνία, προκειμένου να ενισχυθεί η ευαισθητοποίηση του κοινού σχετικά με την εντολή του Διαμεσολαβητή και τις υπηρεσίες που παρέχει στους πολίτες της Ένωσης.</w:t>
      </w:r>
    </w:p>
    <w:p w14:paraId="4E7501B2" w14:textId="6A314392" w:rsidR="00E365E1" w:rsidRPr="003B4B66" w:rsidRDefault="00E365E1" w:rsidP="00B67448"/>
    <w:sectPr w:rsidR="00E365E1" w:rsidRPr="003B4B66" w:rsidSect="007F036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4B04" w14:textId="77777777" w:rsidR="00B67448" w:rsidRPr="007F0363" w:rsidRDefault="00B67448">
      <w:r w:rsidRPr="007F0363">
        <w:separator/>
      </w:r>
    </w:p>
  </w:endnote>
  <w:endnote w:type="continuationSeparator" w:id="0">
    <w:p w14:paraId="6E72B2C4" w14:textId="77777777" w:rsidR="00B67448" w:rsidRPr="007F0363" w:rsidRDefault="00B67448">
      <w:r w:rsidRPr="007F03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DAD8" w14:textId="77777777" w:rsidR="00420901" w:rsidRPr="007F0363" w:rsidRDefault="00420901" w:rsidP="008B6522">
    <w:pPr>
      <w:pStyle w:val="EPFooter"/>
    </w:pPr>
    <w:r w:rsidRPr="007F0363">
      <w:t>PE</w:t>
    </w:r>
    <w:r w:rsidRPr="007F0363">
      <w:rPr>
        <w:rStyle w:val="HideTWBExt"/>
      </w:rPr>
      <w:t>&lt;NoPE&gt;</w:t>
    </w:r>
    <w:r w:rsidRPr="007F0363">
      <w:t>778.065</w:t>
    </w:r>
    <w:r w:rsidRPr="007F0363">
      <w:rPr>
        <w:rStyle w:val="HideTWBExt"/>
      </w:rPr>
      <w:t>&lt;/NoPE&gt;&lt;Version&gt;</w:t>
    </w:r>
    <w:r w:rsidRPr="007F0363">
      <w:t>v02-00</w:t>
    </w:r>
    <w:r w:rsidRPr="007F0363">
      <w:rPr>
        <w:rStyle w:val="HideTWBExt"/>
      </w:rPr>
      <w:t>&lt;/Version&gt;</w:t>
    </w:r>
    <w:r w:rsidRPr="007F0363">
      <w:tab/>
    </w:r>
    <w:r w:rsidRPr="007F0363">
      <w:fldChar w:fldCharType="begin"/>
    </w:r>
    <w:r w:rsidRPr="007F0363">
      <w:instrText xml:space="preserve"> PAGE  \* MERGEFORMAT </w:instrText>
    </w:r>
    <w:r w:rsidRPr="007F0363">
      <w:fldChar w:fldCharType="separate"/>
    </w:r>
    <w:r w:rsidRPr="007F0363">
      <w:rPr>
        <w:noProof/>
      </w:rPr>
      <w:t>1</w:t>
    </w:r>
    <w:r w:rsidRPr="007F0363">
      <w:fldChar w:fldCharType="end"/>
    </w:r>
    <w:r w:rsidRPr="007F0363">
      <w:t>/</w:t>
    </w:r>
    <w:fldSimple w:instr=" NUMPAGES  \* MERGEFORMAT ">
      <w:r w:rsidRPr="007F0363">
        <w:rPr>
          <w:noProof/>
        </w:rPr>
        <w:t>1</w:t>
      </w:r>
    </w:fldSimple>
    <w:r w:rsidRPr="007F0363">
      <w:tab/>
    </w:r>
    <w:r w:rsidRPr="007F0363">
      <w:rPr>
        <w:rStyle w:val="HideTWBExt"/>
      </w:rPr>
      <w:t>&lt;PathFdR&gt;</w:t>
    </w:r>
    <w:r w:rsidRPr="007F0363">
      <w:t>RR\1339391EL.docx</w:t>
    </w:r>
    <w:r w:rsidRPr="007F0363">
      <w:rPr>
        <w:rStyle w:val="HideTWBExt"/>
      </w:rPr>
      <w:t>&lt;/PathFdR&gt;</w:t>
    </w:r>
  </w:p>
  <w:p w14:paraId="4C5C6044" w14:textId="77777777" w:rsidR="00420901" w:rsidRPr="007F0363" w:rsidRDefault="00420901" w:rsidP="008B6522">
    <w:pPr>
      <w:pStyle w:val="EPFooter2"/>
    </w:pPr>
    <w:r w:rsidRPr="007F0363">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C331" w14:textId="77777777" w:rsidR="00420901" w:rsidRPr="007F0363" w:rsidRDefault="00420901" w:rsidP="008B6522">
    <w:pPr>
      <w:pStyle w:val="EPFooter"/>
    </w:pPr>
    <w:r w:rsidRPr="007F0363">
      <w:rPr>
        <w:rStyle w:val="HideTWBExt"/>
      </w:rPr>
      <w:t>&lt;PathFdR&gt;</w:t>
    </w:r>
    <w:r w:rsidRPr="007F0363">
      <w:t>RR\1339391EL.docx</w:t>
    </w:r>
    <w:r w:rsidRPr="007F0363">
      <w:rPr>
        <w:rStyle w:val="HideTWBExt"/>
      </w:rPr>
      <w:t>&lt;/PathFdR&gt;</w:t>
    </w:r>
    <w:r w:rsidRPr="007F0363">
      <w:tab/>
    </w:r>
    <w:r w:rsidRPr="007F0363">
      <w:tab/>
      <w:t>PE</w:t>
    </w:r>
    <w:r w:rsidRPr="007F0363">
      <w:rPr>
        <w:rStyle w:val="HideTWBExt"/>
      </w:rPr>
      <w:t>&lt;NoPE&gt;</w:t>
    </w:r>
    <w:r w:rsidRPr="007F0363">
      <w:t>778.065</w:t>
    </w:r>
    <w:r w:rsidRPr="007F0363">
      <w:rPr>
        <w:rStyle w:val="HideTWBExt"/>
      </w:rPr>
      <w:t>&lt;/NoPE&gt;&lt;Version&gt;</w:t>
    </w:r>
    <w:r w:rsidRPr="007F0363">
      <w:t>v02-00</w:t>
    </w:r>
    <w:r w:rsidRPr="007F0363">
      <w:rPr>
        <w:rStyle w:val="HideTWBExt"/>
      </w:rPr>
      <w:t>&lt;/Version&gt;</w:t>
    </w:r>
  </w:p>
  <w:p w14:paraId="33B2FF5A" w14:textId="77777777" w:rsidR="00420901" w:rsidRPr="007F0363" w:rsidRDefault="00420901" w:rsidP="008B6522">
    <w:pPr>
      <w:pStyle w:val="EPFooter2"/>
    </w:pPr>
    <w:r w:rsidRPr="007F0363">
      <w:t>EL</w:t>
    </w:r>
    <w:r w:rsidRPr="007F0363">
      <w:tab/>
    </w:r>
    <w:r w:rsidRPr="007F0363">
      <w:rPr>
        <w:b w:val="0"/>
        <w:i/>
        <w:color w:val="C0C0C0"/>
        <w:sz w:val="22"/>
      </w:rPr>
      <w:t>Ενωμένη στην πολυμορφία</w:t>
    </w:r>
    <w:r w:rsidRPr="007F0363">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EA9A" w14:textId="77777777" w:rsidR="00064002" w:rsidRPr="007F0363"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F45F" w14:textId="77777777" w:rsidR="00064002" w:rsidRPr="007F036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206D" w14:textId="77777777" w:rsidR="00064002" w:rsidRPr="007F03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089F" w14:textId="77777777" w:rsidR="00B67448" w:rsidRPr="007F0363" w:rsidRDefault="00B67448">
      <w:r w:rsidRPr="007F0363">
        <w:separator/>
      </w:r>
    </w:p>
  </w:footnote>
  <w:footnote w:type="continuationSeparator" w:id="0">
    <w:p w14:paraId="1058B8DB" w14:textId="77777777" w:rsidR="00B67448" w:rsidRPr="007F0363" w:rsidRDefault="00B67448">
      <w:r w:rsidRPr="007F0363">
        <w:continuationSeparator/>
      </w:r>
    </w:p>
  </w:footnote>
  <w:footnote w:id="1">
    <w:p w14:paraId="79935194" w14:textId="0FACE052" w:rsidR="00420901" w:rsidRPr="000E22FF" w:rsidRDefault="00420901" w:rsidP="007F0363">
      <w:pPr>
        <w:pStyle w:val="FootnoteText"/>
        <w:ind w:left="567" w:hanging="567"/>
        <w:rPr>
          <w:sz w:val="24"/>
          <w:szCs w:val="24"/>
          <w:lang w:val="fi-FI"/>
        </w:rPr>
      </w:pPr>
      <w:r w:rsidRPr="000E22FF">
        <w:rPr>
          <w:rStyle w:val="FootnoteReference"/>
          <w:sz w:val="24"/>
          <w:szCs w:val="24"/>
          <w:lang w:val="el-GR"/>
        </w:rPr>
        <w:footnoteRef/>
      </w:r>
      <w:r w:rsidR="007F0363" w:rsidRPr="000E22FF">
        <w:rPr>
          <w:sz w:val="24"/>
          <w:szCs w:val="24"/>
          <w:lang w:val="fi-FI"/>
        </w:rPr>
        <w:t xml:space="preserve"> </w:t>
      </w:r>
      <w:r w:rsidR="007F0363" w:rsidRPr="000E22FF">
        <w:rPr>
          <w:sz w:val="24"/>
          <w:szCs w:val="24"/>
          <w:lang w:val="fi-FI"/>
        </w:rPr>
        <w:tab/>
      </w:r>
      <w:r w:rsidRPr="000E22FF">
        <w:rPr>
          <w:sz w:val="24"/>
          <w:szCs w:val="24"/>
          <w:lang w:val="el-GR"/>
        </w:rPr>
        <w:t>ΕΕ</w:t>
      </w:r>
      <w:r w:rsidRPr="000E22FF">
        <w:rPr>
          <w:sz w:val="24"/>
          <w:szCs w:val="24"/>
          <w:lang w:val="fi-FI"/>
        </w:rPr>
        <w:t xml:space="preserve"> L</w:t>
      </w:r>
      <w:r w:rsidR="00A15E58" w:rsidRPr="003B4B66">
        <w:rPr>
          <w:sz w:val="24"/>
          <w:szCs w:val="24"/>
          <w:lang w:val="fi-FI"/>
        </w:rPr>
        <w:t>,</w:t>
      </w:r>
      <w:r w:rsidRPr="000E22FF">
        <w:rPr>
          <w:sz w:val="24"/>
          <w:szCs w:val="24"/>
          <w:lang w:val="fi-FI"/>
        </w:rPr>
        <w:t xml:space="preserve"> </w:t>
      </w:r>
      <w:r w:rsidR="00C17880" w:rsidRPr="000E22FF">
        <w:rPr>
          <w:sz w:val="24"/>
          <w:szCs w:val="24"/>
          <w:lang w:val="fi-FI"/>
        </w:rPr>
        <w:t>2024/</w:t>
      </w:r>
      <w:r w:rsidRPr="000E22FF">
        <w:rPr>
          <w:sz w:val="24"/>
          <w:szCs w:val="24"/>
          <w:lang w:val="fi-FI"/>
        </w:rPr>
        <w:t xml:space="preserve">207, 22.2.2024, ELI: </w:t>
      </w:r>
      <w:hyperlink r:id="rId1" w:history="1">
        <w:r w:rsidRPr="000E22FF">
          <w:rPr>
            <w:rStyle w:val="Hyperlink"/>
            <w:sz w:val="24"/>
            <w:szCs w:val="24"/>
            <w:lang w:val="fi-FI"/>
          </w:rPr>
          <w:t>http://data.europa.eu/eli/budget/2024/207/oj</w:t>
        </w:r>
      </w:hyperlink>
      <w:r w:rsidRPr="000E22FF">
        <w:rPr>
          <w:sz w:val="24"/>
          <w:szCs w:val="24"/>
          <w:lang w:val="fi-FI"/>
        </w:rPr>
        <w:t>.</w:t>
      </w:r>
    </w:p>
  </w:footnote>
  <w:footnote w:id="2">
    <w:p w14:paraId="23ADA60F" w14:textId="247A8447"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ΕΕ C, C/2025/4944, 13.10.2025,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C</w:instrText>
      </w:r>
      <w:r w:rsidRPr="005822CB">
        <w:rPr>
          <w:lang w:val="el-GR"/>
        </w:rPr>
        <w:instrText>/2025/4944/</w:instrText>
      </w:r>
      <w:r>
        <w:instrText>oj</w:instrText>
      </w:r>
      <w:r w:rsidRPr="005822CB">
        <w:rPr>
          <w:lang w:val="el-GR"/>
        </w:rPr>
        <w:instrText>" \</w:instrText>
      </w:r>
      <w:r>
        <w:instrText>t</w:instrText>
      </w:r>
      <w:r w:rsidRPr="005822CB">
        <w:rPr>
          <w:lang w:val="el-GR"/>
        </w:rPr>
        <w:instrText xml:space="preserve"> "_</w:instrText>
      </w:r>
      <w:r>
        <w:instrText>blank</w:instrText>
      </w:r>
      <w:r w:rsidRPr="005822CB">
        <w:rPr>
          <w:lang w:val="el-GR"/>
        </w:rPr>
        <w:instrText>" \</w:instrText>
      </w:r>
      <w:r>
        <w:instrText>o</w:instrText>
      </w:r>
      <w:r w:rsidRPr="005822CB">
        <w:rPr>
          <w:lang w:val="el-GR"/>
        </w:rPr>
        <w:instrText xml:space="preserve"> "Πρόσβαση στο έγγραφο μέσω </w:instrText>
      </w:r>
      <w:r>
        <w:instrText>URI</w:instrText>
      </w:r>
      <w:r w:rsidRPr="005822CB">
        <w:rPr>
          <w:lang w:val="el-GR"/>
        </w:rPr>
        <w:instrText xml:space="preserve"> τύπου </w:instrText>
      </w:r>
      <w:r>
        <w:instrText>ELI</w:instrText>
      </w:r>
      <w:r w:rsidRPr="005822CB">
        <w:rPr>
          <w:lang w:val="el-GR"/>
        </w:rPr>
        <w:instrText>."</w:instrText>
      </w:r>
      <w:r>
        <w:fldChar w:fldCharType="separate"/>
      </w:r>
      <w:r w:rsidRPr="000E22FF">
        <w:rPr>
          <w:rStyle w:val="Hyperlink"/>
          <w:sz w:val="24"/>
          <w:szCs w:val="24"/>
          <w:lang w:val="el-GR"/>
        </w:rPr>
        <w:t>http://data.europa.eu/eli/C/2025/4944/oj</w:t>
      </w:r>
      <w:r>
        <w:fldChar w:fldCharType="end"/>
      </w:r>
      <w:r w:rsidRPr="000E22FF">
        <w:rPr>
          <w:sz w:val="24"/>
          <w:szCs w:val="24"/>
          <w:lang w:val="el-GR"/>
        </w:rPr>
        <w:t>.</w:t>
      </w:r>
    </w:p>
  </w:footnote>
  <w:footnote w:id="3">
    <w:p w14:paraId="57C85AB3" w14:textId="328B3797" w:rsidR="00420901" w:rsidRPr="000E22FF" w:rsidRDefault="00420901" w:rsidP="007F0363">
      <w:pPr>
        <w:pStyle w:val="FootnoteText"/>
        <w:ind w:left="567" w:hanging="567"/>
        <w:rPr>
          <w:sz w:val="24"/>
          <w:szCs w:val="24"/>
          <w:lang w:val="fi-FI"/>
        </w:rPr>
      </w:pPr>
      <w:r w:rsidRPr="000E22FF">
        <w:rPr>
          <w:rStyle w:val="FootnoteReference"/>
          <w:sz w:val="24"/>
          <w:szCs w:val="24"/>
          <w:lang w:val="el-GR"/>
        </w:rPr>
        <w:footnoteRef/>
      </w:r>
      <w:r w:rsidR="007F0363" w:rsidRPr="000E22FF">
        <w:rPr>
          <w:sz w:val="24"/>
          <w:szCs w:val="24"/>
          <w:lang w:val="fi-FI"/>
        </w:rPr>
        <w:t xml:space="preserve"> </w:t>
      </w:r>
      <w:r w:rsidR="007F0363" w:rsidRPr="000E22FF">
        <w:rPr>
          <w:sz w:val="24"/>
          <w:szCs w:val="24"/>
          <w:lang w:val="fi-FI"/>
        </w:rPr>
        <w:tab/>
      </w:r>
      <w:r w:rsidRPr="000E22FF">
        <w:rPr>
          <w:sz w:val="24"/>
          <w:szCs w:val="24"/>
          <w:lang w:val="el-GR"/>
        </w:rPr>
        <w:t>ΕΕ</w:t>
      </w:r>
      <w:r w:rsidRPr="000E22FF">
        <w:rPr>
          <w:sz w:val="24"/>
          <w:szCs w:val="24"/>
          <w:lang w:val="fi-FI"/>
        </w:rPr>
        <w:t xml:space="preserve"> C, C/2025/5409, 8.10.2025, ELI: </w:t>
      </w:r>
      <w:r>
        <w:fldChar w:fldCharType="begin"/>
      </w:r>
      <w:r w:rsidRPr="005822CB">
        <w:rPr>
          <w:lang w:val="fi-FI"/>
        </w:rPr>
        <w:instrText>HYPERLINK "http://data.europa.eu/eli/C/2025/5409/oj"</w:instrText>
      </w:r>
      <w:r>
        <w:fldChar w:fldCharType="separate"/>
      </w:r>
      <w:r w:rsidRPr="000E22FF">
        <w:rPr>
          <w:rStyle w:val="Hyperlink"/>
          <w:sz w:val="24"/>
          <w:szCs w:val="24"/>
          <w:lang w:val="fi-FI"/>
        </w:rPr>
        <w:t>http://data.europa.eu/eli/C/2025/5409/oj</w:t>
      </w:r>
      <w:r>
        <w:fldChar w:fldCharType="end"/>
      </w:r>
      <w:r w:rsidRPr="000E22FF">
        <w:rPr>
          <w:rStyle w:val="Hyperlink"/>
          <w:sz w:val="24"/>
          <w:szCs w:val="24"/>
          <w:lang w:val="fi-FI"/>
        </w:rPr>
        <w:t>.</w:t>
      </w:r>
    </w:p>
  </w:footnote>
  <w:footnote w:id="4">
    <w:p w14:paraId="3C4C6948" w14:textId="608C3F1E" w:rsidR="00420901" w:rsidRPr="000E22FF" w:rsidRDefault="00420901" w:rsidP="007F0363">
      <w:pPr>
        <w:pStyle w:val="FootnoteText"/>
        <w:ind w:left="567" w:hanging="567"/>
        <w:rPr>
          <w:sz w:val="24"/>
          <w:szCs w:val="24"/>
          <w:lang w:val="fi-FI"/>
        </w:rPr>
      </w:pPr>
      <w:r w:rsidRPr="000E22FF">
        <w:rPr>
          <w:rStyle w:val="FootnoteReference"/>
          <w:sz w:val="24"/>
          <w:szCs w:val="24"/>
          <w:lang w:val="el-GR"/>
        </w:rPr>
        <w:footnoteRef/>
      </w:r>
      <w:r w:rsidR="007F0363" w:rsidRPr="000E22FF">
        <w:rPr>
          <w:sz w:val="24"/>
          <w:szCs w:val="24"/>
          <w:lang w:val="fi-FI"/>
        </w:rPr>
        <w:t xml:space="preserve"> </w:t>
      </w:r>
      <w:r w:rsidR="007F0363" w:rsidRPr="000E22FF">
        <w:rPr>
          <w:sz w:val="24"/>
          <w:szCs w:val="24"/>
          <w:lang w:val="fi-FI"/>
        </w:rPr>
        <w:tab/>
      </w:r>
      <w:r w:rsidRPr="000E22FF">
        <w:rPr>
          <w:sz w:val="24"/>
          <w:szCs w:val="24"/>
          <w:lang w:val="el-GR"/>
        </w:rPr>
        <w:t>ΕΕ</w:t>
      </w:r>
      <w:r w:rsidRPr="000E22FF">
        <w:rPr>
          <w:sz w:val="24"/>
          <w:szCs w:val="24"/>
          <w:lang w:val="fi-FI"/>
        </w:rPr>
        <w:t xml:space="preserve"> C, C/2025/5407, 13.10.2025, ELI: </w:t>
      </w:r>
      <w:r>
        <w:fldChar w:fldCharType="begin"/>
      </w:r>
      <w:r w:rsidRPr="005822CB">
        <w:rPr>
          <w:lang w:val="fi-FI"/>
        </w:rPr>
        <w:instrText>HYPERLINK "http://data.europa.eu/eli/C/2025/5407/oj"</w:instrText>
      </w:r>
      <w:r>
        <w:fldChar w:fldCharType="separate"/>
      </w:r>
      <w:r w:rsidRPr="000E22FF">
        <w:rPr>
          <w:rStyle w:val="Hyperlink"/>
          <w:sz w:val="24"/>
          <w:szCs w:val="24"/>
          <w:lang w:val="fi-FI"/>
        </w:rPr>
        <w:t>http://data.europa.eu/eli/C/2025/5407/oj</w:t>
      </w:r>
      <w:r>
        <w:fldChar w:fldCharType="end"/>
      </w:r>
      <w:r w:rsidRPr="000E22FF">
        <w:rPr>
          <w:rStyle w:val="Hyperlink"/>
          <w:sz w:val="24"/>
          <w:szCs w:val="24"/>
          <w:lang w:val="fi-FI"/>
        </w:rPr>
        <w:t>.</w:t>
      </w:r>
    </w:p>
  </w:footnote>
  <w:footnote w:id="5">
    <w:p w14:paraId="5A6FCA58" w14:textId="4E885DD0"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 xml:space="preserve">ΕΕ L 193 της 30.7.2018, σ. 1,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reg</w:instrText>
      </w:r>
      <w:r w:rsidRPr="005822CB">
        <w:rPr>
          <w:lang w:val="el-GR"/>
        </w:rPr>
        <w:instrText>/2018/1046/</w:instrText>
      </w:r>
      <w:r>
        <w:instrText>oj</w:instrText>
      </w:r>
      <w:r w:rsidRPr="005822CB">
        <w:rPr>
          <w:lang w:val="el-GR"/>
        </w:rPr>
        <w:instrText>"</w:instrText>
      </w:r>
      <w:r>
        <w:fldChar w:fldCharType="separate"/>
      </w:r>
      <w:r w:rsidRPr="000E22FF">
        <w:rPr>
          <w:rStyle w:val="Hyperlink"/>
          <w:sz w:val="24"/>
          <w:szCs w:val="24"/>
          <w:lang w:val="el-GR"/>
        </w:rPr>
        <w:t>http://data.europa.eu/eli/reg/2018/1046/oj</w:t>
      </w:r>
      <w:r>
        <w:fldChar w:fldCharType="end"/>
      </w:r>
      <w:r w:rsidRPr="000E22FF">
        <w:rPr>
          <w:sz w:val="24"/>
          <w:szCs w:val="24"/>
          <w:lang w:val="el-GR"/>
        </w:rPr>
        <w:t>.</w:t>
      </w:r>
    </w:p>
  </w:footnote>
  <w:footnote w:id="6">
    <w:p w14:paraId="0DB26DFC" w14:textId="332EC3CC" w:rsidR="00420901" w:rsidRPr="000E22FF" w:rsidRDefault="00420901" w:rsidP="007F0363">
      <w:pPr>
        <w:pStyle w:val="FootnoteText"/>
        <w:ind w:left="567" w:hanging="567"/>
        <w:rPr>
          <w:sz w:val="24"/>
          <w:szCs w:val="24"/>
          <w:lang w:val="fi-FI"/>
        </w:rPr>
      </w:pPr>
      <w:r w:rsidRPr="000E22FF">
        <w:rPr>
          <w:rStyle w:val="FootnoteReference"/>
          <w:sz w:val="24"/>
          <w:szCs w:val="24"/>
          <w:lang w:val="el-GR"/>
        </w:rPr>
        <w:footnoteRef/>
      </w:r>
      <w:r w:rsidR="007F0363" w:rsidRPr="000E22FF">
        <w:rPr>
          <w:sz w:val="24"/>
          <w:szCs w:val="24"/>
          <w:lang w:val="fi-FI"/>
        </w:rPr>
        <w:t xml:space="preserve"> </w:t>
      </w:r>
      <w:r w:rsidR="007F0363" w:rsidRPr="000E22FF">
        <w:rPr>
          <w:sz w:val="24"/>
          <w:szCs w:val="24"/>
          <w:lang w:val="fi-FI"/>
        </w:rPr>
        <w:tab/>
      </w:r>
      <w:r w:rsidRPr="000E22FF">
        <w:rPr>
          <w:sz w:val="24"/>
          <w:szCs w:val="24"/>
          <w:lang w:val="el-GR"/>
        </w:rPr>
        <w:t>ΕΕ</w:t>
      </w:r>
      <w:r w:rsidRPr="000E22FF">
        <w:rPr>
          <w:sz w:val="24"/>
          <w:szCs w:val="24"/>
          <w:lang w:val="fi-FI"/>
        </w:rPr>
        <w:t xml:space="preserve"> L, 2024/2509, 26.9.2024, ELI: </w:t>
      </w:r>
      <w:r>
        <w:fldChar w:fldCharType="begin"/>
      </w:r>
      <w:r w:rsidRPr="005822CB">
        <w:rPr>
          <w:lang w:val="fi-FI"/>
        </w:rPr>
        <w:instrText>HYPERLINK "http://data.europa.eu/eli/reg/2024/2509/oj"</w:instrText>
      </w:r>
      <w:r>
        <w:fldChar w:fldCharType="separate"/>
      </w:r>
      <w:r w:rsidRPr="000E22FF">
        <w:rPr>
          <w:rStyle w:val="Hyperlink"/>
          <w:sz w:val="24"/>
          <w:szCs w:val="24"/>
          <w:lang w:val="fi-FI"/>
        </w:rPr>
        <w:t>http://data.europa.eu/eli/reg/2024/2509/oj</w:t>
      </w:r>
      <w:r>
        <w:fldChar w:fldCharType="end"/>
      </w:r>
      <w:r w:rsidRPr="000E22FF">
        <w:rPr>
          <w:sz w:val="24"/>
          <w:szCs w:val="24"/>
          <w:lang w:val="fi-FI"/>
        </w:rPr>
        <w:t>.</w:t>
      </w:r>
    </w:p>
  </w:footnote>
  <w:footnote w:id="7">
    <w:p w14:paraId="11321220" w14:textId="49E230DC"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ΕΕ L 253 της 16.7.2021, σ. 1,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reg</w:instrText>
      </w:r>
      <w:r w:rsidRPr="005822CB">
        <w:rPr>
          <w:lang w:val="el-GR"/>
        </w:rPr>
        <w:instrText>/2021/1163/</w:instrText>
      </w:r>
      <w:r>
        <w:instrText>oj</w:instrText>
      </w:r>
      <w:r w:rsidRPr="005822CB">
        <w:rPr>
          <w:lang w:val="el-GR"/>
        </w:rPr>
        <w:instrText>" \</w:instrText>
      </w:r>
      <w:r>
        <w:instrText>o</w:instrText>
      </w:r>
      <w:r w:rsidRPr="005822CB">
        <w:rPr>
          <w:lang w:val="el-GR"/>
        </w:rPr>
        <w:instrText xml:space="preserve"> "Πρόσβαση στο έγγραφο μέσω </w:instrText>
      </w:r>
      <w:r>
        <w:instrText>URI</w:instrText>
      </w:r>
      <w:r w:rsidRPr="005822CB">
        <w:rPr>
          <w:lang w:val="el-GR"/>
        </w:rPr>
        <w:instrText xml:space="preserve"> τύπου </w:instrText>
      </w:r>
      <w:r>
        <w:instrText>ELI</w:instrText>
      </w:r>
      <w:r w:rsidRPr="005822CB">
        <w:rPr>
          <w:lang w:val="el-GR"/>
        </w:rPr>
        <w:instrText>."</w:instrText>
      </w:r>
      <w:r>
        <w:fldChar w:fldCharType="separate"/>
      </w:r>
      <w:r w:rsidRPr="000E22FF">
        <w:rPr>
          <w:rStyle w:val="Hyperlink"/>
          <w:sz w:val="24"/>
          <w:szCs w:val="24"/>
          <w:lang w:val="el-GR"/>
        </w:rPr>
        <w:t>http://data.europa.eu/eli/reg/2021/1163/oj</w:t>
      </w:r>
      <w:r>
        <w:fldChar w:fldCharType="end"/>
      </w:r>
      <w:r w:rsidRPr="000E22FF">
        <w:rPr>
          <w:sz w:val="24"/>
          <w:szCs w:val="24"/>
          <w:lang w:val="el-GR"/>
        </w:rPr>
        <w:t>.</w:t>
      </w:r>
    </w:p>
  </w:footnote>
  <w:footnote w:id="8">
    <w:p w14:paraId="48EE043B" w14:textId="52249DDD"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color w:val="333333"/>
          <w:sz w:val="24"/>
          <w:szCs w:val="24"/>
          <w:shd w:val="clear" w:color="auto" w:fill="FFFFFF"/>
          <w:lang w:val="el-GR"/>
        </w:rPr>
        <w:t xml:space="preserve"> </w:t>
      </w:r>
      <w:r w:rsidR="007F0363" w:rsidRPr="000E22FF">
        <w:rPr>
          <w:color w:val="333333"/>
          <w:sz w:val="24"/>
          <w:szCs w:val="24"/>
          <w:shd w:val="clear" w:color="auto" w:fill="FFFFFF"/>
          <w:lang w:val="el-GR"/>
        </w:rPr>
        <w:tab/>
      </w:r>
      <w:r w:rsidRPr="000E22FF">
        <w:rPr>
          <w:color w:val="333333"/>
          <w:sz w:val="24"/>
          <w:szCs w:val="24"/>
          <w:shd w:val="clear" w:color="auto" w:fill="FFFFFF"/>
          <w:lang w:val="el-GR"/>
        </w:rPr>
        <w:t>ΕΕ C, C/2023/161, 10.10.2023,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C</w:instrText>
      </w:r>
      <w:r w:rsidRPr="005822CB">
        <w:rPr>
          <w:lang w:val="el-GR"/>
        </w:rPr>
        <w:instrText>/2023/161/</w:instrText>
      </w:r>
      <w:r>
        <w:instrText>oj</w:instrText>
      </w:r>
      <w:r w:rsidRPr="005822CB">
        <w:rPr>
          <w:lang w:val="el-GR"/>
        </w:rPr>
        <w:instrText>" \</w:instrText>
      </w:r>
      <w:r>
        <w:instrText>t</w:instrText>
      </w:r>
      <w:r w:rsidRPr="005822CB">
        <w:rPr>
          <w:lang w:val="el-GR"/>
        </w:rPr>
        <w:instrText xml:space="preserve"> "_</w:instrText>
      </w:r>
      <w:r>
        <w:instrText>blank</w:instrText>
      </w:r>
      <w:r w:rsidRPr="005822CB">
        <w:rPr>
          <w:lang w:val="el-GR"/>
        </w:rPr>
        <w:instrText>" \</w:instrText>
      </w:r>
      <w:r>
        <w:instrText>o</w:instrText>
      </w:r>
      <w:r w:rsidRPr="005822CB">
        <w:rPr>
          <w:lang w:val="el-GR"/>
        </w:rPr>
        <w:instrText xml:space="preserve"> "Πρόσβαση στο έγγραφο μέσω </w:instrText>
      </w:r>
      <w:r>
        <w:instrText>URI</w:instrText>
      </w:r>
      <w:r w:rsidRPr="005822CB">
        <w:rPr>
          <w:lang w:val="el-GR"/>
        </w:rPr>
        <w:instrText xml:space="preserve"> τύπου </w:instrText>
      </w:r>
      <w:r>
        <w:instrText>ELI</w:instrText>
      </w:r>
      <w:r w:rsidRPr="005822CB">
        <w:rPr>
          <w:lang w:val="el-GR"/>
        </w:rPr>
        <w:instrText>."</w:instrText>
      </w:r>
      <w:r>
        <w:fldChar w:fldCharType="separate"/>
      </w:r>
      <w:r w:rsidRPr="000E22FF">
        <w:rPr>
          <w:rStyle w:val="Hyperlink"/>
          <w:color w:val="23527C"/>
          <w:sz w:val="24"/>
          <w:szCs w:val="24"/>
          <w:lang w:val="el-GR"/>
        </w:rPr>
        <w:t>http://data.europa.eu/eli/C/2023/161/oj</w:t>
      </w:r>
      <w:r>
        <w:fldChar w:fldCharType="end"/>
      </w:r>
      <w:r w:rsidRPr="000E22FF">
        <w:rPr>
          <w:color w:val="23527C"/>
          <w:sz w:val="24"/>
          <w:szCs w:val="24"/>
          <w:lang w:val="el-GR"/>
        </w:rPr>
        <w:t>.</w:t>
      </w:r>
    </w:p>
  </w:footnote>
  <w:footnote w:id="9">
    <w:p w14:paraId="6E252485" w14:textId="45B7D96A"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fldChar w:fldCharType="begin"/>
      </w:r>
      <w:r>
        <w:instrText>HYPERLINK</w:instrText>
      </w:r>
      <w:r w:rsidRPr="005822CB">
        <w:rPr>
          <w:lang w:val="el-GR"/>
        </w:rPr>
        <w:instrText xml:space="preserve"> "</w:instrText>
      </w:r>
      <w:r>
        <w:instrText>https</w:instrText>
      </w:r>
      <w:r w:rsidRPr="005822CB">
        <w:rPr>
          <w:lang w:val="el-GR"/>
        </w:rPr>
        <w:instrText>://</w:instrText>
      </w:r>
      <w:r>
        <w:instrText>www</w:instrText>
      </w:r>
      <w:r w:rsidRPr="005822CB">
        <w:rPr>
          <w:lang w:val="el-GR"/>
        </w:rPr>
        <w:instrText>.</w:instrText>
      </w:r>
      <w:r>
        <w:instrText>ombudsman</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en</w:instrText>
      </w:r>
      <w:r w:rsidRPr="005822CB">
        <w:rPr>
          <w:lang w:val="el-GR"/>
        </w:rPr>
        <w:instrText>/</w:instrText>
      </w:r>
      <w:r>
        <w:instrText>doc</w:instrText>
      </w:r>
      <w:r w:rsidRPr="005822CB">
        <w:rPr>
          <w:lang w:val="el-GR"/>
        </w:rPr>
        <w:instrText>/</w:instrText>
      </w:r>
      <w:r>
        <w:instrText>declarations</w:instrText>
      </w:r>
      <w:r w:rsidRPr="005822CB">
        <w:rPr>
          <w:lang w:val="el-GR"/>
        </w:rPr>
        <w:instrText>-</w:instrText>
      </w:r>
      <w:r>
        <w:instrText>and</w:instrText>
      </w:r>
      <w:r w:rsidRPr="005822CB">
        <w:rPr>
          <w:lang w:val="el-GR"/>
        </w:rPr>
        <w:instrText>-</w:instrText>
      </w:r>
      <w:r>
        <w:instrText>transparency</w:instrText>
      </w:r>
      <w:r w:rsidRPr="005822CB">
        <w:rPr>
          <w:lang w:val="el-GR"/>
        </w:rPr>
        <w:instrText>/</w:instrText>
      </w:r>
      <w:r>
        <w:instrText>el</w:instrText>
      </w:r>
      <w:r w:rsidRPr="005822CB">
        <w:rPr>
          <w:lang w:val="el-GR"/>
        </w:rPr>
        <w:instrText>/196382"</w:instrText>
      </w:r>
      <w:r>
        <w:fldChar w:fldCharType="separate"/>
      </w:r>
      <w:r w:rsidRPr="000E22FF">
        <w:rPr>
          <w:rStyle w:val="Hyperlink"/>
          <w:sz w:val="24"/>
          <w:szCs w:val="24"/>
          <w:lang w:val="el-GR"/>
        </w:rPr>
        <w:t>https://www.ombudsman.europa.eu/en/doc/declarations-and-transparency/el/196382</w:t>
      </w:r>
      <w:r>
        <w:fldChar w:fldCharType="end"/>
      </w:r>
      <w:r w:rsidRPr="000E22FF">
        <w:rPr>
          <w:sz w:val="24"/>
          <w:szCs w:val="24"/>
          <w:lang w:val="el-GR"/>
        </w:rPr>
        <w:t xml:space="preserve"> και </w:t>
      </w:r>
      <w:hyperlink r:id="rId2" w:history="1">
        <w:r w:rsidRPr="000E22FF">
          <w:rPr>
            <w:rStyle w:val="Hyperlink"/>
            <w:sz w:val="24"/>
            <w:szCs w:val="24"/>
            <w:lang w:val="el-GR"/>
          </w:rPr>
          <w:t>https://www.ombudsman.europa.eu/en/doc/declarations-and-transparency/el/198831</w:t>
        </w:r>
      </w:hyperlink>
      <w:r w:rsidRPr="000E22FF">
        <w:rPr>
          <w:sz w:val="24"/>
          <w:szCs w:val="24"/>
          <w:lang w:val="el-GR"/>
        </w:rPr>
        <w:t>.</w:t>
      </w:r>
    </w:p>
  </w:footnote>
  <w:footnote w:id="10">
    <w:p w14:paraId="21F70166" w14:textId="00C511A2"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L 145 της 31.5.2001, σ. 43,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reg</w:instrText>
      </w:r>
      <w:r w:rsidRPr="005822CB">
        <w:rPr>
          <w:lang w:val="el-GR"/>
        </w:rPr>
        <w:instrText>/2001/1049/</w:instrText>
      </w:r>
      <w:r>
        <w:instrText>oj</w:instrText>
      </w:r>
      <w:r w:rsidRPr="005822CB">
        <w:rPr>
          <w:lang w:val="el-GR"/>
        </w:rPr>
        <w:instrText>" \</w:instrText>
      </w:r>
      <w:r>
        <w:instrText>o</w:instrText>
      </w:r>
      <w:r w:rsidRPr="005822CB">
        <w:rPr>
          <w:lang w:val="el-GR"/>
        </w:rPr>
        <w:instrText xml:space="preserve"> "Πρόσβαση στο έγγραφο μέσω </w:instrText>
      </w:r>
      <w:r>
        <w:instrText>URI</w:instrText>
      </w:r>
      <w:r w:rsidRPr="005822CB">
        <w:rPr>
          <w:lang w:val="el-GR"/>
        </w:rPr>
        <w:instrText xml:space="preserve"> τύπου </w:instrText>
      </w:r>
      <w:r>
        <w:instrText>ELI</w:instrText>
      </w:r>
      <w:r w:rsidRPr="005822CB">
        <w:rPr>
          <w:lang w:val="el-GR"/>
        </w:rPr>
        <w:instrText>."</w:instrText>
      </w:r>
      <w:r>
        <w:fldChar w:fldCharType="separate"/>
      </w:r>
      <w:r w:rsidRPr="000E22FF">
        <w:rPr>
          <w:rStyle w:val="Hyperlink"/>
          <w:sz w:val="24"/>
          <w:szCs w:val="24"/>
          <w:lang w:val="el-GR"/>
        </w:rPr>
        <w:t>http://data.europa.eu/eli/reg/2001/1049/oj</w:t>
      </w:r>
      <w:r>
        <w:fldChar w:fldCharType="end"/>
      </w:r>
      <w:r w:rsidRPr="000E22FF">
        <w:rPr>
          <w:sz w:val="24"/>
          <w:szCs w:val="24"/>
          <w:lang w:val="el-GR"/>
        </w:rPr>
        <w:t>).</w:t>
      </w:r>
    </w:p>
  </w:footnote>
  <w:footnote w:id="11">
    <w:p w14:paraId="1BFD5BEE" w14:textId="378A3A40" w:rsidR="00420901" w:rsidRPr="003B4B66" w:rsidRDefault="00420901" w:rsidP="007F0363">
      <w:pPr>
        <w:pStyle w:val="FootnoteText"/>
        <w:ind w:left="567" w:hanging="567"/>
        <w:rPr>
          <w:sz w:val="24"/>
          <w:szCs w:val="24"/>
          <w:lang w:val="fi-FI"/>
        </w:rPr>
      </w:pPr>
      <w:r w:rsidRPr="000E22FF">
        <w:rPr>
          <w:rStyle w:val="FootnoteReference"/>
          <w:sz w:val="24"/>
          <w:szCs w:val="24"/>
          <w:lang w:val="el-GR"/>
        </w:rPr>
        <w:footnoteRef/>
      </w:r>
      <w:r w:rsidR="007F0363" w:rsidRPr="003B4B66">
        <w:rPr>
          <w:sz w:val="24"/>
          <w:szCs w:val="24"/>
          <w:lang w:val="fi-FI"/>
        </w:rPr>
        <w:t xml:space="preserve"> </w:t>
      </w:r>
      <w:r w:rsidR="007F0363" w:rsidRPr="003B4B66">
        <w:rPr>
          <w:sz w:val="24"/>
          <w:szCs w:val="24"/>
          <w:lang w:val="fi-FI"/>
        </w:rPr>
        <w:tab/>
      </w:r>
      <w:r w:rsidR="00A15E58" w:rsidRPr="000E22FF">
        <w:rPr>
          <w:sz w:val="24"/>
          <w:szCs w:val="24"/>
          <w:lang w:val="el-GR"/>
        </w:rPr>
        <w:t>ΕΕ</w:t>
      </w:r>
      <w:r w:rsidR="00A15E58" w:rsidRPr="003B4B66">
        <w:rPr>
          <w:sz w:val="24"/>
          <w:szCs w:val="24"/>
          <w:lang w:val="fi-FI"/>
        </w:rPr>
        <w:t xml:space="preserve"> C, C/2024/4014, 17.7.2024, ELI: </w:t>
      </w:r>
      <w:r w:rsidR="00A15E58">
        <w:fldChar w:fldCharType="begin"/>
      </w:r>
      <w:r w:rsidR="00A15E58" w:rsidRPr="005822CB">
        <w:rPr>
          <w:lang w:val="fi-FI"/>
        </w:rPr>
        <w:instrText>HYPERLINK "http://data.europa.eu/eli/C/2024/4014/oj"</w:instrText>
      </w:r>
      <w:r w:rsidR="00A15E58">
        <w:fldChar w:fldCharType="separate"/>
      </w:r>
      <w:r w:rsidR="00A15E58" w:rsidRPr="003B4B66">
        <w:rPr>
          <w:rStyle w:val="Hyperlink"/>
          <w:sz w:val="24"/>
          <w:szCs w:val="24"/>
          <w:lang w:val="fi-FI"/>
        </w:rPr>
        <w:t>http://data.europa.eu/eli/C/2024/4014/oj</w:t>
      </w:r>
      <w:r w:rsidR="00A15E58">
        <w:fldChar w:fldCharType="end"/>
      </w:r>
      <w:r w:rsidR="00A15E58" w:rsidRPr="003B4B66">
        <w:rPr>
          <w:sz w:val="24"/>
          <w:szCs w:val="24"/>
          <w:lang w:val="fi-FI"/>
        </w:rPr>
        <w:t>.</w:t>
      </w:r>
    </w:p>
  </w:footnote>
  <w:footnote w:id="12">
    <w:p w14:paraId="61BC83F0" w14:textId="02CDF933"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r>
        <w:fldChar w:fldCharType="begin"/>
      </w:r>
      <w:r>
        <w:instrText>HYPERLINK</w:instrText>
      </w:r>
      <w:r w:rsidRPr="005822CB">
        <w:rPr>
          <w:lang w:val="el-GR"/>
        </w:rPr>
        <w:instrText xml:space="preserve"> "</w:instrText>
      </w:r>
      <w:r>
        <w:instrText>https</w:instrText>
      </w:r>
      <w:r w:rsidRPr="005822CB">
        <w:rPr>
          <w:lang w:val="el-GR"/>
        </w:rPr>
        <w:instrText>://</w:instrText>
      </w:r>
      <w:r>
        <w:instrText>eur</w:instrText>
      </w:r>
      <w:r w:rsidRPr="005822CB">
        <w:rPr>
          <w:lang w:val="el-GR"/>
        </w:rPr>
        <w:instrText>-</w:instrText>
      </w:r>
      <w:r>
        <w:instrText>lex</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reg</w:instrText>
      </w:r>
      <w:r w:rsidRPr="005822CB">
        <w:rPr>
          <w:lang w:val="el-GR"/>
        </w:rPr>
        <w:instrText>/2024/1689/</w:instrText>
      </w:r>
      <w:r>
        <w:instrText>oj</w:instrText>
      </w:r>
      <w:r w:rsidRPr="005822CB">
        <w:rPr>
          <w:lang w:val="el-GR"/>
        </w:rPr>
        <w:instrText>"</w:instrText>
      </w:r>
      <w:r>
        <w:fldChar w:fldCharType="separate"/>
      </w:r>
      <w:r w:rsidRPr="000E22FF">
        <w:rPr>
          <w:rStyle w:val="Hyperlink"/>
          <w:sz w:val="24"/>
          <w:szCs w:val="24"/>
          <w:lang w:val="el-GR"/>
        </w:rPr>
        <w:t>https://eur-lex.europa.eu/eli/reg/2024/1689/oj</w:t>
      </w:r>
      <w:r>
        <w:fldChar w:fldCharType="end"/>
      </w:r>
      <w:r w:rsidRPr="000E22FF">
        <w:rPr>
          <w:sz w:val="24"/>
          <w:szCs w:val="24"/>
          <w:lang w:val="el-GR"/>
        </w:rPr>
        <w:t>).</w:t>
      </w:r>
    </w:p>
  </w:footnote>
  <w:footnote w:id="13">
    <w:p w14:paraId="181E7D29" w14:textId="5E0382EF" w:rsidR="00420901" w:rsidRPr="000E22FF" w:rsidRDefault="00420901" w:rsidP="007F0363">
      <w:pPr>
        <w:pStyle w:val="FootnoteText"/>
        <w:ind w:left="567" w:hanging="567"/>
        <w:rPr>
          <w:sz w:val="24"/>
          <w:szCs w:val="24"/>
          <w:lang w:val="el-GR"/>
        </w:rPr>
      </w:pPr>
      <w:r w:rsidRPr="000E22FF">
        <w:rPr>
          <w:rStyle w:val="FootnoteReference"/>
          <w:sz w:val="24"/>
          <w:szCs w:val="24"/>
          <w:lang w:val="el-GR"/>
        </w:rPr>
        <w:footnoteRef/>
      </w:r>
      <w:r w:rsidR="007F0363" w:rsidRPr="000E22FF">
        <w:rPr>
          <w:sz w:val="24"/>
          <w:szCs w:val="24"/>
          <w:lang w:val="el-GR"/>
        </w:rPr>
        <w:t xml:space="preserve"> </w:t>
      </w:r>
      <w:r w:rsidR="007F0363" w:rsidRPr="000E22FF">
        <w:rPr>
          <w:sz w:val="24"/>
          <w:szCs w:val="24"/>
          <w:lang w:val="el-GR"/>
        </w:rPr>
        <w:tab/>
      </w:r>
      <w:r w:rsidRPr="000E22FF">
        <w:rPr>
          <w:sz w:val="24"/>
          <w:szCs w:val="24"/>
          <w:lang w:val="el-GR"/>
        </w:rPr>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ELI: </w:t>
      </w:r>
      <w:r>
        <w:fldChar w:fldCharType="begin"/>
      </w:r>
      <w:r>
        <w:instrText>HYPERLINK</w:instrText>
      </w:r>
      <w:r w:rsidRPr="005822CB">
        <w:rPr>
          <w:lang w:val="el-GR"/>
        </w:rPr>
        <w:instrText xml:space="preserve"> "</w:instrText>
      </w:r>
      <w:r>
        <w:instrText>http</w:instrText>
      </w:r>
      <w:r w:rsidRPr="005822CB">
        <w:rPr>
          <w:lang w:val="el-GR"/>
        </w:rPr>
        <w:instrText>://</w:instrText>
      </w:r>
      <w:r>
        <w:instrText>data</w:instrText>
      </w:r>
      <w:r w:rsidRPr="005822CB">
        <w:rPr>
          <w:lang w:val="el-GR"/>
        </w:rPr>
        <w:instrText>.</w:instrText>
      </w:r>
      <w:r>
        <w:instrText>europa</w:instrText>
      </w:r>
      <w:r w:rsidRPr="005822CB">
        <w:rPr>
          <w:lang w:val="el-GR"/>
        </w:rPr>
        <w:instrText>.</w:instrText>
      </w:r>
      <w:r>
        <w:instrText>eu</w:instrText>
      </w:r>
      <w:r w:rsidRPr="005822CB">
        <w:rPr>
          <w:lang w:val="el-GR"/>
        </w:rPr>
        <w:instrText>/</w:instrText>
      </w:r>
      <w:r>
        <w:instrText>eli</w:instrText>
      </w:r>
      <w:r w:rsidRPr="005822CB">
        <w:rPr>
          <w:lang w:val="el-GR"/>
        </w:rPr>
        <w:instrText>/</w:instrText>
      </w:r>
      <w:r>
        <w:instrText>reg</w:instrText>
      </w:r>
      <w:r w:rsidRPr="005822CB">
        <w:rPr>
          <w:lang w:val="el-GR"/>
        </w:rPr>
        <w:instrText>/2018/1725/</w:instrText>
      </w:r>
      <w:r>
        <w:instrText>oj</w:instrText>
      </w:r>
      <w:r w:rsidRPr="005822CB">
        <w:rPr>
          <w:lang w:val="el-GR"/>
        </w:rPr>
        <w:instrText>" \</w:instrText>
      </w:r>
      <w:r>
        <w:instrText>o</w:instrText>
      </w:r>
      <w:r w:rsidRPr="005822CB">
        <w:rPr>
          <w:lang w:val="el-GR"/>
        </w:rPr>
        <w:instrText xml:space="preserve"> "Πρόσβαση στο έγγραφο μέσω </w:instrText>
      </w:r>
      <w:r>
        <w:instrText>URI</w:instrText>
      </w:r>
      <w:r w:rsidRPr="005822CB">
        <w:rPr>
          <w:lang w:val="el-GR"/>
        </w:rPr>
        <w:instrText xml:space="preserve"> τύπου </w:instrText>
      </w:r>
      <w:r>
        <w:instrText>ELI</w:instrText>
      </w:r>
      <w:r w:rsidRPr="005822CB">
        <w:rPr>
          <w:lang w:val="el-GR"/>
        </w:rPr>
        <w:instrText>."</w:instrText>
      </w:r>
      <w:r>
        <w:fldChar w:fldCharType="separate"/>
      </w:r>
      <w:r w:rsidRPr="000E22FF">
        <w:rPr>
          <w:rStyle w:val="Hyperlink"/>
          <w:sz w:val="24"/>
          <w:szCs w:val="24"/>
          <w:lang w:val="el-GR"/>
        </w:rPr>
        <w:t>http://data.europa.eu/eli/reg/2018/1725/oj</w:t>
      </w:r>
      <w:r>
        <w:fldChar w:fldCharType="end"/>
      </w:r>
      <w:r w:rsidRPr="000E22FF">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ABAE1" w14:textId="77777777" w:rsidR="00064002" w:rsidRPr="007F03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F31FC" w14:textId="77777777" w:rsidR="00064002" w:rsidRPr="007F03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93D5" w14:textId="77777777" w:rsidR="00064002" w:rsidRPr="007F03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181371E"/>
    <w:multiLevelType w:val="hybridMultilevel"/>
    <w:tmpl w:val="FC74BA44"/>
    <w:lvl w:ilvl="0" w:tplc="4824F28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DE1CAD"/>
    <w:multiLevelType w:val="hybridMultilevel"/>
    <w:tmpl w:val="67B4CA52"/>
    <w:lvl w:ilvl="0" w:tplc="7D7A429E">
      <w:start w:val="1"/>
      <w:numFmt w:val="decimal"/>
      <w:lvlText w:val="%1."/>
      <w:lvlJc w:val="left"/>
      <w:pPr>
        <w:ind w:left="930" w:hanging="57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411853">
    <w:abstractNumId w:val="0"/>
  </w:num>
  <w:num w:numId="2" w16cid:durableId="1433823939">
    <w:abstractNumId w:val="1"/>
  </w:num>
  <w:num w:numId="3" w16cid:durableId="329330391">
    <w:abstractNumId w:val="2"/>
  </w:num>
  <w:num w:numId="4" w16cid:durableId="211794435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4/2026"/>
    <w:docVar w:name="dvlangue" w:val="EL"/>
    <w:docVar w:name="dvnumam" w:val="0"/>
    <w:docVar w:name="dvpe" w:val="778.065"/>
    <w:docVar w:name="dvrapporteur" w:val="Εισηγητής: "/>
    <w:docVar w:name="dvtitre" w:val="Ψήφισμα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VIII – Ευρωπαίος Διαμεσολαβητής(2025/2153(DEC))"/>
  </w:docVars>
  <w:rsids>
    <w:rsidRoot w:val="00B67448"/>
    <w:rsid w:val="00002272"/>
    <w:rsid w:val="00064002"/>
    <w:rsid w:val="000677B9"/>
    <w:rsid w:val="000831BA"/>
    <w:rsid w:val="000A42CC"/>
    <w:rsid w:val="000E22FF"/>
    <w:rsid w:val="000E7DD9"/>
    <w:rsid w:val="0010095E"/>
    <w:rsid w:val="00125B37"/>
    <w:rsid w:val="00187494"/>
    <w:rsid w:val="001F32AE"/>
    <w:rsid w:val="002767FF"/>
    <w:rsid w:val="002B18FE"/>
    <w:rsid w:val="002B5493"/>
    <w:rsid w:val="00343214"/>
    <w:rsid w:val="00361C00"/>
    <w:rsid w:val="00395FA1"/>
    <w:rsid w:val="003B4B66"/>
    <w:rsid w:val="003E15D4"/>
    <w:rsid w:val="00411CCE"/>
    <w:rsid w:val="0041666E"/>
    <w:rsid w:val="00420901"/>
    <w:rsid w:val="00421060"/>
    <w:rsid w:val="00471C19"/>
    <w:rsid w:val="004867E3"/>
    <w:rsid w:val="00494A28"/>
    <w:rsid w:val="004C0004"/>
    <w:rsid w:val="004C5D52"/>
    <w:rsid w:val="004F3D66"/>
    <w:rsid w:val="0050519A"/>
    <w:rsid w:val="005072A1"/>
    <w:rsid w:val="00514517"/>
    <w:rsid w:val="00545827"/>
    <w:rsid w:val="00560270"/>
    <w:rsid w:val="005822CB"/>
    <w:rsid w:val="005C2568"/>
    <w:rsid w:val="005F1B17"/>
    <w:rsid w:val="00601233"/>
    <w:rsid w:val="006037C0"/>
    <w:rsid w:val="006631B6"/>
    <w:rsid w:val="006646FF"/>
    <w:rsid w:val="00680577"/>
    <w:rsid w:val="006F74FA"/>
    <w:rsid w:val="00731ADD"/>
    <w:rsid w:val="00734777"/>
    <w:rsid w:val="00747932"/>
    <w:rsid w:val="00751A4A"/>
    <w:rsid w:val="00756632"/>
    <w:rsid w:val="00762C74"/>
    <w:rsid w:val="00786EC0"/>
    <w:rsid w:val="007D1690"/>
    <w:rsid w:val="007E22AD"/>
    <w:rsid w:val="007F0363"/>
    <w:rsid w:val="00817416"/>
    <w:rsid w:val="00842779"/>
    <w:rsid w:val="00865F67"/>
    <w:rsid w:val="00881A7B"/>
    <w:rsid w:val="008840E5"/>
    <w:rsid w:val="00887B3E"/>
    <w:rsid w:val="008C2AC6"/>
    <w:rsid w:val="00930C23"/>
    <w:rsid w:val="0093193B"/>
    <w:rsid w:val="009509D8"/>
    <w:rsid w:val="00950B64"/>
    <w:rsid w:val="00981893"/>
    <w:rsid w:val="00A15E58"/>
    <w:rsid w:val="00A1687D"/>
    <w:rsid w:val="00A43E52"/>
    <w:rsid w:val="00A4678D"/>
    <w:rsid w:val="00A550D6"/>
    <w:rsid w:val="00A778C7"/>
    <w:rsid w:val="00AB441E"/>
    <w:rsid w:val="00AB6293"/>
    <w:rsid w:val="00AE0928"/>
    <w:rsid w:val="00AF3B82"/>
    <w:rsid w:val="00B12E95"/>
    <w:rsid w:val="00B22876"/>
    <w:rsid w:val="00B558F0"/>
    <w:rsid w:val="00B67448"/>
    <w:rsid w:val="00BD48FE"/>
    <w:rsid w:val="00BD7BD8"/>
    <w:rsid w:val="00BE6ADC"/>
    <w:rsid w:val="00C05BFE"/>
    <w:rsid w:val="00C17880"/>
    <w:rsid w:val="00C23CD4"/>
    <w:rsid w:val="00C61C0C"/>
    <w:rsid w:val="00C941CB"/>
    <w:rsid w:val="00CB72CE"/>
    <w:rsid w:val="00CC2357"/>
    <w:rsid w:val="00CF071A"/>
    <w:rsid w:val="00CF55E1"/>
    <w:rsid w:val="00D058B8"/>
    <w:rsid w:val="00D56C11"/>
    <w:rsid w:val="00D834A0"/>
    <w:rsid w:val="00D872DF"/>
    <w:rsid w:val="00D91E21"/>
    <w:rsid w:val="00DA7FCD"/>
    <w:rsid w:val="00DB0178"/>
    <w:rsid w:val="00E365E1"/>
    <w:rsid w:val="00E454F2"/>
    <w:rsid w:val="00E820A4"/>
    <w:rsid w:val="00EB006A"/>
    <w:rsid w:val="00EB4772"/>
    <w:rsid w:val="00ED169E"/>
    <w:rsid w:val="00ED4235"/>
    <w:rsid w:val="00F04346"/>
    <w:rsid w:val="00F075DC"/>
    <w:rsid w:val="00F149E9"/>
    <w:rsid w:val="00F339E0"/>
    <w:rsid w:val="00F5134D"/>
    <w:rsid w:val="00F74202"/>
    <w:rsid w:val="00F8023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A2AE0"/>
  <w15:chartTrackingRefBased/>
  <w15:docId w15:val="{A83B86EB-3355-406E-9C78-7F41E0E5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09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0901"/>
    <w:pPr>
      <w:spacing w:before="480" w:after="240"/>
    </w:pPr>
  </w:style>
  <w:style w:type="paragraph" w:customStyle="1" w:styleId="PageHeading">
    <w:name w:val="PageHeading"/>
    <w:basedOn w:val="Normal"/>
    <w:rsid w:val="00420901"/>
    <w:pPr>
      <w:keepNext/>
      <w:spacing w:after="480"/>
      <w:jc w:val="center"/>
    </w:pPr>
    <w:rPr>
      <w:rFonts w:ascii="Arial" w:hAnsi="Arial" w:cs="Arial"/>
      <w:b/>
    </w:rPr>
  </w:style>
  <w:style w:type="paragraph" w:customStyle="1" w:styleId="NormalBold">
    <w:name w:val="NormalBold"/>
    <w:basedOn w:val="Normal"/>
    <w:rsid w:val="00420901"/>
    <w:rPr>
      <w:b/>
    </w:rPr>
  </w:style>
  <w:style w:type="paragraph" w:customStyle="1" w:styleId="NormalHanging12a">
    <w:name w:val="NormalHanging12a"/>
    <w:basedOn w:val="Normal"/>
    <w:link w:val="NormalHanging12aChar"/>
    <w:qFormat/>
    <w:rsid w:val="00420901"/>
    <w:pPr>
      <w:spacing w:after="240"/>
      <w:ind w:left="567" w:hanging="567"/>
    </w:pPr>
  </w:style>
  <w:style w:type="paragraph" w:styleId="Header">
    <w:name w:val="header"/>
    <w:basedOn w:val="Normal"/>
    <w:link w:val="HeaderChar"/>
    <w:rsid w:val="00420901"/>
    <w:pPr>
      <w:tabs>
        <w:tab w:val="center" w:pos="4513"/>
        <w:tab w:val="right" w:pos="9026"/>
      </w:tabs>
    </w:pPr>
  </w:style>
  <w:style w:type="character" w:customStyle="1" w:styleId="HeaderChar">
    <w:name w:val="Header Char"/>
    <w:basedOn w:val="DefaultParagraphFont"/>
    <w:link w:val="Header"/>
    <w:rsid w:val="00420901"/>
    <w:rPr>
      <w:sz w:val="24"/>
      <w:lang w:val="el-GR"/>
    </w:rPr>
  </w:style>
  <w:style w:type="paragraph" w:customStyle="1" w:styleId="EPFooter">
    <w:name w:val="EPFooter"/>
    <w:basedOn w:val="Normal"/>
    <w:rsid w:val="00420901"/>
    <w:pPr>
      <w:tabs>
        <w:tab w:val="center" w:pos="4535"/>
        <w:tab w:val="right" w:pos="9071"/>
      </w:tabs>
      <w:spacing w:before="240" w:after="240"/>
    </w:pPr>
    <w:rPr>
      <w:color w:val="010000"/>
      <w:sz w:val="22"/>
    </w:rPr>
  </w:style>
  <w:style w:type="character" w:styleId="Hyperlink">
    <w:name w:val="Hyperlink"/>
    <w:basedOn w:val="DefaultParagraphFont"/>
    <w:uiPriority w:val="99"/>
    <w:rsid w:val="00420901"/>
    <w:rPr>
      <w:color w:val="0563C1" w:themeColor="hyperlink"/>
      <w:u w:val="single"/>
    </w:rPr>
  </w:style>
  <w:style w:type="character" w:customStyle="1" w:styleId="NormalHanging12aChar">
    <w:name w:val="NormalHanging12a Char"/>
    <w:basedOn w:val="DefaultParagraphFont"/>
    <w:link w:val="NormalHanging12a"/>
    <w:locked/>
    <w:rsid w:val="00420901"/>
    <w:rPr>
      <w:sz w:val="24"/>
      <w:lang w:val="el-GR"/>
    </w:rPr>
  </w:style>
  <w:style w:type="paragraph" w:styleId="Footer">
    <w:name w:val="footer"/>
    <w:basedOn w:val="Normal"/>
    <w:link w:val="FooterChar"/>
    <w:rsid w:val="00CF55E1"/>
    <w:pPr>
      <w:tabs>
        <w:tab w:val="center" w:pos="4513"/>
        <w:tab w:val="right" w:pos="9026"/>
      </w:tabs>
    </w:pPr>
  </w:style>
  <w:style w:type="character" w:customStyle="1" w:styleId="FooterChar">
    <w:name w:val="Footer Char"/>
    <w:basedOn w:val="DefaultParagraphFont"/>
    <w:link w:val="Footer"/>
    <w:rsid w:val="00CF55E1"/>
    <w:rPr>
      <w:sz w:val="24"/>
      <w:lang w:val="el-GR"/>
    </w:rPr>
  </w:style>
  <w:style w:type="paragraph" w:styleId="ListParagraph">
    <w:name w:val="List Paragraph"/>
    <w:basedOn w:val="Normal"/>
    <w:uiPriority w:val="34"/>
    <w:qFormat/>
    <w:rsid w:val="00CF55E1"/>
    <w:pPr>
      <w:ind w:left="720"/>
      <w:contextualSpacing/>
    </w:pPr>
  </w:style>
  <w:style w:type="paragraph" w:styleId="Revision">
    <w:name w:val="Revision"/>
    <w:hidden/>
    <w:uiPriority w:val="99"/>
    <w:semiHidden/>
    <w:rsid w:val="00CF55E1"/>
    <w:rPr>
      <w:sz w:val="24"/>
      <w:lang w:val="el-GR"/>
    </w:rPr>
  </w:style>
  <w:style w:type="character" w:styleId="FollowedHyperlink">
    <w:name w:val="FollowedHyperlink"/>
    <w:basedOn w:val="DefaultParagraphFont"/>
    <w:rsid w:val="00CB72CE"/>
    <w:rPr>
      <w:color w:val="954F72" w:themeColor="followedHyperlink"/>
      <w:u w:val="single"/>
    </w:rPr>
  </w:style>
  <w:style w:type="character" w:styleId="UnresolvedMention">
    <w:name w:val="Unresolved Mention"/>
    <w:basedOn w:val="DefaultParagraphFont"/>
    <w:uiPriority w:val="99"/>
    <w:semiHidden/>
    <w:unhideWhenUsed/>
    <w:rsid w:val="00A15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ombudsman.europa.eu/en/doc/declarations-and-transparency/el/198831" TargetMode="External"/><Relationship Id="rId1" Type="http://schemas.openxmlformats.org/officeDocument/2006/relationships/hyperlink" Target="http://data.europa.eu/eli/budget/2024/2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8318</Words>
  <Characters>50262</Characters>
  <Application>Microsoft Office Word</Application>
  <DocSecurity>0</DocSecurity>
  <Lines>418</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2026-05-05T08:05:00Z</dcterms:created>
  <dcterms:modified xsi:type="dcterms:W3CDTF">2026-05-05T08:05:00Z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P10_TA(2026)0133_</vt:lpwstr>
  </property>
  <property fmtid="{D5CDD505-2E9C-101B-9397-08002B2CF9AE}" pid="4" name="&lt;Type&gt;">
    <vt:lpwstr>RR</vt:lpwstr>
  </property>
</Properties>
</file>