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A0FFF" w14:paraId="5FFEC6E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12073D8" w14:textId="77777777" w:rsidR="00751A4A" w:rsidRPr="00EA0FFF" w:rsidRDefault="00A0720D" w:rsidP="0010095E">
            <w:pPr>
              <w:pStyle w:val="EPName"/>
            </w:pPr>
            <w:r w:rsidRPr="00EA0FFF">
              <w:t>Európsky parlament</w:t>
            </w:r>
          </w:p>
          <w:p w14:paraId="5508D473" w14:textId="77777777" w:rsidR="00751A4A" w:rsidRPr="00EA0FF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A0FFF">
              <w:t>2024</w:t>
            </w:r>
            <w:r w:rsidR="00817416" w:rsidRPr="00EA0FFF">
              <w:t>-202</w:t>
            </w:r>
            <w:r w:rsidRPr="00EA0FFF">
              <w:t>9</w:t>
            </w:r>
          </w:p>
        </w:tc>
        <w:tc>
          <w:tcPr>
            <w:tcW w:w="2268" w:type="dxa"/>
            <w:shd w:val="clear" w:color="auto" w:fill="auto"/>
          </w:tcPr>
          <w:p w14:paraId="4ECB1559" w14:textId="77777777" w:rsidR="00751A4A" w:rsidRPr="00EA0FFF" w:rsidRDefault="00187494" w:rsidP="0010095E">
            <w:pPr>
              <w:pStyle w:val="EPLogo"/>
            </w:pPr>
            <w:r w:rsidRPr="00EA0FFF">
              <w:rPr>
                <w:noProof/>
                <w:lang w:eastAsia="ja-JP"/>
              </w:rPr>
              <w:drawing>
                <wp:inline distT="0" distB="0" distL="0" distR="0" wp14:anchorId="413FC870" wp14:editId="46F9480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218860" w14:textId="77777777" w:rsidR="00D058B8" w:rsidRPr="00EA0FFF" w:rsidRDefault="00D058B8" w:rsidP="004C5D52">
      <w:pPr>
        <w:pStyle w:val="LineTop"/>
      </w:pPr>
    </w:p>
    <w:p w14:paraId="3D799966" w14:textId="77777777" w:rsidR="00680577" w:rsidRPr="00EA0FFF" w:rsidRDefault="00A0720D" w:rsidP="00680577">
      <w:pPr>
        <w:pStyle w:val="EPBodyTA1"/>
      </w:pPr>
      <w:r w:rsidRPr="00EA0FFF">
        <w:t>PRIJATÉ TEXTY</w:t>
      </w:r>
    </w:p>
    <w:p w14:paraId="7CFEC5AD" w14:textId="77777777" w:rsidR="00D058B8" w:rsidRPr="00EA0FFF" w:rsidRDefault="00D058B8" w:rsidP="00D058B8">
      <w:pPr>
        <w:pStyle w:val="LineBottom"/>
      </w:pPr>
    </w:p>
    <w:p w14:paraId="54F28611" w14:textId="3CD225DD" w:rsidR="00A0720D" w:rsidRPr="00EA0FFF" w:rsidRDefault="00A0720D" w:rsidP="00A0720D">
      <w:pPr>
        <w:pStyle w:val="ATHeading1"/>
      </w:pPr>
      <w:bookmarkStart w:id="0" w:name="TANumber"/>
      <w:r w:rsidRPr="00EA0FFF">
        <w:t>P10_TA(2026)0</w:t>
      </w:r>
      <w:r w:rsidR="00EA0FFF" w:rsidRPr="00EA0FFF">
        <w:t>133</w:t>
      </w:r>
      <w:bookmarkEnd w:id="0"/>
    </w:p>
    <w:p w14:paraId="770E1CB4" w14:textId="77777777" w:rsidR="00A0720D" w:rsidRPr="00EA0FFF" w:rsidRDefault="00A0720D" w:rsidP="00A0720D">
      <w:pPr>
        <w:pStyle w:val="ATHeading2"/>
      </w:pPr>
      <w:bookmarkStart w:id="1" w:name="title"/>
      <w:r w:rsidRPr="00EA0FFF">
        <w:t>Absolutórium za rok 2024: všeobecný rozpočet EÚ – európsky ombudsman</w:t>
      </w:r>
      <w:bookmarkEnd w:id="1"/>
    </w:p>
    <w:p w14:paraId="7370201F" w14:textId="77777777" w:rsidR="00A0720D" w:rsidRPr="00EA0FFF" w:rsidRDefault="00A0720D" w:rsidP="00A0720D">
      <w:pPr>
        <w:rPr>
          <w:i/>
          <w:vanish/>
        </w:rPr>
      </w:pPr>
      <w:r w:rsidRPr="00EA0FFF">
        <w:rPr>
          <w:i/>
        </w:rPr>
        <w:fldChar w:fldCharType="begin"/>
      </w:r>
      <w:r w:rsidRPr="00EA0FFF">
        <w:rPr>
          <w:i/>
        </w:rPr>
        <w:instrText xml:space="preserve"> TC"(</w:instrText>
      </w:r>
      <w:bookmarkStart w:id="2" w:name="DocNumber"/>
      <w:r w:rsidRPr="00EA0FFF">
        <w:rPr>
          <w:i/>
        </w:rPr>
        <w:instrText>A10-0054/2026</w:instrText>
      </w:r>
      <w:bookmarkEnd w:id="2"/>
      <w:r w:rsidRPr="00EA0FFF">
        <w:rPr>
          <w:i/>
        </w:rPr>
        <w:instrText xml:space="preserve"> - Spravodajca: Pasquale Tridico)"\l3 \n&gt; \* MERGEFORMAT </w:instrText>
      </w:r>
      <w:r w:rsidRPr="00EA0FFF">
        <w:rPr>
          <w:i/>
        </w:rPr>
        <w:fldChar w:fldCharType="end"/>
      </w:r>
    </w:p>
    <w:p w14:paraId="2F8D337C" w14:textId="77777777" w:rsidR="00A0720D" w:rsidRPr="00EA0FFF" w:rsidRDefault="00A0720D" w:rsidP="00A0720D">
      <w:pPr>
        <w:rPr>
          <w:vanish/>
        </w:rPr>
      </w:pPr>
      <w:bookmarkStart w:id="3" w:name="Commission"/>
      <w:r w:rsidRPr="00EA0FFF">
        <w:rPr>
          <w:vanish/>
        </w:rPr>
        <w:t>Výbor pre kontrolu rozpočtu</w:t>
      </w:r>
      <w:bookmarkEnd w:id="3"/>
    </w:p>
    <w:p w14:paraId="56FCD704" w14:textId="77777777" w:rsidR="00A0720D" w:rsidRPr="00EA0FFF" w:rsidRDefault="00A0720D" w:rsidP="00A0720D">
      <w:pPr>
        <w:rPr>
          <w:vanish/>
        </w:rPr>
      </w:pPr>
      <w:bookmarkStart w:id="4" w:name="PE"/>
      <w:r w:rsidRPr="00EA0FFF">
        <w:rPr>
          <w:vanish/>
        </w:rPr>
        <w:t>PE778.065</w:t>
      </w:r>
      <w:bookmarkEnd w:id="4"/>
    </w:p>
    <w:p w14:paraId="3CD18C6B" w14:textId="72BDF01C" w:rsidR="00A0720D" w:rsidRPr="00EA0FFF" w:rsidRDefault="002A7DDF" w:rsidP="00A0720D">
      <w:pPr>
        <w:pStyle w:val="ATHeading3"/>
      </w:pPr>
      <w:bookmarkStart w:id="5" w:name="Sujet"/>
      <w:r w:rsidRPr="00EA0FFF">
        <w:t xml:space="preserve">1. </w:t>
      </w:r>
      <w:r w:rsidR="00A0720D" w:rsidRPr="00EA0FFF">
        <w:t xml:space="preserve">Rozhodnutie Európskeho parlamentu z </w:t>
      </w:r>
      <w:r w:rsidR="00BA4550" w:rsidRPr="00EA0FFF">
        <w:t>29</w:t>
      </w:r>
      <w:r w:rsidR="00A0720D" w:rsidRPr="00EA0FFF">
        <w:t xml:space="preserve">. </w:t>
      </w:r>
      <w:r w:rsidR="00874540" w:rsidRPr="00EA0FFF">
        <w:t xml:space="preserve">apríla </w:t>
      </w:r>
      <w:r w:rsidR="00A0720D" w:rsidRPr="00EA0FFF">
        <w:t>2026 o absolutóriu za plnenie všeobecného rozpočtu Európskej únie za rozpočtový rok 2024, oddiel VIII – Európsky ombudsman</w:t>
      </w:r>
      <w:bookmarkEnd w:id="5"/>
      <w:r w:rsidR="00A0720D" w:rsidRPr="00EA0FFF">
        <w:t xml:space="preserve"> </w:t>
      </w:r>
      <w:bookmarkStart w:id="6" w:name="References"/>
      <w:r w:rsidR="00A0720D" w:rsidRPr="00EA0FFF">
        <w:t>(2025/2153(DEC))</w:t>
      </w:r>
      <w:bookmarkEnd w:id="6"/>
    </w:p>
    <w:p w14:paraId="4AE8E39E" w14:textId="77777777" w:rsidR="00CA4656" w:rsidRPr="00EA0FFF" w:rsidRDefault="00CA4656" w:rsidP="00CA4656">
      <w:pPr>
        <w:pStyle w:val="EPComma"/>
      </w:pPr>
      <w:bookmarkStart w:id="7" w:name="TextBodyBegin"/>
      <w:bookmarkEnd w:id="7"/>
      <w:r w:rsidRPr="00EA0FFF">
        <w:rPr>
          <w:i/>
        </w:rPr>
        <w:t>Európsky parlament</w:t>
      </w:r>
      <w:r w:rsidRPr="00EA0FFF">
        <w:t>,</w:t>
      </w:r>
    </w:p>
    <w:p w14:paraId="6370FFBC" w14:textId="77777777" w:rsidR="00CA4656" w:rsidRPr="00EA0FFF" w:rsidRDefault="00CA4656" w:rsidP="00CA4656">
      <w:pPr>
        <w:pStyle w:val="NormalHanging12a"/>
      </w:pPr>
      <w:r w:rsidRPr="00EA0FFF">
        <w:t>–</w:t>
      </w:r>
      <w:r w:rsidRPr="00EA0FFF">
        <w:tab/>
        <w:t>so zreteľom na všeobecný rozpočet Európskej únie na rozpočtový rok 2024</w:t>
      </w:r>
      <w:r w:rsidRPr="00EA0FFF">
        <w:rPr>
          <w:rStyle w:val="FootnoteReference"/>
        </w:rPr>
        <w:footnoteReference w:id="1"/>
      </w:r>
      <w:r w:rsidRPr="00EA0FFF">
        <w:t>,</w:t>
      </w:r>
    </w:p>
    <w:p w14:paraId="010FB940" w14:textId="77777777" w:rsidR="00CA4656" w:rsidRPr="00EA0FFF" w:rsidRDefault="00CA4656" w:rsidP="00CA4656">
      <w:pPr>
        <w:pStyle w:val="NormalHanging12a"/>
      </w:pPr>
      <w:r w:rsidRPr="00EA0FFF">
        <w:t>–</w:t>
      </w:r>
      <w:r w:rsidRPr="00EA0FFF">
        <w:tab/>
        <w:t>so zreteľom na konsolidovanú ročnú účtovnú závierku Európskej únie za rozpočtový rok 2024 (COM(2025)0359 – C10</w:t>
      </w:r>
      <w:r w:rsidRPr="00EA0FFF">
        <w:noBreakHyphen/>
        <w:t>0153/2025)</w:t>
      </w:r>
      <w:r w:rsidRPr="00EA0FFF">
        <w:rPr>
          <w:rStyle w:val="FootnoteReference"/>
        </w:rPr>
        <w:footnoteReference w:id="2"/>
      </w:r>
      <w:r w:rsidRPr="00EA0FFF">
        <w:t>,</w:t>
      </w:r>
    </w:p>
    <w:p w14:paraId="53427995" w14:textId="77777777" w:rsidR="00CA4656" w:rsidRPr="00EA0FFF" w:rsidRDefault="00CA4656" w:rsidP="00CA4656">
      <w:pPr>
        <w:pStyle w:val="NormalHanging12a"/>
      </w:pPr>
      <w:r w:rsidRPr="00EA0FFF">
        <w:t>–</w:t>
      </w:r>
      <w:r w:rsidRPr="00EA0FFF">
        <w:tab/>
        <w:t>so zreteľom na výročnú správu o činnosti európskeho ombudsmana za rok 2024 a jeho správu o rozpočtovom a finančnom riadení za rozpočtový rok 2024,</w:t>
      </w:r>
    </w:p>
    <w:p w14:paraId="383F1ED9" w14:textId="77777777" w:rsidR="00CA4656" w:rsidRPr="00EA0FFF" w:rsidRDefault="00CA4656" w:rsidP="00CA4656">
      <w:pPr>
        <w:pStyle w:val="NormalHanging12a"/>
      </w:pPr>
      <w:r w:rsidRPr="00EA0FFF">
        <w:t>–</w:t>
      </w:r>
      <w:r w:rsidRPr="00EA0FFF">
        <w:tab/>
        <w:t>so zreteľom na výročnú správu Dvora audítorov o plnení rozpočtu za rozpočtový rok 2024 spolu s odpoveďami inštitúcií</w:t>
      </w:r>
      <w:r w:rsidRPr="00EA0FFF">
        <w:rPr>
          <w:rStyle w:val="FootnoteReference"/>
        </w:rPr>
        <w:footnoteReference w:id="3"/>
      </w:r>
      <w:r w:rsidRPr="00EA0FFF">
        <w:t>,</w:t>
      </w:r>
    </w:p>
    <w:p w14:paraId="688F4857" w14:textId="77777777" w:rsidR="00CA4656" w:rsidRPr="00EA0FFF" w:rsidRDefault="00CA4656" w:rsidP="00CA4656">
      <w:pPr>
        <w:pStyle w:val="NormalHanging12a"/>
      </w:pPr>
      <w:r w:rsidRPr="00EA0FFF">
        <w:t>–</w:t>
      </w:r>
      <w:r w:rsidRPr="00EA0FFF">
        <w:tab/>
        <w:t>so zreteľom na vyhlásenie o vierohodnosti</w:t>
      </w:r>
      <w:r w:rsidRPr="00EA0FFF">
        <w:rPr>
          <w:rStyle w:val="FootnoteReference"/>
        </w:rPr>
        <w:footnoteReference w:id="4"/>
      </w:r>
      <w:r w:rsidRPr="00EA0FFF">
        <w:t xml:space="preserve"> vedenia účtov a zákonnosti a správnosti príslušných operácií, ktoré poskytol Dvor audítorov za rozpočtový rok 2024 v súlade s článkom 287 Zmluvy o fungovaní Európskej únie,</w:t>
      </w:r>
    </w:p>
    <w:p w14:paraId="5BD725D1" w14:textId="77777777" w:rsidR="00CA4656" w:rsidRPr="00EA0FFF" w:rsidRDefault="00CA4656" w:rsidP="00CA4656">
      <w:pPr>
        <w:pStyle w:val="NormalHanging12a"/>
      </w:pPr>
      <w:r w:rsidRPr="00EA0FFF">
        <w:t>–</w:t>
      </w:r>
      <w:r w:rsidRPr="00EA0FFF">
        <w:tab/>
        <w:t>so zreteľom na článok 314 ods. 10 a články 317, 318 a 319 Zmluvy o fungovaní Európskej únie,</w:t>
      </w:r>
    </w:p>
    <w:p w14:paraId="67D2B890" w14:textId="77777777" w:rsidR="00CA4656" w:rsidRPr="00EA0FFF" w:rsidRDefault="00CA4656" w:rsidP="00CA4656">
      <w:pPr>
        <w:pStyle w:val="NormalHanging12a"/>
      </w:pPr>
      <w:r w:rsidRPr="00EA0FFF">
        <w:t>–</w:t>
      </w:r>
      <w:r w:rsidRPr="00EA0FFF">
        <w:tab/>
        <w:t xml:space="preserve">so zreteľom na nariadenie Európskeho parlamentu a Rady (EÚ, </w:t>
      </w:r>
      <w:proofErr w:type="spellStart"/>
      <w:r w:rsidRPr="00EA0FFF">
        <w:t>Euratom</w:t>
      </w:r>
      <w:proofErr w:type="spellEnd"/>
      <w:r w:rsidRPr="00EA0FFF">
        <w:t xml:space="preserve">) 2018/1046 z 18. júla 2018 o rozpočtových pravidlách, ktoré sa vzťahujú na všeobecný rozpočet Únie, o zmene nariadení (EÚ) č. 1296/2013, (EÚ) č. 1301/2013, (EÚ) č. 1303/2013, (EÚ) č. 1304/2013, (EÚ) č. 1309/2013, (EÚ) č. 1316/2013, (EÚ) č. 223/2014, (EÚ) č. 283/2014 a rozhodnutia č. 541/2014/EÚ a o zrušení nariadenia (EÚ, </w:t>
      </w:r>
      <w:proofErr w:type="spellStart"/>
      <w:r w:rsidRPr="00EA0FFF">
        <w:t>Euratom</w:t>
      </w:r>
      <w:proofErr w:type="spellEnd"/>
      <w:r w:rsidRPr="00EA0FFF">
        <w:t xml:space="preserve">) </w:t>
      </w:r>
      <w:r w:rsidRPr="00EA0FFF">
        <w:lastRenderedPageBreak/>
        <w:t>č. 966/2012</w:t>
      </w:r>
      <w:r w:rsidRPr="00EA0FFF">
        <w:rPr>
          <w:rStyle w:val="FootnoteReference"/>
        </w:rPr>
        <w:footnoteReference w:id="5"/>
      </w:r>
      <w:r w:rsidRPr="00EA0FFF">
        <w:t>, a najmä na jeho články 59, 118, 260, 261 a 262,</w:t>
      </w:r>
    </w:p>
    <w:p w14:paraId="19FF4CE6" w14:textId="7992FC47" w:rsidR="00CA4656" w:rsidRPr="00EA0FFF" w:rsidRDefault="00CA4656" w:rsidP="00CA4656">
      <w:pPr>
        <w:pStyle w:val="NormalHanging12a"/>
      </w:pPr>
      <w:r w:rsidRPr="00EA0FFF">
        <w:t>–</w:t>
      </w:r>
      <w:r w:rsidRPr="00EA0FFF">
        <w:tab/>
        <w:t xml:space="preserve">so zreteľom na nariadenie Európskeho parlamentu a Rady (EÚ, </w:t>
      </w:r>
      <w:proofErr w:type="spellStart"/>
      <w:r w:rsidRPr="00EA0FFF">
        <w:t>Euratom</w:t>
      </w:r>
      <w:proofErr w:type="spellEnd"/>
      <w:r w:rsidRPr="00EA0FFF">
        <w:t>) 2024/2509 z 23. septembra 2024 o rozpočtových pravidlách, ktoré sa vzťahujú na všeobecný rozpočet Únie</w:t>
      </w:r>
      <w:r w:rsidRPr="00EA0FFF">
        <w:rPr>
          <w:rStyle w:val="FootnoteReference"/>
        </w:rPr>
        <w:footnoteReference w:id="6"/>
      </w:r>
      <w:r w:rsidRPr="00EA0FFF">
        <w:t>, a najmä na jeho články 59, 118, 266, 267 a 268,</w:t>
      </w:r>
    </w:p>
    <w:p w14:paraId="7235CC33" w14:textId="77777777" w:rsidR="00CA4656" w:rsidRPr="00EA0FFF" w:rsidRDefault="00CA4656" w:rsidP="00CA4656">
      <w:pPr>
        <w:pStyle w:val="NormalHanging12a"/>
      </w:pPr>
      <w:r w:rsidRPr="00EA0FFF">
        <w:t>–</w:t>
      </w:r>
      <w:r w:rsidRPr="00EA0FFF">
        <w:tab/>
        <w:t>so zreteľom na článok 102 a prílohu V k rokovaciemu poriadku,</w:t>
      </w:r>
    </w:p>
    <w:p w14:paraId="14E7A6A8" w14:textId="77777777" w:rsidR="00CA4656" w:rsidRPr="00EA0FFF" w:rsidRDefault="00CA4656" w:rsidP="00CA4656">
      <w:pPr>
        <w:pStyle w:val="NormalHanging12a"/>
      </w:pPr>
      <w:r w:rsidRPr="00EA0FFF">
        <w:t>–</w:t>
      </w:r>
      <w:r w:rsidRPr="00EA0FFF">
        <w:tab/>
        <w:t>so zreteľom na správu Výboru pre kontrolu rozpočtu (A10-0054/2026),</w:t>
      </w:r>
    </w:p>
    <w:p w14:paraId="15F144B0" w14:textId="77777777" w:rsidR="00CA4656" w:rsidRPr="00EA0FFF" w:rsidRDefault="00CA4656" w:rsidP="00CA4656">
      <w:pPr>
        <w:pStyle w:val="NormalHanging12a"/>
      </w:pPr>
      <w:r w:rsidRPr="00EA0FFF">
        <w:t>1.</w:t>
      </w:r>
      <w:r w:rsidRPr="00EA0FFF">
        <w:tab/>
        <w:t>udeľuje európskej ombudsmanke absolutórium za plnenie rozpočtu európskeho ombudsmana za rozpočtový rok 2024;</w:t>
      </w:r>
    </w:p>
    <w:p w14:paraId="63E4DC9E" w14:textId="77777777" w:rsidR="00CA4656" w:rsidRPr="00EA0FFF" w:rsidRDefault="00CA4656" w:rsidP="00CA4656">
      <w:pPr>
        <w:pStyle w:val="NormalHanging12a"/>
      </w:pPr>
      <w:r w:rsidRPr="00EA0FFF">
        <w:t>2.</w:t>
      </w:r>
      <w:r w:rsidRPr="00EA0FFF">
        <w:tab/>
        <w:t>uvádza svoje poznámky v priloženom uznesení;</w:t>
      </w:r>
    </w:p>
    <w:p w14:paraId="5DF07A94" w14:textId="77777777" w:rsidR="00CA4656" w:rsidRPr="00EA0FFF" w:rsidRDefault="00CA4656" w:rsidP="00CA4656">
      <w:pPr>
        <w:pStyle w:val="NormalHanging12a"/>
      </w:pPr>
      <w:r w:rsidRPr="00EA0FFF">
        <w:t>3.</w:t>
      </w:r>
      <w:r w:rsidRPr="00EA0FFF">
        <w:tab/>
        <w:t>poveruje svoju predsedníčku, aby postúpila toto rozhodnutie a uznesenie, ktoré je jeho neoddeliteľnou súčasťou, európskej ombudsmanke, Európskej rade, Rade, Komisii, Dvoru audítorov, Súdnemu dvoru Európskej únie, európskemu dozornému úradníkovi pre ochranu údajov a Európskej službe pre vonkajšiu činnosť a aby zabezpečila ich uverejnenie v </w:t>
      </w:r>
      <w:r w:rsidRPr="00EA0FFF">
        <w:rPr>
          <w:i/>
        </w:rPr>
        <w:t>Úradnom vestníku Európskej únie</w:t>
      </w:r>
      <w:r w:rsidRPr="00EA0FFF">
        <w:t xml:space="preserve"> (v sérii L).</w:t>
      </w:r>
    </w:p>
    <w:p w14:paraId="6D9B7028" w14:textId="77777777" w:rsidR="00CA4656" w:rsidRPr="00EA0FFF" w:rsidRDefault="00CA4656" w:rsidP="00CA4656">
      <w:pPr>
        <w:pStyle w:val="NormalHanging12a"/>
      </w:pPr>
    </w:p>
    <w:p w14:paraId="7F2A9A0D" w14:textId="77777777" w:rsidR="00CA4656" w:rsidRPr="00EA0FFF" w:rsidRDefault="00CA4656" w:rsidP="00CA4656">
      <w:pPr>
        <w:pStyle w:val="PageHeading"/>
        <w:sectPr w:rsidR="00CA4656" w:rsidRPr="00EA0FFF" w:rsidSect="003E59E5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E181A32" w14:textId="7856C871" w:rsidR="002A7DDF" w:rsidRPr="00EA0FFF" w:rsidRDefault="002A7DDF" w:rsidP="002A7DDF">
      <w:pPr>
        <w:pStyle w:val="ATHeading3"/>
      </w:pPr>
      <w:r w:rsidRPr="00EA0FFF">
        <w:lastRenderedPageBreak/>
        <w:t xml:space="preserve">2. Uznesenie Európskeho parlamentu z </w:t>
      </w:r>
      <w:r w:rsidR="00000F2F" w:rsidRPr="00EA0FFF">
        <w:t>29</w:t>
      </w:r>
      <w:r w:rsidRPr="00EA0FFF">
        <w:t xml:space="preserve">. </w:t>
      </w:r>
      <w:r w:rsidR="00874540" w:rsidRPr="00EA0FFF">
        <w:t xml:space="preserve">apríla </w:t>
      </w:r>
      <w:r w:rsidRPr="00EA0FFF">
        <w:t xml:space="preserve">2026 s poznámkami, ktoré </w:t>
      </w:r>
      <w:r w:rsidR="00874540" w:rsidRPr="00EA0FFF">
        <w:t xml:space="preserve">je </w:t>
      </w:r>
      <w:r w:rsidRPr="00EA0FFF">
        <w:t>neoddeliteľnou súčasťou rozhodnutia o absolutóriu za plnenie všeobecného rozpočtu Európskej únie za rozpočtový rok 2024, oddiel VIII – Európsky ombudsman (2025/2153(DEC))</w:t>
      </w:r>
    </w:p>
    <w:p w14:paraId="4025226F" w14:textId="77777777" w:rsidR="00CA4656" w:rsidRPr="00EA0FFF" w:rsidRDefault="00CA4656" w:rsidP="00CA4656">
      <w:pPr>
        <w:pStyle w:val="EPComma"/>
      </w:pPr>
      <w:r w:rsidRPr="00EA0FFF">
        <w:rPr>
          <w:i/>
        </w:rPr>
        <w:t>Európsky parlament</w:t>
      </w:r>
      <w:r w:rsidRPr="00EA0FFF">
        <w:t>,</w:t>
      </w:r>
    </w:p>
    <w:p w14:paraId="6BA6CE71" w14:textId="77777777" w:rsidR="00CA4656" w:rsidRPr="00EA0FFF" w:rsidRDefault="00CA4656" w:rsidP="00CA4656">
      <w:pPr>
        <w:pStyle w:val="NormalHanging12a"/>
      </w:pPr>
      <w:r w:rsidRPr="00EA0FFF">
        <w:t>–</w:t>
      </w:r>
      <w:r w:rsidRPr="00EA0FFF">
        <w:tab/>
        <w:t>so zreteľom na svoje rozhodnutie o absolutóriu za plnenie všeobecného rozpočtu Európskej únie za rozpočtový rok 2024, oddiel VIII – Európsky ombudsman,</w:t>
      </w:r>
    </w:p>
    <w:p w14:paraId="794AC83F" w14:textId="77777777" w:rsidR="00CA4656" w:rsidRPr="00EA0FFF" w:rsidRDefault="00CA4656" w:rsidP="00CA4656">
      <w:pPr>
        <w:pStyle w:val="NormalHanging12a"/>
      </w:pPr>
      <w:r w:rsidRPr="00EA0FFF">
        <w:t>–</w:t>
      </w:r>
      <w:r w:rsidRPr="00EA0FFF">
        <w:tab/>
        <w:t>so zreteľom na článok 102 a prílohu V k rokovaciemu poriadku,</w:t>
      </w:r>
    </w:p>
    <w:p w14:paraId="44F11B30" w14:textId="77777777" w:rsidR="00CA4656" w:rsidRPr="00EA0FFF" w:rsidRDefault="00CA4656" w:rsidP="00CA4656">
      <w:pPr>
        <w:pStyle w:val="NormalHanging12a"/>
      </w:pPr>
      <w:r w:rsidRPr="00EA0FFF">
        <w:t>–</w:t>
      </w:r>
      <w:r w:rsidRPr="00EA0FFF">
        <w:tab/>
        <w:t>so zreteľom na správu Výboru pre kontrolu rozpočtu (A10-0054/2026),</w:t>
      </w:r>
    </w:p>
    <w:p w14:paraId="70ACD57A" w14:textId="77777777" w:rsidR="00CA4656" w:rsidRPr="00EA0FFF" w:rsidRDefault="00CA4656" w:rsidP="00CA4656">
      <w:pPr>
        <w:pStyle w:val="NormalHanging12a"/>
      </w:pPr>
      <w:r w:rsidRPr="00EA0FFF">
        <w:t>A.</w:t>
      </w:r>
      <w:r w:rsidRPr="00EA0FFF">
        <w:tab/>
        <w:t>keďže v súvislosti s postupom udelenia absolutória by chcel orgán udeľujúci absolutórium podčiarknuť mimoriadny význam ďalšieho posilňovania demokratickej legitimity inštitúcií Únie zvyšovaním transparentnosti a zodpovednosti a zavedením koncepcie zostavovania rozpočtu podľa výkonnosti, pričom sa má zabezpečiť správne a efektívne finančné riadenie orientované na výsledky a dobré riadenie ľudských zdrojov;</w:t>
      </w:r>
    </w:p>
    <w:p w14:paraId="3186AFBE" w14:textId="77777777" w:rsidR="00CA4656" w:rsidRPr="00EA0FFF" w:rsidRDefault="00CA4656" w:rsidP="00CA4656">
      <w:pPr>
        <w:pStyle w:val="NormalHanging12a"/>
      </w:pPr>
      <w:r w:rsidRPr="00EA0FFF">
        <w:t>B.</w:t>
      </w:r>
      <w:r w:rsidRPr="00EA0FFF">
        <w:tab/>
        <w:t>keďže v článku 228 Zmluvy o fungovaní Európskej únii sa stanovuje, že Európsky parlament volí európskeho ombudsmana (ďalej len „ombudsman“ alebo „ombudsmanka“), ktorý je oprávnený prijímať od občanov Únie alebo od fyzických či právnických osôb s bydliskom alebo zaregistrovaným sídlom v členskom štáte sťažnosti týkajúce sa prípadov nesprávneho úradného postupu inštitúcií, orgánov, úradov alebo agentúr Únie s výnimkou Súdneho dvora Európskej únie (SDEÚ) pri výkone jeho súdnych právomocí, prešetriť tieto sťažnosti a podávať o nich správy;</w:t>
      </w:r>
    </w:p>
    <w:p w14:paraId="1710E0C5" w14:textId="77777777" w:rsidR="00CA4656" w:rsidRPr="00EA0FFF" w:rsidRDefault="00CA4656" w:rsidP="00CA4656">
      <w:pPr>
        <w:pStyle w:val="NormalHanging12a"/>
      </w:pPr>
      <w:r w:rsidRPr="00EA0FFF">
        <w:t>C.</w:t>
      </w:r>
      <w:r w:rsidRPr="00EA0FFF">
        <w:tab/>
        <w:t xml:space="preserve">keďže v nariadení Európskeho parlamentu (EÚ, </w:t>
      </w:r>
      <w:proofErr w:type="spellStart"/>
      <w:r w:rsidRPr="00EA0FFF">
        <w:t>Euratom</w:t>
      </w:r>
      <w:proofErr w:type="spellEnd"/>
      <w:r w:rsidRPr="00EA0FFF">
        <w:t>) 2021/1163 z 24. júna 2021</w:t>
      </w:r>
      <w:r w:rsidRPr="00EA0FFF">
        <w:rPr>
          <w:rStyle w:val="FootnoteReference"/>
        </w:rPr>
        <w:footnoteReference w:id="7"/>
      </w:r>
      <w:r w:rsidRPr="00EA0FFF">
        <w:t xml:space="preserve"> sa stanovujú pravidlá a všeobecné podmienky upravujúce výkon funkcie ombudsmana (štatút európskeho ombudsmana);</w:t>
      </w:r>
    </w:p>
    <w:p w14:paraId="7D8BA9BF" w14:textId="34548486" w:rsidR="00CA4656" w:rsidRPr="00EA0FFF" w:rsidRDefault="00CA4656" w:rsidP="00CA4656">
      <w:pPr>
        <w:pStyle w:val="NormalHanging12a"/>
      </w:pPr>
      <w:r w:rsidRPr="00EA0FFF">
        <w:t>D.</w:t>
      </w:r>
      <w:r w:rsidRPr="00EA0FFF">
        <w:tab/>
        <w:t xml:space="preserve">keďže nová ombudsmanka po svojom zvolení </w:t>
      </w:r>
      <w:r w:rsidR="00BE3B0A" w:rsidRPr="00EA0FFF">
        <w:t>Európskym p</w:t>
      </w:r>
      <w:r w:rsidRPr="00EA0FFF">
        <w:t>arlamentom 17. decembra 2024 zložila prísahu 27. februára 2025, čím sa zabezpečila kontinuita a účinné plnenie mandátu ombudsmana pri podpore transparentnosti, dobrej správy vecí verejných a práv občanov v inštitúciách Únie;</w:t>
      </w:r>
    </w:p>
    <w:p w14:paraId="71FC0FD3" w14:textId="77777777" w:rsidR="00CA4656" w:rsidRPr="00EA0FFF" w:rsidRDefault="00CA4656" w:rsidP="00CA4656">
      <w:pPr>
        <w:pStyle w:val="NormalHanging12a"/>
        <w:rPr>
          <w:b/>
          <w:i/>
        </w:rPr>
      </w:pPr>
      <w:r w:rsidRPr="00EA0FFF">
        <w:t>E.</w:t>
      </w:r>
      <w:r w:rsidRPr="00EA0FFF">
        <w:rPr>
          <w:b/>
          <w:i/>
        </w:rPr>
        <w:tab/>
      </w:r>
      <w:r w:rsidRPr="00EA0FFF">
        <w:t>keďže zachovanie najprísnejších noriem inštitucionálnej nezávislosti a vyvarovanie sa akéhokoľvek podozrenia zo zvýhodňovania na vyšších pozíciách má zásadný význam pre zachovanie dôvery verejnosti v úlohu ombudsmana ako strážcu dobrej správy vecí verejných Únie;</w:t>
      </w:r>
    </w:p>
    <w:p w14:paraId="6DF81333" w14:textId="77777777" w:rsidR="00CA4656" w:rsidRPr="00EA0FFF" w:rsidRDefault="00CA4656" w:rsidP="00CA4656">
      <w:pPr>
        <w:pStyle w:val="NormalHanging12a"/>
      </w:pPr>
      <w:r w:rsidRPr="00EA0FFF">
        <w:t>F.</w:t>
      </w:r>
      <w:r w:rsidRPr="00EA0FFF">
        <w:tab/>
        <w:t xml:space="preserve">keďže </w:t>
      </w:r>
      <w:r w:rsidRPr="00EA0FFF">
        <w:rPr>
          <w:shd w:val="clear" w:color="auto" w:fill="FFFFFF"/>
        </w:rPr>
        <w:t xml:space="preserve">po prijatí nariadenia (EÚ, </w:t>
      </w:r>
      <w:proofErr w:type="spellStart"/>
      <w:r w:rsidRPr="00EA0FFF">
        <w:rPr>
          <w:shd w:val="clear" w:color="auto" w:fill="FFFFFF"/>
        </w:rPr>
        <w:t>Euratom</w:t>
      </w:r>
      <w:proofErr w:type="spellEnd"/>
      <w:r w:rsidRPr="00EA0FFF">
        <w:rPr>
          <w:shd w:val="clear" w:color="auto" w:fill="FFFFFF"/>
        </w:rPr>
        <w:t>) 2021/1163</w:t>
      </w:r>
      <w:r w:rsidRPr="00EA0FFF">
        <w:t xml:space="preserve"> ombudsmanka prijala 21. júna 2023 jeho zrevidované vykonávacie ustanovenia</w:t>
      </w:r>
      <w:r w:rsidRPr="00EA0FFF">
        <w:rPr>
          <w:rStyle w:val="FootnoteReference"/>
        </w:rPr>
        <w:footnoteReference w:id="8"/>
      </w:r>
      <w:r w:rsidRPr="00EA0FFF">
        <w:t>;</w:t>
      </w:r>
    </w:p>
    <w:p w14:paraId="61058DFA" w14:textId="77777777" w:rsidR="00CA4656" w:rsidRPr="00EA0FFF" w:rsidRDefault="00CA4656" w:rsidP="00CA4656">
      <w:pPr>
        <w:pStyle w:val="NormalHanging12a"/>
      </w:pPr>
      <w:r w:rsidRPr="00EA0FFF">
        <w:t>1.</w:t>
      </w:r>
      <w:r w:rsidRPr="00EA0FFF">
        <w:tab/>
        <w:t xml:space="preserve">poznamenáva, že rozpočet ombudsmana patrí do okruhu 7 VFR (Európska verejná správa), ktorý v roku 2024 predstavoval celkovo 13,3 miliardy EUR, t. j. 6,9 % rozpočtových výdavkov Únie; konštatuje, že rozpočet ombudsmana predstavoval </w:t>
      </w:r>
      <w:r w:rsidRPr="00EA0FFF">
        <w:lastRenderedPageBreak/>
        <w:t>0,10 % rozpočtových prostriedkov okruhu 7 VFR;</w:t>
      </w:r>
    </w:p>
    <w:p w14:paraId="2D2492CD" w14:textId="77777777" w:rsidR="00CA4656" w:rsidRPr="00EA0FFF" w:rsidRDefault="00CA4656" w:rsidP="00CA4656">
      <w:pPr>
        <w:pStyle w:val="NormalHanging12a"/>
      </w:pPr>
      <w:r w:rsidRPr="00EA0FFF">
        <w:t>2.</w:t>
      </w:r>
      <w:r w:rsidRPr="00EA0FFF">
        <w:tab/>
        <w:t>konštatuje, že Európsky dvor audítorov (ďalej len „Dvor audítorov“) vo svojej výročnej správe za rozpočtový rok 2024 (ďalej len „správa Dvora audítorov“) preskúmal vzorku 70 transakcií v oddiele Administratíva, teda rovnaký počet ako v roku 2023; berie na vedomie informáciu Dvora audítorov, že administratívne výdavky zahŕňajú výdavky na ľudské zdroje vrátane výdavkov na dôchodky, ktoré v roku 2024 predstavovali približne 69 % celkových administratívnych výdavkov, a výdavky na budovy, zariadenie, energie, komunikáciu a informačné technológie a že z jeho dlhoročnej práce vyplýva, že tieto výdavky sú celkovo nízkorizikové;</w:t>
      </w:r>
    </w:p>
    <w:p w14:paraId="6F209A49" w14:textId="77777777" w:rsidR="00CA4656" w:rsidRPr="00EA0FFF" w:rsidRDefault="00CA4656" w:rsidP="00CA4656">
      <w:pPr>
        <w:pStyle w:val="NormalHanging12a"/>
      </w:pPr>
      <w:r w:rsidRPr="00EA0FFF">
        <w:t>3.</w:t>
      </w:r>
      <w:r w:rsidRPr="00EA0FFF">
        <w:tab/>
        <w:t>konštatuje, že 16 (23 %) zo 70 operácií obsahovalo chyby, ale že Dvor audítorov na základe troch vyčíslených chýb odhaduje, že chybovosť bola pod prahom významnosti; konštatuje, že v správe Dvora audítorov nie sú uvedené žiadne konkrétne problémy týkajúce sa ombudsmana;</w:t>
      </w:r>
    </w:p>
    <w:p w14:paraId="50CBDE3A" w14:textId="77777777" w:rsidR="00CA4656" w:rsidRPr="00EA0FFF" w:rsidRDefault="00CA4656" w:rsidP="00CA4656">
      <w:pPr>
        <w:pStyle w:val="NormalHanging12a"/>
        <w:ind w:left="0" w:firstLine="0"/>
        <w:rPr>
          <w:b/>
          <w:i/>
        </w:rPr>
      </w:pPr>
      <w:r w:rsidRPr="00EA0FFF">
        <w:rPr>
          <w:b/>
          <w:i/>
        </w:rPr>
        <w:t>Rozpočtové a finančné riadenie</w:t>
      </w:r>
    </w:p>
    <w:p w14:paraId="38192CB7" w14:textId="77777777" w:rsidR="00CA4656" w:rsidRPr="00EA0FFF" w:rsidRDefault="00CA4656" w:rsidP="00CA4656">
      <w:pPr>
        <w:pStyle w:val="NormalHanging12a"/>
      </w:pPr>
      <w:r w:rsidRPr="00EA0FFF">
        <w:t>4.</w:t>
      </w:r>
      <w:r w:rsidRPr="00EA0FFF">
        <w:tab/>
        <w:t>konštatuje, že v roku 2024 bol rozpočet ombudsmanky na úrovni 13 843 160 EUR, čo v porovnaní s rokom 2023 predstavuje zvýšenie o 630 713 EUR (t. j. +4,77 %); berie na vedomie, že z odpovedí ombudsmanky na dotazník predložený Výborom pre kontrolu rozpočtu v súvislosti s udelením absolutória za rozpočtový rok 2024 (ďalej len „dotazník“) vyplýva, že toto zvýšenie je spôsobené najmä úpravami miezd;</w:t>
      </w:r>
    </w:p>
    <w:p w14:paraId="38D5338F" w14:textId="77777777" w:rsidR="00CA4656" w:rsidRPr="00EA0FFF" w:rsidRDefault="00CA4656" w:rsidP="00CA4656">
      <w:pPr>
        <w:pStyle w:val="NormalHanging12a"/>
      </w:pPr>
      <w:r w:rsidRPr="00EA0FFF">
        <w:t>5.</w:t>
      </w:r>
      <w:r w:rsidRPr="00EA0FFF">
        <w:tab/>
        <w:t>konštatuje, že vďaka úsiliu o monitorovanie rozpočtu v priebehu rozpočtového roka 2024 dosiahla miera plnenia rozpočtu 97,55 %, čo v porovnaní s rokom 2023 predstavuje zvýšenie o 2,16 %; upozorňuje, že táto miera zahŕňa aj rozpočtové prostriedky prenesené z roku 2024 na rok 2025; poznamenáva, že miera plnenia platobných rozpočtových prostriedkov v bežnom roku bola 97,08 %, čo v porovnaní s rokom 2023 predstavuje zníženie o 0,50 %; berie na vedomie zvýšenie prenesených rozpočtových prostriedkov (kredity C8) o 29,60 %, t. j. z 304 550 EUR v roku 2023 na 394 667 EUR v roku 2024; konštatuje zlepšenie miery plnenia automatických prenosov rozpočtových prostriedkov z predchádzajúceho roka, ktorá bola v roku 2024 na úrovni 76,59 % v porovnaní so 73,27 % v roku 2023; konštatuje však, že táto miera je naďalej nízka v porovnaní s rokom 2022 (92,59 %), a pripomína svoju výzvu adresovanú ombudsmanke, aby zvýšila úsilie o zlepšenie tejto miery;</w:t>
      </w:r>
    </w:p>
    <w:p w14:paraId="6627CEF0" w14:textId="77777777" w:rsidR="00CA4656" w:rsidRPr="00EA0FFF" w:rsidRDefault="00CA4656" w:rsidP="00CA4656">
      <w:pPr>
        <w:pStyle w:val="NormalHanging12a"/>
      </w:pPr>
      <w:r w:rsidRPr="00EA0FFF">
        <w:t>6.</w:t>
      </w:r>
      <w:r w:rsidRPr="00EA0FFF">
        <w:tab/>
        <w:t>konštatuje, že v priebehu roka 2024 ombudsmanka uskutočnila štyri rozpočtové presuny podľa článku 29 nariadenia o rozpočtových pravidlách, čo predstavuje celkovo 280 500 EUR, resp. 2,02 % rozpočtových prostriedkov na daný rozpočtový rok v porovnaní s 1,8 % v roku 2023; poznamenáva, že tieto presuny boli okrem iného potrebné na posilnenie rôznych rozpočtových položiek, napríklad na upratovanie, údržbu a spotrebu energie (+41 %), výdavky na služobné cesty (+38,60 %) a informatiku (+24,80 %); konštatuje, že v roku 2024 ombudsmanka výrazne znížila výdavky na preklady po úspešnej integrácii umelej inteligencie do prekladateľských postupov na webovom sídle úradu ombudsmana; konštatuje, že výsledné úspory sa prostredníctvom rozpočtových presunov použili na posilnenie iných oblastí;</w:t>
      </w:r>
    </w:p>
    <w:p w14:paraId="203AACCC" w14:textId="77777777" w:rsidR="00CA4656" w:rsidRPr="00EA0FFF" w:rsidRDefault="00CA4656" w:rsidP="00CA4656">
      <w:pPr>
        <w:pStyle w:val="NormalHanging12a"/>
      </w:pPr>
      <w:r w:rsidRPr="00EA0FFF">
        <w:t>7.</w:t>
      </w:r>
      <w:r w:rsidRPr="00EA0FFF">
        <w:tab/>
        <w:t xml:space="preserve">s uspokojením konštatuje, že z výročnej správy o činnosti ombudsmana za rok 2024 (ďalej len „výročná správa“) vyplýva, že všetky platby sa v roku 2024 uskutočnili v zákonom stanovenej lehote 30 dní; ďalej konštatuje, že priemerný čas úhrady faktúr </w:t>
      </w:r>
      <w:r w:rsidRPr="00EA0FFF">
        <w:lastRenderedPageBreak/>
        <w:t>bol 13,20 dňa, čo je zlepšenie oproti roku 2023 (13,50 dňa); v súvislosti s prechodom ombudsmana na nový finančný a účtovný systém (SUMMA) konštatuje, že úrad ombudsmana má zaplatiť 200 000 EUR za prístupové práva k tomuto systému, čo je rovnaká suma, akú majú zaplatiť iné, oveľa väčšie inštitúcie, úrady, orgány alebo agentúry Únie; konštatuje, že táto suma je dvojnásobkom rozpočtu ombudsmana na tento typ služieb; vyzýva Komisiu, aby našla riešenie, ktoré by úradu ombudsmana umožnilo prístup do systému SUMMA za cenu primeranú objemu činnosti ombudsmana; vyzýva na vytvorenie transparentného, objektívneho a primeraného nákladového modelu pre prístup k spoločným podnikovým finančným systémom s poplatkami, ktoré zodpovedajú veľkosti, rozpočtu a počtu používateľov v dotknutej inštitúcii, úrade, orgáne alebo agentúre, aby sa zabránilo neprimeranému zaťaženiu menších subjektov, a aby sa zabezpečil súlad s povinnosťami finančného riadenia bez toho, aby sa oslabili zdroje určené na ich hlavný mandát;</w:t>
      </w:r>
    </w:p>
    <w:p w14:paraId="0603DF43" w14:textId="296CCAB1" w:rsidR="00CA4656" w:rsidRPr="00EA0FFF" w:rsidRDefault="00CA4656" w:rsidP="00CA4656">
      <w:pPr>
        <w:pStyle w:val="NormalHanging12a"/>
      </w:pPr>
      <w:r w:rsidRPr="00EA0FFF">
        <w:t>8.</w:t>
      </w:r>
      <w:r w:rsidRPr="00EA0FFF">
        <w:tab/>
        <w:t xml:space="preserve">konštatuje, že vplyv nezákonnej útočnej vojny Ruska proti Ukrajine v roku 2024 naďalej vytváral rozpočtový tlak na úrad ombudsmana; konštatuje, že úrad ombudsmana najviac postihlo zvýšenie nákladov na energie; v tejto súvislosti poznamenáva, že s cieľom riešiť vplyv tohto zvýšenia na rozpočet ombudsmana bolo potrebné prepočítať paušálnu sumu, ktorú úrad ombudsmana zaplatil </w:t>
      </w:r>
      <w:r w:rsidR="00BE3B0A" w:rsidRPr="00EA0FFF">
        <w:t>Európskemu p</w:t>
      </w:r>
      <w:r w:rsidRPr="00EA0FFF">
        <w:t>arlamentu za nájomné; konštatuje, že v dôsledku toho sa skutočné výdavky úradu ombudsmana na energie v roku 2024 zvýšili o 75 %, a to zo 168 900 EUR v roku 2023 na 295 400 EUR v roku 2024; na základe informácií z dotazníka berie na vedomie názor ombudsmanky, že kumulatívny účinok inflačného tlaku a obmedzenie výdavkov nesúvisiacich s platmi na maximálne 2 % v porovnaní s predchádzajúcim rokom ovplyvní dlhodobú udržateľnosť rozpočtu úradu ombudsmana; zdôrazňuje, že ak sa tento tlak nebude primerane riešiť, môže oslabiť nákladovú efektívnosť, predvídateľnosť a udržateľnosť fungovania úradu ombudsmana; uznáva, že je potrebné, aby všetky inštitúcie, úrady, orgány alebo agentúry Únie zlepšili svoje rozpočtové riadenie tým, že pri uzatváraní zmlúv s poskytovateľmi služieb zohľadnia aj cenovú volatilitu, najmä v odvetví energetiky; zdôrazňuje, že rozpočtová disciplína musí byť v súlade s realistickým posúdením nákladov, aby sa chránili peniaze daňovníkov a zároveň zachovala kontinuita fungovania;</w:t>
      </w:r>
    </w:p>
    <w:p w14:paraId="5D98B5F3" w14:textId="331D8C51" w:rsidR="00CA4656" w:rsidRPr="00EA0FFF" w:rsidRDefault="00CA4656" w:rsidP="00CA4656">
      <w:pPr>
        <w:pStyle w:val="NormalHanging12a"/>
      </w:pPr>
      <w:r w:rsidRPr="00EA0FFF">
        <w:t>9.</w:t>
      </w:r>
      <w:r w:rsidRPr="00EA0FFF">
        <w:tab/>
        <w:t xml:space="preserve">konštatuje, že rozpočet na služobné cesty zamestnancov v roku 2024 predstavoval 120 000 EUR (rovnako ako v roku 2023); poznamenáva však, že v priebehu roka 2024 došlo k posilneniu rozpočtového článku na služobné cesty o +38,60 % prostredníctvom vnútorných presunov; berie na vedomie vysvetlenie ombudsmanky, že posilnenie rozpočtu bolo potrebné z dôvodu inflácie a zvýšenia nákladov na ubytovanie, zvýšenia počtu potrebných služobných ciest ombudsmanky a rozpočtových odhadov založených na výpočtoch z predchádzajúcich rokov, počas ktorých boli cesty obmedzené z dôvodu pandémie </w:t>
      </w:r>
      <w:r w:rsidR="00000F2F" w:rsidRPr="00EA0FFF">
        <w:t xml:space="preserve">ochorenia </w:t>
      </w:r>
      <w:r w:rsidRPr="00EA0FFF">
        <w:t>COVID-19; konštatuje, že počiatočný rozpočet na služobné cesty ombudsmanky bol v roku 2024 rovnaký ako v predchádzajúcich rokoch (2022 a 2023), t. j. 35 000 EUR; konštatuje, že po posilnení tohto rozpočtu prostredníctvom vnútorných presunov predstavovali skutočné výdavky na jej služobné cesty v roku 2024 celkovo 41 326 EUR</w:t>
      </w:r>
      <w:r w:rsidRPr="00EA0FFF">
        <w:rPr>
          <w:rStyle w:val="FootnoteReference"/>
        </w:rPr>
        <w:footnoteReference w:id="9"/>
      </w:r>
      <w:r w:rsidRPr="00EA0FFF">
        <w:t>; požaduje realistické počiatočné prognózy rozpočtu na služobné cesty, aby sa minimalizovalo využívanie rozsiahlych presunov v polovici roka a zabezpečilo stabilné finančné plánovanie;</w:t>
      </w:r>
    </w:p>
    <w:p w14:paraId="4689165A" w14:textId="77777777" w:rsidR="00CA4656" w:rsidRPr="00EA0FFF" w:rsidRDefault="00CA4656" w:rsidP="00CA4656">
      <w:pPr>
        <w:pStyle w:val="NormalHanging12a"/>
        <w:ind w:left="0" w:firstLine="0"/>
        <w:rPr>
          <w:b/>
          <w:i/>
        </w:rPr>
      </w:pPr>
      <w:r w:rsidRPr="00EA0FFF">
        <w:rPr>
          <w:b/>
          <w:i/>
        </w:rPr>
        <w:lastRenderedPageBreak/>
        <w:t>Vnútorné riadenie, výkonnosť a vnútorná kontrola</w:t>
      </w:r>
    </w:p>
    <w:p w14:paraId="142B43D4" w14:textId="77777777" w:rsidR="00CA4656" w:rsidRPr="00EA0FFF" w:rsidRDefault="00CA4656" w:rsidP="00CA4656">
      <w:pPr>
        <w:pStyle w:val="NormalHanging12a"/>
      </w:pPr>
      <w:r w:rsidRPr="00EA0FFF">
        <w:t>10.</w:t>
      </w:r>
      <w:r w:rsidRPr="00EA0FFF">
        <w:tab/>
        <w:t>konštatuje, že ombudsmanka prepojila ciele na vysokej úrovni stanovené v jej stratégii „V ústrety roku 2024“ s deviatimi kľúčovými ukazovateľmi výkonnosti (KPI) pozostávajúcimi zo 17 zložiek, ako sa uvádza v ročnom pláne riadenia ombudsmanky na rok 2024; konštatuje, že 13 z týchto zložiek KPI sa podarilo v roku 2024 dosiahnuť alebo prekročiť;</w:t>
      </w:r>
    </w:p>
    <w:p w14:paraId="5AD5DA48" w14:textId="77777777" w:rsidR="00CA4656" w:rsidRPr="00EA0FFF" w:rsidRDefault="00CA4656" w:rsidP="00CA4656">
      <w:pPr>
        <w:pStyle w:val="NormalHanging12a"/>
      </w:pPr>
      <w:r w:rsidRPr="00EA0FFF">
        <w:t>11.</w:t>
      </w:r>
      <w:r w:rsidRPr="00EA0FFF">
        <w:tab/>
        <w:t>konštatuje, že v roku 2024 ombudsmanka vybavila 2 264 nových sťažností (2 392 v roku 2023), začala 411 vyšetrovaní (392 v roku 2023), z toho 49 vyšetrovaní verejného významu (56 v roku 2023), ukončila 421 vyšetrovaní (372 v roku 2023) a zaoberala sa vysokým počtom sťažností týkajúcich sa prístupu verejnosti, ktorý sa zvýšil zo 167 v roku 2023 na (nový) rekordný počet 212 v roku 2024 (160 z nich bolo vybavených vyšetrovaním a 193 z nich bolo uzavretých);</w:t>
      </w:r>
    </w:p>
    <w:p w14:paraId="5923D3D2" w14:textId="4DA8C31D" w:rsidR="00CA4656" w:rsidRPr="00EA0FFF" w:rsidRDefault="00CA4656" w:rsidP="00CA4656">
      <w:pPr>
        <w:pStyle w:val="NormalHanging12a"/>
      </w:pPr>
      <w:r w:rsidRPr="00EA0FFF">
        <w:t>12.</w:t>
      </w:r>
      <w:r w:rsidRPr="00EA0FFF">
        <w:tab/>
        <w:t xml:space="preserve">oceňuje, že ombudsmanka skrátila čas potrebný na spracovanie spisov na rôznych úrovniach postupu, ako je čas potrebný na vybavenie sťažnosti (z 39 dní v roku 2023 na 36 dní v roku 2024) a na vybavenie sťažnosti v rámci jej mandátu (z 91 dní v roku 2023 na 86 dní v roku 2024); konštatuje však výrazné predĺženie priemerného času potrebného na uzavretie prípadov v oblasti prístupu verejnosti k dokumentom zo 42 dní v roku 2023 na 85 pracovných dní v roku 2024; konštatuje, že ombudsmanka prekročila svoj cieľ (100 %) v miere uzatvárania prípadov (t. j. pomeru uzavretých prípadov k počtu nových prípadov zaregistrovaných počas roka); vyjadruje však poľutovanie nad tým, že priemerný čas 168 dní na vybavenie vyšetrovania zostal v roku 2024 dlhý (165 dní v roku 2023), čo výrazne presahuje cieľovú hodnotu 150 dní; odporúča, aby ombudsmanka ešte spresnila kľúčové ukazovatele výkonnosti, pokiaľ ide o dĺžku riešenia prípadov tým, že sa lepšie zohľadní rôznorodá komplexnosť prípadov, aby sa zabezpečilo realistickejšie a zmysluplné posudzovanie výkonnosti zamerané na efektívnosť; uznáva, že zložité prípady, najmä tie, ktoré sa týkajú viacerých inštitúcií, úradov, orgánov alebo agentúr si môžu vyžadovať viac času na spracovanie; zdôrazňuje však, že príliš dlhé oneskorenie pri vybavovaní prípadov prístupu k dokumentom oslabujú práva občanov a všeobecne dôveru verejnosti v administratívu Únie; požaduje plán na riešenie týchto oneskorení a navrhuje, aby sa časť úspor dosiahnutých vďaka prekladom pomocou AI presmerovalo na posilnenie vyšetrovacích tímov, najmä pre prípady prístupu verejnosti; s uspokojením berie na vedomie správu ombudsmanky </w:t>
      </w:r>
      <w:r w:rsidR="00BE3B0A" w:rsidRPr="00EA0FFF">
        <w:t>Európskemu p</w:t>
      </w:r>
      <w:r w:rsidRPr="00EA0FFF">
        <w:t>arlamentu o opatreniach nadväzujúcich na udelenie absolutória za rozpočtový rok 2023 (ďalej len „správa o následných opatreniach“), že jedným z hlavných strategických cieľov novozvolenej ombudsmanky je posilniť spoluprácu a dialóg s inštitúciami, úradmi, orgánmi a agentúrami Únie s cieľom v konečnom dôsledku skrátiť čas potrebný na spracovanie vyšetrovaní;</w:t>
      </w:r>
    </w:p>
    <w:p w14:paraId="4E820D0F" w14:textId="77777777" w:rsidR="00CA4656" w:rsidRPr="00EA0FFF" w:rsidRDefault="00CA4656" w:rsidP="00CA4656">
      <w:pPr>
        <w:pStyle w:val="NormalHanging12a"/>
      </w:pPr>
      <w:r w:rsidRPr="00EA0FFF">
        <w:t>13.</w:t>
      </w:r>
      <w:r w:rsidRPr="00EA0FFF">
        <w:tab/>
        <w:t>pokiaľ ide o zistenia, konštatuje, že v roku 2024 ombudsmanka predložila návrh riešenia v 14 prípadoch a odporúčania v troch prípadoch týkajúcich sa prístupu verejnosti k dokumentom; berie na vedomie zlepšenie v oblasti pozitívnych reakcií inštitúcií, úradov, orgánov alebo agentúr Únie na návrhy ombudsmanky na zlepšenie ich administratívy, pričom celková miera vyhovenia dosiahla v roku 2024 úroveň 82 % (81 % v roku 2023), pričom táto miera zahŕňa aj prípady uzavreté v roku 2023; vyzýva ombudsmanku, aby vypracovala cielený akčný plán, ktorý bude zameraný na zisťovanie a riešenie najčastejších dôvodov zvyšných neprijatých návrhov, a žiada ombudsmanku, aby pokračovala v úsilí o dosahovanie vysokej miery rešpektovania jej zistení, odporúčaní a návrhov;</w:t>
      </w:r>
    </w:p>
    <w:p w14:paraId="6E3BD642" w14:textId="77777777" w:rsidR="00CA4656" w:rsidRPr="00EA0FFF" w:rsidRDefault="00CA4656" w:rsidP="00CA4656">
      <w:pPr>
        <w:pStyle w:val="NormalHanging12a"/>
      </w:pPr>
      <w:r w:rsidRPr="00EA0FFF">
        <w:lastRenderedPageBreak/>
        <w:t>14.</w:t>
      </w:r>
      <w:r w:rsidRPr="00EA0FFF">
        <w:tab/>
        <w:t>oceňuje, že ombudsmanka v roku 2024 pokračovala v úsilí o zlepšenie informovanosti občanov o úrade ombudsmana a porozumenia jeho mandátu; v tejto súvislosti s uspokojením konštatuje zvýšenie podielu sťažností v rámci mandátu z 33 % v roku 2022 a 37 % v roku 2023 na 39 % v roku 2024; na základe správy o následných opatreniach ďalej poznamenáva, že jedným z nových strategických cieľov ombudsmanky je začať cielené komunikačné aktivity s cieľom zabezpečiť, aby občania, ktorí potrebujú ombudsmana, vedeli o svojom práve a využívali jej služby; v tejto súvislosti konštatuje, že v dôsledku toho sa očakáva zvýšenie počtu sťažností, čo vyvolá potrebu preskúmať a prispôsobiť pracovné metódy a posilniť využívanie digitálnych nástrojov, najmä umelej inteligencie, s cieľom ďalej zefektívniť proces vybavovania sťažností; vyzýva ombudsmanku, aby posúdila prípadný vplyv očakávaného zvýšeného počtu sťažností na rozpočtové a ľudské zdroje a aby priebežne informovala orgán udeľujúci absolutórium o pokroku dosiahnutom v tejto veci;</w:t>
      </w:r>
    </w:p>
    <w:p w14:paraId="08978BB4" w14:textId="77777777" w:rsidR="00CA4656" w:rsidRPr="00EA0FFF" w:rsidRDefault="00CA4656" w:rsidP="00CA4656">
      <w:pPr>
        <w:pStyle w:val="NormalHanging12a"/>
      </w:pPr>
      <w:r w:rsidRPr="00EA0FFF">
        <w:t>15.</w:t>
      </w:r>
      <w:r w:rsidRPr="00EA0FFF">
        <w:tab/>
        <w:t>uznáva úsilie a pozitívny vplyv ombudsmanky v oblasti etiky, transparentnosti a zodpovednosti v roku 2024, najmä v dôsledku vyšetrovaní týkajúcich sa rôznych inštitúcií, úradov, orgánov a agentúr Únie; konštatuje, že prevažná väčšina týchto vyšetrovaní (65 %) sa v roku 2025 týkala Komisie;</w:t>
      </w:r>
    </w:p>
    <w:p w14:paraId="38D73742" w14:textId="77777777" w:rsidR="00CA4656" w:rsidRPr="00EA0FFF" w:rsidRDefault="00CA4656" w:rsidP="00CA4656">
      <w:pPr>
        <w:pStyle w:val="NormalHanging12a"/>
      </w:pPr>
      <w:bookmarkStart w:id="8" w:name="_Hlk215843998"/>
      <w:r w:rsidRPr="00EA0FFF">
        <w:t>16.</w:t>
      </w:r>
      <w:r w:rsidRPr="00EA0FFF">
        <w:tab/>
        <w:t>berie na vedomie najmä vyšetrovania ombudsmanky: (i) o tom, ako Rada a Komisia vybavujú žiadosti o prístup verejnosti k legislatívnym dokumentom (najmä o výnimkách na odmietnutie prístupu), pričom ombudsmanka dospela k záveru, že v mnohých prípadoch tieto dve inštitúcie uplatňujú výnimky podľa práva Únie o prístupe k dokumentom príliš široko a používajú pri tom odôvodnenia, ktoré už SDEÚ zamietol, ii) o prípadoch, keď Komisia odmietla poskytnúť prístup k dokumentom o revízii pravidiel Únie týkajúcich sa informovania spotrebiteľov o potravinách a prístup k príspevkom zainteresovaných strán a členských štátov týkajúcim sa tzv. aktu Únie o obnove prírody, a iii) o prípade, keď Komisia neuviedla žiadne dokumenty o výmenách s členskými štátmi alebo interných výmenách týkajúcich sa prípravy stretnutí na vysokej úrovni o memorande o porozumení o strategickom a globálnom partnerstve medzi EÚ a Tuniskom;</w:t>
      </w:r>
    </w:p>
    <w:bookmarkEnd w:id="8"/>
    <w:p w14:paraId="336FA1AA" w14:textId="77777777" w:rsidR="00CA4656" w:rsidRPr="00EA0FFF" w:rsidRDefault="00CA4656" w:rsidP="00CA4656">
      <w:pPr>
        <w:pStyle w:val="NormalHanging12a"/>
      </w:pPr>
      <w:r w:rsidRPr="00EA0FFF">
        <w:t>17.</w:t>
      </w:r>
      <w:r w:rsidRPr="00EA0FFF">
        <w:tab/>
        <w:t>víta vyšetrovania ombudsmanky v oblasti etiky, ktoré sa uskutočnili v roku 2024; berie na vedomie najmä prípad tzv. otáčavých dverí týkajúci sa dvoch bývalých zamestnancov Agentúry Európskej únie pre spoluprácu v oblasti presadzovania práva (</w:t>
      </w:r>
      <w:proofErr w:type="spellStart"/>
      <w:r w:rsidRPr="00EA0FFF">
        <w:t>Europol</w:t>
      </w:r>
      <w:proofErr w:type="spellEnd"/>
      <w:r w:rsidRPr="00EA0FFF">
        <w:t>), vyšetrovanie na základe sťažnosti na porušenie právnych predpisov v súvislosti s údajným konfliktom záujmov komisára pre poľnohospodárstvo a vyšetrovanie toho, ako Komisia zabezpečuje, aby nedochádzalo ku konfliktu záujmov u expertov, ktorí jej pomáhajú pri hodnotení návrhov financovaných z Európskeho obranného fondu;</w:t>
      </w:r>
    </w:p>
    <w:p w14:paraId="5C99C38F" w14:textId="05F1479E" w:rsidR="00CA4656" w:rsidRPr="00EA0FFF" w:rsidRDefault="00CA4656" w:rsidP="00CA4656">
      <w:pPr>
        <w:pStyle w:val="NormalHanging12a"/>
      </w:pPr>
      <w:r w:rsidRPr="00EA0FFF">
        <w:t>18.</w:t>
      </w:r>
      <w:r w:rsidRPr="00EA0FFF">
        <w:tab/>
        <w:t xml:space="preserve">na základe správy o následných opatreniach ďalej poznamenáva, že ombudsmanka naďalej monitorovala otázky transparentnosti a zodpovednosti súvisiace s Mechanizmom na podporu obnovy a odolnosti (RRF) v rámci vybavovania sťažností v oblasti prístupu verejnosti k dokumentom, najmä pokiaľ ide o rokovania o národných plánoch obnovy a odolnosti; medzi týmito problémami si všíma značné oneskorenia, s ktorými sa Komisia stretáva pri odpovediach na žiadosti o prístup k informáciám, a úroveň poskytnutého prístupu, ktoré by mohli narušiť dôveru občanov v administratívu Únie; oceňuje, že Komisia v prípade týkajúcom sa holandského plánu obnovy a odolnosti na základe návrhu riešenia od ombudsmanky umožnila širší prístup k 172 dokumentom; dôrazne však odsudzuje Komisiu za to, že jej trvalo 21 mesiacov, </w:t>
      </w:r>
      <w:r w:rsidRPr="00EA0FFF">
        <w:lastRenderedPageBreak/>
        <w:t>kým odpovedala na opakovanú žiadosť sťažovateľa (novinára), t. j. v júli 2024, keď už udelený prístup k dokumentom nebol užitočný na zamýšľaný účel; súhlasí s tým, že v záležitostiach významného verejného záujmu, ako je napríklad RRF, by nemalo dochádzať k výrazným omeškaniam pri sprístupňovaní dokumentov a domnieva sa, že takéto oneskorenia predstavujú odmietnutie transparentnosti a oslabujú demokratickú kontrolu; súhlasí s názorom ombudsmanky, že Komisia by mala pri uplatňovaní výnimiek z prístupu verejnosti podľa nariadenia</w:t>
      </w:r>
      <w:r w:rsidR="00F3211C">
        <w:t xml:space="preserve"> (ES)</w:t>
      </w:r>
      <w:r w:rsidRPr="00EA0FFF">
        <w:t xml:space="preserve"> č. 1049/2001</w:t>
      </w:r>
      <w:r w:rsidRPr="00EA0FFF">
        <w:rPr>
          <w:rStyle w:val="FootnoteReference"/>
        </w:rPr>
        <w:footnoteReference w:id="10"/>
      </w:r>
      <w:r w:rsidRPr="00EA0FFF">
        <w:t xml:space="preserve"> dôkladne zvážiť existenciu prevažujúceho verejného záujmu; vyzýva ombudsmanku, aby informovala príslušné výbory </w:t>
      </w:r>
      <w:r w:rsidR="00BE3B0A" w:rsidRPr="00EA0FFF">
        <w:t>Európskeho p</w:t>
      </w:r>
      <w:r w:rsidRPr="00EA0FFF">
        <w:t>arlamentu hneď, ako je meškanie Komisie v prípade dokumentov týkajúcich sa RRF príliš zdĺhavé, a umožnila tak včasnú politickú kontrolu; vyzýva okrem toho ombudsmanku, aby sa naďalej prednostne zameriavala na systematickú prácu na zbytočných prieťahoch v postupoch týkajúcich sa prístupu k dokumentom, a to aj tým, že identifikuje opakujúce sa administratívne prekážky a osvedčené postupy naprieč inštitúciami, úradmi, orgánmi a agentúrami; podporuje ombudsmanku pri presadzovaní jednotného uplatňovania testu tzv. vyššieho verejného záujmu, najmä v prípade spisov s veľkým vplyvom, aby sa prístup poskytoval včas, a teda mal zmysel na účely verejnej kontroly;</w:t>
      </w:r>
    </w:p>
    <w:p w14:paraId="11F025C2" w14:textId="77777777" w:rsidR="00CA4656" w:rsidRPr="00EA0FFF" w:rsidRDefault="00CA4656" w:rsidP="00CA4656">
      <w:pPr>
        <w:pStyle w:val="NormalHanging12a"/>
      </w:pPr>
      <w:r w:rsidRPr="00EA0FFF">
        <w:t>19.</w:t>
      </w:r>
      <w:r w:rsidRPr="00EA0FFF">
        <w:tab/>
        <w:t>pripomína, že podľa ombudsmanky by sa obmedzenia prístupu k dokumentom, najmä k legislatívnym dokumentom, mali uplatňovať výnimočne a obmedzovať na to, čo je absolútne nevyhnutné; tiež pripomína, že každé rozhodnutie o zamietnutí prístupu verejnosti k dokumentom musí byť založené na jasne a prísne vymedzených zákonných výnimkách s odôvodnením, v ktorom sa uvedú konkrétne dôvody, aby občania porozumeli zamietnutiu prístupu a mohli účinne využiť dostupné právne prostriedky nápravy; domnieva sa, že aktívnejší prístup by pomohol zabezpečiť skutočnú transparentnosť a predchádzať nákladným a zaťažujúcim právnym sporom medzi občanmi a inštitúciami</w:t>
      </w:r>
      <w:r w:rsidRPr="00EA0FFF">
        <w:rPr>
          <w:rStyle w:val="FootnoteReference"/>
        </w:rPr>
        <w:footnoteReference w:id="11"/>
      </w:r>
      <w:r w:rsidRPr="00EA0FFF">
        <w:t>; nabáda ombudsmanku, aby ďalej presadzovala proaktívne postupy zverejňovania, najmä v prípade legislatívnych dokumentov a dokumentov v rámci tvorby politík, s cieľom posilňovať transparentnosť v štádiu návrhu a znižovať administratívnu záťaž a riziko súdnych sporov spojené s opakovanými žiadosťami o prístup k dokumentom;</w:t>
      </w:r>
    </w:p>
    <w:p w14:paraId="44E55107" w14:textId="77777777" w:rsidR="00CA4656" w:rsidRPr="00EA0FFF" w:rsidRDefault="00CA4656" w:rsidP="00CA4656">
      <w:pPr>
        <w:pStyle w:val="NormalHanging12a"/>
        <w:rPr>
          <w:b/>
          <w:bCs/>
        </w:rPr>
      </w:pPr>
      <w:r w:rsidRPr="00EA0FFF">
        <w:t>20.</w:t>
      </w:r>
      <w:r w:rsidRPr="00EA0FFF">
        <w:tab/>
        <w:t>pripomína, že vnútorný audítor preskúmal rámec ombudsmana pre riadenie rizika, pričom bol dohodnutý deväťbodový akčný plán, ktorý sa mal realizovať do konca roka 2024; na základe informácií z dotazníka a správy o následných opatreniach konštatuje, že sa vykonali všetky opatrenia vrátane prijatia novej metodiky posudzovania rizika; vyzýva ombudsmanku, aby informovala orgán udeľujúci absolutórium o výsledku preskúmania plnenia tohto akčného plánu, ktoré vykonal vnútorný audítor; žiada ombudsmanku, aby orgán udeľujúci absolutórium informovala aj o opatreniach prijatých v nadväznosti na odporúčania uvedené v správach z vnútorného auditu č. 20/04 (o bezpečnosti IT), č. 21/03 (o rámci ochrany údajov) a č. 22/03 (o etickom rámci);</w:t>
      </w:r>
    </w:p>
    <w:p w14:paraId="2C62534F" w14:textId="77777777" w:rsidR="00CA4656" w:rsidRPr="00EA0FFF" w:rsidRDefault="00CA4656" w:rsidP="00CA4656">
      <w:pPr>
        <w:pStyle w:val="NormalHanging12a"/>
        <w:rPr>
          <w:b/>
          <w:i/>
        </w:rPr>
      </w:pPr>
      <w:r w:rsidRPr="00EA0FFF">
        <w:rPr>
          <w:b/>
          <w:i/>
        </w:rPr>
        <w:t>Ľudské zdroje, rovnosť a dobré pracovné podmienky zamestnancov</w:t>
      </w:r>
    </w:p>
    <w:p w14:paraId="5322C867" w14:textId="77777777" w:rsidR="00CA4656" w:rsidRPr="00EA0FFF" w:rsidRDefault="00CA4656" w:rsidP="00CA4656">
      <w:pPr>
        <w:pStyle w:val="NormalHanging12a"/>
      </w:pPr>
      <w:bookmarkStart w:id="9" w:name="_Hlk215163299"/>
      <w:r w:rsidRPr="00EA0FFF">
        <w:t>21.</w:t>
      </w:r>
      <w:r w:rsidRPr="00EA0FFF">
        <w:tab/>
        <w:t xml:space="preserve">berie na vedomie zníženie celkového počtu zamestnancov úradu ombudsmana o 4,90 % </w:t>
      </w:r>
      <w:r w:rsidRPr="00EA0FFF">
        <w:lastRenderedPageBreak/>
        <w:t>z 82 v roku 2023 na 78 v roku 2024; ďalej konštatuje, že v roku 2024 bolo na úrade ombudsmana zamestnaných 46 úradníkov (40 v roku 2023) a 9 zmluvných zamestnancov (rovnako ako v roku 2023); berie na vedomie mierne zníženie podielu zamestnancov pracujúcich na hlavných činnostiach ombudsmana (sťažnosti a vyšetrovania) zo 42,68 % v roku 2023 na 42,30 % v roku 2024; ďalej konštatuje, že miera obsadenosti pracovných miest sa zvýšila z 95 % v roku 2023 na 97 % v roku 2024 a miera fluktuácie sa zvýšila z 5,20 % v roku 2023 na 6,40 % v roku 2024; pripomína význam uzatvárania pracovných zmlúv na neurčitý čas s cieľom udržiavať kvalifikáciu, kontinuitu a produktívne pracovné prostredie; zdôrazňuje, že v dôsledku klesajúceho počtu zamestnancov pracujúcich v hlavných oblastiach pôsobenia a značného využívania dočasných zmlúv sa môže znížiť inštitucionálna pamäť a účinnosť úradu ombudsmana;</w:t>
      </w:r>
    </w:p>
    <w:p w14:paraId="786EF4ED" w14:textId="0D18EFB9" w:rsidR="00CA4656" w:rsidRPr="00EA0FFF" w:rsidRDefault="00CA4656" w:rsidP="00CA4656">
      <w:pPr>
        <w:pStyle w:val="NormalHanging12a"/>
      </w:pPr>
      <w:r w:rsidRPr="00EA0FFF">
        <w:t>22.</w:t>
      </w:r>
      <w:r w:rsidRPr="00EA0FFF">
        <w:tab/>
        <w:t xml:space="preserve">pripomína, že miesto generálneho tajomníka ombudsmanky je neobsadené už viac ako dva roky, a to od 1. septembra 2022; berie na vedomie, že na základe viacerých výziev </w:t>
      </w:r>
      <w:r w:rsidR="00BE3B0A" w:rsidRPr="00EA0FFF">
        <w:t>Európskeho p</w:t>
      </w:r>
      <w:r w:rsidRPr="00EA0FFF">
        <w:t xml:space="preserve">arlamentu, aby sa toto voľné miesto obsadilo, ombudsmanka začala </w:t>
      </w:r>
      <w:proofErr w:type="spellStart"/>
      <w:r w:rsidRPr="00EA0FFF">
        <w:t>medziinštitucionálny</w:t>
      </w:r>
      <w:proofErr w:type="spellEnd"/>
      <w:r w:rsidRPr="00EA0FFF">
        <w:t xml:space="preserve"> postup výberového konania na nového generálneho tajomníka uverejnením výzvy na vyjadrenie záujmu (č. OMB/2/2025) 30. júna 2025, na základe ktorej bolo prijatých 14 oprávnených žiadostí; ďalej konštatuje, že výberové konanie bolo ukončené v roku 2025 a bol vybraný nový generálny tajomník, ktorý sa ujal svojej funkcie 1. januára 2026; poznamenáva, že v tomto prípade sa výberová komisia skladala z troch osôb, samotnej ombudsmanky a dvoch externých nezávislých členov, ktorí sa podieľali na posudzovaní spôsobilosti žiadostí a na pohovoroch; berie na vedomie názor ombudsmanky, že vymenovanie týchto dvoch členov a zapojenie vedúcich pracovníkov predstavovali významné záruky v celom procese, ktorými sa zabezpečila integrita a zákonnosť výberového procesu; domnieva sa, bez ohľadu na 30-ročné skúsenosti vybraného generálneho tajomníka ako úradníka Únie a jeho 10-ročné skúsenosti v oblasti riadenia, že skutočnosť, že predtým pôsobil ako vedúci kabinetu súčasnej ombudsmanky, by mohla viesť k vnímaniu konfliktu záujmov, aj keď sa tento proces uskutočnil v plnom súlade s platným rámcom;</w:t>
      </w:r>
      <w:bookmarkEnd w:id="9"/>
      <w:r w:rsidRPr="00EA0FFF">
        <w:t xml:space="preserve"> vyzýva ombudsmanku, aby v prípade budúcich postupov naďalej uvažovala o spôsoboch posilnenia záruk vo výberových konaniach a pri rozhodnutiach o vymenovaní proti akýmkoľvek vnímaným konfliktom záujmov alebo zvýhodňovaniu, čím sa zabezpečia úplné záruky spravodlivosti a transparentnosti;</w:t>
      </w:r>
    </w:p>
    <w:p w14:paraId="53B71C50" w14:textId="23EBC273" w:rsidR="00CA4656" w:rsidRPr="00EA0FFF" w:rsidRDefault="00CA4656" w:rsidP="00CA4656">
      <w:pPr>
        <w:pStyle w:val="NormalHanging12a"/>
      </w:pPr>
      <w:bookmarkStart w:id="10" w:name="_Hlk215830609"/>
      <w:r w:rsidRPr="00EA0FFF">
        <w:t>23.</w:t>
      </w:r>
      <w:r w:rsidRPr="00EA0FFF">
        <w:tab/>
        <w:t xml:space="preserve">konštatuje, že po vypočutí ombudsmanky na schôdzi Výboru </w:t>
      </w:r>
      <w:r w:rsidR="00BE3B0A" w:rsidRPr="00EA0FFF">
        <w:t>Európskeho p</w:t>
      </w:r>
      <w:r w:rsidRPr="00EA0FFF">
        <w:t xml:space="preserve">arlamentu pre kontrolu rozpočtu 6. novembra 2025 predložili poslanci, ktorí sú členmi Výboru </w:t>
      </w:r>
      <w:r w:rsidR="00BE3B0A" w:rsidRPr="00EA0FFF">
        <w:t>Európskeho p</w:t>
      </w:r>
      <w:r w:rsidRPr="00EA0FFF">
        <w:t xml:space="preserve">arlamentu pre kontrolu rozpočtu, 18. novembra 2025 sériu písomných doplňujúcich otázok k výberu nového generálneho tajomníka (OMB/2/2025), na ktoré ombudsmanka odpovedala 21. novembra 2025; nesúhlasí v tejto súvislosti s názorom ombudsmanky, že judikatúra vo veci </w:t>
      </w:r>
      <w:proofErr w:type="spellStart"/>
      <w:r w:rsidRPr="00EA0FFF">
        <w:t>Meroni</w:t>
      </w:r>
      <w:proofErr w:type="spellEnd"/>
      <w:r w:rsidRPr="00EA0FFF">
        <w:t xml:space="preserve"> (C-9/56 a C-10/56) je uplatniteľná, pretože sa netýka delegovania právomocí v personálnych otázkach (ako je výber zamestnanca), ale skôr delegovania </w:t>
      </w:r>
      <w:proofErr w:type="spellStart"/>
      <w:r w:rsidRPr="00EA0FFF">
        <w:t>diskrečných</w:t>
      </w:r>
      <w:proofErr w:type="spellEnd"/>
      <w:r w:rsidRPr="00EA0FFF">
        <w:t xml:space="preserve"> právomocí na externé/súkromné subjekty; zdôrazňuje tiež, že </w:t>
      </w:r>
      <w:r w:rsidR="00BE3B0A" w:rsidRPr="00EA0FFF">
        <w:t>Európsky p</w:t>
      </w:r>
      <w:r w:rsidRPr="00EA0FFF">
        <w:t xml:space="preserve">arlament od ombudsmanky nežiada, aby delegovala svoje práva a povinnosti ako menovací orgán, spochybňuje však jej účasť vo výberovej komisii, keďže právo Únie nevyžaduje, aby menovací orgán bol členom výberovej komisie; zdôrazňuje, že prijatím konečného rozhodnutia, ktoré je úlohou menovacieho orgánu, tento orgán zároveň potvrdzuje, že celé výberové konanie prebehlo v súlade s právnymi predpismi vrátane splnenia všetkých kritérií prípustnosti a spôsobilosti uchádzača; konštatuje však, že táto úloha sa môže zdať menej výrazná, ak menovací orgán predsedal v určitých fázach výberového konania aj výberovej komisii, ako to bolo v </w:t>
      </w:r>
      <w:r w:rsidRPr="00EA0FFF">
        <w:lastRenderedPageBreak/>
        <w:t xml:space="preserve">tomto postupe; chápe však, že môže byť potrebné aby ombudsman ako držiteľ funkcie, bol zapojený do finálnych fáz určitých výberových konaní; berie na vedomie vysvetlenie ombudsmanky, že právne obmedzenia týkajúce sa dôvernosti, ktorých cieľom je chrániť nezávislosť a integritu výberového postupu, obmedzujú rozsah, v akom možno orgánu udeľujúcemu absolutórium poskytnúť dokumenty týkajúce sa kontroly splnenia podmienok účasti; pripomína však, že </w:t>
      </w:r>
      <w:r w:rsidR="00BE3B0A" w:rsidRPr="00EA0FFF">
        <w:t>Európsky p</w:t>
      </w:r>
      <w:r w:rsidRPr="00EA0FFF">
        <w:t xml:space="preserve">arlament má právo na všetky informácie potrebné na udelenie absolutória, zdôrazňuje, že poskytnutie takýchto informácií neznamená, že sa zverejnenia, a zdôrazňuje, že </w:t>
      </w:r>
      <w:r w:rsidR="00BE3B0A" w:rsidRPr="00EA0FFF">
        <w:t>Európsky p</w:t>
      </w:r>
      <w:r w:rsidRPr="00EA0FFF">
        <w:t xml:space="preserve">arlament má primerané záruky na bezpečné spracúvanie citlivého materiálu; vzhľadom na uvedené skutočnosti naliehavo vyzýva ombudsmanku, aby bližšie posúdila požiadavku </w:t>
      </w:r>
      <w:r w:rsidR="00BE3B0A" w:rsidRPr="00EA0FFF">
        <w:t>Európskeho p</w:t>
      </w:r>
      <w:r w:rsidRPr="00EA0FFF">
        <w:t>arlamentu a poskytla orgánu udeľujúcemu absolutórium všetky dokumenty týkajúce sa kontroly splnenia podmienok účasti, posúdenia žiadostí, samotných pohovorov s uchádzačmi zaradenými do užšieho výberu pred výberovou komisiou a osobného pohovoru s ombudsmankou v súvislosti s postupom výberu generálneho tajomníka ombudsmanky (OMB/2/2025); nabáda ombudsmanku, aby zvážila možnosť uskutočniť interné ex post posúdenie veľmi pozorne kontrolovaných postupov vymenovania s cieľom vyvodiť skúsenosti a možné zlepšenia na účel budúcich konaní a aby o výsledkoch informovala orgán udeľujúci absolutórium;</w:t>
      </w:r>
    </w:p>
    <w:bookmarkEnd w:id="10"/>
    <w:p w14:paraId="32C5F86A" w14:textId="77777777" w:rsidR="00CA4656" w:rsidRPr="00EA0FFF" w:rsidRDefault="00CA4656" w:rsidP="00CA4656">
      <w:pPr>
        <w:pStyle w:val="NormalHanging12a"/>
      </w:pPr>
      <w:r w:rsidRPr="00EA0FFF">
        <w:t>24.</w:t>
      </w:r>
      <w:r w:rsidRPr="00EA0FFF">
        <w:tab/>
        <w:t>zdôrazňuje, že úlohou ombudsmana je podporovať dobrú správu a zabezpečiť, aby bol etický rámec všetkých inštitúcií, úradov, orgánov a agentúr Únie pevný a schopný zaručiť transparentnosť a zodpovednosť; je pevne presvedčený, že ombudsman musí spĺňať najvyššie normy nezávislosti, nestrannosti a integrity a že sa treba vyhnúť akémukoľvek vnímaniu zvýhodňovania alebo konfliktu záujmov, pretože takéto vnímanie by mohlo ohroziť dôveryhodnosť, poslanie a dôveru občanov Únie; pripomína, že keďže Únia poverila ombudsmanku presadzovaním etických noriem a dobrej správy vecí verejných, očakáva sa, že ombudsmanka bude uplatňovať mimoriadne prísne normy na svoje vlastné riadenie a menovanie do vyšších funkcií, čím stanoví referenčnú úroveň pre ostatné inštitúcie, úrady, orgány a agentúry;</w:t>
      </w:r>
    </w:p>
    <w:p w14:paraId="6FD7BBB1" w14:textId="77777777" w:rsidR="00CA4656" w:rsidRPr="00EA0FFF" w:rsidRDefault="00CA4656" w:rsidP="00CA4656">
      <w:pPr>
        <w:pStyle w:val="NormalHanging12a"/>
      </w:pPr>
      <w:r w:rsidRPr="00EA0FFF">
        <w:t>25.</w:t>
      </w:r>
      <w:r w:rsidRPr="00EA0FFF">
        <w:tab/>
        <w:t xml:space="preserve">konštatuje, že napriek tomu, že v porovnaní s inštitúciami, úradmi, orgánmi alebo agentúrami Únie je úrad ombudsmana malý subjekt, v roku 2024 boli medzi jeho zamestnancami zastúpených 19 štátnych príslušností, rovnako ako v roku 2023; všíma si však nadmerné zastúpenie niektorých národností (jedna z nich tvorí viac ako 30 % zamestnancov úradu ombudsmana); zdôrazňuje, že taká vysoká koncentrácia jednej národnosti v relatívne malej inštitúcii by mohla mať vplyv na to, ako sa rozmanitosť v tomto úrade vníma na </w:t>
      </w:r>
      <w:proofErr w:type="spellStart"/>
      <w:r w:rsidRPr="00EA0FFF">
        <w:t>medziinštitucionálnej</w:t>
      </w:r>
      <w:proofErr w:type="spellEnd"/>
      <w:r w:rsidRPr="00EA0FFF">
        <w:t xml:space="preserve"> úrovni; vyzýva ombudsmanku, aby prijala cielené opatrenia prijímania zamestnancov a propagácie, ktoré budú zamerané najmä na nedostatočne zastúpené členské štáty, s cieľom zabezpečiť, že úrad ombudsmana bude odrážať rozmanitosť Únie;</w:t>
      </w:r>
    </w:p>
    <w:p w14:paraId="4248768D" w14:textId="77777777" w:rsidR="00CA4656" w:rsidRPr="00EA0FFF" w:rsidRDefault="00CA4656" w:rsidP="00CA4656">
      <w:pPr>
        <w:pStyle w:val="NormalHanging12a"/>
      </w:pPr>
      <w:r w:rsidRPr="00EA0FFF">
        <w:t>26.</w:t>
      </w:r>
      <w:r w:rsidRPr="00EA0FFF">
        <w:tab/>
        <w:t>konštatuje, že pokiaľ ide o rodovú vyváženosť, úrad ombudsmana zamestnáva viac žien ako mužov vo všetkých kategóriách zamestnancov, ale najmä na riadiacej úrovni, kde všetky pozície zastávajú ženy; berie na vedomie medzi zamestnancami celkové zastúpenie 68 % žien a 32 % mužov v porovnaní so 67 % žien a 33 % mužov v roku 2023; vyzýva ombudsmanku, aby sa usilovala o vyváženejšie zastúpenie mužov a žien medzi zamestnancami svojho úradu; naliehavo vyzýva ombudsmanku, aby vypracovala stratégiu na riešenie toho, že na riadiacich pozíciách v súčasnosti úplne absentujú muži; domnieva sa, že je nevyhnutné zabezpečiť, aby úrad ombudsmana lepšie odrážal rozmanité zloženie obyvateľstva Únie, aby pracovné prostredie naprieč všetkými úrovňami hierarchie bolo naďalej vyvážené a inkluzívne;</w:t>
      </w:r>
    </w:p>
    <w:p w14:paraId="70F8E5CC" w14:textId="1497B996" w:rsidR="00CA4656" w:rsidRPr="00EA0FFF" w:rsidRDefault="00CA4656" w:rsidP="00CA4656">
      <w:pPr>
        <w:pStyle w:val="NormalHanging12a"/>
      </w:pPr>
      <w:r w:rsidRPr="00EA0FFF">
        <w:lastRenderedPageBreak/>
        <w:t>27.</w:t>
      </w:r>
      <w:r w:rsidRPr="00EA0FFF">
        <w:tab/>
        <w:t xml:space="preserve">berie na vedomie, že ombudsmanka vynakladá úsilie na zabezpečenie fyzickej a duševnej pohody zamestnancov svojho úradu v práci a zameriava sa na posilnenie tímového ducha; v tejto súvislosti poznamenáva, že ombudsmanka v roku 2024 usporiadala školenia, z ktorých niektoré boli povinné, o riešení konfliktov, poskytovaní a prijímaní spätnej väzby, zdravotnom postihnutí a začlenení, ako aj o prvej pomoci; berie na vedomie, že ombudsmanka prijala v roku </w:t>
      </w:r>
      <w:r w:rsidR="00000F2F" w:rsidRPr="00EA0FFF">
        <w:t xml:space="preserve">2004 </w:t>
      </w:r>
      <w:r w:rsidRPr="00EA0FFF">
        <w:t xml:space="preserve">v oblasti rodičovskej dovolenky politiku, ktorá v spojení s jej politikou v oblasti pracovného času a hybridnou politikou prijatou v roku 2021 poskytuje flexibilné pracovné podmienky, ktoré zamestnanci využívajú a oceňujú; konštatuje, že v roku 2024 lekárska služba </w:t>
      </w:r>
      <w:r w:rsidR="00BE3B0A" w:rsidRPr="00EA0FFF">
        <w:t>Európskeho p</w:t>
      </w:r>
      <w:r w:rsidRPr="00EA0FFF">
        <w:t>arlamentu neupozornila ombudsmanku na žiadnu dlhodobú chorobu, ktorá by mala pôvod v syndróme vyhorenia;</w:t>
      </w:r>
    </w:p>
    <w:p w14:paraId="1794B680" w14:textId="77777777" w:rsidR="00CA4656" w:rsidRPr="00EA0FFF" w:rsidRDefault="00CA4656" w:rsidP="00CA4656">
      <w:pPr>
        <w:pStyle w:val="NormalHanging12a"/>
      </w:pPr>
      <w:r w:rsidRPr="00EA0FFF">
        <w:t>28.</w:t>
      </w:r>
      <w:r w:rsidRPr="00EA0FFF">
        <w:tab/>
        <w:t>s uspokojením konštatuje, že v roku 2024 nebol v dotazníku zaznamenaný žiadny prípad obťažovania; uznáva úsilie ombudsmanky o zabezpečenie pracovného prostredia bez sexuálneho a psychického obťažovania, najmä prostredníctvom zvyšovania informovanosti a odbornej prípravy; ďalej konštatuje, že ombudsmanka uskutočnila prieskum zameraný na informovanosť zamestnancov o etických otázkach, ktorý preukázal vysokú úroveň informovanosti zamestnancov o politike a usmerneniach ombudsmanky v oblasti psychologického a sexuálneho obťažovania;</w:t>
      </w:r>
    </w:p>
    <w:p w14:paraId="3F2A1BD9" w14:textId="1BB77806" w:rsidR="00CA4656" w:rsidRPr="00EA0FFF" w:rsidRDefault="00CA4656" w:rsidP="00CA4656">
      <w:pPr>
        <w:pStyle w:val="NormalHanging12a"/>
      </w:pPr>
      <w:r w:rsidRPr="00EA0FFF">
        <w:t>29.</w:t>
      </w:r>
      <w:r w:rsidRPr="00EA0FFF">
        <w:tab/>
        <w:t xml:space="preserve">konštatuje, že ombudsmanka v roku 2024 privítala 18 platených stážistov (rovnaký počet ako v roku 2023), pričom jeden bol vybraný v rámci chvályhodného programu stáží ombudsmanky pre osoby so zdravotným postihnutím; opätovne zdôrazňuje, že stáže by mali byť platené v súlade s uznesením </w:t>
      </w:r>
      <w:r w:rsidR="00BE3B0A" w:rsidRPr="00EA0FFF">
        <w:t>Európskeho p</w:t>
      </w:r>
      <w:r w:rsidRPr="00EA0FFF">
        <w:t>arlamentu zo 14. júna 2023 o kvalitných stážach v Únii (2020/2005(INL)), v ktorom sa požaduje, aby všetky stáže v Únii boli platené; zdôrazňuje, že platené stáže majú zásadný význam pri zabezpečovaní rovnakých príležitostí;</w:t>
      </w:r>
    </w:p>
    <w:p w14:paraId="4D7B3B62" w14:textId="77777777" w:rsidR="00CA4656" w:rsidRPr="00EA0FFF" w:rsidRDefault="00CA4656" w:rsidP="00CA4656">
      <w:pPr>
        <w:pStyle w:val="NormalHanging12a"/>
        <w:ind w:left="0" w:firstLine="0"/>
        <w:rPr>
          <w:b/>
          <w:i/>
        </w:rPr>
      </w:pPr>
      <w:r w:rsidRPr="00EA0FFF">
        <w:rPr>
          <w:b/>
          <w:i/>
        </w:rPr>
        <w:t>Etický rámec a transparentnosť</w:t>
      </w:r>
    </w:p>
    <w:p w14:paraId="0BA1F97E" w14:textId="77777777" w:rsidR="00CA4656" w:rsidRPr="00EA0FFF" w:rsidRDefault="00CA4656" w:rsidP="00CA4656">
      <w:pPr>
        <w:pStyle w:val="NormalHanging12a"/>
      </w:pPr>
      <w:r w:rsidRPr="00EA0FFF">
        <w:t>30.</w:t>
      </w:r>
      <w:r w:rsidRPr="00EA0FFF">
        <w:tab/>
        <w:t>víta pokračujúce úsilie ombudsmanky o posilnenie etického rámca inštitúcie a zvýšenie informovanosti o ňom; konštatuje, že ombudsmanka usporiadala školenia o etických otázkach pre novovymenovaných dôverných poradcov ombudsmana a členov zmierovacieho výboru, ako aj povinné prispôsobené školenia o riešení konfliktov pre všetkých zamestnancov; konštatuje, že ombudsmanka v roku 2024 prepracovala a v roku 2025 prijala revidovanú politiku v oblasti etiky a dobrého správania s cieľom objasniť pracovné postupy schvaľovania a povoľovania a odstrániť nedostatky v uplatňovaní pravidiel súvisiacich s etikou; oceňuje, že bolo zavedené IT riešenie, ktoré umožňuje každému vyšetrovateľovi potvrdiť, že v pridelených prípadoch nedochádza ku konfliktu záujmov; ďalej berie na vedomie, že všetci zamestnanci úradu ombudsmana vrátane vedúcich pracovníkov sú vyzvaní, aby každoročne revidovali svoje vyhlásenia o profesionálnych aktivitách svojich manželov/partnerov, ako aj vlastné vyhlásenia o konflikte záujmov;</w:t>
      </w:r>
    </w:p>
    <w:p w14:paraId="5FED16E9" w14:textId="77777777" w:rsidR="00CA4656" w:rsidRPr="00EA0FFF" w:rsidRDefault="00CA4656" w:rsidP="00CA4656">
      <w:pPr>
        <w:pStyle w:val="NormalHanging12a"/>
      </w:pPr>
      <w:r w:rsidRPr="00EA0FFF">
        <w:t>31.</w:t>
      </w:r>
      <w:r w:rsidRPr="00EA0FFF">
        <w:tab/>
        <w:t>v súvislosti s vnútorným auditom (správa č. 22/03) etického rámca ombudsmana konštatuje, že zo šiestich vydaných odporúčaní bolo na konci roka 2024 päť vykonaných a jedno prebiehalo; v tejto súvislosti konštatuje, že ombudsmanka zriadila disciplinárnu komisiu a prijala politiku boja proti podvodom, ktorá sa vzťahuje aj na vyslaných národných expertov, stážistov a externých dodávateľov, s cieľom ďalej posilniť etický rámec ombudsmana;</w:t>
      </w:r>
    </w:p>
    <w:p w14:paraId="2594D511" w14:textId="77777777" w:rsidR="00CA4656" w:rsidRPr="00EA0FFF" w:rsidRDefault="00CA4656" w:rsidP="00CA4656">
      <w:pPr>
        <w:pStyle w:val="NormalHanging12a"/>
      </w:pPr>
      <w:r w:rsidRPr="00EA0FFF">
        <w:lastRenderedPageBreak/>
        <w:t>32.</w:t>
      </w:r>
      <w:r w:rsidRPr="00EA0FFF">
        <w:tab/>
        <w:t>s uspokojením konštatuje, že v roku 2024 neboli hlásené žiadne prípady konfliktov záujmov ani prípady oznamovania protispoločenskej činnosti;</w:t>
      </w:r>
    </w:p>
    <w:p w14:paraId="59BEC0A5" w14:textId="6884516C" w:rsidR="00CA4656" w:rsidRPr="00EA0FFF" w:rsidRDefault="00CA4656" w:rsidP="00CA4656">
      <w:pPr>
        <w:pStyle w:val="NormalHanging12a"/>
      </w:pPr>
      <w:r w:rsidRPr="00EA0FFF">
        <w:t>33.</w:t>
      </w:r>
      <w:r w:rsidRPr="00EA0FFF">
        <w:tab/>
        <w:t xml:space="preserve">na základe informácií z dotazníka konštatuje, že ombudsmanka sa formálne nepridala k registru transparentnosti Únie (zriadeného na základe </w:t>
      </w:r>
      <w:proofErr w:type="spellStart"/>
      <w:r w:rsidRPr="00EA0FFF">
        <w:t>medziinštitucionálnej</w:t>
      </w:r>
      <w:proofErr w:type="spellEnd"/>
      <w:r w:rsidRPr="00EA0FFF">
        <w:t xml:space="preserve"> dohody z 20. mája 2021 medzi </w:t>
      </w:r>
      <w:r w:rsidR="00BE3B0A" w:rsidRPr="00EA0FFF">
        <w:t>Európskym p</w:t>
      </w:r>
      <w:r w:rsidRPr="00EA0FFF">
        <w:t>arlamentom, Radou a Komisiou o povinnom registri transparentnosti) s cieľom zabezpečiť, aby sa mohla zaoberať aj prípadnými sťažnosťami týkajúcimi sa sekretariátu tohto registra transparentnosti; konštatuje však, že ombudsmanka zosúladila svoje postupy so zásadami registra transparentnosti, pričom kontroluje, či rečníci alebo hostia, ktorí sa zúčastňujú na podujatiach či stretnutiach, ktoré ombudsmanka organizuje, sú v ňom zaregistrovaní; víta vysoký stupeň transparentnosti, ktorý ombudsmanka dosahuje tým, že na svojom webovom sídle uverejňuje informácie o vyšetrovaniach, služobných cestách (a súvisiacich výdavkoch), stretnutiach a podujatiach, na ktorých sa zúčastňuje, ako aj hodnotenie žiadostí vyšších riadiacich pracovníkov alebo členov kabinetu o zapojenie sa do odbornej činnosti po odchode z úradu ombudsmana;</w:t>
      </w:r>
    </w:p>
    <w:p w14:paraId="05F1611F" w14:textId="77777777" w:rsidR="00CA4656" w:rsidRPr="00EA0FFF" w:rsidRDefault="00CA4656" w:rsidP="00CA4656">
      <w:pPr>
        <w:pStyle w:val="NormalHanging12a"/>
        <w:ind w:left="0" w:firstLine="0"/>
        <w:rPr>
          <w:b/>
          <w:i/>
        </w:rPr>
      </w:pPr>
      <w:r w:rsidRPr="00EA0FFF">
        <w:rPr>
          <w:b/>
          <w:i/>
        </w:rPr>
        <w:t>Budovy</w:t>
      </w:r>
    </w:p>
    <w:p w14:paraId="18279A50" w14:textId="77777777" w:rsidR="00CA4656" w:rsidRPr="00EA0FFF" w:rsidRDefault="00CA4656" w:rsidP="00CA4656">
      <w:pPr>
        <w:pStyle w:val="NormalHanging12a"/>
      </w:pPr>
      <w:r w:rsidRPr="00EA0FFF">
        <w:t>34.</w:t>
      </w:r>
      <w:r w:rsidRPr="00EA0FFF">
        <w:tab/>
        <w:t>konštatuje, že konečný rozpočet ombudsmanky na budovy a súvisiace náklady (po presunoch) sa zvýšil približne o 13,60 % z 1 373 200 EUR v roku 2023 na 1 560 709 EUR v roku 2024; konštatuje, že rozpočtové prostriedky na nájomné sa zvýšili približne o 7 %, z 866 100 EUR v roku 2023 na 926 620 EUR v roku 2024; berie na vedomie, že v oboch rokoch bola miera vykonávania platieb na úrovni 100 %;</w:t>
      </w:r>
    </w:p>
    <w:p w14:paraId="42579D71" w14:textId="77777777" w:rsidR="00CA4656" w:rsidRPr="00EA0FFF" w:rsidRDefault="00CA4656" w:rsidP="00CA4656">
      <w:pPr>
        <w:pStyle w:val="NormalHanging12a"/>
      </w:pPr>
      <w:r w:rsidRPr="00EA0FFF">
        <w:t>35.</w:t>
      </w:r>
      <w:r w:rsidRPr="00EA0FFF">
        <w:tab/>
        <w:t xml:space="preserve">na základe informácií z dotazníka konštatuje, že v podmienkach jednotlivých kancelárií úradu ombudsmana neboli vykonané žiadne zmeny, na ktoré bol orgán udeľujúci absolutórium predtým upozornený; s uspokojením konštatuje, že </w:t>
      </w:r>
      <w:proofErr w:type="spellStart"/>
      <w:r w:rsidRPr="00EA0FFF">
        <w:t>Havlova</w:t>
      </w:r>
      <w:proofErr w:type="spellEnd"/>
      <w:r w:rsidRPr="00EA0FFF">
        <w:t xml:space="preserve"> budova v Štrasburgu je plne prístupná osobám so zníženou pohyblivosťou alebo iným zdravotným postihnutím; podporuje ombudsmanku v jej úsilí o zlepšenie prístupnosti prenajatých priestorov v Bruseli;</w:t>
      </w:r>
    </w:p>
    <w:p w14:paraId="363FE29A" w14:textId="77777777" w:rsidR="00CA4656" w:rsidRPr="00EA0FFF" w:rsidRDefault="00CA4656" w:rsidP="00CA4656">
      <w:pPr>
        <w:pStyle w:val="NormalHanging12a"/>
        <w:ind w:left="0" w:firstLine="0"/>
        <w:rPr>
          <w:b/>
          <w:bCs/>
          <w:i/>
          <w:iCs/>
        </w:rPr>
      </w:pPr>
      <w:r w:rsidRPr="00EA0FFF">
        <w:rPr>
          <w:b/>
          <w:i/>
        </w:rPr>
        <w:t>Digitalizácia, kybernetická bezpečnosť a ochrana údajov</w:t>
      </w:r>
      <w:bookmarkStart w:id="11" w:name="_Hlk215320147"/>
    </w:p>
    <w:p w14:paraId="4BE4ECA9" w14:textId="77777777" w:rsidR="00CA4656" w:rsidRPr="00EA0FFF" w:rsidRDefault="00CA4656" w:rsidP="00CA4656">
      <w:pPr>
        <w:spacing w:after="240"/>
        <w:ind w:left="567" w:hanging="567"/>
      </w:pPr>
      <w:r w:rsidRPr="00EA0FFF">
        <w:t>36.</w:t>
      </w:r>
      <w:r w:rsidRPr="00EA0FFF">
        <w:tab/>
        <w:t>vyjadruje uznanie ombudsmanke za to, že v roku 2024 dokončila kľúčový projekt digitalizácie svojich historických archívov pred ich presunom do historického archívu Únie vo Florencii; s uspokojením konštatuje, že archívy ombudsmana sú teraz zachované a prístupné budúcim generáciám;</w:t>
      </w:r>
    </w:p>
    <w:p w14:paraId="2857EA82" w14:textId="77777777" w:rsidR="00CA4656" w:rsidRPr="00EA0FFF" w:rsidRDefault="00CA4656" w:rsidP="00CA4656">
      <w:pPr>
        <w:spacing w:after="240"/>
        <w:ind w:left="567" w:hanging="567"/>
      </w:pPr>
      <w:r w:rsidRPr="00EA0FFF">
        <w:t>37.</w:t>
      </w:r>
      <w:r w:rsidRPr="00EA0FFF">
        <w:tab/>
        <w:t>víta pozitívny vplyv používania automatických prekladov ombudsmankou, ktoré zlepšili prístupnosť webového sídla ombudsmana, zefektívnili prideľovanie prípadov a zrýchlili vybavovanie sťažností, čo viedlo k zníženiu nákladov na preklad o viac ako 65 % (od roku 2022 do roku 2024), ako aj k zníženiu administratívnej záťaže; nabáda ombudsmanku, aby pokračovala v testovaní a vyhodnocovaní nástrojov a spôsobov využitia umelej inteligencie a aby k ich vývoju a zavádzaniu pristupovala obozretne; v tejto súvislosti vyzýva ombudsmanku, aby zohľadnila strednodobé rozpočtové dôsledky súvisiace s údržbou, škálovateľnosťou, zručnosťami zamestnancov a potenciálnou závislosťou od digitálnych nástrojov a poskytovateľov služieb a zabezpečila, aby zavádzanie zostalo bezpečné a podliehalo primeranému ľudskému dohľadu;</w:t>
      </w:r>
    </w:p>
    <w:p w14:paraId="4FCC5245" w14:textId="77777777" w:rsidR="00CA4656" w:rsidRPr="00EA0FFF" w:rsidRDefault="00CA4656" w:rsidP="00CA4656">
      <w:pPr>
        <w:spacing w:after="240"/>
        <w:ind w:left="567" w:hanging="567"/>
      </w:pPr>
      <w:r w:rsidRPr="00EA0FFF">
        <w:t>38.</w:t>
      </w:r>
      <w:r w:rsidRPr="00EA0FFF">
        <w:tab/>
        <w:t xml:space="preserve">na základe informácií z dotazníka s uspokojením konštatuje, že ombudsmanka zaviedla </w:t>
      </w:r>
      <w:r w:rsidRPr="00EA0FFF">
        <w:lastRenderedPageBreak/>
        <w:t xml:space="preserve">interné usmernenia o používaní generatívnych nástrojov umelej inteligencie tretích strán, ktoré by mali poskytnúť jasné usmernenie o bezpečnom a účinnom začlenení nástrojov umelej inteligencie do pracovných postupov ombudsmanky; so záujmom očakáva plánované rozšírenie využívania umelej inteligencie nad rámec prekladov, napríklad na integráciu tzv. </w:t>
      </w:r>
      <w:proofErr w:type="spellStart"/>
      <w:r w:rsidRPr="00EA0FFF">
        <w:t>ombudsprudencie</w:t>
      </w:r>
      <w:proofErr w:type="spellEnd"/>
      <w:r w:rsidRPr="00EA0FFF">
        <w:t xml:space="preserve"> v rámci veľkého jazykového modelu Komisie a na využívanie historickej judikatúry pri budúcich vyšetrovaniach; nabáda ombudsmanku, aby pokračovala v testovaní a zavádzaní nástrojov umelej inteligencie, ktoré preukázateľne zlepšujú prístupnosť a efektívnosť; zdôrazňuje však potrebu jasnej správy vecí verejných, ľudského dohľadu, transparentnosti voči používateľom a spoľahlivých záruk ochrany údajov vrátane zdokumentovaných posúdení rizík a kontrol kvality v prípade automatizovaných výstupov, najmä v prípadoch, keď umelá inteligencia môže ovplyvniť spracovanie prípadov, ich prideľovanie alebo externú komunikáciu; vyzýva ombudsmanku, aby zabezpečila, že všetky právne poznatky vytvorené umelou inteligenciou budú overovať úradníci, ktorí sa venujú vyšetrovaniu, a aby uprednostnila tlmočenie poskytované človekom pred riešeniami založenými na umelej inteligencii; ďalej žiada, aby sa podávali správy o technických opatreniach prijatých s cieľom odstrániť algoritmickú zaujatosť a zabezpečiť objektivitu zistení úradu ombudsmana;</w:t>
      </w:r>
    </w:p>
    <w:p w14:paraId="6C7D011F" w14:textId="77777777" w:rsidR="00CA4656" w:rsidRPr="00EA0FFF" w:rsidRDefault="00CA4656" w:rsidP="00CA4656">
      <w:pPr>
        <w:pStyle w:val="NormalHanging12a"/>
      </w:pPr>
      <w:r w:rsidRPr="00EA0FFF">
        <w:t>39.</w:t>
      </w:r>
      <w:r w:rsidRPr="00EA0FFF">
        <w:tab/>
        <w:t>na základe informácií z dotazníka s uspokojením konštatuje, že v roku 2024 jeden zamestnanec absolvoval intenzívne dvojmesačné školenie v oblasti dátovej vedy a umelej inteligencie s cieľom posilniť odborné znalosti úradu ombudsmana v tejto oblasti a v súčasnosti zastupuje ombudsmanku v sieti korešpondentov pre umelú inteligenciu, ktorú zriadil európsky dozorný úradník pre ochranu údajov (EDPS) po nadobudnutí účinnosti nariadenia (EÚ) 2024/1689 („akt o umelej inteligencii“)</w:t>
      </w:r>
      <w:r w:rsidRPr="00EA0FFF">
        <w:rPr>
          <w:vertAlign w:val="superscript"/>
        </w:rPr>
        <w:footnoteReference w:id="12"/>
      </w:r>
      <w:r w:rsidRPr="00EA0FFF">
        <w:t>; ďalej berie na vedomie záväzok ombudsmanky pripraviť školenie o bezpečnom a etickom používaní nástrojov umelej inteligencie pre všetkých svojich zamestnancov; berie tiež na vedomie, že ombudsmanka počas celého roka 2024 každý mesiac organizovala cielené povinné školenia s cieľom zvýšiť informovanosť a zručnosti zamestnancov v oblasti najlepších postupov kybernetickej bezpečnosti; s uspokojením konštatuje, že ombudsmanka vyžaduje od všetkých svojich zamestnancov, aby absolvovali pravidelné školenia o kybernetickej bezpečnosti; nabáda ombudsmanku, aby pokračovala vo vypracúvaní svojej stratégie v oblasti digitalizácie, a tak zabezpečila, aby zavádzanie nástrojov umelej inteligencie bolo naďalej v plnom súlade so zásadami etického používania, transparentnosti, ochrany údajov, ľudského dohľadu a ochrany pred algoritmickou zaujatosťou alebo zneužitím;</w:t>
      </w:r>
    </w:p>
    <w:p w14:paraId="12A0FD39" w14:textId="77777777" w:rsidR="00CA4656" w:rsidRPr="00EA0FFF" w:rsidRDefault="00CA4656" w:rsidP="00CA4656">
      <w:pPr>
        <w:pStyle w:val="NormalHanging12a"/>
        <w:rPr>
          <w:bCs/>
          <w:iCs/>
        </w:rPr>
      </w:pPr>
      <w:r w:rsidRPr="00EA0FFF">
        <w:t>40.</w:t>
      </w:r>
      <w:r w:rsidRPr="00EA0FFF">
        <w:tab/>
        <w:t>zdôrazňuje význam verejného obstarávania ako nástroja na presadzovanie strategických cieľov, ako je environmentálna a sociálna agenda; vyzýva ombudsmanku, aby posilnila svoje postupy obstarávania, začleňovanie strategických kritérií týkajúcich sa sociálnej zodpovednosti a environmentálnej udržateľnosti;</w:t>
      </w:r>
    </w:p>
    <w:p w14:paraId="451F2A08" w14:textId="773FF36B" w:rsidR="00CA4656" w:rsidRPr="00EA0FFF" w:rsidRDefault="00CA4656" w:rsidP="00CA4656">
      <w:pPr>
        <w:spacing w:after="240"/>
        <w:ind w:left="567" w:hanging="567"/>
      </w:pPr>
      <w:r w:rsidRPr="00EA0FFF">
        <w:t>41.</w:t>
      </w:r>
      <w:r w:rsidRPr="00EA0FFF">
        <w:tab/>
        <w:t xml:space="preserve">konštatuje, že pokiaľ ide o IT, ombudsmanka sa opiera o rámec </w:t>
      </w:r>
      <w:r w:rsidR="00BE3B0A" w:rsidRPr="00EA0FFF">
        <w:t>Európskeho p</w:t>
      </w:r>
      <w:r w:rsidRPr="00EA0FFF">
        <w:t xml:space="preserve">arlamentu pre infraštruktúru a kybernetickú bezpečnosť a úzko spolupracuje s Komisiou, pokiaľ </w:t>
      </w:r>
      <w:r w:rsidRPr="00EA0FFF">
        <w:lastRenderedPageBreak/>
        <w:t xml:space="preserve">ide o integráciu a údržbu inštitucionálnych nástrojov Únie (SYSPER, ABAC, </w:t>
      </w:r>
      <w:proofErr w:type="spellStart"/>
      <w:r w:rsidRPr="00EA0FFF">
        <w:t>MiPS</w:t>
      </w:r>
      <w:proofErr w:type="spellEnd"/>
      <w:r w:rsidRPr="00EA0FFF">
        <w:t xml:space="preserve"> a ARES) a využívanie rámcových zmlúv v oblasti IT; uznáva úspech dlhodobého prístupu ombudsmanky, ktorá využíva integrované systémy a zdroje týchto dvoch inštitúcií s cieľom optimalizovať využívanie rozpočtu a zlepšiť koordináciu, napríklad v oblasti digitalizácie; konštatuje, že v prípade základných operácií si ombudsmanka ponecháva priamu kontrolu nad vývojom a údržbou nástrojov v rámci zabezpečeného prostredia </w:t>
      </w:r>
      <w:r w:rsidR="00BE3B0A" w:rsidRPr="00EA0FFF">
        <w:t>Európskeho p</w:t>
      </w:r>
      <w:r w:rsidRPr="00EA0FFF">
        <w:t>arlamentu, čím sa zabezpečuje flexibilita, ochrana údajov a zvýšená kybernetická bezpečnosť; berie na vedomie, že ombudsmanka nebola v roku 2024 vystavená žiadnemu kybernetickému útoku;</w:t>
      </w:r>
    </w:p>
    <w:p w14:paraId="579C42D5" w14:textId="77777777" w:rsidR="00CA4656" w:rsidRPr="00EA0FFF" w:rsidRDefault="00CA4656" w:rsidP="00CA4656">
      <w:pPr>
        <w:spacing w:after="240"/>
        <w:ind w:left="567" w:hanging="567"/>
      </w:pPr>
      <w:r w:rsidRPr="00EA0FFF">
        <w:t>42.</w:t>
      </w:r>
      <w:r w:rsidRPr="00EA0FFF">
        <w:tab/>
        <w:t>na základe informácií z dotazníka konštatuje, že v decembri 2024 na základe sťažnosti dotknutej osoby začal európsky dozorný úradník pre ochranu údajov konanie proti ombudsmanke podľa článku 57 ods. 1 písm. e) nariadenia (EÚ) 2018/1725</w:t>
      </w:r>
      <w:r w:rsidRPr="00EA0FFF">
        <w:rPr>
          <w:rStyle w:val="FootnoteReference"/>
        </w:rPr>
        <w:footnoteReference w:id="13"/>
      </w:r>
      <w:r w:rsidRPr="00EA0FFF">
        <w:t>; berie na vedomie, že po tom, ako ombudsmanka poskytla požadované vysvetlenia, európsky dozorný úradník pre ochranu údajov prípad v roku 2025 uzavrel, pričom dospel k záveru, že dotknutá osoba dostala dostatočné informácie;</w:t>
      </w:r>
      <w:bookmarkEnd w:id="11"/>
    </w:p>
    <w:p w14:paraId="20BCBBA0" w14:textId="77777777" w:rsidR="00CA4656" w:rsidRPr="00EA0FFF" w:rsidRDefault="00CA4656" w:rsidP="00CA4656">
      <w:pPr>
        <w:spacing w:after="240"/>
      </w:pPr>
      <w:r w:rsidRPr="00EA0FFF">
        <w:rPr>
          <w:b/>
          <w:i/>
        </w:rPr>
        <w:t>Životné prostredie a udržateľnosť</w:t>
      </w:r>
    </w:p>
    <w:p w14:paraId="03769F3A" w14:textId="72EC1849" w:rsidR="00CA4656" w:rsidRPr="00EA0FFF" w:rsidRDefault="00CA4656" w:rsidP="00CA4656">
      <w:pPr>
        <w:spacing w:after="240"/>
        <w:ind w:left="567" w:hanging="567"/>
      </w:pPr>
      <w:r w:rsidRPr="00EA0FFF">
        <w:t>43.</w:t>
      </w:r>
      <w:r w:rsidRPr="00EA0FFF">
        <w:tab/>
        <w:t xml:space="preserve">na základe informácií z výročnej správy a dotazníka konštatuje, že ombudsmanka pokračovala v znižovaní svojej environmentálnej stopy prostredníctvom digitalizácie svojich procesov, odstránenia individuálnych tlačiarní, ako aj tým, že nevymieňala procesory po skončení životnosti a prostredníctvom takmer úplného prechodu na digitálne publikácie; víta úsilie ombudsmanky o udržateľnejšie podujatia vrátane používania QR kódov a stravovania z miestnych zdrojov, ako aj zavádzania opatrení na predchádzanie vzniku potravinového odpadu; s uspokojením konštatuje, že obidve budovy, v ktorých má úrad ombudsmana kancelárie, využívajú 100 % elektrickej energie z obnoviteľných zdrojov dodávanej na základe zmlúv </w:t>
      </w:r>
      <w:r w:rsidR="00BE3B0A" w:rsidRPr="00EA0FFF">
        <w:t>Európskeho p</w:t>
      </w:r>
      <w:r w:rsidRPr="00EA0FFF">
        <w:t xml:space="preserve">arlamentu a že v roku 2024 začali vyrábať energiu solárne panely inštalované na budovách </w:t>
      </w:r>
      <w:r w:rsidR="00BE3B0A" w:rsidRPr="00EA0FFF">
        <w:t>Európskeho p</w:t>
      </w:r>
      <w:r w:rsidRPr="00EA0FFF">
        <w:t>arlamentu v Štrasburgu vrátane Havlovej budovy;</w:t>
      </w:r>
    </w:p>
    <w:p w14:paraId="78C72D16" w14:textId="666C95BA" w:rsidR="00CA4656" w:rsidRPr="00EA0FFF" w:rsidRDefault="00CA4656" w:rsidP="00CA4656">
      <w:pPr>
        <w:spacing w:after="240"/>
        <w:ind w:left="567" w:hanging="567"/>
        <w:rPr>
          <w:b/>
          <w:bCs/>
          <w:i/>
          <w:iCs/>
        </w:rPr>
      </w:pPr>
      <w:r w:rsidRPr="00EA0FFF">
        <w:t>44.</w:t>
      </w:r>
      <w:r w:rsidRPr="00EA0FFF">
        <w:tab/>
        <w:t xml:space="preserve">konštatuje, že keďže si ombudsmanka prenajíma svoje priestory od </w:t>
      </w:r>
      <w:r w:rsidR="00BE3B0A" w:rsidRPr="00EA0FFF">
        <w:t>Európskeho p</w:t>
      </w:r>
      <w:r w:rsidRPr="00EA0FFF">
        <w:t>arlamentu, využíva jeho environmentálne riadenie v rámci EMAS vrátane opatrení, ako je nastavenie teploty počas zimy na 19 °C, selektívne triedenie odpadu, zber biologického odpadu zavedený v roku 2024 a nahradenie jednorazových kuchynských potrieb trvanlivým riadom; víta uplatňovanie zásad zeleného verejného obstarávania zo strany ombudsmanky, a to prostredníctvom jej vlastných zmlúv, ako aj dohôd o spolupráci s inými inštitúciami Únie;</w:t>
      </w:r>
    </w:p>
    <w:p w14:paraId="0C19ADF7" w14:textId="77777777" w:rsidR="00CA4656" w:rsidRPr="00EA0FFF" w:rsidRDefault="00CA4656" w:rsidP="00CA4656">
      <w:pPr>
        <w:spacing w:after="240"/>
        <w:ind w:left="567" w:hanging="567"/>
        <w:rPr>
          <w:b/>
          <w:bCs/>
          <w:i/>
          <w:iCs/>
        </w:rPr>
      </w:pPr>
      <w:r w:rsidRPr="00EA0FFF">
        <w:t>45.</w:t>
      </w:r>
      <w:r w:rsidRPr="00EA0FFF">
        <w:tab/>
        <w:t xml:space="preserve">víta pokračujúcu podporu udržateľnej mobility zo strany ombudsmanky prostredníctvom paušálneho príspevku na využívanie udržateľných spôsobov dopravy, ktorý v roku 2024 dostalo 67 % oprávnených zamestnancov úradu ombudsmana (do triedy AST8/AD8), organizovanie každoročných dní údržby bicyklov a pravidelnú účasť zamestnancov na </w:t>
      </w:r>
      <w:proofErr w:type="spellStart"/>
      <w:r w:rsidRPr="00EA0FFF">
        <w:t>medziinštitucionálnych</w:t>
      </w:r>
      <w:proofErr w:type="spellEnd"/>
      <w:r w:rsidRPr="00EA0FFF">
        <w:t xml:space="preserve"> výzvach v oblasti cyklistiky a chôdze; konštatuje, že počet parkovacích miest je naďalej obmedzený, zatiaľ čo infraštruktúra </w:t>
      </w:r>
      <w:r w:rsidRPr="00EA0FFF">
        <w:lastRenderedPageBreak/>
        <w:t>pre cyklistov sa neustále zlepšuje;</w:t>
      </w:r>
    </w:p>
    <w:p w14:paraId="503391B4" w14:textId="77777777" w:rsidR="00CA4656" w:rsidRPr="00EA0FFF" w:rsidRDefault="00CA4656" w:rsidP="00CA4656">
      <w:pPr>
        <w:spacing w:after="240"/>
        <w:ind w:left="567" w:hanging="567"/>
      </w:pPr>
      <w:r w:rsidRPr="00EA0FFF">
        <w:t>46.</w:t>
      </w:r>
      <w:r w:rsidRPr="00EA0FFF">
        <w:tab/>
        <w:t>s uspokojením berie na vedomie úsilie ombudsmanky o zníženie emisií súvisiacich s cestovaním prostredníctvom systematickej podpory videokonferencií a digitálnych riešení ako alternatívy k služobným cestám a podpory cestovania vlakom namiesto leteckej dopravy; nabáda ombudsmanku, aby v súlade so svojím operačným cieľom na rok 2024, ktorým je podpora ekologickej a sociálnej zodpovednosti, naďalej začleňovala aspekty udržateľnosti do svojich činností v oblasti riadenia rizík a zvyšovania informovanosti;</w:t>
      </w:r>
    </w:p>
    <w:p w14:paraId="65699056" w14:textId="77777777" w:rsidR="00CA4656" w:rsidRPr="00EA0FFF" w:rsidRDefault="00CA4656" w:rsidP="00CA4656">
      <w:pPr>
        <w:pStyle w:val="NormalHanging12a"/>
        <w:rPr>
          <w:b/>
          <w:i/>
        </w:rPr>
      </w:pPr>
      <w:proofErr w:type="spellStart"/>
      <w:r w:rsidRPr="00EA0FFF">
        <w:rPr>
          <w:b/>
          <w:i/>
        </w:rPr>
        <w:t>Medziinštitucionálna</w:t>
      </w:r>
      <w:proofErr w:type="spellEnd"/>
      <w:r w:rsidRPr="00EA0FFF">
        <w:rPr>
          <w:b/>
          <w:i/>
        </w:rPr>
        <w:t xml:space="preserve"> spolupráca</w:t>
      </w:r>
    </w:p>
    <w:p w14:paraId="1DD32D4E" w14:textId="73F32088" w:rsidR="00CA4656" w:rsidRPr="00EA0FFF" w:rsidRDefault="00CA4656" w:rsidP="00CA4656">
      <w:pPr>
        <w:pStyle w:val="NormalHanging12a"/>
      </w:pPr>
      <w:r w:rsidRPr="00EA0FFF">
        <w:t>47.</w:t>
      </w:r>
      <w:r w:rsidRPr="00EA0FFF">
        <w:tab/>
        <w:t xml:space="preserve">víta finančné a administratívne úspory dosiahnuté prostredníctvom </w:t>
      </w:r>
      <w:proofErr w:type="spellStart"/>
      <w:r w:rsidRPr="00EA0FFF">
        <w:t>medziinštitucionálnej</w:t>
      </w:r>
      <w:proofErr w:type="spellEnd"/>
      <w:r w:rsidRPr="00EA0FFF">
        <w:t xml:space="preserve"> spolupráce, najmä širokú škálu dohôd o úrovni poskytovaných služieb, ktoré ombudsmanka uzavrela s</w:t>
      </w:r>
      <w:r w:rsidR="00BE3B0A" w:rsidRPr="00EA0FFF">
        <w:t> Európskym p</w:t>
      </w:r>
      <w:r w:rsidRPr="00EA0FFF">
        <w:t xml:space="preserve">arlamentom a Komisiou v rôznych oblastiach, a účasť na </w:t>
      </w:r>
      <w:proofErr w:type="spellStart"/>
      <w:r w:rsidRPr="00EA0FFF">
        <w:t>medziinštitucionálnych</w:t>
      </w:r>
      <w:proofErr w:type="spellEnd"/>
      <w:r w:rsidRPr="00EA0FFF">
        <w:t xml:space="preserve"> postupoch verejného obstarávania; víta formalizáciu spolupráce medzi </w:t>
      </w:r>
      <w:r w:rsidR="00BE3B0A" w:rsidRPr="00EA0FFF">
        <w:t>Európskym p</w:t>
      </w:r>
      <w:r w:rsidRPr="00EA0FFF">
        <w:t xml:space="preserve">arlamentom a ombudsmankou v októbri 2024 v oblasti kybernetickej bezpečnosti prostredníctvom revidovanej </w:t>
      </w:r>
      <w:proofErr w:type="spellStart"/>
      <w:r w:rsidRPr="00EA0FFF">
        <w:t>medziinštitucionálnej</w:t>
      </w:r>
      <w:proofErr w:type="spellEnd"/>
      <w:r w:rsidRPr="00EA0FFF">
        <w:t xml:space="preserve"> dohody stanovujúcej rámec, podľa ktorého </w:t>
      </w:r>
      <w:r w:rsidR="00BE3B0A" w:rsidRPr="00EA0FFF">
        <w:t>Európsky p</w:t>
      </w:r>
      <w:r w:rsidRPr="00EA0FFF">
        <w:t>arlament ombudsmanke naďalej poskytuje spoľahlivú podporu v oblasti kybernetickej bezpečnosti; zdôrazňuje, že takáto spolupráca má zásadný význam, aby nedochádzalo k duplicite štruktúr a bolo zabezpečené účinné používanie zdrojov Únie; nabáda ombudsmanku, aby zabezpečila, že všetkým zamestnancom sa bude poskytovať pravidelná a aktuálna odborná príprava v oblasti kybernetickej bezpečnosti, aby sa zachovala vysoká úroveň informovanosti a odolnosti proti vyvíjajúcim sa kybernetickým hrozbám;</w:t>
      </w:r>
    </w:p>
    <w:p w14:paraId="497DB8B1" w14:textId="513402F5" w:rsidR="00CA4656" w:rsidRPr="00EA0FFF" w:rsidRDefault="00CA4656" w:rsidP="00CA4656">
      <w:pPr>
        <w:pStyle w:val="NormalHanging12a"/>
      </w:pPr>
      <w:r w:rsidRPr="00EA0FFF">
        <w:t>48.</w:t>
      </w:r>
      <w:r w:rsidRPr="00EA0FFF">
        <w:tab/>
        <w:t xml:space="preserve">vyjadruje ombudsmanke uznanie za dobrú spoluprácu s Európskym úradom pre boj proti podvodom (OLAF) a Dvorom audítorov, ktorá v roku 2024 prebiehala formou stretnutí a výmeny názorov medzi ombudsmankou, členmi Dvora audítorov a generálnym riaditeľom úradu OLAF; konštatuje, že ombudsmanka vystúpila aj na konferencii Dvora audítorov o transparentnosti vymáhania finančných prostriedkov Únie; ďalej konštatuje, že ombudsmanka v roku 2024 predložila zistenia kľúčových vyšetrovaní príslušným výborom </w:t>
      </w:r>
      <w:r w:rsidR="00BE3B0A" w:rsidRPr="00EA0FFF">
        <w:t>Európskeho p</w:t>
      </w:r>
      <w:r w:rsidRPr="00EA0FFF">
        <w:t xml:space="preserve">arlamentu a pokračovala v dobrej spolupráci s národnými a regionálnymi ombudsmanmi prostredníctvom postupu kladenia otázok, v rámci ktorého môžu členovia Európskej siete ombudsmanov klásť otázky týkajúce sa práva Únie, ktoré sa vyskytnú počas ich vyšetrovaní, a ombudsman získava odborné odpovede od inštitúcií Únie; v tejto súvislosti konštatuje, že ombudsmanka v roku 2024 usporiadala </w:t>
      </w:r>
      <w:proofErr w:type="spellStart"/>
      <w:r w:rsidRPr="00EA0FFF">
        <w:t>webinár</w:t>
      </w:r>
      <w:proofErr w:type="spellEnd"/>
      <w:r w:rsidRPr="00EA0FFF">
        <w:t xml:space="preserve"> Európskej siete ombudsmanov na rôzne témy vrátane vykonávania smernice Únie o oznamovaní protispoločenskej činnosti a otázok súvisiacich s voľným pohybom;</w:t>
      </w:r>
    </w:p>
    <w:p w14:paraId="77233058" w14:textId="77777777" w:rsidR="00CA4656" w:rsidRPr="00EA0FFF" w:rsidRDefault="00CA4656" w:rsidP="00CA4656">
      <w:pPr>
        <w:pStyle w:val="NormalHanging12a"/>
      </w:pPr>
      <w:r w:rsidRPr="00EA0FFF">
        <w:t>49.</w:t>
      </w:r>
      <w:r w:rsidRPr="00EA0FFF">
        <w:tab/>
        <w:t>na základe informácií z dotazníka konštatuje, že ombudsmanka a EDPS spolupracujú predovšetkým ad hoc a na neformálnom základe s cieľom zabezpečiť rýchlu a efektívnu spoluprácu v prípade potreby; ďalej s uspokojením konštatuje, že ombudsmanka a EDPS prijali memorandum o porozumení, ktoré upravuje ich príslušné právomoci pri vybavovaní sťažností a zabraňuje duplicite postupov;</w:t>
      </w:r>
    </w:p>
    <w:p w14:paraId="1C029C34" w14:textId="53624D17" w:rsidR="00CA4656" w:rsidRPr="00EA0FFF" w:rsidRDefault="00CA4656" w:rsidP="00CA4656">
      <w:pPr>
        <w:pStyle w:val="NormalHanging12a"/>
      </w:pPr>
      <w:r w:rsidRPr="00EA0FFF">
        <w:t>50.</w:t>
      </w:r>
      <w:r w:rsidRPr="00EA0FFF">
        <w:tab/>
        <w:t xml:space="preserve">víta skutočnosť, že ombudsmanka v roku 2024 pokračovala v úzkej spolupráci s príslušnými výbormi </w:t>
      </w:r>
      <w:r w:rsidR="00BE3B0A" w:rsidRPr="00EA0FFF">
        <w:t>Európskeho p</w:t>
      </w:r>
      <w:r w:rsidRPr="00EA0FFF">
        <w:t xml:space="preserve">arlamentu (Výbor pre petície, Výbor pre občianske slobody, spravodlivosť a vnútorné veci, Podvýbor pre ľudské práva) v súvislosti </w:t>
      </w:r>
      <w:r w:rsidRPr="00EA0FFF">
        <w:lastRenderedPageBreak/>
        <w:t>s dôležitými vyšetrovaniami, a to buď prezentovaním práce priamo na schôdzach výborov, alebo prostredníctvom informácií zasielaných predsedom výborov; zdôrazňuje, že strategické iniciatívy a vyšetrovania vykonávané ombudsmankou sú kľúčom k zlepšeniu transparentnosti a zodpovednosti administratívy Únie;</w:t>
      </w:r>
    </w:p>
    <w:p w14:paraId="2B2F30A9" w14:textId="77777777" w:rsidR="00CA4656" w:rsidRPr="00EA0FFF" w:rsidRDefault="00CA4656" w:rsidP="00CA4656">
      <w:pPr>
        <w:spacing w:after="240"/>
        <w:rPr>
          <w:b/>
          <w:i/>
        </w:rPr>
      </w:pPr>
      <w:r w:rsidRPr="00EA0FFF">
        <w:rPr>
          <w:b/>
          <w:i/>
        </w:rPr>
        <w:t>Komunikačná činnosť</w:t>
      </w:r>
    </w:p>
    <w:p w14:paraId="4C6A9EF5" w14:textId="77777777" w:rsidR="00CA4656" w:rsidRPr="00EA0FFF" w:rsidRDefault="00CA4656" w:rsidP="00CA4656">
      <w:pPr>
        <w:pStyle w:val="NormalHanging12a"/>
      </w:pPr>
      <w:r w:rsidRPr="00EA0FFF">
        <w:t>51.</w:t>
      </w:r>
      <w:r w:rsidRPr="00EA0FFF">
        <w:tab/>
        <w:t>na základe informácií z dotazníka konštatuje, že celkový rozpočet na komunikačné a propagačné činnosti (publikácie, organizácia podujatí, digitálna komunikácia atď.) sa znížil približne o 38 % zo 155 200 EUR v roku 2023 na 96 515 EUR v roku 2024; zdôrazňuje, že hoci prideľovanie rozpočtových prostriedkov musí byť strategické a orientované na výsledky, ombudsmanka by sa mala sústrediť na informovanie občanov o mandáte svojho úradu a udržať dostatočné kapacity v oblasti komunikácie, najmä pre občanov, ktorí sa na ombudsmanku obracajú so žiadosťou o riešenie problémov na úrovni Únie; vyzýva ombudsmanku, aby zvážila presun úspor s cieľom zabezpečiť, aby si úrad ombudsmana zachoval potrebnú viditeľnosť a dosah;</w:t>
      </w:r>
    </w:p>
    <w:p w14:paraId="3160F57F" w14:textId="77777777" w:rsidR="00CA4656" w:rsidRPr="00EA0FFF" w:rsidRDefault="00CA4656" w:rsidP="00CA4656">
      <w:pPr>
        <w:pStyle w:val="NormalHanging12a"/>
      </w:pPr>
      <w:r w:rsidRPr="00EA0FFF">
        <w:t>52.</w:t>
      </w:r>
      <w:r w:rsidRPr="00EA0FFF">
        <w:tab/>
        <w:t>oceňuje úsilie ombudsmanky poskytovať transparentné informácie a uverejňovať údaje (vrátane štatistík o počte prípadov) v informačne bohatej a používateľsky ústretovej forme na webovom sídle ombudsmana; víta uverejnenie harmonogramu všetkých vyšetrovaní sťažností na webovom sídle, ktorý obsahuje informácie o minulých aj plánovaných míľnikoch v rámci jednotlivých vyšetrovaní;</w:t>
      </w:r>
    </w:p>
    <w:p w14:paraId="6FB6D077" w14:textId="77777777" w:rsidR="00CA4656" w:rsidRPr="00EA0FFF" w:rsidRDefault="00CA4656" w:rsidP="00CA4656">
      <w:pPr>
        <w:pStyle w:val="NormalHanging12a"/>
      </w:pPr>
      <w:r w:rsidRPr="00EA0FFF">
        <w:t>53.</w:t>
      </w:r>
      <w:r w:rsidRPr="00EA0FFF">
        <w:tab/>
        <w:t xml:space="preserve">na základe dotazníka a výročnej správy konštatuje, že ombudsmanka v roku 2024 rozšírila svoje úsilie o dosah tým, že spustila účty na portáloch </w:t>
      </w:r>
      <w:proofErr w:type="spellStart"/>
      <w:r w:rsidRPr="00EA0FFF">
        <w:t>Threads</w:t>
      </w:r>
      <w:proofErr w:type="spellEnd"/>
      <w:r w:rsidRPr="00EA0FFF">
        <w:t xml:space="preserve"> a </w:t>
      </w:r>
      <w:proofErr w:type="spellStart"/>
      <w:r w:rsidRPr="00EA0FFF">
        <w:t>Bluesky</w:t>
      </w:r>
      <w:proofErr w:type="spellEnd"/>
      <w:r w:rsidRPr="00EA0FFF">
        <w:t xml:space="preserve">, čím </w:t>
      </w:r>
      <w:proofErr w:type="spellStart"/>
      <w:r w:rsidRPr="00EA0FFF">
        <w:t>diverzifikovala</w:t>
      </w:r>
      <w:proofErr w:type="spellEnd"/>
      <w:r w:rsidRPr="00EA0FFF">
        <w:t xml:space="preserve"> svoju prítomnosť v sociálnych médiách; konštatuje, že ombudsmanka naďalej upozorňovala na kľúčové tematické oblasti prostredníctvom špecializovaných kampaní v sociálnych médiách a webových článkov, pričom v roku 2024 sa vo svojej komunikácii sústredila na etické normy v inštitúciách Únie; víta kľúčový strategický cieľ novozvolenej ombudsmanky podľa správy o následných opatreniach, ktorým je posilnenie postavenia občanov, čo bude zahŕňať cielené komunikačné aktivity s cieľom zabezpečiť, aby občania, ktorí potrebujú ombudsmana, poznali svoje práva a využívali služby úradu ombudsmana;</w:t>
      </w:r>
    </w:p>
    <w:p w14:paraId="5368626F" w14:textId="77777777" w:rsidR="00CA4656" w:rsidRPr="00EA0FFF" w:rsidRDefault="00CA4656" w:rsidP="00CA4656">
      <w:pPr>
        <w:pStyle w:val="NormalHanging12a"/>
      </w:pPr>
      <w:r w:rsidRPr="00EA0FFF">
        <w:t>54.</w:t>
      </w:r>
      <w:r w:rsidRPr="00EA0FFF">
        <w:tab/>
        <w:t>víta pravidelný bulletin ombudsmanky s názvom EO Express, ktorý prostredníctvom propagácie na rôznych platformách poskytuje informácie predplatiteľom; vyzdvihuje účasť ombudsmanky na mnohých podujatiach organizovaných Úniou a medzinárodnými orgánmi, pričom často poskytovala rozhovory pre médiá s cieľom objasniť mandát ombudsmana, vysvetliť, ktoré druhy sťažností môže vybavovať, a informovať občanov o tom, kedy môžu požiadať ombudsmana o pomoc;</w:t>
      </w:r>
    </w:p>
    <w:p w14:paraId="66952A3E" w14:textId="77777777" w:rsidR="00CA4656" w:rsidRPr="00EA0FFF" w:rsidRDefault="00CA4656" w:rsidP="00CA4656">
      <w:pPr>
        <w:pStyle w:val="NormalHanging12a"/>
      </w:pPr>
      <w:r w:rsidRPr="00EA0FFF">
        <w:t>55.</w:t>
      </w:r>
      <w:r w:rsidRPr="00EA0FFF">
        <w:tab/>
        <w:t>s uspokojením berie na vedomie, že webové sídlo ombudsmana je navrhnuté v súlade s normami a usmerneniami Únie v oblasti prístupnosti a poskytuje používateľom inkluzívne a bezbariérové online prostredie vybavené rôznymi funkciami prístupnosti; konštatuje, že audit prístupnosti a použiteľnosti webového sídla ombudsmana, ktorý sa uskutočnil v roku 2025, ukázal priemerný súlad na úrovni takmer 90 %; nabáda ombudsmanku, aby v tejto oblasti naďalej uskutočňovala pravidelné audity;</w:t>
      </w:r>
    </w:p>
    <w:p w14:paraId="36CCC5FF" w14:textId="7D344E42" w:rsidR="00E365E1" w:rsidRPr="00EA0FFF" w:rsidRDefault="00CA4656" w:rsidP="00EA0FFF">
      <w:pPr>
        <w:pStyle w:val="NormalHanging12a"/>
      </w:pPr>
      <w:r w:rsidRPr="00EA0FFF">
        <w:t>56.</w:t>
      </w:r>
      <w:r w:rsidRPr="00EA0FFF">
        <w:tab/>
        <w:t xml:space="preserve">víta trvalú pozornosť médií, ktoré sa v roku 2024 venovali práci úradu ombudsmana v približne 5 000 článkoch; konštatuje, že ombudsmanka meria angažovanosť verejnosti predovšetkým prostredníctvom rastu na sociálnych médiách a návštevnosti webového </w:t>
      </w:r>
      <w:r w:rsidRPr="00EA0FFF">
        <w:lastRenderedPageBreak/>
        <w:t xml:space="preserve">sídla, pričom počet </w:t>
      </w:r>
      <w:proofErr w:type="spellStart"/>
      <w:r w:rsidRPr="00EA0FFF">
        <w:t>sledovateľov</w:t>
      </w:r>
      <w:proofErr w:type="spellEnd"/>
      <w:r w:rsidRPr="00EA0FFF">
        <w:t xml:space="preserve"> sa počas roka neustále zvyšoval; konštatuje, že účty ombudsmanky na sociálnych sieťach Instagram, LinkedIn a X získali celkovo 9 186 ďalších </w:t>
      </w:r>
      <w:proofErr w:type="spellStart"/>
      <w:r w:rsidRPr="00EA0FFF">
        <w:t>sledovateľov</w:t>
      </w:r>
      <w:proofErr w:type="spellEnd"/>
      <w:r w:rsidRPr="00EA0FFF">
        <w:t>, čím v roku 2024 prekonala svoje ciele v oblasti aktivity na sociálnych sieťach, ako aj v počte jedinečných návštevníkov svojho webového sídla; zdôrazňuje, že je dôležité naďalej sa prednostne zameriavať na externú komunikáciu, aby sa posilnila informovanosť verejnosti o mandáte ombudsmana a službách, ktoré poskytuje občanom Únie.</w:t>
      </w:r>
    </w:p>
    <w:sectPr w:rsidR="00E365E1" w:rsidRPr="00EA0FFF" w:rsidSect="003E59E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F3A56" w14:textId="77777777" w:rsidR="00A0720D" w:rsidRPr="003E59E5" w:rsidRDefault="00A0720D">
      <w:r w:rsidRPr="003E59E5">
        <w:separator/>
      </w:r>
    </w:p>
  </w:endnote>
  <w:endnote w:type="continuationSeparator" w:id="0">
    <w:p w14:paraId="05A9EC01" w14:textId="77777777" w:rsidR="00A0720D" w:rsidRPr="003E59E5" w:rsidRDefault="00A0720D">
      <w:r w:rsidRPr="003E59E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77447" w14:textId="77777777" w:rsidR="00CA4656" w:rsidRPr="003E59E5" w:rsidRDefault="00CA4656" w:rsidP="000472D7">
    <w:pPr>
      <w:pStyle w:val="EPFooter"/>
    </w:pPr>
    <w:r w:rsidRPr="003E59E5">
      <w:t>PE</w:t>
    </w:r>
    <w:r w:rsidRPr="003E59E5">
      <w:rPr>
        <w:rStyle w:val="HideTWBExt"/>
      </w:rPr>
      <w:t>&lt;NoPE&gt;</w:t>
    </w:r>
    <w:r w:rsidRPr="003E59E5">
      <w:t>778.065</w:t>
    </w:r>
    <w:r w:rsidRPr="003E59E5">
      <w:rPr>
        <w:rStyle w:val="HideTWBExt"/>
      </w:rPr>
      <w:t>&lt;/NoPE&gt;&lt;Version&gt;</w:t>
    </w:r>
    <w:r w:rsidRPr="003E59E5">
      <w:t>v02-00</w:t>
    </w:r>
    <w:r w:rsidRPr="003E59E5">
      <w:rPr>
        <w:rStyle w:val="HideTWBExt"/>
      </w:rPr>
      <w:t>&lt;/Version&gt;</w:t>
    </w:r>
    <w:r w:rsidRPr="003E59E5">
      <w:tab/>
    </w:r>
    <w:r w:rsidRPr="003E59E5">
      <w:fldChar w:fldCharType="begin"/>
    </w:r>
    <w:r w:rsidRPr="003E59E5">
      <w:instrText xml:space="preserve"> PAGE  \* MERGEFORMAT </w:instrText>
    </w:r>
    <w:r w:rsidRPr="003E59E5">
      <w:fldChar w:fldCharType="separate"/>
    </w:r>
    <w:r w:rsidRPr="003E59E5">
      <w:rPr>
        <w:noProof/>
      </w:rPr>
      <w:t>24</w:t>
    </w:r>
    <w:r w:rsidRPr="003E59E5">
      <w:fldChar w:fldCharType="end"/>
    </w:r>
    <w:r w:rsidRPr="003E59E5">
      <w:t>/</w:t>
    </w:r>
    <w:fldSimple w:instr=" NUMPAGES  \* MERGEFORMAT ">
      <w:r w:rsidRPr="003E59E5">
        <w:rPr>
          <w:noProof/>
        </w:rPr>
        <w:t>24</w:t>
      </w:r>
    </w:fldSimple>
    <w:r w:rsidRPr="003E59E5">
      <w:tab/>
    </w:r>
    <w:r w:rsidRPr="003E59E5">
      <w:rPr>
        <w:rStyle w:val="HideTWBExt"/>
      </w:rPr>
      <w:t>&lt;PathFdR&gt;</w:t>
    </w:r>
    <w:r w:rsidRPr="003E59E5">
      <w:t>RR\1339391SK.docx</w:t>
    </w:r>
    <w:r w:rsidRPr="003E59E5">
      <w:rPr>
        <w:rStyle w:val="HideTWBExt"/>
      </w:rPr>
      <w:t>&lt;/PathFdR&gt;</w:t>
    </w:r>
  </w:p>
  <w:p w14:paraId="2A847EA5" w14:textId="77777777" w:rsidR="00CA4656" w:rsidRPr="003E59E5" w:rsidRDefault="00CA4656" w:rsidP="000472D7">
    <w:pPr>
      <w:pStyle w:val="EPFooter2"/>
    </w:pPr>
    <w:r w:rsidRPr="003E59E5"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AC6A1" w14:textId="77777777" w:rsidR="00CA4656" w:rsidRPr="003E59E5" w:rsidRDefault="00CA4656" w:rsidP="000472D7">
    <w:pPr>
      <w:pStyle w:val="EPFooter"/>
    </w:pPr>
    <w:r w:rsidRPr="003E59E5">
      <w:rPr>
        <w:rStyle w:val="HideTWBExt"/>
      </w:rPr>
      <w:t>&lt;PathFdR&gt;</w:t>
    </w:r>
    <w:r w:rsidRPr="003E59E5">
      <w:t>RR\1339391SK.docx</w:t>
    </w:r>
    <w:r w:rsidRPr="003E59E5">
      <w:rPr>
        <w:rStyle w:val="HideTWBExt"/>
      </w:rPr>
      <w:t>&lt;/PathFdR&gt;</w:t>
    </w:r>
    <w:r w:rsidRPr="003E59E5">
      <w:tab/>
    </w:r>
    <w:r w:rsidRPr="003E59E5">
      <w:tab/>
      <w:t>PE</w:t>
    </w:r>
    <w:r w:rsidRPr="003E59E5">
      <w:rPr>
        <w:rStyle w:val="HideTWBExt"/>
      </w:rPr>
      <w:t>&lt;NoPE&gt;</w:t>
    </w:r>
    <w:r w:rsidRPr="003E59E5">
      <w:t>778.065</w:t>
    </w:r>
    <w:r w:rsidRPr="003E59E5">
      <w:rPr>
        <w:rStyle w:val="HideTWBExt"/>
      </w:rPr>
      <w:t>&lt;/NoPE&gt;&lt;Version&gt;</w:t>
    </w:r>
    <w:r w:rsidRPr="003E59E5">
      <w:t>v02-00</w:t>
    </w:r>
    <w:r w:rsidRPr="003E59E5">
      <w:rPr>
        <w:rStyle w:val="HideTWBExt"/>
      </w:rPr>
      <w:t>&lt;/Version&gt;</w:t>
    </w:r>
  </w:p>
  <w:p w14:paraId="0F62F5F8" w14:textId="77777777" w:rsidR="00CA4656" w:rsidRPr="003E59E5" w:rsidRDefault="00CA4656" w:rsidP="000472D7">
    <w:pPr>
      <w:pStyle w:val="EPFooter2"/>
    </w:pPr>
    <w:r w:rsidRPr="003E59E5">
      <w:t>SK</w:t>
    </w:r>
    <w:r w:rsidRPr="003E59E5">
      <w:tab/>
    </w:r>
    <w:r w:rsidRPr="003E59E5">
      <w:rPr>
        <w:b w:val="0"/>
        <w:i/>
        <w:color w:val="C0C0C0"/>
        <w:sz w:val="22"/>
      </w:rPr>
      <w:t>Zjednotení v rozmanitosti</w:t>
    </w:r>
    <w:r w:rsidRPr="003E59E5"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E8031" w14:textId="77777777" w:rsidR="00064002" w:rsidRPr="003E59E5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E286C" w14:textId="77777777" w:rsidR="00064002" w:rsidRPr="003E59E5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021BB" w14:textId="77777777" w:rsidR="00064002" w:rsidRPr="003E59E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3B157B" w14:textId="77777777" w:rsidR="00A0720D" w:rsidRPr="003E59E5" w:rsidRDefault="00A0720D">
      <w:r w:rsidRPr="003E59E5">
        <w:separator/>
      </w:r>
    </w:p>
  </w:footnote>
  <w:footnote w:type="continuationSeparator" w:id="0">
    <w:p w14:paraId="407AB4BC" w14:textId="77777777" w:rsidR="00A0720D" w:rsidRPr="003E59E5" w:rsidRDefault="00A0720D">
      <w:r w:rsidRPr="003E59E5">
        <w:continuationSeparator/>
      </w:r>
    </w:p>
  </w:footnote>
  <w:footnote w:id="1">
    <w:p w14:paraId="1697C3E1" w14:textId="088EDA9C" w:rsidR="00CA4656" w:rsidRPr="003E59E5" w:rsidRDefault="00CA4656" w:rsidP="003E59E5">
      <w:pPr>
        <w:pStyle w:val="FootnoteText"/>
        <w:ind w:left="567" w:hanging="567"/>
        <w:rPr>
          <w:sz w:val="24"/>
          <w:lang w:val="sk-SK"/>
        </w:rPr>
      </w:pPr>
      <w:r w:rsidRPr="003E59E5">
        <w:rPr>
          <w:rStyle w:val="FootnoteReference"/>
          <w:sz w:val="24"/>
          <w:lang w:val="sk-SK"/>
        </w:rPr>
        <w:footnoteRef/>
      </w:r>
      <w:r w:rsidR="003E59E5" w:rsidRPr="003E59E5">
        <w:rPr>
          <w:sz w:val="24"/>
          <w:lang w:val="sk-SK"/>
        </w:rPr>
        <w:t xml:space="preserve"> </w:t>
      </w:r>
      <w:r w:rsidR="003E59E5" w:rsidRPr="003E59E5">
        <w:rPr>
          <w:sz w:val="24"/>
          <w:lang w:val="sk-SK"/>
        </w:rPr>
        <w:tab/>
      </w:r>
      <w:r w:rsidRPr="003E59E5">
        <w:rPr>
          <w:sz w:val="24"/>
          <w:lang w:val="sk-SK"/>
        </w:rPr>
        <w:t>Ú. v. EÚ L</w:t>
      </w:r>
      <w:r w:rsidR="00BA4550">
        <w:rPr>
          <w:sz w:val="24"/>
          <w:lang w:val="sk-SK"/>
        </w:rPr>
        <w:t>,</w:t>
      </w:r>
      <w:r w:rsidRPr="003E59E5">
        <w:rPr>
          <w:sz w:val="24"/>
          <w:lang w:val="sk-SK"/>
        </w:rPr>
        <w:t xml:space="preserve"> </w:t>
      </w:r>
      <w:r w:rsidR="00BA4550">
        <w:rPr>
          <w:sz w:val="24"/>
          <w:lang w:val="sk-SK"/>
        </w:rPr>
        <w:t>2024/</w:t>
      </w:r>
      <w:r w:rsidRPr="003E59E5">
        <w:rPr>
          <w:sz w:val="24"/>
          <w:lang w:val="sk-SK"/>
        </w:rPr>
        <w:t xml:space="preserve">207, 22.2.2024, ELI: </w:t>
      </w:r>
      <w:hyperlink r:id="rId1" w:history="1">
        <w:r w:rsidRPr="003E59E5">
          <w:rPr>
            <w:rStyle w:val="Hyperlink"/>
            <w:sz w:val="24"/>
            <w:lang w:val="sk-SK"/>
          </w:rPr>
          <w:t>http://data.europa.eu/eli/budget/2024/207/oj</w:t>
        </w:r>
      </w:hyperlink>
      <w:r w:rsidRPr="003E59E5">
        <w:rPr>
          <w:sz w:val="24"/>
          <w:lang w:val="sk-SK"/>
        </w:rPr>
        <w:t>.</w:t>
      </w:r>
    </w:p>
  </w:footnote>
  <w:footnote w:id="2">
    <w:p w14:paraId="57425CD0" w14:textId="0BC7CB74" w:rsidR="00CA4656" w:rsidRPr="003E59E5" w:rsidRDefault="00CA4656" w:rsidP="003E59E5">
      <w:pPr>
        <w:pStyle w:val="FootnoteText"/>
        <w:ind w:left="567" w:hanging="567"/>
        <w:rPr>
          <w:sz w:val="24"/>
          <w:lang w:val="sk-SK"/>
        </w:rPr>
      </w:pPr>
      <w:r w:rsidRPr="003E59E5">
        <w:rPr>
          <w:rStyle w:val="FootnoteReference"/>
          <w:sz w:val="24"/>
          <w:lang w:val="sk-SK"/>
        </w:rPr>
        <w:footnoteRef/>
      </w:r>
      <w:r w:rsidR="003E59E5" w:rsidRPr="003E59E5">
        <w:rPr>
          <w:sz w:val="24"/>
          <w:lang w:val="sk-SK"/>
        </w:rPr>
        <w:t xml:space="preserve"> </w:t>
      </w:r>
      <w:r w:rsidR="003E59E5" w:rsidRPr="003E59E5">
        <w:rPr>
          <w:sz w:val="24"/>
          <w:lang w:val="sk-SK"/>
        </w:rPr>
        <w:tab/>
      </w:r>
      <w:r w:rsidRPr="003E59E5">
        <w:rPr>
          <w:sz w:val="24"/>
          <w:lang w:val="sk-SK"/>
        </w:rPr>
        <w:t>Ú. v. </w:t>
      </w:r>
      <w:r w:rsidRPr="003E59E5">
        <w:rPr>
          <w:sz w:val="24"/>
          <w:lang w:val="sk-SK"/>
        </w:rPr>
        <w:t>EÚ C, C/2025/4944, 13.10.2025, ELI: </w:t>
      </w:r>
      <w:hyperlink r:id="rId2" w:tgtFrame="_blank" w:tooltip="Umožňuje prístup k tomuto dokumentu prostredníctvom identifikátora URI používaného v rámci ELI." w:history="1">
        <w:r w:rsidRPr="003E59E5">
          <w:rPr>
            <w:rStyle w:val="Hyperlink"/>
            <w:sz w:val="24"/>
            <w:lang w:val="sk-SK"/>
          </w:rPr>
          <w:t>http://data.europa.eu/eli/C/2025/4944/oj</w:t>
        </w:r>
      </w:hyperlink>
      <w:r w:rsidRPr="003E59E5">
        <w:rPr>
          <w:sz w:val="24"/>
          <w:lang w:val="sk-SK"/>
        </w:rPr>
        <w:t>.</w:t>
      </w:r>
    </w:p>
  </w:footnote>
  <w:footnote w:id="3">
    <w:p w14:paraId="27EF873F" w14:textId="214F6A2F" w:rsidR="00CA4656" w:rsidRPr="003E59E5" w:rsidRDefault="00CA4656" w:rsidP="003E59E5">
      <w:pPr>
        <w:pStyle w:val="FootnoteText"/>
        <w:ind w:left="567" w:hanging="567"/>
        <w:rPr>
          <w:sz w:val="24"/>
          <w:lang w:val="sk-SK"/>
        </w:rPr>
      </w:pPr>
      <w:r w:rsidRPr="003E59E5">
        <w:rPr>
          <w:rStyle w:val="FootnoteReference"/>
          <w:sz w:val="24"/>
          <w:lang w:val="sk-SK"/>
        </w:rPr>
        <w:footnoteRef/>
      </w:r>
      <w:r w:rsidR="003E59E5" w:rsidRPr="003E59E5">
        <w:rPr>
          <w:sz w:val="24"/>
          <w:lang w:val="sk-SK"/>
        </w:rPr>
        <w:t xml:space="preserve"> </w:t>
      </w:r>
      <w:r w:rsidR="003E59E5" w:rsidRPr="003E59E5">
        <w:rPr>
          <w:sz w:val="24"/>
          <w:lang w:val="sk-SK"/>
        </w:rPr>
        <w:tab/>
      </w:r>
      <w:r w:rsidRPr="003E59E5">
        <w:rPr>
          <w:sz w:val="24"/>
          <w:lang w:val="sk-SK"/>
        </w:rPr>
        <w:t>Ú. v. </w:t>
      </w:r>
      <w:r w:rsidRPr="003E59E5">
        <w:rPr>
          <w:sz w:val="24"/>
          <w:lang w:val="sk-SK"/>
        </w:rPr>
        <w:t xml:space="preserve">EÚ C, C/2025/5409, 8.10.2025, ELI: </w:t>
      </w:r>
      <w:hyperlink r:id="rId3" w:history="1">
        <w:r w:rsidRPr="003E59E5">
          <w:rPr>
            <w:rStyle w:val="Hyperlink"/>
            <w:sz w:val="24"/>
            <w:lang w:val="sk-SK"/>
          </w:rPr>
          <w:t>http://data.europa.eu/eli/C/2025/5409/oj</w:t>
        </w:r>
      </w:hyperlink>
      <w:r w:rsidRPr="003E59E5">
        <w:rPr>
          <w:rStyle w:val="Hyperlink"/>
          <w:sz w:val="24"/>
          <w:lang w:val="sk-SK"/>
        </w:rPr>
        <w:t>.</w:t>
      </w:r>
    </w:p>
  </w:footnote>
  <w:footnote w:id="4">
    <w:p w14:paraId="2B24386E" w14:textId="745870C5" w:rsidR="00CA4656" w:rsidRPr="003E59E5" w:rsidRDefault="00CA4656" w:rsidP="003E59E5">
      <w:pPr>
        <w:pStyle w:val="FootnoteText"/>
        <w:ind w:left="567" w:hanging="567"/>
        <w:rPr>
          <w:sz w:val="24"/>
          <w:lang w:val="sk-SK"/>
        </w:rPr>
      </w:pPr>
      <w:r w:rsidRPr="003E59E5">
        <w:rPr>
          <w:rStyle w:val="FootnoteReference"/>
          <w:sz w:val="24"/>
          <w:lang w:val="sk-SK"/>
        </w:rPr>
        <w:footnoteRef/>
      </w:r>
      <w:r w:rsidR="003E59E5" w:rsidRPr="003E59E5">
        <w:rPr>
          <w:sz w:val="24"/>
          <w:lang w:val="sk-SK"/>
        </w:rPr>
        <w:t xml:space="preserve"> </w:t>
      </w:r>
      <w:r w:rsidR="003E59E5" w:rsidRPr="003E59E5">
        <w:rPr>
          <w:sz w:val="24"/>
          <w:lang w:val="sk-SK"/>
        </w:rPr>
        <w:tab/>
      </w:r>
      <w:r w:rsidRPr="003E59E5">
        <w:rPr>
          <w:sz w:val="24"/>
          <w:lang w:val="sk-SK"/>
        </w:rPr>
        <w:t>Ú. v. </w:t>
      </w:r>
      <w:r w:rsidRPr="003E59E5">
        <w:rPr>
          <w:sz w:val="24"/>
          <w:lang w:val="sk-SK"/>
        </w:rPr>
        <w:t>EÚ </w:t>
      </w:r>
      <w:r w:rsidR="00874540">
        <w:rPr>
          <w:sz w:val="24"/>
          <w:lang w:val="sk-SK"/>
        </w:rPr>
        <w:t xml:space="preserve">C, </w:t>
      </w:r>
      <w:r w:rsidRPr="003E59E5">
        <w:rPr>
          <w:sz w:val="24"/>
          <w:lang w:val="sk-SK"/>
        </w:rPr>
        <w:t xml:space="preserve">C/2025/5407, 13.10.2025, ELI: </w:t>
      </w:r>
      <w:hyperlink r:id="rId4" w:history="1">
        <w:r w:rsidRPr="003E59E5">
          <w:rPr>
            <w:rStyle w:val="Hyperlink"/>
            <w:sz w:val="24"/>
            <w:lang w:val="sk-SK"/>
          </w:rPr>
          <w:t>http://data.europa.eu/eli/C/2025/5407/oj</w:t>
        </w:r>
      </w:hyperlink>
      <w:r w:rsidRPr="003E59E5">
        <w:rPr>
          <w:rStyle w:val="Hyperlink"/>
          <w:sz w:val="24"/>
          <w:lang w:val="sk-SK"/>
        </w:rPr>
        <w:t>.</w:t>
      </w:r>
    </w:p>
  </w:footnote>
  <w:footnote w:id="5">
    <w:p w14:paraId="2795A4CF" w14:textId="02434D13" w:rsidR="00CA4656" w:rsidRPr="003E59E5" w:rsidRDefault="00CA4656" w:rsidP="003E59E5">
      <w:pPr>
        <w:pStyle w:val="FootnoteText"/>
        <w:ind w:left="567" w:hanging="567"/>
        <w:rPr>
          <w:sz w:val="24"/>
          <w:lang w:val="sk-SK"/>
        </w:rPr>
      </w:pPr>
      <w:r w:rsidRPr="003E59E5">
        <w:rPr>
          <w:rStyle w:val="FootnoteReference"/>
          <w:sz w:val="24"/>
          <w:lang w:val="sk-SK"/>
        </w:rPr>
        <w:footnoteRef/>
      </w:r>
      <w:r w:rsidR="003E59E5" w:rsidRPr="003E59E5">
        <w:rPr>
          <w:sz w:val="24"/>
          <w:lang w:val="sk-SK"/>
        </w:rPr>
        <w:t xml:space="preserve"> </w:t>
      </w:r>
      <w:r w:rsidR="003E59E5" w:rsidRPr="003E59E5">
        <w:rPr>
          <w:sz w:val="24"/>
          <w:lang w:val="sk-SK"/>
        </w:rPr>
        <w:tab/>
      </w:r>
      <w:r w:rsidRPr="003E59E5">
        <w:rPr>
          <w:sz w:val="24"/>
          <w:lang w:val="sk-SK"/>
        </w:rPr>
        <w:t>Ú. v. EÚ L 193, 30.7.2018, s. </w:t>
      </w:r>
      <w:r w:rsidRPr="003E59E5">
        <w:rPr>
          <w:sz w:val="24"/>
          <w:lang w:val="sk-SK"/>
        </w:rPr>
        <w:t xml:space="preserve">1, ELI: </w:t>
      </w:r>
      <w:hyperlink r:id="rId5" w:history="1">
        <w:r w:rsidRPr="003E59E5">
          <w:rPr>
            <w:rStyle w:val="Hyperlink"/>
            <w:sz w:val="24"/>
            <w:lang w:val="sk-SK"/>
          </w:rPr>
          <w:t>http://data.europa.eu/eli/reg/2018/1046/oj</w:t>
        </w:r>
      </w:hyperlink>
      <w:r w:rsidRPr="003E59E5">
        <w:rPr>
          <w:sz w:val="24"/>
          <w:lang w:val="sk-SK"/>
        </w:rPr>
        <w:t>.</w:t>
      </w:r>
    </w:p>
  </w:footnote>
  <w:footnote w:id="6">
    <w:p w14:paraId="32E072AA" w14:textId="28E34449" w:rsidR="00CA4656" w:rsidRPr="003E59E5" w:rsidRDefault="00CA4656" w:rsidP="003E59E5">
      <w:pPr>
        <w:pStyle w:val="FootnoteText"/>
        <w:ind w:left="567" w:hanging="567"/>
        <w:rPr>
          <w:sz w:val="24"/>
          <w:lang w:val="sk-SK"/>
        </w:rPr>
      </w:pPr>
      <w:r w:rsidRPr="003E59E5">
        <w:rPr>
          <w:rStyle w:val="FootnoteReference"/>
          <w:sz w:val="24"/>
          <w:lang w:val="sk-SK"/>
        </w:rPr>
        <w:footnoteRef/>
      </w:r>
      <w:r w:rsidR="003E59E5" w:rsidRPr="003E59E5">
        <w:rPr>
          <w:sz w:val="24"/>
          <w:lang w:val="sk-SK"/>
        </w:rPr>
        <w:t xml:space="preserve"> </w:t>
      </w:r>
      <w:r w:rsidR="003E59E5" w:rsidRPr="003E59E5">
        <w:rPr>
          <w:sz w:val="24"/>
          <w:lang w:val="sk-SK"/>
        </w:rPr>
        <w:tab/>
      </w:r>
      <w:r w:rsidRPr="003E59E5">
        <w:rPr>
          <w:sz w:val="24"/>
          <w:lang w:val="sk-SK"/>
        </w:rPr>
        <w:t xml:space="preserve">Ú. v. </w:t>
      </w:r>
      <w:r w:rsidRPr="003E59E5">
        <w:rPr>
          <w:sz w:val="24"/>
          <w:lang w:val="sk-SK"/>
        </w:rPr>
        <w:t xml:space="preserve">EÚ L, 2024/2509, 26.9.2024, ELI: </w:t>
      </w:r>
      <w:hyperlink r:id="rId6" w:history="1">
        <w:r w:rsidRPr="003E59E5">
          <w:rPr>
            <w:rStyle w:val="Hyperlink"/>
            <w:sz w:val="24"/>
            <w:lang w:val="sk-SK"/>
          </w:rPr>
          <w:t>http://data.europa.eu/eli/reg/2024/2509/oj</w:t>
        </w:r>
      </w:hyperlink>
      <w:r w:rsidRPr="003E59E5">
        <w:rPr>
          <w:sz w:val="24"/>
          <w:lang w:val="sk-SK"/>
        </w:rPr>
        <w:t>.</w:t>
      </w:r>
    </w:p>
  </w:footnote>
  <w:footnote w:id="7">
    <w:p w14:paraId="679BB8F3" w14:textId="160F92C2" w:rsidR="00CA4656" w:rsidRPr="003E59E5" w:rsidRDefault="00CA4656" w:rsidP="003E59E5">
      <w:pPr>
        <w:pStyle w:val="FootnoteText"/>
        <w:ind w:left="567" w:hanging="567"/>
        <w:rPr>
          <w:sz w:val="24"/>
          <w:lang w:val="sk-SK"/>
        </w:rPr>
      </w:pPr>
      <w:r w:rsidRPr="003E59E5">
        <w:rPr>
          <w:rStyle w:val="FootnoteReference"/>
          <w:sz w:val="24"/>
          <w:lang w:val="sk-SK"/>
        </w:rPr>
        <w:footnoteRef/>
      </w:r>
      <w:r w:rsidR="003E59E5" w:rsidRPr="003E59E5">
        <w:rPr>
          <w:sz w:val="24"/>
          <w:lang w:val="sk-SK"/>
        </w:rPr>
        <w:t xml:space="preserve"> </w:t>
      </w:r>
      <w:r w:rsidR="003E59E5" w:rsidRPr="003E59E5">
        <w:rPr>
          <w:sz w:val="24"/>
          <w:lang w:val="sk-SK"/>
        </w:rPr>
        <w:tab/>
      </w:r>
      <w:r w:rsidRPr="003E59E5">
        <w:rPr>
          <w:sz w:val="24"/>
          <w:lang w:val="sk-SK"/>
        </w:rPr>
        <w:t xml:space="preserve">Ú. v. EÚ L 253, 16.7.2021, s. </w:t>
      </w:r>
      <w:r w:rsidRPr="003E59E5">
        <w:rPr>
          <w:sz w:val="24"/>
          <w:lang w:val="sk-SK"/>
        </w:rPr>
        <w:t>1, ELI: </w:t>
      </w:r>
      <w:hyperlink r:id="rId7" w:tooltip="Umožňuje prístup k tomuto dokumentu prostredníctvom identifikátora URI používaného v rámci ELI." w:history="1">
        <w:r w:rsidRPr="003E59E5">
          <w:rPr>
            <w:rStyle w:val="Hyperlink"/>
            <w:sz w:val="24"/>
            <w:lang w:val="sk-SK"/>
          </w:rPr>
          <w:t>http://data.europa.eu/eli/reg/2021/1163/oj</w:t>
        </w:r>
      </w:hyperlink>
      <w:r w:rsidRPr="003E59E5">
        <w:rPr>
          <w:sz w:val="24"/>
          <w:lang w:val="sk-SK"/>
        </w:rPr>
        <w:t>.</w:t>
      </w:r>
    </w:p>
  </w:footnote>
  <w:footnote w:id="8">
    <w:p w14:paraId="5C133045" w14:textId="71BE6E1C" w:rsidR="00CA4656" w:rsidRPr="003E59E5" w:rsidRDefault="00CA4656" w:rsidP="003E59E5">
      <w:pPr>
        <w:pStyle w:val="FootnoteText"/>
        <w:ind w:left="567" w:hanging="567"/>
        <w:rPr>
          <w:sz w:val="24"/>
          <w:lang w:val="sk-SK"/>
        </w:rPr>
      </w:pPr>
      <w:r w:rsidRPr="00874540">
        <w:rPr>
          <w:rStyle w:val="FootnoteReference"/>
          <w:sz w:val="24"/>
          <w:lang w:val="sk-SK"/>
        </w:rPr>
        <w:footnoteRef/>
      </w:r>
      <w:r w:rsidR="003E59E5" w:rsidRPr="00EA0FFF">
        <w:rPr>
          <w:sz w:val="24"/>
          <w:shd w:val="clear" w:color="auto" w:fill="FFFFFF"/>
          <w:lang w:val="sk-SK"/>
        </w:rPr>
        <w:t xml:space="preserve"> </w:t>
      </w:r>
      <w:r w:rsidR="003E59E5" w:rsidRPr="00EA0FFF">
        <w:rPr>
          <w:sz w:val="24"/>
          <w:shd w:val="clear" w:color="auto" w:fill="FFFFFF"/>
          <w:lang w:val="sk-SK"/>
        </w:rPr>
        <w:tab/>
      </w:r>
      <w:r w:rsidRPr="00EA0FFF">
        <w:rPr>
          <w:sz w:val="24"/>
          <w:shd w:val="clear" w:color="auto" w:fill="FFFFFF"/>
          <w:lang w:val="sk-SK"/>
        </w:rPr>
        <w:t>Ú. v. </w:t>
      </w:r>
      <w:r w:rsidRPr="00EA0FFF">
        <w:rPr>
          <w:sz w:val="24"/>
          <w:shd w:val="clear" w:color="auto" w:fill="FFFFFF"/>
          <w:lang w:val="sk-SK"/>
        </w:rPr>
        <w:t>EÚ C, C/2023/161, 10.10.2023, ELI: </w:t>
      </w:r>
      <w:hyperlink r:id="rId8" w:tgtFrame="_blank" w:tooltip="Umožňuje prístup k tomuto dokumentu prostredníctvom identifikátora URI používaného v rámci ELI." w:history="1">
        <w:r w:rsidRPr="003E59E5">
          <w:rPr>
            <w:rStyle w:val="Hyperlink"/>
            <w:color w:val="23527C"/>
            <w:sz w:val="24"/>
            <w:lang w:val="sk-SK"/>
          </w:rPr>
          <w:t>http://data.europa.eu/eli/C/2023/161/oj</w:t>
        </w:r>
      </w:hyperlink>
      <w:r w:rsidRPr="003E59E5">
        <w:rPr>
          <w:color w:val="23527C"/>
          <w:sz w:val="24"/>
          <w:lang w:val="sk-SK"/>
        </w:rPr>
        <w:t>.</w:t>
      </w:r>
    </w:p>
  </w:footnote>
  <w:footnote w:id="9">
    <w:p w14:paraId="672FB9C8" w14:textId="74DFC3DC" w:rsidR="00CA4656" w:rsidRPr="003E59E5" w:rsidRDefault="00CA4656" w:rsidP="003E59E5">
      <w:pPr>
        <w:pStyle w:val="FootnoteText"/>
        <w:ind w:left="567" w:hanging="567"/>
        <w:rPr>
          <w:sz w:val="24"/>
          <w:lang w:val="sk-SK"/>
        </w:rPr>
      </w:pPr>
      <w:r w:rsidRPr="003E59E5">
        <w:rPr>
          <w:rStyle w:val="FootnoteReference"/>
          <w:sz w:val="24"/>
          <w:lang w:val="sk-SK"/>
        </w:rPr>
        <w:footnoteRef/>
      </w:r>
      <w:r w:rsidR="003E59E5" w:rsidRPr="003E59E5">
        <w:rPr>
          <w:sz w:val="24"/>
          <w:lang w:val="sk-SK"/>
        </w:rPr>
        <w:t xml:space="preserve"> </w:t>
      </w:r>
      <w:r w:rsidR="003E59E5" w:rsidRPr="003E59E5">
        <w:rPr>
          <w:sz w:val="24"/>
          <w:lang w:val="sk-SK"/>
        </w:rPr>
        <w:tab/>
      </w:r>
      <w:hyperlink r:id="rId9" w:history="1">
        <w:r w:rsidRPr="003E59E5">
          <w:rPr>
            <w:rStyle w:val="Hyperlink"/>
            <w:sz w:val="24"/>
            <w:lang w:val="sk-SK"/>
          </w:rPr>
          <w:t>https://www.ombudsman.europa.eu/sk/doc/declarations-and-transparency/sk/196382</w:t>
        </w:r>
      </w:hyperlink>
      <w:r w:rsidRPr="003E59E5">
        <w:rPr>
          <w:sz w:val="24"/>
          <w:lang w:val="sk-SK"/>
        </w:rPr>
        <w:t xml:space="preserve"> a </w:t>
      </w:r>
      <w:hyperlink r:id="rId10" w:history="1">
        <w:r w:rsidRPr="003E59E5">
          <w:rPr>
            <w:rStyle w:val="Hyperlink"/>
            <w:sz w:val="24"/>
            <w:lang w:val="sk-SK"/>
          </w:rPr>
          <w:t>https://www.ombudsman.europa.eu/sk/doc/declarations-and-transparency/sk/198831</w:t>
        </w:r>
      </w:hyperlink>
      <w:r w:rsidRPr="003E59E5">
        <w:rPr>
          <w:sz w:val="24"/>
          <w:lang w:val="sk-SK"/>
        </w:rPr>
        <w:t>.</w:t>
      </w:r>
    </w:p>
  </w:footnote>
  <w:footnote w:id="10">
    <w:p w14:paraId="2CF70B05" w14:textId="09FA72DA" w:rsidR="00CA4656" w:rsidRPr="003E59E5" w:rsidRDefault="00CA4656" w:rsidP="003E59E5">
      <w:pPr>
        <w:pStyle w:val="FootnoteText"/>
        <w:ind w:left="567" w:hanging="567"/>
        <w:rPr>
          <w:sz w:val="24"/>
          <w:lang w:val="sk-SK"/>
        </w:rPr>
      </w:pPr>
      <w:r w:rsidRPr="003E59E5">
        <w:rPr>
          <w:rStyle w:val="FootnoteReference"/>
          <w:sz w:val="24"/>
          <w:lang w:val="sk-SK"/>
        </w:rPr>
        <w:footnoteRef/>
      </w:r>
      <w:r w:rsidR="003E59E5" w:rsidRPr="003E59E5">
        <w:rPr>
          <w:sz w:val="24"/>
          <w:lang w:val="sk-SK"/>
        </w:rPr>
        <w:t xml:space="preserve"> </w:t>
      </w:r>
      <w:r w:rsidR="003E59E5" w:rsidRPr="003E59E5">
        <w:rPr>
          <w:sz w:val="24"/>
          <w:lang w:val="sk-SK"/>
        </w:rPr>
        <w:tab/>
      </w:r>
      <w:r w:rsidRPr="003E59E5">
        <w:rPr>
          <w:sz w:val="24"/>
          <w:lang w:val="sk-SK"/>
        </w:rPr>
        <w:t>Nariadenie Európskeho parlamentu a Rady (ES) č. 1049/2001 z 30. mája 2001 o prístupe verejnosti k dokumentom Európskeho parlamentu, Rady a Komisie (Ú. v. ES L 145, 31.5.2001, s. </w:t>
      </w:r>
      <w:r w:rsidRPr="003E59E5">
        <w:rPr>
          <w:sz w:val="24"/>
          <w:lang w:val="sk-SK"/>
        </w:rPr>
        <w:t>43, ELI: </w:t>
      </w:r>
      <w:hyperlink r:id="rId11" w:tooltip="Umožňuje prístup k tomuto dokumentu prostredníctvom identifikátora URI používaného v rámci ELI." w:history="1">
        <w:r w:rsidRPr="003E59E5">
          <w:rPr>
            <w:rStyle w:val="Hyperlink"/>
            <w:sz w:val="24"/>
            <w:lang w:val="sk-SK"/>
          </w:rPr>
          <w:t>http://data.europa.eu/eli/reg/2001/1049/oj</w:t>
        </w:r>
      </w:hyperlink>
      <w:r w:rsidRPr="003E59E5">
        <w:rPr>
          <w:sz w:val="24"/>
          <w:lang w:val="sk-SK"/>
        </w:rPr>
        <w:t>).</w:t>
      </w:r>
    </w:p>
  </w:footnote>
  <w:footnote w:id="11">
    <w:p w14:paraId="1C6E7EBC" w14:textId="6814D3C2" w:rsidR="00CA4656" w:rsidRPr="00874540" w:rsidRDefault="00CA4656" w:rsidP="003E59E5">
      <w:pPr>
        <w:pStyle w:val="FootnoteText"/>
        <w:ind w:left="567" w:hanging="567"/>
        <w:rPr>
          <w:sz w:val="24"/>
          <w:lang w:val="sk-SK"/>
        </w:rPr>
      </w:pPr>
      <w:r w:rsidRPr="003E59E5">
        <w:rPr>
          <w:rStyle w:val="FootnoteReference"/>
          <w:sz w:val="24"/>
          <w:lang w:val="sk-SK"/>
        </w:rPr>
        <w:footnoteRef/>
      </w:r>
      <w:r w:rsidR="003E59E5" w:rsidRPr="003E59E5">
        <w:rPr>
          <w:sz w:val="24"/>
          <w:lang w:val="sk-SK"/>
        </w:rPr>
        <w:t xml:space="preserve"> </w:t>
      </w:r>
      <w:r w:rsidR="003E59E5" w:rsidRPr="003E59E5">
        <w:rPr>
          <w:sz w:val="24"/>
          <w:lang w:val="sk-SK"/>
        </w:rPr>
        <w:tab/>
      </w:r>
      <w:r w:rsidR="0053263E">
        <w:rPr>
          <w:sz w:val="24"/>
          <w:lang w:val="sk-SK"/>
        </w:rPr>
        <w:t xml:space="preserve">Ú. v. </w:t>
      </w:r>
      <w:r w:rsidR="0053263E">
        <w:rPr>
          <w:sz w:val="24"/>
          <w:lang w:val="sk-SK"/>
        </w:rPr>
        <w:t>EÚ</w:t>
      </w:r>
      <w:r w:rsidR="0053263E" w:rsidRPr="0053263E">
        <w:rPr>
          <w:sz w:val="24"/>
          <w:lang w:val="sk-SK"/>
        </w:rPr>
        <w:t xml:space="preserve"> C, C/2024/4014, 17.7.2024, ELI: </w:t>
      </w:r>
      <w:hyperlink r:id="rId12" w:history="1">
        <w:r w:rsidR="0053263E" w:rsidRPr="0053263E">
          <w:rPr>
            <w:rStyle w:val="Hyperlink"/>
            <w:sz w:val="24"/>
            <w:lang w:val="sk-SK"/>
          </w:rPr>
          <w:t>http://data.europa.eu/eli/C/2024/4014/oj</w:t>
        </w:r>
      </w:hyperlink>
      <w:r w:rsidR="00874540" w:rsidRPr="00EA0FFF">
        <w:rPr>
          <w:lang w:val="sk-SK"/>
        </w:rPr>
        <w:t>.</w:t>
      </w:r>
    </w:p>
  </w:footnote>
  <w:footnote w:id="12">
    <w:p w14:paraId="5600A373" w14:textId="0160B87C" w:rsidR="00CA4656" w:rsidRPr="003E59E5" w:rsidRDefault="00CA4656" w:rsidP="003E59E5">
      <w:pPr>
        <w:pStyle w:val="FootnoteText"/>
        <w:ind w:left="567" w:hanging="567"/>
        <w:rPr>
          <w:sz w:val="24"/>
          <w:lang w:val="sk-SK"/>
        </w:rPr>
      </w:pPr>
      <w:r w:rsidRPr="003E59E5">
        <w:rPr>
          <w:rStyle w:val="FootnoteReference"/>
          <w:sz w:val="24"/>
          <w:lang w:val="sk-SK"/>
        </w:rPr>
        <w:footnoteRef/>
      </w:r>
      <w:r w:rsidR="003E59E5" w:rsidRPr="003E59E5">
        <w:rPr>
          <w:sz w:val="24"/>
          <w:lang w:val="sk-SK"/>
        </w:rPr>
        <w:t xml:space="preserve"> </w:t>
      </w:r>
      <w:r w:rsidR="003E59E5" w:rsidRPr="003E59E5">
        <w:rPr>
          <w:sz w:val="24"/>
          <w:lang w:val="sk-SK"/>
        </w:rPr>
        <w:tab/>
      </w:r>
      <w:r w:rsidRPr="003E59E5">
        <w:rPr>
          <w:sz w:val="24"/>
          <w:lang w:val="sk-SK"/>
        </w:rPr>
        <w:t>Nariadenie Európskeho parlamentu a Rady (EÚ) 2024/1689 z 13. júna 2024, ktorým sa stanovujú harmonizované pravidlá v oblasti umelej inteligencie a ktorým sa menia nariadenia (ES) č. 300/2008, (EÚ) č. 167/2013, (EÚ) č. 168/2013, (EÚ) 2018/858, (EÚ) 2018/1139 a (EÚ) 2019/2144 a smernice 2014/90/EÚ, (EÚ) 2016/797 a (EÚ) 2020/1828 (akt o umelej inteligencii) (Ú. v. </w:t>
      </w:r>
      <w:r w:rsidRPr="003E59E5">
        <w:rPr>
          <w:sz w:val="24"/>
          <w:lang w:val="sk-SK"/>
        </w:rPr>
        <w:t xml:space="preserve">EÚ L, 2024/1689, 12.7.2024, ELI: </w:t>
      </w:r>
      <w:hyperlink r:id="rId13" w:history="1">
        <w:r w:rsidRPr="003E59E5">
          <w:rPr>
            <w:rStyle w:val="Hyperlink"/>
            <w:sz w:val="24"/>
            <w:lang w:val="sk-SK"/>
          </w:rPr>
          <w:t>https://eur-lex.europa.eu/eli/reg/2024/1689/oj</w:t>
        </w:r>
      </w:hyperlink>
      <w:r w:rsidRPr="003E59E5">
        <w:rPr>
          <w:sz w:val="24"/>
          <w:lang w:val="sk-SK"/>
        </w:rPr>
        <w:t>).</w:t>
      </w:r>
    </w:p>
  </w:footnote>
  <w:footnote w:id="13">
    <w:p w14:paraId="718B529C" w14:textId="020CAD05" w:rsidR="00CA4656" w:rsidRPr="003E59E5" w:rsidRDefault="00CA4656" w:rsidP="003E59E5">
      <w:pPr>
        <w:pStyle w:val="FootnoteText"/>
        <w:ind w:left="567" w:hanging="567"/>
        <w:rPr>
          <w:sz w:val="24"/>
          <w:lang w:val="sk-SK"/>
        </w:rPr>
      </w:pPr>
      <w:r w:rsidRPr="003E59E5">
        <w:rPr>
          <w:rStyle w:val="FootnoteReference"/>
          <w:sz w:val="24"/>
          <w:lang w:val="sk-SK"/>
        </w:rPr>
        <w:footnoteRef/>
      </w:r>
      <w:r w:rsidR="003E59E5" w:rsidRPr="003E59E5">
        <w:rPr>
          <w:sz w:val="24"/>
          <w:lang w:val="sk-SK"/>
        </w:rPr>
        <w:t xml:space="preserve"> </w:t>
      </w:r>
      <w:r w:rsidR="003E59E5" w:rsidRPr="003E59E5">
        <w:rPr>
          <w:sz w:val="24"/>
          <w:lang w:val="sk-SK"/>
        </w:rPr>
        <w:tab/>
      </w:r>
      <w:r w:rsidRPr="003E59E5">
        <w:rPr>
          <w:sz w:val="24"/>
          <w:lang w:val="sk-SK"/>
        </w:rPr>
        <w:t>Nariadenie Európskeho parlamentu a Rady (EÚ) 2018/1725 z 23. októbra 2018 o ochrane fyzických osôb pri spracúvaní osobných údajov inštitúciami, orgánmi, úradmi a agentúrami Únie a o voľnom pohybe takýchto údajov, ktorým sa zrušuje nariadenie (ES) č. 45/2001 a rozhodnutie č. 1247/2002/ES (Ú. v. EÚ L 295, 21.11.2018, s. </w:t>
      </w:r>
      <w:r w:rsidRPr="003E59E5">
        <w:rPr>
          <w:sz w:val="24"/>
          <w:lang w:val="sk-SK"/>
        </w:rPr>
        <w:t>39, ELI: </w:t>
      </w:r>
      <w:hyperlink r:id="rId14" w:tooltip="Umožňuje prístup k tomuto dokumentu prostredníctvom identifikátora URI používaného v rámci ELI." w:history="1">
        <w:r w:rsidRPr="003E59E5">
          <w:rPr>
            <w:rStyle w:val="Hyperlink"/>
            <w:sz w:val="24"/>
            <w:lang w:val="sk-SK"/>
          </w:rPr>
          <w:t>http://data.europa.eu/eli/reg/2018/1725/oj</w:t>
        </w:r>
      </w:hyperlink>
      <w:r w:rsidRPr="003E59E5">
        <w:rPr>
          <w:sz w:val="24"/>
          <w:lang w:val="sk-SK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A8801" w14:textId="77777777" w:rsidR="00064002" w:rsidRPr="003E59E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152FA" w14:textId="77777777" w:rsidR="00064002" w:rsidRPr="003E59E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4B19A" w14:textId="77777777" w:rsidR="00064002" w:rsidRPr="003E59E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63507206">
    <w:abstractNumId w:val="9"/>
  </w:num>
  <w:num w:numId="2" w16cid:durableId="1466897080">
    <w:abstractNumId w:val="9"/>
  </w:num>
  <w:num w:numId="3" w16cid:durableId="1742436515">
    <w:abstractNumId w:val="7"/>
  </w:num>
  <w:num w:numId="4" w16cid:durableId="1928272107">
    <w:abstractNumId w:val="7"/>
  </w:num>
  <w:num w:numId="5" w16cid:durableId="1288202226">
    <w:abstractNumId w:val="6"/>
  </w:num>
  <w:num w:numId="6" w16cid:durableId="1748191810">
    <w:abstractNumId w:val="6"/>
  </w:num>
  <w:num w:numId="7" w16cid:durableId="897325122">
    <w:abstractNumId w:val="5"/>
  </w:num>
  <w:num w:numId="8" w16cid:durableId="1604679190">
    <w:abstractNumId w:val="5"/>
  </w:num>
  <w:num w:numId="9" w16cid:durableId="120923928">
    <w:abstractNumId w:val="4"/>
  </w:num>
  <w:num w:numId="10" w16cid:durableId="533230679">
    <w:abstractNumId w:val="4"/>
  </w:num>
  <w:num w:numId="11" w16cid:durableId="804932975">
    <w:abstractNumId w:val="8"/>
  </w:num>
  <w:num w:numId="12" w16cid:durableId="651717792">
    <w:abstractNumId w:val="8"/>
  </w:num>
  <w:num w:numId="13" w16cid:durableId="1314945415">
    <w:abstractNumId w:val="3"/>
  </w:num>
  <w:num w:numId="14" w16cid:durableId="25955435">
    <w:abstractNumId w:val="3"/>
  </w:num>
  <w:num w:numId="15" w16cid:durableId="1908105473">
    <w:abstractNumId w:val="2"/>
  </w:num>
  <w:num w:numId="16" w16cid:durableId="2054766061">
    <w:abstractNumId w:val="2"/>
  </w:num>
  <w:num w:numId="17" w16cid:durableId="2061244039">
    <w:abstractNumId w:val="1"/>
  </w:num>
  <w:num w:numId="18" w16cid:durableId="1381980595">
    <w:abstractNumId w:val="1"/>
  </w:num>
  <w:num w:numId="19" w16cid:durableId="1432821086">
    <w:abstractNumId w:val="0"/>
  </w:num>
  <w:num w:numId="20" w16cid:durableId="774710700">
    <w:abstractNumId w:val="0"/>
  </w:num>
  <w:num w:numId="21" w16cid:durableId="581722655">
    <w:abstractNumId w:val="9"/>
  </w:num>
  <w:num w:numId="22" w16cid:durableId="694384374">
    <w:abstractNumId w:val="7"/>
  </w:num>
  <w:num w:numId="23" w16cid:durableId="1545943815">
    <w:abstractNumId w:val="6"/>
  </w:num>
  <w:num w:numId="24" w16cid:durableId="525943416">
    <w:abstractNumId w:val="5"/>
  </w:num>
  <w:num w:numId="25" w16cid:durableId="603415639">
    <w:abstractNumId w:val="4"/>
  </w:num>
  <w:num w:numId="26" w16cid:durableId="1568422431">
    <w:abstractNumId w:val="8"/>
  </w:num>
  <w:num w:numId="27" w16cid:durableId="94830756">
    <w:abstractNumId w:val="3"/>
  </w:num>
  <w:num w:numId="28" w16cid:durableId="358970685">
    <w:abstractNumId w:val="2"/>
  </w:num>
  <w:num w:numId="29" w16cid:durableId="2043624437">
    <w:abstractNumId w:val="1"/>
  </w:num>
  <w:num w:numId="30" w16cid:durableId="269778038">
    <w:abstractNumId w:val="0"/>
  </w:num>
  <w:num w:numId="31" w16cid:durableId="1792086706">
    <w:abstractNumId w:val="9"/>
  </w:num>
  <w:num w:numId="32" w16cid:durableId="731267668">
    <w:abstractNumId w:val="7"/>
  </w:num>
  <w:num w:numId="33" w16cid:durableId="1725136677">
    <w:abstractNumId w:val="6"/>
  </w:num>
  <w:num w:numId="34" w16cid:durableId="1141536878">
    <w:abstractNumId w:val="5"/>
  </w:num>
  <w:num w:numId="35" w16cid:durableId="538972546">
    <w:abstractNumId w:val="4"/>
  </w:num>
  <w:num w:numId="36" w16cid:durableId="1949655894">
    <w:abstractNumId w:val="8"/>
  </w:num>
  <w:num w:numId="37" w16cid:durableId="588930923">
    <w:abstractNumId w:val="3"/>
  </w:num>
  <w:num w:numId="38" w16cid:durableId="1586066852">
    <w:abstractNumId w:val="2"/>
  </w:num>
  <w:num w:numId="39" w16cid:durableId="1956325375">
    <w:abstractNumId w:val="1"/>
  </w:num>
  <w:num w:numId="40" w16cid:durableId="1285967831">
    <w:abstractNumId w:val="0"/>
  </w:num>
  <w:num w:numId="41" w16cid:durableId="945963990">
    <w:abstractNumId w:val="10"/>
  </w:num>
  <w:num w:numId="42" w16cid:durableId="759985069">
    <w:abstractNumId w:val="10"/>
  </w:num>
  <w:num w:numId="43" w16cid:durableId="1947034230">
    <w:abstractNumId w:val="10"/>
  </w:num>
  <w:num w:numId="44" w16cid:durableId="16260371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54/2026"/>
    <w:docVar w:name="dvlangue" w:val="SK"/>
    <w:docVar w:name="dvnumam" w:val="0"/>
    <w:docVar w:name="dvpe" w:val="778.065"/>
    <w:docVar w:name="dvrapporteur" w:val="Spravodajca: "/>
    <w:docVar w:name="dvtitre" w:val="Rozhodnutie Európskeho parlamentu z/zo xx. xxx 2026 o absolutóriu za plnenie všeobecného rozpočtu Európskej únie za rozpočtový rok 2024, oddiel VIII – Európsky ombudsman(2025/2153(DEC))"/>
  </w:docVars>
  <w:rsids>
    <w:rsidRoot w:val="00A0720D"/>
    <w:rsid w:val="00000F2F"/>
    <w:rsid w:val="00002272"/>
    <w:rsid w:val="00045896"/>
    <w:rsid w:val="00064002"/>
    <w:rsid w:val="000677B9"/>
    <w:rsid w:val="000831BA"/>
    <w:rsid w:val="000A42CC"/>
    <w:rsid w:val="000E7DD9"/>
    <w:rsid w:val="0010095E"/>
    <w:rsid w:val="00125B37"/>
    <w:rsid w:val="00154DF7"/>
    <w:rsid w:val="001822AD"/>
    <w:rsid w:val="00187494"/>
    <w:rsid w:val="001F32AE"/>
    <w:rsid w:val="00266D6F"/>
    <w:rsid w:val="002767FF"/>
    <w:rsid w:val="002A7DDF"/>
    <w:rsid w:val="002B18FE"/>
    <w:rsid w:val="002B5493"/>
    <w:rsid w:val="00343214"/>
    <w:rsid w:val="00361C00"/>
    <w:rsid w:val="00395FA1"/>
    <w:rsid w:val="003E15D4"/>
    <w:rsid w:val="003E59E5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263E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4540"/>
    <w:rsid w:val="00877ABA"/>
    <w:rsid w:val="00881A7B"/>
    <w:rsid w:val="008840E5"/>
    <w:rsid w:val="00887B3E"/>
    <w:rsid w:val="008C2AC6"/>
    <w:rsid w:val="008F3F02"/>
    <w:rsid w:val="00930C23"/>
    <w:rsid w:val="0093193B"/>
    <w:rsid w:val="009509D8"/>
    <w:rsid w:val="00950B64"/>
    <w:rsid w:val="00981893"/>
    <w:rsid w:val="00A0720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4550"/>
    <w:rsid w:val="00BD48FE"/>
    <w:rsid w:val="00BD7BD8"/>
    <w:rsid w:val="00BE3B0A"/>
    <w:rsid w:val="00BE6ADC"/>
    <w:rsid w:val="00C05BFE"/>
    <w:rsid w:val="00C23CD4"/>
    <w:rsid w:val="00C61C0C"/>
    <w:rsid w:val="00C941CB"/>
    <w:rsid w:val="00CA4656"/>
    <w:rsid w:val="00CC2357"/>
    <w:rsid w:val="00CE18F1"/>
    <w:rsid w:val="00CF071A"/>
    <w:rsid w:val="00D058B8"/>
    <w:rsid w:val="00D56C11"/>
    <w:rsid w:val="00D745AB"/>
    <w:rsid w:val="00D834A0"/>
    <w:rsid w:val="00D872DF"/>
    <w:rsid w:val="00D91E21"/>
    <w:rsid w:val="00DA7FCD"/>
    <w:rsid w:val="00E365E1"/>
    <w:rsid w:val="00E820A4"/>
    <w:rsid w:val="00EA0FFF"/>
    <w:rsid w:val="00EB006A"/>
    <w:rsid w:val="00EB4772"/>
    <w:rsid w:val="00ED169E"/>
    <w:rsid w:val="00ED4235"/>
    <w:rsid w:val="00F04346"/>
    <w:rsid w:val="00F075DC"/>
    <w:rsid w:val="00F149E9"/>
    <w:rsid w:val="00F3211C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249F8A"/>
  <w15:chartTrackingRefBased/>
  <w15:docId w15:val="{6FD6F32F-0555-4F41-B62F-B0DC295EB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CA465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CA4656"/>
    <w:pPr>
      <w:spacing w:before="480" w:after="240"/>
    </w:pPr>
  </w:style>
  <w:style w:type="paragraph" w:customStyle="1" w:styleId="PageHeading">
    <w:name w:val="PageHeading"/>
    <w:basedOn w:val="Normal"/>
    <w:rsid w:val="00CA465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CA4656"/>
    <w:rPr>
      <w:b/>
    </w:rPr>
  </w:style>
  <w:style w:type="paragraph" w:customStyle="1" w:styleId="NormalHanging12a">
    <w:name w:val="NormalHanging12a"/>
    <w:basedOn w:val="Normal"/>
    <w:link w:val="NormalHanging12aChar"/>
    <w:qFormat/>
    <w:rsid w:val="00CA4656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CA46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A4656"/>
    <w:rPr>
      <w:sz w:val="24"/>
      <w:lang w:val="sk-SK"/>
    </w:rPr>
  </w:style>
  <w:style w:type="paragraph" w:customStyle="1" w:styleId="EPFooter">
    <w:name w:val="EPFooter"/>
    <w:basedOn w:val="Normal"/>
    <w:rsid w:val="00CA465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uiPriority w:val="99"/>
    <w:rsid w:val="00CA4656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CA4656"/>
    <w:rPr>
      <w:sz w:val="24"/>
      <w:lang w:val="sk-SK"/>
    </w:rPr>
  </w:style>
  <w:style w:type="paragraph" w:styleId="Footer">
    <w:name w:val="footer"/>
    <w:basedOn w:val="Normal"/>
    <w:link w:val="FooterChar"/>
    <w:rsid w:val="00154DF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54DF7"/>
    <w:rPr>
      <w:sz w:val="24"/>
      <w:lang w:val="sk-SK"/>
    </w:rPr>
  </w:style>
  <w:style w:type="paragraph" w:styleId="Revision">
    <w:name w:val="Revision"/>
    <w:hidden/>
    <w:uiPriority w:val="99"/>
    <w:semiHidden/>
    <w:rsid w:val="00874540"/>
    <w:rPr>
      <w:sz w:val="24"/>
      <w:lang w:val="sk-SK"/>
    </w:rPr>
  </w:style>
  <w:style w:type="character" w:styleId="UnresolvedMention">
    <w:name w:val="Unresolved Mention"/>
    <w:basedOn w:val="DefaultParagraphFont"/>
    <w:uiPriority w:val="99"/>
    <w:semiHidden/>
    <w:unhideWhenUsed/>
    <w:rsid w:val="005326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3/161/oj" TargetMode="External"/><Relationship Id="rId13" Type="http://schemas.openxmlformats.org/officeDocument/2006/relationships/hyperlink" Target="https://eur-lex.europa.eu/eli/reg/2024/1689/oj" TargetMode="External"/><Relationship Id="rId3" Type="http://schemas.openxmlformats.org/officeDocument/2006/relationships/hyperlink" Target="http://data.europa.eu/eli/C/2025/5409/oj" TargetMode="External"/><Relationship Id="rId7" Type="http://schemas.openxmlformats.org/officeDocument/2006/relationships/hyperlink" Target="http://data.europa.eu/eli/reg/2021/1163/oj" TargetMode="External"/><Relationship Id="rId12" Type="http://schemas.openxmlformats.org/officeDocument/2006/relationships/hyperlink" Target="http://data.europa.eu/eli/C/2024/4014/oj" TargetMode="External"/><Relationship Id="rId2" Type="http://schemas.openxmlformats.org/officeDocument/2006/relationships/hyperlink" Target="http://data.europa.eu/eli/C/2025/4944/oj" TargetMode="External"/><Relationship Id="rId1" Type="http://schemas.openxmlformats.org/officeDocument/2006/relationships/hyperlink" Target="http://data.europa.eu/eli/budget/2024/207/oj" TargetMode="External"/><Relationship Id="rId6" Type="http://schemas.openxmlformats.org/officeDocument/2006/relationships/hyperlink" Target="http://data.europa.eu/eli/reg/2024/2509/oj" TargetMode="External"/><Relationship Id="rId11" Type="http://schemas.openxmlformats.org/officeDocument/2006/relationships/hyperlink" Target="http://data.europa.eu/eli/reg/2001/1049/oj" TargetMode="External"/><Relationship Id="rId5" Type="http://schemas.openxmlformats.org/officeDocument/2006/relationships/hyperlink" Target="http://data.europa.eu/eli/reg/2018/1046/oj" TargetMode="External"/><Relationship Id="rId10" Type="http://schemas.openxmlformats.org/officeDocument/2006/relationships/hyperlink" Target="https://www.ombudsman.europa.eu/sk/doc/declarations-and-transparency/sk/198831" TargetMode="External"/><Relationship Id="rId4" Type="http://schemas.openxmlformats.org/officeDocument/2006/relationships/hyperlink" Target="http://data.europa.eu/eli/C/2025/5407/oj" TargetMode="External"/><Relationship Id="rId9" Type="http://schemas.openxmlformats.org/officeDocument/2006/relationships/hyperlink" Target="https://www.ombudsman.europa.eu/sk/doc/declarations-and-transparency/sk/196382" TargetMode="External"/><Relationship Id="rId14" Type="http://schemas.openxmlformats.org/officeDocument/2006/relationships/hyperlink" Target="http://data.europa.eu/eli/reg/2018/172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6965</Words>
  <Characters>43379</Characters>
  <Application>Microsoft Office Word</Application>
  <DocSecurity>0</DocSecurity>
  <Lines>361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50244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2026-05-06T09:39:00Z</dcterms:created>
  <dcterms:modified xsi:type="dcterms:W3CDTF">2026-05-06T09:39:00Z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P10_TA(2026)0133_</vt:lpwstr>
  </property>
  <property fmtid="{D5CDD505-2E9C-101B-9397-08002B2CF9AE}" pid="4" name="&lt;Type&gt;">
    <vt:lpwstr>RR</vt:lpwstr>
  </property>
</Properties>
</file>