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06BD" w14:paraId="5E2B5ACA" w14:textId="77777777" w:rsidTr="0010095E">
        <w:trPr>
          <w:trHeight w:hRule="exact" w:val="1418"/>
        </w:trPr>
        <w:tc>
          <w:tcPr>
            <w:tcW w:w="6804" w:type="dxa"/>
            <w:shd w:val="clear" w:color="auto" w:fill="auto"/>
            <w:vAlign w:val="center"/>
          </w:tcPr>
          <w:p w14:paraId="436F65BA" w14:textId="77777777" w:rsidR="00751A4A" w:rsidRPr="003906BD" w:rsidRDefault="0090662D" w:rsidP="0010095E">
            <w:pPr>
              <w:pStyle w:val="EPName"/>
            </w:pPr>
            <w:r w:rsidRPr="003906BD">
              <w:t>Europaparlamentet</w:t>
            </w:r>
          </w:p>
          <w:p w14:paraId="239E750D" w14:textId="77777777" w:rsidR="00751A4A" w:rsidRPr="003906BD" w:rsidRDefault="005F1B17" w:rsidP="005F1B17">
            <w:pPr>
              <w:pStyle w:val="EPTerm"/>
              <w:rPr>
                <w:rStyle w:val="HideTWBExt"/>
                <w:noProof w:val="0"/>
                <w:vanish w:val="0"/>
                <w:color w:val="auto"/>
              </w:rPr>
            </w:pPr>
            <w:r w:rsidRPr="003906BD">
              <w:t>2024</w:t>
            </w:r>
            <w:r w:rsidR="00817416" w:rsidRPr="003906BD">
              <w:t>-202</w:t>
            </w:r>
            <w:r w:rsidRPr="003906BD">
              <w:t>9</w:t>
            </w:r>
          </w:p>
        </w:tc>
        <w:tc>
          <w:tcPr>
            <w:tcW w:w="2268" w:type="dxa"/>
            <w:shd w:val="clear" w:color="auto" w:fill="auto"/>
          </w:tcPr>
          <w:p w14:paraId="10FD3D75" w14:textId="77777777" w:rsidR="00751A4A" w:rsidRPr="003906BD" w:rsidRDefault="00187494" w:rsidP="0010095E">
            <w:pPr>
              <w:pStyle w:val="EPLogo"/>
            </w:pPr>
            <w:r w:rsidRPr="003906BD">
              <w:rPr>
                <w:noProof/>
                <w:lang w:eastAsia="ja-JP"/>
              </w:rPr>
              <w:drawing>
                <wp:inline distT="0" distB="0" distL="0" distR="0" wp14:anchorId="28375A8D" wp14:editId="6E99AC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46D472" w14:textId="77777777" w:rsidR="00D058B8" w:rsidRPr="003906BD" w:rsidRDefault="00D058B8" w:rsidP="004C5D52">
      <w:pPr>
        <w:pStyle w:val="LineTop"/>
      </w:pPr>
    </w:p>
    <w:p w14:paraId="7850E3D1" w14:textId="77777777" w:rsidR="00680577" w:rsidRPr="003906BD" w:rsidRDefault="0090662D" w:rsidP="00680577">
      <w:pPr>
        <w:pStyle w:val="EPBodyTA1"/>
      </w:pPr>
      <w:r w:rsidRPr="003906BD">
        <w:t>ANTAGNA TEXTER</w:t>
      </w:r>
    </w:p>
    <w:p w14:paraId="5240B0ED" w14:textId="77777777" w:rsidR="00D058B8" w:rsidRPr="003906BD" w:rsidRDefault="00D058B8" w:rsidP="00D058B8">
      <w:pPr>
        <w:pStyle w:val="LineBottom"/>
      </w:pPr>
    </w:p>
    <w:p w14:paraId="16D0526F" w14:textId="2E50A250" w:rsidR="0090662D" w:rsidRPr="003906BD" w:rsidRDefault="0090662D" w:rsidP="0090662D">
      <w:pPr>
        <w:pStyle w:val="ATHeading1"/>
      </w:pPr>
      <w:bookmarkStart w:id="0" w:name="TANumber"/>
      <w:r w:rsidRPr="003906BD">
        <w:t>P10_TA(2026)0</w:t>
      </w:r>
      <w:bookmarkEnd w:id="0"/>
      <w:r w:rsidR="008A5F3C">
        <w:t>133</w:t>
      </w:r>
    </w:p>
    <w:p w14:paraId="50F73A19" w14:textId="587E8440" w:rsidR="0090662D" w:rsidRPr="003906BD" w:rsidRDefault="0090662D" w:rsidP="0090662D">
      <w:pPr>
        <w:pStyle w:val="ATHeading2"/>
      </w:pPr>
      <w:bookmarkStart w:id="1" w:name="title"/>
      <w:r w:rsidRPr="003906BD">
        <w:t>Ansvarsfrihet 2024: EU:s allmänna budget – Europeiska ombudsmannen</w:t>
      </w:r>
      <w:bookmarkEnd w:id="1"/>
    </w:p>
    <w:p w14:paraId="377CBFC1" w14:textId="77777777" w:rsidR="0090662D" w:rsidRPr="003906BD" w:rsidRDefault="0090662D" w:rsidP="0090662D">
      <w:pPr>
        <w:rPr>
          <w:i/>
          <w:vanish/>
        </w:rPr>
      </w:pPr>
      <w:r w:rsidRPr="003906BD">
        <w:rPr>
          <w:i/>
        </w:rPr>
        <w:fldChar w:fldCharType="begin"/>
      </w:r>
      <w:r w:rsidRPr="003906BD">
        <w:rPr>
          <w:i/>
        </w:rPr>
        <w:instrText xml:space="preserve"> TC"(</w:instrText>
      </w:r>
      <w:bookmarkStart w:id="2" w:name="DocNumber"/>
      <w:r w:rsidRPr="003906BD">
        <w:rPr>
          <w:i/>
        </w:rPr>
        <w:instrText>A10-0054/2026</w:instrText>
      </w:r>
      <w:bookmarkEnd w:id="2"/>
      <w:r w:rsidRPr="003906BD">
        <w:rPr>
          <w:i/>
        </w:rPr>
        <w:instrText xml:space="preserve"> - Föredragande: Pasquale </w:instrText>
      </w:r>
      <w:proofErr w:type="spellStart"/>
      <w:r w:rsidRPr="003906BD">
        <w:rPr>
          <w:i/>
        </w:rPr>
        <w:instrText>Tridico</w:instrText>
      </w:r>
      <w:proofErr w:type="spellEnd"/>
      <w:r w:rsidRPr="003906BD">
        <w:rPr>
          <w:i/>
        </w:rPr>
        <w:instrText xml:space="preserve">)"\l3 \n&gt; \* MERGEFORMAT </w:instrText>
      </w:r>
      <w:r w:rsidRPr="003906BD">
        <w:rPr>
          <w:i/>
        </w:rPr>
        <w:fldChar w:fldCharType="end"/>
      </w:r>
    </w:p>
    <w:p w14:paraId="47D50D74" w14:textId="77777777" w:rsidR="0090662D" w:rsidRPr="003906BD" w:rsidRDefault="0090662D" w:rsidP="0090662D">
      <w:pPr>
        <w:rPr>
          <w:vanish/>
        </w:rPr>
      </w:pPr>
      <w:bookmarkStart w:id="3" w:name="Commission"/>
      <w:r w:rsidRPr="003906BD">
        <w:rPr>
          <w:vanish/>
        </w:rPr>
        <w:t>Budgetkontrollutskottet</w:t>
      </w:r>
      <w:bookmarkEnd w:id="3"/>
    </w:p>
    <w:p w14:paraId="5371F9C6" w14:textId="77777777" w:rsidR="0090662D" w:rsidRPr="003906BD" w:rsidRDefault="0090662D" w:rsidP="0090662D">
      <w:pPr>
        <w:rPr>
          <w:vanish/>
        </w:rPr>
      </w:pPr>
      <w:bookmarkStart w:id="4" w:name="PE"/>
      <w:r w:rsidRPr="003906BD">
        <w:rPr>
          <w:vanish/>
        </w:rPr>
        <w:t>PE778.065</w:t>
      </w:r>
      <w:bookmarkEnd w:id="4"/>
    </w:p>
    <w:p w14:paraId="56880A94" w14:textId="222577F7" w:rsidR="0090662D" w:rsidRPr="003906BD" w:rsidRDefault="00B6306E" w:rsidP="0090662D">
      <w:pPr>
        <w:pStyle w:val="ATHeading3"/>
      </w:pPr>
      <w:bookmarkStart w:id="5" w:name="Sujet"/>
      <w:r w:rsidRPr="003906BD">
        <w:t xml:space="preserve">1. </w:t>
      </w:r>
      <w:r w:rsidR="0090662D" w:rsidRPr="003906BD">
        <w:t xml:space="preserve">Europaparlamentets beslut av den </w:t>
      </w:r>
      <w:r w:rsidR="00545D6B" w:rsidRPr="003906BD">
        <w:t>29</w:t>
      </w:r>
      <w:r w:rsidR="0090662D" w:rsidRPr="003906BD">
        <w:t xml:space="preserve"> </w:t>
      </w:r>
      <w:r w:rsidR="00545D6B" w:rsidRPr="003906BD">
        <w:t>april</w:t>
      </w:r>
      <w:r w:rsidR="0090662D" w:rsidRPr="003906BD">
        <w:t xml:space="preserve"> 2026 om ansvarsfrihet för genomförandet av Europeiska unionens allmänna budget för budgetåret 2024, avsnitt VIII – Europeiska ombudsmannen</w:t>
      </w:r>
      <w:bookmarkEnd w:id="5"/>
      <w:r w:rsidR="0090662D" w:rsidRPr="003906BD">
        <w:t xml:space="preserve"> </w:t>
      </w:r>
      <w:bookmarkStart w:id="6" w:name="References"/>
      <w:r w:rsidR="0090662D" w:rsidRPr="003906BD">
        <w:t>(2025/2153(DEC))</w:t>
      </w:r>
      <w:bookmarkEnd w:id="6"/>
    </w:p>
    <w:p w14:paraId="65B3D5BE" w14:textId="77777777" w:rsidR="0062447A" w:rsidRPr="003906BD" w:rsidRDefault="0062447A" w:rsidP="0062447A">
      <w:pPr>
        <w:pStyle w:val="EPComma"/>
      </w:pPr>
      <w:bookmarkStart w:id="7" w:name="TextBodyBegin"/>
      <w:bookmarkEnd w:id="7"/>
      <w:r w:rsidRPr="003906BD">
        <w:rPr>
          <w:i/>
          <w:iCs/>
        </w:rPr>
        <w:t>Europaparlamentet fattar detta beslut</w:t>
      </w:r>
    </w:p>
    <w:p w14:paraId="3F1BCFE3" w14:textId="77777777" w:rsidR="0062447A" w:rsidRPr="003906BD" w:rsidRDefault="0062447A" w:rsidP="0062447A">
      <w:pPr>
        <w:pStyle w:val="NormalHanging12a"/>
      </w:pPr>
      <w:r w:rsidRPr="003906BD">
        <w:t>–</w:t>
      </w:r>
      <w:r w:rsidRPr="003906BD">
        <w:tab/>
        <w:t>med beaktande av Europeiska unionens allmänna budget för budgetåret 2024</w:t>
      </w:r>
      <w:r w:rsidRPr="003906BD">
        <w:rPr>
          <w:rStyle w:val="FootnoteReference"/>
        </w:rPr>
        <w:footnoteReference w:id="1"/>
      </w:r>
      <w:r w:rsidRPr="003906BD">
        <w:t>,</w:t>
      </w:r>
    </w:p>
    <w:p w14:paraId="29030697" w14:textId="77777777" w:rsidR="0062447A" w:rsidRPr="003906BD" w:rsidRDefault="0062447A" w:rsidP="0062447A">
      <w:pPr>
        <w:pStyle w:val="NormalHanging12a"/>
      </w:pPr>
      <w:r w:rsidRPr="003906BD">
        <w:t>–</w:t>
      </w:r>
      <w:r w:rsidRPr="003906BD">
        <w:tab/>
        <w:t>med beaktande av Europeiska unionens konsoliderade årsredovisning för budgetåret 2024 (COM(2025)0359 – C10</w:t>
      </w:r>
      <w:r w:rsidRPr="003906BD">
        <w:noBreakHyphen/>
        <w:t>0153/2025)</w:t>
      </w:r>
      <w:r w:rsidRPr="003906BD">
        <w:rPr>
          <w:rStyle w:val="FootnoteReference"/>
        </w:rPr>
        <w:footnoteReference w:id="2"/>
      </w:r>
      <w:r w:rsidRPr="003906BD">
        <w:t>,</w:t>
      </w:r>
    </w:p>
    <w:p w14:paraId="7420A180" w14:textId="77777777" w:rsidR="0062447A" w:rsidRPr="003906BD" w:rsidRDefault="0062447A" w:rsidP="0062447A">
      <w:pPr>
        <w:pStyle w:val="NormalHanging12a"/>
      </w:pPr>
      <w:r w:rsidRPr="003906BD">
        <w:t>–</w:t>
      </w:r>
      <w:r w:rsidRPr="003906BD">
        <w:tab/>
        <w:t>med beaktande av Europeiska ombudsmannens årliga verksamhetsrapport för 2024 och dess rapport om budgetförvaltningen och den ekonomiska förvaltningen för budgetåret 2024,</w:t>
      </w:r>
    </w:p>
    <w:p w14:paraId="22E092C1" w14:textId="77777777" w:rsidR="0062447A" w:rsidRPr="003906BD" w:rsidRDefault="0062447A" w:rsidP="0062447A">
      <w:pPr>
        <w:pStyle w:val="NormalHanging12a"/>
      </w:pPr>
      <w:r w:rsidRPr="003906BD">
        <w:t>–</w:t>
      </w:r>
      <w:r w:rsidRPr="003906BD">
        <w:tab/>
        <w:t>med beaktande av revisionsrättens årsrapport om genomförandet av budgeten för budgetåret 2024, med institutionernas svar</w:t>
      </w:r>
      <w:r w:rsidRPr="003906BD">
        <w:rPr>
          <w:rStyle w:val="FootnoteReference"/>
        </w:rPr>
        <w:footnoteReference w:id="3"/>
      </w:r>
      <w:r w:rsidRPr="003906BD">
        <w:t>,</w:t>
      </w:r>
    </w:p>
    <w:p w14:paraId="1C6AB548" w14:textId="2BB3D87D" w:rsidR="0062447A" w:rsidRPr="003906BD" w:rsidRDefault="0062447A" w:rsidP="0062447A">
      <w:pPr>
        <w:pStyle w:val="NormalHanging12a"/>
      </w:pPr>
      <w:r w:rsidRPr="003906BD">
        <w:t>–</w:t>
      </w:r>
      <w:r w:rsidRPr="003906BD">
        <w:tab/>
        <w:t xml:space="preserve">med beaktande av </w:t>
      </w:r>
      <w:r w:rsidR="005926BC" w:rsidRPr="003906BD">
        <w:t>revisions</w:t>
      </w:r>
      <w:r w:rsidRPr="003906BD">
        <w:t>förklaringen</w:t>
      </w:r>
      <w:r w:rsidRPr="003906BD">
        <w:rPr>
          <w:rStyle w:val="FootnoteReference"/>
        </w:rPr>
        <w:footnoteReference w:id="4"/>
      </w:r>
      <w:r w:rsidRPr="003906BD">
        <w:t xml:space="preserve"> om räkenskapernas tillförlitlighet och de underliggande transaktionernas laglighet och korrekthet, som avgetts av revisionsrätten för budgetåret 2024 i enlighet med artikel 287 i fördraget om Europeiska unionens funktionssätt,</w:t>
      </w:r>
    </w:p>
    <w:p w14:paraId="44B9435A" w14:textId="77777777" w:rsidR="0062447A" w:rsidRPr="003906BD" w:rsidRDefault="0062447A" w:rsidP="0062447A">
      <w:pPr>
        <w:pStyle w:val="NormalHanging12a"/>
      </w:pPr>
      <w:r w:rsidRPr="003906BD">
        <w:t>–</w:t>
      </w:r>
      <w:r w:rsidRPr="003906BD">
        <w:tab/>
        <w:t>med beaktande av artikel 314.10 och artiklarna 317, 318 och 319 i fördraget om Europeiska unionens funktionssätt,</w:t>
      </w:r>
    </w:p>
    <w:p w14:paraId="1259B661" w14:textId="77777777" w:rsidR="0062447A" w:rsidRPr="003906BD" w:rsidRDefault="0062447A" w:rsidP="0062447A">
      <w:pPr>
        <w:pStyle w:val="NormalHanging12a"/>
      </w:pPr>
      <w:r w:rsidRPr="003906BD">
        <w:t>–</w:t>
      </w:r>
      <w:r w:rsidRPr="003906B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3906BD">
        <w:lastRenderedPageBreak/>
        <w:t>nr 283/2014 och beslut nr 541/2014/EU samt om upphävande av förordning (EU, Euratom) nr 966/2012</w:t>
      </w:r>
      <w:r w:rsidRPr="003906BD">
        <w:rPr>
          <w:rStyle w:val="FootnoteReference"/>
        </w:rPr>
        <w:footnoteReference w:id="5"/>
      </w:r>
      <w:r w:rsidRPr="003906BD">
        <w:t>, särskilt artiklarna 59, 118, 260, 261 och 262,</w:t>
      </w:r>
    </w:p>
    <w:p w14:paraId="16B6632F" w14:textId="77777777" w:rsidR="0062447A" w:rsidRPr="003906BD" w:rsidRDefault="0062447A" w:rsidP="0062447A">
      <w:pPr>
        <w:pStyle w:val="NormalHanging12a"/>
      </w:pPr>
      <w:r w:rsidRPr="003906BD">
        <w:t>–</w:t>
      </w:r>
      <w:r w:rsidRPr="003906BD">
        <w:tab/>
        <w:t>med beaktande av Europaparlamentets och rådets förordning (EU, Euratom) 2024/2509 av den 23 september 2024 om finansiella regler för unionens allmänna budget</w:t>
      </w:r>
      <w:r w:rsidRPr="003906BD">
        <w:rPr>
          <w:rStyle w:val="FootnoteReference"/>
        </w:rPr>
        <w:footnoteReference w:id="6"/>
      </w:r>
      <w:r w:rsidRPr="003906BD">
        <w:t>, särskilt artiklarna 59, 118, 266, 267 och 268,</w:t>
      </w:r>
    </w:p>
    <w:p w14:paraId="6E07C189" w14:textId="77777777" w:rsidR="0062447A" w:rsidRPr="003906BD" w:rsidRDefault="0062447A" w:rsidP="0062447A">
      <w:pPr>
        <w:pStyle w:val="NormalHanging12a"/>
      </w:pPr>
      <w:r w:rsidRPr="003906BD">
        <w:t>–</w:t>
      </w:r>
      <w:r w:rsidRPr="003906BD">
        <w:tab/>
        <w:t>med beaktande av artikel 102 och bilaga V i arbetsordningen,</w:t>
      </w:r>
    </w:p>
    <w:p w14:paraId="3A989F34" w14:textId="77777777" w:rsidR="0062447A" w:rsidRPr="003906BD" w:rsidRDefault="0062447A" w:rsidP="0062447A">
      <w:pPr>
        <w:pStyle w:val="NormalHanging12a"/>
      </w:pPr>
      <w:r w:rsidRPr="003906BD">
        <w:t>–</w:t>
      </w:r>
      <w:r w:rsidRPr="003906BD">
        <w:tab/>
        <w:t>med beaktande av betänkandet från budgetkontrollutskottet (A10-0054/2026).</w:t>
      </w:r>
    </w:p>
    <w:p w14:paraId="0C20603E" w14:textId="77777777" w:rsidR="0062447A" w:rsidRPr="003906BD" w:rsidRDefault="0062447A" w:rsidP="0062447A">
      <w:pPr>
        <w:pStyle w:val="NormalHanging12a"/>
        <w:widowControl/>
      </w:pPr>
      <w:r w:rsidRPr="003906BD">
        <w:t>1.</w:t>
      </w:r>
      <w:r w:rsidRPr="003906BD">
        <w:tab/>
        <w:t>Europaparlamentet beviljar Europeiska ombudsmannen ansvarsfrihet för genomförandet av Europeiska ombudsmannens budget för budgetåret 2024.</w:t>
      </w:r>
    </w:p>
    <w:p w14:paraId="5118CF8A" w14:textId="77777777" w:rsidR="0062447A" w:rsidRPr="003906BD" w:rsidRDefault="0062447A" w:rsidP="0062447A">
      <w:pPr>
        <w:pStyle w:val="NormalHanging12a"/>
      </w:pPr>
      <w:r w:rsidRPr="003906BD">
        <w:t>2.</w:t>
      </w:r>
      <w:r w:rsidRPr="003906BD">
        <w:tab/>
        <w:t>Europaparlamentet redovisar sina iakttagelser i resolutionen nedan.</w:t>
      </w:r>
    </w:p>
    <w:p w14:paraId="3FDEB0A2" w14:textId="77777777" w:rsidR="0062447A" w:rsidRPr="003906BD" w:rsidRDefault="0062447A" w:rsidP="0062447A">
      <w:pPr>
        <w:pStyle w:val="NormalHanging12a"/>
      </w:pPr>
      <w:r w:rsidRPr="003906BD">
        <w:t>3.</w:t>
      </w:r>
      <w:r w:rsidRPr="003906BD">
        <w:tab/>
        <w:t xml:space="preserve">Europaparlamentet uppdrar åt talmannen att översända detta beslut och den resolution som utgör en del av beslutet till Europeiska ombudsmannen, Europeiska rådet, rådet, kommissionen, revisionsrätten, Europeiska unionens domstol, Europeiska datatillsynsmannen och Europeiska utrikestjänsten, och att se till att de offentliggörs i </w:t>
      </w:r>
      <w:r w:rsidRPr="003906BD">
        <w:rPr>
          <w:i/>
          <w:iCs/>
        </w:rPr>
        <w:t>Europeiska unionens officiella tidning</w:t>
      </w:r>
      <w:r w:rsidRPr="003906BD">
        <w:t xml:space="preserve"> (L-serien).</w:t>
      </w:r>
    </w:p>
    <w:p w14:paraId="5D2B05F9" w14:textId="77777777" w:rsidR="0062447A" w:rsidRPr="003906BD" w:rsidRDefault="0062447A" w:rsidP="0062447A">
      <w:pPr>
        <w:pStyle w:val="NormalHanging12a"/>
      </w:pPr>
    </w:p>
    <w:p w14:paraId="56911A77" w14:textId="77777777" w:rsidR="0062447A" w:rsidRPr="003906BD" w:rsidRDefault="0062447A" w:rsidP="0062447A">
      <w:pPr>
        <w:pStyle w:val="PageHeading"/>
        <w:sectPr w:rsidR="0062447A" w:rsidRPr="003906BD" w:rsidSect="00D207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A189C0" w14:textId="77777777" w:rsidR="00B6306E" w:rsidRPr="003906BD" w:rsidRDefault="00B6306E" w:rsidP="00B6306E">
      <w:pPr>
        <w:pStyle w:val="ATHeading3"/>
      </w:pPr>
      <w:r w:rsidRPr="003906BD">
        <w:lastRenderedPageBreak/>
        <w:t>2. Europaparlamentets resolution av den 29 april 2026 med de iakttagelser som utgör en del av beslutet om ansvarsfrihet för genomförandet av Europeiska unionens allmänna budget för budgetåret 2024, avsnitt VIII – Europeiska ombudsmannen (2025/2153(DEC))</w:t>
      </w:r>
    </w:p>
    <w:p w14:paraId="16AB0541" w14:textId="77777777" w:rsidR="0062447A" w:rsidRPr="003906BD" w:rsidRDefault="0062447A" w:rsidP="0062447A">
      <w:pPr>
        <w:pStyle w:val="EPComma"/>
      </w:pPr>
      <w:r w:rsidRPr="003906BD">
        <w:rPr>
          <w:i/>
          <w:iCs/>
        </w:rPr>
        <w:t>Europaparlamentet utfärdar denna resolution</w:t>
      </w:r>
    </w:p>
    <w:p w14:paraId="39F53A72" w14:textId="77777777" w:rsidR="0062447A" w:rsidRPr="003906BD" w:rsidRDefault="0062447A" w:rsidP="0062447A">
      <w:pPr>
        <w:pStyle w:val="NormalHanging12a"/>
      </w:pPr>
      <w:r w:rsidRPr="003906BD">
        <w:t>–</w:t>
      </w:r>
      <w:r w:rsidRPr="003906BD">
        <w:tab/>
        <w:t>med beaktande av sitt beslut om ansvarsfrihet för genomförandet av Europeiska unionens allmänna budget för budgetåret 2024, avsnitt VIII – Europeiska ombudsmannen,</w:t>
      </w:r>
    </w:p>
    <w:p w14:paraId="0FD00B39" w14:textId="77777777" w:rsidR="0062447A" w:rsidRPr="003906BD" w:rsidRDefault="0062447A" w:rsidP="0062447A">
      <w:pPr>
        <w:pStyle w:val="NormalHanging12a"/>
      </w:pPr>
      <w:r w:rsidRPr="003906BD">
        <w:t>–</w:t>
      </w:r>
      <w:r w:rsidRPr="003906BD">
        <w:tab/>
        <w:t>med beaktande av artikel 102 och bilaga V i arbetsordningen,</w:t>
      </w:r>
    </w:p>
    <w:p w14:paraId="3B4B3B16" w14:textId="77777777" w:rsidR="0062447A" w:rsidRPr="003906BD" w:rsidRDefault="0062447A" w:rsidP="0062447A">
      <w:pPr>
        <w:pStyle w:val="NormalHanging12a"/>
      </w:pPr>
      <w:r w:rsidRPr="003906BD">
        <w:t>–</w:t>
      </w:r>
      <w:r w:rsidRPr="003906BD">
        <w:tab/>
        <w:t>med beaktande av betänkandet från budgetkontrollutskottet (A10-0054/2026).</w:t>
      </w:r>
    </w:p>
    <w:p w14:paraId="5026895E" w14:textId="77777777" w:rsidR="0062447A" w:rsidRPr="003906BD" w:rsidRDefault="0062447A" w:rsidP="0062447A">
      <w:pPr>
        <w:pStyle w:val="NormalHanging12a"/>
      </w:pPr>
      <w:r w:rsidRPr="003906BD">
        <w:t>A.</w:t>
      </w:r>
      <w:r w:rsidRPr="003906BD">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säkerställa en sund, effektiv och resultatorienterad ekonomisk förvaltning och säkra en god förvaltning av personalresurserna.</w:t>
      </w:r>
    </w:p>
    <w:p w14:paraId="7170B4D6" w14:textId="77777777" w:rsidR="0062447A" w:rsidRPr="003906BD" w:rsidRDefault="0062447A" w:rsidP="0062447A">
      <w:pPr>
        <w:pStyle w:val="NormalHanging12a"/>
      </w:pPr>
      <w:r w:rsidRPr="003906BD">
        <w:t>B.</w:t>
      </w:r>
      <w:r w:rsidRPr="003906BD">
        <w:tab/>
        <w:t>I artikel 228 i fördraget om Europeiska unionens funktionssätt föreskrivs att Europaparlamentet ska välja en europeisk ombudsman (ombudsmannen), som ska ha befogenhet att ta emot klagomål från varje unionsmedborgare eller varje fysisk eller juridisk person som är bosatt eller har sitt säte i en medlemsstat om missförhållanden i unionsinstitutionernas, unionsorganens eller unionsbyråernas verksamhet, med undantag för Europeiska unionens domstol då den utövar sina domstolsfunktioner, och ska granska sådana klagomål och rapportera om dem.</w:t>
      </w:r>
    </w:p>
    <w:p w14:paraId="0BD65FD8" w14:textId="77777777" w:rsidR="0062447A" w:rsidRPr="003906BD" w:rsidRDefault="0062447A" w:rsidP="0062447A">
      <w:pPr>
        <w:pStyle w:val="NormalHanging12a"/>
      </w:pPr>
      <w:r w:rsidRPr="003906BD">
        <w:t>C.</w:t>
      </w:r>
      <w:r w:rsidRPr="003906BD">
        <w:tab/>
        <w:t>I Europaparlamentets förordning (EU, Euratom) 2021/1163 av den 24 juni 2021</w:t>
      </w:r>
      <w:r w:rsidRPr="003906BD">
        <w:rPr>
          <w:rStyle w:val="FootnoteReference"/>
        </w:rPr>
        <w:footnoteReference w:id="7"/>
      </w:r>
      <w:r w:rsidRPr="003906BD">
        <w:t xml:space="preserve"> fastställs föreskrifter och allmänna villkor för ombudsmannens ämbetsutövning (Europeiska ombudsmannens stadga).</w:t>
      </w:r>
    </w:p>
    <w:p w14:paraId="3A279CBD" w14:textId="77777777" w:rsidR="0062447A" w:rsidRPr="003906BD" w:rsidRDefault="0062447A" w:rsidP="0062447A">
      <w:pPr>
        <w:pStyle w:val="NormalHanging12a"/>
      </w:pPr>
      <w:r w:rsidRPr="003906BD">
        <w:t>D.</w:t>
      </w:r>
      <w:r w:rsidRPr="003906BD">
        <w:tab/>
        <w:t>Efter att ha valts av parlamentet den 17 december 2024 svors den nya ombudsmannen in den 27 februari 2025, vilket säkerställer kontinuiteten och ett effektivt fullgörande av ombudsmannens mandat när det gäller att främja transparens, god förvaltning och medborgerliga rättigheter inom unionens institutioner.</w:t>
      </w:r>
    </w:p>
    <w:p w14:paraId="1CB4CC23" w14:textId="77777777" w:rsidR="0062447A" w:rsidRPr="003906BD" w:rsidRDefault="0062447A" w:rsidP="0062447A">
      <w:pPr>
        <w:pStyle w:val="NormalHanging12a"/>
        <w:rPr>
          <w:b/>
          <w:i/>
        </w:rPr>
      </w:pPr>
      <w:r w:rsidRPr="003906BD">
        <w:t>E.</w:t>
      </w:r>
      <w:r w:rsidRPr="003906BD">
        <w:rPr>
          <w:b/>
          <w:i/>
        </w:rPr>
        <w:tab/>
      </w:r>
      <w:r w:rsidRPr="003906BD">
        <w:t>Att upprätthålla de högsta standarderna för institutionellt oberoende och undvika allt som kan tyda på favorisering vid utnämningar av högre tjänstemän är avgörande för att trygga allmänhetens förtroende för ombudsmannens roll som unionens väktare av god förvaltning.</w:t>
      </w:r>
    </w:p>
    <w:p w14:paraId="5F082D82" w14:textId="77777777" w:rsidR="0062447A" w:rsidRPr="003906BD" w:rsidRDefault="0062447A" w:rsidP="0062447A">
      <w:pPr>
        <w:pStyle w:val="NormalHanging12a"/>
        <w:widowControl/>
      </w:pPr>
      <w:r w:rsidRPr="003906BD">
        <w:t>F.</w:t>
      </w:r>
      <w:r w:rsidRPr="003906BD">
        <w:tab/>
      </w:r>
      <w:r w:rsidRPr="003906BD">
        <w:rPr>
          <w:shd w:val="clear" w:color="auto" w:fill="FFFFFF"/>
        </w:rPr>
        <w:t>Efter antagandet av förordning (EU, Euratom) 2021/1163</w:t>
      </w:r>
      <w:r w:rsidRPr="003906BD">
        <w:t xml:space="preserve"> antog ombudsmannen sina reviderade genomförandebestämmelser</w:t>
      </w:r>
      <w:r w:rsidRPr="003906BD">
        <w:rPr>
          <w:rStyle w:val="FootnoteReference"/>
        </w:rPr>
        <w:footnoteReference w:id="8"/>
      </w:r>
      <w:r w:rsidRPr="003906BD">
        <w:t xml:space="preserve"> den 21 juni 2023.</w:t>
      </w:r>
    </w:p>
    <w:p w14:paraId="57C6C96A" w14:textId="77777777" w:rsidR="0062447A" w:rsidRPr="003906BD" w:rsidRDefault="0062447A" w:rsidP="0062447A">
      <w:pPr>
        <w:pStyle w:val="NormalHanging12a"/>
      </w:pPr>
      <w:r w:rsidRPr="003906BD">
        <w:t>1.</w:t>
      </w:r>
      <w:r w:rsidRPr="003906BD">
        <w:tab/>
        <w:t xml:space="preserve">Europaparlamentet noterar att ombudsmannens budget sorterar under rubrik 7 i den </w:t>
      </w:r>
      <w:r w:rsidRPr="003906BD">
        <w:lastRenderedPageBreak/>
        <w:t>fleråriga budgetramen, ”Europeisk offentlig förvaltning”, som 2024 uppgick till totalt 13,3 miljarder EUR, dvs. 6,9 % av unionens budgetutgifter. Parlamentet noterar att ombudsmannens budget utgjorde 0,10 % av anslagen under rubrik 7 i den fleråriga budgetramen.</w:t>
      </w:r>
    </w:p>
    <w:p w14:paraId="0029C4A6" w14:textId="77777777" w:rsidR="0062447A" w:rsidRPr="003906BD" w:rsidRDefault="0062447A" w:rsidP="0062447A">
      <w:pPr>
        <w:pStyle w:val="NormalHanging12a"/>
      </w:pPr>
      <w:r w:rsidRPr="003906BD">
        <w:t>2.</w:t>
      </w:r>
      <w:r w:rsidRPr="003906BD">
        <w:tab/>
        <w:t>Europaparlamentet noterar att revisionsrätten i sin årsrapport för budgetåret 2024 (</w:t>
      </w:r>
      <w:r w:rsidRPr="003906BD">
        <w:rPr>
          <w:i/>
          <w:iCs/>
        </w:rPr>
        <w:t>revisionsrättens rapport</w:t>
      </w:r>
      <w:r w:rsidRPr="003906BD">
        <w:t>) granskade ett urval av 70 transaktioner under rubriken ”Administration”, samma antal som 2023. Parlamentet noterar att revisionsrätten vidare uppger att de administrativa kostnaderna innefattar personalkostnader, inklusive pensioner, som 2024 stod för omkring 69 % av de totala administrativa kostnaderna, samt kostnader för byggnader, utrustning, energi, kommunikation och it, och att revisionsrättens arbete under många år visat att dessa kostnader totalt sett är förknippade med låg risk.</w:t>
      </w:r>
    </w:p>
    <w:p w14:paraId="5D69BF50" w14:textId="77777777" w:rsidR="0062447A" w:rsidRPr="003906BD" w:rsidRDefault="0062447A" w:rsidP="0062447A">
      <w:pPr>
        <w:pStyle w:val="NormalHanging12a"/>
      </w:pPr>
      <w:r w:rsidRPr="003906BD">
        <w:t>3.</w:t>
      </w:r>
      <w:r w:rsidRPr="003906BD">
        <w:tab/>
        <w:t>Europaparlamentet noterar att 16 av de 70 transaktionerna (dvs. 23 %) innehöll fel, men att revisionsrätten, på grundval av de tre fel som kvantifierats, uppskattar att felnivån ligger under väsentlighetströskeln. Parlamentet noterar att revisionsrätten i sin rapport inte identifierar några specifika problem avseende ombudsmannen.</w:t>
      </w:r>
    </w:p>
    <w:p w14:paraId="3CDD43F2" w14:textId="77777777" w:rsidR="0062447A" w:rsidRPr="003906BD" w:rsidRDefault="0062447A" w:rsidP="0062447A">
      <w:pPr>
        <w:pStyle w:val="NormalHanging12a"/>
        <w:ind w:left="0" w:firstLine="0"/>
        <w:rPr>
          <w:b/>
          <w:i/>
        </w:rPr>
      </w:pPr>
      <w:r w:rsidRPr="003906BD">
        <w:rPr>
          <w:b/>
          <w:i/>
        </w:rPr>
        <w:t>Budgetförvaltningen och den ekonomiska förvaltningen</w:t>
      </w:r>
    </w:p>
    <w:p w14:paraId="0F8461A6" w14:textId="77777777" w:rsidR="0062447A" w:rsidRPr="003906BD" w:rsidRDefault="0062447A" w:rsidP="0062447A">
      <w:pPr>
        <w:pStyle w:val="NormalHanging12a"/>
      </w:pPr>
      <w:r w:rsidRPr="003906BD">
        <w:t>4.</w:t>
      </w:r>
      <w:r w:rsidRPr="003906BD">
        <w:tab/>
        <w:t>Europaparlamentet noterar att ombudsmannens budget uppgick till 13 843 160 EUR 2024, vilket är en ökning med 630 713 EUR (dvs. +4,77 %) jämfört med 2023. Parlamentet noterar i ombudsmannens svar på budgetkontrollutskottets frågeformulär för ansvarsfriheten för 2024 (</w:t>
      </w:r>
      <w:r w:rsidRPr="003906BD">
        <w:rPr>
          <w:i/>
          <w:iCs/>
        </w:rPr>
        <w:t>frågeformuläret</w:t>
      </w:r>
      <w:r w:rsidRPr="003906BD">
        <w:t>) att denna ökning främst beror på lönejusteringar.</w:t>
      </w:r>
    </w:p>
    <w:p w14:paraId="64A2E2C3" w14:textId="77777777" w:rsidR="0062447A" w:rsidRPr="003906BD" w:rsidRDefault="0062447A" w:rsidP="0062447A">
      <w:pPr>
        <w:pStyle w:val="NormalHanging12a"/>
      </w:pPr>
      <w:r w:rsidRPr="003906BD">
        <w:t>5.</w:t>
      </w:r>
      <w:r w:rsidRPr="003906BD">
        <w:tab/>
        <w:t>Europaparlamentet noterar att insatserna för budgetövervakning under budgetåret 2024 resulterade i ett budgetgenomförande på 97,55 %, vilket är en ökning med 2,16 % jämfört med 2023. Parlamentet noterar att denna andel omfattar anslag som överförts från 2024 till 2025. Genomförandegraden för betalningsbemyndigandena för det innevarande året var 97,08 %, vilket innebär en minskning med 0,50 % jämfört med 2023. Parlamentet noterar en ökning av de anslag som överförts (C8-anslag) med 29,60 %, dvs. från 304 550 EUR 2023 till 394 667 EUR 2024. Parlamentet noterar en förbättrad genomförandegrad för de automatiskt överförda anslagen från föregående år, som 2024 var 76,59 % jämfört med 73,27 % 2023. Parlamentet noterar dock att denna andel förblev låg jämfört med 2022 (92,59 %), och upprepar sin uppmaning till ombudsmannen att öka insatserna för att förbättra denna andel.</w:t>
      </w:r>
    </w:p>
    <w:p w14:paraId="57E23B4A" w14:textId="77777777" w:rsidR="0062447A" w:rsidRPr="003906BD" w:rsidRDefault="0062447A" w:rsidP="0062447A">
      <w:pPr>
        <w:pStyle w:val="NormalHanging12a"/>
      </w:pPr>
      <w:r w:rsidRPr="003906BD">
        <w:t>6.</w:t>
      </w:r>
      <w:r w:rsidRPr="003906BD">
        <w:tab/>
        <w:t>Europaparlamentet noterar att ombudsmannen under 2024 gjorde fyra budgetöverföringar enligt artikel 29 i budgetförordningen, vilket motsvarar totalt 280 500 EUR eller 2,02 % av anslagen det budgetåret, jämfört med 1,8 % under 2023. Parlamentet noterar att dessa överföringar behövdes för att förstärka olika budgetposter för bland annat renhållning, underhåll och energiförbrukning (+41 %), utgifter för tjänsteresor (+38,60 %) och informationsteknik (+24,80 %). Parlamentet noterar att ombudsmannen under 2024 avsevärt minskade sina utgifter för översättning, efter den framgångsrika integreringen av artificiell intelligens (AI) i översättningsprocesserna för ombudsmannens webbplats. Parlamentet noterar att de besparingar som detta resulterade i användes för att förstärka andra områden genom budgetöverföringar.</w:t>
      </w:r>
    </w:p>
    <w:p w14:paraId="1D0967AB" w14:textId="77777777" w:rsidR="0062447A" w:rsidRPr="003906BD" w:rsidRDefault="0062447A" w:rsidP="0062447A">
      <w:pPr>
        <w:pStyle w:val="NormalHanging12a"/>
      </w:pPr>
      <w:r w:rsidRPr="003906BD">
        <w:t>7.</w:t>
      </w:r>
      <w:r w:rsidRPr="003906BD">
        <w:tab/>
        <w:t xml:space="preserve">Europaparlamentet noterar med tillfredsställelse utifrån ombudsmannens årliga </w:t>
      </w:r>
      <w:r w:rsidRPr="003906BD">
        <w:lastRenderedPageBreak/>
        <w:t>verksamhetsrapport för 2024 (</w:t>
      </w:r>
      <w:r w:rsidRPr="003906BD">
        <w:rPr>
          <w:i/>
          <w:iCs/>
        </w:rPr>
        <w:t>årsrapporten</w:t>
      </w:r>
      <w:r w:rsidRPr="003906BD">
        <w:t>) att alla betalningar gjordes inom den föreskrivna tidsfristen på 30 dagar 2024. Parlamentet noterar vidare att den genomsnittliga tiden för betalning av fakturor var 13,20 dagar, vilket är en förbättring jämfört med 2023 (13,50 dagar). Parlamentet noterar när det gäller ombudsmannens övergång till ett nytt finans- och redovisningssystem (Summa) att ombudsmannen ombeds betala 200 000 EUR för åtkomsträttigheter till systemet, samma belopp som andra, mycket större EU-institutioner, organ och byråer uppmanas att betala. Parlamentet noterar att detta belopp är dubbelt så stort som ombudsmannens budget för denna typ av tjänst. Parlamentet uppmanar kommissionen att hitta en lösning som gör det möjligt för ombudsmannen att få tillgång till Summa till ett pris som står i proportion till omfattningen av ombudsmannens verksamhet. Parlamentet efterlyser inrättandet av en transparent, objektiv och proportionerlig kostnadsmodell för tillgång till gemensamma finansiella system för företag, med avgifter som återspeglar storleken på, budgeten för och antalet användare inom den institution, det organ eller den byrå som berörs, för att förhindra en oproportionerlig börda för dem som är mindre och för att säkerställa efterlevnad av skyldigheterna avseende ekonomisk förvaltning utan att undergräva de resurser som avsatts för deras centrala mandat.</w:t>
      </w:r>
    </w:p>
    <w:p w14:paraId="0CDAC02C" w14:textId="77777777" w:rsidR="0062447A" w:rsidRPr="003906BD" w:rsidRDefault="0062447A" w:rsidP="0062447A">
      <w:pPr>
        <w:pStyle w:val="NormalHanging12a"/>
      </w:pPr>
      <w:r w:rsidRPr="003906BD">
        <w:t>8.</w:t>
      </w:r>
      <w:r w:rsidRPr="003906BD">
        <w:tab/>
        <w:t>Europaparlamentet noterar att effekterna av Rysslands olagliga anfallskrig mot Ukraina fortsatte att pressa ombudsmannens budget under 2024. Parlamentet noterar att ombudsmannen påverkades mest av de ökade energikostnaderna. Parlamentet noterar i detta sammanhang att det för att hantera konsekvenserna av denna ökning på ombudsmannens budget var nödvändigt att göra en ny beräkning av den klumpsumma som ombudsmannen betalade till parlamentet för hyreskostnader. Parlamentet noterar att ombudsmannens faktiska energiutgifter under 2024 till följd av detta ökade med 75 %, från 168 900 EUR 2023 till 295 400 EUR 2024. Parlamentet noterar utifrån frågeformuläret att ombudsmannens anser att den kumulativa effekten av inflationstrycket och begränsningen av de icke lönerelaterade utgifterna till högst 2 % jämfört med föregående år påverkar den långsiktiga hållbarheten i ombudsmannens budget. Parlamentet betonar att ett sådant tryck, om det inte hanteras på lämpligt sätt, riskerar att undergräva kostnadseffektiviteten, förutsägbarheten och hållbarheten i ombudsmannens verksamhet. Parlamentet erkänner behovet av att alla unionens institutioner, organ och byråer förbättrar sin budgetförvaltning genom att även ta hänsyn till prisvolatilitet, särskilt inom energisektorn, när de ingår avtal med tjänsteleverantörer. Parlamentet betonar att budgetdisciplin måste förenas med realistiska kostnadsbedömningar för att skydda skattebetalarnas pengar samtidigt som den operativa kontinuiteten upprätthålls.</w:t>
      </w:r>
    </w:p>
    <w:p w14:paraId="3F0B228A" w14:textId="28B3C1FB" w:rsidR="0062447A" w:rsidRPr="003906BD" w:rsidRDefault="0062447A" w:rsidP="0062447A">
      <w:pPr>
        <w:pStyle w:val="NormalHanging12a"/>
      </w:pPr>
      <w:r w:rsidRPr="003906BD">
        <w:t>9.</w:t>
      </w:r>
      <w:r w:rsidRPr="003906BD">
        <w:tab/>
        <w:t>Europaparlamentet noterar att budgeten för personalens tjänsteresor uppgick till 120 000 EUR 2024 (samma belopp som för 2023). Parlamentet noterar dock att en förstärkning av budgetartikeln för tjänsteresor med +38,60 % under 2024 genomfördes genom interna överföringar. Parlamentet noterar ombudsmannens förklaring att denna förstärkning var nödvändig på grund av inflationen och ökade inkvarteringskostnader, en ökning av antalet nödvändiga tjänsteresor för ombudsmannen och budgetberäkningar baserade på resor under tidigare år då resandet var begränsat på grund av covid-19-pandemin. Parlamentet noterar att ombudsmannens ursprungliga budget för tjänsteresor förblev densamma under 202</w:t>
      </w:r>
      <w:r w:rsidR="00E6789B" w:rsidRPr="003906BD">
        <w:t>4</w:t>
      </w:r>
      <w:r w:rsidRPr="003906BD">
        <w:t xml:space="preserve"> som under tidigare år (2022 och 2023), dvs. 35 000 EUR. Parlamentet noterar att efter en förstärkning av denna budget genom interna överföringar uppgick de faktiska utgifterna för ombudsmannens tjänsteresor till </w:t>
      </w:r>
      <w:r w:rsidRPr="003906BD">
        <w:lastRenderedPageBreak/>
        <w:t>totalt 41 326 EUR under 2024</w:t>
      </w:r>
      <w:r w:rsidRPr="003906BD">
        <w:rPr>
          <w:rStyle w:val="FootnoteReference"/>
        </w:rPr>
        <w:footnoteReference w:id="9"/>
      </w:r>
      <w:r w:rsidRPr="003906BD">
        <w:t>. Parlamentet efterlyser mer realistiska inledande budgetprognoser för resor för att minimera beroendet av stora överföringar i mitten av året och säkerställa en stabil finansiell planering.</w:t>
      </w:r>
    </w:p>
    <w:p w14:paraId="2938D7B5" w14:textId="77777777" w:rsidR="0062447A" w:rsidRPr="003906BD" w:rsidRDefault="0062447A" w:rsidP="0062447A">
      <w:pPr>
        <w:pStyle w:val="NormalHanging12a"/>
        <w:ind w:left="0" w:firstLine="0"/>
        <w:rPr>
          <w:b/>
          <w:i/>
        </w:rPr>
      </w:pPr>
      <w:r w:rsidRPr="003906BD">
        <w:rPr>
          <w:b/>
          <w:i/>
        </w:rPr>
        <w:t>Intern förvaltning, prestation och intern kontroll</w:t>
      </w:r>
    </w:p>
    <w:p w14:paraId="04B810DA" w14:textId="77777777" w:rsidR="0062447A" w:rsidRPr="003906BD" w:rsidRDefault="0062447A" w:rsidP="0062447A">
      <w:pPr>
        <w:pStyle w:val="NormalHanging12a"/>
      </w:pPr>
      <w:r w:rsidRPr="003906BD">
        <w:t>10.</w:t>
      </w:r>
      <w:r w:rsidRPr="003906BD">
        <w:tab/>
        <w:t>Europaparlamentet noterar att ombudsmannen till högnivåmålen i sin ”Mot 2024”-strategi har kopplat nio nyckelprestationsindikatorer som består av 17 komponenter, i enlighet med ombudsmannens årliga förvaltningsplan för 2024. Parlamentet konstaterar att 13 av dessa nyckelprestationsindikatorer uppnåddes eller överskreds under 2024.</w:t>
      </w:r>
    </w:p>
    <w:p w14:paraId="246B235C" w14:textId="77777777" w:rsidR="0062447A" w:rsidRPr="003906BD" w:rsidRDefault="0062447A" w:rsidP="0062447A">
      <w:pPr>
        <w:pStyle w:val="NormalHanging12a"/>
      </w:pPr>
      <w:r w:rsidRPr="003906BD">
        <w:t>11.</w:t>
      </w:r>
      <w:r w:rsidRPr="003906BD">
        <w:tab/>
        <w:t>Europaparlamentet noterar att ombudsmannen hanterade 2 264 nya klagomål under 2024 (2 392 under 2023), inledde 411 undersökningar (392 under 2023), däribland 49 undersökningar av allmänt intresse (56 under 2023), avslutade 421 undersökningar (372 under 2023) och behandlade ett stort antal klagomål om allmänhetens tillgång, vilket är en ökning från 167 under 2023 till ett (nytt) rekordantal på 212 under 2024 (160 följdes upp med undersökningar och 193 avslutades).</w:t>
      </w:r>
    </w:p>
    <w:p w14:paraId="3D3841AF" w14:textId="77777777" w:rsidR="0062447A" w:rsidRPr="003906BD" w:rsidRDefault="0062447A" w:rsidP="0062447A">
      <w:pPr>
        <w:pStyle w:val="NormalHanging12a"/>
      </w:pPr>
      <w:r w:rsidRPr="003906BD">
        <w:t>12.</w:t>
      </w:r>
      <w:r w:rsidRPr="003906BD">
        <w:tab/>
        <w:t xml:space="preserve">Europaparlamentet berömmer ombudsmannen för att ha minskat den tid som krävs för att behandla ärenden på olika nivåer i förfarandet, såsom den genomsnittliga tiden för att behandla ett klagomål (från 39 dagar 2023 till 36 dagar 2024) och för att behandla ett klagomål inom mandatet (från 91 dagar 2023 till 86 dagar 2024). Parlamentet noterar dock en betydande ökning av den genomsnittliga tiden för att avsluta ärenden som rör allmänhetens tillgång till handlingar, från 42 dagar 2023 till 85 arbetsdagar 2024. Parlamentet noterar att ombudsmannen överträffade sitt mål (100 %) för avslutandegraden (dvs. avslutade ärenden jämfört med nya ärenden som registrerades under året). Parlamentet beklagar dock att den genomsnittliga handläggningstiden (168 dagar) för en undersökning förblev lång under 2024 (en ökning från 165 dagar 2023), vilket är långt över målet på 150 dagar. Parlamentet rekommenderar att ombudsmannen ytterligare förfinar de nyckelprestationsindikatorer som rör handläggningstiden genom att bättre återspegla ärendenas varierande komplexitet, i syfte att säkerställa en mer realistisk, meningsfull och effektivitetsinriktad resultatbedömning. Parlamentet erkänner att komplicerade ärenden, särskilt sådana som involverar flera institutioner, organ eller byråer, kan kräva längre handläggningstider. Parlamentet betonar dock att omfattande förseningar i hanteringen av ärenden om tillgång till handlingar undergräver medborgarnas rättigheter och allmänhetens förtroende för unionens förvaltning </w:t>
      </w:r>
      <w:proofErr w:type="gramStart"/>
      <w:r w:rsidRPr="003906BD">
        <w:t>överlag</w:t>
      </w:r>
      <w:proofErr w:type="gramEnd"/>
      <w:r w:rsidRPr="003906BD">
        <w:t>. Parlamentet efterlyser en plan för att åtgärda dessa förseningar och föreslår att en del av de besparingar som uppnåtts genom AI-översättning omdirigeras för att stärka utredningsgrupper, särskilt för fall som rör allmänhetens tillgång. Parlamentet noterar med tillfredsställelse utifrån ombudsmannens rapport till parlamentet om uppföljningen av ansvarsfrihetsförfarandet för budgetåret 2023 (</w:t>
      </w:r>
      <w:r w:rsidRPr="003906BD">
        <w:rPr>
          <w:i/>
          <w:iCs/>
        </w:rPr>
        <w:t>uppföljningsrapporten</w:t>
      </w:r>
      <w:r w:rsidRPr="003906BD">
        <w:t>) att ett av den nyvalda ombudsmannens viktigaste strategiska mål är att stärka samarbetet och dialogen med unionens institutioner, organ och byråer, i syfte att i slutändan minska den tid som krävs för att behandla undersökningar.</w:t>
      </w:r>
    </w:p>
    <w:p w14:paraId="323CB86F" w14:textId="77777777" w:rsidR="0062447A" w:rsidRPr="003906BD" w:rsidRDefault="0062447A" w:rsidP="0062447A">
      <w:pPr>
        <w:pStyle w:val="NormalHanging12a"/>
      </w:pPr>
      <w:r w:rsidRPr="003906BD">
        <w:t>13.</w:t>
      </w:r>
      <w:r w:rsidRPr="003906BD">
        <w:tab/>
        <w:t xml:space="preserve">Europaparlamentet noterar när det gäller iakttagelser att ombudsmannen under 2024 </w:t>
      </w:r>
      <w:r w:rsidRPr="003906BD">
        <w:lastRenderedPageBreak/>
        <w:t>lade fram ett förslag till lösning i 14 fall och rekommendationer i tre fall som gällde allmänhetens tillgång till handlingar. Parlamentet noterar en förbättring när det gäller unionens institutioners, organs eller byråers positiva svar på ombudsmannens förslag om att förbättra deras administration, med en total acceptansgrad på 82 % 2024 (jämfört med 81 % 2023), vilket inkluderar fall som avslutades 2023. Parlamentet uppmanar ombudsmannen att utarbeta en riktad handlingsplan som syftar till att identifiera och hantera de vanligaste orsakerna till de återstående icke godtagna förslagen, och uppmanar ombudsmannen att fortsätta arbetet för att uppnå en hög efterlevnadsgrad när det gäller dess iakttagelser, rekommendationer och förslag.</w:t>
      </w:r>
    </w:p>
    <w:p w14:paraId="5E7C3657" w14:textId="77777777" w:rsidR="0062447A" w:rsidRPr="003906BD" w:rsidRDefault="0062447A" w:rsidP="0062447A">
      <w:pPr>
        <w:pStyle w:val="NormalHanging12a"/>
      </w:pPr>
      <w:r w:rsidRPr="003906BD">
        <w:t>14.</w:t>
      </w:r>
      <w:r w:rsidRPr="003906BD">
        <w:tab/>
        <w:t>Europaparlamentet uppskattar att ombudsmannen fortsatte att göra ansträngningar under 2024 för att öka medborgarnas medvetenhet om och förståelse för ombudsmannens mandat. Parlamentet noterar i detta sammanhang med tillfredsställelse en ökning av andelen klagomål inom mandatet, från 33 % 2022 och 37 % 2023 till 39 % 2024. Parlamentet noterar vidare från uppföljningsrapporten att ett av ombudsmannens nya strategiska mål är att inleda riktad kommunikationsverksamhet för att se till att medborgare som behöver ombudsmannen är medvetna om sin rätt och användningen av ombudsmannens tjänster. Parlamentet noterar i detta sammanhang att antalet klagomål därför förväntas öka, vilket kommer att leda till ett behov av att se över och anpassa arbetsmetoderna och öka användningen av digitala verktyg, särskilt AI, för att ytterligare effektivisera processen för hantering av klagomål. Parlamentet uppmanar ombudsmannen att bedöma de potentiella budget- och personalkonsekvenserna av den förväntade ökningen av klagomål och att hålla den ansvarsfrihetsbeviljande myndigheten informerad om de framsteg som görs i detta avseende.</w:t>
      </w:r>
    </w:p>
    <w:p w14:paraId="5E3D9466" w14:textId="77777777" w:rsidR="0062447A" w:rsidRPr="003906BD" w:rsidRDefault="0062447A" w:rsidP="0062447A">
      <w:pPr>
        <w:pStyle w:val="NormalHanging12a"/>
      </w:pPr>
      <w:r w:rsidRPr="003906BD">
        <w:t>15.</w:t>
      </w:r>
      <w:r w:rsidRPr="003906BD">
        <w:tab/>
        <w:t>Europaparlamentet erkänner ombudsmannens insatser och positiva effekter på områdena etik, transparens och ansvarsskyldighet under 2024, särskilt till följd av undersökningar gällande unionens olika institutioner, organ och byråer. Parlamentet noterar att de allra flesta av dessa undersökningar (65 %) under 2025 gällde kommissionen.</w:t>
      </w:r>
    </w:p>
    <w:p w14:paraId="7B73035D" w14:textId="77777777" w:rsidR="0062447A" w:rsidRPr="003906BD" w:rsidRDefault="0062447A" w:rsidP="0062447A">
      <w:pPr>
        <w:pStyle w:val="NormalHanging12a"/>
      </w:pPr>
      <w:bookmarkStart w:id="8" w:name="_Hlk215843998"/>
      <w:r w:rsidRPr="003906BD">
        <w:t>16.</w:t>
      </w:r>
      <w:r w:rsidRPr="003906BD">
        <w:tab/>
        <w:t>Europaparlamentet noterar särskilt ombudsmannens undersökningar av i) hur rådet och kommissionen hanterar allmänhetens begäranden om tillgång till lagstiftningshandlingar (särskilt när det gäller undantag för att vägra tillgång), där ombudsmannen drog slutsatsen att de två institutionerna i många fall tillämpade undantagen enligt unionsrätten om tillgång till handlingar alltför brett, med användning av resonemang som redan har avfärdats av Europeiska unionens domstol, ii) kommissionens vägran att bevilja tillgång till handlingar som rör översynen av unionens regler om livsmedelsinformation till konsumenterna och att ge tillgång till berörda parters och medlemsstaternas synpunkter på unionens förordning om restaurering av natur, och iii) kommissionens underlåtenhet att identifiera några handlingar som omfattar diskussioner med medlemsstaterna eller interna diskussioner om förberedelserna av högnivåmöten om samförståndsavtalet om ett strategiskt och övergripande partnerskap mellan unionen och Tunisien.</w:t>
      </w:r>
    </w:p>
    <w:bookmarkEnd w:id="8"/>
    <w:p w14:paraId="0654FFB9" w14:textId="77777777" w:rsidR="0062447A" w:rsidRPr="003906BD" w:rsidRDefault="0062447A" w:rsidP="0062447A">
      <w:pPr>
        <w:pStyle w:val="NormalHanging12a"/>
        <w:widowControl/>
      </w:pPr>
      <w:r w:rsidRPr="003906BD">
        <w:t>17.</w:t>
      </w:r>
      <w:r w:rsidRPr="003906BD">
        <w:tab/>
        <w:t xml:space="preserve">Europaparlamentet välkomnar ombudsmannens undersökningar som genomfördes 2024 på området etik. Parlamentet noterar särskilt ett fall med svängdörrsproblematik som rör två tidigare anställda vid Europeiska unionens byrå för samarbete inom brottsbekämpning (Europol), en undersökning på grundval av ett överträdelseklagomål om en påstådd intressekonflikt som involverar kommissionsledamoten med ansvar för jordbruk och en undersökning av hur kommissionen säkerställer att det inte finns några </w:t>
      </w:r>
      <w:r w:rsidRPr="003906BD">
        <w:lastRenderedPageBreak/>
        <w:t>intressekonflikter med de experter som bistår den vid utvärderingen av förslag som ska finansieras inom ramen för Europeiska försvarsfonden.</w:t>
      </w:r>
    </w:p>
    <w:p w14:paraId="05E31648" w14:textId="77777777" w:rsidR="0062447A" w:rsidRPr="003906BD" w:rsidRDefault="0062447A" w:rsidP="0062447A">
      <w:pPr>
        <w:pStyle w:val="NormalHanging12a"/>
      </w:pPr>
      <w:r w:rsidRPr="003906BD">
        <w:t>18.</w:t>
      </w:r>
      <w:r w:rsidRPr="003906BD">
        <w:tab/>
        <w:t xml:space="preserve">Europaparlamentet noterar utifrån uppföljningsrapporten att ombudsmannen fortsatte att övervaka frågor som rör transparens och ansvarsskyldighet i samband med faciliteten för återhämtning och </w:t>
      </w:r>
      <w:proofErr w:type="spellStart"/>
      <w:r w:rsidRPr="003906BD">
        <w:t>resiliens</w:t>
      </w:r>
      <w:proofErr w:type="spellEnd"/>
      <w:r w:rsidRPr="003906BD">
        <w:t xml:space="preserve">, inom ramen för hanteringen av klagomål på området allmänhetens tillgång till handlingar, främst när det gäller förhandlingar om de nationella planerna för återhämtning och </w:t>
      </w:r>
      <w:proofErr w:type="spellStart"/>
      <w:r w:rsidRPr="003906BD">
        <w:t>resiliens</w:t>
      </w:r>
      <w:proofErr w:type="spellEnd"/>
      <w:r w:rsidRPr="003906BD">
        <w:t xml:space="preserve">. Parlamentet noterar med oro bland annat de betydande förseningar från kommissionens sida när det gäller att besvara begäranden om tillgång till information och den nivå av tillgång som beviljats, vilket sannolikt urholkar medborgarnas förtroende för unionens förvaltning. Parlamentet uppskattar att kommissionen, i ett fall som rör Nederländernas nationella plan för återhämtning och </w:t>
      </w:r>
      <w:proofErr w:type="spellStart"/>
      <w:r w:rsidRPr="003906BD">
        <w:t>resiliens</w:t>
      </w:r>
      <w:proofErr w:type="spellEnd"/>
      <w:r w:rsidRPr="003906BD">
        <w:t xml:space="preserve">, efter ombudsmannens förslag till lösning, beviljade mer omfattande tillgång till 172 handlingar. Parlamentet fördömer dock kraftigt kommissionen för att ha tagit 21 månader på sig för att besvara klagandens (en journalist) bekräftande ansökan, dvs. i juli 2024 när den beviljade tillgången till handlingar inte längre var användbar för det avsedda ändamålet. Parlamentet håller med om att det i frågor av betydande allmänintresse, såsom faciliteten för återhämtning och </w:t>
      </w:r>
      <w:proofErr w:type="spellStart"/>
      <w:r w:rsidRPr="003906BD">
        <w:t>resiliens</w:t>
      </w:r>
      <w:proofErr w:type="spellEnd"/>
      <w:r w:rsidRPr="003906BD">
        <w:t>, inte bör förekomma några betydande förseningar när det gäller att ge tillgång till handlingar och anser att sådana förseningar utgör en förvägran av transparens och försvagar den demokratiska kontrollen. Parlamentet upprepar ombudsmannens åsikt att kommissionen noggrant bör beakta förekomsten av ett övervägande allmänintresse när den tillämpar undantagen från allmänhetens tillgång enligt förordning (EG) nr 1049/2001</w:t>
      </w:r>
      <w:r w:rsidRPr="003906BD">
        <w:rPr>
          <w:rStyle w:val="FootnoteReference"/>
        </w:rPr>
        <w:footnoteReference w:id="10"/>
      </w:r>
      <w:r w:rsidRPr="003906BD">
        <w:t xml:space="preserve">. Parlamentet uppmanar ombudsmannen att underrätta parlamentets berörda utskott så snart kommissionens dröjsmål med handlingar som rör faciliteten för återhämtning och </w:t>
      </w:r>
      <w:proofErr w:type="spellStart"/>
      <w:r w:rsidRPr="003906BD">
        <w:t>resiliens</w:t>
      </w:r>
      <w:proofErr w:type="spellEnd"/>
      <w:r w:rsidRPr="003906BD">
        <w:t xml:space="preserve"> är alltför stort för att möjliggöra en politisk granskning i rätt tid. Parlamentet uppmanar vidare ombudsmannen att fortsätta att prioritera det systematiska arbetet med otillbörliga förseningar i förfarandena för tillgång till handlingar, bland annat genom att identifiera återkommande administrativa flaskhalsar och god praxis inom de olika institutionerna, organen och byråerna. Parlamentet stöder ombudsmannen när det gäller att främja en konsekvent tillämpning av testet om ”övervägande allmänintresse”, särskilt för ärenden med stor genomslagskraft, så att tillgång ges i tid för att den ska vara meningsfull för den offentliga granskningens syften.</w:t>
      </w:r>
    </w:p>
    <w:p w14:paraId="73DA72DD" w14:textId="77777777" w:rsidR="0062447A" w:rsidRPr="003906BD" w:rsidRDefault="0062447A" w:rsidP="0062447A">
      <w:pPr>
        <w:pStyle w:val="NormalHanging12a"/>
      </w:pPr>
      <w:r w:rsidRPr="003906BD">
        <w:t>19.</w:t>
      </w:r>
      <w:r w:rsidRPr="003906BD">
        <w:tab/>
        <w:t>Europaparlamentet påminner om att enligt ombudsmannen bör begränsningar av tillgången till handlingar, särskilt lagstiftningshandlingar, utgöra ett undantag och begränsas till vad som är absolut nödvändigt. Parlamentet påminner även om att alla avslag angående allmänhetens tillgång till handlingar måste bygga på tydligt och noggrant fastställda rättsliga undantag och åtföljas av motiverade och specifika skäl så att medborgarna kan förstå varför tillgång till handlingen nekats och på ett effektivt sätt använda sig av de rättsmedel som finns att tillgå. Parlamentet anser att en mer proaktiv strategi skulle bidra till att säkerställa effektiv transparens och förhindra kostsamma och betungande rättstvister mellan medborgarna och institutionerna</w:t>
      </w:r>
      <w:r w:rsidRPr="003906BD">
        <w:rPr>
          <w:rStyle w:val="FootnoteReference"/>
        </w:rPr>
        <w:footnoteReference w:id="11"/>
      </w:r>
      <w:r w:rsidRPr="003906BD">
        <w:t xml:space="preserve">. Parlamentet uppmuntrar ombudsmannen att ytterligare främja proaktiva publiceringsmetoder, särskilt för lagstiftnings- och policydokument, i syfte att stärka den inbyggda </w:t>
      </w:r>
      <w:r w:rsidRPr="003906BD">
        <w:lastRenderedPageBreak/>
        <w:t>transparensen och minska den administrativa bördan och risken för rättstvister i samband med upprepade begäranden om tillgång till handlingar.</w:t>
      </w:r>
    </w:p>
    <w:p w14:paraId="1E7576A8" w14:textId="77777777" w:rsidR="0062447A" w:rsidRPr="003906BD" w:rsidRDefault="0062447A" w:rsidP="0062447A">
      <w:pPr>
        <w:pStyle w:val="NormalHanging12a"/>
        <w:rPr>
          <w:b/>
          <w:bCs/>
        </w:rPr>
      </w:pPr>
      <w:r w:rsidRPr="003906BD">
        <w:t>20.</w:t>
      </w:r>
      <w:r w:rsidRPr="003906BD">
        <w:tab/>
        <w:t xml:space="preserve">Europaparlamentet påminner om att internrevisorn genomförde en översyn av ombudsmannens riskhanteringsram, med en handlingsplan med nio punkter som man enades om att genomföra senast i slutet av 2024. Parlamentet noterar utifrån frågeformuläret och uppföljningsrapporten att alla åtgärder har genomförts, inbegripet antagandet av en ny riskbedömningsmetod. Parlamentet uppmanar ombudsmannen att hålla den ansvarsfrihetsbeviljande myndigheten informerad om resultatet av internrevisorns granskning av genomförandet av denna handlingsplan. Parlamentet uppmanar ombudsmannen att även hålla den ansvarsfrihetsbeviljande myndigheten informerad om uppföljningen av rekommendationerna i internrevisionsrapporterna 20/04 (om </w:t>
      </w:r>
      <w:proofErr w:type="spellStart"/>
      <w:r w:rsidRPr="003906BD">
        <w:t>it-säkerhet</w:t>
      </w:r>
      <w:proofErr w:type="spellEnd"/>
      <w:r w:rsidRPr="003906BD">
        <w:t>), 21/03 (om ramen för dataskydd) och 22/03 (om den etiska ramen).</w:t>
      </w:r>
    </w:p>
    <w:p w14:paraId="1B55D3F0" w14:textId="77777777" w:rsidR="0062447A" w:rsidRPr="003906BD" w:rsidRDefault="0062447A" w:rsidP="0062447A">
      <w:pPr>
        <w:pStyle w:val="NormalHanging12a"/>
        <w:rPr>
          <w:b/>
          <w:i/>
        </w:rPr>
      </w:pPr>
      <w:r w:rsidRPr="003906BD">
        <w:rPr>
          <w:b/>
          <w:i/>
        </w:rPr>
        <w:t>Personalresurser, jämställdhet och personalens välbefinnande</w:t>
      </w:r>
    </w:p>
    <w:p w14:paraId="46B06DE9" w14:textId="77777777" w:rsidR="0062447A" w:rsidRPr="003906BD" w:rsidRDefault="0062447A" w:rsidP="0062447A">
      <w:pPr>
        <w:pStyle w:val="NormalHanging12a"/>
      </w:pPr>
      <w:bookmarkStart w:id="9" w:name="_Hlk215163299"/>
      <w:r w:rsidRPr="003906BD">
        <w:t>21.</w:t>
      </w:r>
      <w:r w:rsidRPr="003906BD">
        <w:tab/>
        <w:t>Europaparlamentet noterar en minskning av det totala antalet anställda vid ombudsmannen med 4,90 %, från 82 anställda 2023 till 78 anställda 2024. Parlamentet noterar vidare att ombudsmannen under 2024 hade 46 anställda tjänstemän, jämfört med 40 under 2023, respektive 9 kontraktsanställda, samma som 2023. Parlamentet noterar en liten minskning av andelen anställda som arbetar med ombudsmannens kärnverksamhet (klagomål och undersökningar), från 42,68 % 2023 till 42,30 % 2024. Parlamentet noterar vidare att andelen tillsatta tjänster ökade från 95 % 2023 till 97 % 2024 och att personalomsättningen ökade från 5,20 % 2023 till 6,40 % 2024. Parlamentet påminner om vikten av att erbjuda fast anställning för att behålla kompetens, upprätthålla kontinuitet och sörja för en produktiv arbetsmiljö. Parlamentet understryker att det minskande antalet anställda inom centrala operativa områden och det betydande beroendet av tillfälliga kontrakt kan minska det institutionella minnet och ombudsmannens effektivitet.</w:t>
      </w:r>
    </w:p>
    <w:p w14:paraId="797567AC" w14:textId="77777777" w:rsidR="0062447A" w:rsidRPr="003906BD" w:rsidRDefault="0062447A" w:rsidP="0062447A">
      <w:pPr>
        <w:pStyle w:val="NormalHanging12a"/>
      </w:pPr>
      <w:r w:rsidRPr="003906BD">
        <w:t>22.</w:t>
      </w:r>
      <w:r w:rsidRPr="003906BD">
        <w:tab/>
        <w:t>Europaparlamentet påminner om att tjänsten som generalsekreterare hos ombudsmannen har varit vakant i mer än två år, sedan den 1 september 2022. Parlamentet noterar att ombudsmannen efter flera uppmaningar från parlamentet att tillsätta denna vakanta post inledde ett interinstitutionellt förfarande för rekrytering av sin nya generalsekreterare genom att offentliggöra en inbjudan att anmäla intresse (nr OMB/2/2025) den 30 juni 2025, vilket resulterade i 14 behöriga ansökningar. Parlamentet noterar vidare att urvalsförfarandet slutfördes 2025 och att det har valts en ny generalsekreterare som ska tillträda den 1 januari 2026. Parlamentet noterar att uttagningskommittén i detta fall bestod av tre personer, ombudsmannen själv och två utomstående oberoende medlemmar, som deltog i bedömningen av ansökningarnas behörighet och intervjuer. Parlamentet noterar att ombudsmannen anser att utnämningen av dessa två ledamöter och deltagandet av högre tjänstemän utgjorde betydande skyddsåtgärder i hela processen för att säkerställa urvalsprocessens integritet och laglighet. Trots att den valda generalsekreteraren har 30 års erfarenhet som EU-tjänsteman och 10 års erfarenhet av ledarskap anser parlamentet att det faktum att han tidigare tjänstgjort som kanslichef hos den nuvarande ombudsmannen skulle kunna ge upphov till en upplevd intressekonflikt, även om processen genomfördes i full överensstämmelse med den tillämpliga ramen.</w:t>
      </w:r>
      <w:bookmarkEnd w:id="9"/>
      <w:r w:rsidRPr="003906BD">
        <w:t xml:space="preserve"> Parlamentet uppmanar ombudsmannen att, med tanke på framtida förfaranden, fortsätta att överväga hur man kan stärka skyddsåtgärderna i urvalsförfaranden och utnämningsbeslut mot alla upplevda </w:t>
      </w:r>
      <w:r w:rsidRPr="003906BD">
        <w:lastRenderedPageBreak/>
        <w:t>intressekonflikter eller favorisering, i syfte att säkerställa fullständiga garantier för rättvisa och transparens.</w:t>
      </w:r>
    </w:p>
    <w:p w14:paraId="28171E22" w14:textId="77777777" w:rsidR="0062447A" w:rsidRPr="003906BD" w:rsidRDefault="0062447A" w:rsidP="0062447A">
      <w:pPr>
        <w:pStyle w:val="NormalHanging12a"/>
      </w:pPr>
      <w:bookmarkStart w:id="10" w:name="_Hlk215830609"/>
      <w:r w:rsidRPr="003906BD">
        <w:t>23.</w:t>
      </w:r>
      <w:r w:rsidRPr="003906BD">
        <w:tab/>
        <w:t xml:space="preserve">Europaparlamentet noterar att ledamöterna i parlamentets budgetkontrollutskott, efter utfrågningen av ombudsmannen vid utskottets sammanträde den 6 november 2025, lämnade in en rad skriftliga uppföljningsfrågor om valet av ny generalsekreterare (OMB/2/2025) den 18 november 2025, som ombudsmannen besvarade den 21 november 2025. Parlamentet håller i detta sammanhang inte med ombudsmannen om att rättspraxis enligt </w:t>
      </w:r>
      <w:proofErr w:type="spellStart"/>
      <w:r w:rsidRPr="003906BD">
        <w:t>Meroni</w:t>
      </w:r>
      <w:proofErr w:type="spellEnd"/>
      <w:r w:rsidRPr="003906BD">
        <w:t>-målet (C-9/56 och C-10/56) är tillämplig, eftersom den inte handlar om delegering av befogenheter i personalfrågor (såsom val av en anställd), utan snarare delegering av skönsmässiga befogenheter till externa/privata organ. Parlamentet betonar vidare att det inte kräver att ombudsmannen ska delegera sina rättigheter och skyldigheter som tillsättningsmyndighet, men ifrågasätter hennes närvaro i uttagningskommittén, eftersom unionsrätten inte kräver att tillsättningsmyndigheten ska vara medlem av uttagningskommittén. Parlamentet understryker att genom att fatta ett slutligt beslut, vilket är en uppgift för tillsättningsmyndigheten, bekräftar den senare också att hela urvalsförfarandet har varit lagligt, inbegripet sökandens efterlevnad av alla kriterier för tillåtlighet och behörighet. Parlamentet noterar dock att denna roll kan verka mindre distinkt om tillsättningsmyndigheten också har varit ordförande för uttagningskommittén i vissa skeden av urvalsförfarandet, vilket var fallet i den nuvarande processen. Parlamentet förstår dock att ombudsmannen, i egenskap av befattningshavare kan behöva delta i de sista skedena av vissa urvalsförfaranden. Parlamentet noterar ombudsmannens förklaring att rättsliga begränsningar i samband med sekretess, som syftar till att skydda urvalsprocessens oberoende och integritet, begränsar i vilken utsträckning handlingar som rör kontrollen av behörighet kan delas med den ansvarsfrihetsbeviljande myndigheten. Parlamentet påminner dock om sin rätt att få den information som krävs för beviljande av ansvarsfrihet och understryker att tillhandahållandet av sådan information inte innebär att den offentliggörs, samt betonar att parlamentet har tillräckliga skyddsåtgärder för att hantera känsligt material på ett säkert sätt. Mot bakgrund av ovanstående uppmanar parlamentet med kraft ombudsmannen att ytterligare överväga parlamentets begäran och förse den ansvarsfrihetsbeviljande myndigheten med alla handlingar som rör kontrollen av behörighet, bedömningen av ansökningar, de faktiska intervjuerna med kandidaterna på slutlistan med uttagningskommittén och intervjun på tu man hand med ombudsmannen i samband med urvalsförfarandet för ombudsmannens generalsekreterare (OMB/2/2025). Parlamentet uppmuntrar ombudsmannen att överväga att genomföra en intern efterhandsprövning över noggrant granskade utnämningsförfaranden, i syfte att identifiera tillvaratagna erfarenheter och möjliga förbättringar för framtida processer, och att informera den ansvarsfrihetsbeviljande myndigheten om resultaten.</w:t>
      </w:r>
    </w:p>
    <w:bookmarkEnd w:id="10"/>
    <w:p w14:paraId="19EBC084" w14:textId="77777777" w:rsidR="0062447A" w:rsidRPr="003906BD" w:rsidRDefault="0062447A" w:rsidP="0062447A">
      <w:pPr>
        <w:pStyle w:val="NormalHanging12a"/>
        <w:widowControl/>
      </w:pPr>
      <w:r w:rsidRPr="003906BD">
        <w:t>24.</w:t>
      </w:r>
      <w:r w:rsidRPr="003906BD">
        <w:tab/>
        <w:t xml:space="preserve">Europaparlamentet understryker att ombudsmannen har till uppgift att främja god förvaltning, bland annat genom att säkerställa att den etiska ramen för alla unionens institutioner, organ och byråer är robust och förmår garantera transparens och ansvarsskyldighet. Parlamentet är fast övertygat om att ombudsmannen måste uppfylla de högsta standarderna för oberoende, opartiskhet och integritet, och att allt som kan tyda på favorisering eller intressekonflikter måste undvikas, eftersom det skulle kunna undergräva ombudsmannens trovärdighet och uppdrag samt unionsmedborgarnas förtroende. Parlamentet påminner om att ombudsmannen, eftersom unionen har gett ombudsmannen i uppdrag att främja etiska normer och god förvaltning, förväntas tillämpa särskilt stränga normer för sin egen styrning och för utnämningar av högre </w:t>
      </w:r>
      <w:r w:rsidRPr="003906BD">
        <w:lastRenderedPageBreak/>
        <w:t>tjänstemän och på så sätt föregå med gott exempel för andra institutioner, organ och byråer.</w:t>
      </w:r>
    </w:p>
    <w:p w14:paraId="04454A58" w14:textId="77777777" w:rsidR="0062447A" w:rsidRPr="003906BD" w:rsidRDefault="0062447A" w:rsidP="0062447A">
      <w:pPr>
        <w:pStyle w:val="NormalHanging12a"/>
      </w:pPr>
      <w:r w:rsidRPr="003906BD">
        <w:t>25.</w:t>
      </w:r>
      <w:r w:rsidRPr="003906BD">
        <w:tab/>
        <w:t>Europaparlamentet noterar att hela 19 nationaliteter var representerade hos ombudsmannen under 2024, samma som under 2023, trots att det är fråga om ett litet organ. Parlamentet konstaterar dock att vissa nationaliteter är överrepresenterade (en av dem står för mer än 30 % av ombudsmannens personal). Parlamentet betonar att en så hög koncentration av en enda nationalitet, med tanke på att det handlar om ett relativt litet organ, kan påverka den interinstitutionella uppfattningen om kontorets mångfald. Parlamentet uppmanar ombudsmannen att anta riktade rekryteringsåtgärder och utåtriktad verksamhet som särskilt riktar sig till underrepresenterade medlemsstater för att säkerställa att kontoret fortfarande återspeglar unionens mångfald.</w:t>
      </w:r>
    </w:p>
    <w:p w14:paraId="7141C2E5" w14:textId="77777777" w:rsidR="0062447A" w:rsidRPr="003906BD" w:rsidRDefault="0062447A" w:rsidP="0062447A">
      <w:pPr>
        <w:pStyle w:val="NormalHanging12a"/>
      </w:pPr>
      <w:r w:rsidRPr="003906BD">
        <w:t>26.</w:t>
      </w:r>
      <w:r w:rsidRPr="003906BD">
        <w:tab/>
        <w:t>Europaparlamentet noterar att ombudsmannen, när det gäller könsfördelningen, sysselsätter fler kvinnor än män i alla personalkategorier, särskilt på ledningsnivå, där samtliga befattningar innehas av kvinnor. Parlamentet noterar att personalen totalt består av 68 % kvinnor och 32 % män, jämfört med 67 % kvinnor och 33 % män 2023. Parlamentet uppmanar ombudsmannen att sträva efter en jämnare könsfördelning bland sin personal. Parlamentet uppmanar med kraft ombudsmannen att utveckla en strategi för att åtgärda det faktum att det för närvarande inte finns en enda man som innehar en ledande befattning. Parlamentet anser att det är viktigt att se till att ombudsmannen bättre återspeglar unionsmedborgarnas mångfald för att upprätthålla en balanserad och inkluderande arbetsmiljö på alla nivåer i hierarkin.</w:t>
      </w:r>
    </w:p>
    <w:p w14:paraId="02DEBC7D" w14:textId="132577ED" w:rsidR="0062447A" w:rsidRPr="003906BD" w:rsidRDefault="0062447A" w:rsidP="0062447A">
      <w:pPr>
        <w:pStyle w:val="NormalHanging12a"/>
      </w:pPr>
      <w:r w:rsidRPr="003906BD">
        <w:t>27.</w:t>
      </w:r>
      <w:r w:rsidRPr="003906BD">
        <w:tab/>
        <w:t xml:space="preserve">Europaparlamentet noterar att ombudsmannen satsar på att säkerställa personalens fysiska och psykiska välbefinnande på arbetsplatsen och fokuserar på stärkt laganda. Parlamentet noterar i detta sammanhang att ombudsmannen under 2024 anordnade utbildningar, varav vissa var obligatoriska, om konfliktlösning, att ge och ta emot återkoppling, funktionsnedsättning och inkludering samt om första hjälpen. Parlamentet noterar att ombudsmannen </w:t>
      </w:r>
      <w:r w:rsidR="00E6789B" w:rsidRPr="003906BD">
        <w:t xml:space="preserve">2004 </w:t>
      </w:r>
      <w:r w:rsidRPr="003906BD">
        <w:t>antog en policy för föräldraledighet som, tillsammans med dess policy för arbetstid och hybridarbete som antogs 2021, tillhandahåller flexibla arbetsformer som används och uppskattas av personalen. Parlamentet noterar att parlamentets läkarmottagning under 2024 inte uppmärksammade ombudsmannen på några långvariga sjukdomsfall som hade sitt ursprung i utbrändhet.</w:t>
      </w:r>
    </w:p>
    <w:p w14:paraId="35F1AD1A" w14:textId="77777777" w:rsidR="0062447A" w:rsidRPr="003906BD" w:rsidRDefault="0062447A" w:rsidP="0062447A">
      <w:pPr>
        <w:pStyle w:val="NormalHanging12a"/>
      </w:pPr>
      <w:r w:rsidRPr="003906BD">
        <w:t>28.</w:t>
      </w:r>
      <w:r w:rsidRPr="003906BD">
        <w:tab/>
        <w:t>Europaparlamentet noterar, utifrån frågeformuläret, med tillfredsställelse att inga fall av trakasserier rapporterades under 2024. Parlamentet erkänner att ombudsmannen verkat för en arbetsmiljö utan sexuella trakasserier och mobbning, särskilt genom medvetandehöjande åtgärder och utbildning. Parlamentet noterar vidare att ombudsmannen genomförde en undersökning om personalens medvetenhet om etiska frågor, som visade på en hög nivå av medvetenhet bland personalen om ombudsmannens policy och riktlinjer för psykologiska och sexuella trakasserier.</w:t>
      </w:r>
    </w:p>
    <w:p w14:paraId="138A7FF0" w14:textId="77777777" w:rsidR="0062447A" w:rsidRPr="003906BD" w:rsidRDefault="0062447A" w:rsidP="0062447A">
      <w:pPr>
        <w:pStyle w:val="NormalHanging12a"/>
      </w:pPr>
      <w:r w:rsidRPr="003906BD">
        <w:t>29.</w:t>
      </w:r>
      <w:r w:rsidRPr="003906BD">
        <w:tab/>
        <w:t>Europaparlamentet noterar att ombudsmannen välkomnade 18 avlönade praktikanter under 2024 (samma antal som 2023), varav en valdes ut inom ramen för ombudsmannens lovvärda praktikprogram för personer med funktionsnedsättning. Parlamentet betonar på nytt att praktiktjänstgöring bör vara avlönad i enlighet med parlamentets resolution av den 14 juni 2023 om kvalitetspraktik i unionen (2020/2005(INL)), där man förespråkar att alla praktikplatser i unionen bör vara avlönade. Parlamentet betonar att avlönad praktik är avgörande för att säkerställa lika möjligheter.</w:t>
      </w:r>
    </w:p>
    <w:p w14:paraId="435ADB3A" w14:textId="77777777" w:rsidR="0062447A" w:rsidRPr="003906BD" w:rsidRDefault="0062447A" w:rsidP="0062447A">
      <w:pPr>
        <w:pStyle w:val="NormalHanging12a"/>
        <w:ind w:left="0" w:firstLine="0"/>
        <w:rPr>
          <w:b/>
          <w:i/>
        </w:rPr>
      </w:pPr>
      <w:r w:rsidRPr="003906BD">
        <w:rPr>
          <w:b/>
          <w:i/>
        </w:rPr>
        <w:lastRenderedPageBreak/>
        <w:t>Etisk ram och transparens</w:t>
      </w:r>
    </w:p>
    <w:p w14:paraId="0F990D06" w14:textId="77777777" w:rsidR="0062447A" w:rsidRPr="003906BD" w:rsidRDefault="0062447A" w:rsidP="0062447A">
      <w:pPr>
        <w:pStyle w:val="NormalHanging12a"/>
      </w:pPr>
      <w:r w:rsidRPr="003906BD">
        <w:t>30.</w:t>
      </w:r>
      <w:r w:rsidRPr="003906BD">
        <w:tab/>
        <w:t xml:space="preserve">Europaparlamentet välkomnar ombudsmannens fortsatta insatser för att stärka och öka medvetenheten om dess etiska ram. Parlamentet noterar att ombudsmannen anordnade utbildning i etiska frågor för sina nyutnämnda konfidentiella rådgivare och ledamöterna i förlikningskommittén, samt obligatorisk skräddarsydd utbildning om konfliktlösning för all personal. Parlamentet noterar att ombudsmannen 2024 omarbetade och 2025 antog en reviderad policy för etik och uppförande för att klargöra arbetsflödena för godkännande och tillstånd och åtgärda brister i genomförandet av etiska regler. Parlamentet uppskattar att det införts en </w:t>
      </w:r>
      <w:proofErr w:type="spellStart"/>
      <w:r w:rsidRPr="003906BD">
        <w:t>it-lösning</w:t>
      </w:r>
      <w:proofErr w:type="spellEnd"/>
      <w:r w:rsidRPr="003906BD">
        <w:t xml:space="preserve"> som möjliggör för varje undersökningshandläggare att bekräfta att det inte föreligger några intressekonflikter i de ärenden som tilldelats dem. Parlamentet noterar vidare att ombudsmannens samtliga personal, även högre tjänstemän, uppmanas att årligen se över sina förklaringar om makars/partners yrkesverksamhet samt sina egna förklaringar om intressekonflikter.</w:t>
      </w:r>
    </w:p>
    <w:p w14:paraId="7D95678F" w14:textId="77777777" w:rsidR="0062447A" w:rsidRPr="003906BD" w:rsidRDefault="0062447A" w:rsidP="0062447A">
      <w:pPr>
        <w:pStyle w:val="NormalHanging12a"/>
      </w:pPr>
      <w:r w:rsidRPr="003906BD">
        <w:t>31.</w:t>
      </w:r>
      <w:r w:rsidRPr="003906BD">
        <w:tab/>
        <w:t>Europaparlamentet noterar när det gäller internrevisionen (rapport 22/03) om ombudsmannens etiska ram att av de sex rekommendationer som utfärdats hade fem genomförts medan en var under arbete i slutet av 2024. Parlamentet noterar i detta sammanhang att ombudsmannen inrättade en disciplinnämnd och antog en bedrägeribekämpningspolicy, som också är tillämplig på utstationerade nationella experter, praktikanter och externa uppdragstagare, för att ytterligare stärka ombudsmannens etiska ram.</w:t>
      </w:r>
    </w:p>
    <w:p w14:paraId="67B2C49E" w14:textId="77777777" w:rsidR="0062447A" w:rsidRPr="003906BD" w:rsidRDefault="0062447A" w:rsidP="0062447A">
      <w:pPr>
        <w:pStyle w:val="NormalHanging12a"/>
      </w:pPr>
      <w:r w:rsidRPr="003906BD">
        <w:t>32.</w:t>
      </w:r>
      <w:r w:rsidRPr="003906BD">
        <w:tab/>
        <w:t>Europaparlamentet noterar med tillfredsställelse att inga fall av intressekonflikter eller visselblåsning rapporterades 2024.</w:t>
      </w:r>
    </w:p>
    <w:p w14:paraId="502DE259" w14:textId="77777777" w:rsidR="0062447A" w:rsidRPr="003906BD" w:rsidRDefault="0062447A" w:rsidP="0062447A">
      <w:pPr>
        <w:pStyle w:val="NormalHanging12a"/>
        <w:widowControl/>
      </w:pPr>
      <w:r w:rsidRPr="003906BD">
        <w:t>33.</w:t>
      </w:r>
      <w:r w:rsidRPr="003906BD">
        <w:tab/>
        <w:t>Europaparlamentet noterar utifrån frågeformuläret att ombudsmannen inte formellt anslutit sig till unionens öppenhetsregister (som inrättades genom det interinstitutionella avtalet av den 20 maj 2021 mellan parlamentet, rådet och kommissionen om ett obligatoriskt öppenhetsregister) för att ombudsmannen också ska kunna undersöka eventuella klagomål som rör öppenhetsregistrets sekretariat. Parlamentet noterar dock att ombudsmannen har anpassat sin praxis efter öppenhetsregistrets principer och kontrollerar att talare och samtalspartner vid evenemang eller möten som anordnas av ombudsmannen är registrerade i registret. Parlamentet välkomnar den höga grad av transparens som ombudsmannen uppnått genom att på sin webbplats offentliggöra information om undersökningar, tjänsteresor (och därmed sammanhängande utgifter), möten och evenemang som ombudsmannen deltar i, samt bedömningen av begäranden från högre chefer eller kanslimedarbetare om att utöva yrkesverksamhet efter att de lämnat ombudsmannen.</w:t>
      </w:r>
    </w:p>
    <w:p w14:paraId="0B516154" w14:textId="77777777" w:rsidR="0062447A" w:rsidRPr="003906BD" w:rsidRDefault="0062447A" w:rsidP="0062447A">
      <w:pPr>
        <w:pStyle w:val="NormalHanging12a"/>
        <w:ind w:left="0" w:firstLine="0"/>
        <w:rPr>
          <w:b/>
          <w:i/>
        </w:rPr>
      </w:pPr>
      <w:r w:rsidRPr="003906BD">
        <w:rPr>
          <w:b/>
          <w:i/>
        </w:rPr>
        <w:t>Byggnader</w:t>
      </w:r>
    </w:p>
    <w:p w14:paraId="4C0F83B2" w14:textId="77777777" w:rsidR="0062447A" w:rsidRPr="003906BD" w:rsidRDefault="0062447A" w:rsidP="0062447A">
      <w:pPr>
        <w:pStyle w:val="NormalHanging12a"/>
      </w:pPr>
      <w:r w:rsidRPr="003906BD">
        <w:t>34.</w:t>
      </w:r>
      <w:r w:rsidRPr="003906BD">
        <w:tab/>
        <w:t>Europaparlamentet noterar att ombudsmannens slutliga budget (efter överföringar) för byggnader och tillhörande kostnader ökade med cirka 13,60 %, från 1 373 000 EUR under 2023 till 1 560 709 EUR under 2024. Parlamentet noterar att anslagen för hyra ökade med cirka 7 %, från 866 100 EUR under 2023 till 926 620 EUR under 2024. Parlamentet noterar en genomförandegrad för betalningar på nästan 100 % under båda åren.</w:t>
      </w:r>
    </w:p>
    <w:p w14:paraId="0A3C15A4" w14:textId="77777777" w:rsidR="0062447A" w:rsidRPr="003906BD" w:rsidRDefault="0062447A" w:rsidP="0062447A">
      <w:pPr>
        <w:pStyle w:val="NormalHanging12a"/>
      </w:pPr>
      <w:r w:rsidRPr="003906BD">
        <w:t>35.</w:t>
      </w:r>
      <w:r w:rsidRPr="003906BD">
        <w:tab/>
        <w:t xml:space="preserve">Europaparlamentet noterar utifrån frågeformuläret att inga ändringar gjordes i de villkor för ombudsmannens enskilda kontor som den ansvarsfrihetsbeviljande myndigheten </w:t>
      </w:r>
      <w:r w:rsidRPr="003906BD">
        <w:lastRenderedPageBreak/>
        <w:t>tidigare hade uppmärksammats på. Parlamentet noterar med tillfredsställelse att Havel-byggnaden i Strasbourg är fullt tillgänglig för personer med nedsatt rörlighet eller andra funktionsnedsättningar. Parlamentet stöder ombudsmannen i dess ansträngningar att förbättra tillgängligheten till de lokaler som hyrs i Bryssel.</w:t>
      </w:r>
    </w:p>
    <w:p w14:paraId="3E16DD1D" w14:textId="77777777" w:rsidR="0062447A" w:rsidRPr="003906BD" w:rsidRDefault="0062447A" w:rsidP="0062447A">
      <w:pPr>
        <w:pStyle w:val="NormalHanging12a"/>
        <w:ind w:left="0" w:firstLine="0"/>
        <w:rPr>
          <w:b/>
          <w:bCs/>
          <w:i/>
          <w:iCs/>
        </w:rPr>
      </w:pPr>
      <w:r w:rsidRPr="003906BD">
        <w:rPr>
          <w:b/>
          <w:i/>
        </w:rPr>
        <w:t>Digitalisering, cybersäkerhet och skydd av personuppgifter</w:t>
      </w:r>
      <w:bookmarkStart w:id="11" w:name="_Hlk215320147"/>
    </w:p>
    <w:p w14:paraId="0E2D85A5" w14:textId="77777777" w:rsidR="0062447A" w:rsidRPr="003906BD" w:rsidRDefault="0062447A" w:rsidP="0062447A">
      <w:pPr>
        <w:spacing w:after="240"/>
        <w:ind w:left="567" w:hanging="567"/>
      </w:pPr>
      <w:r w:rsidRPr="003906BD">
        <w:t>36.</w:t>
      </w:r>
      <w:r w:rsidRPr="003906BD">
        <w:tab/>
        <w:t>Europaparlamentet lovordar ombudsmannen för att under 2024 ha slutfört ett viktigt projekt för digitalisering av sina historiska arkiv innan de överfördes till unionens historiska arkiv i Florens. Parlamentet noterar med tillfredsställelse att ombudsmannens arkiv nu bevaras och är tillgängliga för framtida generationer.</w:t>
      </w:r>
    </w:p>
    <w:p w14:paraId="036CB1D5" w14:textId="77777777" w:rsidR="0062447A" w:rsidRPr="003906BD" w:rsidRDefault="0062447A" w:rsidP="0062447A">
      <w:pPr>
        <w:spacing w:after="240"/>
        <w:ind w:left="567" w:hanging="567"/>
      </w:pPr>
      <w:r w:rsidRPr="003906BD">
        <w:t>37.</w:t>
      </w:r>
      <w:r w:rsidRPr="003906BD">
        <w:tab/>
        <w:t>Europaparlamentet välkomnar de positiva effekterna av ombudsmannens användning av maskinöversättning, som ökade tillgängligheten till ombudsmannens webbplats, effektiviserade fördelningen av ärenden och påskyndade handläggningen av klagomål, vilket ledde till en minskning av översättningskostnaderna med över 65 % (från 2022 till 2024) och av den administrativa bördan. Parlamentet uppmuntrar ombudsmannen att fortsätta att testa och utvärdera AI-verktyg och AI-användningsfall, samtidigt som man intar en försiktig hållning till deras utveckling och införande. Parlamentet uppmanar i detta sammanhang ombudsmannen att ta hänsyn till de budgetkonsekvenser på medellång sikt som rör underhåll, skalbarhet, personalens kompetens och potentiella beroenden av digitala verktyg och tjänsteleverantörer och att säkerställa att införandet förblir säkert och föremål för lämplig mänsklig tillsyn.</w:t>
      </w:r>
    </w:p>
    <w:p w14:paraId="7BEEF644" w14:textId="77777777" w:rsidR="0062447A" w:rsidRPr="003906BD" w:rsidRDefault="0062447A" w:rsidP="0062447A">
      <w:pPr>
        <w:spacing w:after="240"/>
        <w:ind w:left="567" w:hanging="567"/>
      </w:pPr>
      <w:r w:rsidRPr="003906BD">
        <w:t>38.</w:t>
      </w:r>
      <w:r w:rsidRPr="003906BD">
        <w:tab/>
        <w:t>Europaparlamentet noterar med tillfredsställelse utifrån frågeformuläret att ombudsmannen har infört interna riktlinjer för användningen av generativa AI-verktyg från tredje part som bör ge klarhet och vägledning om säker och effektiv integrering av AI-verktyg i ombudsmannens arbetsflöden. Parlamentet ser fram emot den planerade utvidgningen av AI-användningen utöver översättning, till exempel för att integrera ombudsmannens rättspraxis i kommissionens stora språkmodell och för att utnyttja historisk rättspraxis som kommer att ligga till grund för framtida undersökningar. Parlamentet uppmuntrar ombudsmannen att fortsätta att testa och använda AI-verktyg där de bevisligen förbättrar tillgängligheten och effektiviteten. Parlamentet betonar dock behovet av tydlig styrning, mänsklig tillsyn, transparens gentemot användarna och tillförlitligt uppgiftsskydd, inbegripet dokumenterade riskbedömningar och kvalitetskontroller för automatiserade utdata, särskilt när AI kan påverka ärendehantering, tilldelning eller extern kommunikation. Parlamentet uppmanar ombudsmannen att säkerställa att alla AI-genererade rättsliga insikter verifieras av mänskliga utredare och prioriterar tolkning som tillhandahålls av människor framför AI-baserade lösningar. Parlamentet begär vidare rapportering om de tekniska åtgärder som vidtagits för att undanröja algoritmisk snedvridning och skydda objektiviteten i ombudsmannens slutsatser.</w:t>
      </w:r>
    </w:p>
    <w:p w14:paraId="196A9042" w14:textId="77777777" w:rsidR="0062447A" w:rsidRPr="003906BD" w:rsidRDefault="0062447A" w:rsidP="0062447A">
      <w:pPr>
        <w:pStyle w:val="NormalHanging12a"/>
      </w:pPr>
      <w:r w:rsidRPr="003906BD">
        <w:t>39.</w:t>
      </w:r>
      <w:r w:rsidRPr="003906BD">
        <w:tab/>
        <w:t xml:space="preserve">Europaparlamentet noterar med tillfredsställelse utifrån frågeformuläret att en anställd under 2024 slutförde en intensiv tvåmånaders utbildning i datavetenskap och artificiell intelligens i syfte att stärka ombudsmannens expertis på detta område och att denna tjänsteman nu företräder ombudsmannen i det nätverk för AI-korrespondenter som inrättades av Europeiska datatillsynsmannen efter ikraftträdandet av förordning (EU) </w:t>
      </w:r>
      <w:r w:rsidRPr="003906BD">
        <w:lastRenderedPageBreak/>
        <w:t>2024/1689 (förordningen om artificiell intelligens)</w:t>
      </w:r>
      <w:r w:rsidRPr="003906BD">
        <w:rPr>
          <w:vertAlign w:val="superscript"/>
        </w:rPr>
        <w:footnoteReference w:id="12"/>
      </w:r>
      <w:r w:rsidRPr="003906BD">
        <w:t>. Parlamentet noterar vidare ombudsmannens åtagande att utveckla en utbildning om säker och etisk användning av AI-verktyg för all sin personal. Parlamentet noterar vidare att ombudsmannen varje månad under hela 2024 höll en riktad obligatorisk utbildning för att öka personalens medvetenhet och kompetens när det gäller bästa praxis för cybersäkerhet. Parlamentet noterar med tillfredsställelse att ombudsmannen kräver att all personal ska genomgå regelbundna cybersäkerhetsutbildningar. Parlamentet uppmuntrar ombudsmannen att fortsätta att utveckla sin digitaliseringsstrategi och säkerställa att användningen av AI-verktyg förblir helt förenlig med principerna om etisk användning, transparens, dataskydd, mänsklig tillsyn och skydd mot algoritmisk snedvridning eller missbruk.</w:t>
      </w:r>
    </w:p>
    <w:p w14:paraId="282CE9B4" w14:textId="77777777" w:rsidR="0062447A" w:rsidRPr="003906BD" w:rsidRDefault="0062447A" w:rsidP="0062447A">
      <w:pPr>
        <w:pStyle w:val="NormalHanging12a"/>
        <w:rPr>
          <w:bCs/>
          <w:iCs/>
        </w:rPr>
      </w:pPr>
      <w:r w:rsidRPr="003906BD">
        <w:t>40.</w:t>
      </w:r>
      <w:r w:rsidRPr="003906BD">
        <w:tab/>
        <w:t>Europaparlamentet betonar att upphandling är ett viktigt verktyg för att främja politiska mål såsom miljöagendan och den sociala agendan. Parlamentet uppmanar ombudsmannen att i sina upphandlingsförfaranden stärka införandet av strategiska kriterier för socialt ansvar och miljömässig hållbarhet.</w:t>
      </w:r>
    </w:p>
    <w:p w14:paraId="5E0E5AEE" w14:textId="77777777" w:rsidR="0062447A" w:rsidRPr="003906BD" w:rsidRDefault="0062447A" w:rsidP="0062447A">
      <w:pPr>
        <w:spacing w:after="240"/>
        <w:ind w:left="567" w:hanging="567"/>
      </w:pPr>
      <w:r w:rsidRPr="003906BD">
        <w:t>41.</w:t>
      </w:r>
      <w:r w:rsidRPr="003906BD">
        <w:tab/>
        <w:t>Europaparlamentet noterar att ombudsmannen när det gäller it förlitar sig på parlamentets ram för infrastruktur och cybersäkerhet och har ett nära samarbete med kommissionen när det gäller integrering och underhåll av unionens gemensamma verktyg (</w:t>
      </w:r>
      <w:proofErr w:type="spellStart"/>
      <w:r w:rsidRPr="003906BD">
        <w:t>Sysper</w:t>
      </w:r>
      <w:proofErr w:type="spellEnd"/>
      <w:r w:rsidRPr="003906BD">
        <w:t xml:space="preserve">, ABAC, </w:t>
      </w:r>
      <w:proofErr w:type="spellStart"/>
      <w:r w:rsidRPr="003906BD">
        <w:t>MiPS</w:t>
      </w:r>
      <w:proofErr w:type="spellEnd"/>
      <w:r w:rsidRPr="003906BD">
        <w:t xml:space="preserve"> och ARES) och användningen av it-ramavtal. Parlamentet erkänner att ombudsmannens långvariga strategi att utnyttja dessa två institutioners integrerade system och resurser varit framgångsrik när det gäller att optimera budgetutnyttjandet och förbättra samordningen, till exempel inom digitalisering. Parlamentet noterar att ombudsmannen när det gäller kärnverksamheten behåller direkt kontroll över utvecklingen och underhållet av verktyg inom parlamentets säkra miljö, vilket säkerställer flexibilitet, dataskydd och förbättrad cybersäkerhet. Parlamentet noterar att ombudsmannen inte utsattes för några cyberattacker under 2024.</w:t>
      </w:r>
    </w:p>
    <w:p w14:paraId="67C353AB" w14:textId="77777777" w:rsidR="0062447A" w:rsidRPr="003906BD" w:rsidRDefault="0062447A" w:rsidP="0062447A">
      <w:pPr>
        <w:spacing w:after="240"/>
        <w:ind w:left="567" w:hanging="567"/>
      </w:pPr>
      <w:r w:rsidRPr="003906BD">
        <w:t>42.</w:t>
      </w:r>
      <w:r w:rsidRPr="003906BD">
        <w:tab/>
        <w:t>Europaparlamentet noterar utifrån frågeformuläret att Europeiska datatillsynsmannen i december 2024, efter ett klagomål från en registrerad, inledde ett ärende mot ombudsmannen i enlighet med artikel 57.1 e i förordning (EU) 2018/1725</w:t>
      </w:r>
      <w:r w:rsidRPr="003906BD">
        <w:rPr>
          <w:rStyle w:val="FootnoteReference"/>
        </w:rPr>
        <w:footnoteReference w:id="13"/>
      </w:r>
      <w:r w:rsidRPr="003906BD">
        <w:t>. Parlamentet noterar att datatillsynsmannen, efter det att ombudsmannen hade lämnat de begärda förtydligandena, avslutade ärendet 2025 och drog slutsatsen att den registrerade hade fått tillräcklig information.</w:t>
      </w:r>
      <w:bookmarkEnd w:id="11"/>
    </w:p>
    <w:p w14:paraId="4B6DC6F3" w14:textId="77777777" w:rsidR="0062447A" w:rsidRPr="003906BD" w:rsidRDefault="0062447A" w:rsidP="0062447A">
      <w:pPr>
        <w:spacing w:after="240"/>
      </w:pPr>
      <w:r w:rsidRPr="003906BD">
        <w:rPr>
          <w:b/>
          <w:i/>
        </w:rPr>
        <w:t>Miljö och hållbarhet</w:t>
      </w:r>
    </w:p>
    <w:p w14:paraId="4D762D78" w14:textId="77777777" w:rsidR="0062447A" w:rsidRPr="003906BD" w:rsidRDefault="0062447A" w:rsidP="0062447A">
      <w:pPr>
        <w:spacing w:after="240"/>
        <w:ind w:left="567" w:hanging="567"/>
      </w:pPr>
      <w:r w:rsidRPr="003906BD">
        <w:t>43.</w:t>
      </w:r>
      <w:r w:rsidRPr="003906BD">
        <w:tab/>
        <w:t xml:space="preserve">Europaparlamentet noterar utifrån årsrapporten och frågeformuläret att ombudsmannen fortsatte att minska sitt miljöavtryck genom att digitalisera sina processer, avlägsna enskilda skrivare, inte ersätta centrala behandlingsenheter när de når slutet av sin </w:t>
      </w:r>
      <w:r w:rsidRPr="003906BD">
        <w:lastRenderedPageBreak/>
        <w:t>livscykel och nästan helt övergå till digitala publikationer. Parlamentet välkomnar ombudsmannens insatser för att göra evenemang mer hållbara, bland annat genom att använda QR-koder och lokal catering och genom åtgärder för att förebygga matsvinn. Parlamentet noterar med tillfredsställelse att båda byggnaderna där ombudsmannen har kontor drivs med 100 % förnybar el som levereras enligt parlamentets avtal och att parlamentets installation av solpaneler på sina byggnader i Strasbourg, inbegripet Havel-byggnaden, började generera energi 2024.</w:t>
      </w:r>
    </w:p>
    <w:p w14:paraId="49BB4297" w14:textId="77777777" w:rsidR="0062447A" w:rsidRPr="003906BD" w:rsidRDefault="0062447A" w:rsidP="0062447A">
      <w:pPr>
        <w:spacing w:after="240"/>
        <w:ind w:left="567" w:hanging="567"/>
        <w:rPr>
          <w:b/>
          <w:bCs/>
          <w:i/>
          <w:iCs/>
        </w:rPr>
      </w:pPr>
      <w:r w:rsidRPr="003906BD">
        <w:t>44.</w:t>
      </w:r>
      <w:r w:rsidRPr="003906BD">
        <w:tab/>
        <w:t>Europaparlamentet noterar att ombudsmannen, som hyr sina lokaler av parlamentet, drar nytta av parlamentets miljöledning inom ramen för Emas, inbegripet åtgärder såsom temperaturinställningar på 19 °C på vintern, källsortering, insamling av biologiskt avfall som infördes 2024 och ersättning av engångsköksartiklar med hållbara bordsartiklar. Parlamentet välkomnar ombudsmannens tillämpning av principerna för miljöanpassad offentlig upphandling, både genom sina egna kontrakt och genom samarbetsavtal med andra EU-institutioner.</w:t>
      </w:r>
    </w:p>
    <w:p w14:paraId="2FF66735" w14:textId="77777777" w:rsidR="0062447A" w:rsidRPr="003906BD" w:rsidRDefault="0062447A" w:rsidP="0062447A">
      <w:pPr>
        <w:spacing w:after="240"/>
        <w:ind w:left="567" w:hanging="567"/>
        <w:rPr>
          <w:b/>
          <w:bCs/>
          <w:i/>
          <w:iCs/>
        </w:rPr>
      </w:pPr>
      <w:r w:rsidRPr="003906BD">
        <w:t>45.</w:t>
      </w:r>
      <w:r w:rsidRPr="003906BD">
        <w:tab/>
        <w:t>Europaparlamentet välkomnar ombudsmannens fortsatta främjande av hållbar rörlighet genom schablonbidrag för användning av hållbara transportsätt, som har tagits emot av 67 % av ombudsmannens stödberättigade personal (upp till lönegrad AST8/AD8) 2024, anordnandet av årliga cykelunderhållssessioner och personalens regelbundna deltagande i de interinstitutionella cykel- och gångutmaningarna. Parlamentet noterar att bilparkeringen fortfarande är begränsad medan cykelinfrastrukturen fortsätter att förbättras.</w:t>
      </w:r>
    </w:p>
    <w:p w14:paraId="1AE2399E" w14:textId="77777777" w:rsidR="0062447A" w:rsidRPr="003906BD" w:rsidRDefault="0062447A" w:rsidP="0062447A">
      <w:pPr>
        <w:spacing w:after="240"/>
        <w:ind w:left="567" w:hanging="567"/>
      </w:pPr>
      <w:r w:rsidRPr="003906BD">
        <w:t>46.</w:t>
      </w:r>
      <w:r w:rsidRPr="003906BD">
        <w:tab/>
        <w:t>Europaparlamentet noterar med tillfredsställelse ombudsmannens insatser för att minska de reserelaterade utsläppen genom att systematiskt främja videokonferenser och digitala lösningar som alternativ till tjänsteresor och genom att uppmuntra till tågresor framför flygresor. Parlamentet uppmuntrar ombudsmannen att fortsätta att integrera hållbarhetsaspekter i sin riskhantering och upplysningsverksamhet, i linje med sitt operativa mål för 2024 att främja grönt och socialt ansvar.</w:t>
      </w:r>
    </w:p>
    <w:p w14:paraId="73C9224F" w14:textId="77777777" w:rsidR="0062447A" w:rsidRPr="003906BD" w:rsidRDefault="0062447A" w:rsidP="0062447A">
      <w:pPr>
        <w:pStyle w:val="NormalHanging12a"/>
        <w:rPr>
          <w:b/>
          <w:i/>
        </w:rPr>
      </w:pPr>
      <w:r w:rsidRPr="003906BD">
        <w:rPr>
          <w:b/>
          <w:i/>
        </w:rPr>
        <w:t>Interinstitutionellt samarbete</w:t>
      </w:r>
    </w:p>
    <w:p w14:paraId="06362E95" w14:textId="77777777" w:rsidR="0062447A" w:rsidRPr="003906BD" w:rsidRDefault="0062447A" w:rsidP="0062447A">
      <w:pPr>
        <w:pStyle w:val="NormalHanging12a"/>
      </w:pPr>
      <w:r w:rsidRPr="003906BD">
        <w:t>47.</w:t>
      </w:r>
      <w:r w:rsidRPr="003906BD">
        <w:tab/>
        <w:t>Europaparlamentet välkomnar de ekonomiska och administrativa besparingar som uppnåtts genom interinstitutionellt samarbete, särskilt det breda spektrum av servicenivåavtal som ombudsmannen ingått med parlamentet och kommissionen inom ett antal olika områden och deltagandet i interinstitutionella upphandlingsförfaranden. Parlamentet välkomnar formaliseringen av samarbetet mellan parlamentet och ombudsmannen på cybersäkerhetsområdet i oktober 2024 genom ett reviderat interinstitutionellt avtal som ger parlamentet en ram för att fortsätta att tillhandahålla ett stabilt cybersäkerhetsstöd till ombudsmannen. Parlamentet betonar att ett sådant samarbete är avgörande för att undvika dubbla strukturer och säkerställa en effektiv användning av unionens resurser. Parlamentet uppmuntrar ombudsmannen att se till att all personal får regelbunden och aktuell utbildning i cybersäkerhet för att upprätthålla en hög nivå av medvetenhet och motståndskraft mot framväxande cyberhot.</w:t>
      </w:r>
    </w:p>
    <w:p w14:paraId="67A5C399" w14:textId="77777777" w:rsidR="0062447A" w:rsidRPr="003906BD" w:rsidRDefault="0062447A" w:rsidP="0062447A">
      <w:pPr>
        <w:pStyle w:val="NormalHanging12a"/>
      </w:pPr>
      <w:r w:rsidRPr="003906BD">
        <w:t>48.</w:t>
      </w:r>
      <w:r w:rsidRPr="003906BD">
        <w:tab/>
        <w:t xml:space="preserve">Europaparlamentet lovordar ombudsmannen för det goda samarbetet med Europeiska byrån för bedrägeribekämpning (Olaf) och revisionsrätten, som under 2024 tog formen av möten och diskussioner mellan ombudsmannen, revisionsrättens ledamöter och Olafs generaldirektör. Parlamentet noterar att ombudsmannen också talade om transparens i samband med återkrav av EU-medel vid en konferens som anordnades av </w:t>
      </w:r>
      <w:r w:rsidRPr="003906BD">
        <w:lastRenderedPageBreak/>
        <w:t>revisionsrätten. Parlamentet noterar vidare att ombudsmannen under 2024 presenterade resultaten av viktiga utredningar för parlamentets relevanta utskott och fortsatte sitt goda samarbete med de nationella och regionala ombudsmännen genom förfrågningsförfarandet, där medlemmar av Europeiska ombudsmannanätverket kan ställa frågor om unionsrätten som uppstår under deras undersökningar och ombudsmannen inhämtar expertsvar från unionens institutioner. Parlamentet noterar i detta sammanhang att ombudsmannen under 2024 anordnade ett webbseminarium för Europeiska ombudsmannanätverket om olika ämnen, bland annat genomförandet av unionens visselblåsardirektiv och frågor som rör fri rörlighet.</w:t>
      </w:r>
    </w:p>
    <w:p w14:paraId="5D4DAAA2" w14:textId="77777777" w:rsidR="0062447A" w:rsidRPr="003906BD" w:rsidRDefault="0062447A" w:rsidP="0062447A">
      <w:pPr>
        <w:pStyle w:val="NormalHanging12a"/>
      </w:pPr>
      <w:r w:rsidRPr="003906BD">
        <w:t>49.</w:t>
      </w:r>
      <w:r w:rsidRPr="003906BD">
        <w:tab/>
        <w:t>Europaparlamentet noterar utifrån frågeformuläret att ombudsmannen och Europeiska datatillsynsmannen främst samarbetar på ad hoc-basis och informellt för ett snabbt och effektivt samarbete när så behövs. Parlamentet noterar vidare med tillfredsställelse att ombudsmannen och Europeiska datatillsynsmannen har ett samförståndsavtal för att reglera sina respektive befogenheter när det gäller hantering av klagomål och undvikande av dubbla förfaranden.</w:t>
      </w:r>
    </w:p>
    <w:p w14:paraId="0797F1D4" w14:textId="77777777" w:rsidR="0062447A" w:rsidRPr="003906BD" w:rsidRDefault="0062447A" w:rsidP="0062447A">
      <w:pPr>
        <w:pStyle w:val="NormalHanging12a"/>
      </w:pPr>
      <w:r w:rsidRPr="003906BD">
        <w:t>50.</w:t>
      </w:r>
      <w:r w:rsidRPr="003906BD">
        <w:tab/>
        <w:t>Europaparlamentet uppskattar att ombudsmannen under 2024 fortsatte sitt nära samarbete med relevanta parlamentsutskott (utskottet för framställningar, utskottet för medborgerliga fri- och rättigheter samt rättsliga och inrikes frågor, underutskottet för mänskliga rättigheter) om viktiga undersökningar, antingen genom att redogöra för arbetet direkt vid utskottssammanträden eller genom att information skickas till utskottsordförandena. Parlamentet betonar att de strategiska initiativ och undersökningar som genomförs av ombudsmannen är avgörande för att förbättra transparensen och ansvarsskyldigheten inom unionens förvaltning.</w:t>
      </w:r>
    </w:p>
    <w:p w14:paraId="6B2517D9" w14:textId="77777777" w:rsidR="0062447A" w:rsidRPr="003906BD" w:rsidRDefault="0062447A" w:rsidP="0062447A">
      <w:pPr>
        <w:spacing w:after="240"/>
        <w:rPr>
          <w:b/>
          <w:i/>
        </w:rPr>
      </w:pPr>
      <w:r w:rsidRPr="003906BD">
        <w:rPr>
          <w:b/>
          <w:i/>
        </w:rPr>
        <w:t>Kommunikation</w:t>
      </w:r>
    </w:p>
    <w:p w14:paraId="0910C4C4" w14:textId="77777777" w:rsidR="0062447A" w:rsidRPr="003906BD" w:rsidRDefault="0062447A" w:rsidP="0062447A">
      <w:pPr>
        <w:pStyle w:val="NormalHanging12a"/>
      </w:pPr>
      <w:r w:rsidRPr="003906BD">
        <w:t>51.</w:t>
      </w:r>
      <w:r w:rsidRPr="003906BD">
        <w:tab/>
        <w:t>Europaparlamentet noterar utifrån frågeformuläret att den totala budgeten för kommunikations- och marknadsföringsverksamhet (publikationer, anordnande av evenemang, digital kommunikation osv.) minskade med cirka 38 % från 155 200 EUR 2023 till 96 515 EUR 2024. Parlamentet betonar att även om budgetanslagen måste vara strategiska och resultatinriktade bör ombudsmannen fortsättningsvis fokusera på att informera medborgarna om ombudsmannens mandat och behålla tillräcklig kommunikationskapacitet särskilt när det gäller medborgare som vänder sig till ombudsmannen för att påpeka problem på unionsnivå. Parlamentet uppmanar ombudsmannen att överväga att omfördela besparingar för att säkerställa att ombudsmannens nödvändiga synlighet och genomslag bibehålls.</w:t>
      </w:r>
    </w:p>
    <w:p w14:paraId="63593A17" w14:textId="77777777" w:rsidR="0062447A" w:rsidRPr="003906BD" w:rsidRDefault="0062447A" w:rsidP="0062447A">
      <w:pPr>
        <w:pStyle w:val="NormalHanging12a"/>
      </w:pPr>
      <w:r w:rsidRPr="003906BD">
        <w:t>52.</w:t>
      </w:r>
      <w:r w:rsidRPr="003906BD">
        <w:tab/>
        <w:t>Europaparlamentet erkänner de insatser som ombudsmannen gjort för att tillhandahålla transparent information och offentliggöra uppgifter (inbegripet statistik om sina ärenden) i ett informativt och användarvänligt format på ombudsmannens webbplats. Parlamentet välkomnar att det på webbplatsen offentliggjorts en tidsplan för alla undersökningar av klagomål med information om tidigare och framtida milstolpar i varje undersökning.</w:t>
      </w:r>
    </w:p>
    <w:p w14:paraId="7116689B" w14:textId="77777777" w:rsidR="0062447A" w:rsidRPr="003906BD" w:rsidRDefault="0062447A" w:rsidP="0062447A">
      <w:pPr>
        <w:pStyle w:val="NormalHanging12a"/>
      </w:pPr>
      <w:r w:rsidRPr="003906BD">
        <w:t>53.</w:t>
      </w:r>
      <w:r w:rsidRPr="003906BD">
        <w:tab/>
        <w:t xml:space="preserve">Europaparlamentet noterar utifrån frågeformuläret och årsrapporten att ombudsmannen under 2024 breddade sina utåtriktade insatser genom att lansera konton på </w:t>
      </w:r>
      <w:proofErr w:type="spellStart"/>
      <w:r w:rsidRPr="003906BD">
        <w:t>Threads</w:t>
      </w:r>
      <w:proofErr w:type="spellEnd"/>
      <w:r w:rsidRPr="003906BD">
        <w:t xml:space="preserve"> och </w:t>
      </w:r>
      <w:proofErr w:type="spellStart"/>
      <w:r w:rsidRPr="003906BD">
        <w:t>Bluesky</w:t>
      </w:r>
      <w:proofErr w:type="spellEnd"/>
      <w:r w:rsidRPr="003906BD">
        <w:t xml:space="preserve"> och därigenom diversifierade sin närvaro på sociala medier. Parlamentet konstaterar att ombudsmannen fortsatte att lyfta fram viktiga tematiska områden genom särskilda kampanjer i sociala medier och webberättelser, och att kommunikationen var </w:t>
      </w:r>
      <w:r w:rsidRPr="003906BD">
        <w:lastRenderedPageBreak/>
        <w:t>inriktad på etiska normer inom unionens institutioner under 2024. Parlamentet välkomnar utifrån uppföljningsrapporten den nyvalda ombudsmannens centrala strategiska mål att ge medborgarna egenmakt, vilket kommer att inbegripa riktad kommunikationsverksamhet för att se till att medborgare som behöver ombudsmannen är medvetna om sina rättigheter och använder ombudsmannens tjänster.</w:t>
      </w:r>
    </w:p>
    <w:p w14:paraId="03B803DD" w14:textId="77777777" w:rsidR="0062447A" w:rsidRPr="003906BD" w:rsidRDefault="0062447A" w:rsidP="0062447A">
      <w:pPr>
        <w:pStyle w:val="NormalHanging12a"/>
      </w:pPr>
      <w:r w:rsidRPr="003906BD">
        <w:t>54.</w:t>
      </w:r>
      <w:r w:rsidRPr="003906BD">
        <w:tab/>
        <w:t>Europaparlamentet välkomnar ombudsmannens regelbundna nyhetsbrev EO express, som håller prenumeranterna uppdaterade genom marknadsföring på olika plattformar. Parlamentet betonar att ombudsmannen deltog i en rad olika evenemang som anordnades av unionen och internationella organ och ofta gav medieintervjuer för att klargöra ombudsmannens mandat, förklara vilka typer av klagomål den kan hantera och informera medborgarna om när de kan begära ombudsmannens stöd.</w:t>
      </w:r>
    </w:p>
    <w:p w14:paraId="4578EB02" w14:textId="77777777" w:rsidR="0062447A" w:rsidRPr="003906BD" w:rsidRDefault="0062447A" w:rsidP="0062447A">
      <w:pPr>
        <w:pStyle w:val="NormalHanging12a"/>
      </w:pPr>
      <w:r w:rsidRPr="003906BD">
        <w:t>55.</w:t>
      </w:r>
      <w:r w:rsidRPr="003906BD">
        <w:tab/>
        <w:t>Europaparlamentet noterar med tillfredsställelse utifrån frågeformuläret att ombudsmannens webbplats är utformad för att överensstämma med unionens standarder och riktlinjer för tillgänglighet och ger användarna en inkluderande och hinderfri onlinemiljö utrustad med olika tillgänglighetsfunktioner. Parlamentet noterar att en granskning av tillgängligheten till och användbarheten hos ombudsmannens webbplats som genomfördes 2025 visade på en genomsnittlig efterlevnad på nästan 90 %. Parlamentet uppmuntrar ombudsmannen att fortsätta att göra regelbundna granskningar i denna fråga.</w:t>
      </w:r>
    </w:p>
    <w:p w14:paraId="4ADC8EA2" w14:textId="4EE531E7" w:rsidR="00D207D7" w:rsidRPr="00D207D7" w:rsidRDefault="0062447A" w:rsidP="00D207D7">
      <w:pPr>
        <w:pStyle w:val="NormalHanging12a"/>
      </w:pPr>
      <w:r w:rsidRPr="003906BD">
        <w:t>56.</w:t>
      </w:r>
      <w:r w:rsidRPr="003906BD">
        <w:tab/>
        <w:t xml:space="preserve">Europaparlamentet välkomnar den fortsatta uppmärksamheten i medierna, med omkring 5 000 artiklar som hänvisar till ombudsmannens arbete under 2024. Parlamentet noterar att ombudsmannen mäter allmänhetens engagemang främst genom tillväxt på sociala medier och webbplatstrafik och att antalet följare stadigt ökade under året. Parlamentet konstaterar att ombudsmannens </w:t>
      </w:r>
      <w:proofErr w:type="spellStart"/>
      <w:r w:rsidRPr="003906BD">
        <w:t>Instagram</w:t>
      </w:r>
      <w:proofErr w:type="spellEnd"/>
      <w:r w:rsidRPr="003906BD">
        <w:t>-, LinkedIn- och X-konton fick totalt 9 186 nya följare, vilket överträffade dess mål för verksamhet på sociala medier under 2024, samt när det gäller antalet unika besökare på dess webbplats. Parlamentet betonar vikten av att fortsätta att prioritera extern kommunikation för att öka allmänhetens medvetenhet om ombudsmannens uppdrag och de tjänster som ombudsmannen tillhandahåller unionsmedborgarna.</w:t>
      </w:r>
    </w:p>
    <w:p w14:paraId="6704243B" w14:textId="458B79CE" w:rsidR="00E365E1" w:rsidRPr="00D207D7" w:rsidRDefault="00E365E1" w:rsidP="0090662D"/>
    <w:sectPr w:rsidR="00E365E1" w:rsidRPr="00D207D7" w:rsidSect="00D207D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E847B" w14:textId="77777777" w:rsidR="0090662D" w:rsidRPr="00D207D7" w:rsidRDefault="0090662D">
      <w:r w:rsidRPr="00D207D7">
        <w:separator/>
      </w:r>
    </w:p>
  </w:endnote>
  <w:endnote w:type="continuationSeparator" w:id="0">
    <w:p w14:paraId="305CFBDE" w14:textId="77777777" w:rsidR="0090662D" w:rsidRPr="00D207D7" w:rsidRDefault="0090662D">
      <w:r w:rsidRPr="00D207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DEE9" w14:textId="77777777" w:rsidR="0062447A" w:rsidRPr="00D207D7" w:rsidRDefault="0062447A" w:rsidP="00023364">
    <w:pPr>
      <w:pStyle w:val="EPFooter"/>
    </w:pPr>
    <w:r w:rsidRPr="00D207D7">
      <w:t>PE</w:t>
    </w:r>
    <w:r w:rsidRPr="00D207D7">
      <w:rPr>
        <w:rStyle w:val="HideTWBExt"/>
      </w:rPr>
      <w:t>&lt;</w:t>
    </w:r>
    <w:proofErr w:type="spellStart"/>
    <w:r w:rsidRPr="00D207D7">
      <w:rPr>
        <w:rStyle w:val="HideTWBExt"/>
      </w:rPr>
      <w:t>NoPE</w:t>
    </w:r>
    <w:proofErr w:type="spellEnd"/>
    <w:r w:rsidRPr="00D207D7">
      <w:rPr>
        <w:rStyle w:val="HideTWBExt"/>
      </w:rPr>
      <w:t>&gt;</w:t>
    </w:r>
    <w:r w:rsidRPr="00D207D7">
      <w:t>778.065</w:t>
    </w:r>
    <w:r w:rsidRPr="00D207D7">
      <w:rPr>
        <w:rStyle w:val="HideTWBExt"/>
      </w:rPr>
      <w:t>&lt;/</w:t>
    </w:r>
    <w:proofErr w:type="spellStart"/>
    <w:r w:rsidRPr="00D207D7">
      <w:rPr>
        <w:rStyle w:val="HideTWBExt"/>
      </w:rPr>
      <w:t>NoPE</w:t>
    </w:r>
    <w:proofErr w:type="spellEnd"/>
    <w:r w:rsidRPr="00D207D7">
      <w:rPr>
        <w:rStyle w:val="HideTWBExt"/>
      </w:rPr>
      <w:t>&gt;&lt;Version&gt;</w:t>
    </w:r>
    <w:r w:rsidRPr="00D207D7">
      <w:t>v02-00</w:t>
    </w:r>
    <w:r w:rsidRPr="00D207D7">
      <w:rPr>
        <w:rStyle w:val="HideTWBExt"/>
      </w:rPr>
      <w:t>&lt;/Version&gt;</w:t>
    </w:r>
    <w:r w:rsidRPr="00D207D7">
      <w:tab/>
    </w:r>
    <w:r w:rsidRPr="00D207D7">
      <w:fldChar w:fldCharType="begin"/>
    </w:r>
    <w:r w:rsidRPr="00D207D7">
      <w:instrText xml:space="preserve"> PAGE  \* MERGEFORMAT </w:instrText>
    </w:r>
    <w:r w:rsidRPr="00D207D7">
      <w:fldChar w:fldCharType="separate"/>
    </w:r>
    <w:r w:rsidRPr="00D207D7">
      <w:rPr>
        <w:noProof/>
      </w:rPr>
      <w:t>22</w:t>
    </w:r>
    <w:r w:rsidRPr="00D207D7">
      <w:fldChar w:fldCharType="end"/>
    </w:r>
    <w:r w:rsidRPr="00D207D7">
      <w:t>/</w:t>
    </w:r>
    <w:r w:rsidR="00BB21CD">
      <w:fldChar w:fldCharType="begin"/>
    </w:r>
    <w:r w:rsidR="00BB21CD">
      <w:instrText xml:space="preserve"> NUMPAGES  \* MERGEFORMAT </w:instrText>
    </w:r>
    <w:r w:rsidR="00BB21CD">
      <w:fldChar w:fldCharType="separate"/>
    </w:r>
    <w:r w:rsidRPr="00D207D7">
      <w:rPr>
        <w:noProof/>
      </w:rPr>
      <w:t>22</w:t>
    </w:r>
    <w:r w:rsidR="00BB21CD">
      <w:rPr>
        <w:noProof/>
      </w:rPr>
      <w:fldChar w:fldCharType="end"/>
    </w:r>
    <w:r w:rsidRPr="00D207D7">
      <w:tab/>
    </w:r>
    <w:r w:rsidRPr="00D207D7">
      <w:rPr>
        <w:rStyle w:val="HideTWBExt"/>
      </w:rPr>
      <w:t>&lt;PathFdR&gt;</w:t>
    </w:r>
    <w:r w:rsidRPr="00D207D7">
      <w:t>RR\1339391SV.docx</w:t>
    </w:r>
    <w:r w:rsidRPr="00D207D7">
      <w:rPr>
        <w:rStyle w:val="HideTWBExt"/>
      </w:rPr>
      <w:t>&lt;/</w:t>
    </w:r>
    <w:proofErr w:type="spellStart"/>
    <w:r w:rsidRPr="00D207D7">
      <w:rPr>
        <w:rStyle w:val="HideTWBExt"/>
      </w:rPr>
      <w:t>PathFdR</w:t>
    </w:r>
    <w:proofErr w:type="spellEnd"/>
    <w:r w:rsidRPr="00D207D7">
      <w:rPr>
        <w:rStyle w:val="HideTWBExt"/>
      </w:rPr>
      <w:t>&gt;</w:t>
    </w:r>
  </w:p>
  <w:p w14:paraId="04046911" w14:textId="77777777" w:rsidR="0062447A" w:rsidRPr="00D207D7" w:rsidRDefault="0062447A" w:rsidP="00023364">
    <w:pPr>
      <w:pStyle w:val="EPFooter2"/>
    </w:pPr>
    <w:r w:rsidRPr="00D207D7">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8572" w14:textId="75F0EC61" w:rsidR="0062447A" w:rsidRPr="00D207D7" w:rsidRDefault="0062447A" w:rsidP="0002336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ED014" w14:textId="77777777" w:rsidR="0062447A" w:rsidRPr="00D207D7" w:rsidRDefault="0062447A" w:rsidP="00023364">
    <w:pPr>
      <w:pStyle w:val="EPFooter"/>
    </w:pPr>
    <w:r w:rsidRPr="00D207D7">
      <w:rPr>
        <w:rStyle w:val="HideTWBExt"/>
      </w:rPr>
      <w:t>&lt;PathFdR&gt;</w:t>
    </w:r>
    <w:r w:rsidRPr="00D207D7">
      <w:t>RR\1339391SV.docx</w:t>
    </w:r>
    <w:r w:rsidRPr="00D207D7">
      <w:rPr>
        <w:rStyle w:val="HideTWBExt"/>
      </w:rPr>
      <w:t>&lt;/</w:t>
    </w:r>
    <w:proofErr w:type="spellStart"/>
    <w:r w:rsidRPr="00D207D7">
      <w:rPr>
        <w:rStyle w:val="HideTWBExt"/>
      </w:rPr>
      <w:t>PathFdR</w:t>
    </w:r>
    <w:proofErr w:type="spellEnd"/>
    <w:r w:rsidRPr="00D207D7">
      <w:rPr>
        <w:rStyle w:val="HideTWBExt"/>
      </w:rPr>
      <w:t>&gt;</w:t>
    </w:r>
    <w:r w:rsidRPr="00D207D7">
      <w:tab/>
    </w:r>
    <w:r w:rsidRPr="00D207D7">
      <w:tab/>
      <w:t>PE</w:t>
    </w:r>
    <w:r w:rsidRPr="00D207D7">
      <w:rPr>
        <w:rStyle w:val="HideTWBExt"/>
      </w:rPr>
      <w:t>&lt;</w:t>
    </w:r>
    <w:proofErr w:type="spellStart"/>
    <w:r w:rsidRPr="00D207D7">
      <w:rPr>
        <w:rStyle w:val="HideTWBExt"/>
      </w:rPr>
      <w:t>NoPE</w:t>
    </w:r>
    <w:proofErr w:type="spellEnd"/>
    <w:r w:rsidRPr="00D207D7">
      <w:rPr>
        <w:rStyle w:val="HideTWBExt"/>
      </w:rPr>
      <w:t>&gt;</w:t>
    </w:r>
    <w:r w:rsidRPr="00D207D7">
      <w:t>778.065</w:t>
    </w:r>
    <w:r w:rsidRPr="00D207D7">
      <w:rPr>
        <w:rStyle w:val="HideTWBExt"/>
      </w:rPr>
      <w:t>&lt;/</w:t>
    </w:r>
    <w:proofErr w:type="spellStart"/>
    <w:r w:rsidRPr="00D207D7">
      <w:rPr>
        <w:rStyle w:val="HideTWBExt"/>
      </w:rPr>
      <w:t>NoPE</w:t>
    </w:r>
    <w:proofErr w:type="spellEnd"/>
    <w:r w:rsidRPr="00D207D7">
      <w:rPr>
        <w:rStyle w:val="HideTWBExt"/>
      </w:rPr>
      <w:t>&gt;&lt;Version&gt;</w:t>
    </w:r>
    <w:r w:rsidRPr="00D207D7">
      <w:t>v02-00</w:t>
    </w:r>
    <w:r w:rsidRPr="00D207D7">
      <w:rPr>
        <w:rStyle w:val="HideTWBExt"/>
      </w:rPr>
      <w:t>&lt;/Version&gt;</w:t>
    </w:r>
  </w:p>
  <w:p w14:paraId="52815639" w14:textId="77777777" w:rsidR="0062447A" w:rsidRPr="00D207D7" w:rsidRDefault="0062447A" w:rsidP="00023364">
    <w:pPr>
      <w:pStyle w:val="EPFooter2"/>
    </w:pPr>
    <w:r w:rsidRPr="00D207D7">
      <w:t>SV</w:t>
    </w:r>
    <w:r w:rsidRPr="00D207D7">
      <w:tab/>
    </w:r>
    <w:r w:rsidRPr="00D207D7">
      <w:rPr>
        <w:b w:val="0"/>
        <w:i/>
        <w:color w:val="C0C0C0"/>
        <w:sz w:val="22"/>
      </w:rPr>
      <w:t>Förenade i mångfalden</w:t>
    </w:r>
    <w:r w:rsidRPr="00D207D7">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ECFD" w14:textId="77777777" w:rsidR="00064002" w:rsidRPr="00D207D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BA6D" w14:textId="77777777" w:rsidR="00064002" w:rsidRPr="00D207D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39C2" w14:textId="77777777" w:rsidR="00064002" w:rsidRPr="00D207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BB1B7" w14:textId="77777777" w:rsidR="0090662D" w:rsidRPr="00D207D7" w:rsidRDefault="0090662D">
      <w:r w:rsidRPr="00D207D7">
        <w:separator/>
      </w:r>
    </w:p>
  </w:footnote>
  <w:footnote w:type="continuationSeparator" w:id="0">
    <w:p w14:paraId="0FC93198" w14:textId="77777777" w:rsidR="0090662D" w:rsidRPr="00D207D7" w:rsidRDefault="0090662D">
      <w:r w:rsidRPr="00D207D7">
        <w:continuationSeparator/>
      </w:r>
    </w:p>
  </w:footnote>
  <w:footnote w:id="1">
    <w:p w14:paraId="066A07F9" w14:textId="349826D7" w:rsidR="0062447A" w:rsidRPr="00A726DF" w:rsidRDefault="0062447A" w:rsidP="00D207D7">
      <w:pPr>
        <w:pStyle w:val="FootnoteText"/>
        <w:ind w:left="567" w:hanging="567"/>
        <w:rPr>
          <w:sz w:val="24"/>
          <w:lang w:val="fi-FI"/>
        </w:rPr>
      </w:pPr>
      <w:r w:rsidRPr="00D207D7">
        <w:rPr>
          <w:rStyle w:val="FootnoteReference"/>
          <w:sz w:val="24"/>
          <w:lang w:val="sv-SE"/>
        </w:rPr>
        <w:footnoteRef/>
      </w:r>
      <w:r w:rsidR="00D207D7" w:rsidRPr="00A726DF">
        <w:rPr>
          <w:sz w:val="24"/>
          <w:lang w:val="fi-FI"/>
        </w:rPr>
        <w:t xml:space="preserve"> </w:t>
      </w:r>
      <w:r w:rsidR="00D207D7" w:rsidRPr="00A726DF">
        <w:rPr>
          <w:sz w:val="24"/>
          <w:lang w:val="fi-FI"/>
        </w:rPr>
        <w:tab/>
      </w:r>
      <w:r w:rsidRPr="00A726DF">
        <w:rPr>
          <w:sz w:val="24"/>
          <w:lang w:val="fi-FI"/>
        </w:rPr>
        <w:t>EUT L</w:t>
      </w:r>
      <w:r w:rsidR="00BB21CD">
        <w:rPr>
          <w:sz w:val="24"/>
          <w:lang w:val="fi-FI"/>
        </w:rPr>
        <w:t>,</w:t>
      </w:r>
      <w:r w:rsidRPr="00A726DF">
        <w:rPr>
          <w:sz w:val="24"/>
          <w:lang w:val="fi-FI"/>
        </w:rPr>
        <w:t xml:space="preserve"> </w:t>
      </w:r>
      <w:r w:rsidR="00C60547">
        <w:rPr>
          <w:sz w:val="24"/>
          <w:lang w:val="fi-FI"/>
        </w:rPr>
        <w:t>2024/</w:t>
      </w:r>
      <w:r w:rsidRPr="00A726DF">
        <w:rPr>
          <w:sz w:val="24"/>
          <w:lang w:val="fi-FI"/>
        </w:rPr>
        <w:t xml:space="preserve">207, 22.2.2024, ELI: </w:t>
      </w:r>
      <w:hyperlink r:id="rId1" w:history="1">
        <w:r w:rsidRPr="00A726DF">
          <w:rPr>
            <w:rStyle w:val="Hyperlink"/>
            <w:sz w:val="24"/>
            <w:lang w:val="fi-FI"/>
          </w:rPr>
          <w:t>http://data.europa.eu/eli/budget/2024/207/oj</w:t>
        </w:r>
      </w:hyperlink>
      <w:r w:rsidRPr="00A726DF">
        <w:rPr>
          <w:sz w:val="24"/>
          <w:lang w:val="fi-FI"/>
        </w:rPr>
        <w:t>.</w:t>
      </w:r>
    </w:p>
  </w:footnote>
  <w:footnote w:id="2">
    <w:p w14:paraId="2CC07CBA" w14:textId="33DBB207" w:rsidR="0062447A" w:rsidRPr="00A726DF" w:rsidRDefault="0062447A" w:rsidP="00D207D7">
      <w:pPr>
        <w:pStyle w:val="FootnoteText"/>
        <w:ind w:left="567" w:hanging="567"/>
        <w:rPr>
          <w:sz w:val="24"/>
          <w:lang w:val="fr-BE"/>
        </w:rPr>
      </w:pPr>
      <w:r w:rsidRPr="00D207D7">
        <w:rPr>
          <w:rStyle w:val="FootnoteReference"/>
          <w:sz w:val="24"/>
          <w:lang w:val="sv-SE"/>
        </w:rPr>
        <w:footnoteRef/>
      </w:r>
      <w:r w:rsidR="00D207D7" w:rsidRPr="00A726DF">
        <w:rPr>
          <w:sz w:val="24"/>
          <w:lang w:val="fr-BE"/>
        </w:rPr>
        <w:t xml:space="preserve"> </w:t>
      </w:r>
      <w:r w:rsidR="00D207D7" w:rsidRPr="00A726DF">
        <w:rPr>
          <w:sz w:val="24"/>
          <w:lang w:val="fr-BE"/>
        </w:rPr>
        <w:tab/>
      </w:r>
      <w:r w:rsidRPr="00A726DF">
        <w:rPr>
          <w:sz w:val="24"/>
          <w:lang w:val="fr-BE"/>
        </w:rPr>
        <w:t>EUT C, C/2025/4944, 13.10.2025, ELI: </w:t>
      </w:r>
      <w:hyperlink r:id="rId2" w:tgtFrame="_blank" w:tooltip="Ger tillgång till detta dokument via dess ELI URI." w:history="1">
        <w:r w:rsidRPr="00A726DF">
          <w:rPr>
            <w:rStyle w:val="Hyperlink"/>
            <w:sz w:val="24"/>
            <w:lang w:val="fr-BE"/>
          </w:rPr>
          <w:t>http://data.europa.eu/eli/C/2025/4944/oj</w:t>
        </w:r>
      </w:hyperlink>
      <w:r w:rsidRPr="00A726DF">
        <w:rPr>
          <w:sz w:val="24"/>
          <w:lang w:val="fr-BE"/>
        </w:rPr>
        <w:t>.</w:t>
      </w:r>
    </w:p>
  </w:footnote>
  <w:footnote w:id="3">
    <w:p w14:paraId="6F7DB7EB" w14:textId="33DF17AF" w:rsidR="0062447A" w:rsidRPr="00A726DF" w:rsidRDefault="0062447A" w:rsidP="00D207D7">
      <w:pPr>
        <w:pStyle w:val="FootnoteText"/>
        <w:ind w:left="567" w:hanging="567"/>
        <w:rPr>
          <w:sz w:val="24"/>
          <w:lang w:val="fi-FI"/>
        </w:rPr>
      </w:pPr>
      <w:r w:rsidRPr="00D207D7">
        <w:rPr>
          <w:rStyle w:val="FootnoteReference"/>
          <w:sz w:val="24"/>
          <w:lang w:val="sv-SE"/>
        </w:rPr>
        <w:footnoteRef/>
      </w:r>
      <w:r w:rsidR="00D207D7" w:rsidRPr="00A726DF">
        <w:rPr>
          <w:sz w:val="24"/>
          <w:lang w:val="fi-FI"/>
        </w:rPr>
        <w:t xml:space="preserve"> </w:t>
      </w:r>
      <w:r w:rsidR="00D207D7" w:rsidRPr="00A726DF">
        <w:rPr>
          <w:sz w:val="24"/>
          <w:lang w:val="fi-FI"/>
        </w:rPr>
        <w:tab/>
      </w:r>
      <w:r w:rsidRPr="00A726DF">
        <w:rPr>
          <w:sz w:val="24"/>
          <w:lang w:val="fi-FI"/>
        </w:rPr>
        <w:t xml:space="preserve">EUT C, C/2025/5409, 8.10.2025, ELI: </w:t>
      </w:r>
      <w:hyperlink r:id="rId3" w:history="1">
        <w:r w:rsidRPr="00A726DF">
          <w:rPr>
            <w:rStyle w:val="Hyperlink"/>
            <w:sz w:val="24"/>
            <w:lang w:val="fi-FI"/>
          </w:rPr>
          <w:t>http://data.europa.eu/eli/C/2025/5409/oj</w:t>
        </w:r>
      </w:hyperlink>
      <w:r w:rsidRPr="00A726DF">
        <w:rPr>
          <w:rStyle w:val="Hyperlink"/>
          <w:sz w:val="24"/>
          <w:lang w:val="fi-FI"/>
        </w:rPr>
        <w:t>.</w:t>
      </w:r>
    </w:p>
  </w:footnote>
  <w:footnote w:id="4">
    <w:p w14:paraId="4505B618" w14:textId="5BA6914B" w:rsidR="0062447A" w:rsidRPr="00A726DF" w:rsidRDefault="0062447A" w:rsidP="00D207D7">
      <w:pPr>
        <w:pStyle w:val="FootnoteText"/>
        <w:ind w:left="567" w:hanging="567"/>
        <w:rPr>
          <w:sz w:val="24"/>
          <w:lang w:val="fi-FI"/>
        </w:rPr>
      </w:pPr>
      <w:r w:rsidRPr="00D207D7">
        <w:rPr>
          <w:rStyle w:val="FootnoteReference"/>
          <w:sz w:val="24"/>
          <w:lang w:val="sv-SE"/>
        </w:rPr>
        <w:footnoteRef/>
      </w:r>
      <w:r w:rsidR="00D207D7" w:rsidRPr="00A726DF">
        <w:rPr>
          <w:sz w:val="24"/>
          <w:lang w:val="fi-FI"/>
        </w:rPr>
        <w:t xml:space="preserve"> </w:t>
      </w:r>
      <w:r w:rsidR="00D207D7" w:rsidRPr="00A726DF">
        <w:rPr>
          <w:sz w:val="24"/>
          <w:lang w:val="fi-FI"/>
        </w:rPr>
        <w:tab/>
      </w:r>
      <w:r w:rsidRPr="00A726DF">
        <w:rPr>
          <w:sz w:val="24"/>
          <w:lang w:val="fi-FI"/>
        </w:rPr>
        <w:t xml:space="preserve">EUT C, C/2025/5407, 13.10.2025, ELI: </w:t>
      </w:r>
      <w:hyperlink r:id="rId4" w:history="1">
        <w:r w:rsidRPr="00A726DF">
          <w:rPr>
            <w:rStyle w:val="Hyperlink"/>
            <w:sz w:val="24"/>
            <w:lang w:val="fi-FI"/>
          </w:rPr>
          <w:t>http://data.europa.eu/eli/C/2025/5407/oj</w:t>
        </w:r>
      </w:hyperlink>
      <w:r w:rsidRPr="00A726DF">
        <w:rPr>
          <w:rStyle w:val="Hyperlink"/>
          <w:sz w:val="24"/>
          <w:lang w:val="fi-FI"/>
        </w:rPr>
        <w:t>.</w:t>
      </w:r>
    </w:p>
  </w:footnote>
  <w:footnote w:id="5">
    <w:p w14:paraId="07279D26" w14:textId="2376F885" w:rsidR="0062447A" w:rsidRPr="00A726DF" w:rsidRDefault="0062447A" w:rsidP="00D207D7">
      <w:pPr>
        <w:pStyle w:val="FootnoteText"/>
        <w:ind w:left="567" w:hanging="567"/>
        <w:rPr>
          <w:sz w:val="24"/>
          <w:lang w:val="fi-FI"/>
        </w:rPr>
      </w:pPr>
      <w:r w:rsidRPr="00D207D7">
        <w:rPr>
          <w:rStyle w:val="FootnoteReference"/>
          <w:sz w:val="24"/>
          <w:lang w:val="sv-SE"/>
        </w:rPr>
        <w:footnoteRef/>
      </w:r>
      <w:r w:rsidR="00D207D7" w:rsidRPr="00A726DF">
        <w:rPr>
          <w:sz w:val="24"/>
          <w:lang w:val="fi-FI"/>
        </w:rPr>
        <w:t xml:space="preserve"> </w:t>
      </w:r>
      <w:r w:rsidR="00D207D7" w:rsidRPr="00A726DF">
        <w:rPr>
          <w:sz w:val="24"/>
          <w:lang w:val="fi-FI"/>
        </w:rPr>
        <w:tab/>
      </w:r>
      <w:r w:rsidRPr="00A726DF">
        <w:rPr>
          <w:sz w:val="24"/>
          <w:lang w:val="fi-FI"/>
        </w:rPr>
        <w:t xml:space="preserve">EUT L 193, 30.7.2018, s. 1, ELI: </w:t>
      </w:r>
      <w:hyperlink r:id="rId5" w:history="1">
        <w:r w:rsidRPr="00A726DF">
          <w:rPr>
            <w:rStyle w:val="Hyperlink"/>
            <w:sz w:val="24"/>
            <w:lang w:val="fi-FI"/>
          </w:rPr>
          <w:t>http://data.europa.eu/eli/reg/2018/1046/oj</w:t>
        </w:r>
      </w:hyperlink>
      <w:r w:rsidRPr="00A726DF">
        <w:rPr>
          <w:sz w:val="24"/>
          <w:lang w:val="fi-FI"/>
        </w:rPr>
        <w:t>.</w:t>
      </w:r>
    </w:p>
  </w:footnote>
  <w:footnote w:id="6">
    <w:p w14:paraId="15C479E6" w14:textId="0757A549" w:rsidR="0062447A" w:rsidRPr="00A726DF" w:rsidRDefault="0062447A" w:rsidP="00D207D7">
      <w:pPr>
        <w:pStyle w:val="FootnoteText"/>
        <w:ind w:left="567" w:hanging="567"/>
        <w:rPr>
          <w:sz w:val="24"/>
          <w:lang w:val="fi-FI"/>
        </w:rPr>
      </w:pPr>
      <w:r w:rsidRPr="00D207D7">
        <w:rPr>
          <w:rStyle w:val="FootnoteReference"/>
          <w:sz w:val="24"/>
          <w:lang w:val="sv-SE"/>
        </w:rPr>
        <w:footnoteRef/>
      </w:r>
      <w:r w:rsidR="00D207D7" w:rsidRPr="00A726DF">
        <w:rPr>
          <w:sz w:val="24"/>
          <w:lang w:val="fi-FI"/>
        </w:rPr>
        <w:t xml:space="preserve"> </w:t>
      </w:r>
      <w:r w:rsidR="00D207D7" w:rsidRPr="00A726DF">
        <w:rPr>
          <w:sz w:val="24"/>
          <w:lang w:val="fi-FI"/>
        </w:rPr>
        <w:tab/>
      </w:r>
      <w:r w:rsidRPr="00A726DF">
        <w:rPr>
          <w:sz w:val="24"/>
          <w:lang w:val="fi-FI"/>
        </w:rPr>
        <w:t xml:space="preserve">EUT L, 2024/2509, 26.9.2024, ELI: </w:t>
      </w:r>
      <w:hyperlink r:id="rId6" w:history="1">
        <w:r w:rsidRPr="00A726DF">
          <w:rPr>
            <w:rStyle w:val="Hyperlink"/>
            <w:sz w:val="24"/>
            <w:lang w:val="fi-FI"/>
          </w:rPr>
          <w:t>http://data.europa.eu/eli/reg/2024/2509/oj</w:t>
        </w:r>
      </w:hyperlink>
      <w:r w:rsidRPr="00A726DF">
        <w:rPr>
          <w:sz w:val="24"/>
          <w:lang w:val="fi-FI"/>
        </w:rPr>
        <w:t>.</w:t>
      </w:r>
    </w:p>
  </w:footnote>
  <w:footnote w:id="7">
    <w:p w14:paraId="2D851DC9" w14:textId="0B79CB56" w:rsidR="0062447A" w:rsidRPr="00A726DF" w:rsidRDefault="0062447A" w:rsidP="00D207D7">
      <w:pPr>
        <w:pStyle w:val="FootnoteText"/>
        <w:ind w:left="567" w:hanging="567"/>
        <w:rPr>
          <w:sz w:val="24"/>
          <w:lang w:val="fr-BE"/>
        </w:rPr>
      </w:pPr>
      <w:r w:rsidRPr="00D207D7">
        <w:rPr>
          <w:rStyle w:val="FootnoteReference"/>
          <w:sz w:val="24"/>
          <w:lang w:val="sv-SE"/>
        </w:rPr>
        <w:footnoteRef/>
      </w:r>
      <w:r w:rsidR="00D207D7" w:rsidRPr="00A726DF">
        <w:rPr>
          <w:sz w:val="24"/>
          <w:lang w:val="fr-BE"/>
        </w:rPr>
        <w:t xml:space="preserve"> </w:t>
      </w:r>
      <w:r w:rsidR="00D207D7" w:rsidRPr="00A726DF">
        <w:rPr>
          <w:sz w:val="24"/>
          <w:lang w:val="fr-BE"/>
        </w:rPr>
        <w:tab/>
      </w:r>
      <w:r w:rsidRPr="00A726DF">
        <w:rPr>
          <w:sz w:val="24"/>
          <w:lang w:val="fr-BE"/>
        </w:rPr>
        <w:t>EUT L 253, 16.7.2021, s. 1, ELI: </w:t>
      </w:r>
      <w:hyperlink r:id="rId7" w:tooltip="Ger tillgång till detta dokument via dess ELI URI." w:history="1">
        <w:r w:rsidRPr="00A726DF">
          <w:rPr>
            <w:rStyle w:val="Hyperlink"/>
            <w:sz w:val="24"/>
            <w:lang w:val="fr-BE"/>
          </w:rPr>
          <w:t>http://data.europa.eu/eli/reg/2021/1163/oj</w:t>
        </w:r>
      </w:hyperlink>
      <w:r w:rsidRPr="00A726DF">
        <w:rPr>
          <w:sz w:val="24"/>
          <w:lang w:val="fr-BE"/>
        </w:rPr>
        <w:t>.</w:t>
      </w:r>
    </w:p>
  </w:footnote>
  <w:footnote w:id="8">
    <w:p w14:paraId="66D46875" w14:textId="128312FA" w:rsidR="0062447A" w:rsidRPr="00A726DF" w:rsidRDefault="0062447A" w:rsidP="00D207D7">
      <w:pPr>
        <w:pStyle w:val="FootnoteText"/>
        <w:ind w:left="567" w:hanging="567"/>
        <w:rPr>
          <w:sz w:val="24"/>
          <w:lang w:val="fr-BE"/>
        </w:rPr>
      </w:pPr>
      <w:r w:rsidRPr="00D207D7">
        <w:rPr>
          <w:rStyle w:val="FootnoteReference"/>
          <w:sz w:val="24"/>
          <w:lang w:val="sv-SE"/>
        </w:rPr>
        <w:footnoteRef/>
      </w:r>
      <w:r w:rsidR="00D207D7" w:rsidRPr="00A726DF">
        <w:rPr>
          <w:color w:val="333333"/>
          <w:sz w:val="24"/>
          <w:shd w:val="clear" w:color="auto" w:fill="FFFFFF"/>
          <w:lang w:val="fr-BE"/>
        </w:rPr>
        <w:t xml:space="preserve"> </w:t>
      </w:r>
      <w:r w:rsidR="00D207D7" w:rsidRPr="00A726DF">
        <w:rPr>
          <w:color w:val="333333"/>
          <w:sz w:val="24"/>
          <w:shd w:val="clear" w:color="auto" w:fill="FFFFFF"/>
          <w:lang w:val="fr-BE"/>
        </w:rPr>
        <w:tab/>
      </w:r>
      <w:r w:rsidRPr="00A726DF">
        <w:rPr>
          <w:color w:val="333333"/>
          <w:sz w:val="24"/>
          <w:shd w:val="clear" w:color="auto" w:fill="FFFFFF"/>
          <w:lang w:val="fr-BE"/>
        </w:rPr>
        <w:t>EUT C, C/2023/161, 10.10.2023, ELI: </w:t>
      </w:r>
      <w:hyperlink r:id="rId8" w:tgtFrame="_blank" w:tooltip="Ger tillgång till detta dokument via dess ELI URI." w:history="1">
        <w:r w:rsidRPr="00A726DF">
          <w:rPr>
            <w:rStyle w:val="Hyperlink"/>
            <w:color w:val="23527C"/>
            <w:sz w:val="24"/>
            <w:lang w:val="fr-BE"/>
          </w:rPr>
          <w:t>http://data.europa.eu/eli/C/2023/161/oj</w:t>
        </w:r>
      </w:hyperlink>
      <w:r w:rsidRPr="00A726DF">
        <w:rPr>
          <w:color w:val="23527C"/>
          <w:sz w:val="24"/>
          <w:lang w:val="fr-BE"/>
        </w:rPr>
        <w:t>.</w:t>
      </w:r>
    </w:p>
  </w:footnote>
  <w:footnote w:id="9">
    <w:p w14:paraId="7DB8326F" w14:textId="0D9DED7D" w:rsidR="0062447A" w:rsidRPr="00E6789B" w:rsidRDefault="0062447A" w:rsidP="00D207D7">
      <w:pPr>
        <w:pStyle w:val="FootnoteText"/>
        <w:ind w:left="567" w:hanging="567"/>
        <w:rPr>
          <w:sz w:val="24"/>
          <w:lang w:val="sv-SE"/>
        </w:rPr>
      </w:pPr>
      <w:r w:rsidRPr="00D207D7">
        <w:rPr>
          <w:rStyle w:val="FootnoteReference"/>
          <w:sz w:val="24"/>
          <w:lang w:val="sv-SE"/>
        </w:rPr>
        <w:footnoteRef/>
      </w:r>
      <w:r w:rsidR="00D207D7" w:rsidRPr="00E6789B">
        <w:rPr>
          <w:sz w:val="24"/>
          <w:lang w:val="sv-SE"/>
        </w:rPr>
        <w:t xml:space="preserve"> </w:t>
      </w:r>
      <w:r w:rsidR="00D207D7" w:rsidRPr="00E6789B">
        <w:rPr>
          <w:sz w:val="24"/>
          <w:lang w:val="sv-SE"/>
        </w:rPr>
        <w:tab/>
      </w:r>
      <w:hyperlink r:id="rId9" w:history="1">
        <w:r w:rsidR="00E6789B" w:rsidRPr="00E6789B">
          <w:rPr>
            <w:rStyle w:val="Hyperlink"/>
            <w:sz w:val="24"/>
            <w:lang w:val="sv-SE"/>
          </w:rPr>
          <w:t>https://www.ombudsman.europa.eu/en/doc/declarations-and-transparency/en/196382</w:t>
        </w:r>
      </w:hyperlink>
      <w:r w:rsidRPr="00E6789B">
        <w:rPr>
          <w:sz w:val="24"/>
          <w:lang w:val="sv-SE"/>
        </w:rPr>
        <w:t xml:space="preserve"> och </w:t>
      </w:r>
      <w:hyperlink r:id="rId10" w:history="1">
        <w:r w:rsidRPr="00E6789B">
          <w:rPr>
            <w:rStyle w:val="Hyperlink"/>
            <w:sz w:val="24"/>
            <w:lang w:val="sv-SE"/>
          </w:rPr>
          <w:t>https://www.ombudsman.europa.eu/en/doc/declarations-and-transparency/en/198831</w:t>
        </w:r>
      </w:hyperlink>
      <w:r w:rsidRPr="00E6789B">
        <w:rPr>
          <w:sz w:val="24"/>
          <w:lang w:val="sv-SE"/>
        </w:rPr>
        <w:t>.</w:t>
      </w:r>
    </w:p>
  </w:footnote>
  <w:footnote w:id="10">
    <w:p w14:paraId="1E73B5AD" w14:textId="0A3B873F" w:rsidR="0062447A" w:rsidRPr="00D207D7" w:rsidRDefault="0062447A" w:rsidP="00D207D7">
      <w:pPr>
        <w:pStyle w:val="FootnoteText"/>
        <w:ind w:left="567" w:hanging="567"/>
        <w:rPr>
          <w:sz w:val="24"/>
          <w:lang w:val="sv-SE"/>
        </w:rPr>
      </w:pPr>
      <w:r w:rsidRPr="00D207D7">
        <w:rPr>
          <w:rStyle w:val="FootnoteReference"/>
          <w:sz w:val="24"/>
          <w:lang w:val="sv-SE"/>
        </w:rPr>
        <w:footnoteRef/>
      </w:r>
      <w:r w:rsidR="00D207D7" w:rsidRPr="00D207D7">
        <w:rPr>
          <w:sz w:val="24"/>
          <w:lang w:val="sv-SE"/>
        </w:rPr>
        <w:t xml:space="preserve"> </w:t>
      </w:r>
      <w:r w:rsidR="00D207D7" w:rsidRPr="00D207D7">
        <w:rPr>
          <w:sz w:val="24"/>
          <w:lang w:val="sv-SE"/>
        </w:rPr>
        <w:tab/>
      </w:r>
      <w:r w:rsidRPr="00D207D7">
        <w:rPr>
          <w:sz w:val="24"/>
          <w:lang w:val="sv-SE"/>
        </w:rPr>
        <w:t>Europaparlamentets och rådets förordning (EG) nr 1049/2001 av den 30 maj 2001 om allmänhetens tillgång till Europaparlamentets, rådets och kommissionens handlingar (EGT L 145, 31.5.2001, s. 43, ELI: </w:t>
      </w:r>
      <w:hyperlink r:id="rId11" w:tooltip="Ger tillgång till detta dokument via dess ELI URI." w:history="1">
        <w:r w:rsidRPr="00D207D7">
          <w:rPr>
            <w:rStyle w:val="Hyperlink"/>
            <w:sz w:val="24"/>
            <w:lang w:val="sv-SE"/>
          </w:rPr>
          <w:t>http://data.europa.eu/</w:t>
        </w:r>
        <w:proofErr w:type="spellStart"/>
        <w:r w:rsidRPr="00D207D7">
          <w:rPr>
            <w:rStyle w:val="Hyperlink"/>
            <w:sz w:val="24"/>
            <w:lang w:val="sv-SE"/>
          </w:rPr>
          <w:t>eli</w:t>
        </w:r>
        <w:proofErr w:type="spellEnd"/>
        <w:r w:rsidRPr="00D207D7">
          <w:rPr>
            <w:rStyle w:val="Hyperlink"/>
            <w:sz w:val="24"/>
            <w:lang w:val="sv-SE"/>
          </w:rPr>
          <w:t>/</w:t>
        </w:r>
        <w:proofErr w:type="spellStart"/>
        <w:r w:rsidRPr="00D207D7">
          <w:rPr>
            <w:rStyle w:val="Hyperlink"/>
            <w:sz w:val="24"/>
            <w:lang w:val="sv-SE"/>
          </w:rPr>
          <w:t>reg</w:t>
        </w:r>
        <w:proofErr w:type="spellEnd"/>
        <w:r w:rsidRPr="00D207D7">
          <w:rPr>
            <w:rStyle w:val="Hyperlink"/>
            <w:sz w:val="24"/>
            <w:lang w:val="sv-SE"/>
          </w:rPr>
          <w:t>/2001/1049/oj</w:t>
        </w:r>
      </w:hyperlink>
      <w:r w:rsidRPr="00D207D7">
        <w:rPr>
          <w:sz w:val="24"/>
          <w:lang w:val="sv-SE"/>
        </w:rPr>
        <w:t>).</w:t>
      </w:r>
    </w:p>
  </w:footnote>
  <w:footnote w:id="11">
    <w:p w14:paraId="580D704F" w14:textId="6FDA2658" w:rsidR="0062447A" w:rsidRPr="00AE0573" w:rsidRDefault="0062447A" w:rsidP="00D207D7">
      <w:pPr>
        <w:pStyle w:val="FootnoteText"/>
        <w:ind w:left="567" w:hanging="567"/>
        <w:rPr>
          <w:sz w:val="24"/>
          <w:szCs w:val="24"/>
          <w:lang w:val="fi-FI"/>
        </w:rPr>
      </w:pPr>
      <w:r w:rsidRPr="00B95BF6">
        <w:rPr>
          <w:rStyle w:val="FootnoteReference"/>
          <w:sz w:val="24"/>
          <w:szCs w:val="24"/>
          <w:lang w:val="sv-SE"/>
        </w:rPr>
        <w:footnoteRef/>
      </w:r>
      <w:r w:rsidR="00D207D7" w:rsidRPr="00AE0573">
        <w:rPr>
          <w:sz w:val="24"/>
          <w:szCs w:val="24"/>
          <w:lang w:val="fi-FI"/>
        </w:rPr>
        <w:t xml:space="preserve"> </w:t>
      </w:r>
      <w:r w:rsidR="00D207D7" w:rsidRPr="00AE0573">
        <w:rPr>
          <w:sz w:val="24"/>
          <w:szCs w:val="24"/>
          <w:lang w:val="fi-FI"/>
        </w:rPr>
        <w:tab/>
      </w:r>
      <w:r w:rsidR="00B95BF6">
        <w:rPr>
          <w:sz w:val="24"/>
          <w:szCs w:val="24"/>
          <w:lang w:val="fi-FI"/>
        </w:rPr>
        <w:t>EUT</w:t>
      </w:r>
      <w:r w:rsidR="00B95BF6" w:rsidRPr="00AE0573">
        <w:rPr>
          <w:sz w:val="24"/>
          <w:szCs w:val="24"/>
          <w:lang w:val="fi-FI"/>
        </w:rPr>
        <w:t xml:space="preserve"> C, C/2024/4014, 17.7.2024, ELI: </w:t>
      </w:r>
      <w:hyperlink r:id="rId12" w:history="1">
        <w:r w:rsidR="00B95BF6" w:rsidRPr="00AE0573">
          <w:rPr>
            <w:rStyle w:val="Hyperlink"/>
            <w:sz w:val="24"/>
            <w:szCs w:val="24"/>
            <w:lang w:val="fi-FI"/>
          </w:rPr>
          <w:t>http://data.europa.eu/eli/C/2024/4014/oj</w:t>
        </w:r>
      </w:hyperlink>
      <w:r w:rsidR="00B95BF6">
        <w:rPr>
          <w:sz w:val="24"/>
          <w:szCs w:val="24"/>
          <w:lang w:val="fi-FI"/>
        </w:rPr>
        <w:t>.</w:t>
      </w:r>
    </w:p>
  </w:footnote>
  <w:footnote w:id="12">
    <w:p w14:paraId="169A64F6" w14:textId="52E9231C" w:rsidR="0062447A" w:rsidRPr="00D207D7" w:rsidRDefault="0062447A" w:rsidP="00D207D7">
      <w:pPr>
        <w:pStyle w:val="FootnoteText"/>
        <w:ind w:left="567" w:hanging="567"/>
        <w:rPr>
          <w:sz w:val="24"/>
          <w:lang w:val="sv-SE"/>
        </w:rPr>
      </w:pPr>
      <w:r w:rsidRPr="00D207D7">
        <w:rPr>
          <w:rStyle w:val="FootnoteReference"/>
          <w:sz w:val="24"/>
          <w:lang w:val="sv-SE"/>
        </w:rPr>
        <w:footnoteRef/>
      </w:r>
      <w:r w:rsidR="00D207D7" w:rsidRPr="00D207D7">
        <w:rPr>
          <w:sz w:val="24"/>
          <w:lang w:val="sv-SE"/>
        </w:rPr>
        <w:t xml:space="preserve"> </w:t>
      </w:r>
      <w:r w:rsidR="00D207D7" w:rsidRPr="00D207D7">
        <w:rPr>
          <w:sz w:val="24"/>
          <w:lang w:val="sv-SE"/>
        </w:rPr>
        <w:tab/>
      </w:r>
      <w:r w:rsidRPr="00D207D7">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3" w:history="1">
        <w:r w:rsidRPr="00D207D7">
          <w:rPr>
            <w:rStyle w:val="Hyperlink"/>
            <w:sz w:val="24"/>
            <w:lang w:val="sv-SE"/>
          </w:rPr>
          <w:t>https://eur-lex.europa.eu/eli/reg/2024/1689/oj</w:t>
        </w:r>
      </w:hyperlink>
      <w:r w:rsidRPr="00D207D7">
        <w:rPr>
          <w:sz w:val="24"/>
          <w:lang w:val="sv-SE"/>
        </w:rPr>
        <w:t>).</w:t>
      </w:r>
    </w:p>
  </w:footnote>
  <w:footnote w:id="13">
    <w:p w14:paraId="3C1FF82D" w14:textId="4C32240A" w:rsidR="0062447A" w:rsidRPr="00D207D7" w:rsidRDefault="0062447A" w:rsidP="00D207D7">
      <w:pPr>
        <w:pStyle w:val="FootnoteText"/>
        <w:ind w:left="567" w:hanging="567"/>
        <w:rPr>
          <w:sz w:val="24"/>
          <w:lang w:val="sv-SE"/>
        </w:rPr>
      </w:pPr>
      <w:r w:rsidRPr="00D207D7">
        <w:rPr>
          <w:rStyle w:val="FootnoteReference"/>
          <w:sz w:val="24"/>
          <w:lang w:val="sv-SE"/>
        </w:rPr>
        <w:footnoteRef/>
      </w:r>
      <w:r w:rsidR="00D207D7" w:rsidRPr="00D207D7">
        <w:rPr>
          <w:sz w:val="24"/>
          <w:lang w:val="sv-SE"/>
        </w:rPr>
        <w:t xml:space="preserve"> </w:t>
      </w:r>
      <w:r w:rsidR="00D207D7" w:rsidRPr="00D207D7">
        <w:rPr>
          <w:sz w:val="24"/>
          <w:lang w:val="sv-SE"/>
        </w:rPr>
        <w:tab/>
      </w:r>
      <w:r w:rsidRPr="00D207D7">
        <w:rPr>
          <w:sz w:val="24"/>
          <w:lang w:val="sv-SE"/>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w:t>
      </w:r>
      <w:hyperlink r:id="rId14" w:tooltip="Ger tillgång till detta dokument via dess ELI URI." w:history="1">
        <w:r w:rsidRPr="00D207D7">
          <w:rPr>
            <w:rStyle w:val="Hyperlink"/>
            <w:sz w:val="24"/>
            <w:lang w:val="sv-SE"/>
          </w:rPr>
          <w:t>http://data.europa.eu/</w:t>
        </w:r>
        <w:proofErr w:type="spellStart"/>
        <w:r w:rsidRPr="00D207D7">
          <w:rPr>
            <w:rStyle w:val="Hyperlink"/>
            <w:sz w:val="24"/>
            <w:lang w:val="sv-SE"/>
          </w:rPr>
          <w:t>eli</w:t>
        </w:r>
        <w:proofErr w:type="spellEnd"/>
        <w:r w:rsidRPr="00D207D7">
          <w:rPr>
            <w:rStyle w:val="Hyperlink"/>
            <w:sz w:val="24"/>
            <w:lang w:val="sv-SE"/>
          </w:rPr>
          <w:t>/</w:t>
        </w:r>
        <w:proofErr w:type="spellStart"/>
        <w:r w:rsidRPr="00D207D7">
          <w:rPr>
            <w:rStyle w:val="Hyperlink"/>
            <w:sz w:val="24"/>
            <w:lang w:val="sv-SE"/>
          </w:rPr>
          <w:t>reg</w:t>
        </w:r>
        <w:proofErr w:type="spellEnd"/>
        <w:r w:rsidRPr="00D207D7">
          <w:rPr>
            <w:rStyle w:val="Hyperlink"/>
            <w:sz w:val="24"/>
            <w:lang w:val="sv-SE"/>
          </w:rPr>
          <w:t>/2018/1725/oj</w:t>
        </w:r>
      </w:hyperlink>
      <w:r w:rsidRPr="00D207D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A2C7" w14:textId="77777777" w:rsidR="0062447A" w:rsidRPr="00D207D7" w:rsidRDefault="0062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4821" w14:textId="77777777" w:rsidR="0062447A" w:rsidRPr="00D207D7" w:rsidRDefault="00624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D19C7" w14:textId="77777777" w:rsidR="0062447A" w:rsidRPr="00D207D7" w:rsidRDefault="006244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6900" w14:textId="77777777" w:rsidR="00064002" w:rsidRPr="00D207D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D04C" w14:textId="77777777" w:rsidR="00064002" w:rsidRPr="00D207D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BA5A" w14:textId="77777777" w:rsidR="00064002" w:rsidRPr="00D207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7211469">
    <w:abstractNumId w:val="9"/>
  </w:num>
  <w:num w:numId="2" w16cid:durableId="959610545">
    <w:abstractNumId w:val="9"/>
  </w:num>
  <w:num w:numId="3" w16cid:durableId="460920505">
    <w:abstractNumId w:val="7"/>
  </w:num>
  <w:num w:numId="4" w16cid:durableId="1828206945">
    <w:abstractNumId w:val="7"/>
  </w:num>
  <w:num w:numId="5" w16cid:durableId="80564099">
    <w:abstractNumId w:val="6"/>
  </w:num>
  <w:num w:numId="6" w16cid:durableId="1347364673">
    <w:abstractNumId w:val="6"/>
  </w:num>
  <w:num w:numId="7" w16cid:durableId="1944993481">
    <w:abstractNumId w:val="5"/>
  </w:num>
  <w:num w:numId="8" w16cid:durableId="127554989">
    <w:abstractNumId w:val="5"/>
  </w:num>
  <w:num w:numId="9" w16cid:durableId="1704281432">
    <w:abstractNumId w:val="4"/>
  </w:num>
  <w:num w:numId="10" w16cid:durableId="669410727">
    <w:abstractNumId w:val="4"/>
  </w:num>
  <w:num w:numId="11" w16cid:durableId="55010699">
    <w:abstractNumId w:val="8"/>
  </w:num>
  <w:num w:numId="12" w16cid:durableId="57292369">
    <w:abstractNumId w:val="8"/>
  </w:num>
  <w:num w:numId="13" w16cid:durableId="717707779">
    <w:abstractNumId w:val="3"/>
  </w:num>
  <w:num w:numId="14" w16cid:durableId="2039550900">
    <w:abstractNumId w:val="3"/>
  </w:num>
  <w:num w:numId="15" w16cid:durableId="1604729774">
    <w:abstractNumId w:val="2"/>
  </w:num>
  <w:num w:numId="16" w16cid:durableId="666830099">
    <w:abstractNumId w:val="2"/>
  </w:num>
  <w:num w:numId="17" w16cid:durableId="477770422">
    <w:abstractNumId w:val="1"/>
  </w:num>
  <w:num w:numId="18" w16cid:durableId="1676297679">
    <w:abstractNumId w:val="1"/>
  </w:num>
  <w:num w:numId="19" w16cid:durableId="248659263">
    <w:abstractNumId w:val="0"/>
  </w:num>
  <w:num w:numId="20" w16cid:durableId="381098300">
    <w:abstractNumId w:val="0"/>
  </w:num>
  <w:num w:numId="21" w16cid:durableId="1721126026">
    <w:abstractNumId w:val="9"/>
  </w:num>
  <w:num w:numId="22" w16cid:durableId="1344429065">
    <w:abstractNumId w:val="7"/>
  </w:num>
  <w:num w:numId="23" w16cid:durableId="1396196072">
    <w:abstractNumId w:val="6"/>
  </w:num>
  <w:num w:numId="24" w16cid:durableId="747272368">
    <w:abstractNumId w:val="5"/>
  </w:num>
  <w:num w:numId="25" w16cid:durableId="1200512647">
    <w:abstractNumId w:val="4"/>
  </w:num>
  <w:num w:numId="26" w16cid:durableId="1431509104">
    <w:abstractNumId w:val="8"/>
  </w:num>
  <w:num w:numId="27" w16cid:durableId="176429519">
    <w:abstractNumId w:val="3"/>
  </w:num>
  <w:num w:numId="28" w16cid:durableId="1941334830">
    <w:abstractNumId w:val="2"/>
  </w:num>
  <w:num w:numId="29" w16cid:durableId="408963804">
    <w:abstractNumId w:val="1"/>
  </w:num>
  <w:num w:numId="30" w16cid:durableId="1657369611">
    <w:abstractNumId w:val="0"/>
  </w:num>
  <w:num w:numId="31" w16cid:durableId="1054697205">
    <w:abstractNumId w:val="9"/>
  </w:num>
  <w:num w:numId="32" w16cid:durableId="1129131237">
    <w:abstractNumId w:val="7"/>
  </w:num>
  <w:num w:numId="33" w16cid:durableId="762458014">
    <w:abstractNumId w:val="6"/>
  </w:num>
  <w:num w:numId="34" w16cid:durableId="622007213">
    <w:abstractNumId w:val="5"/>
  </w:num>
  <w:num w:numId="35" w16cid:durableId="1631328285">
    <w:abstractNumId w:val="4"/>
  </w:num>
  <w:num w:numId="36" w16cid:durableId="573395004">
    <w:abstractNumId w:val="8"/>
  </w:num>
  <w:num w:numId="37" w16cid:durableId="1223060102">
    <w:abstractNumId w:val="3"/>
  </w:num>
  <w:num w:numId="38" w16cid:durableId="244851442">
    <w:abstractNumId w:val="2"/>
  </w:num>
  <w:num w:numId="39" w16cid:durableId="197281535">
    <w:abstractNumId w:val="1"/>
  </w:num>
  <w:num w:numId="40" w16cid:durableId="1820220432">
    <w:abstractNumId w:val="0"/>
  </w:num>
  <w:num w:numId="41" w16cid:durableId="181359933">
    <w:abstractNumId w:val="10"/>
  </w:num>
  <w:num w:numId="42" w16cid:durableId="1547790529">
    <w:abstractNumId w:val="10"/>
  </w:num>
  <w:num w:numId="43" w16cid:durableId="1670984339">
    <w:abstractNumId w:val="10"/>
  </w:num>
  <w:num w:numId="44" w16cid:durableId="906767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SV"/>
    <w:docVar w:name="dvnumam" w:val="0"/>
    <w:docVar w:name="dvpe" w:val="778.065"/>
    <w:docVar w:name="dvrapporteur" w:val="Föredragande: "/>
    <w:docVar w:name="dvtitre" w:val="Europaparlamentets beslut av den xx xx 2026 om ansvarsfrihet för genomförandet av Europeiska unionens allmänna budget för budgetåret 2024, avsnitt VIII – Europeiska ombudsmannen(2025/2153(DEC))"/>
  </w:docVars>
  <w:rsids>
    <w:rsidRoot w:val="0090662D"/>
    <w:rsid w:val="00002272"/>
    <w:rsid w:val="00064002"/>
    <w:rsid w:val="000677B9"/>
    <w:rsid w:val="000831BA"/>
    <w:rsid w:val="000A42CC"/>
    <w:rsid w:val="000E7DD9"/>
    <w:rsid w:val="0010095E"/>
    <w:rsid w:val="00125B37"/>
    <w:rsid w:val="00187494"/>
    <w:rsid w:val="001F32AE"/>
    <w:rsid w:val="00266853"/>
    <w:rsid w:val="002767FF"/>
    <w:rsid w:val="002B18FE"/>
    <w:rsid w:val="002B5493"/>
    <w:rsid w:val="00343214"/>
    <w:rsid w:val="00361C00"/>
    <w:rsid w:val="003906BD"/>
    <w:rsid w:val="00395FA1"/>
    <w:rsid w:val="003E15D4"/>
    <w:rsid w:val="003F7701"/>
    <w:rsid w:val="004002C0"/>
    <w:rsid w:val="00411CCE"/>
    <w:rsid w:val="0041666E"/>
    <w:rsid w:val="00421060"/>
    <w:rsid w:val="00471C19"/>
    <w:rsid w:val="004867E3"/>
    <w:rsid w:val="00494A28"/>
    <w:rsid w:val="004C0004"/>
    <w:rsid w:val="004C5D52"/>
    <w:rsid w:val="0050519A"/>
    <w:rsid w:val="005072A1"/>
    <w:rsid w:val="00514517"/>
    <w:rsid w:val="00545827"/>
    <w:rsid w:val="00545D6B"/>
    <w:rsid w:val="00560270"/>
    <w:rsid w:val="005926BC"/>
    <w:rsid w:val="005C2568"/>
    <w:rsid w:val="005F1B17"/>
    <w:rsid w:val="006037C0"/>
    <w:rsid w:val="0062447A"/>
    <w:rsid w:val="006631B6"/>
    <w:rsid w:val="00680577"/>
    <w:rsid w:val="006F74FA"/>
    <w:rsid w:val="00731ADD"/>
    <w:rsid w:val="00734777"/>
    <w:rsid w:val="00747932"/>
    <w:rsid w:val="00751A4A"/>
    <w:rsid w:val="00756632"/>
    <w:rsid w:val="00762C74"/>
    <w:rsid w:val="00786EC0"/>
    <w:rsid w:val="007D1690"/>
    <w:rsid w:val="007E22AD"/>
    <w:rsid w:val="007E4E70"/>
    <w:rsid w:val="00817416"/>
    <w:rsid w:val="00842779"/>
    <w:rsid w:val="00865F67"/>
    <w:rsid w:val="00881A7B"/>
    <w:rsid w:val="008840E5"/>
    <w:rsid w:val="00887B3E"/>
    <w:rsid w:val="008A5F3C"/>
    <w:rsid w:val="008C2AC6"/>
    <w:rsid w:val="0090662D"/>
    <w:rsid w:val="00930C23"/>
    <w:rsid w:val="0093193B"/>
    <w:rsid w:val="00941848"/>
    <w:rsid w:val="009509D8"/>
    <w:rsid w:val="00950B64"/>
    <w:rsid w:val="00981893"/>
    <w:rsid w:val="009D1E5F"/>
    <w:rsid w:val="00A1687D"/>
    <w:rsid w:val="00A43E52"/>
    <w:rsid w:val="00A4678D"/>
    <w:rsid w:val="00A726DF"/>
    <w:rsid w:val="00A778C7"/>
    <w:rsid w:val="00AB441E"/>
    <w:rsid w:val="00AB6293"/>
    <w:rsid w:val="00AE0573"/>
    <w:rsid w:val="00AE0928"/>
    <w:rsid w:val="00AF3B82"/>
    <w:rsid w:val="00B12E95"/>
    <w:rsid w:val="00B22876"/>
    <w:rsid w:val="00B558F0"/>
    <w:rsid w:val="00B6306E"/>
    <w:rsid w:val="00B95BF6"/>
    <w:rsid w:val="00BB21CD"/>
    <w:rsid w:val="00BD48FE"/>
    <w:rsid w:val="00BD7BD8"/>
    <w:rsid w:val="00BE6ADC"/>
    <w:rsid w:val="00C05BFE"/>
    <w:rsid w:val="00C155AF"/>
    <w:rsid w:val="00C23CD4"/>
    <w:rsid w:val="00C60547"/>
    <w:rsid w:val="00C61C0C"/>
    <w:rsid w:val="00C941CB"/>
    <w:rsid w:val="00CC2357"/>
    <w:rsid w:val="00CF071A"/>
    <w:rsid w:val="00D058B8"/>
    <w:rsid w:val="00D207D7"/>
    <w:rsid w:val="00D56C11"/>
    <w:rsid w:val="00D834A0"/>
    <w:rsid w:val="00D872DF"/>
    <w:rsid w:val="00D91E21"/>
    <w:rsid w:val="00DA7FCD"/>
    <w:rsid w:val="00E365E1"/>
    <w:rsid w:val="00E6789B"/>
    <w:rsid w:val="00E820A4"/>
    <w:rsid w:val="00EB006A"/>
    <w:rsid w:val="00EB4772"/>
    <w:rsid w:val="00ED169E"/>
    <w:rsid w:val="00ED4235"/>
    <w:rsid w:val="00F04346"/>
    <w:rsid w:val="00F075DC"/>
    <w:rsid w:val="00F149E9"/>
    <w:rsid w:val="00F5134D"/>
    <w:rsid w:val="00F55E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49282"/>
  <w15:chartTrackingRefBased/>
  <w15:docId w15:val="{5F5F9678-819D-4626-99EC-6894F467C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44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447A"/>
    <w:pPr>
      <w:spacing w:before="480" w:after="240"/>
    </w:pPr>
  </w:style>
  <w:style w:type="paragraph" w:customStyle="1" w:styleId="PageHeading">
    <w:name w:val="PageHeading"/>
    <w:basedOn w:val="Normal"/>
    <w:rsid w:val="0062447A"/>
    <w:pPr>
      <w:keepNext/>
      <w:spacing w:after="480"/>
      <w:jc w:val="center"/>
    </w:pPr>
    <w:rPr>
      <w:rFonts w:ascii="Arial" w:hAnsi="Arial" w:cs="Arial"/>
      <w:b/>
    </w:rPr>
  </w:style>
  <w:style w:type="paragraph" w:customStyle="1" w:styleId="NormalBold">
    <w:name w:val="NormalBold"/>
    <w:basedOn w:val="Normal"/>
    <w:rsid w:val="0062447A"/>
    <w:rPr>
      <w:b/>
    </w:rPr>
  </w:style>
  <w:style w:type="paragraph" w:customStyle="1" w:styleId="NormalHanging12a">
    <w:name w:val="NormalHanging12a"/>
    <w:basedOn w:val="Normal"/>
    <w:link w:val="NormalHanging12aChar"/>
    <w:qFormat/>
    <w:rsid w:val="0062447A"/>
    <w:pPr>
      <w:spacing w:after="240"/>
      <w:ind w:left="567" w:hanging="567"/>
    </w:pPr>
  </w:style>
  <w:style w:type="paragraph" w:styleId="Header">
    <w:name w:val="header"/>
    <w:basedOn w:val="Normal"/>
    <w:link w:val="HeaderChar"/>
    <w:rsid w:val="0062447A"/>
    <w:pPr>
      <w:tabs>
        <w:tab w:val="center" w:pos="4513"/>
        <w:tab w:val="right" w:pos="9026"/>
      </w:tabs>
    </w:pPr>
  </w:style>
  <w:style w:type="character" w:customStyle="1" w:styleId="HeaderChar">
    <w:name w:val="Header Char"/>
    <w:basedOn w:val="DefaultParagraphFont"/>
    <w:link w:val="Header"/>
    <w:rsid w:val="0062447A"/>
    <w:rPr>
      <w:sz w:val="24"/>
      <w:lang w:val="sv-SE"/>
    </w:rPr>
  </w:style>
  <w:style w:type="paragraph" w:customStyle="1" w:styleId="EPFooter">
    <w:name w:val="EPFooter"/>
    <w:basedOn w:val="Normal"/>
    <w:rsid w:val="0062447A"/>
    <w:pPr>
      <w:tabs>
        <w:tab w:val="center" w:pos="4535"/>
        <w:tab w:val="right" w:pos="9071"/>
      </w:tabs>
      <w:spacing w:before="240" w:after="240"/>
    </w:pPr>
    <w:rPr>
      <w:color w:val="010000"/>
      <w:sz w:val="22"/>
    </w:rPr>
  </w:style>
  <w:style w:type="character" w:styleId="Hyperlink">
    <w:name w:val="Hyperlink"/>
    <w:basedOn w:val="DefaultParagraphFont"/>
    <w:uiPriority w:val="99"/>
    <w:rsid w:val="0062447A"/>
    <w:rPr>
      <w:color w:val="0563C1" w:themeColor="hyperlink"/>
      <w:u w:val="single"/>
    </w:rPr>
  </w:style>
  <w:style w:type="character" w:customStyle="1" w:styleId="NormalHanging12aChar">
    <w:name w:val="NormalHanging12a Char"/>
    <w:basedOn w:val="DefaultParagraphFont"/>
    <w:link w:val="NormalHanging12a"/>
    <w:locked/>
    <w:rsid w:val="0062447A"/>
    <w:rPr>
      <w:sz w:val="24"/>
      <w:lang w:val="sv-SE"/>
    </w:rPr>
  </w:style>
  <w:style w:type="paragraph" w:styleId="Revision">
    <w:name w:val="Revision"/>
    <w:hidden/>
    <w:uiPriority w:val="99"/>
    <w:semiHidden/>
    <w:rsid w:val="00A726DF"/>
    <w:rPr>
      <w:sz w:val="24"/>
      <w:lang w:val="sv-SE"/>
    </w:rPr>
  </w:style>
  <w:style w:type="character" w:styleId="FollowedHyperlink">
    <w:name w:val="FollowedHyperlink"/>
    <w:basedOn w:val="DefaultParagraphFont"/>
    <w:rsid w:val="00E6789B"/>
    <w:rPr>
      <w:color w:val="954F72" w:themeColor="followedHyperlink"/>
      <w:u w:val="single"/>
    </w:rPr>
  </w:style>
  <w:style w:type="character" w:styleId="UnresolvedMention">
    <w:name w:val="Unresolved Mention"/>
    <w:basedOn w:val="DefaultParagraphFont"/>
    <w:uiPriority w:val="99"/>
    <w:semiHidden/>
    <w:unhideWhenUsed/>
    <w:rsid w:val="00E6789B"/>
    <w:rPr>
      <w:color w:val="605E5C"/>
      <w:shd w:val="clear" w:color="auto" w:fill="E1DFDD"/>
    </w:rPr>
  </w:style>
  <w:style w:type="character" w:styleId="CommentReference">
    <w:name w:val="annotation reference"/>
    <w:basedOn w:val="DefaultParagraphFont"/>
    <w:rsid w:val="007E4E70"/>
    <w:rPr>
      <w:sz w:val="16"/>
      <w:szCs w:val="16"/>
    </w:rPr>
  </w:style>
  <w:style w:type="paragraph" w:styleId="CommentText">
    <w:name w:val="annotation text"/>
    <w:basedOn w:val="Normal"/>
    <w:link w:val="CommentTextChar"/>
    <w:rsid w:val="007E4E70"/>
    <w:rPr>
      <w:sz w:val="20"/>
    </w:rPr>
  </w:style>
  <w:style w:type="character" w:customStyle="1" w:styleId="CommentTextChar">
    <w:name w:val="Comment Text Char"/>
    <w:basedOn w:val="DefaultParagraphFont"/>
    <w:link w:val="CommentText"/>
    <w:rsid w:val="007E4E70"/>
    <w:rPr>
      <w:lang w:val="sv-SE"/>
    </w:rPr>
  </w:style>
  <w:style w:type="paragraph" w:styleId="CommentSubject">
    <w:name w:val="annotation subject"/>
    <w:basedOn w:val="CommentText"/>
    <w:next w:val="CommentText"/>
    <w:link w:val="CommentSubjectChar"/>
    <w:rsid w:val="007E4E70"/>
    <w:rPr>
      <w:b/>
      <w:bCs/>
    </w:rPr>
  </w:style>
  <w:style w:type="character" w:customStyle="1" w:styleId="CommentSubjectChar">
    <w:name w:val="Comment Subject Char"/>
    <w:basedOn w:val="CommentTextChar"/>
    <w:link w:val="CommentSubject"/>
    <w:rsid w:val="007E4E7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6852</Words>
  <Characters>46161</Characters>
  <Application>Microsoft Office Word</Application>
  <DocSecurity>0</DocSecurity>
  <Lines>384</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2026-05-05T08:30:00Z</dcterms:created>
  <dcterms:modified xsi:type="dcterms:W3CDTF">2026-05-05T08:30:00Z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P10_TA(2026)0133_</vt:lpwstr>
  </property>
  <property fmtid="{D5CDD505-2E9C-101B-9397-08002B2CF9AE}" pid="4" name="&lt;Type&gt;">
    <vt:lpwstr>RR</vt:lpwstr>
  </property>
</Properties>
</file>