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491" w14:paraId="02A0A328" w14:textId="77777777" w:rsidTr="0010095E">
        <w:trPr>
          <w:trHeight w:hRule="exact" w:val="1418"/>
        </w:trPr>
        <w:tc>
          <w:tcPr>
            <w:tcW w:w="6804" w:type="dxa"/>
            <w:shd w:val="clear" w:color="auto" w:fill="auto"/>
            <w:vAlign w:val="center"/>
          </w:tcPr>
          <w:p w14:paraId="133C3BE3" w14:textId="444737FD" w:rsidR="00751A4A" w:rsidRPr="00405491" w:rsidRDefault="001F1168" w:rsidP="0010095E">
            <w:pPr>
              <w:pStyle w:val="EPName"/>
            </w:pPr>
            <w:r w:rsidRPr="00405491">
              <w:t>Европейски</w:t>
            </w:r>
            <w:r w:rsidR="00CF6B96" w:rsidRPr="00405491">
              <w:t xml:space="preserve"> парламент</w:t>
            </w:r>
          </w:p>
          <w:p w14:paraId="08D2375B" w14:textId="341E663C" w:rsidR="00751A4A" w:rsidRPr="00405491" w:rsidRDefault="005F1B17" w:rsidP="005F1B17">
            <w:pPr>
              <w:pStyle w:val="EPTerm"/>
              <w:rPr>
                <w:rStyle w:val="HideTWBExt"/>
                <w:noProof w:val="0"/>
                <w:vanish w:val="0"/>
                <w:color w:val="auto"/>
              </w:rPr>
            </w:pPr>
            <w:r w:rsidRPr="00405491">
              <w:t>2024</w:t>
            </w:r>
            <w:r w:rsidR="001F1168">
              <w:t> – </w:t>
            </w:r>
            <w:r w:rsidR="00817416" w:rsidRPr="00405491">
              <w:t>202</w:t>
            </w:r>
            <w:r w:rsidRPr="00405491">
              <w:t>9</w:t>
            </w:r>
          </w:p>
        </w:tc>
        <w:tc>
          <w:tcPr>
            <w:tcW w:w="2268" w:type="dxa"/>
            <w:shd w:val="clear" w:color="auto" w:fill="auto"/>
          </w:tcPr>
          <w:p w14:paraId="03A240E7" w14:textId="77777777" w:rsidR="00751A4A" w:rsidRPr="00405491" w:rsidRDefault="00187494" w:rsidP="0010095E">
            <w:pPr>
              <w:pStyle w:val="EPLogo"/>
            </w:pPr>
            <w:r w:rsidRPr="00405491">
              <w:rPr>
                <w:noProof/>
                <w:lang w:eastAsia="ja-JP"/>
              </w:rPr>
              <w:drawing>
                <wp:inline distT="0" distB="0" distL="0" distR="0" wp14:anchorId="3798DAFC" wp14:editId="7E15CF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9FE2B6" w14:textId="77777777" w:rsidR="00D058B8" w:rsidRPr="00405491" w:rsidRDefault="00D058B8" w:rsidP="004C5D52">
      <w:pPr>
        <w:pStyle w:val="LineTop"/>
      </w:pPr>
    </w:p>
    <w:p w14:paraId="7BC94E43" w14:textId="77777777" w:rsidR="00680577" w:rsidRPr="00405491" w:rsidRDefault="00CF6B96" w:rsidP="00680577">
      <w:pPr>
        <w:pStyle w:val="EPBodyTA1"/>
      </w:pPr>
      <w:r w:rsidRPr="00405491">
        <w:t>ПРИЕТИ ТЕКСТОВЕ</w:t>
      </w:r>
    </w:p>
    <w:p w14:paraId="74CC51A1" w14:textId="77777777" w:rsidR="00D058B8" w:rsidRPr="00405491" w:rsidRDefault="00D058B8" w:rsidP="00D058B8">
      <w:pPr>
        <w:pStyle w:val="LineBottom"/>
      </w:pPr>
    </w:p>
    <w:p w14:paraId="5D647FE7" w14:textId="70710E62" w:rsidR="00CF6B96" w:rsidRPr="00405491" w:rsidRDefault="00CF6B96" w:rsidP="00CF6B96">
      <w:pPr>
        <w:pStyle w:val="ATHeading1"/>
      </w:pPr>
      <w:bookmarkStart w:id="0" w:name="TANumber"/>
      <w:r w:rsidRPr="00405491">
        <w:t>P10_TA(2026)0</w:t>
      </w:r>
      <w:r w:rsidR="00B16C54">
        <w:t>134</w:t>
      </w:r>
      <w:bookmarkEnd w:id="0"/>
    </w:p>
    <w:p w14:paraId="738BA8D7" w14:textId="77777777" w:rsidR="00CF6B96" w:rsidRPr="00405491" w:rsidRDefault="00CF6B96" w:rsidP="00CF6B96">
      <w:pPr>
        <w:pStyle w:val="ATHeading2"/>
      </w:pPr>
      <w:bookmarkStart w:id="1" w:name="title"/>
      <w:r w:rsidRPr="00405491">
        <w:t>Освобождаване от отговорност във връзка с изпълнението на бюджета за 2024 г.: Общ бюджет на ЕС - Европейски надзорен орган по защита на данните</w:t>
      </w:r>
      <w:bookmarkEnd w:id="1"/>
    </w:p>
    <w:p w14:paraId="4FD93DD6" w14:textId="77777777" w:rsidR="00CF6B96" w:rsidRPr="00405491" w:rsidRDefault="00CF6B96" w:rsidP="00CF6B96">
      <w:pPr>
        <w:rPr>
          <w:i/>
          <w:vanish/>
        </w:rPr>
      </w:pPr>
      <w:r w:rsidRPr="00405491">
        <w:rPr>
          <w:i/>
        </w:rPr>
        <w:fldChar w:fldCharType="begin"/>
      </w:r>
      <w:r w:rsidRPr="00405491">
        <w:rPr>
          <w:i/>
        </w:rPr>
        <w:instrText xml:space="preserve"> TC"(</w:instrText>
      </w:r>
      <w:bookmarkStart w:id="2" w:name="DocNumber"/>
      <w:r w:rsidRPr="00405491">
        <w:rPr>
          <w:i/>
        </w:rPr>
        <w:instrText>A10-0057/2026</w:instrText>
      </w:r>
      <w:bookmarkEnd w:id="2"/>
      <w:r w:rsidRPr="00405491">
        <w:rPr>
          <w:i/>
        </w:rPr>
        <w:instrText xml:space="preserve"> - Докладчик: Паскуале </w:instrText>
      </w:r>
      <w:proofErr w:type="spellStart"/>
      <w:r w:rsidRPr="00405491">
        <w:rPr>
          <w:i/>
        </w:rPr>
        <w:instrText>Тридико</w:instrText>
      </w:r>
      <w:proofErr w:type="spellEnd"/>
      <w:r w:rsidRPr="00405491">
        <w:rPr>
          <w:i/>
        </w:rPr>
        <w:instrText xml:space="preserve">)"\l3 \n&gt; \* MERGEFORMAT </w:instrText>
      </w:r>
      <w:r w:rsidRPr="00405491">
        <w:rPr>
          <w:i/>
        </w:rPr>
        <w:fldChar w:fldCharType="end"/>
      </w:r>
    </w:p>
    <w:p w14:paraId="5C260CCA" w14:textId="77777777" w:rsidR="00CF6B96" w:rsidRPr="00405491" w:rsidRDefault="00CF6B96" w:rsidP="00CF6B96">
      <w:pPr>
        <w:rPr>
          <w:vanish/>
        </w:rPr>
      </w:pPr>
      <w:bookmarkStart w:id="3" w:name="Commission"/>
      <w:r w:rsidRPr="00405491">
        <w:rPr>
          <w:vanish/>
        </w:rPr>
        <w:t>Комисия по бюджетен контрол</w:t>
      </w:r>
      <w:bookmarkEnd w:id="3"/>
    </w:p>
    <w:p w14:paraId="3AC57740" w14:textId="77777777" w:rsidR="00CF6B96" w:rsidRPr="00405491" w:rsidRDefault="00CF6B96" w:rsidP="00CF6B96">
      <w:pPr>
        <w:rPr>
          <w:vanish/>
        </w:rPr>
      </w:pPr>
      <w:bookmarkStart w:id="4" w:name="PE"/>
      <w:r w:rsidRPr="00405491">
        <w:rPr>
          <w:vanish/>
        </w:rPr>
        <w:t>PE778.066</w:t>
      </w:r>
      <w:bookmarkEnd w:id="4"/>
    </w:p>
    <w:p w14:paraId="7ECE756B" w14:textId="08CA7A33" w:rsidR="00CF6B96" w:rsidRPr="00405491" w:rsidRDefault="00CF6B96" w:rsidP="001F1168">
      <w:pPr>
        <w:pStyle w:val="ATHeading3"/>
      </w:pPr>
      <w:bookmarkStart w:id="5" w:name="Sujet"/>
      <w:r w:rsidRPr="00405491">
        <w:t xml:space="preserve">1. Решение на Европейския парламент от </w:t>
      </w:r>
      <w:r w:rsidR="001F1168">
        <w:t>2</w:t>
      </w:r>
      <w:r w:rsidR="00AB16EF">
        <w:rPr>
          <w:lang w:val="en-GB"/>
        </w:rPr>
        <w:t>9</w:t>
      </w:r>
      <w:r w:rsidR="001F1168">
        <w:t xml:space="preserve"> април</w:t>
      </w:r>
      <w:r w:rsidRPr="00405491">
        <w:t xml:space="preserve"> 2026 г. относно освобождаването от отговорност във връзка с изпълнението на общия бюджет на Европейския съюз за финансовата 2024 година, раздел IX ‒ Европейски надзорен орган по защита на данните</w:t>
      </w:r>
      <w:bookmarkEnd w:id="5"/>
      <w:r w:rsidRPr="00405491">
        <w:t xml:space="preserve"> </w:t>
      </w:r>
      <w:bookmarkStart w:id="6" w:name="References"/>
      <w:r w:rsidRPr="00405491">
        <w:t>(2025/2154(DEC))</w:t>
      </w:r>
      <w:bookmarkEnd w:id="6"/>
    </w:p>
    <w:p w14:paraId="134E84F9" w14:textId="77777777" w:rsidR="00EF5C75" w:rsidRPr="00405491" w:rsidRDefault="00EF5C75" w:rsidP="00EF5C75">
      <w:pPr>
        <w:pStyle w:val="EPComma"/>
      </w:pPr>
      <w:bookmarkStart w:id="7" w:name="TextBodyBegin"/>
      <w:bookmarkEnd w:id="7"/>
      <w:r w:rsidRPr="00405491">
        <w:rPr>
          <w:i/>
          <w:iCs/>
        </w:rPr>
        <w:t>Европейският парламент</w:t>
      </w:r>
      <w:r w:rsidRPr="00405491">
        <w:t>,</w:t>
      </w:r>
    </w:p>
    <w:p w14:paraId="4650057F" w14:textId="77777777" w:rsidR="00EF5C75" w:rsidRPr="00405491" w:rsidRDefault="00EF5C75" w:rsidP="00EF5C75">
      <w:pPr>
        <w:pStyle w:val="NormalHanging12a"/>
      </w:pPr>
      <w:r w:rsidRPr="00405491">
        <w:t>–</w:t>
      </w:r>
      <w:r w:rsidRPr="00405491">
        <w:tab/>
        <w:t>като взе предвид общия бюджет на Европейския съюз за финансовата 2024 година</w:t>
      </w:r>
      <w:r w:rsidRPr="00405491">
        <w:rPr>
          <w:rStyle w:val="FootnoteReference"/>
        </w:rPr>
        <w:footnoteReference w:id="1"/>
      </w:r>
      <w:r w:rsidRPr="00405491">
        <w:t>,</w:t>
      </w:r>
    </w:p>
    <w:p w14:paraId="06EFA618" w14:textId="77777777" w:rsidR="00EF5C75" w:rsidRPr="00405491" w:rsidRDefault="00EF5C75" w:rsidP="00EF5C75">
      <w:pPr>
        <w:pStyle w:val="NormalHanging12a"/>
      </w:pPr>
      <w:r w:rsidRPr="00405491">
        <w:t>–</w:t>
      </w:r>
      <w:r w:rsidRPr="00405491">
        <w:tab/>
        <w:t>като взе предвид консолидираните годишни отчети на Европейския съюз за финансовата 2024 година (COM(2025)0359 – C10-0154/2025)</w:t>
      </w:r>
      <w:r w:rsidRPr="00405491">
        <w:rPr>
          <w:rStyle w:val="FootnoteReference"/>
        </w:rPr>
        <w:footnoteReference w:id="2"/>
      </w:r>
      <w:r w:rsidRPr="00405491">
        <w:t>,</w:t>
      </w:r>
    </w:p>
    <w:p w14:paraId="32C388BD" w14:textId="77777777" w:rsidR="00EF5C75" w:rsidRPr="00405491" w:rsidRDefault="00EF5C75" w:rsidP="00EF5C75">
      <w:pPr>
        <w:pStyle w:val="NormalHanging12a"/>
      </w:pPr>
      <w:r w:rsidRPr="00405491">
        <w:t>–</w:t>
      </w:r>
      <w:r w:rsidRPr="00405491">
        <w:tab/>
        <w:t>като взе предвид годишния доклад на Европейския надзорен орган по защита на данните за 2024 г.,</w:t>
      </w:r>
    </w:p>
    <w:p w14:paraId="12617FF9" w14:textId="77777777" w:rsidR="00EF5C75" w:rsidRPr="00405491" w:rsidRDefault="00EF5C75" w:rsidP="00EF5C75">
      <w:pPr>
        <w:pStyle w:val="NormalHanging12a"/>
      </w:pPr>
      <w:r w:rsidRPr="00405491">
        <w:t>–</w:t>
      </w:r>
      <w:r w:rsidRPr="00405491">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405491">
        <w:rPr>
          <w:rStyle w:val="FootnoteReference"/>
        </w:rPr>
        <w:footnoteReference w:id="3"/>
      </w:r>
      <w:r w:rsidRPr="00405491">
        <w:t>,</w:t>
      </w:r>
    </w:p>
    <w:p w14:paraId="4177279B" w14:textId="77777777" w:rsidR="00EF5C75" w:rsidRPr="00405491" w:rsidRDefault="00EF5C75" w:rsidP="00EF5C75">
      <w:pPr>
        <w:pStyle w:val="NormalHanging12a"/>
      </w:pPr>
      <w:r w:rsidRPr="00405491">
        <w:t>–</w:t>
      </w:r>
      <w:r w:rsidRPr="00405491">
        <w:tab/>
        <w:t>като взе предвид декларацията за достоверност</w:t>
      </w:r>
      <w:r w:rsidRPr="00405491">
        <w:rPr>
          <w:rStyle w:val="FootnoteReference"/>
        </w:rPr>
        <w:footnoteReference w:id="4"/>
      </w:r>
      <w:r w:rsidRPr="004054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13374F56" w14:textId="77777777" w:rsidR="00EF5C75" w:rsidRPr="00405491" w:rsidRDefault="00EF5C75" w:rsidP="00EF5C75">
      <w:pPr>
        <w:pStyle w:val="NormalHanging12a"/>
      </w:pPr>
      <w:r w:rsidRPr="00405491">
        <w:t>–</w:t>
      </w:r>
      <w:r w:rsidRPr="00405491">
        <w:tab/>
        <w:t>като взе предвид член 314, параграф 10 и членове 317, 318 и 319 от Договора за функционирането на Европейския съюз,</w:t>
      </w:r>
    </w:p>
    <w:p w14:paraId="4BEB4A8B" w14:textId="77777777" w:rsidR="00EF5C75" w:rsidRPr="00405491" w:rsidRDefault="00EF5C75" w:rsidP="00EF5C75">
      <w:pPr>
        <w:pStyle w:val="NormalHanging12a"/>
      </w:pPr>
      <w:r w:rsidRPr="00405491">
        <w:t>–</w:t>
      </w:r>
      <w:r w:rsidRPr="00405491">
        <w:tab/>
        <w:t xml:space="preserve">като взе предвид Регламент (ЕС, Евратом) 2018/1046 на Европейския парламент и </w:t>
      </w:r>
      <w:r w:rsidRPr="00405491">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405491">
        <w:rPr>
          <w:rStyle w:val="FootnoteReference"/>
        </w:rPr>
        <w:footnoteReference w:id="5"/>
      </w:r>
      <w:r w:rsidRPr="00405491">
        <w:t>, и по-специално членове 59, 118, 260, 261 и 262 от него,</w:t>
      </w:r>
    </w:p>
    <w:p w14:paraId="1C978818" w14:textId="77777777" w:rsidR="00EF5C75" w:rsidRPr="00405491" w:rsidRDefault="00EF5C75" w:rsidP="00EF5C75">
      <w:pPr>
        <w:pStyle w:val="NormalHanging12a"/>
      </w:pPr>
      <w:r w:rsidRPr="00405491">
        <w:t>–</w:t>
      </w:r>
      <w:r w:rsidRPr="004054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405491">
        <w:rPr>
          <w:rStyle w:val="FootnoteReference"/>
        </w:rPr>
        <w:footnoteReference w:id="6"/>
      </w:r>
      <w:r w:rsidRPr="00405491">
        <w:t>, и по-специално членове 59, 118, 266, 267 и 268 от него,</w:t>
      </w:r>
    </w:p>
    <w:p w14:paraId="7C4CD323" w14:textId="77777777" w:rsidR="00EF5C75" w:rsidRPr="00405491" w:rsidRDefault="00EF5C75" w:rsidP="00EF5C75">
      <w:pPr>
        <w:pStyle w:val="NormalHanging12a"/>
      </w:pPr>
      <w:r w:rsidRPr="00405491">
        <w:t>–</w:t>
      </w:r>
      <w:r w:rsidRPr="00405491">
        <w:tab/>
        <w:t>като взе предвид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w:t>
      </w:r>
      <w:r w:rsidRPr="00405491">
        <w:rPr>
          <w:rStyle w:val="FootnoteReference"/>
        </w:rPr>
        <w:footnoteReference w:id="7"/>
      </w:r>
      <w:r w:rsidRPr="00405491">
        <w:t>, и по-специално член 54 от него,</w:t>
      </w:r>
    </w:p>
    <w:p w14:paraId="2A4CDE6D" w14:textId="77777777" w:rsidR="00EF5C75" w:rsidRPr="00405491" w:rsidRDefault="00EF5C75" w:rsidP="00EF5C75">
      <w:pPr>
        <w:pStyle w:val="NormalHanging12a"/>
      </w:pPr>
      <w:r w:rsidRPr="00405491">
        <w:t>–</w:t>
      </w:r>
      <w:r w:rsidRPr="00405491">
        <w:tab/>
        <w:t>като взе предвид член 102 и приложение V към своя Правилник за дейността,</w:t>
      </w:r>
    </w:p>
    <w:p w14:paraId="61FDC70C" w14:textId="77777777" w:rsidR="00EF5C75" w:rsidRPr="00405491" w:rsidRDefault="00EF5C75" w:rsidP="00EF5C75">
      <w:pPr>
        <w:pStyle w:val="NormalHanging12a"/>
      </w:pPr>
      <w:r w:rsidRPr="00405491">
        <w:t>–</w:t>
      </w:r>
      <w:r w:rsidRPr="00405491">
        <w:tab/>
        <w:t>като взе предвид становището на комисията по граждански свободи, правосъдие и вътрешни работи,</w:t>
      </w:r>
    </w:p>
    <w:p w14:paraId="5FCA1430" w14:textId="77777777" w:rsidR="00EF5C75" w:rsidRPr="00405491" w:rsidRDefault="00EF5C75" w:rsidP="00EF5C75">
      <w:pPr>
        <w:pStyle w:val="NormalHanging12a"/>
      </w:pPr>
      <w:r w:rsidRPr="00405491">
        <w:t>–</w:t>
      </w:r>
      <w:r w:rsidRPr="00405491">
        <w:tab/>
        <w:t>като взе предвид доклада на комисията по бюджетен контрол (A10-0057/2026),</w:t>
      </w:r>
    </w:p>
    <w:p w14:paraId="667566CD" w14:textId="77777777" w:rsidR="00EF5C75" w:rsidRPr="00405491" w:rsidRDefault="00EF5C75" w:rsidP="00EF5C75">
      <w:pPr>
        <w:pStyle w:val="NormalHanging12a"/>
      </w:pPr>
      <w:r w:rsidRPr="00405491">
        <w:t>1.</w:t>
      </w:r>
      <w:r w:rsidRPr="00405491">
        <w:tab/>
        <w:t>освобождава от отговорност Европейския надзорен орган по защита на данните във връзка с изпълнението на бюджета за финансовата 2024 година;</w:t>
      </w:r>
    </w:p>
    <w:p w14:paraId="40F5BFDB" w14:textId="77777777" w:rsidR="00EF5C75" w:rsidRPr="00405491" w:rsidRDefault="00EF5C75" w:rsidP="00EF5C75">
      <w:pPr>
        <w:pStyle w:val="NormalHanging12a"/>
      </w:pPr>
      <w:r w:rsidRPr="00405491">
        <w:t>2.</w:t>
      </w:r>
      <w:r w:rsidRPr="00405491">
        <w:tab/>
        <w:t>представя своите забележки в резолюцията по-долу;</w:t>
      </w:r>
    </w:p>
    <w:p w14:paraId="2ECE184A" w14:textId="77777777" w:rsidR="00EF5C75" w:rsidRPr="00405491" w:rsidRDefault="00EF5C75" w:rsidP="00EF5C75">
      <w:pPr>
        <w:pStyle w:val="NormalHanging12a"/>
      </w:pPr>
      <w:r w:rsidRPr="00405491">
        <w:t>3.</w:t>
      </w:r>
      <w:r w:rsidRPr="00405491">
        <w:tab/>
        <w:t xml:space="preserve">възлага на своя председател да предаде настоящото решение, както и резолюцията, която е неразделна част от него, на Европейския надзорен орган по защита на данните, на Европейския съвет, на Съвета, на Комисията, на Сметната палата, на Съда на Европейския съюз, на Европейския омбудсман и на Европейската служба за външна дейност и да осигури публикуването им в </w:t>
      </w:r>
      <w:r w:rsidRPr="00405491">
        <w:rPr>
          <w:i/>
          <w:iCs/>
        </w:rPr>
        <w:t>Официален вестник на Европейския съюз</w:t>
      </w:r>
      <w:r w:rsidRPr="00405491">
        <w:t xml:space="preserve"> (серия L).</w:t>
      </w:r>
    </w:p>
    <w:p w14:paraId="33869FA8" w14:textId="77777777" w:rsidR="00EF5C75" w:rsidRPr="00405491" w:rsidRDefault="00EF5C75" w:rsidP="00EF5C75">
      <w:pPr>
        <w:pStyle w:val="PageHeading"/>
        <w:sectPr w:rsidR="00EF5C75" w:rsidRPr="00405491" w:rsidSect="0040549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2EE75C" w14:textId="5E4AC885" w:rsidR="00B96114" w:rsidRDefault="00B96114" w:rsidP="00B96114">
      <w:pPr>
        <w:pStyle w:val="ATHeading3"/>
      </w:pPr>
      <w:r>
        <w:lastRenderedPageBreak/>
        <w:t>2. Резолюция на Европейския парламент от 2</w:t>
      </w:r>
      <w:r w:rsidR="00AB16EF">
        <w:rPr>
          <w:lang w:val="en-GB"/>
        </w:rPr>
        <w:t>9</w:t>
      </w:r>
      <w:r>
        <w:t xml:space="preserve"> април 2026 г.</w:t>
      </w:r>
      <w:r w:rsidR="000D58FD">
        <w:t>,</w:t>
      </w:r>
      <w:r>
        <w:t xml:space="preserve"> съдържащ</w:t>
      </w:r>
      <w:r w:rsidR="000D58FD">
        <w:t>а</w:t>
      </w:r>
      <w: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IX – Европейски надзорен орган по защита на данните (2025/2154(DEC))</w:t>
      </w:r>
    </w:p>
    <w:p w14:paraId="08C0B117" w14:textId="77777777" w:rsidR="00EF5C75" w:rsidRPr="00405491" w:rsidRDefault="00EF5C75" w:rsidP="00EF5C75">
      <w:pPr>
        <w:pStyle w:val="EPComma"/>
      </w:pPr>
      <w:r w:rsidRPr="00405491">
        <w:rPr>
          <w:i/>
          <w:iCs/>
        </w:rPr>
        <w:t>Европейският парламент</w:t>
      </w:r>
      <w:r w:rsidRPr="00405491">
        <w:t>,</w:t>
      </w:r>
    </w:p>
    <w:p w14:paraId="63566498" w14:textId="77777777" w:rsidR="00EF5C75" w:rsidRPr="00405491" w:rsidRDefault="00EF5C75" w:rsidP="00EF5C75">
      <w:pPr>
        <w:pStyle w:val="NormalHanging12a"/>
      </w:pPr>
      <w:r w:rsidRPr="00405491">
        <w:t>–</w:t>
      </w:r>
      <w:r w:rsidRPr="00405491">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IX ‒ Европейски надзорен орган по защита на данните,</w:t>
      </w:r>
    </w:p>
    <w:p w14:paraId="045DFFA0" w14:textId="77777777" w:rsidR="00EF5C75" w:rsidRPr="00405491" w:rsidRDefault="00EF5C75" w:rsidP="00EF5C75">
      <w:pPr>
        <w:pStyle w:val="NormalHanging12a"/>
      </w:pPr>
      <w:r w:rsidRPr="00405491">
        <w:t>–</w:t>
      </w:r>
      <w:r w:rsidRPr="00405491">
        <w:tab/>
        <w:t>като взе предвид член 102 и приложение V към своя Правилник за дейността,</w:t>
      </w:r>
    </w:p>
    <w:p w14:paraId="25245FE3" w14:textId="77777777" w:rsidR="00EF5C75" w:rsidRPr="00405491" w:rsidRDefault="00EF5C75" w:rsidP="00EF5C75">
      <w:pPr>
        <w:pStyle w:val="NormalHanging12a"/>
      </w:pPr>
      <w:r w:rsidRPr="00405491">
        <w:t>–</w:t>
      </w:r>
      <w:r w:rsidRPr="00405491">
        <w:tab/>
        <w:t>като взе предвид становището на комисията по граждански свободи, правосъдие и вътрешни работи,</w:t>
      </w:r>
    </w:p>
    <w:p w14:paraId="7F7F5B3B" w14:textId="77777777" w:rsidR="00EF5C75" w:rsidRPr="00405491" w:rsidRDefault="00EF5C75" w:rsidP="00EF5C75">
      <w:pPr>
        <w:pStyle w:val="NormalHanging12a"/>
      </w:pPr>
      <w:r w:rsidRPr="00405491">
        <w:t>–</w:t>
      </w:r>
      <w:r w:rsidRPr="00405491">
        <w:tab/>
        <w:t>като взе предвид доклада на комисията по бюджетен контрол (A10-0057/2026),</w:t>
      </w:r>
    </w:p>
    <w:p w14:paraId="53DBE97B" w14:textId="77777777" w:rsidR="00EF5C75" w:rsidRPr="00405491" w:rsidRDefault="00EF5C75" w:rsidP="00EF5C75">
      <w:pPr>
        <w:pStyle w:val="NormalHanging12a"/>
        <w:rPr>
          <w:szCs w:val="24"/>
        </w:rPr>
      </w:pPr>
      <w:r w:rsidRPr="00405491">
        <w:t>А.</w:t>
      </w:r>
      <w:r w:rsidRPr="00405491">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3699080C" w14:textId="77777777" w:rsidR="00EF5C75" w:rsidRPr="00405491" w:rsidRDefault="00EF5C75" w:rsidP="00EF5C75">
      <w:pPr>
        <w:pStyle w:val="NormalHanging12a"/>
        <w:rPr>
          <w:szCs w:val="24"/>
        </w:rPr>
      </w:pPr>
      <w:r w:rsidRPr="00405491">
        <w:t>Б.</w:t>
      </w:r>
      <w:r w:rsidRPr="00405491">
        <w:tab/>
        <w:t>като има предвид, че защитата на данните е основно право, защитено от законодателството на Съюза и залегнало в член 8 от Хартата на основните права на Европейския съюз;</w:t>
      </w:r>
    </w:p>
    <w:p w14:paraId="27D69192" w14:textId="77777777" w:rsidR="00EF5C75" w:rsidRPr="00405491" w:rsidRDefault="00EF5C75" w:rsidP="00EF5C75">
      <w:pPr>
        <w:pStyle w:val="NormalHanging12a"/>
        <w:rPr>
          <w:szCs w:val="24"/>
        </w:rPr>
      </w:pPr>
      <w:r w:rsidRPr="00405491">
        <w:t>В.</w:t>
      </w:r>
      <w:r w:rsidRPr="00405491">
        <w:tab/>
        <w:t>като има предвид, че в член 16 от Договора за функционирането на Европейския съюз се предвижда, че спазването на правилата относно защитата на физическите лица по отношение на обработването на личните данни, които ги засягат, подлежи на контрол от страна на независим орган;</w:t>
      </w:r>
    </w:p>
    <w:p w14:paraId="6D9B6661" w14:textId="77777777" w:rsidR="00EF5C75" w:rsidRPr="00405491" w:rsidRDefault="00EF5C75" w:rsidP="00EF5C75">
      <w:pPr>
        <w:pStyle w:val="NormalHanging12a"/>
        <w:rPr>
          <w:szCs w:val="24"/>
        </w:rPr>
      </w:pPr>
      <w:r w:rsidRPr="00405491">
        <w:t>Г.</w:t>
      </w:r>
      <w:r w:rsidRPr="00405491">
        <w:tab/>
        <w:t>като има предвид, че Регламент (ЕС) 2018/1725 предвижда създаването на такъв независим орган – Европейския надзорен орган по защита на данните („ЕНОЗД“), който отговаря за защитата и гарантирането на правото на защита на данните и неприкосновеността на личния живот и който е натоварен със задачата да гарантира възприемането на силна култура на защита на данните от страна на институциите и органите, службите и агенциите на Съюза;</w:t>
      </w:r>
    </w:p>
    <w:p w14:paraId="7DB376FE" w14:textId="77777777" w:rsidR="00EF5C75" w:rsidRPr="00405491" w:rsidRDefault="00EF5C75" w:rsidP="00EF5C75">
      <w:pPr>
        <w:pStyle w:val="NormalHanging12a"/>
        <w:rPr>
          <w:szCs w:val="24"/>
        </w:rPr>
      </w:pPr>
      <w:r w:rsidRPr="00405491">
        <w:t>Д.</w:t>
      </w:r>
      <w:r w:rsidRPr="00405491">
        <w:tab/>
        <w:t>като има предвид, че ЕНОЗД изпълнява функциите си в тясно сътрудничество с други органи за защита на данните (ОЗД) като част от Европейския комитет по защита на данните (ЕКЗД) и служи на обществения интерес, като се ръководи от принципите на безпристрастност, почтеност, прозрачност и прагматизъм и зачита законодателството на Съюза;</w:t>
      </w:r>
    </w:p>
    <w:p w14:paraId="68E8F3DE" w14:textId="77777777" w:rsidR="00EF5C75" w:rsidRPr="00405491" w:rsidRDefault="00EF5C75" w:rsidP="00EF5C75">
      <w:pPr>
        <w:pStyle w:val="NormalHanging12a"/>
        <w:rPr>
          <w:szCs w:val="24"/>
        </w:rPr>
      </w:pPr>
      <w:r w:rsidRPr="00405491">
        <w:t>Е.</w:t>
      </w:r>
      <w:r w:rsidRPr="00405491">
        <w:tab/>
        <w:t xml:space="preserve">като има предвид, че гражданите на Съюза се нуждаят от цифрова среда, която не се контролира от непрозрачни интереси, и от инициативи, които насърчават цифровия суверенитет, като гарантират, че физическите лица, а не дружествата </w:t>
      </w:r>
      <w:r w:rsidRPr="00405491">
        <w:lastRenderedPageBreak/>
        <w:t xml:space="preserve">или </w:t>
      </w:r>
      <w:proofErr w:type="spellStart"/>
      <w:r w:rsidRPr="00405491">
        <w:t>неподлежащите</w:t>
      </w:r>
      <w:proofErr w:type="spellEnd"/>
      <w:r w:rsidRPr="00405491">
        <w:t xml:space="preserve"> на контрол системи, са в центъра на управлението на данните в Съюза;</w:t>
      </w:r>
    </w:p>
    <w:p w14:paraId="4BE086C1" w14:textId="77777777" w:rsidR="00EF5C75" w:rsidRPr="00405491" w:rsidRDefault="00EF5C75" w:rsidP="00EF5C75">
      <w:pPr>
        <w:pStyle w:val="NormalHanging12a"/>
        <w:rPr>
          <w:szCs w:val="24"/>
        </w:rPr>
      </w:pPr>
      <w:r w:rsidRPr="00405491">
        <w:t>1.</w:t>
      </w:r>
      <w:r w:rsidRPr="00405491">
        <w:tab/>
        <w:t>отбелязва, че бюджетът на ЕНОЗД попада в обхвата на функция 7 от МФР „Европейска публична администрация“, която през 2024 г. възлиза на общо 13,3 милиарда евро, т.е. 6,9% от бюджетните разходи на ЕС; отбелязва, че бюджетът на ЕНОЗД представлява 0,18% от бюджетните кредити по функция 7 от МФР;</w:t>
      </w:r>
    </w:p>
    <w:p w14:paraId="7F9E84A8" w14:textId="77777777" w:rsidR="00EF5C75" w:rsidRPr="00405491" w:rsidRDefault="00EF5C75" w:rsidP="00EF5C75">
      <w:pPr>
        <w:pStyle w:val="NormalHanging12a"/>
      </w:pPr>
      <w:r w:rsidRPr="00405491">
        <w:t>2.</w:t>
      </w:r>
      <w:r w:rsidRPr="00405491">
        <w:tab/>
        <w:t>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същият брой проверени операции, както през 2023 г.; отбелязва, че Палатата посочва освен това,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тези административни разходи като цяло се характеризират с ниско ниво на риск;</w:t>
      </w:r>
    </w:p>
    <w:p w14:paraId="7F542C78" w14:textId="77777777" w:rsidR="00EF5C75" w:rsidRPr="00405491" w:rsidRDefault="00EF5C75" w:rsidP="00EF5C75">
      <w:pPr>
        <w:pStyle w:val="NormalHanging12a"/>
      </w:pPr>
      <w:r w:rsidRPr="00405491">
        <w:t>3.</w:t>
      </w:r>
      <w:r w:rsidRPr="00405491">
        <w:tab/>
        <w:t xml:space="preserve">отбелязва, че 16 (23%) от 70-те операции съдържат грешки, но че въз основа на трите </w:t>
      </w:r>
      <w:proofErr w:type="spellStart"/>
      <w:r w:rsidRPr="00405491">
        <w:t>остойностени</w:t>
      </w:r>
      <w:proofErr w:type="spellEnd"/>
      <w:r w:rsidRPr="00405491">
        <w:t xml:space="preserve"> грешки Палатата заключава, че изчисленият процент грешки е под прага на същественост; отбелязва, че в доклада на Палатата не са установени никакви конкретни проблеми, засягащи ЕНОЗД;</w:t>
      </w:r>
    </w:p>
    <w:p w14:paraId="5B3AF925" w14:textId="77777777" w:rsidR="00EF5C75" w:rsidRPr="00405491" w:rsidRDefault="00EF5C75" w:rsidP="00EF5C75">
      <w:pPr>
        <w:pStyle w:val="NormalHanging12a"/>
      </w:pPr>
      <w:r w:rsidRPr="00405491">
        <w:rPr>
          <w:b/>
          <w:i/>
        </w:rPr>
        <w:t>Бюджетно и финансово управление</w:t>
      </w:r>
    </w:p>
    <w:p w14:paraId="0074DC88" w14:textId="77777777" w:rsidR="00EF5C75" w:rsidRPr="00405491" w:rsidRDefault="00EF5C75" w:rsidP="00EF5C75">
      <w:pPr>
        <w:pStyle w:val="NormalHanging12a"/>
        <w:rPr>
          <w:b/>
          <w:i/>
          <w:szCs w:val="24"/>
        </w:rPr>
      </w:pPr>
      <w:r w:rsidRPr="00405491">
        <w:t>4.</w:t>
      </w:r>
      <w:r w:rsidRPr="00405491">
        <w:tab/>
        <w:t>отбелязва, че през 2024 г. окончателният приет бюджет на ЕНОЗД възлиза на 24 329 460 EUR, което представлява увеличение със 7,12% в сравнение с 2023 г. (22 711 559 EUR); отбелязва, че бюджетът на ЕНОЗД покрива също така работата на независимия секретариат на ЕКЗД; отбелязва въз основа на годишния доклад на ЕНОЗД за 2024 г. („годишния доклад“), че приетият бюджет на ЕКЗД възлиза на 8,36 милиона евро през 2024 г. (в сравнение със 7,67 милиона евро през 2023 г.);</w:t>
      </w:r>
    </w:p>
    <w:p w14:paraId="1E3D09F3" w14:textId="77777777" w:rsidR="00EF5C75" w:rsidRPr="00405491" w:rsidRDefault="00EF5C75" w:rsidP="00EF5C75">
      <w:pPr>
        <w:pStyle w:val="NormalHanging12a"/>
        <w:rPr>
          <w:szCs w:val="24"/>
        </w:rPr>
      </w:pPr>
      <w:r w:rsidRPr="00405491">
        <w:t>5.</w:t>
      </w:r>
      <w:r w:rsidRPr="00405491">
        <w:tab/>
        <w:t xml:space="preserve">отбелязва със задоволство, че усилията за контрол и планиране на бюджета на ЕНОЗД през финансовата 2024 година са довели до степен на изпълнение на бюджетните кредити за поети задължения за текущата година от 96% през 2024 г. (което е същата степен, както през 2023 г.); отбелязва освен това въз основа на доклада относно годишните отчети на ЕНОЗД за 2024 г., че степента на изпълнение на бюджетните кредити за плащания за текущата година е била 84% (което е същата степен, както през 2023 г.); отбелязва също така въз основа на отговорите на ЕНОЗД на въпросника, представен от комисията по бюджетен контрол за освобождаването от отговорност във връзка с изпълнението на бюджета за 2023 г. („въпросника“), че степента на изпълнение на бюджетните кредити за плащания като цяло е била 91,88% през 2024 г., което е по-високо от 91,33% през 2023 г.; </w:t>
      </w:r>
    </w:p>
    <w:p w14:paraId="26B38021" w14:textId="77777777" w:rsidR="00EF5C75" w:rsidRPr="00405491" w:rsidRDefault="00EF5C75" w:rsidP="00EF5C75">
      <w:pPr>
        <w:pStyle w:val="NormalHanging12a"/>
        <w:rPr>
          <w:szCs w:val="24"/>
        </w:rPr>
      </w:pPr>
      <w:r w:rsidRPr="00405491">
        <w:t>6.</w:t>
      </w:r>
      <w:r w:rsidRPr="00405491">
        <w:tab/>
        <w:t xml:space="preserve">отбелязва освен това, че размерът на пренесените бюджетни кредити (C8) от 2024 г. към 2025 г. възлиза на 2 649 943 EUR (т.е. 10,89% от общия бюджет за 2024 г.), в сравнение с 2 517 942 EUR през 2023 г. (т.е. 11,08% от общия бюджет за 2023 г.); отбелязва, че степента на изпълнение на бюджета C8 през 2024 г. е била </w:t>
      </w:r>
      <w:r w:rsidRPr="00405491">
        <w:lastRenderedPageBreak/>
        <w:t xml:space="preserve">77,37% (в сравнение със 76,65% през 2023 г.); </w:t>
      </w:r>
    </w:p>
    <w:p w14:paraId="4F473097" w14:textId="77777777" w:rsidR="00EF5C75" w:rsidRPr="00405491" w:rsidRDefault="00EF5C75" w:rsidP="00EF5C75">
      <w:pPr>
        <w:pStyle w:val="NormalHanging12a"/>
        <w:rPr>
          <w:szCs w:val="24"/>
        </w:rPr>
      </w:pPr>
      <w:r w:rsidRPr="00405491">
        <w:t>7.</w:t>
      </w:r>
      <w:r w:rsidRPr="00405491">
        <w:tab/>
        <w:t>отбелязва, че средният срок за плащане е бил 20 дни през 2024 г. в сравнение с 19 дни през 2023 г., като 96,87% от плащанията са били обработени навреме (увеличение спрямо 92,73% през 2023 г.); отбелязва освен това, че има увеличение на броя на плащанията от 1 335 през 2023 г. на 1 440 през 2024 г.; отбелязва, че ЕНОЗД е срещнал някои технически трудности през 2024 г. поради паралелното функциониране на две различни ИТ системи (системата SUMMA на Комисията и системата ABAC на ЕНОЗД), което е изисквало ръчно повторно кодиране и други ръчни интервенции; отбелязва, че се очаква SUMMA да бъде въведена в ЕНОЗД през 2026 г.;</w:t>
      </w:r>
    </w:p>
    <w:p w14:paraId="791FF4B2" w14:textId="77777777" w:rsidR="00EF5C75" w:rsidRPr="00405491" w:rsidRDefault="00EF5C75" w:rsidP="00EF5C75">
      <w:pPr>
        <w:pStyle w:val="NormalHanging12a"/>
      </w:pPr>
      <w:r w:rsidRPr="00405491">
        <w:t>8.</w:t>
      </w:r>
      <w:r w:rsidRPr="00405491">
        <w:tab/>
        <w:t>отбелязва въз основа на въпросника, че общият бюджет за командировки на ЕНОЗД е намалял със 17,86% от 323 421 EUR през 2023 г. на 265 630 EUR през 2024 г. поради намаляване на пътуванията и свързаните с тях разходи в резултат на увеличеното участие в дистанционни/хибридни заседания; отбелязва въз основа на годишния доклад, че броят на командировките на служителите също е намалял – от 246 през 2023 г. на 218 през 2024 г.; отбелязва, че като част от този бюджет сума в размер на 38 418 EUR е била предназначена за 23 командировки на Надзорния орган през 2024 г., което представлява увеличение спрямо 33 000 EUR за 24 командировки през 2023 г., главно поради мястото на провеждане на важни заседания и събития, на които Надзорният орган е трябвало да присъства, включително няколко командировки в Съединените щати и Мексико през 2024 г.; отбелязва със загриженост, че що се отнася до командировките в държавата на произход на високопоставени длъжностни лица, през 2024 г. Надзорният орган е предприел само 3 командировки в Полша (от общо 23), докато генералният секретар на ЕНОЗД е предприел 9 командировки в Испания (от общо 15); подчертава, че ЕНОЗД все още не предоставя информация за броя на командировките, финансирани от организаторите или други трети страни, намалявайки по този начин прозрачността по отношение на командировъчните си разходи;</w:t>
      </w:r>
    </w:p>
    <w:p w14:paraId="59FB3F1B" w14:textId="77777777" w:rsidR="00EF5C75" w:rsidRPr="00405491" w:rsidRDefault="00EF5C75" w:rsidP="00EF5C75">
      <w:pPr>
        <w:pStyle w:val="NormalHanging12a"/>
      </w:pPr>
      <w:r w:rsidRPr="00405491">
        <w:t>9.</w:t>
      </w:r>
      <w:r w:rsidRPr="00405491">
        <w:tab/>
        <w:t>отбелязва въз основа на въпросника, че в контекста на незаконната агресивна война на Русия срещу Украйна ЕНОЗД е преодолял инфлационния натиск върху договорите и услугите чрез преразглеждане на прогнозните разходи през годината и преразпределяне на ресурси чрез трансфери, извършени в съответствие с член 29, параграфи 1 и 4 от Финансовия регламент, като са предвидени маржове за непредвидени обстоятелства и е извършена преоценка на приоритетите, за да се гарантира обслужването на основните процеси на ЕНОЗД; приканва ЕНОЗД да продължи да извършва редовни прегледи, за да идентифицира областите на непълно усвояване и да преразпределя средства, когато е необходимо, през годината;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p w14:paraId="16B0E520" w14:textId="77777777" w:rsidR="00EF5C75" w:rsidRPr="00405491" w:rsidRDefault="00EF5C75" w:rsidP="00EF5C75">
      <w:pPr>
        <w:pStyle w:val="NormalHanging12a"/>
        <w:rPr>
          <w:szCs w:val="24"/>
        </w:rPr>
      </w:pPr>
      <w:r w:rsidRPr="00405491">
        <w:t>10.</w:t>
      </w:r>
      <w:r w:rsidRPr="00405491">
        <w:tab/>
        <w:t xml:space="preserve">отбелязва, че ЕНОЗД е стартирал и възложил 66 процедури за възлагане на обществени поръчки, от които 45 са с много ниска стойност, две са процедури на договаряне без предварително публикуване, девет са конкретни договори за съставянето на списък с индивидуални експерти, а една е рамков договор на стойност 200 000 EUR с PricewaterhouseCoopers; отбелязва, че повечето договори </w:t>
      </w:r>
      <w:r w:rsidRPr="00405491">
        <w:lastRenderedPageBreak/>
        <w:t>са подписани от ЕНОЗД с малки и средни предприятия чрез процедури с много ниска стойност или с ниска стойност;</w:t>
      </w:r>
    </w:p>
    <w:p w14:paraId="1B52A8D6" w14:textId="77777777" w:rsidR="00EF5C75" w:rsidRPr="00405491" w:rsidRDefault="00EF5C75" w:rsidP="00EF5C75">
      <w:pPr>
        <w:pStyle w:val="NormalHanging12a"/>
        <w:rPr>
          <w:szCs w:val="24"/>
        </w:rPr>
      </w:pPr>
      <w:r w:rsidRPr="00405491">
        <w:rPr>
          <w:b/>
          <w:i/>
        </w:rPr>
        <w:t>Вътрешно управление, резултати от дейността и вътрешен контрол</w:t>
      </w:r>
    </w:p>
    <w:p w14:paraId="4D23D3A9" w14:textId="77777777" w:rsidR="00EF5C75" w:rsidRPr="00405491" w:rsidRDefault="00EF5C75" w:rsidP="00EF5C75">
      <w:pPr>
        <w:pStyle w:val="NormalHanging12a"/>
        <w:rPr>
          <w:szCs w:val="24"/>
        </w:rPr>
      </w:pPr>
      <w:r w:rsidRPr="00405491">
        <w:t>11.</w:t>
      </w:r>
      <w:r w:rsidRPr="00405491">
        <w:tab/>
        <w:t>отбелязва, че ЕНОЗД е използвал девет ключови показателя за изпълнението (КПИ), за да наблюдава резултатите си през 2024 г., в съответствие с основните цели на стратегията си за периода 2020 – 2024 г., която се изпълнява посредством годишния план за управление; отбелязва въз основа на годишния доклад, че ЕНОЗД е постигнал или надхвърлил определените цели във всички КПИ, с изключение на един КПИ (броят на последователите на ЕНОЗД в някои профили в социалните медии);</w:t>
      </w:r>
    </w:p>
    <w:p w14:paraId="727BE3E4" w14:textId="77777777" w:rsidR="00EF5C75" w:rsidRPr="00405491" w:rsidRDefault="00EF5C75" w:rsidP="00EF5C75">
      <w:pPr>
        <w:pStyle w:val="NormalHanging12a"/>
        <w:rPr>
          <w:szCs w:val="24"/>
        </w:rPr>
      </w:pPr>
      <w:r w:rsidRPr="00405491">
        <w:t>12.</w:t>
      </w:r>
      <w:r w:rsidRPr="00405491">
        <w:tab/>
        <w:t xml:space="preserve">отбелязва различните роли на ЕНОЗД, като например ОЗД, и считано от 1 август 2024 г., като </w:t>
      </w:r>
      <w:proofErr w:type="spellStart"/>
      <w:r w:rsidRPr="00405491">
        <w:t>нотифицирана</w:t>
      </w:r>
      <w:proofErr w:type="spellEnd"/>
      <w:r w:rsidRPr="00405491">
        <w:t xml:space="preserve"> организация, </w:t>
      </w:r>
      <w:proofErr w:type="spellStart"/>
      <w:r w:rsidRPr="00405491">
        <w:t>нотифициран</w:t>
      </w:r>
      <w:proofErr w:type="spellEnd"/>
      <w:r w:rsidRPr="00405491">
        <w:t xml:space="preserve"> орган и орган за надзор на пазара (ОНП), отговарящ за надзора и прилагането на Регламент (ЕС) 2024/1689 на Европейския парламент и на Съвета</w:t>
      </w:r>
      <w:r w:rsidRPr="00405491">
        <w:rPr>
          <w:rStyle w:val="FootnoteReference"/>
          <w:szCs w:val="24"/>
        </w:rPr>
        <w:footnoteReference w:id="8"/>
      </w:r>
      <w:r w:rsidRPr="00405491">
        <w:t xml:space="preserve"> спрямо институциите, органите, службите и агенциите на Съюза, като за последната роля ЕНОЗД ще има правомощия за правоприлагане едва считано от 2 август 2026 г.; отбелязва със задоволство, че в този контекст ЕНОЗД работи по управленските структури и процедурните рамки, необходими за изпълнението на новите му задачи и правомощия като ОНП съгласно Регламент (ЕС) 2024/1689, включително чрез стартирането на мрежата от кореспонденти за Акта за изкуствения интелект през 2024 г., която привлече участието, макар и доброволно, на всички институции, органи, служби и агенции на ЕС;</w:t>
      </w:r>
    </w:p>
    <w:p w14:paraId="15E29871" w14:textId="77777777" w:rsidR="00EF5C75" w:rsidRPr="00405491" w:rsidRDefault="00EF5C75" w:rsidP="00EF5C75">
      <w:pPr>
        <w:pStyle w:val="NormalHanging12a"/>
        <w:rPr>
          <w:szCs w:val="24"/>
        </w:rPr>
      </w:pPr>
      <w:r w:rsidRPr="00405491">
        <w:t>13.</w:t>
      </w:r>
      <w:r w:rsidRPr="00405491">
        <w:tab/>
        <w:t xml:space="preserve">отбелязва нарасналата роля на ЕНОЗД в нови законодателни актове, включително Регламент (ЕС) 2024/1689, съгласно който ЕНОЗД става компетентният орган за институциите, агенциите, службите и органите на Съюза и съгласно който на ЕНОЗД са делегирани допълнителни задачи; отбелязва, че за да изпълни новите си надзорни задачи, на 1 октомври 2024 г. ЕНОЗД е създал отдел за ИИ, който през 2024 г. се е състоял от двама вътрешно преразпределени служители; отбелязва въз основа на въпросника, че считано от 2025 г. ЕНОЗД разполага с бюджет за този отдел, който покрива две постоянни длъжности и петима договорно наети служители, за които са проведени процедури за набиране на персонал; отбелязва обаче въз основа на въпросника становището на ЕНОЗД, че тези ресурси продължават да бъдат недостатъчни за покриването на тези нови задачи, по-специално надзора на системите с ИИ в областта на граничния контрол, миграцията, правосъдието и правоприлагането или създаването на регулаторна лаборатория в областта на ИИ за институциите, органите, службите и агенциите на ЕС, както е предвидено в член 57, параграф 3 от Регламент (ЕС) 2024/1689; отбелязва освен това въз основа на доклада на ЕНОЗД за последващите действия във връзка с резолюцията на Парламента относно изпълнението на бюджета на ЕНОЗД за 2023 г. („доклада за последващите </w:t>
      </w:r>
      <w:r w:rsidRPr="00405491">
        <w:lastRenderedPageBreak/>
        <w:t>действия“), че също поради бюджетни ограничения ЕНОЗД не е могъл да започне проучването за осъществимост относно изкуствения интелект през 2024 г.;  припомня, че ЕНОЗД следва да спазва правомощията на мандата си с подход на сътрудничество с институциите и агенциите на Съюза, за да се избегнат скъпоструващи правни процедури; припомня, че в резолюцията си за освобождаване от отговорност във връзка с изпълнението на бюджета за 2023 г. Парламентът вече предупреди, че постепенното разширяване на мандата на ЕНОЗД рискува да надхвърли наличните му ресурси; подчертава, че е важно на ЕНОЗД да се предоставят подходящи финансови и човешки ресурси за ефективен надзор на системите с ИИ в областите с висок залог;</w:t>
      </w:r>
    </w:p>
    <w:p w14:paraId="30FEEF35" w14:textId="77777777" w:rsidR="00EF5C75" w:rsidRPr="00405491" w:rsidRDefault="00EF5C75" w:rsidP="00EF5C75">
      <w:pPr>
        <w:pStyle w:val="NormalHanging12a"/>
        <w:rPr>
          <w:szCs w:val="24"/>
        </w:rPr>
      </w:pPr>
      <w:r w:rsidRPr="00405491">
        <w:t>14.</w:t>
      </w:r>
      <w:r w:rsidRPr="00405491">
        <w:tab/>
        <w:t xml:space="preserve">отбелязва по отношение на технологичния мониторинг и прогнозиране, че чрез своя отдел „Технологии и неприкосновеност на личния живот“ ЕНОЗД се е фокусирал върху изкуствения интелект през 2024 г.; отбелязва в този контекст някои от разгледаните от ЕНОЗД теми, като например: – обработването на неврологични данни от </w:t>
      </w:r>
      <w:proofErr w:type="spellStart"/>
      <w:r w:rsidRPr="00405491">
        <w:t>невротехнологии</w:t>
      </w:r>
      <w:proofErr w:type="spellEnd"/>
      <w:r w:rsidRPr="00405491">
        <w:t>, обхванато от „</w:t>
      </w:r>
      <w:proofErr w:type="spellStart"/>
      <w:r w:rsidRPr="00405491">
        <w:t>TechDispatch</w:t>
      </w:r>
      <w:proofErr w:type="spellEnd"/>
      <w:r w:rsidRPr="00405491">
        <w:t xml:space="preserve"> </w:t>
      </w:r>
      <w:proofErr w:type="spellStart"/>
      <w:r w:rsidRPr="00405491">
        <w:t>on</w:t>
      </w:r>
      <w:proofErr w:type="spellEnd"/>
      <w:r w:rsidRPr="00405491">
        <w:t xml:space="preserve"> </w:t>
      </w:r>
      <w:proofErr w:type="spellStart"/>
      <w:r w:rsidRPr="00405491">
        <w:t>neurodata</w:t>
      </w:r>
      <w:proofErr w:type="spellEnd"/>
      <w:r w:rsidRPr="00405491">
        <w:t xml:space="preserve">“, публикуван от ЕНОЗД съвместно с испанския ОЗД през юни 2024 г., и – автоматизираното вземане на решения и неговия човешки надзор, разгледани на тематичен семинар, организиран съвместно с Агенцията на Европейския съюз за киберсигурност (ENISA) и Университета в </w:t>
      </w:r>
      <w:proofErr w:type="spellStart"/>
      <w:r w:rsidRPr="00405491">
        <w:t>Карлстад</w:t>
      </w:r>
      <w:proofErr w:type="spellEnd"/>
      <w:r w:rsidRPr="00405491">
        <w:t xml:space="preserve"> през септември 2024 г.; отбелязва със задоволство, че през ноември 2024 г. ЕНОЗД е публикувал четвъртото издание на своята инициатива „</w:t>
      </w:r>
      <w:proofErr w:type="spellStart"/>
      <w:r w:rsidRPr="00405491">
        <w:t>TechSonar</w:t>
      </w:r>
      <w:proofErr w:type="spellEnd"/>
      <w:r w:rsidRPr="00405491">
        <w:t xml:space="preserve">“, която се фокусираше върху шест тенденции в областта на ИИ, като например: генериране с разширено извличане, ИИ на устройствата, отучване на машините, мултимодален ИИ, </w:t>
      </w:r>
      <w:proofErr w:type="spellStart"/>
      <w:r w:rsidRPr="00405491">
        <w:t>мащабируем</w:t>
      </w:r>
      <w:proofErr w:type="spellEnd"/>
      <w:r w:rsidRPr="00405491">
        <w:t xml:space="preserve"> надзор и невросимволичен ИИ; подчертава, че е важно ЕНОЗД да натрупа знанията, необходими за прилагане на правомощията му съгласно Регламент (ЕС) 2024/1689, след като институциите, органите, службите и агенциите на ЕС започнат да използват нововъзникващи технологии за обработването на лични данни; отбелязва освен това, че през 2024 г. ЕНОЗД е издал първите насоки за институциите, органите, службите и агенциите на ЕС, за да се гарантира спазването на правилата за защита на данните при използването на системи с генеративен ИИ, както и три надзорни становища относно използването на инструменти с ИИ от страна на Европол и Евроюст;</w:t>
      </w:r>
    </w:p>
    <w:p w14:paraId="3F2B9B05" w14:textId="77777777" w:rsidR="00EF5C75" w:rsidRPr="00405491" w:rsidRDefault="00EF5C75" w:rsidP="00EF5C75">
      <w:pPr>
        <w:pStyle w:val="NormalHanging12a"/>
        <w:rPr>
          <w:szCs w:val="24"/>
        </w:rPr>
      </w:pPr>
      <w:r w:rsidRPr="00405491">
        <w:t>15.</w:t>
      </w:r>
      <w:r w:rsidRPr="00405491">
        <w:tab/>
        <w:t xml:space="preserve">признава все по-големия брой жалби от година на година, като има предвид, че повечето жалби се отнасят до Комисията и се подават от служители на институциите, органите, службите и агенциите на ЕС; отбелязва, че през 2024 г. ЕНОЗД е получил 663 жалби, т.е. с 202 повече, отколкото през 2023 г., от които 108 са били допустими, а 555 – недопустими; отбелязва, че ЕНОЗД е издал окончателно решение, становище или отговор в 77 (т.е. увеличение с 33% в сравнение с 2023 г.) от общо 108-те случая на жалби, получени през 2024 г., и е отговорил на всички получени недопустими жалби; отбелязва, че от всички допустими жалби, получени през 2024 г., са приключени 48 случая, което представлява намаление спрямо 55 случая през 2023 г.; отбелязва, че към края на 2024 г. все още са били в ход 104 допустими жалби (увеличение спрямо 71 случая през 2023 г.), включително подадените преди 2024 г.; признава положените от ЕНОЗД усилия за намаляване на големия брой жалби и го насърчава да рационализира в още по-голяма степен разглеждането на жалбите, като потърси, например, общо разбиране на процедурата за разглеждане на жалбите с националните ОЗД, по-специално в пространството на свобода, сигурност и правосъдие, където разследванията са сложни и продължителни; отбелязва, че </w:t>
      </w:r>
      <w:r w:rsidRPr="00405491">
        <w:lastRenderedPageBreak/>
        <w:t>ЕНОЗД е получил 125 уведомления за нарушения на сигурността на личните данни през 2024 г., което представлява увеличение спрямо 77 уведомления през 2023 г.;</w:t>
      </w:r>
    </w:p>
    <w:p w14:paraId="06E6F5B2" w14:textId="77777777" w:rsidR="00EF5C75" w:rsidRPr="00405491" w:rsidRDefault="00EF5C75" w:rsidP="00EF5C75">
      <w:pPr>
        <w:pStyle w:val="NormalHanging12a"/>
        <w:rPr>
          <w:szCs w:val="24"/>
        </w:rPr>
      </w:pPr>
      <w:r w:rsidRPr="00405491">
        <w:t>16.</w:t>
      </w:r>
      <w:r w:rsidRPr="00405491">
        <w:tab/>
        <w:t>настоятелно призовава ЕНОЗД да обмисли своите КПИ и да гарантира, че те обхващат разглеждането на жалби, както и определянето на цели за разглеждането на жалби и проверки, по подобие на практиката на Европейския омбудсман;</w:t>
      </w:r>
    </w:p>
    <w:p w14:paraId="656C7033" w14:textId="77777777" w:rsidR="00EF5C75" w:rsidRPr="00405491" w:rsidRDefault="00EF5C75" w:rsidP="00EF5C75">
      <w:pPr>
        <w:pStyle w:val="NormalHanging12a"/>
        <w:rPr>
          <w:szCs w:val="24"/>
        </w:rPr>
      </w:pPr>
      <w:r w:rsidRPr="00405491">
        <w:t>17.</w:t>
      </w:r>
      <w:r w:rsidRPr="00405491">
        <w:tab/>
        <w:t xml:space="preserve">подчертава важната роля на консултациите и съветите на ЕНОЗД в законодателния процес на Съюза, не само на ранен етап от подготовката на законодателните предложения на Комисията, но и чрез предоставянето на коментари или становища относно компромисни изменения по време на тристранните преговори по искане на Парламента и неговите комисии; отбелязва, че съгласно член 42, параграф 1 от Регламент (ЕС) 2018/1725 ЕНОЗД е отговорил на 97 официални законодателни консултации (80 през 2023 г.) и в отговор на искания за законодателни консултации през 2024 г. е предоставил на Комисията и </w:t>
      </w:r>
      <w:proofErr w:type="spellStart"/>
      <w:r w:rsidRPr="00405491">
        <w:t>съзаконодателите</w:t>
      </w:r>
      <w:proofErr w:type="spellEnd"/>
      <w:r w:rsidRPr="00405491">
        <w:t xml:space="preserve"> съвети под формата на 25 становища (54 през 2023 г.), 45 официални коментара (26 през 2023 г.) и 27 неофициални коментара (34 през 2023 г.);</w:t>
      </w:r>
    </w:p>
    <w:p w14:paraId="0C1939C2" w14:textId="77777777" w:rsidR="00EF5C75" w:rsidRPr="00405491" w:rsidRDefault="00EF5C75" w:rsidP="00EF5C75">
      <w:pPr>
        <w:pStyle w:val="NormalHanging12a"/>
        <w:rPr>
          <w:szCs w:val="24"/>
        </w:rPr>
      </w:pPr>
      <w:r w:rsidRPr="00405491">
        <w:t>18.</w:t>
      </w:r>
      <w:r w:rsidRPr="00405491">
        <w:tab/>
        <w:t>отбелязва ключовата роля на ЕКЗД за хармонизирането на насоките, процедурите, процесите на правоприлагане и практиките на надзорните органи в отделните държави членки; отбелязва в този контекст, че през 2024 г. ЕКЗД не е взел никакво обвързващо решение, издал е 28 становища относно съгласуваността, приел е две нови насоки, публикувал е четири изявления относно законодателните промени, приложил е и е координирал няколко програми по отношение на сътрудничеството в областта на правоприлагането; отбелязва освен това, че ЕКЗД осигурява секретариата на Комитета за координиран надзор (CSC), който представлява група от националните надзорни органи и ЕНОЗД и осигурява координиран надзор на широкомащабните информационни системи на Съюза, като през 2024 г. този надзор е бил разширен с цел да обхване Визовата информационна система, в допълнение към подготвителната работа, извършена за надзора на Европейската система за информация за пътуванията и разрешаването им (ETIAS);</w:t>
      </w:r>
    </w:p>
    <w:p w14:paraId="3EC98A2A" w14:textId="77777777" w:rsidR="00EF5C75" w:rsidRPr="00405491" w:rsidRDefault="00EF5C75" w:rsidP="00EF5C75">
      <w:pPr>
        <w:pStyle w:val="NormalHanging12a"/>
        <w:rPr>
          <w:szCs w:val="24"/>
        </w:rPr>
      </w:pPr>
      <w:r w:rsidRPr="00405491">
        <w:t>19.</w:t>
      </w:r>
      <w:r w:rsidRPr="00405491">
        <w:tab/>
        <w:t>отбелязва със задоволство, че ЕНОЗД е разработил различни процедурни инструменти и политики за подобряване на процесите си на разследване през 2024 г.; в този контекст поздравява ЕНОЗД за това, че е изменил своя Процедурен правилник през 2024 г., при което „процедурата за преразглеждане“ е била заменена с „предварителна оценка“, за да се гарантира правото на изслушване на всички участващи страни; отбелязва, че считано от юли 2024 г. институциите, органите, службите и агенциите на ЕС могат да споделят вижданията си относно предварителната оценка, преди ЕНОЗД да вземе решение, което би могло да ги засегне неблагоприятно; отбелязва, че тези процедурни гаранции допринасят за справедливото и навременно разглеждане на жалбите и провеждане на разследванията; отбелязва, че през 2024 г. ЕНОЗД също така е преразгледал методологиите за разследване, разработил е наръчник за достъп до досието, подобрил е подготвеността за съдебни спорове, актуализирал е вътрешния наръчник за случаите на жалби и е подобрил процесите на записване и транскрипция на изслушванията;</w:t>
      </w:r>
    </w:p>
    <w:p w14:paraId="54C63A0F" w14:textId="77777777" w:rsidR="00EF5C75" w:rsidRPr="00405491" w:rsidRDefault="00EF5C75" w:rsidP="00EF5C75">
      <w:pPr>
        <w:pStyle w:val="NormalHanging12a"/>
      </w:pPr>
      <w:r w:rsidRPr="00405491">
        <w:lastRenderedPageBreak/>
        <w:t>20.</w:t>
      </w:r>
      <w:r w:rsidRPr="00405491">
        <w:tab/>
        <w:t>отбелязва въз основа на годишния доклад и доклада за последващите действия специалното внимание, което ЕНОЗД отделя на обработването на данни на деца, по-специално в контекста на правоприлагането; отбелязва, че един от одитите, извършени от ЕНОЗД през 2024 г., е бил относно обработването на лични данни на деца в научноизследователски проекти, управлявани от Съвместния изследователски център на Комисията в Испания, по-специално по отношение на взаимодействието между деца и роботи; отбелязва със задоволство, че през октомври 2024 г. ЕНОЗД е присъствал на кръглата маса на ОЗД от Г-7 в Рим, по повод на която ОЗД са публикували „Изявление относно ИИ и децата“, в което настоятелно призовават за действия за защита на неприкосновеността на личния живот на децата и за гарантиране, че ИИ насърчава доверието, като същевременно защитава най-уязвимите; припомня, че ЕНОЗД е извършил специална проверка на обработването от страна на Европол на данни за ненавършили пълнолетие лица на възраст под 15 години, идентифицирани като заподозрени лица; оценява факта, че ЕНОЗД е установил, че общият процес за оценка на информацията, предоставяна от партньорите относно ненавършилите пълнолетие лица (включително ненавършилите пълнолетие лица на възраст под 15 години), е ясен и добре развит; отбелязва, че в доклада от проверката на ЕНОЗД се отправя искане към Европол да продължи да извършва собствена оценка на законосъобразността на получените данни и се подчертава, че Европол трябва да оцени „строгата необходимост“ за обработването на данни за ненавършили пълнолетие лица, заподозрени в престъпления;</w:t>
      </w:r>
    </w:p>
    <w:p w14:paraId="53AE3241" w14:textId="77777777" w:rsidR="00EF5C75" w:rsidRPr="00405491" w:rsidRDefault="00EF5C75" w:rsidP="00EF5C75">
      <w:pPr>
        <w:pStyle w:val="NormalHanging12a"/>
        <w:rPr>
          <w:szCs w:val="24"/>
        </w:rPr>
      </w:pPr>
      <w:r w:rsidRPr="00405491">
        <w:t>21.</w:t>
      </w:r>
      <w:r w:rsidRPr="00405491">
        <w:tab/>
        <w:t>отбелязва, че институциите, органите, службите и агенциите на ЕС могат да се консултират с ЕНОЗД за насоки относно планираните операции по обработване и защитата на данните; отбелязва, че ЕНОЗД е предоставил съвети в рамките на 26 консултации и е издал 26 надзорни становища по различни теми; отбелязва по-специално, че през декември 2024 г. ЕНОЗД е публикувал надзорно становище относно плана на Парламента да използва биометрични данни, за да удостоверява присъствието на членовете на ЕП за целите на изплащането на дневни надбавки;</w:t>
      </w:r>
    </w:p>
    <w:p w14:paraId="5CCADB87" w14:textId="77777777" w:rsidR="00EF5C75" w:rsidRPr="00405491" w:rsidRDefault="00EF5C75" w:rsidP="00EF5C75">
      <w:pPr>
        <w:pStyle w:val="NormalHanging12a"/>
        <w:rPr>
          <w:szCs w:val="24"/>
        </w:rPr>
      </w:pPr>
      <w:r w:rsidRPr="00405491">
        <w:t>22.</w:t>
      </w:r>
      <w:r w:rsidRPr="00405491">
        <w:tab/>
        <w:t>отбелязва, че през 2024 г. ЕНОЗД е провел четири разследвания и две предварителни разследвания, което представлява намаление в сравнение с 2023 г.; отбелязва сред най-значимите случаи предварително разследване относно автоматизираното вземане на решения при подбора на стажанти, разследване относно използването на Microsoft 365 от страна на Комисията и едно предварително разследване относно профилирането в приложенията за публичен достъп; отбелязва по отношение на използването на Microsoft 365 от страна на Комисията, че разследването е установило множество нарушения на Регламент (ЕС) 2018/1725, което е подтикнало ЕНОЗД да разпореди на Комисията да спре всички потоци от данни към Microsoft и свързаните с него дружества извън Съюза/Европейското икономическо пространство (ЕИП) до 9 декември 2024 г.; призовава ЕНОЗД да информира редовно органа по освобождаване от отговорност за резултата от последващите действия във връзка със спазването от страна на Комисията на препоръките на ЕНОЗД в този случай; отбелязва освен това, че през 2024 г. ЕНОЗД е продължил пет разследвания относно практиките на уебсайтовете на институциите, органите, службите и агенциите на ЕС, фокусирайки се върху компонентите на трети страни и исканията за съгласие; отбелязва, че ЕНОЗД е извършил три одита през 2024 г. с посещения на място по теми като обработването на здравни данни, сроковете на съхранение и научните изследвания с участието на ненавършили пълнолетие лица;</w:t>
      </w:r>
    </w:p>
    <w:p w14:paraId="6D54A3CE" w14:textId="77777777" w:rsidR="00EF5C75" w:rsidRPr="00405491" w:rsidRDefault="00EF5C75" w:rsidP="00EF5C75">
      <w:pPr>
        <w:pStyle w:val="NormalHanging12a"/>
      </w:pPr>
      <w:r w:rsidRPr="00405491">
        <w:lastRenderedPageBreak/>
        <w:t>23.</w:t>
      </w:r>
      <w:r w:rsidRPr="00405491">
        <w:tab/>
        <w:t>припомня, че през 2022 г. ЕНОЗД е подал пред Съда на Европейския съюз (Съда на ЕС) иск за отмяна на две разпоредби на изменения Регламент (ЕС) 2016/794 на Европейския парламент и на Съвета</w:t>
      </w:r>
      <w:r w:rsidRPr="00405491">
        <w:rPr>
          <w:vertAlign w:val="superscript"/>
        </w:rPr>
        <w:footnoteReference w:id="9"/>
      </w:r>
      <w:r w:rsidRPr="00405491">
        <w:t>, който по-късно е отхвърлен от Съда на ЕС, но впоследствие решението на Общия съд по дело T-578/22</w:t>
      </w:r>
      <w:r w:rsidRPr="00405491">
        <w:rPr>
          <w:vertAlign w:val="superscript"/>
        </w:rPr>
        <w:footnoteReference w:id="10"/>
      </w:r>
      <w:r w:rsidRPr="00405491">
        <w:t xml:space="preserve"> е обжалвано от ЕНОЗД, който е счел, че повдигнатите въпроси следва да бъдат разгледани на най-високо равнище; отбелязва въз основа на доклада за последващите действия, че ЕНОЗД се въздържа да коментира това обжалване, тъй като то все още е в ход; припомня, че не следва да се счита, че отнасянето на правни въпроси до Съда на ЕС от страна на ЕНОЗД в надзорната му роля засяга лоялното сътрудничество и добрите отношения между ЕНОЗД и субектите, върху които упражнява надзор, но отбелязва, че то поражда съмнения относно позицията на ЕНОЗД по отношение на ролята на Парламента и на Съвета като законодател;</w:t>
      </w:r>
    </w:p>
    <w:p w14:paraId="631D06E7" w14:textId="77777777" w:rsidR="00EF5C75" w:rsidRPr="00405491" w:rsidRDefault="00EF5C75" w:rsidP="00EF5C75">
      <w:pPr>
        <w:pStyle w:val="NormalHanging12a"/>
        <w:rPr>
          <w:szCs w:val="24"/>
        </w:rPr>
      </w:pPr>
      <w:r w:rsidRPr="00405491">
        <w:t>24.</w:t>
      </w:r>
      <w:r w:rsidRPr="00405491">
        <w:tab/>
        <w:t>отбелязва, че оценката на стандартите за вътрешен контрол на ЕНОЗД през 2024 г. е потвърдила наличието на задоволително равнище на вътрешен контрол, като и 14-те стандарта са налице и функционират; отбелязва, че е била сформирана работна група, която да анализира резултатите и да предложи подобрения, като например подобрения в обучението и развитието, както и в управлението на знанията и документите; отбелязва въз основа на въпросника, че актуализираната рамка на ЕНОЗД за управление на риска е въвела структурирани последващи действия, които са позволили на организацията да гарантира, че усилията за смекчаване на последиците продължават да бъдат ефективни и последователно наблюдавани; отбелязва освен това, че ЕНОЗД е актуализирал процедурата си за последващите проверки, които понастоящем са основани на риска, и е укрепил непрекъснатостта на дейността и одитната следа посредством интегриране на системата ARES, обучение и подобряване на процесите за управление на знанията;</w:t>
      </w:r>
    </w:p>
    <w:p w14:paraId="6B9EA980" w14:textId="77777777" w:rsidR="00EF5C75" w:rsidRPr="00405491" w:rsidRDefault="00EF5C75" w:rsidP="00EF5C75">
      <w:pPr>
        <w:pStyle w:val="NormalHanging12a"/>
      </w:pPr>
      <w:r w:rsidRPr="00405491">
        <w:t>25.</w:t>
      </w:r>
      <w:r w:rsidRPr="00405491">
        <w:tab/>
        <w:t>отбелязва въз основа на въпросника, че през 2024 г. Службата за вътрешен одит на Комисията (СВО) е започнала един одит на управлението на ИТ услугите, предоставяни от Парламента на ЕНОЗД, в резултат на който са издадени две препоръки, които понастоящем се изпълняват от ЕНОЗД; отбелязва по отношение на одита от 2023 г. на „методологията за планиране на одитите на ЕНОЗД“, че една от двете препоръки, отправени от СВО, е била изпълнена, докато изпълнението на другата препоръка (относно разработването на методологията за изготвяне на одитния план на ЕНОЗД) е било отложено за момента, когато бъде назначен новият Надзорен орган; призовава ЕНОЗД да информира редовно органа по освобождаване от отговорност за напредъка, постигнат по този въпрос, като отбелязва, че ЕНОЗД следва да се консултира с одитираните от него субекти относно осъществимостта и пригодността на препоръките, които планира да отправи, за да се гарантира последващото бързо, ефективно и продуктивно изпълнение на препоръките от страна на одитирания орган;</w:t>
      </w:r>
    </w:p>
    <w:p w14:paraId="40D98EAF" w14:textId="77777777" w:rsidR="00EF5C75" w:rsidRPr="00405491" w:rsidRDefault="00EF5C75" w:rsidP="00EF5C75">
      <w:pPr>
        <w:pStyle w:val="NormalHanging12a"/>
        <w:rPr>
          <w:b/>
          <w:i/>
          <w:szCs w:val="24"/>
        </w:rPr>
      </w:pPr>
      <w:r w:rsidRPr="00405491">
        <w:rPr>
          <w:b/>
          <w:i/>
        </w:rPr>
        <w:lastRenderedPageBreak/>
        <w:t>Човешки ресурси, равенство и благосъстояние на служителите</w:t>
      </w:r>
    </w:p>
    <w:p w14:paraId="75439AB9" w14:textId="77777777" w:rsidR="00EF5C75" w:rsidRPr="00405491" w:rsidRDefault="00EF5C75" w:rsidP="00EF5C75">
      <w:pPr>
        <w:pStyle w:val="NormalHanging12a"/>
        <w:rPr>
          <w:szCs w:val="24"/>
        </w:rPr>
      </w:pPr>
      <w:r w:rsidRPr="00405491">
        <w:t>26.</w:t>
      </w:r>
      <w:r w:rsidRPr="00405491">
        <w:tab/>
        <w:t>отбелязва, че в края на 2024 г. ЕНОЗД е имал общо 137 служители в сравнение със 129 през 2023 г.; отбелязва, че ЕНОЗД е назначил 55 договорно наети служители съгласно член 3б от Условията за работа на другите служители на Европейския съюз (50 договорно наети служители през 2023 г.) и 9 срочно наети служители съгласно член 2, букви б) и в) (7 срочно наети служители през 2023 г.) и е използвал услугите на 10 външни доставчици на услуги, работещи на място през 2023 г. (12 външни доставчици на услуги през 2022 г.); приканва ЕНОЗД да обмисли начина за намаляване на броя на договорно наетите служители в полза на постоянните договори, за да осигури задържането на таланти и непрекъснатостта на дейността; отбелязва, че през 2024 г. ЕНОЗД е имал сред служителите си представители на 23 националности от държавите членки (също както през 2023 г.), което, въпреки прекомерното представителство на пет националности и недостатъчното представителство на други националности, е отличен резултат за такава малка институция; призовава ЕНОЗД да продължи да полага усилия за постигане на балансирано географско разпределение на гражданите от всички държави членки, по-специално по отношение на управленското равнище, включително чрез политиката си за набиране на персонал;</w:t>
      </w:r>
    </w:p>
    <w:p w14:paraId="3D93B287" w14:textId="77777777" w:rsidR="00EF5C75" w:rsidRPr="00405491" w:rsidRDefault="00EF5C75" w:rsidP="00EF5C75">
      <w:pPr>
        <w:pStyle w:val="NormalHanging12a"/>
      </w:pPr>
      <w:r w:rsidRPr="00405491">
        <w:t>27.</w:t>
      </w:r>
      <w:r w:rsidRPr="00405491">
        <w:tab/>
        <w:t>отбелязва високата степен на запълване на длъжностите в щатното разписание от 98,80% (в сравнение с 95,65% през 2023 г.), но също така и високото равнище на текучество от 12% през 2024 г. (в сравнение с 13% през 2023 г.); отбелязва, че повечето от незаетите длъжности са били резултат от липсата на подходящи кандидати;</w:t>
      </w:r>
      <w:r w:rsidRPr="00405491">
        <w:rPr>
          <w:b/>
          <w:i/>
        </w:rPr>
        <w:t xml:space="preserve"> </w:t>
      </w:r>
      <w:r w:rsidRPr="00405491">
        <w:t>признава предизвикателствата, установени в процедурите за набиране и подбор на персонал; отбелязва със задоволство въз основа на доклада за последващите действия, че ЕНОЗД е разгледал тези предизвикателства, като е разработил всеобхватна стратегия за задържане на персонала и привличане на таланти, която е била приета в началото на 2025 г., с краткосрочни, средносрочни и дългосрочни действия за задържане на опитния персонал, смекчаване на рисковете от текучество и подобряване на привлекателността на ЕНОЗД като работодател; насърчава ЕНОЗД да продължи да подобрява процедурите за набиране на персонал, като същевременно зачита изцяло принципите на заслуги, прозрачност и равно третиране;</w:t>
      </w:r>
    </w:p>
    <w:p w14:paraId="6634C0AE" w14:textId="77777777" w:rsidR="00EF5C75" w:rsidRPr="00405491" w:rsidRDefault="00EF5C75" w:rsidP="00EF5C75">
      <w:pPr>
        <w:pStyle w:val="NormalHanging12a"/>
        <w:rPr>
          <w:szCs w:val="24"/>
        </w:rPr>
      </w:pPr>
      <w:r w:rsidRPr="00405491">
        <w:t>28.</w:t>
      </w:r>
      <w:r w:rsidRPr="00405491">
        <w:tab/>
        <w:t>отбелязва по отношение на разпределението по пол на служителите на ЕНОЗД, че през 2024 г. 63% са били жени, а 37% – мъже, следвайки същата тенденция както през предходната година, когато разпределението между жените и мъжете е било съответно 65% и 35%; отбелязва баланса между половете сред ръководителите на средно равнище с трима мъже и три жени, но изразява съжаление относно продължаващото недостатъчно представителство на жените на висши ръководни длъжности; призовава ЕНОЗД да продължи да полага усилия за постигане на балансирано представителство на половете сред служителите си;</w:t>
      </w:r>
    </w:p>
    <w:p w14:paraId="10D0B2AC" w14:textId="77777777" w:rsidR="00EF5C75" w:rsidRPr="00405491" w:rsidRDefault="00EF5C75" w:rsidP="00EF5C75">
      <w:pPr>
        <w:ind w:left="567" w:hanging="567"/>
      </w:pPr>
      <w:r w:rsidRPr="00405491">
        <w:t>29.</w:t>
      </w:r>
      <w:r w:rsidRPr="00405491">
        <w:tab/>
        <w:t xml:space="preserve">отбелязва, че ЕНОЗД е наел 20 стажанти по линия на програмата за стажове „Синя книга“ на Комисията, на които е била изплатена месечна надбавка в размер на около 1 500 EUR, и един неплатен стажант въз основа на договор за академичен стаж; </w:t>
      </w:r>
      <w:bookmarkStart w:id="8" w:name="_Hlk215140632"/>
      <w:r w:rsidRPr="00405491">
        <w:t xml:space="preserve">отново подчертава, че стажовете следва да бъдат платени в съответствие с резолюцията на Европейския парламент от 14 юни 2023 г. с препоръки към Комисията относно качествени стажове в ЕС (2020/2005(INL)), в </w:t>
      </w:r>
      <w:r w:rsidRPr="00405491">
        <w:lastRenderedPageBreak/>
        <w:t>която се призовава всички стажове в Съюза да бъдат платени;</w:t>
      </w:r>
      <w:bookmarkEnd w:id="8"/>
    </w:p>
    <w:p w14:paraId="316333B2" w14:textId="77777777" w:rsidR="00EF5C75" w:rsidRPr="00405491" w:rsidRDefault="00EF5C75" w:rsidP="00EF5C75">
      <w:pPr>
        <w:ind w:left="567"/>
      </w:pPr>
    </w:p>
    <w:p w14:paraId="45C30AE1" w14:textId="77777777" w:rsidR="00EF5C75" w:rsidRPr="00405491" w:rsidRDefault="00EF5C75" w:rsidP="00EF5C75">
      <w:pPr>
        <w:pStyle w:val="NormalHanging12a"/>
        <w:rPr>
          <w:szCs w:val="24"/>
        </w:rPr>
      </w:pPr>
      <w:r w:rsidRPr="00405491">
        <w:t>30.</w:t>
      </w:r>
      <w:r w:rsidRPr="00405491">
        <w:tab/>
        <w:t>отбелязва дейностите, извършени от ЕНОЗД за развитието на неговите човешки ресурси през 2024 г.; отбелязва, че той е приел нова политика относно онлайн платформите за обучение, присъединил е се към новата междуинституционална програма за обмяна на опит чрез наблюдение на работата на колеги, като петима служители на ЕНОЗД са извършили обмяна на опит чрез наблюдение на работата на колеги от Комисията, и е организирал ден извън обичайното място на работа за служителите, занимаващи се с подготвеността за ИИ, и други дейности за постигане на сближаване; отбелязва създаването на междуведомствена работна група за разработване на инициативи в полза на равенството, приобщаването и многообразието;</w:t>
      </w:r>
    </w:p>
    <w:p w14:paraId="6685440F" w14:textId="77777777" w:rsidR="00EF5C75" w:rsidRPr="00405491" w:rsidRDefault="00EF5C75" w:rsidP="00EF5C75">
      <w:pPr>
        <w:pStyle w:val="NormalHanging12a"/>
      </w:pPr>
      <w:r w:rsidRPr="00405491">
        <w:t>31.</w:t>
      </w:r>
      <w:r w:rsidRPr="00405491">
        <w:tab/>
        <w:t>отбелязва въз основа на въпросника, че ЕНОЗД предлага гъвкави и хибридни схеми на работа, които се приемат добре от служителите, които могат, наред с другото, да се ползват от родителски отпуск, предоставяне на свободно време като компенсация, работа на непълно работно време или работа от чужбина за ограничен брой дни годишно; отбелязва, че следващото проучване на удовлетвореността на служителите, което обхваща дистанционната работа, е планирано за 2025 г.; счита, че сградната инфраструктура би могла да бъде оптимизирана по целесъобразност, за да отрази договореностите за дистанционна и хибридна работа, с оглед на намаляването на оперативните разходи и осигуряването на по-ефективно използване на офис пространството;</w:t>
      </w:r>
    </w:p>
    <w:p w14:paraId="2190E9FD" w14:textId="77777777" w:rsidR="00EF5C75" w:rsidRPr="00405491" w:rsidRDefault="00EF5C75" w:rsidP="00EF5C75">
      <w:pPr>
        <w:pStyle w:val="NormalHanging12a"/>
        <w:rPr>
          <w:szCs w:val="24"/>
        </w:rPr>
      </w:pPr>
      <w:r w:rsidRPr="00405491">
        <w:t>32.</w:t>
      </w:r>
      <w:r w:rsidRPr="00405491">
        <w:tab/>
        <w:t>отбелязва, че понастоящем ЕНОЗД не наема служители с увреждания, но във всички свои обявления за свободни длъжности има включена клауза за равни възможности и активно насърчава подаването на кандидатури от кандидати с увреждания; отбелязва, че корпоративният уебсайт на ЕНОЗД е изграден върху система за управление на съдържанието, която е приведена в съответствие с основните стандарти за достъпен уеб дизайн, и че всички допълнителни функционалности, разработени за този уебсайт, са създадени с достъпността като ключово изискване;</w:t>
      </w:r>
    </w:p>
    <w:p w14:paraId="4F6D5006" w14:textId="77777777" w:rsidR="00EF5C75" w:rsidRPr="00405491" w:rsidRDefault="00EF5C75" w:rsidP="00EF5C75">
      <w:pPr>
        <w:pStyle w:val="NormalHanging12a"/>
      </w:pPr>
      <w:r w:rsidRPr="00405491">
        <w:t>33.</w:t>
      </w:r>
      <w:r w:rsidRPr="00405491">
        <w:tab/>
        <w:t xml:space="preserve">отбелязва въз основа на въпросника отговора на ЕНОЗД, че ЕНОЗД няма достъп до медицинските досиета на своите служители и не е в състояние да знае първопричината за отсъствията, тъй като те се потвърждават от Медицинската служба на Комисията; отбелязва, че ЕНОЗД има достъп само до агрегирани данни, като например броя на дните отпуск по болест и дали те са придружени от медицинско свидетелство; отбелязва, че увеличението на броя на дните отпуск по болест от 2023 г. до 2024 г., т.е. от 1 680,50 на 1 946 (+15,80%), изпреварва увеличението на броя на служителите от 129 на 137 (т.е. +6,20%); отбелязва, че средната продължителност на заболяванията на човек също се е увеличила – от 14,7 дни през 2023 г. на 18,30 дни през 2024 г., и че процентът на отпуските по болест се е увеличил от 3,60% през 2023 г. на 3,9% през 2024 г.; изразява загриженост във връзка с настоящото положение и продължава да изисква по-ясна оценка на благосъстоянието на служителите, за да се установят възможните повтарящи се причини за професионалното изчерпване, случаите на които следва да се докладват ежегодно на органа по освобождаване от отговорност, както за всяка друга институция; изисква от ЕНОЗД, в сътрудничество с Медицинската служба на Комисията, да извърши целенасочена оценка на първопричините за това увеличение, със специален акцент върху предотвратяването на </w:t>
      </w:r>
      <w:r w:rsidRPr="00405491">
        <w:lastRenderedPageBreak/>
        <w:t>професионалното изчерпване;</w:t>
      </w:r>
    </w:p>
    <w:p w14:paraId="2FA3CA1A" w14:textId="77777777" w:rsidR="00EF5C75" w:rsidRPr="00405491" w:rsidRDefault="00EF5C75" w:rsidP="00EF5C75">
      <w:pPr>
        <w:pStyle w:val="NormalHanging12a"/>
        <w:rPr>
          <w:szCs w:val="24"/>
        </w:rPr>
      </w:pPr>
      <w:r w:rsidRPr="00405491">
        <w:t>34.</w:t>
      </w:r>
      <w:r w:rsidRPr="00405491">
        <w:tab/>
        <w:t>отбелязва въз основа на въпросника, че през 2024 г. в ЕНОЗД не са докладвани случаи на тормоз; оценява факта, че през 2024 г. ЕНОЗД е продължил да прави презентация относно борбата с тормоза, изнасяна от един от доверените съветници на ЕНОЗД по време на процеса на приобщаване за новопостъпилите служители; приветства публикуването на решението относно борбата с тормоза и ролята на доверените съветници на интранет страницата на ЕНОЗД;</w:t>
      </w:r>
    </w:p>
    <w:p w14:paraId="398D0BB5" w14:textId="77777777" w:rsidR="00EF5C75" w:rsidRPr="00405491" w:rsidRDefault="00EF5C75" w:rsidP="00EF5C75">
      <w:pPr>
        <w:pStyle w:val="NormalHanging12a"/>
        <w:rPr>
          <w:szCs w:val="24"/>
        </w:rPr>
      </w:pPr>
      <w:r w:rsidRPr="00405491">
        <w:rPr>
          <w:b/>
          <w:i/>
        </w:rPr>
        <w:t>Етична рамка и прозрачност</w:t>
      </w:r>
    </w:p>
    <w:p w14:paraId="7306E46F" w14:textId="77777777" w:rsidR="00EF5C75" w:rsidRPr="00405491" w:rsidRDefault="00EF5C75" w:rsidP="00EF5C75">
      <w:pPr>
        <w:pStyle w:val="NormalHanging12a"/>
      </w:pPr>
      <w:r w:rsidRPr="00405491">
        <w:t>35.</w:t>
      </w:r>
      <w:r w:rsidRPr="00405491">
        <w:tab/>
        <w:t>отбелязва, че ЕНОЗД е създал рамка за предотвратяване на конфликтите на интереси на равнище висше ръководство и персонал чрез кодекси за поведение, повишаване на осведомеността и декларации за липса на конфликт на интереси и поверителност; отбелязва, че всички служители, които се присъединяват към ЕНОЗД, трябва да подпишат декларация за липса на конфликт на интереси и поверителност; отбелязва, че през 2024 г. в ЕНОЗД не са регистрирани случаи на конфликт на интереси или подаване на сигнали за нередности; отбелязва със загриженост, че през 2024 г. в ЕНОЗД е докладван един случай на предполагаема измама, който е разследван от Службата за дисциплинарни въпроси на Комисията (IDOC); отбелязва в този случай, че IDOC е приключила разследването през 2025 г., като е отправила препоръка към ЕНОЗД да започне дисциплинарно производство в съответствие с Правилника за длъжностните лица; приканва ЕНОЗД да информира редовно органа по освобождаване от отговорност за крайния резултат от този въпрос, както и за всички потенциални мерки, предприети с цел засилване на вътрешния контрол за борба с измамите;</w:t>
      </w:r>
    </w:p>
    <w:p w14:paraId="6A7673AD" w14:textId="77777777" w:rsidR="00EF5C75" w:rsidRPr="00405491" w:rsidRDefault="00EF5C75" w:rsidP="00EF5C75">
      <w:pPr>
        <w:pStyle w:val="NormalHanging12a"/>
        <w:rPr>
          <w:szCs w:val="24"/>
        </w:rPr>
      </w:pPr>
      <w:r w:rsidRPr="00405491">
        <w:t>36.</w:t>
      </w:r>
      <w:r w:rsidRPr="00405491">
        <w:tab/>
        <w:t>отбелязва, че през 2024 г. ЕНОЗД е продължил да организира въвеждащи обучения, обхващащи неговата етична рамка (относно тормоза, подаването на сигнали за нередности, конфликтите на интереси) и стратегията за борба с измамите, за новопостъпилите служители на ЕНОЗД/ЕКЗД; отбелязва, че всяка година служителят по етика на ЕНОЗД представя доклад относно етиката пред ръководството на ЕНОЗД/ЕКЗД и участва в работната група по етика „</w:t>
      </w:r>
      <w:proofErr w:type="spellStart"/>
      <w:r w:rsidRPr="00405491">
        <w:t>Comité</w:t>
      </w:r>
      <w:proofErr w:type="spellEnd"/>
      <w:r w:rsidRPr="00405491">
        <w:t xml:space="preserve"> </w:t>
      </w:r>
      <w:proofErr w:type="spellStart"/>
      <w:r w:rsidRPr="00405491">
        <w:t>Paritaire</w:t>
      </w:r>
      <w:proofErr w:type="spellEnd"/>
      <w:r w:rsidRPr="00405491">
        <w:t xml:space="preserve"> </w:t>
      </w:r>
      <w:proofErr w:type="spellStart"/>
      <w:r w:rsidRPr="00405491">
        <w:t>des</w:t>
      </w:r>
      <w:proofErr w:type="spellEnd"/>
      <w:r w:rsidRPr="00405491">
        <w:t xml:space="preserve"> </w:t>
      </w:r>
      <w:proofErr w:type="spellStart"/>
      <w:r w:rsidRPr="00405491">
        <w:t>Questions</w:t>
      </w:r>
      <w:proofErr w:type="spellEnd"/>
      <w:r w:rsidRPr="00405491">
        <w:t xml:space="preserve"> </w:t>
      </w:r>
      <w:proofErr w:type="spellStart"/>
      <w:r w:rsidRPr="00405491">
        <w:t>Statutaires</w:t>
      </w:r>
      <w:proofErr w:type="spellEnd"/>
      <w:r w:rsidRPr="00405491">
        <w:t>“; отбелязва със задоволство, че ЕНОЗД е създал пощенска кутия, където служителите могат да подават исканията си относно всякакви свързани с етиката запитвания; насърчава ЕНОЗД да продължи да повишава осведомеността и да организира проучвания за оценка на равнището на осведоменост на персонала относно етичната рамка на ЕНОЗД/ЕКЗД;</w:t>
      </w:r>
    </w:p>
    <w:p w14:paraId="5D40AFB4" w14:textId="77777777" w:rsidR="00EF5C75" w:rsidRPr="00405491" w:rsidRDefault="00EF5C75" w:rsidP="00EF5C75">
      <w:pPr>
        <w:pStyle w:val="NormalHanging12a"/>
      </w:pPr>
      <w:r w:rsidRPr="00405491">
        <w:t>37.</w:t>
      </w:r>
      <w:r w:rsidRPr="00405491">
        <w:tab/>
        <w:t xml:space="preserve">приветства като цяло високото равнище на прозрачност, постигнато от ЕНОЗД в неговите дейности, включително по отношение на публикуването на дневния ред и декларацията за интереси на Надзорния орган и на генералния секретар; отбелязва със задоволство въз основа на въпросника, че след вътрешна оценка на мерките за прозрачност, извършена през периода 2023 – 2024 г., ЕНОЗД е приел решение през 2025 г., съгласно което Надзорният орган, генералният секретар и служителите на ЕНОЗД, които изпълняват ръководни функции, ще се срещат с представители на интереси само ако са регистрирани в регистъра за прозрачност на Съюза; приветства факта, че с това решение ЕНОЗД става част от регистъра за прозрачност на Съюза, чийто управителен съвет е бил надлежно уведомен; препоръчва ЕНОЗД да публикува на своя уебсайт списък на всички срещи, проведени с представители на интереси, с цел допълнително повишаване на </w:t>
      </w:r>
      <w:r w:rsidRPr="00405491">
        <w:lastRenderedPageBreak/>
        <w:t>публичната отчетност и прозрачност;</w:t>
      </w:r>
    </w:p>
    <w:p w14:paraId="15A16FE6" w14:textId="77777777" w:rsidR="00EF5C75" w:rsidRPr="00405491" w:rsidRDefault="00EF5C75" w:rsidP="00EF5C75">
      <w:pPr>
        <w:pStyle w:val="NormalHanging12a"/>
        <w:rPr>
          <w:szCs w:val="24"/>
        </w:rPr>
      </w:pPr>
      <w:r w:rsidRPr="00405491">
        <w:t>38.</w:t>
      </w:r>
      <w:r w:rsidRPr="00405491">
        <w:tab/>
        <w:t>отбелязва, че ЕНОЗД е бил обект на разследване от страна на Европейския омбудсман по случай, започнат през 2023 г., който е приключен през 2024 г. с констатация за лошо администриране; отбелязва, че констатацията се отнася до времето, необходимо на ЕНОЗД, за да завърши оценката на жалба в разумен срок и за това, че не е информирал проактивно жалбоподателя за напредъка по случая; в резултат на това оценява факта, че ЕНОЗД е предприел действия за подобряване на процедурите си, като понастоящем от служителите се изисква проактивно да актуализират жалбите и да спират разследванията, когато очакват съдебни решения или решения от други органи по същия въпрос; отбелязва въз основа на въпросника, че ЕНОЗД е участвал в три разследвания на Европейската служба за борба с измамите (OLAF) през 2024 г., които все още са в ход; приканва ЕНОЗД да информира редовно органа по освобождаване от отговорност относно тези въпроси;</w:t>
      </w:r>
    </w:p>
    <w:p w14:paraId="6D4E866C" w14:textId="77777777" w:rsidR="00EF5C75" w:rsidRPr="00405491" w:rsidRDefault="00EF5C75" w:rsidP="00EF5C75">
      <w:pPr>
        <w:pStyle w:val="NormalHanging12a"/>
      </w:pPr>
      <w:r w:rsidRPr="00405491">
        <w:t>39.</w:t>
      </w:r>
      <w:r w:rsidRPr="00405491">
        <w:tab/>
        <w:t>подчертава ролята на ЕНОЗД в надзора върху операциите по обработване на лични данни от институциите, органите и агенциите на Европейския съюз; изразява загриженост относно времето, необходимо на ЕНОЗД за разглеждане на жалбите; припомня решението на Европейския омбудсман от 7 ноември 2024 г. по досие 1888/2023/TM, в което Европейският омбудсман констатира, че шестте години, които са били необходими на ЕНОЗД, за да завърши оценката на жалба, не са разумен срок и че подходът на ЕНОЗД представлява лошо администриране; отбелязва, че Европейският омбудсман е установил, че ЕНОЗД също така не е информирал жалбоподателя за напредъка по случая;</w:t>
      </w:r>
    </w:p>
    <w:p w14:paraId="7887BC17" w14:textId="77777777" w:rsidR="00EF5C75" w:rsidRPr="00405491" w:rsidRDefault="00EF5C75" w:rsidP="00EF5C75">
      <w:pPr>
        <w:pStyle w:val="NormalHanging12a"/>
        <w:rPr>
          <w:szCs w:val="24"/>
        </w:rPr>
      </w:pPr>
      <w:r w:rsidRPr="00405491">
        <w:t>40.</w:t>
      </w:r>
      <w:r w:rsidRPr="00405491">
        <w:tab/>
        <w:t>отбелязва, че в съответствие с член 9 от Кодекса за поведение на ЕНОЗД Надзорният орган и генералният секретар са обвързани със задължението за почтеност, дискретност и поверителност в продължение на три години, след като са престанали да заемат длъжността; отбелязва, че нито един висш служител не е напуснал ЕНОЗД, нито се е присъединил към него през 2024 г.;</w:t>
      </w:r>
    </w:p>
    <w:p w14:paraId="0A47BD10" w14:textId="77777777" w:rsidR="00EF5C75" w:rsidRPr="00405491" w:rsidRDefault="00EF5C75" w:rsidP="00EF5C75">
      <w:pPr>
        <w:pStyle w:val="NormalHanging12a"/>
        <w:rPr>
          <w:szCs w:val="24"/>
        </w:rPr>
      </w:pPr>
      <w:r w:rsidRPr="00405491">
        <w:rPr>
          <w:b/>
          <w:i/>
        </w:rPr>
        <w:t>Цифровизация, киберсигурност и защита на данните</w:t>
      </w:r>
    </w:p>
    <w:p w14:paraId="7D2CC847" w14:textId="77777777" w:rsidR="00EF5C75" w:rsidRPr="00405491" w:rsidRDefault="00EF5C75" w:rsidP="00EF5C75">
      <w:pPr>
        <w:pStyle w:val="NormalHanging12a"/>
        <w:rPr>
          <w:szCs w:val="24"/>
        </w:rPr>
      </w:pPr>
      <w:r w:rsidRPr="00405491">
        <w:t>41.</w:t>
      </w:r>
      <w:r w:rsidRPr="00405491">
        <w:tab/>
        <w:t>отбелязва въз основа на въпросника, че разходите за ИТ оборудване и проекти за 2024 г. са били с 10% по-високи в сравнение с 2023 г. поради допълнителни консултации в областта на киберсигурността; отбелязва освен това, че други елементи на разходите са останали относително стабилни между тези две години, включително общите услуги и поддръжката в областта на ИТ;</w:t>
      </w:r>
    </w:p>
    <w:p w14:paraId="3A0C5836" w14:textId="77777777" w:rsidR="00EF5C75" w:rsidRPr="00405491" w:rsidRDefault="00EF5C75" w:rsidP="00EF5C75">
      <w:pPr>
        <w:pStyle w:val="NormalHanging12a"/>
        <w:rPr>
          <w:szCs w:val="24"/>
        </w:rPr>
      </w:pPr>
      <w:r w:rsidRPr="00405491">
        <w:t>42.</w:t>
      </w:r>
      <w:r w:rsidRPr="00405491">
        <w:tab/>
        <w:t xml:space="preserve">отбелязва напредъка, постигнат от ЕНОЗД по пътя му към цифрова трансформация през 2024 г.; отбелязва по-специално, че ЕНОЗД е интегрирал EU </w:t>
      </w:r>
      <w:proofErr w:type="spellStart"/>
      <w:r w:rsidRPr="00405491">
        <w:t>Send</w:t>
      </w:r>
      <w:proofErr w:type="spellEnd"/>
      <w:r w:rsidRPr="00405491">
        <w:t xml:space="preserve"> (услуга/канал за обмен на чувствителна некласифицирана информация с други институции, органи, служби и агенции на ЕС), въвел е </w:t>
      </w:r>
      <w:proofErr w:type="spellStart"/>
      <w:r w:rsidRPr="00405491">
        <w:t>ServiceNow</w:t>
      </w:r>
      <w:proofErr w:type="spellEnd"/>
      <w:r w:rsidRPr="00405491">
        <w:t xml:space="preserve"> за ИТ поддръжка (създавайки единен портал за помощ за персонала), внедрил е SECABC (междуинституционална рамка за сигурен обмен на информация) и е мигрирал към локалната услуга Container-</w:t>
      </w:r>
      <w:proofErr w:type="spellStart"/>
      <w:r w:rsidRPr="00405491">
        <w:t>as</w:t>
      </w:r>
      <w:proofErr w:type="spellEnd"/>
      <w:r w:rsidRPr="00405491">
        <w:t xml:space="preserve">-a-Service на Комисията; отбелязва, че за цифровата трансформация на ЕНОЗД са разпределени едно постоянно длъжностно лице и един договорно нает служител; потвърждава въз основа на въпросника и доклада за последващите действия бюджетните ограничения на ЕНОЗД, които възпрепятстват създаването на екип от най-малко петима ИТ </w:t>
      </w:r>
      <w:r w:rsidRPr="00405491">
        <w:lastRenderedPageBreak/>
        <w:t>специалисти, обхващащ 7 различни ИТ области, който би могъл да покрие специфични приложения, свързани с работните процеси на ЕНОЗД, които надхвърлят основната ИТ инфраструктура и услуги, предлагани от Парламента и Комисията съгласно споразуменията за нивото на обслужване;</w:t>
      </w:r>
    </w:p>
    <w:p w14:paraId="06A0D262" w14:textId="77777777" w:rsidR="00EF5C75" w:rsidRPr="00405491" w:rsidRDefault="00EF5C75" w:rsidP="00EF5C75">
      <w:pPr>
        <w:pStyle w:val="NormalHanging12a"/>
        <w:rPr>
          <w:bCs/>
          <w:iCs/>
        </w:rPr>
      </w:pPr>
      <w:r w:rsidRPr="00405491">
        <w:t>43.</w:t>
      </w:r>
      <w:r w:rsidRPr="00405491">
        <w:tab/>
        <w:t>отбелязва, че ограниченият вътрешен персонал на ЕНОЗД в областта на ИТ се компенсира частично от ИТ услугите, предоставяни от Парламента и Комисията съгласно споразуменията за нивото на обслужване и механизма за отказ от плащане; припомня, че в резолюцията си за освобождаване от отговорност във връзка с изпълнението на бюджета за 2023 г. Парламентът вече установи структурни пропуски между тези междуинституционални ИТ услуги и специфичните оперативни потребности на ЕНОЗД; подчертава, че макар този модел да може да генерира икономии от мащаба, той може да намали предвидимостта на разходите и прекия контрол на малките институции върху развитието на свързаните с ИТ разходи, и подчертава, че е важно този натиск върху структурните разходи да бъде взет предвид при бъдещото бюджетно планиране;</w:t>
      </w:r>
    </w:p>
    <w:p w14:paraId="62B3A702" w14:textId="77777777" w:rsidR="00EF5C75" w:rsidRPr="00405491" w:rsidRDefault="00EF5C75" w:rsidP="00EF5C75">
      <w:pPr>
        <w:pStyle w:val="NormalHanging12a"/>
        <w:rPr>
          <w:bCs/>
          <w:iCs/>
        </w:rPr>
      </w:pPr>
      <w:r w:rsidRPr="00405491">
        <w:t>44.</w:t>
      </w:r>
      <w:r w:rsidRPr="00405491">
        <w:tab/>
        <w:t xml:space="preserve">подчертава работата на ЕНОЗД по базирани в Съюза съвместни решения за изчисления в облак с отворен код, по-специално проекта </w:t>
      </w:r>
      <w:proofErr w:type="spellStart"/>
      <w:r w:rsidRPr="00405491">
        <w:t>Nextcloud</w:t>
      </w:r>
      <w:proofErr w:type="spellEnd"/>
      <w:r w:rsidRPr="00405491">
        <w:t xml:space="preserve"> и миграцията му към управляван от Комисията център за данни, с оглед на укрепването на суверенитета на данните и намаляването на зависимостта от доставчици извън Съюза; приканва ЕНОЗД да предостави на органа по освобождаване от отговорност оценка на общите разходи за собствеността върху проекта, ползите му за сигурността и възможностите за разрастването му за други институции на Съюза;</w:t>
      </w:r>
    </w:p>
    <w:p w14:paraId="211AD46A" w14:textId="77777777" w:rsidR="00EF5C75" w:rsidRPr="00405491" w:rsidRDefault="00EF5C75" w:rsidP="00EF5C75">
      <w:pPr>
        <w:pStyle w:val="NormalHanging12a"/>
      </w:pPr>
      <w:r w:rsidRPr="00405491">
        <w:t>45.</w:t>
      </w:r>
      <w:r w:rsidRPr="00405491">
        <w:tab/>
        <w:t>признава, че ЕНОЗД успешно разчита на много от използваните от Комисията административни системи, особено в областта на човешките ресурси и процесите в областта на бизнес администрацията, както и на някои от услугите на Парламента, включително предоставянето на лаптопи, мрежова инфраструктура и видеоконферентна връзка, наред с другото; отбелязва, че ЕНОЗД използва квалифицирания електронен подпис, за да подписва електронни административни и финансови документи в системата ARES и извън нея; поздравява ЕНОЗД за постигнатия напредък по отношение на приемането на инструменти за електронни обществени поръчки, което е предвидено за 2026 г., когато SUMMA, новият финансов софтуер, също ще бъде въведен в ЕНОЗД;</w:t>
      </w:r>
    </w:p>
    <w:p w14:paraId="1D53B470" w14:textId="77777777" w:rsidR="00EF5C75" w:rsidRPr="00405491" w:rsidRDefault="00EF5C75" w:rsidP="00EF5C75">
      <w:pPr>
        <w:pStyle w:val="NormalHanging12a"/>
      </w:pPr>
      <w:r w:rsidRPr="00405491">
        <w:t>46.</w:t>
      </w:r>
      <w:r w:rsidRPr="00405491">
        <w:tab/>
        <w:t>отбелязва въз основа на въпросника, че през 2025 г. ЕНОЗД е одобрил вътрешни насоки относно използването на системи с генеративен ИИ от страна на своите служители, на които също така се предлага задължителен курс на обучение в областта на ИИ; приветства подготвителната работа на ЕНОЗД за евентуалното издаване на насоки с цел да се гарантира, че инструментите с ИИ се използват по отговорен начин от страна на институциите, органите, службите и агенциите на ЕС, които биха допълнили вече предоставените от Комисията насоки, фокусирайки се върху особеностите на публичната администрация на Съюза или случаите на използване в конкретни области, като например човешките ресурси/набирането на персонал;</w:t>
      </w:r>
    </w:p>
    <w:p w14:paraId="2F3DDC91" w14:textId="77777777" w:rsidR="00EF5C75" w:rsidRPr="00405491" w:rsidRDefault="00EF5C75" w:rsidP="00EF5C75">
      <w:pPr>
        <w:pStyle w:val="NormalHanging12a"/>
        <w:rPr>
          <w:szCs w:val="24"/>
        </w:rPr>
      </w:pPr>
      <w:r w:rsidRPr="00405491">
        <w:t>47.</w:t>
      </w:r>
      <w:r w:rsidRPr="00405491">
        <w:tab/>
        <w:t xml:space="preserve">признава водещата роля на ЕНОЗД за повишаване на подготвеността на институциите, органите, службите и агенциите на ЕС в областта на </w:t>
      </w:r>
      <w:r w:rsidRPr="00405491">
        <w:lastRenderedPageBreak/>
        <w:t>киберсигурността и същевременно работата му в тясно сътрудничество с органи като ENISA и центровете за киберсигурност, като например CERT-EU;</w:t>
      </w:r>
    </w:p>
    <w:p w14:paraId="73438322" w14:textId="77777777" w:rsidR="00EF5C75" w:rsidRPr="00405491" w:rsidRDefault="00EF5C75" w:rsidP="00EF5C75">
      <w:pPr>
        <w:pStyle w:val="NormalHanging12a"/>
      </w:pPr>
      <w:r w:rsidRPr="00405491">
        <w:t>48.</w:t>
      </w:r>
      <w:r w:rsidRPr="00405491">
        <w:tab/>
        <w:t>отбелязва въз основа на въпросника, че ЕНОЗД е стартирал две ключови инициативи за укрепване на управлението на нарушенията на сигурността на личните данни във всички институции на Съюза, а именно кампанията за повишаване на осведомеността относно нарушаването на сигурността на личните данни, насочена към субекти, които преди това не са докладвали за нарушения, предоставяща инструменти за самооценка, двустранни консултации и адаптирани препоръки, както и учение в областта на киберсигурността (наречено PATRICIA), насочено към подобряване на справянето с инциденти в областта на киберсигурността, свързани с нарушения на сигурността на личните данни, и засилване на междуинституционалното сътрудничество; отбелязва със задоволство, че и двете инициативи бяха отличени от Световната асамблея на неприкосновеността на личния живот през 2025 г. за приноса им към отчетността; отбелязва, че ЕНОЗД е укрепил рамката си за киберсигурност, като е въвел откриване на уязвимости и заплахи в реално време за базирани на интернет активи, чрез засилено сътрудничество в рамките на споразумението си за нивото на обслужване със CERT-EU; поздравява ЕНОЗД за организирането на конференция в Брюксел през юни 2024 г., която събра експерти по защита на данните, създатели на политики и специалисти в областта на технологиите с цел да се обмисли променящата се роля на защитата на данните в съвременните демокрации, по-специално предвид увеличаването на дезинформацията и онлайн манипулирането, както и предизвикателствата, породени от социалните медии;</w:t>
      </w:r>
    </w:p>
    <w:p w14:paraId="000AB51A" w14:textId="77777777" w:rsidR="00EF5C75" w:rsidRPr="00405491" w:rsidRDefault="00EF5C75" w:rsidP="00EF5C75">
      <w:pPr>
        <w:pStyle w:val="NormalHanging12a"/>
        <w:rPr>
          <w:b/>
          <w:i/>
          <w:szCs w:val="24"/>
        </w:rPr>
      </w:pPr>
      <w:r w:rsidRPr="00405491">
        <w:rPr>
          <w:b/>
          <w:i/>
        </w:rPr>
        <w:t>Сгради</w:t>
      </w:r>
    </w:p>
    <w:p w14:paraId="35D262C3" w14:textId="77777777" w:rsidR="00EF5C75" w:rsidRPr="00405491" w:rsidRDefault="00EF5C75" w:rsidP="00EF5C75">
      <w:pPr>
        <w:pStyle w:val="NormalHanging12a"/>
        <w:rPr>
          <w:szCs w:val="24"/>
        </w:rPr>
      </w:pPr>
      <w:r w:rsidRPr="00405491">
        <w:t>49.</w:t>
      </w:r>
      <w:r w:rsidRPr="00405491">
        <w:tab/>
        <w:t>отбелязва, че през 2024 г. е бил необходим трансфер на приблизително 55 000 EUR за покриване на разходите за сигурност на сградите и наем, тъй като разходите за наем, потвърдени за 2024 г. от Парламента, чиято сграда използва ЕНОЗД, са били по-високи от разпределените за тази година бюджетни кредити;</w:t>
      </w:r>
    </w:p>
    <w:p w14:paraId="6323B525" w14:textId="77777777" w:rsidR="00EF5C75" w:rsidRPr="00405491" w:rsidRDefault="00EF5C75" w:rsidP="00EF5C75">
      <w:pPr>
        <w:pStyle w:val="NormalHanging12a"/>
        <w:rPr>
          <w:szCs w:val="24"/>
        </w:rPr>
      </w:pPr>
      <w:r w:rsidRPr="00405491">
        <w:t>50.</w:t>
      </w:r>
      <w:r w:rsidRPr="00405491">
        <w:tab/>
        <w:t>отбелязва, че що се отнася до достъпността на сградата му, ЕНОЗД разчита на решенията, взети и прилагани от Парламента като част от неговата политика в областта на сградния фонд; приканва ЕНОЗД да информира органа по освобождаване от отговорност дали планира също така да наеме стажанти с намалена подвижност или увреждания;</w:t>
      </w:r>
    </w:p>
    <w:p w14:paraId="6BE93FE7" w14:textId="77777777" w:rsidR="00EF5C75" w:rsidRPr="00405491" w:rsidRDefault="00EF5C75" w:rsidP="00EF5C75">
      <w:pPr>
        <w:pStyle w:val="NormalHanging12a"/>
        <w:rPr>
          <w:b/>
          <w:iCs/>
          <w:szCs w:val="24"/>
        </w:rPr>
      </w:pPr>
      <w:r w:rsidRPr="00405491">
        <w:rPr>
          <w:b/>
          <w:i/>
        </w:rPr>
        <w:t>Околна среда и устойчивост</w:t>
      </w:r>
    </w:p>
    <w:p w14:paraId="6E457D99" w14:textId="77777777" w:rsidR="00EF5C75" w:rsidRPr="00405491" w:rsidRDefault="00EF5C75" w:rsidP="00EF5C75">
      <w:pPr>
        <w:pStyle w:val="NormalHanging12a"/>
        <w:rPr>
          <w:bCs/>
          <w:iCs/>
          <w:szCs w:val="24"/>
        </w:rPr>
      </w:pPr>
      <w:r w:rsidRPr="00405491">
        <w:t>51.</w:t>
      </w:r>
      <w:r w:rsidRPr="00405491">
        <w:tab/>
        <w:t>отбелязва, че ЕНОЗД наема интелигентна сграда на Парламента, чийто отпечатък върху околната среда се намалява чрез няколко мерки, като например регулирането на температурата, което се извършва автоматично и централно, наред с другото; отбелязва, че тази сграда е оборудвана и с фотоволтаични панели, които генерират приблизително 20 </w:t>
      </w:r>
      <w:proofErr w:type="spellStart"/>
      <w:r w:rsidRPr="00405491">
        <w:t>kWh</w:t>
      </w:r>
      <w:proofErr w:type="spellEnd"/>
      <w:r w:rsidRPr="00405491">
        <w:t xml:space="preserve"> електроенергия, което покрива 6,04% от общото потребление на ЕНОЗД през 2024 г.;</w:t>
      </w:r>
    </w:p>
    <w:p w14:paraId="7AF03A02" w14:textId="77777777" w:rsidR="00EF5C75" w:rsidRPr="00405491" w:rsidRDefault="00EF5C75" w:rsidP="00EF5C75">
      <w:pPr>
        <w:pStyle w:val="NormalHanging12a"/>
      </w:pPr>
      <w:r w:rsidRPr="00405491">
        <w:t>52.</w:t>
      </w:r>
      <w:r w:rsidRPr="00405491">
        <w:tab/>
        <w:t xml:space="preserve">отбелязва, че ЕНОЗД не се е присъединил към Схемата за управление по околна среда и одит (EMAS); отбелязва, че с оглед на сертифицирането по EMAS, през 2024 г. ЕНОЗД създаде междуведомствена работна група, чиито цели са да картографира съществуващите мерки, които вече се прилагат от Парламента, да </w:t>
      </w:r>
      <w:r w:rsidRPr="00405491">
        <w:lastRenderedPageBreak/>
        <w:t>разработи стратегии за намаляване на въглеродните емисии и да предложи иновативни решения; призовава ЕНОЗД да определи ясен график за постигането на сертифициране по EMAS и да информира редовно органа по освобождаване от отговорност за напредъка, постигнат по този въпрос;</w:t>
      </w:r>
    </w:p>
    <w:p w14:paraId="6CEE606D" w14:textId="77777777" w:rsidR="00EF5C75" w:rsidRPr="00405491" w:rsidRDefault="00EF5C75" w:rsidP="00EF5C75">
      <w:pPr>
        <w:spacing w:after="240"/>
        <w:ind w:left="567" w:hanging="567"/>
      </w:pPr>
      <w:r w:rsidRPr="00405491">
        <w:t>53.</w:t>
      </w:r>
      <w:r w:rsidRPr="00405491">
        <w:tab/>
        <w:t>отбелязва въз основа на въпросника, че ЕНОЗД провежда по-голямата част от своите обществени поръчки чрез междуинституционални рамкови договори и като участващ възлагащ орган прилага критериите за устойчивост, установени от водещия възлагащ орган;</w:t>
      </w:r>
    </w:p>
    <w:p w14:paraId="0FF61FA0" w14:textId="77777777" w:rsidR="00EF5C75" w:rsidRPr="00405491" w:rsidRDefault="00EF5C75" w:rsidP="00EF5C75">
      <w:pPr>
        <w:spacing w:after="240"/>
        <w:ind w:left="567" w:hanging="567"/>
      </w:pPr>
      <w:r w:rsidRPr="00405491">
        <w:t>54.</w:t>
      </w:r>
      <w:r w:rsidRPr="00405491">
        <w:tab/>
        <w:t>отбелязва въз основа на въпросника, че всички служебни пътувания в рамките на ЕНОЗД трябва да са в съответствие с правилата, определени в ръководството за командировките; отбелязва, че служителите на ЕНОЗД пътуват предимно в икономична класа и че повечето пътувания се извършват в рамките на Съюза; приветства усилията на ЕНОЗД да намали въглеродния си отпечатък, като насърчава служителите да използват видеоконферентната връзка, пътуването с влак на кратки разстояния и обществения транспорт, когато пътуват до или от летището или на мястото на командировката;</w:t>
      </w:r>
    </w:p>
    <w:p w14:paraId="7027F17F" w14:textId="77777777" w:rsidR="00EF5C75" w:rsidRPr="00405491" w:rsidRDefault="00EF5C75" w:rsidP="00EF5C75">
      <w:pPr>
        <w:spacing w:after="240"/>
        <w:ind w:left="567" w:hanging="567"/>
      </w:pPr>
      <w:r w:rsidRPr="00405491">
        <w:t>55.</w:t>
      </w:r>
      <w:r w:rsidRPr="00405491">
        <w:tab/>
        <w:t>отбелязва въз основа на въпросника, че ЕНОЗД прилага стратегия за устойчива мобилност, която позволява на служителите да поискат възстановяване на 50% от стойността на месечните или годишните си абонаментни карти или карти за многократни пътувания за обществен транспорт и предоставя съоръжения, адаптирани към нуждите на служителите, които използват велосипеди;</w:t>
      </w:r>
    </w:p>
    <w:p w14:paraId="47689411" w14:textId="77777777" w:rsidR="00EF5C75" w:rsidRPr="00405491" w:rsidRDefault="00EF5C75" w:rsidP="00EF5C75">
      <w:pPr>
        <w:pStyle w:val="NormalHanging12a"/>
        <w:rPr>
          <w:b/>
          <w:i/>
          <w:szCs w:val="24"/>
        </w:rPr>
      </w:pPr>
      <w:r w:rsidRPr="00405491">
        <w:rPr>
          <w:b/>
          <w:i/>
        </w:rPr>
        <w:t>Междуинституционално сътрудничество</w:t>
      </w:r>
    </w:p>
    <w:p w14:paraId="12051EA1" w14:textId="77777777" w:rsidR="00EF5C75" w:rsidRPr="00405491" w:rsidRDefault="00EF5C75" w:rsidP="00EF5C75">
      <w:pPr>
        <w:pStyle w:val="NormalHanging12a"/>
        <w:rPr>
          <w:szCs w:val="24"/>
        </w:rPr>
      </w:pPr>
      <w:r w:rsidRPr="00405491">
        <w:t>56.</w:t>
      </w:r>
      <w:r w:rsidRPr="00405491">
        <w:tab/>
        <w:t>приветства бюджетните и административните икономии, постигнати от ЕНОЗД чрез междуинституционално сътрудничество, по-специално сключването на споразумения за нивото на обслужване с Парламента за наемането на неговите помещения и използването на ИТ системни приложения, доставки и поддръжка на хардуер и с Комисията за човешките ресурси и процесите в областта на бизнес администрацията, както и чрез участие в големи междуинституционални рамкови договори в области като ИТ консултации, услуги за временен персонал и канцеларски материали, наред с другото; поздравява освен това ЕНОЗД за поддържането на структурирано сътрудничество с Европейския омбудсман, Агенцията на Европейския съюз за основните права и CERT-EU посредством меморандуми за разбирателство; отбелязва въз основа на въпросника, че ЕНОЗД участва и в междуинституционалния проект за трансформиране на човешките ресурси, ръководен от Комисията, който има за цел да цифровизира процесите в областта на човешките ресурси, като развитието на този проект ще приключи до 2029 г.;</w:t>
      </w:r>
    </w:p>
    <w:p w14:paraId="6974C0C8" w14:textId="77777777" w:rsidR="00EF5C75" w:rsidRPr="00405491" w:rsidRDefault="00EF5C75" w:rsidP="00EF5C75">
      <w:pPr>
        <w:pStyle w:val="NormalHanging12a"/>
        <w:rPr>
          <w:szCs w:val="24"/>
        </w:rPr>
      </w:pPr>
      <w:r w:rsidRPr="00405491">
        <w:t>57.</w:t>
      </w:r>
      <w:r w:rsidRPr="00405491">
        <w:tab/>
        <w:t>отбелязва, че ЕНОЗД участва в заседанията на различни междуинституционални органи; приветства в този контекст участието на ЕНОЗД в заседанията на административните ръководители и Междуинституционалния комитет за онлайн комуникация, ръководен от Генералната дирекция за комуникация на Парламента; признава, че междуинституционалното сътрудничество с ЕНОЗД в надзорната му роля е ключово за другите институции на Съюза, за да се повиши тяхното равнище на съответствие с правната рамка за защита на данните;</w:t>
      </w:r>
    </w:p>
    <w:p w14:paraId="3F149EA2" w14:textId="77777777" w:rsidR="00EF5C75" w:rsidRPr="00405491" w:rsidRDefault="00EF5C75" w:rsidP="00EF5C75">
      <w:pPr>
        <w:pStyle w:val="NormalHanging12a"/>
        <w:rPr>
          <w:szCs w:val="24"/>
        </w:rPr>
      </w:pPr>
      <w:r w:rsidRPr="00405491">
        <w:lastRenderedPageBreak/>
        <w:t>58.</w:t>
      </w:r>
      <w:r w:rsidRPr="00405491">
        <w:tab/>
        <w:t>отбелязва въз основа на годишния доклад, че през 2024 г. ЕКЗД е започнал координираните си действия по правоприлагане във връзка с правото на физическите лица на достъп до техните лични данни, като в тях са участвали 30 ОЗД от целия Съюз и ЕИП; отбелязва въз основа на въпросника, че ЕНОЗД е участвал в това действие по правоприлагане, но също така е продължил работата си по координираното действие по правоприлагане на ЕКЗД от 2023 г. относно ролята на ДЛЗД; отбелязва продължаващото активно участие на ЕНОЗД в дейностите на CSC през 2024 г. чрез поемането на координационната роля на CSC в продължение на 2 години, изготвянето на насоки относно сътрудничеството при разглеждането на жалби от Европол и мониторинга на разработването на ETIAS, наред с другото; отбелязва, че ЕНОЗД, като член на ЕКЗД, също така е координирал работна група относно сътрудничеството с органите за защита на конкуренцията и потребителите по отношение на взаимодействието между Акта за цифровите пазари</w:t>
      </w:r>
      <w:r w:rsidRPr="00405491">
        <w:rPr>
          <w:rStyle w:val="FootnoteReference"/>
          <w:szCs w:val="24"/>
        </w:rPr>
        <w:footnoteReference w:id="11"/>
      </w:r>
      <w:r w:rsidRPr="00405491">
        <w:t xml:space="preserve"> и ОРЗД</w:t>
      </w:r>
      <w:r w:rsidRPr="00405491">
        <w:rPr>
          <w:rStyle w:val="FootnoteReference"/>
          <w:szCs w:val="24"/>
        </w:rPr>
        <w:footnoteReference w:id="12"/>
      </w:r>
      <w:r w:rsidRPr="00405491">
        <w:t>;</w:t>
      </w:r>
    </w:p>
    <w:p w14:paraId="15168EDC" w14:textId="77777777" w:rsidR="00EF5C75" w:rsidRPr="00405491" w:rsidRDefault="00EF5C75" w:rsidP="00EF5C75">
      <w:pPr>
        <w:pStyle w:val="NormalHanging12a"/>
        <w:rPr>
          <w:szCs w:val="24"/>
        </w:rPr>
      </w:pPr>
      <w:r w:rsidRPr="00405491">
        <w:t>59.</w:t>
      </w:r>
      <w:r w:rsidRPr="00405491">
        <w:tab/>
        <w:t>отбелязва въз основа на въпросника и доклада за последващите действия, че съвместните дейности с OLAF, Европейската прокуратура и Палатата и поемането на инициатива в областта на разкриването на измами попадат извън мандата на ЕНОЗД;</w:t>
      </w:r>
    </w:p>
    <w:p w14:paraId="1D7357E1" w14:textId="77777777" w:rsidR="00EF5C75" w:rsidRPr="00405491" w:rsidRDefault="00EF5C75" w:rsidP="00EF5C75">
      <w:pPr>
        <w:pStyle w:val="NormalHanging12a"/>
        <w:rPr>
          <w:b/>
          <w:i/>
          <w:szCs w:val="24"/>
        </w:rPr>
      </w:pPr>
      <w:r w:rsidRPr="00405491">
        <w:rPr>
          <w:b/>
          <w:i/>
        </w:rPr>
        <w:t>Комуникация</w:t>
      </w:r>
    </w:p>
    <w:p w14:paraId="6CFF10ED" w14:textId="77777777" w:rsidR="00EF5C75" w:rsidRPr="00405491" w:rsidRDefault="00EF5C75" w:rsidP="00EF5C75">
      <w:pPr>
        <w:pStyle w:val="NormalHanging12a"/>
        <w:rPr>
          <w:szCs w:val="24"/>
        </w:rPr>
      </w:pPr>
      <w:r w:rsidRPr="00405491">
        <w:t>60.</w:t>
      </w:r>
      <w:r w:rsidRPr="00405491">
        <w:tab/>
        <w:t>отбелязва, че през 2024 г. бюджетът за публични комуникационни и рекламни дейности възлиза на 425 000 EUR, което представлява увеличение с приблизително 9,20% в сравнение с 2024 г.;</w:t>
      </w:r>
    </w:p>
    <w:p w14:paraId="10394B29" w14:textId="77777777" w:rsidR="00EF5C75" w:rsidRPr="00405491" w:rsidRDefault="00EF5C75" w:rsidP="00EF5C75">
      <w:pPr>
        <w:pStyle w:val="NormalHanging12a"/>
        <w:rPr>
          <w:szCs w:val="24"/>
        </w:rPr>
      </w:pPr>
      <w:r w:rsidRPr="00405491">
        <w:t>61.</w:t>
      </w:r>
      <w:r w:rsidRPr="00405491">
        <w:tab/>
        <w:t>отбелязва със задоволство, че през 2024 г. ЕНОЗД е организирал и е участвал в няколко комуникационни прояви както онлайн, така и присъствено, насочени към повишаване на осведомеността относно ролята и мисията на ЕНОЗД сред широката общественост и значението на спазването на правилата на Съюза за защита на данните, като например Деня за защита на личните данни, конференцията на стажантите на ЕНОЗД (два пъти годишно), срещата на високо равнище на ЕНОЗД за гражданското общество и Световната асамблея на неприкосновеността на личния живот;</w:t>
      </w:r>
    </w:p>
    <w:p w14:paraId="01052F80" w14:textId="77777777" w:rsidR="00EF5C75" w:rsidRPr="00405491" w:rsidRDefault="00EF5C75" w:rsidP="00EF5C75">
      <w:pPr>
        <w:pStyle w:val="NormalHanging12a"/>
        <w:rPr>
          <w:szCs w:val="24"/>
        </w:rPr>
      </w:pPr>
      <w:r w:rsidRPr="00405491">
        <w:t>62.</w:t>
      </w:r>
      <w:r w:rsidRPr="00405491">
        <w:tab/>
        <w:t xml:space="preserve">отбелязва, че ЕНОЗД комуникира онлайн чрез своя уебсайт и своите профили в социалните медии X (бившия </w:t>
      </w:r>
      <w:proofErr w:type="spellStart"/>
      <w:r w:rsidRPr="00405491">
        <w:t>Twitter</w:t>
      </w:r>
      <w:proofErr w:type="spellEnd"/>
      <w:r w:rsidRPr="00405491">
        <w:t xml:space="preserve">) (28 800 последователи), </w:t>
      </w:r>
      <w:proofErr w:type="spellStart"/>
      <w:r w:rsidRPr="00405491">
        <w:t>LinkedIn</w:t>
      </w:r>
      <w:proofErr w:type="spellEnd"/>
      <w:r w:rsidRPr="00405491">
        <w:t xml:space="preserve"> (82 800 последователи), </w:t>
      </w:r>
      <w:proofErr w:type="spellStart"/>
      <w:r w:rsidRPr="00405491">
        <w:t>YouTube</w:t>
      </w:r>
      <w:proofErr w:type="spellEnd"/>
      <w:r w:rsidRPr="00405491">
        <w:t xml:space="preserve"> (3 400 последователи) и Instagram (300 последователи);</w:t>
      </w:r>
    </w:p>
    <w:p w14:paraId="3EFBFF8B" w14:textId="58E87225" w:rsidR="00405491" w:rsidRPr="00405491" w:rsidRDefault="00EF5C75" w:rsidP="00405491">
      <w:pPr>
        <w:pStyle w:val="NormalHanging12a"/>
      </w:pPr>
      <w:r w:rsidRPr="00405491">
        <w:t>63.</w:t>
      </w:r>
      <w:r w:rsidRPr="00405491">
        <w:tab/>
        <w:t xml:space="preserve">отбелязва, че пилотният проект с платформите EU </w:t>
      </w:r>
      <w:proofErr w:type="spellStart"/>
      <w:r w:rsidRPr="00405491">
        <w:t>Voice</w:t>
      </w:r>
      <w:proofErr w:type="spellEnd"/>
      <w:r w:rsidRPr="00405491">
        <w:t xml:space="preserve"> и EU </w:t>
      </w:r>
      <w:proofErr w:type="spellStart"/>
      <w:r w:rsidRPr="00405491">
        <w:t>Video</w:t>
      </w:r>
      <w:proofErr w:type="spellEnd"/>
      <w:r w:rsidRPr="00405491">
        <w:t xml:space="preserve"> (безплатни мрежи на социалните медии с отворен код, ориентирани към неприкосновеността на личния живот и базирани на софтуера </w:t>
      </w:r>
      <w:proofErr w:type="spellStart"/>
      <w:r w:rsidRPr="00405491">
        <w:t>Mastodon</w:t>
      </w:r>
      <w:proofErr w:type="spellEnd"/>
      <w:r w:rsidRPr="00405491">
        <w:t xml:space="preserve"> и </w:t>
      </w:r>
      <w:proofErr w:type="spellStart"/>
      <w:r w:rsidRPr="00405491">
        <w:t>PeerTube</w:t>
      </w:r>
      <w:proofErr w:type="spellEnd"/>
      <w:r w:rsidRPr="00405491">
        <w:t xml:space="preserve">) е приключил през </w:t>
      </w:r>
      <w:r w:rsidRPr="00405491">
        <w:lastRenderedPageBreak/>
        <w:t xml:space="preserve">2024 г.; отбелязва, че ЕНОЗД е улеснил безпроблемната миграция на институциите, органите, службите и агенциите на ЕС, които желаят да запазят профилите си, гарантирайки непрекъснатост на дейността за ползвателите; отбелязва, че въз основа на успеха на пилотния проект е извършена подготовка за възобновяване на използването на </w:t>
      </w:r>
      <w:proofErr w:type="spellStart"/>
      <w:r w:rsidRPr="00405491">
        <w:t>Mastodon</w:t>
      </w:r>
      <w:proofErr w:type="spellEnd"/>
      <w:r w:rsidRPr="00405491">
        <w:t xml:space="preserve"> през 2025 г.; приветства в този контекст приноса на ЕНОЗД към стратегията на Съюза за данните и цифровия суверенитет с цел насърчаване на независимостта на Съюза в цифровия свят и спазването на правната рамка за защита на данните.</w:t>
      </w:r>
    </w:p>
    <w:p w14:paraId="0C7540C1" w14:textId="103596AA" w:rsidR="00E365E1" w:rsidRPr="00405491" w:rsidRDefault="00E365E1" w:rsidP="00CF6B96"/>
    <w:sectPr w:rsidR="00E365E1" w:rsidRPr="00405491" w:rsidSect="0040549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4824" w14:textId="77777777" w:rsidR="00CF6B96" w:rsidRPr="00405491" w:rsidRDefault="00CF6B96">
      <w:r w:rsidRPr="00405491">
        <w:separator/>
      </w:r>
    </w:p>
  </w:endnote>
  <w:endnote w:type="continuationSeparator" w:id="0">
    <w:p w14:paraId="12122164" w14:textId="77777777" w:rsidR="00CF6B96" w:rsidRPr="00405491" w:rsidRDefault="00CF6B96">
      <w:r w:rsidRPr="00405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8E1D" w14:textId="77777777" w:rsidR="00EF5C75" w:rsidRPr="00405491" w:rsidRDefault="00EF5C75" w:rsidP="00203641">
    <w:pPr>
      <w:pStyle w:val="EPFooter"/>
    </w:pPr>
    <w:r w:rsidRPr="00405491">
      <w:t>PE</w:t>
    </w:r>
    <w:r w:rsidRPr="00405491">
      <w:rPr>
        <w:rStyle w:val="HideTWBExt"/>
      </w:rPr>
      <w:t>&lt;</w:t>
    </w:r>
    <w:proofErr w:type="spellStart"/>
    <w:r w:rsidRPr="00405491">
      <w:rPr>
        <w:rStyle w:val="HideTWBExt"/>
      </w:rPr>
      <w:t>NoPE</w:t>
    </w:r>
    <w:proofErr w:type="spellEnd"/>
    <w:r w:rsidRPr="00405491">
      <w:rPr>
        <w:rStyle w:val="HideTWBExt"/>
      </w:rPr>
      <w:t>&gt;</w:t>
    </w:r>
    <w:r w:rsidRPr="00405491">
      <w:t>778.066</w:t>
    </w:r>
    <w:r w:rsidRPr="00405491">
      <w:rPr>
        <w:rStyle w:val="HideTWBExt"/>
      </w:rPr>
      <w:t>&lt;/</w:t>
    </w:r>
    <w:proofErr w:type="spellStart"/>
    <w:r w:rsidRPr="00405491">
      <w:rPr>
        <w:rStyle w:val="HideTWBExt"/>
      </w:rPr>
      <w:t>NoPE</w:t>
    </w:r>
    <w:proofErr w:type="spellEnd"/>
    <w:r w:rsidRPr="00405491">
      <w:rPr>
        <w:rStyle w:val="HideTWBExt"/>
      </w:rPr>
      <w:t>&gt;&lt;Version&gt;</w:t>
    </w:r>
    <w:r w:rsidRPr="00405491">
      <w:t>v02-00</w:t>
    </w:r>
    <w:r w:rsidRPr="00405491">
      <w:rPr>
        <w:rStyle w:val="HideTWBExt"/>
      </w:rPr>
      <w:t>&lt;/</w:t>
    </w:r>
    <w:proofErr w:type="spellStart"/>
    <w:r w:rsidRPr="00405491">
      <w:rPr>
        <w:rStyle w:val="HideTWBExt"/>
      </w:rPr>
      <w:t>Version</w:t>
    </w:r>
    <w:proofErr w:type="spellEnd"/>
    <w:r w:rsidRPr="00405491">
      <w:rPr>
        <w:rStyle w:val="HideTWBExt"/>
      </w:rPr>
      <w:t>&gt;</w:t>
    </w:r>
    <w:r w:rsidRPr="00405491">
      <w:tab/>
    </w:r>
    <w:r w:rsidRPr="00405491">
      <w:fldChar w:fldCharType="begin"/>
    </w:r>
    <w:r w:rsidRPr="00405491">
      <w:instrText xml:space="preserve"> PAGE  \* MERGEFORMAT </w:instrText>
    </w:r>
    <w:r w:rsidRPr="00405491">
      <w:fldChar w:fldCharType="separate"/>
    </w:r>
    <w:r w:rsidRPr="00405491">
      <w:rPr>
        <w:noProof/>
      </w:rPr>
      <w:t>2</w:t>
    </w:r>
    <w:r w:rsidRPr="00405491">
      <w:fldChar w:fldCharType="end"/>
    </w:r>
    <w:r w:rsidRPr="00405491">
      <w:t>/</w:t>
    </w:r>
    <w:fldSimple w:instr=" NUMPAGES  \* MERGEFORMAT ">
      <w:r w:rsidRPr="00405491">
        <w:rPr>
          <w:noProof/>
        </w:rPr>
        <w:t>1</w:t>
      </w:r>
    </w:fldSimple>
    <w:r w:rsidRPr="00405491">
      <w:tab/>
    </w:r>
    <w:r w:rsidRPr="00405491">
      <w:rPr>
        <w:rStyle w:val="HideTWBExt"/>
      </w:rPr>
      <w:t>&lt;PathFdR&gt;</w:t>
    </w:r>
    <w:r w:rsidRPr="00405491">
      <w:t>RR\1339480BG.docx</w:t>
    </w:r>
    <w:r w:rsidRPr="00405491">
      <w:rPr>
        <w:rStyle w:val="HideTWBExt"/>
      </w:rPr>
      <w:t>&lt;/</w:t>
    </w:r>
    <w:proofErr w:type="spellStart"/>
    <w:r w:rsidRPr="00405491">
      <w:rPr>
        <w:rStyle w:val="HideTWBExt"/>
      </w:rPr>
      <w:t>PathFdR</w:t>
    </w:r>
    <w:proofErr w:type="spellEnd"/>
    <w:r w:rsidRPr="00405491">
      <w:rPr>
        <w:rStyle w:val="HideTWBExt"/>
      </w:rPr>
      <w:t>&gt;</w:t>
    </w:r>
  </w:p>
  <w:p w14:paraId="5460C933" w14:textId="77777777" w:rsidR="00EF5C75" w:rsidRPr="00405491" w:rsidRDefault="00EF5C75" w:rsidP="00203641">
    <w:pPr>
      <w:pStyle w:val="EPFooter2"/>
    </w:pPr>
    <w:r w:rsidRPr="00405491">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8B4E" w14:textId="77777777" w:rsidR="00EF5C75" w:rsidRPr="00405491" w:rsidRDefault="00EF5C75" w:rsidP="00203641">
    <w:pPr>
      <w:pStyle w:val="EPFooter"/>
    </w:pPr>
    <w:r w:rsidRPr="00405491">
      <w:rPr>
        <w:rStyle w:val="HideTWBExt"/>
      </w:rPr>
      <w:t>&lt;PathFdR&gt;</w:t>
    </w:r>
    <w:r w:rsidRPr="00405491">
      <w:t>RR\1339480BG.docx</w:t>
    </w:r>
    <w:r w:rsidRPr="00405491">
      <w:rPr>
        <w:rStyle w:val="HideTWBExt"/>
      </w:rPr>
      <w:t>&lt;/</w:t>
    </w:r>
    <w:proofErr w:type="spellStart"/>
    <w:r w:rsidRPr="00405491">
      <w:rPr>
        <w:rStyle w:val="HideTWBExt"/>
      </w:rPr>
      <w:t>PathFdR</w:t>
    </w:r>
    <w:proofErr w:type="spellEnd"/>
    <w:r w:rsidRPr="00405491">
      <w:rPr>
        <w:rStyle w:val="HideTWBExt"/>
      </w:rPr>
      <w:t>&gt;</w:t>
    </w:r>
    <w:r w:rsidRPr="00405491">
      <w:tab/>
    </w:r>
    <w:r w:rsidRPr="00405491">
      <w:tab/>
      <w:t>PE</w:t>
    </w:r>
    <w:r w:rsidRPr="00405491">
      <w:rPr>
        <w:rStyle w:val="HideTWBExt"/>
      </w:rPr>
      <w:t>&lt;</w:t>
    </w:r>
    <w:proofErr w:type="spellStart"/>
    <w:r w:rsidRPr="00405491">
      <w:rPr>
        <w:rStyle w:val="HideTWBExt"/>
      </w:rPr>
      <w:t>NoPE</w:t>
    </w:r>
    <w:proofErr w:type="spellEnd"/>
    <w:r w:rsidRPr="00405491">
      <w:rPr>
        <w:rStyle w:val="HideTWBExt"/>
      </w:rPr>
      <w:t>&gt;</w:t>
    </w:r>
    <w:r w:rsidRPr="00405491">
      <w:t>778.066</w:t>
    </w:r>
    <w:r w:rsidRPr="00405491">
      <w:rPr>
        <w:rStyle w:val="HideTWBExt"/>
      </w:rPr>
      <w:t>&lt;/</w:t>
    </w:r>
    <w:proofErr w:type="spellStart"/>
    <w:r w:rsidRPr="00405491">
      <w:rPr>
        <w:rStyle w:val="HideTWBExt"/>
      </w:rPr>
      <w:t>NoPE</w:t>
    </w:r>
    <w:proofErr w:type="spellEnd"/>
    <w:r w:rsidRPr="00405491">
      <w:rPr>
        <w:rStyle w:val="HideTWBExt"/>
      </w:rPr>
      <w:t>&gt;&lt;Version&gt;</w:t>
    </w:r>
    <w:r w:rsidRPr="00405491">
      <w:t>v02-00</w:t>
    </w:r>
    <w:r w:rsidRPr="00405491">
      <w:rPr>
        <w:rStyle w:val="HideTWBExt"/>
      </w:rPr>
      <w:t>&lt;/</w:t>
    </w:r>
    <w:proofErr w:type="spellStart"/>
    <w:r w:rsidRPr="00405491">
      <w:rPr>
        <w:rStyle w:val="HideTWBExt"/>
      </w:rPr>
      <w:t>Version</w:t>
    </w:r>
    <w:proofErr w:type="spellEnd"/>
    <w:r w:rsidRPr="00405491">
      <w:rPr>
        <w:rStyle w:val="HideTWBExt"/>
      </w:rPr>
      <w:t>&gt;</w:t>
    </w:r>
  </w:p>
  <w:p w14:paraId="6B9E1277" w14:textId="77777777" w:rsidR="00EF5C75" w:rsidRPr="00405491" w:rsidRDefault="00EF5C75" w:rsidP="00203641">
    <w:pPr>
      <w:pStyle w:val="EPFooter2"/>
    </w:pPr>
    <w:r w:rsidRPr="00405491">
      <w:t>BG</w:t>
    </w:r>
    <w:r w:rsidRPr="00405491">
      <w:tab/>
    </w:r>
    <w:r w:rsidRPr="00405491">
      <w:rPr>
        <w:b w:val="0"/>
        <w:i/>
        <w:color w:val="C0C0C0"/>
        <w:sz w:val="22"/>
      </w:rPr>
      <w:t>Единство в многообразието</w:t>
    </w:r>
    <w:r w:rsidRPr="00405491">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19D7" w14:textId="77777777" w:rsidR="00064002" w:rsidRPr="0040549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3765" w14:textId="77777777" w:rsidR="00064002" w:rsidRPr="0040549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8DEB" w14:textId="77777777" w:rsidR="00064002" w:rsidRPr="004054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2051" w14:textId="77777777" w:rsidR="00CF6B96" w:rsidRPr="00405491" w:rsidRDefault="00CF6B96">
      <w:r w:rsidRPr="00405491">
        <w:separator/>
      </w:r>
    </w:p>
  </w:footnote>
  <w:footnote w:type="continuationSeparator" w:id="0">
    <w:p w14:paraId="3383A4C8" w14:textId="77777777" w:rsidR="00CF6B96" w:rsidRPr="00405491" w:rsidRDefault="00CF6B96">
      <w:r w:rsidRPr="00405491">
        <w:continuationSeparator/>
      </w:r>
    </w:p>
  </w:footnote>
  <w:footnote w:id="1">
    <w:p w14:paraId="32D2D536" w14:textId="3C41B878"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OВ L</w:t>
      </w:r>
      <w:r w:rsidR="003F2110">
        <w:rPr>
          <w:sz w:val="24"/>
          <w:lang w:val="en-GB"/>
        </w:rPr>
        <w:t>,</w:t>
      </w:r>
      <w:r w:rsidRPr="00405491">
        <w:rPr>
          <w:sz w:val="24"/>
          <w:lang w:val="bg-BG"/>
        </w:rPr>
        <w:t xml:space="preserve"> </w:t>
      </w:r>
      <w:r w:rsidR="003F2110">
        <w:rPr>
          <w:sz w:val="24"/>
          <w:lang w:val="en-GB"/>
        </w:rPr>
        <w:t>2024/</w:t>
      </w:r>
      <w:r w:rsidRPr="00405491">
        <w:rPr>
          <w:sz w:val="24"/>
          <w:lang w:val="bg-BG"/>
        </w:rPr>
        <w:t xml:space="preserve">207, 22.2.2024 г., ELI: </w:t>
      </w:r>
      <w:hyperlink r:id="rId1" w:history="1">
        <w:r w:rsidRPr="00405491">
          <w:rPr>
            <w:rStyle w:val="Hyperlink"/>
            <w:sz w:val="24"/>
            <w:lang w:val="bg-BG"/>
          </w:rPr>
          <w:t>http://data.europa.eu/eli/budget/2024/207/oj</w:t>
        </w:r>
      </w:hyperlink>
      <w:r w:rsidRPr="00405491">
        <w:rPr>
          <w:sz w:val="24"/>
          <w:lang w:val="bg-BG"/>
        </w:rPr>
        <w:t>.</w:t>
      </w:r>
    </w:p>
  </w:footnote>
  <w:footnote w:id="2">
    <w:p w14:paraId="5D4A4D49" w14:textId="684613A7"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405491">
          <w:rPr>
            <w:rStyle w:val="Hyperlink"/>
            <w:sz w:val="24"/>
            <w:lang w:val="bg-BG"/>
          </w:rPr>
          <w:t>http://data.europa.eu/eli/C/2025/4944/oj</w:t>
        </w:r>
      </w:hyperlink>
      <w:r w:rsidRPr="00405491">
        <w:rPr>
          <w:sz w:val="24"/>
          <w:lang w:val="bg-BG"/>
        </w:rPr>
        <w:t>.</w:t>
      </w:r>
    </w:p>
  </w:footnote>
  <w:footnote w:id="3">
    <w:p w14:paraId="0683CD1A" w14:textId="6402A049"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ОВ C, C/2025/5409, 8.10.2025 г., ELI: </w:t>
      </w:r>
      <w:hyperlink r:id="rId3" w:history="1">
        <w:r w:rsidRPr="00405491">
          <w:rPr>
            <w:rStyle w:val="Hyperlink"/>
            <w:sz w:val="24"/>
            <w:lang w:val="bg-BG"/>
          </w:rPr>
          <w:t>http://data.europa.eu/eli/C/2025/5409/oj</w:t>
        </w:r>
      </w:hyperlink>
      <w:r w:rsidRPr="00405491">
        <w:rPr>
          <w:sz w:val="24"/>
          <w:lang w:val="bg-BG"/>
        </w:rPr>
        <w:t>.</w:t>
      </w:r>
    </w:p>
  </w:footnote>
  <w:footnote w:id="4">
    <w:p w14:paraId="09602149" w14:textId="557F6854"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ОВ C, C/2025/5407, 13.10.2025 г., ELI: </w:t>
      </w:r>
      <w:hyperlink r:id="rId4" w:history="1">
        <w:r w:rsidRPr="00405491">
          <w:rPr>
            <w:rStyle w:val="Hyperlink"/>
            <w:sz w:val="24"/>
            <w:lang w:val="bg-BG"/>
          </w:rPr>
          <w:t>http://data.europa.eu/eli/C/2025/5407/oj</w:t>
        </w:r>
      </w:hyperlink>
      <w:r w:rsidRPr="00405491">
        <w:rPr>
          <w:sz w:val="24"/>
          <w:lang w:val="bg-BG"/>
        </w:rPr>
        <w:t>.</w:t>
      </w:r>
    </w:p>
  </w:footnote>
  <w:footnote w:id="5">
    <w:p w14:paraId="47E9A1E5" w14:textId="03B48221"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OВ L 193, 30.7.2018 г., стр. 1, ELI: </w:t>
      </w:r>
      <w:hyperlink r:id="rId5" w:history="1">
        <w:r w:rsidRPr="00405491">
          <w:rPr>
            <w:rStyle w:val="Hyperlink"/>
            <w:sz w:val="24"/>
            <w:lang w:val="bg-BG"/>
          </w:rPr>
          <w:t>http://data.europa.eu/eli/reg/2018/1046/oj</w:t>
        </w:r>
      </w:hyperlink>
      <w:r w:rsidRPr="00405491">
        <w:rPr>
          <w:sz w:val="24"/>
          <w:lang w:val="bg-BG"/>
        </w:rPr>
        <w:t>.</w:t>
      </w:r>
    </w:p>
  </w:footnote>
  <w:footnote w:id="6">
    <w:p w14:paraId="68F4A6C1" w14:textId="3AC21E01"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OВ L, 2024/2509, 26.9.2024 г., ELI: </w:t>
      </w:r>
      <w:hyperlink r:id="rId6" w:history="1">
        <w:r w:rsidRPr="00405491">
          <w:rPr>
            <w:rStyle w:val="Hyperlink"/>
            <w:sz w:val="24"/>
            <w:lang w:val="bg-BG"/>
          </w:rPr>
          <w:t>http://data.europa.eu/eli/reg/2024/2509/oj</w:t>
        </w:r>
      </w:hyperlink>
      <w:r w:rsidRPr="00405491">
        <w:rPr>
          <w:sz w:val="24"/>
          <w:lang w:val="bg-BG"/>
        </w:rPr>
        <w:t>.</w:t>
      </w:r>
    </w:p>
  </w:footnote>
  <w:footnote w:id="7">
    <w:p w14:paraId="0CAE2EC8" w14:textId="31F86394"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OВ L 295, 21.11.2018 г., стр. 39, ELI: </w:t>
      </w:r>
      <w:hyperlink r:id="rId7" w:history="1">
        <w:r w:rsidRPr="00405491">
          <w:rPr>
            <w:rStyle w:val="Hyperlink"/>
            <w:sz w:val="24"/>
            <w:lang w:val="bg-BG"/>
          </w:rPr>
          <w:t>http://data.europa.eu/eli/reg/2018/1725/oj</w:t>
        </w:r>
      </w:hyperlink>
      <w:r w:rsidRPr="00405491">
        <w:rPr>
          <w:sz w:val="24"/>
          <w:lang w:val="bg-BG"/>
        </w:rPr>
        <w:t>.</w:t>
      </w:r>
    </w:p>
  </w:footnote>
  <w:footnote w:id="8">
    <w:p w14:paraId="11455B04" w14:textId="25184591"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8" w:history="1">
        <w:r w:rsidRPr="00405491">
          <w:rPr>
            <w:rStyle w:val="Hyperlink"/>
            <w:sz w:val="24"/>
            <w:lang w:val="bg-BG"/>
          </w:rPr>
          <w:t>http://data.europa.eu/eli/reg/2024/1689/oj</w:t>
        </w:r>
      </w:hyperlink>
      <w:r w:rsidRPr="00405491">
        <w:rPr>
          <w:sz w:val="24"/>
          <w:lang w:val="bg-BG"/>
        </w:rPr>
        <w:t>).</w:t>
      </w:r>
    </w:p>
  </w:footnote>
  <w:footnote w:id="9">
    <w:p w14:paraId="2CC17050" w14:textId="1CCA6018"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 (ОВ L 135, 24.5.2016 г., стр. 53, ELI: </w:t>
      </w:r>
      <w:hyperlink r:id="rId9" w:history="1">
        <w:r w:rsidRPr="00405491">
          <w:rPr>
            <w:rStyle w:val="Hyperlink"/>
            <w:sz w:val="24"/>
            <w:lang w:val="bg-BG"/>
          </w:rPr>
          <w:t>http://data.europa.eu/eli/reg/2016/794/oj</w:t>
        </w:r>
      </w:hyperlink>
      <w:r w:rsidRPr="00405491">
        <w:rPr>
          <w:sz w:val="24"/>
          <w:lang w:val="bg-BG"/>
        </w:rPr>
        <w:t>).</w:t>
      </w:r>
    </w:p>
  </w:footnote>
  <w:footnote w:id="10">
    <w:p w14:paraId="13FE67F6" w14:textId="03C49586"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Определение на Общия съд от 6 септември 2023 г., </w:t>
      </w:r>
      <w:r w:rsidRPr="00405491">
        <w:rPr>
          <w:i/>
          <w:iCs/>
          <w:sz w:val="24"/>
          <w:lang w:val="bg-BG"/>
        </w:rPr>
        <w:t>ЕНОЗД / Парламент и Съвет</w:t>
      </w:r>
      <w:r w:rsidRPr="00405491">
        <w:rPr>
          <w:sz w:val="24"/>
          <w:lang w:val="bg-BG"/>
        </w:rPr>
        <w:t>, дело T-578/22, ECLI:EU:T:2023:522.</w:t>
      </w:r>
    </w:p>
  </w:footnote>
  <w:footnote w:id="11">
    <w:p w14:paraId="21E6F301" w14:textId="1547BDBE"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 (OB L 265, 12.10.2022 г., стр. 1, ELI: </w:t>
      </w:r>
      <w:hyperlink r:id="rId10" w:history="1">
        <w:r w:rsidRPr="00405491">
          <w:rPr>
            <w:rStyle w:val="Hyperlink"/>
            <w:sz w:val="24"/>
            <w:lang w:val="bg-BG"/>
          </w:rPr>
          <w:t>http://data.europa.eu/eli/reg/2022/1925/oj</w:t>
        </w:r>
      </w:hyperlink>
      <w:r w:rsidRPr="00405491">
        <w:rPr>
          <w:sz w:val="24"/>
          <w:lang w:val="bg-BG"/>
        </w:rPr>
        <w:t>).</w:t>
      </w:r>
    </w:p>
  </w:footnote>
  <w:footnote w:id="12">
    <w:p w14:paraId="34052E67" w14:textId="44EC5C00" w:rsidR="00EF5C75" w:rsidRPr="00405491" w:rsidRDefault="00EF5C75" w:rsidP="00405491">
      <w:pPr>
        <w:pStyle w:val="FootnoteText"/>
        <w:ind w:left="567" w:hanging="567"/>
        <w:rPr>
          <w:sz w:val="24"/>
          <w:lang w:val="bg-BG"/>
        </w:rPr>
      </w:pPr>
      <w:r w:rsidRPr="00405491">
        <w:rPr>
          <w:rStyle w:val="FootnoteReference"/>
          <w:sz w:val="24"/>
          <w:lang w:val="bg-BG"/>
        </w:rPr>
        <w:footnoteRef/>
      </w:r>
      <w:r w:rsidR="00405491" w:rsidRPr="00405491">
        <w:rPr>
          <w:sz w:val="24"/>
          <w:lang w:val="bg-BG"/>
        </w:rPr>
        <w:t xml:space="preserve"> </w:t>
      </w:r>
      <w:r w:rsidR="00405491" w:rsidRPr="00405491">
        <w:rPr>
          <w:sz w:val="24"/>
          <w:lang w:val="bg-BG"/>
        </w:rPr>
        <w:tab/>
      </w:r>
      <w:r w:rsidRPr="00405491">
        <w:rPr>
          <w:sz w:val="24"/>
          <w:lang w:val="bg-BG"/>
        </w:rPr>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w:t>
      </w:r>
      <w:hyperlink r:id="rId11" w:history="1">
        <w:r w:rsidRPr="00405491">
          <w:rPr>
            <w:rStyle w:val="Hyperlink"/>
            <w:sz w:val="24"/>
            <w:lang w:val="bg-BG"/>
          </w:rPr>
          <w:t>http://data.europa.eu/eli/reg/2016/679/oj</w:t>
        </w:r>
      </w:hyperlink>
      <w:r w:rsidRPr="0040549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C5F8" w14:textId="77777777" w:rsidR="00064002" w:rsidRPr="004054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E80D" w14:textId="77777777" w:rsidR="00064002" w:rsidRPr="004054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833C" w14:textId="77777777" w:rsidR="00064002" w:rsidRPr="004054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6720876">
    <w:abstractNumId w:val="9"/>
  </w:num>
  <w:num w:numId="2" w16cid:durableId="381827981">
    <w:abstractNumId w:val="9"/>
  </w:num>
  <w:num w:numId="3" w16cid:durableId="757138187">
    <w:abstractNumId w:val="7"/>
  </w:num>
  <w:num w:numId="4" w16cid:durableId="275259893">
    <w:abstractNumId w:val="7"/>
  </w:num>
  <w:num w:numId="5" w16cid:durableId="2079358753">
    <w:abstractNumId w:val="6"/>
  </w:num>
  <w:num w:numId="6" w16cid:durableId="849030769">
    <w:abstractNumId w:val="6"/>
  </w:num>
  <w:num w:numId="7" w16cid:durableId="1915970045">
    <w:abstractNumId w:val="5"/>
  </w:num>
  <w:num w:numId="8" w16cid:durableId="1536501384">
    <w:abstractNumId w:val="5"/>
  </w:num>
  <w:num w:numId="9" w16cid:durableId="927812834">
    <w:abstractNumId w:val="4"/>
  </w:num>
  <w:num w:numId="10" w16cid:durableId="1329672167">
    <w:abstractNumId w:val="4"/>
  </w:num>
  <w:num w:numId="11" w16cid:durableId="1151557103">
    <w:abstractNumId w:val="8"/>
  </w:num>
  <w:num w:numId="12" w16cid:durableId="1153986762">
    <w:abstractNumId w:val="8"/>
  </w:num>
  <w:num w:numId="13" w16cid:durableId="1732539281">
    <w:abstractNumId w:val="3"/>
  </w:num>
  <w:num w:numId="14" w16cid:durableId="1645431516">
    <w:abstractNumId w:val="3"/>
  </w:num>
  <w:num w:numId="15" w16cid:durableId="1906649226">
    <w:abstractNumId w:val="2"/>
  </w:num>
  <w:num w:numId="16" w16cid:durableId="713425527">
    <w:abstractNumId w:val="2"/>
  </w:num>
  <w:num w:numId="17" w16cid:durableId="658198390">
    <w:abstractNumId w:val="1"/>
  </w:num>
  <w:num w:numId="18" w16cid:durableId="207030601">
    <w:abstractNumId w:val="1"/>
  </w:num>
  <w:num w:numId="19" w16cid:durableId="921181983">
    <w:abstractNumId w:val="0"/>
  </w:num>
  <w:num w:numId="20" w16cid:durableId="2021006580">
    <w:abstractNumId w:val="0"/>
  </w:num>
  <w:num w:numId="21" w16cid:durableId="1538542878">
    <w:abstractNumId w:val="9"/>
  </w:num>
  <w:num w:numId="22" w16cid:durableId="593394899">
    <w:abstractNumId w:val="7"/>
  </w:num>
  <w:num w:numId="23" w16cid:durableId="1397707235">
    <w:abstractNumId w:val="6"/>
  </w:num>
  <w:num w:numId="24" w16cid:durableId="993993986">
    <w:abstractNumId w:val="5"/>
  </w:num>
  <w:num w:numId="25" w16cid:durableId="2104763480">
    <w:abstractNumId w:val="4"/>
  </w:num>
  <w:num w:numId="26" w16cid:durableId="588390583">
    <w:abstractNumId w:val="8"/>
  </w:num>
  <w:num w:numId="27" w16cid:durableId="1589148646">
    <w:abstractNumId w:val="3"/>
  </w:num>
  <w:num w:numId="28" w16cid:durableId="187836427">
    <w:abstractNumId w:val="2"/>
  </w:num>
  <w:num w:numId="29" w16cid:durableId="783232838">
    <w:abstractNumId w:val="1"/>
  </w:num>
  <w:num w:numId="30" w16cid:durableId="1088424559">
    <w:abstractNumId w:val="0"/>
  </w:num>
  <w:num w:numId="31" w16cid:durableId="963192676">
    <w:abstractNumId w:val="9"/>
  </w:num>
  <w:num w:numId="32" w16cid:durableId="124128507">
    <w:abstractNumId w:val="7"/>
  </w:num>
  <w:num w:numId="33" w16cid:durableId="1192038735">
    <w:abstractNumId w:val="6"/>
  </w:num>
  <w:num w:numId="34" w16cid:durableId="1655139378">
    <w:abstractNumId w:val="5"/>
  </w:num>
  <w:num w:numId="35" w16cid:durableId="1127969909">
    <w:abstractNumId w:val="4"/>
  </w:num>
  <w:num w:numId="36" w16cid:durableId="1618872826">
    <w:abstractNumId w:val="8"/>
  </w:num>
  <w:num w:numId="37" w16cid:durableId="1527257208">
    <w:abstractNumId w:val="3"/>
  </w:num>
  <w:num w:numId="38" w16cid:durableId="715003882">
    <w:abstractNumId w:val="2"/>
  </w:num>
  <w:num w:numId="39" w16cid:durableId="288900124">
    <w:abstractNumId w:val="1"/>
  </w:num>
  <w:num w:numId="40" w16cid:durableId="476261807">
    <w:abstractNumId w:val="0"/>
  </w:num>
  <w:num w:numId="41" w16cid:durableId="1381245646">
    <w:abstractNumId w:val="10"/>
  </w:num>
  <w:num w:numId="42" w16cid:durableId="802163451">
    <w:abstractNumId w:val="10"/>
  </w:num>
  <w:num w:numId="43" w16cid:durableId="683022841">
    <w:abstractNumId w:val="10"/>
  </w:num>
  <w:num w:numId="44" w16cid:durableId="949357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BG"/>
    <w:docVar w:name="dvnumam" w:val="0"/>
    <w:docVar w:name="dvpe" w:val="778.066"/>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IX ‒ Европейски надзорен орган по защита на данните(2025/2154(DEC))"/>
  </w:docVars>
  <w:rsids>
    <w:rsidRoot w:val="00CF6B96"/>
    <w:rsid w:val="00002272"/>
    <w:rsid w:val="00064002"/>
    <w:rsid w:val="000677B9"/>
    <w:rsid w:val="000831BA"/>
    <w:rsid w:val="000A42CC"/>
    <w:rsid w:val="000D58FD"/>
    <w:rsid w:val="000E7DD9"/>
    <w:rsid w:val="0010095E"/>
    <w:rsid w:val="00125B37"/>
    <w:rsid w:val="00187494"/>
    <w:rsid w:val="001F1168"/>
    <w:rsid w:val="001F32AE"/>
    <w:rsid w:val="002767FF"/>
    <w:rsid w:val="002B18FE"/>
    <w:rsid w:val="002B5493"/>
    <w:rsid w:val="00343214"/>
    <w:rsid w:val="00361C00"/>
    <w:rsid w:val="00395FA1"/>
    <w:rsid w:val="003E15D4"/>
    <w:rsid w:val="003F2110"/>
    <w:rsid w:val="0040549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2F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EC8"/>
    <w:rsid w:val="00A778C7"/>
    <w:rsid w:val="00AB16EF"/>
    <w:rsid w:val="00AB441E"/>
    <w:rsid w:val="00AB6293"/>
    <w:rsid w:val="00AE0928"/>
    <w:rsid w:val="00AF3B82"/>
    <w:rsid w:val="00B12E95"/>
    <w:rsid w:val="00B16C54"/>
    <w:rsid w:val="00B22876"/>
    <w:rsid w:val="00B558F0"/>
    <w:rsid w:val="00B73939"/>
    <w:rsid w:val="00B96114"/>
    <w:rsid w:val="00BD48FE"/>
    <w:rsid w:val="00BD7BD8"/>
    <w:rsid w:val="00BE6ADC"/>
    <w:rsid w:val="00C05BFE"/>
    <w:rsid w:val="00C23CD4"/>
    <w:rsid w:val="00C61C0C"/>
    <w:rsid w:val="00C941CB"/>
    <w:rsid w:val="00CA6AB8"/>
    <w:rsid w:val="00CC2357"/>
    <w:rsid w:val="00CF071A"/>
    <w:rsid w:val="00CF6B96"/>
    <w:rsid w:val="00D058B8"/>
    <w:rsid w:val="00D56C11"/>
    <w:rsid w:val="00D834A0"/>
    <w:rsid w:val="00D872DF"/>
    <w:rsid w:val="00D91E21"/>
    <w:rsid w:val="00DA7FCD"/>
    <w:rsid w:val="00E365E1"/>
    <w:rsid w:val="00E820A4"/>
    <w:rsid w:val="00EB006A"/>
    <w:rsid w:val="00EB4772"/>
    <w:rsid w:val="00ED169E"/>
    <w:rsid w:val="00ED4235"/>
    <w:rsid w:val="00EF5C7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1420C"/>
  <w15:chartTrackingRefBased/>
  <w15:docId w15:val="{62441149-6AB9-4C1F-B0C4-1E31DB779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5C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5C75"/>
    <w:pPr>
      <w:spacing w:before="480" w:after="240"/>
    </w:pPr>
  </w:style>
  <w:style w:type="paragraph" w:customStyle="1" w:styleId="PageHeading">
    <w:name w:val="PageHeading"/>
    <w:basedOn w:val="Normal"/>
    <w:rsid w:val="00EF5C75"/>
    <w:pPr>
      <w:keepNext/>
      <w:spacing w:after="480"/>
      <w:jc w:val="center"/>
    </w:pPr>
    <w:rPr>
      <w:rFonts w:ascii="Arial" w:hAnsi="Arial" w:cs="Arial"/>
      <w:b/>
    </w:rPr>
  </w:style>
  <w:style w:type="paragraph" w:customStyle="1" w:styleId="NormalBold">
    <w:name w:val="NormalBold"/>
    <w:basedOn w:val="Normal"/>
    <w:rsid w:val="00EF5C75"/>
    <w:rPr>
      <w:b/>
    </w:rPr>
  </w:style>
  <w:style w:type="paragraph" w:customStyle="1" w:styleId="NormalHanging12a">
    <w:name w:val="NormalHanging12a"/>
    <w:basedOn w:val="Normal"/>
    <w:link w:val="NormalHanging12aChar"/>
    <w:qFormat/>
    <w:rsid w:val="00EF5C75"/>
    <w:pPr>
      <w:spacing w:after="240"/>
      <w:ind w:left="567" w:hanging="567"/>
    </w:pPr>
  </w:style>
  <w:style w:type="paragraph" w:styleId="Header">
    <w:name w:val="header"/>
    <w:basedOn w:val="Normal"/>
    <w:link w:val="HeaderChar"/>
    <w:rsid w:val="00EF5C75"/>
    <w:pPr>
      <w:tabs>
        <w:tab w:val="center" w:pos="4513"/>
        <w:tab w:val="right" w:pos="9026"/>
      </w:tabs>
    </w:pPr>
  </w:style>
  <w:style w:type="character" w:customStyle="1" w:styleId="HeaderChar">
    <w:name w:val="Header Char"/>
    <w:basedOn w:val="DefaultParagraphFont"/>
    <w:link w:val="Header"/>
    <w:rsid w:val="00EF5C75"/>
    <w:rPr>
      <w:sz w:val="24"/>
      <w:lang w:val="bg-BG"/>
    </w:rPr>
  </w:style>
  <w:style w:type="paragraph" w:customStyle="1" w:styleId="EPFooter">
    <w:name w:val="EPFooter"/>
    <w:basedOn w:val="Normal"/>
    <w:rsid w:val="00EF5C75"/>
    <w:pPr>
      <w:tabs>
        <w:tab w:val="center" w:pos="4535"/>
        <w:tab w:val="right" w:pos="9071"/>
      </w:tabs>
      <w:spacing w:before="240" w:after="240"/>
    </w:pPr>
    <w:rPr>
      <w:color w:val="010000"/>
      <w:sz w:val="22"/>
    </w:rPr>
  </w:style>
  <w:style w:type="character" w:styleId="Hyperlink">
    <w:name w:val="Hyperlink"/>
    <w:basedOn w:val="DefaultParagraphFont"/>
    <w:rsid w:val="00EF5C75"/>
    <w:rPr>
      <w:color w:val="0563C1" w:themeColor="hyperlink"/>
      <w:u w:val="single"/>
    </w:rPr>
  </w:style>
  <w:style w:type="character" w:customStyle="1" w:styleId="NormalHanging12aChar">
    <w:name w:val="NormalHanging12a Char"/>
    <w:basedOn w:val="DefaultParagraphFont"/>
    <w:link w:val="NormalHanging12a"/>
    <w:locked/>
    <w:rsid w:val="00EF5C75"/>
    <w:rPr>
      <w:sz w:val="24"/>
      <w:lang w:val="bg-BG"/>
    </w:rPr>
  </w:style>
  <w:style w:type="paragraph" w:styleId="Revision">
    <w:name w:val="Revision"/>
    <w:hidden/>
    <w:uiPriority w:val="99"/>
    <w:semiHidden/>
    <w:rsid w:val="003F211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8124</Words>
  <Characters>46039</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2026-04-29T12:11:00Z</dcterms:created>
  <dcterms:modified xsi:type="dcterms:W3CDTF">2026-04-29T12:11:00Z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A10-0057/2026</vt:lpwstr>
  </property>
  <property fmtid="{D5CDD505-2E9C-101B-9397-08002B2CF9AE}" pid="4" name="&lt;Type&gt;">
    <vt:lpwstr>RR</vt:lpwstr>
  </property>
</Properties>
</file>