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5D2F" w14:paraId="053C9A14" w14:textId="77777777" w:rsidTr="0010095E">
        <w:trPr>
          <w:trHeight w:hRule="exact" w:val="1418"/>
        </w:trPr>
        <w:tc>
          <w:tcPr>
            <w:tcW w:w="6804" w:type="dxa"/>
            <w:shd w:val="clear" w:color="auto" w:fill="auto"/>
            <w:vAlign w:val="center"/>
          </w:tcPr>
          <w:p w14:paraId="2F05DFDE" w14:textId="77777777" w:rsidR="00751A4A" w:rsidRPr="005F5D2F" w:rsidRDefault="002B2046" w:rsidP="0010095E">
            <w:pPr>
              <w:pStyle w:val="EPName"/>
            </w:pPr>
            <w:r w:rsidRPr="005F5D2F">
              <w:t>Europski parlament</w:t>
            </w:r>
          </w:p>
          <w:p w14:paraId="0F6A15CD" w14:textId="77777777" w:rsidR="00751A4A" w:rsidRPr="005F5D2F" w:rsidRDefault="005F1B17" w:rsidP="005F1B17">
            <w:pPr>
              <w:pStyle w:val="EPTerm"/>
              <w:rPr>
                <w:rStyle w:val="HideTWBExt"/>
                <w:noProof w:val="0"/>
                <w:vanish w:val="0"/>
                <w:color w:val="auto"/>
              </w:rPr>
            </w:pPr>
            <w:r w:rsidRPr="005F5D2F">
              <w:t>2024</w:t>
            </w:r>
            <w:r w:rsidR="00817416" w:rsidRPr="005F5D2F">
              <w:t>-202</w:t>
            </w:r>
            <w:r w:rsidRPr="005F5D2F">
              <w:t>9</w:t>
            </w:r>
          </w:p>
        </w:tc>
        <w:tc>
          <w:tcPr>
            <w:tcW w:w="2268" w:type="dxa"/>
            <w:shd w:val="clear" w:color="auto" w:fill="auto"/>
          </w:tcPr>
          <w:p w14:paraId="73D31E41" w14:textId="77777777" w:rsidR="00751A4A" w:rsidRPr="005F5D2F" w:rsidRDefault="00187494" w:rsidP="0010095E">
            <w:pPr>
              <w:pStyle w:val="EPLogo"/>
            </w:pPr>
            <w:r w:rsidRPr="005F5D2F">
              <w:rPr>
                <w:noProof/>
                <w:lang w:eastAsia="ja-JP"/>
              </w:rPr>
              <w:drawing>
                <wp:inline distT="0" distB="0" distL="0" distR="0" wp14:anchorId="7B7BF7D3" wp14:editId="5DDF47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EFAB7D" w14:textId="77777777" w:rsidR="00D058B8" w:rsidRPr="005F5D2F" w:rsidRDefault="00D058B8" w:rsidP="004C5D52">
      <w:pPr>
        <w:pStyle w:val="LineTop"/>
      </w:pPr>
    </w:p>
    <w:p w14:paraId="0592930F" w14:textId="77777777" w:rsidR="00680577" w:rsidRPr="005F5D2F" w:rsidRDefault="002B2046" w:rsidP="00680577">
      <w:pPr>
        <w:pStyle w:val="EPBodyTA1"/>
      </w:pPr>
      <w:r w:rsidRPr="005F5D2F">
        <w:t>USVOJENI TEKSTOVI</w:t>
      </w:r>
    </w:p>
    <w:p w14:paraId="63206636" w14:textId="77777777" w:rsidR="00D058B8" w:rsidRPr="005F5D2F" w:rsidRDefault="00D058B8" w:rsidP="00D058B8">
      <w:pPr>
        <w:pStyle w:val="LineBottom"/>
      </w:pPr>
    </w:p>
    <w:p w14:paraId="6CFE210E" w14:textId="0C3F50A0" w:rsidR="002B2046" w:rsidRPr="005F5D2F" w:rsidRDefault="002B2046" w:rsidP="002B2046">
      <w:pPr>
        <w:pStyle w:val="ATHeading1"/>
      </w:pPr>
      <w:bookmarkStart w:id="0" w:name="TANumber"/>
      <w:r w:rsidRPr="005F5D2F">
        <w:t>P10_TA(2026)0</w:t>
      </w:r>
      <w:r w:rsidR="000A795E">
        <w:t>134</w:t>
      </w:r>
      <w:bookmarkEnd w:id="0"/>
    </w:p>
    <w:p w14:paraId="6C470534" w14:textId="77777777" w:rsidR="002B2046" w:rsidRPr="005F5D2F" w:rsidRDefault="002B2046" w:rsidP="002B2046">
      <w:pPr>
        <w:pStyle w:val="ATHeading2"/>
      </w:pPr>
      <w:bookmarkStart w:id="1" w:name="title"/>
      <w:r w:rsidRPr="005F5D2F">
        <w:t>Razrješnica za 2024.: Opći proračun EU-a – Europski nadzornik za zaštitu podataka</w:t>
      </w:r>
      <w:bookmarkEnd w:id="1"/>
    </w:p>
    <w:p w14:paraId="7B9F841D" w14:textId="77777777" w:rsidR="002B2046" w:rsidRPr="005F5D2F" w:rsidRDefault="002B2046" w:rsidP="002B2046">
      <w:pPr>
        <w:rPr>
          <w:i/>
          <w:vanish/>
        </w:rPr>
      </w:pPr>
      <w:r w:rsidRPr="005F5D2F">
        <w:rPr>
          <w:i/>
        </w:rPr>
        <w:fldChar w:fldCharType="begin"/>
      </w:r>
      <w:r w:rsidRPr="005F5D2F">
        <w:rPr>
          <w:i/>
        </w:rPr>
        <w:instrText xml:space="preserve"> TC"(</w:instrText>
      </w:r>
      <w:bookmarkStart w:id="2" w:name="DocNumber"/>
      <w:r w:rsidRPr="005F5D2F">
        <w:rPr>
          <w:i/>
        </w:rPr>
        <w:instrText>A10-0057/2026</w:instrText>
      </w:r>
      <w:bookmarkEnd w:id="2"/>
      <w:r w:rsidRPr="005F5D2F">
        <w:rPr>
          <w:i/>
        </w:rPr>
        <w:instrText xml:space="preserve"> - Izvjestitelj: </w:instrText>
      </w:r>
      <w:proofErr w:type="spellStart"/>
      <w:r w:rsidRPr="005F5D2F">
        <w:rPr>
          <w:i/>
        </w:rPr>
        <w:instrText>Pasquale</w:instrText>
      </w:r>
      <w:proofErr w:type="spellEnd"/>
      <w:r w:rsidRPr="005F5D2F">
        <w:rPr>
          <w:i/>
        </w:rPr>
        <w:instrText xml:space="preserve"> </w:instrText>
      </w:r>
      <w:proofErr w:type="spellStart"/>
      <w:r w:rsidRPr="005F5D2F">
        <w:rPr>
          <w:i/>
        </w:rPr>
        <w:instrText>Tridico</w:instrText>
      </w:r>
      <w:proofErr w:type="spellEnd"/>
      <w:r w:rsidRPr="005F5D2F">
        <w:rPr>
          <w:i/>
        </w:rPr>
        <w:instrText xml:space="preserve">)"\l3 \n&gt; \* MERGEFORMAT </w:instrText>
      </w:r>
      <w:r w:rsidRPr="005F5D2F">
        <w:rPr>
          <w:i/>
        </w:rPr>
        <w:fldChar w:fldCharType="end"/>
      </w:r>
    </w:p>
    <w:p w14:paraId="319C3FDA" w14:textId="77777777" w:rsidR="002B2046" w:rsidRPr="005F5D2F" w:rsidRDefault="002B2046" w:rsidP="002B2046">
      <w:pPr>
        <w:rPr>
          <w:vanish/>
        </w:rPr>
      </w:pPr>
      <w:bookmarkStart w:id="3" w:name="Commission"/>
      <w:r w:rsidRPr="005F5D2F">
        <w:rPr>
          <w:vanish/>
        </w:rPr>
        <w:t>Odbor za proračunski nadzor</w:t>
      </w:r>
      <w:bookmarkEnd w:id="3"/>
    </w:p>
    <w:p w14:paraId="524A56A6" w14:textId="77777777" w:rsidR="002B2046" w:rsidRPr="005F5D2F" w:rsidRDefault="002B2046" w:rsidP="002B2046">
      <w:pPr>
        <w:rPr>
          <w:vanish/>
        </w:rPr>
      </w:pPr>
      <w:bookmarkStart w:id="4" w:name="PE"/>
      <w:r w:rsidRPr="005F5D2F">
        <w:rPr>
          <w:vanish/>
        </w:rPr>
        <w:t>PE778.066</w:t>
      </w:r>
      <w:bookmarkEnd w:id="4"/>
    </w:p>
    <w:p w14:paraId="08EB10F3" w14:textId="1584D5DD" w:rsidR="002B2046" w:rsidRPr="005F5D2F" w:rsidRDefault="005F5D2F" w:rsidP="002B2046">
      <w:pPr>
        <w:pStyle w:val="ATHeading3"/>
      </w:pPr>
      <w:bookmarkStart w:id="5" w:name="Sujet"/>
      <w:r>
        <w:t xml:space="preserve">1. </w:t>
      </w:r>
      <w:r w:rsidR="002B2046" w:rsidRPr="005F5D2F">
        <w:t xml:space="preserve">Odluka Europskog parlamenta od </w:t>
      </w:r>
      <w:r>
        <w:t>29</w:t>
      </w:r>
      <w:r w:rsidR="002B2046" w:rsidRPr="005F5D2F">
        <w:t>.</w:t>
      </w:r>
      <w:r>
        <w:t xml:space="preserve"> travnja</w:t>
      </w:r>
      <w:r w:rsidR="002B2046" w:rsidRPr="005F5D2F">
        <w:t xml:space="preserve"> 2026. o razrješnici za izvršenje općeg proračuna Europske unije za financijsku godinu 2024., dio IX. – Europski nadzornik za zaštitu podataka</w:t>
      </w:r>
      <w:bookmarkEnd w:id="5"/>
      <w:r w:rsidR="002B2046" w:rsidRPr="005F5D2F">
        <w:t xml:space="preserve"> </w:t>
      </w:r>
      <w:bookmarkStart w:id="6" w:name="References"/>
      <w:r w:rsidR="002B2046" w:rsidRPr="005F5D2F">
        <w:t>(2025/2154(DEC))</w:t>
      </w:r>
      <w:bookmarkEnd w:id="6"/>
    </w:p>
    <w:p w14:paraId="33667B09" w14:textId="77777777" w:rsidR="00E73E3D" w:rsidRPr="005F5D2F" w:rsidRDefault="00E73E3D" w:rsidP="00E73E3D">
      <w:pPr>
        <w:pStyle w:val="EPComma"/>
      </w:pPr>
      <w:bookmarkStart w:id="7" w:name="TextBodyBegin"/>
      <w:bookmarkEnd w:id="7"/>
      <w:r w:rsidRPr="005F5D2F">
        <w:rPr>
          <w:i/>
        </w:rPr>
        <w:t>Europski parlament</w:t>
      </w:r>
      <w:r w:rsidRPr="005F5D2F">
        <w:t>,</w:t>
      </w:r>
    </w:p>
    <w:p w14:paraId="7D8AC46F" w14:textId="77777777" w:rsidR="00E73E3D" w:rsidRPr="005F5D2F" w:rsidRDefault="00E73E3D" w:rsidP="00E73E3D">
      <w:pPr>
        <w:pStyle w:val="NormalHanging12a"/>
      </w:pPr>
      <w:r w:rsidRPr="005F5D2F">
        <w:t>–</w:t>
      </w:r>
      <w:r w:rsidRPr="005F5D2F">
        <w:tab/>
        <w:t>uzimajući u obzir opći proračun Europske unije za financijsku godinu 2024.</w:t>
      </w:r>
      <w:r w:rsidRPr="005F5D2F">
        <w:rPr>
          <w:rStyle w:val="FootnoteReference"/>
        </w:rPr>
        <w:footnoteReference w:id="1"/>
      </w:r>
      <w:r w:rsidRPr="005F5D2F">
        <w:t>,</w:t>
      </w:r>
    </w:p>
    <w:p w14:paraId="4F9ED10E" w14:textId="77777777" w:rsidR="00E73E3D" w:rsidRPr="005F5D2F" w:rsidRDefault="00E73E3D" w:rsidP="00E73E3D">
      <w:pPr>
        <w:pStyle w:val="NormalHanging12a"/>
      </w:pPr>
      <w:r w:rsidRPr="005F5D2F">
        <w:t>–</w:t>
      </w:r>
      <w:r w:rsidRPr="005F5D2F">
        <w:tab/>
        <w:t>uzimajući u obzir konsolidiranu godišnju računovodstvenu dokumentaciju Europske unije za financijsku godinu 2024. (COM(2025)0359 – C10</w:t>
      </w:r>
      <w:r w:rsidRPr="005F5D2F">
        <w:noBreakHyphen/>
        <w:t>0154/2025)</w:t>
      </w:r>
      <w:r w:rsidRPr="005F5D2F">
        <w:rPr>
          <w:rStyle w:val="FootnoteReference"/>
        </w:rPr>
        <w:footnoteReference w:id="2"/>
      </w:r>
      <w:r w:rsidRPr="005F5D2F">
        <w:t>,</w:t>
      </w:r>
    </w:p>
    <w:p w14:paraId="1AC6F44F" w14:textId="77777777" w:rsidR="00E73E3D" w:rsidRPr="005F5D2F" w:rsidRDefault="00E73E3D" w:rsidP="00E73E3D">
      <w:pPr>
        <w:pStyle w:val="NormalHanging12a"/>
      </w:pPr>
      <w:r w:rsidRPr="005F5D2F">
        <w:t>–</w:t>
      </w:r>
      <w:r w:rsidRPr="005F5D2F">
        <w:tab/>
        <w:t>uzimajući u obzir godišnje izvješće Europskog nadzornika za zaštitu podataka za 2024.,</w:t>
      </w:r>
    </w:p>
    <w:p w14:paraId="5D973597" w14:textId="77777777" w:rsidR="00E73E3D" w:rsidRPr="005F5D2F" w:rsidRDefault="00E73E3D" w:rsidP="00E73E3D">
      <w:pPr>
        <w:pStyle w:val="NormalHanging12a"/>
      </w:pPr>
      <w:r w:rsidRPr="005F5D2F">
        <w:t>–</w:t>
      </w:r>
      <w:r w:rsidRPr="005F5D2F">
        <w:tab/>
        <w:t>uzimajući u obzir godišnje izvješće Revizorskog suda o izvršenju proračuna za financijsku godinu 2024., s odgovorima institucija</w:t>
      </w:r>
      <w:r w:rsidRPr="005F5D2F">
        <w:rPr>
          <w:rStyle w:val="FootnoteReference"/>
        </w:rPr>
        <w:footnoteReference w:id="3"/>
      </w:r>
      <w:r w:rsidRPr="005F5D2F">
        <w:t>,</w:t>
      </w:r>
    </w:p>
    <w:p w14:paraId="0CEFD938" w14:textId="739FC4C5" w:rsidR="00E73E3D" w:rsidRPr="005F5D2F" w:rsidRDefault="00E73E3D" w:rsidP="00E73E3D">
      <w:pPr>
        <w:pStyle w:val="NormalHanging12a"/>
      </w:pPr>
      <w:r w:rsidRPr="005F5D2F">
        <w:t>–</w:t>
      </w:r>
      <w:r w:rsidRPr="005F5D2F">
        <w:tab/>
        <w:t>uzimajući u obzir izjavu o jamstvu</w:t>
      </w:r>
      <w:r w:rsidRPr="005F5D2F">
        <w:rPr>
          <w:rStyle w:val="FootnoteReference"/>
        </w:rPr>
        <w:footnoteReference w:id="4"/>
      </w:r>
      <w:r w:rsidRPr="005F5D2F">
        <w:t xml:space="preserve"> u pogledu pouzdanosti računovodstvene dokumentacije te zakonitosti i pravilnosti temeljnih transakcija koju je u skladu s člankom 287. Ugovora o funkcioniranju Europske unije Revizorski sud podnio za financijsku godinu 2024.,</w:t>
      </w:r>
    </w:p>
    <w:p w14:paraId="686CFA61" w14:textId="77777777" w:rsidR="00E73E3D" w:rsidRPr="005F5D2F" w:rsidRDefault="00E73E3D" w:rsidP="00E73E3D">
      <w:pPr>
        <w:pStyle w:val="NormalHanging12a"/>
      </w:pPr>
      <w:r w:rsidRPr="005F5D2F">
        <w:t>–</w:t>
      </w:r>
      <w:r w:rsidRPr="005F5D2F">
        <w:tab/>
        <w:t>uzimajući u obzir članak 314. stavak 10. te članke 317., 318. i 319. Ugovora o funkcioniranju Europske unije,</w:t>
      </w:r>
    </w:p>
    <w:p w14:paraId="37CE4E8E" w14:textId="77777777" w:rsidR="00E73E3D" w:rsidRPr="005F5D2F" w:rsidRDefault="00E73E3D" w:rsidP="00E73E3D">
      <w:pPr>
        <w:pStyle w:val="NormalHanging12a"/>
      </w:pPr>
      <w:r w:rsidRPr="005F5D2F">
        <w:t>–</w:t>
      </w:r>
      <w:r w:rsidRPr="005F5D2F">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5F5D2F">
        <w:lastRenderedPageBreak/>
        <w:t>Euratom) br. 966/2012</w:t>
      </w:r>
      <w:r w:rsidRPr="005F5D2F">
        <w:rPr>
          <w:rStyle w:val="FootnoteReference"/>
        </w:rPr>
        <w:footnoteReference w:id="5"/>
      </w:r>
      <w:r w:rsidRPr="005F5D2F">
        <w:t>, a posebno njezine članke 59., 118., 260., 261. i 262.,</w:t>
      </w:r>
    </w:p>
    <w:p w14:paraId="00A865F9" w14:textId="77777777" w:rsidR="00E73E3D" w:rsidRPr="005F5D2F" w:rsidRDefault="00E73E3D" w:rsidP="00E73E3D">
      <w:pPr>
        <w:pStyle w:val="NormalHanging12a"/>
      </w:pPr>
      <w:r w:rsidRPr="005F5D2F">
        <w:t>–</w:t>
      </w:r>
      <w:r w:rsidRPr="005F5D2F">
        <w:tab/>
        <w:t>uzimajući u obzir Uredbu (EU, Euratom) 2024/2509 Europskog parlamenta i Vijeća od 23. rujna 2024. o financijskim pravilima koja se primjenjuju na opći proračun Unije</w:t>
      </w:r>
      <w:r w:rsidRPr="005F5D2F">
        <w:rPr>
          <w:rStyle w:val="FootnoteReference"/>
        </w:rPr>
        <w:footnoteReference w:id="6"/>
      </w:r>
      <w:r w:rsidRPr="005F5D2F">
        <w:t>, a posebno njezine članke 59., 118., 266., 267. i 268.,</w:t>
      </w:r>
    </w:p>
    <w:p w14:paraId="575CA067" w14:textId="77777777" w:rsidR="00E73E3D" w:rsidRPr="005F5D2F" w:rsidRDefault="00E73E3D" w:rsidP="00E73E3D">
      <w:pPr>
        <w:pStyle w:val="NormalHanging12a"/>
      </w:pPr>
      <w:r w:rsidRPr="005F5D2F">
        <w:t>–</w:t>
      </w:r>
      <w:r w:rsidRPr="005F5D2F">
        <w:tab/>
        <w:t>uzimajući u obzir Uredbu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w:t>
      </w:r>
      <w:r w:rsidRPr="005F5D2F">
        <w:rPr>
          <w:rStyle w:val="FootnoteReference"/>
        </w:rPr>
        <w:footnoteReference w:id="7"/>
      </w:r>
      <w:r w:rsidRPr="005F5D2F">
        <w:t>, a posebno njezin članak 54.,</w:t>
      </w:r>
    </w:p>
    <w:p w14:paraId="178269EF" w14:textId="77777777" w:rsidR="00E73E3D" w:rsidRPr="005F5D2F" w:rsidRDefault="00E73E3D" w:rsidP="00E73E3D">
      <w:pPr>
        <w:pStyle w:val="NormalHanging12a"/>
      </w:pPr>
      <w:r w:rsidRPr="005F5D2F">
        <w:t>–</w:t>
      </w:r>
      <w:r w:rsidRPr="005F5D2F">
        <w:tab/>
        <w:t>uzimajući u obzir članak 102. Poslovnika i Prilog V. Poslovniku,</w:t>
      </w:r>
    </w:p>
    <w:p w14:paraId="0126C4F4" w14:textId="77777777" w:rsidR="00E73E3D" w:rsidRPr="005F5D2F" w:rsidRDefault="00E73E3D" w:rsidP="00E73E3D">
      <w:pPr>
        <w:pStyle w:val="NormalHanging12a"/>
      </w:pPr>
      <w:r w:rsidRPr="005F5D2F">
        <w:t>–</w:t>
      </w:r>
      <w:r w:rsidRPr="005F5D2F">
        <w:tab/>
        <w:t>uzimajući u obzir mišljenje Odbora za građanske slobode, pravosuđe i unutarnje poslove,</w:t>
      </w:r>
    </w:p>
    <w:p w14:paraId="475E70EC" w14:textId="77777777" w:rsidR="00E73E3D" w:rsidRPr="005F5D2F" w:rsidRDefault="00E73E3D" w:rsidP="00E73E3D">
      <w:pPr>
        <w:pStyle w:val="NormalHanging12a"/>
      </w:pPr>
      <w:r w:rsidRPr="005F5D2F">
        <w:t>–</w:t>
      </w:r>
      <w:r w:rsidRPr="005F5D2F">
        <w:tab/>
        <w:t>uzimajući u obzir izvješće Odbora za proračunski nadzor (A10</w:t>
      </w:r>
      <w:r w:rsidRPr="005F5D2F">
        <w:noBreakHyphen/>
        <w:t>0057/2026),</w:t>
      </w:r>
    </w:p>
    <w:p w14:paraId="0D1EF4FD" w14:textId="77777777" w:rsidR="00E73E3D" w:rsidRPr="005F5D2F" w:rsidRDefault="00E73E3D" w:rsidP="00E73E3D">
      <w:pPr>
        <w:pStyle w:val="NormalHanging12a"/>
      </w:pPr>
      <w:r w:rsidRPr="005F5D2F">
        <w:t>1.</w:t>
      </w:r>
      <w:r w:rsidRPr="005F5D2F">
        <w:tab/>
        <w:t>daje razrješnicu Europskom nadzorniku za zaštitu podataka za izvršenje proračuna za financijsku godinu 2024.;</w:t>
      </w:r>
    </w:p>
    <w:p w14:paraId="77A95863" w14:textId="77777777" w:rsidR="00E73E3D" w:rsidRPr="005F5D2F" w:rsidRDefault="00E73E3D" w:rsidP="00E73E3D">
      <w:pPr>
        <w:pStyle w:val="NormalHanging12a"/>
      </w:pPr>
      <w:r w:rsidRPr="005F5D2F">
        <w:t>2.</w:t>
      </w:r>
      <w:r w:rsidRPr="005F5D2F">
        <w:tab/>
        <w:t>iznosi svoje primjedbe u Rezoluciji u nastavku;</w:t>
      </w:r>
    </w:p>
    <w:p w14:paraId="36B0BCEF" w14:textId="77777777" w:rsidR="00E73E3D" w:rsidRPr="005F5D2F" w:rsidRDefault="00E73E3D" w:rsidP="00E73E3D">
      <w:pPr>
        <w:pStyle w:val="NormalHanging12a"/>
      </w:pPr>
      <w:r w:rsidRPr="005F5D2F">
        <w:t>3.</w:t>
      </w:r>
      <w:r w:rsidRPr="005F5D2F">
        <w:tab/>
        <w:t xml:space="preserve">nalaže svojoj predsjednici da ovu Odluku i Rezoluciju koja je njezin sastavni dio proslijedi Europskom nadzorniku za zaštitu podataka, Europskom vijeću, Vijeću, Komisiji, Revizorskom sudu, Sudu Europske unije, Europskom </w:t>
      </w:r>
      <w:proofErr w:type="spellStart"/>
      <w:r w:rsidRPr="005F5D2F">
        <w:t>ombudsmanu</w:t>
      </w:r>
      <w:proofErr w:type="spellEnd"/>
      <w:r w:rsidRPr="005F5D2F">
        <w:t xml:space="preserve"> i Europskoj službi za vanjsko djelovanje te da ih da na objavljivanje u </w:t>
      </w:r>
      <w:r w:rsidRPr="005F5D2F">
        <w:rPr>
          <w:i/>
          <w:iCs/>
        </w:rPr>
        <w:t>Službenom listu Europske unije</w:t>
      </w:r>
      <w:r w:rsidRPr="005F5D2F">
        <w:t xml:space="preserve"> (serija L).</w:t>
      </w:r>
    </w:p>
    <w:p w14:paraId="354CF71D" w14:textId="77777777" w:rsidR="00E73E3D" w:rsidRPr="005F5D2F" w:rsidRDefault="00E73E3D" w:rsidP="00E73E3D">
      <w:pPr>
        <w:pStyle w:val="PageHeading"/>
        <w:sectPr w:rsidR="00E73E3D" w:rsidRPr="005F5D2F" w:rsidSect="00744AA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4ABE23" w14:textId="59C30077" w:rsidR="00E73E3D" w:rsidRPr="005F5D2F" w:rsidRDefault="00E73E3D" w:rsidP="005F5D2F">
      <w:pPr>
        <w:pStyle w:val="PageHeading"/>
        <w:jc w:val="left"/>
        <w:rPr>
          <w:rFonts w:ascii="Times New Roman" w:hAnsi="Times New Roman" w:cs="Times New Roman"/>
        </w:rPr>
      </w:pPr>
      <w:bookmarkStart w:id="8" w:name="_Toc225755697"/>
      <w:r w:rsidRPr="005F5D2F">
        <w:rPr>
          <w:rFonts w:ascii="Times New Roman" w:hAnsi="Times New Roman" w:cs="Times New Roman"/>
        </w:rPr>
        <w:lastRenderedPageBreak/>
        <w:t xml:space="preserve">2. </w:t>
      </w:r>
      <w:r w:rsidR="005F5D2F">
        <w:rPr>
          <w:rFonts w:ascii="Times New Roman" w:hAnsi="Times New Roman" w:cs="Times New Roman"/>
        </w:rPr>
        <w:t>R</w:t>
      </w:r>
      <w:r w:rsidR="005F5D2F" w:rsidRPr="005F5D2F">
        <w:rPr>
          <w:rFonts w:ascii="Times New Roman" w:hAnsi="Times New Roman" w:cs="Times New Roman"/>
        </w:rPr>
        <w:t xml:space="preserve">ezolucija </w:t>
      </w:r>
      <w:r w:rsidR="005F5D2F">
        <w:rPr>
          <w:rFonts w:ascii="Times New Roman" w:hAnsi="Times New Roman" w:cs="Times New Roman"/>
        </w:rPr>
        <w:t>E</w:t>
      </w:r>
      <w:r w:rsidR="005F5D2F" w:rsidRPr="005F5D2F">
        <w:rPr>
          <w:rFonts w:ascii="Times New Roman" w:hAnsi="Times New Roman" w:cs="Times New Roman"/>
        </w:rPr>
        <w:t>uropskog parlamenta</w:t>
      </w:r>
      <w:bookmarkEnd w:id="8"/>
      <w:r w:rsidR="005F5D2F" w:rsidRPr="005F5D2F">
        <w:rPr>
          <w:rFonts w:ascii="Times New Roman" w:hAnsi="Times New Roman" w:cs="Times New Roman"/>
        </w:rPr>
        <w:t xml:space="preserve"> </w:t>
      </w:r>
      <w:r w:rsidR="005F5D2F">
        <w:rPr>
          <w:rFonts w:ascii="Times New Roman" w:hAnsi="Times New Roman" w:cs="Times New Roman"/>
        </w:rPr>
        <w:t xml:space="preserve">od 29. travnja 2026. </w:t>
      </w:r>
      <w:r w:rsidRPr="005F5D2F">
        <w:rPr>
          <w:rFonts w:ascii="Times New Roman" w:hAnsi="Times New Roman" w:cs="Times New Roman"/>
        </w:rPr>
        <w:t>s primjedbama koje su sastavni dio Odluke o razrješnici za izvršenje općeg proračuna Europske unije za financijsku godinu 2024., dio IX. – Europski nadzornik za zaštitu podataka</w:t>
      </w:r>
      <w:r w:rsidR="005F5D2F" w:rsidRPr="005F5D2F">
        <w:rPr>
          <w:rFonts w:ascii="Times New Roman" w:hAnsi="Times New Roman" w:cs="Times New Roman"/>
        </w:rPr>
        <w:t xml:space="preserve"> </w:t>
      </w:r>
      <w:r w:rsidRPr="005F5D2F">
        <w:rPr>
          <w:rFonts w:ascii="Times New Roman" w:hAnsi="Times New Roman" w:cs="Times New Roman"/>
        </w:rPr>
        <w:t>(2025/2154(DEC))</w:t>
      </w:r>
    </w:p>
    <w:p w14:paraId="5D6D21D9" w14:textId="77777777" w:rsidR="00E73E3D" w:rsidRPr="005F5D2F" w:rsidRDefault="00E73E3D" w:rsidP="00E73E3D">
      <w:pPr>
        <w:pStyle w:val="EPComma"/>
      </w:pPr>
      <w:r w:rsidRPr="005F5D2F">
        <w:rPr>
          <w:i/>
        </w:rPr>
        <w:t>Europski parlament</w:t>
      </w:r>
      <w:r w:rsidRPr="005F5D2F">
        <w:t>,</w:t>
      </w:r>
    </w:p>
    <w:p w14:paraId="3EB87991" w14:textId="77777777" w:rsidR="00E73E3D" w:rsidRPr="005F5D2F" w:rsidRDefault="00E73E3D" w:rsidP="00E73E3D">
      <w:pPr>
        <w:pStyle w:val="NormalHanging12a"/>
      </w:pPr>
      <w:r w:rsidRPr="005F5D2F">
        <w:t>–</w:t>
      </w:r>
      <w:r w:rsidRPr="005F5D2F">
        <w:tab/>
        <w:t>uzimajući u obzir svoju Odluku o razrješnici za izvršenje općeg proračuna Europske unije za financijsku godinu 2024., dio IX. – Europski nadzornik za zaštitu podataka,</w:t>
      </w:r>
    </w:p>
    <w:p w14:paraId="461C938E" w14:textId="77777777" w:rsidR="00E73E3D" w:rsidRPr="005F5D2F" w:rsidRDefault="00E73E3D" w:rsidP="00E73E3D">
      <w:pPr>
        <w:pStyle w:val="NormalHanging12a"/>
      </w:pPr>
      <w:r w:rsidRPr="005F5D2F">
        <w:t>–</w:t>
      </w:r>
      <w:r w:rsidRPr="005F5D2F">
        <w:tab/>
        <w:t>uzimajući u obzir članak 102. Poslovnika i Prilog V. Poslovniku,</w:t>
      </w:r>
    </w:p>
    <w:p w14:paraId="51558D4B" w14:textId="77777777" w:rsidR="00E73E3D" w:rsidRPr="005F5D2F" w:rsidRDefault="00E73E3D" w:rsidP="00E73E3D">
      <w:pPr>
        <w:pStyle w:val="NormalHanging12a"/>
      </w:pPr>
      <w:r w:rsidRPr="005F5D2F">
        <w:t>–</w:t>
      </w:r>
      <w:r w:rsidRPr="005F5D2F">
        <w:tab/>
        <w:t>uzimajući u obzir mišljenje Odbora za građanske slobode, pravosuđe i unutarnje poslove,</w:t>
      </w:r>
    </w:p>
    <w:p w14:paraId="5A1A66DD" w14:textId="77777777" w:rsidR="00E73E3D" w:rsidRPr="005F5D2F" w:rsidRDefault="00E73E3D" w:rsidP="00E73E3D">
      <w:pPr>
        <w:pStyle w:val="NormalHanging12a"/>
      </w:pPr>
      <w:r w:rsidRPr="005F5D2F">
        <w:t>–</w:t>
      </w:r>
      <w:r w:rsidRPr="005F5D2F">
        <w:tab/>
        <w:t>uzimajući u obzir izvješće Odbora za proračunski nadzor (A10</w:t>
      </w:r>
      <w:r w:rsidRPr="005F5D2F">
        <w:noBreakHyphen/>
        <w:t>0057/2026),</w:t>
      </w:r>
    </w:p>
    <w:p w14:paraId="41E90659" w14:textId="77777777" w:rsidR="00E73E3D" w:rsidRPr="005F5D2F" w:rsidRDefault="00E73E3D" w:rsidP="00E73E3D">
      <w:pPr>
        <w:pStyle w:val="NormalHanging12a"/>
        <w:rPr>
          <w:szCs w:val="24"/>
        </w:rPr>
      </w:pPr>
      <w:r w:rsidRPr="005F5D2F">
        <w:t>A.</w:t>
      </w:r>
      <w:r w:rsidRPr="005F5D2F">
        <w:tab/>
        <w:t>budući da u kontekstu postupka davanja razrješnice tijelo nadležno za davanje razrješnice želi istaknuti da je posebno važno nastaviti jačati demokratski legitimitet institucija Unije većom transparentnošću i odgovornošću te uvođenjem koncepta izrade proračuna utemeljenog na uspješnosti i dobrog upravljanja ljudskim resursima;</w:t>
      </w:r>
    </w:p>
    <w:p w14:paraId="23A56AE9" w14:textId="77777777" w:rsidR="00E73E3D" w:rsidRPr="005F5D2F" w:rsidRDefault="00E73E3D" w:rsidP="00E73E3D">
      <w:pPr>
        <w:pStyle w:val="NormalHanging12a"/>
        <w:rPr>
          <w:szCs w:val="24"/>
        </w:rPr>
      </w:pPr>
      <w:r w:rsidRPr="005F5D2F">
        <w:t>B.</w:t>
      </w:r>
      <w:r w:rsidRPr="005F5D2F">
        <w:tab/>
        <w:t>budući da je zaštita podataka jedno od temeljnih prava zaštićeno pravom Unije i utvrđeno u članku 8. Povelje Europske unije o temeljnim pravima;</w:t>
      </w:r>
    </w:p>
    <w:p w14:paraId="1C0339AC" w14:textId="77777777" w:rsidR="00E73E3D" w:rsidRPr="005F5D2F" w:rsidRDefault="00E73E3D" w:rsidP="00E73E3D">
      <w:pPr>
        <w:pStyle w:val="NormalHanging12a"/>
        <w:rPr>
          <w:szCs w:val="24"/>
        </w:rPr>
      </w:pPr>
      <w:r w:rsidRPr="005F5D2F">
        <w:t>C.</w:t>
      </w:r>
      <w:r w:rsidRPr="005F5D2F">
        <w:tab/>
        <w:t>budući da je člankom 16. Ugovora o funkcioniranju Europske unije predviđeno da usklađenost s pravilima koja se odnose na zaštitu pojedinaca, u pogledu obrade njihovih osobnih podataka, podliježe kontroli neovisnog tijela;</w:t>
      </w:r>
    </w:p>
    <w:p w14:paraId="42C84AD5" w14:textId="77777777" w:rsidR="00E73E3D" w:rsidRPr="005F5D2F" w:rsidRDefault="00E73E3D" w:rsidP="00E73E3D">
      <w:pPr>
        <w:pStyle w:val="NormalHanging12a"/>
        <w:rPr>
          <w:szCs w:val="24"/>
        </w:rPr>
      </w:pPr>
      <w:r w:rsidRPr="005F5D2F">
        <w:t>D.</w:t>
      </w:r>
      <w:r w:rsidRPr="005F5D2F">
        <w:tab/>
        <w:t>budući da je Uredbom (EU) 2018/1725 predviđena uspostava neovisnog tijela, Europskog nadzornika za zaštitu podataka („EDPS”), odgovornog za zaštitu i jamčenje prava na zaštitu podataka i privatnost te zaduženog za to da se osigura da institucije, tijela, uredi i agencije Unije prihvate kulturu čvrste zaštite podataka;</w:t>
      </w:r>
    </w:p>
    <w:p w14:paraId="18EBB4EF" w14:textId="77777777" w:rsidR="00E73E3D" w:rsidRPr="005F5D2F" w:rsidRDefault="00E73E3D" w:rsidP="00E73E3D">
      <w:pPr>
        <w:pStyle w:val="NormalHanging12a"/>
        <w:rPr>
          <w:szCs w:val="24"/>
        </w:rPr>
      </w:pPr>
      <w:r w:rsidRPr="005F5D2F">
        <w:t>E.</w:t>
      </w:r>
      <w:r w:rsidRPr="005F5D2F">
        <w:tab/>
        <w:t>budući da EDPS svoje funkcije obavlja u bliskoj suradnji s drugim tijelima za zaštitu podataka kao dio Europskog odbora za zaštitu podataka (EDPB) te da služi javnom interesu jer se vodi načelima nepristranosti, integriteta, transparentnosti i pragmatizma i poštuje zakonodavstvo Unije;</w:t>
      </w:r>
    </w:p>
    <w:p w14:paraId="2588E95A" w14:textId="77777777" w:rsidR="00E73E3D" w:rsidRPr="005F5D2F" w:rsidRDefault="00E73E3D" w:rsidP="00E73E3D">
      <w:pPr>
        <w:pStyle w:val="NormalHanging12a"/>
        <w:rPr>
          <w:szCs w:val="24"/>
        </w:rPr>
      </w:pPr>
      <w:r w:rsidRPr="005F5D2F">
        <w:t>F.</w:t>
      </w:r>
      <w:r w:rsidRPr="005F5D2F">
        <w:tab/>
        <w:t>budući da građanima Unije treba digitalno okružje koje nije pod kontrolom netransparentnih interesa i inicijative kojima se promiče digitalni suverenitet, čime se osigurava da su pojedinci, a ne trgovačka društva ili neodgovorni sustavi, u središtu upravljanja podacima u Uniji;</w:t>
      </w:r>
    </w:p>
    <w:p w14:paraId="106CE1D6" w14:textId="77777777" w:rsidR="00E73E3D" w:rsidRPr="005F5D2F" w:rsidRDefault="00E73E3D" w:rsidP="00E73E3D">
      <w:pPr>
        <w:pStyle w:val="NormalHanging12a"/>
        <w:rPr>
          <w:szCs w:val="24"/>
        </w:rPr>
      </w:pPr>
      <w:r w:rsidRPr="005F5D2F">
        <w:t>1.</w:t>
      </w:r>
      <w:r w:rsidRPr="005F5D2F">
        <w:tab/>
        <w:t>konstatira da je proračun EDPS-a obuhvaćen naslovom 7. VFO-a, „Europska javna uprava”, čiji je iznos 2024. bio ukupno 13,3 milijarde EUR, odnosno 6,9 % potrošnje proračuna EU-a; primjećuje da je proračun EDPS-a činio 0,18 % odobrenih sredstava iz naslova 7. VFO-a;</w:t>
      </w:r>
    </w:p>
    <w:p w14:paraId="3C2094CD" w14:textId="77777777" w:rsidR="00E73E3D" w:rsidRPr="005F5D2F" w:rsidRDefault="00E73E3D" w:rsidP="00E73E3D">
      <w:pPr>
        <w:pStyle w:val="NormalHanging12a"/>
      </w:pPr>
      <w:r w:rsidRPr="005F5D2F">
        <w:t>2.</w:t>
      </w:r>
      <w:r w:rsidRPr="005F5D2F">
        <w:tab/>
        <w:t xml:space="preserve">konstatira da je Revizorski sud u godišnjem izvješću za financijsku godinu 2024. („izvješće Revizorskog suda”) ispitao uzorak od 70 transakcija pod naslovom „Uprava”, </w:t>
      </w:r>
      <w:r w:rsidRPr="005F5D2F">
        <w:lastRenderedPageBreak/>
        <w:t xml:space="preserve">koliko ih je ispitao i za 2023.; budući da Revizorski sud također navodi da administrativni rashodi obuhvaćaju rashode za ljudske resurse, uključujući rashode za mirovine, koji su 2024. činili oko 69 % ukupnih administrativnih rashoda, kao i rashode za zgrade, opremu, energiju, komunikacije i informacijsku tehnologiju te da njegov dugogodišnji rad upućuje na to da su ti administrativni rashodi općenito </w:t>
      </w:r>
      <w:proofErr w:type="spellStart"/>
      <w:r w:rsidRPr="005F5D2F">
        <w:t>niskorizični</w:t>
      </w:r>
      <w:proofErr w:type="spellEnd"/>
      <w:r w:rsidRPr="005F5D2F">
        <w:t>;</w:t>
      </w:r>
    </w:p>
    <w:p w14:paraId="48F94FF1" w14:textId="77777777" w:rsidR="00E73E3D" w:rsidRPr="005F5D2F" w:rsidRDefault="00E73E3D" w:rsidP="00E73E3D">
      <w:pPr>
        <w:pStyle w:val="NormalHanging12a"/>
      </w:pPr>
      <w:r w:rsidRPr="005F5D2F">
        <w:t>3.</w:t>
      </w:r>
      <w:r w:rsidRPr="005F5D2F">
        <w:tab/>
        <w:t>konstatira da je 16 (23 %) od 70 transakcija sadržavalo pogreške, ali da Revizorski sud, na temelju tri kvantificirane pogreške, procjenjuje da je stopa pogreške ispod praga značajnosti; napominje da u izvješću Revizorskog suda nisu utvrđeni nikakvi konkretni problemi koji se odnose na EDPS;</w:t>
      </w:r>
    </w:p>
    <w:p w14:paraId="1F7CB7BB" w14:textId="77777777" w:rsidR="00E73E3D" w:rsidRPr="005F5D2F" w:rsidRDefault="00E73E3D" w:rsidP="00E73E3D">
      <w:pPr>
        <w:pStyle w:val="NormalHanging12a"/>
      </w:pPr>
      <w:r w:rsidRPr="005F5D2F">
        <w:rPr>
          <w:b/>
          <w:i/>
        </w:rPr>
        <w:t>Proračunsko i financijsko upravljanje</w:t>
      </w:r>
    </w:p>
    <w:p w14:paraId="0EA138FC" w14:textId="77777777" w:rsidR="00E73E3D" w:rsidRPr="005F5D2F" w:rsidRDefault="00E73E3D" w:rsidP="00E73E3D">
      <w:pPr>
        <w:pStyle w:val="NormalHanging12a"/>
        <w:rPr>
          <w:b/>
          <w:i/>
          <w:szCs w:val="24"/>
        </w:rPr>
      </w:pPr>
      <w:r w:rsidRPr="005F5D2F">
        <w:t>4.</w:t>
      </w:r>
      <w:r w:rsidRPr="005F5D2F">
        <w:tab/>
        <w:t>konstatira da je konačni usvojeni proračun EDPS-a za 2024. iznosio 24 329 460 EUR, što je povećanje od 7,12 % u odnosu na 2023. (22 711 559 EUR); konstatira da proračun EDPS-a obuhvaća i rad neovisnog tajništva Europskog odbora za zaštitu podataka; prima na znanje iz izvješća o godišnjoj računovodstvenoj dokumentaciji Europskog nadzornika za zaštitu podataka za 2023. („godišnje izvješće”) da je usvojeni proračun EDPB-a za 2024. iznosio 8,36 milijuna EUR (u usporedbi sa 7,67 milijuna EUR) za 2023.;</w:t>
      </w:r>
    </w:p>
    <w:p w14:paraId="5A13C9ED" w14:textId="77777777" w:rsidR="00E73E3D" w:rsidRPr="005F5D2F" w:rsidRDefault="00E73E3D" w:rsidP="00E73E3D">
      <w:pPr>
        <w:pStyle w:val="NormalHanging12a"/>
        <w:rPr>
          <w:szCs w:val="24"/>
        </w:rPr>
      </w:pPr>
      <w:r w:rsidRPr="005F5D2F">
        <w:t>5.</w:t>
      </w:r>
      <w:r w:rsidRPr="005F5D2F">
        <w:tab/>
        <w:t xml:space="preserve">sa zadovoljstvom prima na znanje da je praćenje i planiranje proračuna koje je provodio EDPS tijekom financijske godine 2024. rezultiralo stopom izvršenja proračuna od 96 % za odobrena sredstva za preuzimanje obveza za tu godinu (isto kao i 2023.); nadalje prima na znanje iz izvješća o godišnjoj računovodstvenoj dokumentaciji Europskog nadzornika za zaštitu podataka za 2024. da je stopa izvršenja odobrenih sredstava za plaćanje za tekuću godinu iznosila 84 % (isto kao i 2023.); osim toga, iz odgovora EDPS-a na upitnik koji je dostavio Odbor za proračunski nadzor u pogledu proračunske razrješnice za 2023. („Upitnik”) prima na znanje da je ukupna stopa izvršenja odobrenih sredstava za plaćanje 2024. iznosila 91,88 %, što je više od 91,33 % koliko je iznosila 2023.; </w:t>
      </w:r>
    </w:p>
    <w:p w14:paraId="443673A5" w14:textId="77777777" w:rsidR="00E73E3D" w:rsidRPr="005F5D2F" w:rsidRDefault="00E73E3D" w:rsidP="00E73E3D">
      <w:pPr>
        <w:pStyle w:val="NormalHanging12a"/>
        <w:rPr>
          <w:szCs w:val="24"/>
        </w:rPr>
      </w:pPr>
      <w:r w:rsidRPr="005F5D2F">
        <w:t>6.</w:t>
      </w:r>
      <w:r w:rsidRPr="005F5D2F">
        <w:tab/>
        <w:t xml:space="preserve">nadalje napominje da je iznos prijenosa (C8) iz 2024. u 2025. bio 2 649 943 EUR (odnosno 10,89 % ukupnog proračuna za 2024.), u usporedbi s 2 517 2023 EUR tijekom 2023. (odnosno 11,08 % ukupnog proračuna za 2023.); napominje da je stopa izvršenja proračuna C8 za 2024. iznosila 77,37 % (u usporedbi sa 76,65 % za 2023.); </w:t>
      </w:r>
    </w:p>
    <w:p w14:paraId="77FF6604" w14:textId="77777777" w:rsidR="00E73E3D" w:rsidRPr="005F5D2F" w:rsidRDefault="00E73E3D" w:rsidP="00E73E3D">
      <w:pPr>
        <w:pStyle w:val="NormalHanging12a"/>
        <w:rPr>
          <w:szCs w:val="24"/>
        </w:rPr>
      </w:pPr>
      <w:r w:rsidRPr="005F5D2F">
        <w:t>7.</w:t>
      </w:r>
      <w:r w:rsidRPr="005F5D2F">
        <w:tab/>
        <w:t>napominje da je 2024. prosječno vrijeme plaćanja bilo 20 dana, u usporedbi s 19 dana 2023., s tim da je 96,87 % plaćanja obrađeno na vrijeme (što je povećanje u odnosu na 92,73 % tijekom 2023.); nadalje prima na znanje povećanje broja plaćanja s 1335 tijekom 2023. na 1440 tijekom 2024.; napominje da se 2024. EDPS suočio s nekim tehničkim poteškoćama zbog istodobne primjene dvaju različitih informatičkih sustava (sustav Komisije SUMMA i EDPS-ov sustav ABAC), zbog čega je bilo potrebno ponovno ručno kodiranje te druge ručne intervencije; napominje da se očekuje da će u EDPS-u sustav SUMMA biti uveden 2026.;</w:t>
      </w:r>
    </w:p>
    <w:p w14:paraId="1BF9A8EF" w14:textId="77777777" w:rsidR="00E73E3D" w:rsidRPr="005F5D2F" w:rsidRDefault="00E73E3D" w:rsidP="00E73E3D">
      <w:pPr>
        <w:pStyle w:val="NormalHanging12a"/>
      </w:pPr>
      <w:r w:rsidRPr="005F5D2F">
        <w:t>8.</w:t>
      </w:r>
      <w:r w:rsidRPr="005F5D2F">
        <w:tab/>
        <w:t xml:space="preserve">prima na znanje iz Upitnika da se ukupni proračun EDPS-a za službena putovanja smanjio za 17,86 % s 323 421 EUR 2023. na 265 630 EUR 2024. zbog smanjenja putnih i s njima povezanih troškova kao rezultat povećanog sudjelovanja na sastancima na daljinu ili hibridnim sastancima; prima na znanje iz godišnjeg izvješća da se broj službenih putovanja osoblja također smanjio, s 246 tijekom 2023. na 218 tijekom 2024.; </w:t>
      </w:r>
      <w:r w:rsidRPr="005F5D2F">
        <w:lastRenderedPageBreak/>
        <w:t>napominje da je, kao dio tog proračuna, iznos od 38 418 EUR bio namijenjen za 23 službena putovanja nadzornika 2024., te se povećao s 33 000 EUR za 24 službena putovanja 2023., uglavnom zbog mjesta održavanja važnih sastanaka i događaja kojima je nadzornik morao prisustvovati, uključujući nekoliko službenih putovanja u Sjedinjene Američke Države i Meksiko 2024.; sa zabrinutošću napominje da je, kad je riječ o službenim putovanjima u državu podrijetla visokorangiranih dužnosnika, nadzornik 2024. putovao samo tri puta u Poljsku (od ukupno 23 službena putovanja), dok je glavni tajnik Europskog nadzornika za zaštitu podataka devet puta službeno putovao u Španjolsku (od ukupno 15 službenih putovanja); naglašava da EDPS još ne daje informacije o broju službenih putovanja koje financiraju organizatori ili ostale treće strane, zbog čega se smanjuje transparentnost u pogledu troškova službenih putovanja EDPS-a;</w:t>
      </w:r>
    </w:p>
    <w:p w14:paraId="53D28781" w14:textId="77777777" w:rsidR="00E73E3D" w:rsidRPr="005F5D2F" w:rsidRDefault="00E73E3D" w:rsidP="00E73E3D">
      <w:pPr>
        <w:pStyle w:val="NormalHanging12a"/>
      </w:pPr>
      <w:r w:rsidRPr="005F5D2F">
        <w:t>9.</w:t>
      </w:r>
      <w:r w:rsidRPr="005F5D2F">
        <w:tab/>
        <w:t>prima na znanje iz Upitnika da je, u kontekstu nezakonitog ruskog agresivnog rata protiv Ukrajine, EDPS razmatrao inflacijske pritiske na ugovore i usluge revidiranjem procjena troškova tijekom godine i preraspodjelom sredstava preko transfera izvršenih u skladu s člankom 29. stavcima 1. i 4. Financijske uredbe, čime su se predviđale pričuve za nepredviđene izdatke te su se ponovno procjenjivali prioriteti kako bi se osiguralo financiranje osnovnih aktivnosti EDPS-a; poziva EDPS da nastavi provoditi redovite preglede kako bi se tijekom godine utvrdila područja nedovoljne provedbe i preraspodijelila sredstva gdje je to potrebno; prepoznaje potrebu da sve institucije Unije poboljšaju upravljanje proračunom uzimajući u obzir i nestabilnost cijena, posebno u energetskom sektoru, pri sklapanju ugovora s pružateljima usluga;</w:t>
      </w:r>
    </w:p>
    <w:p w14:paraId="4EA53FEC" w14:textId="77777777" w:rsidR="00E73E3D" w:rsidRPr="005F5D2F" w:rsidRDefault="00E73E3D" w:rsidP="00E73E3D">
      <w:pPr>
        <w:pStyle w:val="NormalHanging12a"/>
        <w:rPr>
          <w:szCs w:val="24"/>
        </w:rPr>
      </w:pPr>
      <w:r w:rsidRPr="005F5D2F">
        <w:t>10.</w:t>
      </w:r>
      <w:r w:rsidRPr="005F5D2F">
        <w:tab/>
        <w:t xml:space="preserve">napominje da je EDPS pokrenuo 66 postupaka nabave i dodijelio 66 ugovora, od kojih je 45 bilo vrlo niske vrijednosti, dva su bila pregovarački postupci bez prethodne objave, devet su bili konkretni ugovori za sastavljanje popisa pojedinačnih stručnjaka, a jedan je bio okvirni ugovor od 200 000 EUR s mrežom </w:t>
      </w:r>
      <w:proofErr w:type="spellStart"/>
      <w:r w:rsidRPr="005F5D2F">
        <w:t>PricewaterhouseCoopers</w:t>
      </w:r>
      <w:proofErr w:type="spellEnd"/>
      <w:r w:rsidRPr="005F5D2F">
        <w:t>; napominje da EDPS većinu ugovora potpisuje s malim i srednjim poduzećima u okviru postupaka vrlo niske ili niske vrijednosti;</w:t>
      </w:r>
    </w:p>
    <w:p w14:paraId="34921554" w14:textId="77777777" w:rsidR="00E73E3D" w:rsidRPr="005F5D2F" w:rsidRDefault="00E73E3D" w:rsidP="00E73E3D">
      <w:pPr>
        <w:pStyle w:val="NormalHanging12a"/>
        <w:rPr>
          <w:szCs w:val="24"/>
        </w:rPr>
      </w:pPr>
      <w:r w:rsidRPr="005F5D2F">
        <w:rPr>
          <w:b/>
          <w:i/>
        </w:rPr>
        <w:t>Unutarnje upravljanje, uspješnost i unutarnja kontrola</w:t>
      </w:r>
    </w:p>
    <w:p w14:paraId="63491420" w14:textId="77777777" w:rsidR="00E73E3D" w:rsidRPr="005F5D2F" w:rsidRDefault="00E73E3D" w:rsidP="00E73E3D">
      <w:pPr>
        <w:pStyle w:val="NormalHanging12a"/>
        <w:rPr>
          <w:szCs w:val="24"/>
        </w:rPr>
      </w:pPr>
      <w:r w:rsidRPr="005F5D2F">
        <w:t>11.</w:t>
      </w:r>
      <w:r w:rsidRPr="005F5D2F">
        <w:tab/>
        <w:t>napominje da je EDPS upotrijebio devet ključnih pokazatelja uspješnosti kako bi pratio svoju uspješnost 2024., u skladu s glavnim ciljevima strategije EDPS-a za razdoblje 2020. – 2024., koja se provodi u okviru godišnjeg plana upravljanja; prima na znanje iz godišnjeg izvješća da je EDPS ispunio ili premašio ciljeve postavljene u svim ključnim pokazateljima uspješnosti, osim u jednom (broj pratitelja EDPS-a na nekim računima društvenih mreža);</w:t>
      </w:r>
    </w:p>
    <w:p w14:paraId="0595FCF3" w14:textId="77777777" w:rsidR="00E73E3D" w:rsidRPr="005F5D2F" w:rsidRDefault="00E73E3D" w:rsidP="00E73E3D">
      <w:pPr>
        <w:pStyle w:val="NormalHanging12a"/>
        <w:rPr>
          <w:szCs w:val="24"/>
        </w:rPr>
      </w:pPr>
      <w:r w:rsidRPr="005F5D2F">
        <w:t>12.</w:t>
      </w:r>
      <w:r w:rsidRPr="005F5D2F">
        <w:tab/>
        <w:t>prima na znanje različite uloge EDPS-a, koji funkcionira kao tijelo za zaštitu podataka i, od 1. kolovoza 2024., kao prijavljeno tijelo i tijelo za nadzor tržišta zaduženo za nadzor i provedbu Uredbe (EU) 2024/1689 Europskog parlamenta i Vijeća</w:t>
      </w:r>
      <w:r w:rsidRPr="005F5D2F">
        <w:rPr>
          <w:rStyle w:val="FootnoteReference"/>
          <w:szCs w:val="24"/>
        </w:rPr>
        <w:footnoteReference w:id="8"/>
      </w:r>
      <w:r w:rsidRPr="005F5D2F">
        <w:t xml:space="preserve"> u institucijama, tijelima i agencijama Unije, pri čemu će za potonju ulogu imati provedbene ovlasti tek </w:t>
      </w:r>
      <w:r w:rsidRPr="005F5D2F">
        <w:lastRenderedPageBreak/>
        <w:t xml:space="preserve">od 2. kolovoza 2026.; sa zadovoljstvom konstatira da u tom kontekstu EDPS radi na strukturama upravljanja i </w:t>
      </w:r>
      <w:proofErr w:type="spellStart"/>
      <w:r w:rsidRPr="005F5D2F">
        <w:t>postupovnim</w:t>
      </w:r>
      <w:proofErr w:type="spellEnd"/>
      <w:r w:rsidRPr="005F5D2F">
        <w:t xml:space="preserve"> okvirima potrebnima za izvršavanje novih zadaća i ovlasti u svojstvu tijela za nadzor tržišta u skladu s Uredbom (EU) 2024/1689, uključujući uspostavu Mreže korespondenata za Akt o umjetnoj inteligenciji 2024., u kojoj na dobrovoljnoj osnovi sudjeluju sve institucije, tijela, uredi i agencije Unije;</w:t>
      </w:r>
    </w:p>
    <w:p w14:paraId="6615AA47" w14:textId="77777777" w:rsidR="00E73E3D" w:rsidRPr="005F5D2F" w:rsidRDefault="00E73E3D" w:rsidP="00E73E3D">
      <w:pPr>
        <w:pStyle w:val="NormalHanging12a"/>
        <w:rPr>
          <w:szCs w:val="24"/>
        </w:rPr>
      </w:pPr>
      <w:r w:rsidRPr="005F5D2F">
        <w:t>13.</w:t>
      </w:r>
      <w:r w:rsidRPr="005F5D2F">
        <w:tab/>
        <w:t>ističe veću ulogu EDPS-a u novim zakonodavnim aktima, uključujući Uredbu (EU) 2024/1689, na temelju kojih EDPS postaje nadležno tijelo za institucije, agencije, urede i tijela Unije te na temelju kojih mu se dodjeljuju dodatne zadaće; napominje da je 1. listopada 2024., radi obavljanja novih zadaća nadzora, EDPS osnovao ured za umjetnu inteligenciju koji se 2024. sastojao od dvaju djelatnika preraspoređenih iz njegovih unutarnjih struktura; prima na znanje iz Upitnika da od 2025. EDPS za taj ured ima proračun koji pokriva dva stalna radna mjesta i pet ugovornih djelatnika za koje su provedeni postupci zapošljavanja; međutim, prima na znanje iz Upitnika i stajalište EDPS-a da su ti resursi i dalje nedovoljni za pokrivanje novih zadaća, posebno nadzora sustava umjetne inteligencije u području granične kontrole, migracija, pravosuđa i kaznenog progona ili uspostave regulatorno izoliranog okruženja za UI za institucije, tijela, urede i agencije Unije, kako je predviđeno člankom 57. stavkom 3. Uredbe (EU) 2024/1689; nadalje prima na znanje iz izvješća EDPS-a o daljnjem postupanju u pogledu rezolucije Parlamenta o provedbi proračuna EDPS-a za 2023. („izvješće o daljnjem postupanju”) da EDPS 2024., također zbog proračunskih ograničenja, nije mogao pokrenuti studiju izvedivosti o umjetnoj inteligenciji; podsjeća da bi EDPS trebao poštovati nadležnosti u okviru svojeg mandata uz suradnički pristup s institucijama i agencijama Unije kako bi se izbjegli skupi pravni postupci; podsjeća na to da je Parlament u svojoj rezoluciji o razrješnici za 2023. već upozorio da bi postupno proširenje mandata EDPS-a moglo premašiti resurse koji su mu na raspolaganju; naglašava da je EDPS-u važno osigurati odgovarajuće financijske i ljudske resurse za učinkovit nadzor sustava umjetne inteligencije u područjima visokog rizika;</w:t>
      </w:r>
    </w:p>
    <w:p w14:paraId="683241E1" w14:textId="77777777" w:rsidR="00E73E3D" w:rsidRPr="005F5D2F" w:rsidRDefault="00E73E3D" w:rsidP="00E73E3D">
      <w:pPr>
        <w:pStyle w:val="NormalHanging12a"/>
        <w:rPr>
          <w:szCs w:val="24"/>
        </w:rPr>
      </w:pPr>
      <w:r w:rsidRPr="005F5D2F">
        <w:t>14.</w:t>
      </w:r>
      <w:r w:rsidRPr="005F5D2F">
        <w:tab/>
        <w:t xml:space="preserve">u pogledu praćenja i predviđanja tehnološkog napretka prima na znanje da se EDPS, u okviru svojeg odjela za tehnologiju i privatnost, 2024. usredotočio na umjetnu inteligenciju; u tom kontekstu ističe neke od tema kojima se EDPS bavio, na primjer: – obrada </w:t>
      </w:r>
      <w:proofErr w:type="spellStart"/>
      <w:r w:rsidRPr="005F5D2F">
        <w:t>neuropodataka</w:t>
      </w:r>
      <w:proofErr w:type="spellEnd"/>
      <w:r w:rsidRPr="005F5D2F">
        <w:t xml:space="preserve"> </w:t>
      </w:r>
      <w:proofErr w:type="spellStart"/>
      <w:r w:rsidRPr="005F5D2F">
        <w:t>neurotehnologijama</w:t>
      </w:r>
      <w:proofErr w:type="spellEnd"/>
      <w:r w:rsidRPr="005F5D2F">
        <w:t xml:space="preserve">, obuhvaćena dokumentom o </w:t>
      </w:r>
      <w:proofErr w:type="spellStart"/>
      <w:r w:rsidRPr="005F5D2F">
        <w:t>neuropodacima</w:t>
      </w:r>
      <w:proofErr w:type="spellEnd"/>
      <w:r w:rsidRPr="005F5D2F">
        <w:t xml:space="preserve"> „</w:t>
      </w:r>
      <w:proofErr w:type="spellStart"/>
      <w:r w:rsidRPr="005F5D2F">
        <w:t>TechDispatch</w:t>
      </w:r>
      <w:proofErr w:type="spellEnd"/>
      <w:r w:rsidRPr="005F5D2F">
        <w:t xml:space="preserve"> on </w:t>
      </w:r>
      <w:proofErr w:type="spellStart"/>
      <w:r w:rsidRPr="005F5D2F">
        <w:t>neurodata</w:t>
      </w:r>
      <w:proofErr w:type="spellEnd"/>
      <w:r w:rsidRPr="005F5D2F">
        <w:t xml:space="preserve">” koji je EDPS izdao zajedno sa španjolskim tijelom za zaštitu podataka u lipnju 2024. te – automatizirano donošenje odluka i ljudski nadzor nad njim, o čemu se raspravljalo na tematskom seminaru koji su zajednički organizirale Agencija Europske unije za </w:t>
      </w:r>
      <w:proofErr w:type="spellStart"/>
      <w:r w:rsidRPr="005F5D2F">
        <w:t>kibersigurnost</w:t>
      </w:r>
      <w:proofErr w:type="spellEnd"/>
      <w:r w:rsidRPr="005F5D2F">
        <w:t xml:space="preserve"> (ENISA) i Sveučilište u </w:t>
      </w:r>
      <w:proofErr w:type="spellStart"/>
      <w:r w:rsidRPr="005F5D2F">
        <w:t>Karlstadu</w:t>
      </w:r>
      <w:proofErr w:type="spellEnd"/>
      <w:r w:rsidRPr="005F5D2F">
        <w:t xml:space="preserve"> u rujnu 2024.; sa zadovoljstvom konstatira da je EDPS u studenom 2024. objavio četvrto izdanje svoje inicijative </w:t>
      </w:r>
      <w:proofErr w:type="spellStart"/>
      <w:r w:rsidRPr="005F5D2F">
        <w:t>Techsonar</w:t>
      </w:r>
      <w:proofErr w:type="spellEnd"/>
      <w:r w:rsidRPr="005F5D2F">
        <w:t xml:space="preserve"> koja je bila usmjerena na šest trendova u području umjetne inteligencije, odnosno: generiranje s proširenim dohvaćanjem, umjetna inteligencija na uređajima, strojno zaboravljanje, </w:t>
      </w:r>
      <w:proofErr w:type="spellStart"/>
      <w:r w:rsidRPr="005F5D2F">
        <w:t>multimodalna</w:t>
      </w:r>
      <w:proofErr w:type="spellEnd"/>
      <w:r w:rsidRPr="005F5D2F">
        <w:t xml:space="preserve"> umjetna inteligencija, prilagodljivi nadzor i </w:t>
      </w:r>
      <w:proofErr w:type="spellStart"/>
      <w:r w:rsidRPr="005F5D2F">
        <w:t>neurosimbolička</w:t>
      </w:r>
      <w:proofErr w:type="spellEnd"/>
      <w:r w:rsidRPr="005F5D2F">
        <w:t xml:space="preserve"> umjetna inteligencija; naglašava da je važno da EDPS prikupi znanje potrebno za provedbu svojih ovlasti u skladu s Uredbom (EU) 2024/1689 nakon što institucije, tijela, uredi i agencije Unije počnu koristiti nove tehnologije za obradu osobnih podataka; nadalje napominje da je EDPS 2024. izdao prve smjernice za institucije, tijela, urede i agencije Unije kako bi se osigurala usklađenost sa zaštitom podataka pri korištenju generativnih sustava umjetne inteligencije te tri nadzorna mišljenja o korištenju alata umjetne inteligencije u agencijama </w:t>
      </w:r>
      <w:proofErr w:type="spellStart"/>
      <w:r w:rsidRPr="005F5D2F">
        <w:t>Europol</w:t>
      </w:r>
      <w:proofErr w:type="spellEnd"/>
      <w:r w:rsidRPr="005F5D2F">
        <w:t xml:space="preserve"> i </w:t>
      </w:r>
      <w:proofErr w:type="spellStart"/>
      <w:r w:rsidRPr="005F5D2F">
        <w:t>Eurojust</w:t>
      </w:r>
      <w:proofErr w:type="spellEnd"/>
      <w:r w:rsidRPr="005F5D2F">
        <w:t>;</w:t>
      </w:r>
    </w:p>
    <w:p w14:paraId="6B1637A4" w14:textId="77777777" w:rsidR="00E73E3D" w:rsidRPr="005F5D2F" w:rsidRDefault="00E73E3D" w:rsidP="00E73E3D">
      <w:pPr>
        <w:pStyle w:val="NormalHanging12a"/>
        <w:rPr>
          <w:szCs w:val="24"/>
        </w:rPr>
      </w:pPr>
      <w:r w:rsidRPr="005F5D2F">
        <w:t>15.</w:t>
      </w:r>
      <w:r w:rsidRPr="005F5D2F">
        <w:tab/>
        <w:t xml:space="preserve">primjećuje da se iz godine u godinu povećava broj pritužbi, da se većina pritužbi odnosi </w:t>
      </w:r>
      <w:r w:rsidRPr="005F5D2F">
        <w:lastRenderedPageBreak/>
        <w:t>na Komisiju i da ih podnose zaposlenici institucija, tijela, ureda i agencija Unije; napominje da je EDPS 2024. zaprimio 663 pritužbe, odnosno 202 više nego 2023., od kojih je 108 dopušteno, a 555 nedopušteno; napominje da je EDPS izdao konačnu odluku, mišljenje ili odgovor u 77 od 108 slučajeva pritužbi zaprimljenih 2024.(što je povećanje od 33 % u odnosu na 2023.) i da je odgovorio na sve primljene nedopuštene pritužbe; napominje da je od svih dopuštenih pritužbi zaprimljenih 2024. 48 predmeta okončano 2024., što je smanjenje u odnosu na 55 predmeta 2023.; napominje da su krajem 2024. u tijeku bile 104 dopuštene pritužbe (povećanje u odnosu na 71 predmet 2023.), uključujući one podnesene prije 2024.; prima na znanje napore koje je EDPS uložio u smanjenje velikog broja pritužbi i potiče ga da dodatno pojednostavi postupanje s pritužbama, primjerice nastojanjem da se postigne zajednički dogovor s nacionalnim tijelima za zaštitu podataka o postupanju s pritužbama, posebno u području slobode, sigurnosti i pravde u kojem su istrage složene i dugotrajne; napominje da je 2024. EDPS primio 125 obavijesti o povredi osobnih podataka, što je povećanje u odnosu na 77 obavijesti 2023.;</w:t>
      </w:r>
    </w:p>
    <w:p w14:paraId="4E6185CA" w14:textId="77777777" w:rsidR="00E73E3D" w:rsidRPr="005F5D2F" w:rsidRDefault="00E73E3D" w:rsidP="00E73E3D">
      <w:pPr>
        <w:pStyle w:val="NormalHanging12a"/>
        <w:rPr>
          <w:szCs w:val="24"/>
        </w:rPr>
      </w:pPr>
      <w:r w:rsidRPr="005F5D2F">
        <w:t>16.</w:t>
      </w:r>
      <w:r w:rsidRPr="005F5D2F">
        <w:tab/>
        <w:t xml:space="preserve">potiče EDPS da razmotri svoje ključne pokazatelje uspješnosti i osigura da obuhvaćaju rješavanje pritužbi, kao i da određivanje ciljeva za rješavanje pritužbi i vođenje istraga, što bi bilo slično praksi Europskog </w:t>
      </w:r>
      <w:proofErr w:type="spellStart"/>
      <w:r w:rsidRPr="005F5D2F">
        <w:t>ombudsmana</w:t>
      </w:r>
      <w:proofErr w:type="spellEnd"/>
      <w:r w:rsidRPr="005F5D2F">
        <w:t>;</w:t>
      </w:r>
    </w:p>
    <w:p w14:paraId="0E566FED" w14:textId="77777777" w:rsidR="00E73E3D" w:rsidRPr="005F5D2F" w:rsidRDefault="00E73E3D" w:rsidP="00E73E3D">
      <w:pPr>
        <w:pStyle w:val="NormalHanging12a"/>
        <w:rPr>
          <w:szCs w:val="24"/>
        </w:rPr>
      </w:pPr>
      <w:r w:rsidRPr="005F5D2F">
        <w:t>17.</w:t>
      </w:r>
      <w:r w:rsidRPr="005F5D2F">
        <w:tab/>
        <w:t xml:space="preserve">ističe važnu savjetodavnu ulogu EDPS-a u zakonodavnom postupku Unije, ne samo u ranoj fazi pripreme zakonodavnih prijedloga Komisije već i u davanju primjedbi ili mišljenja o kompromisnim amandmanima u tripartitnim pregovorima na zahtjev Parlamenta i njegovih odbora; napominje da je, u skladu s člankom 42. stavkom 1. Uredbe (EU) 2018/1725, EDPS odgovorio na 97 zahtjeva za službeno zakonodavno savjetovanje (80 u 2023.) i da su njegovi savjeti bili u obliku 25 mišljenja (54 u 2023.), 45 službenih komentara (26 u 2023.) i 27 neslužbenih komentara (34 u 2023.) upućenih Komisiji i </w:t>
      </w:r>
      <w:proofErr w:type="spellStart"/>
      <w:r w:rsidRPr="005F5D2F">
        <w:t>suzakonodavcima</w:t>
      </w:r>
      <w:proofErr w:type="spellEnd"/>
      <w:r w:rsidRPr="005F5D2F">
        <w:t xml:space="preserve"> kao odgovor na zahtjeve za zakonodavno savjetovanje 2024.;</w:t>
      </w:r>
    </w:p>
    <w:p w14:paraId="25108CE6" w14:textId="77777777" w:rsidR="00E73E3D" w:rsidRPr="005F5D2F" w:rsidRDefault="00E73E3D" w:rsidP="00E73E3D">
      <w:pPr>
        <w:pStyle w:val="NormalHanging12a"/>
        <w:rPr>
          <w:szCs w:val="24"/>
        </w:rPr>
      </w:pPr>
      <w:r w:rsidRPr="005F5D2F">
        <w:t>18.</w:t>
      </w:r>
      <w:r w:rsidRPr="005F5D2F">
        <w:tab/>
        <w:t>primjećuje ključnu ulogu EDPB-a u usklađivanju smjernica, postupaka, procesa provedbe i prakse nadzornih tijela u državama članicama; u tom kontekstu primjećuje da EDPB 2024. nije donio nijednu obvezujuću odluku, da je izdao 28 mišljenja o usklađenosti, donio dvije nove smjernice, objavio četiri izjave o zakonodavnim trendovima te proveo i koordinirao nekoliko programa o suradnji u provedbi; nadalje primjećuje da EDPB djeluje kao tajništvo Odbora za koordinirani nadzor (CSC), skupine koju čine nacionalna nadzorna tijela i EDPS i koja osigurava koordinirani nadzor nad velikim informatičkim sustavima Unije, te da je 2024. taj nadzor proširen na vizni informacijski sustav, osim pripremnog rada obavljenog za nadzor Europskog sustava za informacije o putovanjima i odobravanje putovanja (ETIAS);</w:t>
      </w:r>
    </w:p>
    <w:p w14:paraId="06FA1712" w14:textId="77777777" w:rsidR="00E73E3D" w:rsidRPr="005F5D2F" w:rsidRDefault="00E73E3D" w:rsidP="00E73E3D">
      <w:pPr>
        <w:pStyle w:val="NormalHanging12a"/>
        <w:rPr>
          <w:szCs w:val="24"/>
        </w:rPr>
      </w:pPr>
      <w:r w:rsidRPr="005F5D2F">
        <w:t>19.</w:t>
      </w:r>
      <w:r w:rsidRPr="005F5D2F">
        <w:tab/>
        <w:t xml:space="preserve">sa zadovoljstvom primjećuje da je Europski nadzornik za zaštitu podataka 2024. razvio razne </w:t>
      </w:r>
      <w:proofErr w:type="spellStart"/>
      <w:r w:rsidRPr="005F5D2F">
        <w:t>postupovne</w:t>
      </w:r>
      <w:proofErr w:type="spellEnd"/>
      <w:r w:rsidRPr="005F5D2F">
        <w:t xml:space="preserve"> alate i politike za poboljšanje svojih istražnih postupaka; u tom kontekstu pohvaljuje EDPS zbog izmjene svojeg Poslovnika iz 2024., kojom je „postupak pregleda” zamijenjen „preliminarnom procjenom” kako bi se zaštitilo pravo svih uključenih strana na saslušanje; napominje da od srpnja 2024. institucije, tijela, uredi i agencije Unije mogu dostaviti mišljenja o preliminarnoj procjeni prije nego što EDPS donese odluku koja bi na njih mogla negativno utjecati; napominje da te proceduralne zaštitne mjere doprinose pravednom i pravodobnom rješavanju pritužbi i vođenju istraga; napominje da je EDPS 2024. pregledao i metodologije istrage, sastavio priručnik o pristupu spisu, poboljšao spremnost na parnice, ažurirao interni priručnik za </w:t>
      </w:r>
      <w:r w:rsidRPr="005F5D2F">
        <w:lastRenderedPageBreak/>
        <w:t>slučajeve pritužbi te poboljšao postupke snimanja i transkribiranja saslušanja;</w:t>
      </w:r>
    </w:p>
    <w:p w14:paraId="4353B3E7" w14:textId="77777777" w:rsidR="00E73E3D" w:rsidRPr="005F5D2F" w:rsidRDefault="00E73E3D" w:rsidP="00E73E3D">
      <w:pPr>
        <w:pStyle w:val="NormalHanging12a"/>
      </w:pPr>
      <w:r w:rsidRPr="005F5D2F">
        <w:t>20.</w:t>
      </w:r>
      <w:r w:rsidRPr="005F5D2F">
        <w:tab/>
        <w:t xml:space="preserve">prima na znanje iz godišnjeg izvješća i izvješća o daljnjem postupanju da je EDPS posebnu pozornost posvetio obradi podataka o djeci, osobito u kontekstu kaznenog progona; napominje da se jedna od revizija koje je EDPS proveo 2024. odnosila na obradu osobnih podataka djece u istraživačkim projektima kojima upravlja Zajednički istraživački centar Komisije u Španjolskoj, posebno kad je riječ o interakciji djeteta i robota; sa zadovoljstvom primjećuje da je EDPS u listopadu 2024. prisustvovao okruglom stolu tijela za zaštitu podataka iz skupine zemalja G7 u Rimu kad su ta tijela izdala „Izjavu o umjetnoj inteligenciji i djeci”, pri čemu su pozvala na djelovanje za zaštitu privatnosti djece i osiguravanje toga da se umjetnom inteligencijom njeguje povjerenje, uz istodobnu zaštitu najranjivijih; podsjeća da je EDPS proveo namjenski pregled načina na koji </w:t>
      </w:r>
      <w:proofErr w:type="spellStart"/>
      <w:r w:rsidRPr="005F5D2F">
        <w:t>Europol</w:t>
      </w:r>
      <w:proofErr w:type="spellEnd"/>
      <w:r w:rsidRPr="005F5D2F">
        <w:t xml:space="preserve"> obrađuje podatke o maloljetnicima mlađima od 15 godina koji su označeni kao osumnjičenici; cijeni činjenicu da je Europski nadzornik za zaštitu podataka utvrdio da je opći postupak procjene informacija koje partneri pružaju o maloljetnicima (uključujući maloljetnike mlađe od 15 godina) jasan i dobro razvijen; napominje da se u izvješću EDPS-a o tom pregledu od </w:t>
      </w:r>
      <w:proofErr w:type="spellStart"/>
      <w:r w:rsidRPr="005F5D2F">
        <w:t>Europola</w:t>
      </w:r>
      <w:proofErr w:type="spellEnd"/>
      <w:r w:rsidRPr="005F5D2F">
        <w:t xml:space="preserve"> traži da nastavi provoditi vlastitu procjenu zakonitosti primljenih podataka i naglašava da </w:t>
      </w:r>
      <w:proofErr w:type="spellStart"/>
      <w:r w:rsidRPr="005F5D2F">
        <w:t>Europol</w:t>
      </w:r>
      <w:proofErr w:type="spellEnd"/>
      <w:r w:rsidRPr="005F5D2F">
        <w:t xml:space="preserve"> mora procijeniti „strogu nužnost” obrade podataka o maloljetnicima osumnjičenima za kaznena djela;</w:t>
      </w:r>
    </w:p>
    <w:p w14:paraId="7D297EC1" w14:textId="77777777" w:rsidR="00E73E3D" w:rsidRPr="005F5D2F" w:rsidRDefault="00E73E3D" w:rsidP="00E73E3D">
      <w:pPr>
        <w:pStyle w:val="NormalHanging12a"/>
        <w:rPr>
          <w:szCs w:val="24"/>
        </w:rPr>
      </w:pPr>
      <w:r w:rsidRPr="005F5D2F">
        <w:t>21.</w:t>
      </w:r>
      <w:r w:rsidRPr="005F5D2F">
        <w:tab/>
        <w:t>napominje da se institucije, tijela, uredi i agencije Unije mogu obratiti EDPS-u za smjernice o planiranim postupcima obrade i zaštiti podataka; napominje da je EDPS izdao savjete u 26 konzultacijskih i 26 nadzornih mišljenja o raznim temama; posebno napominje da je EDPS u prosincu 2024. objavio nadzorno mišljenje o planu Parlamenta da se za potvrđivanje prisutnosti zastupnika radi isplate dnevnica koristi biometrijskim podacima;</w:t>
      </w:r>
    </w:p>
    <w:p w14:paraId="3BF0AA26" w14:textId="77777777" w:rsidR="00E73E3D" w:rsidRPr="005F5D2F" w:rsidRDefault="00E73E3D" w:rsidP="00E73E3D">
      <w:pPr>
        <w:pStyle w:val="NormalHanging12a"/>
        <w:rPr>
          <w:szCs w:val="24"/>
        </w:rPr>
      </w:pPr>
      <w:r w:rsidRPr="005F5D2F">
        <w:t>22.</w:t>
      </w:r>
      <w:r w:rsidRPr="005F5D2F">
        <w:tab/>
        <w:t xml:space="preserve">napominje da je EDPS tijekom 2024. proveo četiri istrage i dvije </w:t>
      </w:r>
      <w:proofErr w:type="spellStart"/>
      <w:r w:rsidRPr="005F5D2F">
        <w:t>predistrage</w:t>
      </w:r>
      <w:proofErr w:type="spellEnd"/>
      <w:r w:rsidRPr="005F5D2F">
        <w:t xml:space="preserve">, što je smanjenje u usporedbi s 2023.; kao neke od najistaknutijih predmeta navodi </w:t>
      </w:r>
      <w:proofErr w:type="spellStart"/>
      <w:r w:rsidRPr="005F5D2F">
        <w:t>predistragu</w:t>
      </w:r>
      <w:proofErr w:type="spellEnd"/>
      <w:r w:rsidRPr="005F5D2F">
        <w:t xml:space="preserve"> o automatiziranom donošenju odluka pri odabiru stažista, istragu o korištenju sustava Microsoft 365 u Komisiji i </w:t>
      </w:r>
      <w:proofErr w:type="spellStart"/>
      <w:r w:rsidRPr="005F5D2F">
        <w:t>predistragu</w:t>
      </w:r>
      <w:proofErr w:type="spellEnd"/>
      <w:r w:rsidRPr="005F5D2F">
        <w:t xml:space="preserve"> o izradi profila u aplikacijama za javni pristup; u pogledu korištenja sustava Microsoft 365 u Komisiji napominje da su istragom utvrđena višestruka kršenja Uredbe (EU) 2018/1725, što je potaknulo EDPS na to da Komisiji naredi da do 9. prosinca 2024. obustavi sve tokove podataka prema Microsoftu i njegovim povezanim društvima izvan Unije odnosno izvan Europskog gospodarskog prostora (EGP); poziva EDPS da obavještava tijelo nadležno za davanje razrješnice o ishodu daljnjeg postupanja u pogledu usklađenosti Komisije s preporukama EDPS-a u tom slučaju; nadalje napominje da je EDPS 2024. nastavio pet istraga o praksama na internetskim stranicama institucija, tijela, ureda i agencija Unije usmjerenima na komponente trećih strana i zahtjeve za pristanak; napominje da je EDPS tijekom 2024. proveo tri revizije, s provjerama na licu mjesta, o temama kao što su obrada zdravstvenih podataka, razdoblja čuvanja podataka i istraživanja koja uključuju maloljetnike;</w:t>
      </w:r>
    </w:p>
    <w:p w14:paraId="1ABC4D59" w14:textId="77777777" w:rsidR="00E73E3D" w:rsidRPr="005F5D2F" w:rsidRDefault="00E73E3D" w:rsidP="00E73E3D">
      <w:pPr>
        <w:pStyle w:val="NormalHanging12a"/>
      </w:pPr>
      <w:r w:rsidRPr="005F5D2F">
        <w:t>23.</w:t>
      </w:r>
      <w:r w:rsidRPr="005F5D2F">
        <w:tab/>
        <w:t xml:space="preserve">podsjeća da je 2022. EDPS podnio tužbu pred Sudom Europske unije za poništenje </w:t>
      </w:r>
      <w:r w:rsidRPr="005F5D2F">
        <w:lastRenderedPageBreak/>
        <w:t>dviju odredbi izmijenjene Uredbe (EU) 2016/794 Europskog parlamenta i Vijeća</w:t>
      </w:r>
      <w:r w:rsidRPr="005F5D2F">
        <w:rPr>
          <w:vertAlign w:val="superscript"/>
        </w:rPr>
        <w:footnoteReference w:id="9"/>
      </w:r>
      <w:r w:rsidRPr="005F5D2F">
        <w:t>, koju je Sud poslije odbio, ali se EDPS potom žalio na presudu Općeg suda u predmetu T-578/22</w:t>
      </w:r>
      <w:r w:rsidRPr="005F5D2F">
        <w:rPr>
          <w:vertAlign w:val="superscript"/>
        </w:rPr>
        <w:footnoteReference w:id="10"/>
      </w:r>
      <w:r w:rsidRPr="005F5D2F">
        <w:t xml:space="preserve"> jer je smatrao da bi se pitanja koja su istaknuta trebala rješavati na najvišoj razini; prima na znanje iz izvješća o daljnjem postupanju da se EDPS suzdržava od komentiranja te žalbe jer je ona u tijeku; podsjeća na to da ne bi trebalo smatrati da činjenica da je EDPS u svojoj nadzornoj ulozi pred Sud iznio pravna pitanja utječe na lojalnu suradnju i dobre odnose između EDPS-a i subjekata koje nadzire, ali napominje da se time dovodi u pitanje stajalište EDPS-a u pogledu uloge Parlamenta i Vijeća kao zakonodavaca;</w:t>
      </w:r>
    </w:p>
    <w:p w14:paraId="44F00521" w14:textId="77777777" w:rsidR="00E73E3D" w:rsidRPr="005F5D2F" w:rsidRDefault="00E73E3D" w:rsidP="00E73E3D">
      <w:pPr>
        <w:pStyle w:val="NormalHanging12a"/>
        <w:rPr>
          <w:szCs w:val="24"/>
        </w:rPr>
      </w:pPr>
      <w:r w:rsidRPr="005F5D2F">
        <w:t>24.</w:t>
      </w:r>
      <w:r w:rsidRPr="005F5D2F">
        <w:tab/>
        <w:t>utvrđuje da je ocjenjivanjem standarda EDPS-a za unutarnju kontrolu iz 2024. potvrđena zadovoljavajuća razina unutarnje kontrole u pogledu svih 14 standarda koji su uvedeni i koji funkcioniraju; napominje da je osnovana radna skupina za analizu rezultata i predlaganje poboljšanja, kao što su poboljšanja u području osposobljavanja i razvoja te upravljanja znanjem i dokumentima; prima na znanje iz Upitnika da je ažuriranim okvirom EDPS-a za upravljanje rizicima uvedeno strukturirano praćenje koje je toj organizaciji omogućilo da osigura da napori za ublažavanje rizika ostanu učinkoviti i da se dosljedno prate; napominje i da je EDPS ažurirao svoj postupak o ex post kontrolama koje se sad temelje na riziku te je učvrstio kontinuitet poslovanja i revizijski trag integracijom sustava ARES, osposobljavanjem i poboljšanim postupcima upravljanja znanjem;</w:t>
      </w:r>
    </w:p>
    <w:p w14:paraId="4701ACDD" w14:textId="77777777" w:rsidR="00E73E3D" w:rsidRPr="005F5D2F" w:rsidRDefault="00E73E3D" w:rsidP="00E73E3D">
      <w:pPr>
        <w:pStyle w:val="NormalHanging12a"/>
      </w:pPr>
      <w:r w:rsidRPr="005F5D2F">
        <w:t>25.</w:t>
      </w:r>
      <w:r w:rsidRPr="005F5D2F">
        <w:tab/>
        <w:t>prima na znanje iz Upitnika da je Služba Komisije za unutarnju reviziju 2024. pokrenula reviziju upravljanja informatičkim uslugama koje Parlament pruža EDPS-u, što je rezultiralo dvjema preporukama koje EDPS trenutačno provodi; u pogledu revizije iz 2023. o „metodologiji za planiranje revizija EDPS-a” napominje da je jedna od dviju preporuka koje je izdala Služba za unutarnju reviziju provedena, dok je provedba druge preporuke (o osmišljavanju metodologije za uspostavu plana revizije EDPS-a) odgođena do imenovanja novog nadzornika; poziva EDPS da obavješćuje tijelo nadležno za davanje razrješnice o napretku postignutom u tom pogledu te napominje da bi se EDPS trebao savjetovati sa subjektima nad kojima provodi reviziju u pogledu izvedivosti i prikladnosti planiranih preporuka kako bi se osigurala brza, učinkovita i domišljata provedba preporuka od strane tijela nad kojim se provodi revizija;</w:t>
      </w:r>
    </w:p>
    <w:p w14:paraId="26516703" w14:textId="77777777" w:rsidR="00E73E3D" w:rsidRPr="005F5D2F" w:rsidRDefault="00E73E3D" w:rsidP="00E73E3D">
      <w:pPr>
        <w:pStyle w:val="NormalHanging12a"/>
        <w:rPr>
          <w:b/>
          <w:i/>
          <w:szCs w:val="24"/>
        </w:rPr>
      </w:pPr>
      <w:r w:rsidRPr="005F5D2F">
        <w:rPr>
          <w:b/>
          <w:i/>
        </w:rPr>
        <w:t>Ljudski resursi, jednakost i dobrobit osoblja</w:t>
      </w:r>
    </w:p>
    <w:p w14:paraId="1BE9B7EE" w14:textId="77777777" w:rsidR="00E73E3D" w:rsidRPr="005F5D2F" w:rsidRDefault="00E73E3D" w:rsidP="00E73E3D">
      <w:pPr>
        <w:pStyle w:val="NormalHanging12a"/>
        <w:rPr>
          <w:szCs w:val="24"/>
        </w:rPr>
      </w:pPr>
      <w:r w:rsidRPr="005F5D2F">
        <w:t>26.</w:t>
      </w:r>
      <w:r w:rsidRPr="005F5D2F">
        <w:tab/>
        <w:t xml:space="preserve">konstatira da je na kraju 2024. EDPS imao ukupno 137 članova osoblja, u usporedbi sa 129 članova osoblja 2023.; prima na znanje da je EDPS zapošljavao 55 članova ugovornog osoblja u skladu s člankom 3. točkom (b) Uvjeta zaposlenja ostalih službenika Europske unije (50 članova ugovornog osoblja 2023.) te devet članova privremenog osoblja u skladu s člankom 2. točkama (b) i (c) (sedam članova privremenog osoblja 2023.), kao i da je koristio usluge deset vanjskih pružatelja usluga </w:t>
      </w:r>
      <w:r w:rsidRPr="005F5D2F">
        <w:lastRenderedPageBreak/>
        <w:t>koji su 2023. radili u uredima EDPS-a (12 vanjskih pružatelja usluga 2022.); poziva EDPS-a da razmotri način za smanjenje broja članova ugovornog osoblja u korist stalnog osoblja kako bi se osiguralo zadržavanje talenata i kontinuitet poslovanja; napominje da je 2024. osoblje EDPS-a dolazilo iz 23 države članice (isto kao i 2023.), što je, unatoč prekomjernoj zastupljenosti državljana pet država članica te premaloj zastupljenosti ostalih, izvrstan rezultat za tako malu instituciju; poziva EDPS da nastavi ulagati napore u postizanje uravnotežene geografske raspodjele državljana iz svih država članica, pri čemu posebnu pozornost treba posvetiti upravljačkoj razini, među ostalim u okviru politike zapošljavanja;</w:t>
      </w:r>
    </w:p>
    <w:p w14:paraId="7041F721" w14:textId="77777777" w:rsidR="00E73E3D" w:rsidRPr="005F5D2F" w:rsidRDefault="00E73E3D" w:rsidP="00E73E3D">
      <w:pPr>
        <w:pStyle w:val="NormalHanging12a"/>
      </w:pPr>
      <w:r w:rsidRPr="005F5D2F">
        <w:t>27.</w:t>
      </w:r>
      <w:r w:rsidRPr="005F5D2F">
        <w:tab/>
        <w:t>primjećuje visoku stopu popunjenosti plana radnih mjesta od 98,80 % (u usporedbi s 95,65 % 2023.), ali i visoku stopu fluktuacije od 12 % 2024. (u usporedbi s 13 % 2023.); napominje da je većina nepopunjenih radnih mjesta bila rezultat neprikladnosti kandidata;</w:t>
      </w:r>
      <w:r w:rsidRPr="005F5D2F">
        <w:rPr>
          <w:b/>
          <w:i/>
        </w:rPr>
        <w:t xml:space="preserve"> </w:t>
      </w:r>
      <w:r w:rsidRPr="005F5D2F">
        <w:t>prima na znanje izazove utvrđene u postupcima zapošljavanja i odabira; sa zadovoljstvom prima na znanje iz izvješća o daljnjem postupanju da je EDPS riješio te probleme izradom sveobuhvatne strategije zadržavanja osoblja i privlačenja talenata koja je donesena početkom 2025., s kratkoročnim, srednjoročnim i dugoročnim mjerama za zadržavanje iskusnog osoblja, ublažavanje rizika od fluktuacije i povećanje privlačnosti EDPS-a kao poslodavca; potiče EDPS da nastavi poboljšavati postupke zapošljavanja, uz potpuno poštovanje načela zasluga, transparentnosti i jednakog postupanja;</w:t>
      </w:r>
    </w:p>
    <w:p w14:paraId="2DB2ACBE" w14:textId="77777777" w:rsidR="00E73E3D" w:rsidRPr="005F5D2F" w:rsidRDefault="00E73E3D" w:rsidP="00E73E3D">
      <w:pPr>
        <w:pStyle w:val="NormalHanging12a"/>
        <w:rPr>
          <w:szCs w:val="24"/>
        </w:rPr>
      </w:pPr>
      <w:r w:rsidRPr="005F5D2F">
        <w:t>28.</w:t>
      </w:r>
      <w:r w:rsidRPr="005F5D2F">
        <w:tab/>
        <w:t>u pogledu rodne strukture osoblja EDPS-a ističe da je 2024. bilo 63 % žena i 37 % muškaraca, što je isti trend kao i prethodne godine kad je bilo 65 % žena i 35 % muškaraca; ukazuje na rodnu ravnotežu među srednjim rukovodstvom, s tri muškarca i tri žene, ali žali zbog kontinuirane nedovoljne zastupljenosti žena na višim rukovodećim položajima; poziva EDPS da nastavi ulagati napore u postizanje rodno uravnotežene zastupljenosti osoblja;</w:t>
      </w:r>
    </w:p>
    <w:p w14:paraId="3A99C353" w14:textId="77777777" w:rsidR="00E73E3D" w:rsidRPr="005F5D2F" w:rsidRDefault="00E73E3D" w:rsidP="00E73E3D">
      <w:pPr>
        <w:ind w:left="567" w:hanging="567"/>
      </w:pPr>
      <w:r w:rsidRPr="005F5D2F">
        <w:t>29.</w:t>
      </w:r>
      <w:r w:rsidRPr="005F5D2F">
        <w:tab/>
        <w:t xml:space="preserve">napominje da je EDPS zaposlio 20 stažista iz programa stažiranja Komisije „Blue </w:t>
      </w:r>
      <w:proofErr w:type="spellStart"/>
      <w:r w:rsidRPr="005F5D2F">
        <w:t>Book</w:t>
      </w:r>
      <w:proofErr w:type="spellEnd"/>
      <w:r w:rsidRPr="005F5D2F">
        <w:t xml:space="preserve">” koji su primali mjesečnu naknadu od oko 1500 EUR i jednog neplaćenog stažista na temelju ugovora o akademskom pripravničkom stažu; </w:t>
      </w:r>
      <w:bookmarkStart w:id="9" w:name="_Hlk215140632"/>
      <w:r w:rsidRPr="005F5D2F">
        <w:t>ističe da bi pripravništvo trebalo biti plaćeno u skladu s Rezolucijom Europskog parlamenta od 14. lipnja 2023. s preporukama Komisiji o kvalitetnim pripravništvima u EU-u (2020/2005(INL)), u kojoj se poziva na to da sva pripravništva u Uniji budu plaćena;</w:t>
      </w:r>
      <w:bookmarkEnd w:id="9"/>
    </w:p>
    <w:p w14:paraId="37E719E0" w14:textId="77777777" w:rsidR="00E73E3D" w:rsidRPr="005F5D2F" w:rsidRDefault="00E73E3D" w:rsidP="00E73E3D">
      <w:pPr>
        <w:ind w:left="567"/>
      </w:pPr>
    </w:p>
    <w:p w14:paraId="37D86E3B" w14:textId="77777777" w:rsidR="00E73E3D" w:rsidRPr="005F5D2F" w:rsidRDefault="00E73E3D" w:rsidP="00E73E3D">
      <w:pPr>
        <w:pStyle w:val="NormalHanging12a"/>
        <w:rPr>
          <w:szCs w:val="24"/>
        </w:rPr>
      </w:pPr>
      <w:r w:rsidRPr="005F5D2F">
        <w:t>30.</w:t>
      </w:r>
      <w:r w:rsidRPr="005F5D2F">
        <w:tab/>
        <w:t xml:space="preserve">prima na znanje aktivnosti koje je EDPS proveo 2024. u cilju razvoja svojih ljudskih resursa; primjećuje da je donio novu politiku o platformama za učenje preko interneta, pridružio se novom </w:t>
      </w:r>
      <w:proofErr w:type="spellStart"/>
      <w:r w:rsidRPr="005F5D2F">
        <w:t>međuinstitucijskom</w:t>
      </w:r>
      <w:proofErr w:type="spellEnd"/>
      <w:r w:rsidRPr="005F5D2F">
        <w:t xml:space="preserve"> programu praćenja rada s pet zaposlenika EDPS-a koji prate osoblje Komisije, organizirao dan izvan ureda za osoblje posvećen pripremljenosti za umjetnu inteligenciju i ostale aktivnosti izgradnje kohezije; konstatira pokretanje </w:t>
      </w:r>
      <w:proofErr w:type="spellStart"/>
      <w:r w:rsidRPr="005F5D2F">
        <w:t>međuodjelne</w:t>
      </w:r>
      <w:proofErr w:type="spellEnd"/>
      <w:r w:rsidRPr="005F5D2F">
        <w:t xml:space="preserve"> radne skupine za razvoj inicijativa za promicanje ravnopravnosti, </w:t>
      </w:r>
      <w:proofErr w:type="spellStart"/>
      <w:r w:rsidRPr="005F5D2F">
        <w:t>uključivosti</w:t>
      </w:r>
      <w:proofErr w:type="spellEnd"/>
      <w:r w:rsidRPr="005F5D2F">
        <w:t xml:space="preserve"> i raznolikosti;</w:t>
      </w:r>
    </w:p>
    <w:p w14:paraId="0509AEB2" w14:textId="77777777" w:rsidR="00E73E3D" w:rsidRPr="005F5D2F" w:rsidRDefault="00E73E3D" w:rsidP="00E73E3D">
      <w:pPr>
        <w:pStyle w:val="NormalHanging12a"/>
      </w:pPr>
      <w:r w:rsidRPr="005F5D2F">
        <w:t>31.</w:t>
      </w:r>
      <w:r w:rsidRPr="005F5D2F">
        <w:tab/>
        <w:t xml:space="preserve">prima na znanje iz Upitnika da EDPS nudi fleksibilne i hibridne radne uvjete koje su dobro prihvatili članovi osoblja koji, među ostalim, tijekom godine mogu imati koristi od roditeljskog dopusta, zamjene dodatnih odrađenih sati za slobodne dane, rada u nepunom radnom vremenu ili rada u inozemstvu tijekom ograničenog broja dana; napominje da je sljedeća anketa o zadovoljstvu osoblja, koja obuhvaća rad na daljinu, planirana za 2025.; smatra da bi se građevinska infrastruktura po potrebi mogla optimizirati kako bi odražavala radne uvjete koji uključuju rad na daljinu i hibridni rad </w:t>
      </w:r>
      <w:r w:rsidRPr="005F5D2F">
        <w:lastRenderedPageBreak/>
        <w:t>u cilju smanjenja operativnih troškova i osiguravanja učinkovitijeg korištenja uredskog prostora;</w:t>
      </w:r>
    </w:p>
    <w:p w14:paraId="5F7F8D4C" w14:textId="77777777" w:rsidR="00E73E3D" w:rsidRPr="005F5D2F" w:rsidRDefault="00E73E3D" w:rsidP="00E73E3D">
      <w:pPr>
        <w:pStyle w:val="NormalHanging12a"/>
        <w:rPr>
          <w:szCs w:val="24"/>
        </w:rPr>
      </w:pPr>
      <w:r w:rsidRPr="005F5D2F">
        <w:t>32.</w:t>
      </w:r>
      <w:r w:rsidRPr="005F5D2F">
        <w:tab/>
        <w:t>napominje da EDPS trenutačno ne zapošljava osoblje s invaliditetom, ali ima klauzulu o jednakim mogućnostima uvrštenu u sve oglase EDPS-a o slobodnim radnim mjestima i aktivno potiče prijave kandidata s invaliditetom; napominje da je korporativna internetska stranica EDPS-a izgrađena na sustavu za upravljanje sadržajem koji je usklađen s bitnim standardima za pristupačan dizajn internetskih stranica i da je za sve dodatne funkcionalnosti razvijene za tu internetsku stranicu ključni zahtjev bila pristupačnost;</w:t>
      </w:r>
    </w:p>
    <w:p w14:paraId="3B5C8403" w14:textId="77777777" w:rsidR="00E73E3D" w:rsidRPr="005F5D2F" w:rsidRDefault="00E73E3D" w:rsidP="00E73E3D">
      <w:pPr>
        <w:pStyle w:val="NormalHanging12a"/>
      </w:pPr>
      <w:r w:rsidRPr="005F5D2F">
        <w:t>33.</w:t>
      </w:r>
      <w:r w:rsidRPr="005F5D2F">
        <w:tab/>
        <w:t>prima na znanje iz Upitnika odgovor EDPS-a u skladu s kojim EDPS nema pristup medicinskim kartonima svojih zaposlenika i nije u mogućnosti znati uzrok izostanaka jer ih potvrđuje Zdravstvena služba Komisije; napominje da EDPS ima pristup samo agregiranim podacima kao što su broj dana bolovanja i pitanje je li uz njih priložena liječnička potvrda; napominje da je porast broja dana bolovanja od 2023. do 2024., odnosno s 1680,50 na 1946 (+15,80 %), nadmašio porast broja zaposlenika sa 129 na 137 (odnosno +6,20 %); napominje da se prosječno trajanje bolovanja po osobi također povećalo, s 14,7 dana 2023. na 18,30 dana 2024., te da se stopa bolovanja povećala s 3,60 % 2023. na 3,9 % 2024.; zabrinut je zbog trenutačne situacije pa i dalje zahtijeva jasniju procjenu dobrobiti osoblja kako bi se utvrdili mogući ponavljajući uzroci izgaranja na poslu, čiji bi se slučajevi trebali prijavljivati na godišnjoj razini tijelu nadležnom za davanje razrješnice kao i svakoj drugoj instituciji; traži da EDPS u suradnji sa zdravstvenom službom Komisije provede ciljanu procjenu temeljnih uzroka tog povećanja, s posebnim naglaskom na sprečavanju sindroma izgaranja na poslu;</w:t>
      </w:r>
    </w:p>
    <w:p w14:paraId="6741340A" w14:textId="77777777" w:rsidR="00E73E3D" w:rsidRPr="005F5D2F" w:rsidRDefault="00E73E3D" w:rsidP="00E73E3D">
      <w:pPr>
        <w:pStyle w:val="NormalHanging12a"/>
        <w:rPr>
          <w:szCs w:val="24"/>
        </w:rPr>
      </w:pPr>
      <w:r w:rsidRPr="005F5D2F">
        <w:t>34.</w:t>
      </w:r>
      <w:r w:rsidRPr="005F5D2F">
        <w:tab/>
        <w:t>prima na znanje iz Upitnika da 2024. nije bilo prijavljenih slučajeva uznemiravanja u EDPS-u; cijeni to što je EDPS tijekom 2024. nastavio održavati prezentaciju o borbi protiv uznemiravanja koju je izvorno održao jedan od povjerljivih savjetnika EDPS-a pri uvođenju novih zaposlenika u posao; pohvaljuje objavljivanje odluke o borbi protiv uznemiravanja i ulogu povjerljivih savjetnika na intranetu EDPS-a;</w:t>
      </w:r>
    </w:p>
    <w:p w14:paraId="4B765260" w14:textId="77777777" w:rsidR="00E73E3D" w:rsidRPr="005F5D2F" w:rsidRDefault="00E73E3D" w:rsidP="00E73E3D">
      <w:pPr>
        <w:pStyle w:val="NormalHanging12a"/>
        <w:rPr>
          <w:szCs w:val="24"/>
        </w:rPr>
      </w:pPr>
      <w:r w:rsidRPr="005F5D2F">
        <w:rPr>
          <w:b/>
          <w:i/>
        </w:rPr>
        <w:t>Etički okvir i transparentnost</w:t>
      </w:r>
    </w:p>
    <w:p w14:paraId="1543188D" w14:textId="77777777" w:rsidR="00E73E3D" w:rsidRPr="005F5D2F" w:rsidRDefault="00E73E3D" w:rsidP="00E73E3D">
      <w:pPr>
        <w:pStyle w:val="NormalHanging12a"/>
      </w:pPr>
      <w:r w:rsidRPr="005F5D2F">
        <w:t>35.</w:t>
      </w:r>
      <w:r w:rsidRPr="005F5D2F">
        <w:tab/>
        <w:t>primjećuje da je EDPS uspostavio okvir za sprečavanje sukoba interesa na razini višeg rukovodstva i osoblja s pomoću kodeksâ ponašanja, podizanja razine osviještenosti i izjava o nepostojanju sukoba interesa i o povjerljivosti; napominje da svi zaposlenici koji se pridružuju EDPS-u moraju potpisati tu izjavu; nadalje konstatira da 2024. u EDPS-u nije bio prijavljen nijedan sukob interes niti zviždač; sa zabrinutošću primjećuje da je 2024. u EDPS-u prijavljen jedan slučaj navodne prijevare, koji je bio predmet istrage Ureda Komisije za istražne radnje i stegovne postupke; u tom slučaju primjećuje da je Ured zatvorio istragu 2025. i uputio preporuku EDPS-u da pokrene disciplinski postupak u skladu s Pravilnikom o osoblju; poziva EDPS da tijelo nadležno za davanje razrješnice nastavi obavještavati o konačnom ishodu po tom pitanju, kao i o svim mogućim mjerama poduzetima za jačanje unutarnjih kontrola za borbu protiv prijevara;</w:t>
      </w:r>
    </w:p>
    <w:p w14:paraId="4A118D5F" w14:textId="77777777" w:rsidR="00E73E3D" w:rsidRPr="005F5D2F" w:rsidRDefault="00E73E3D" w:rsidP="00E73E3D">
      <w:pPr>
        <w:pStyle w:val="NormalHanging12a"/>
        <w:rPr>
          <w:szCs w:val="24"/>
        </w:rPr>
      </w:pPr>
      <w:r w:rsidRPr="005F5D2F">
        <w:t>36.</w:t>
      </w:r>
      <w:r w:rsidRPr="005F5D2F">
        <w:tab/>
        <w:t xml:space="preserve">prima na znanje da je EDPS 2024. nastavio organizirati uvodno osposobljavanje o njegovu etičkom okviru (o uznemiravanju, zviždanju, sukobu interesa) i strategiji borbe protiv prijevara za nove zaposlenike EDPS-a/EDPB-a; napominje da službenik za etiku EDPS-a svake godine podnosi izvješće o etičnosti upravi EDPS-a/EDPB-a i sudjeluje u </w:t>
      </w:r>
      <w:r w:rsidRPr="005F5D2F">
        <w:lastRenderedPageBreak/>
        <w:t>radnoj skupini za etiku „</w:t>
      </w:r>
      <w:proofErr w:type="spellStart"/>
      <w:r w:rsidRPr="005F5D2F">
        <w:t>Comité</w:t>
      </w:r>
      <w:proofErr w:type="spellEnd"/>
      <w:r w:rsidRPr="005F5D2F">
        <w:t xml:space="preserve"> </w:t>
      </w:r>
      <w:proofErr w:type="spellStart"/>
      <w:r w:rsidRPr="005F5D2F">
        <w:t>Paritaire</w:t>
      </w:r>
      <w:proofErr w:type="spellEnd"/>
      <w:r w:rsidRPr="005F5D2F">
        <w:t xml:space="preserve"> </w:t>
      </w:r>
      <w:proofErr w:type="spellStart"/>
      <w:r w:rsidRPr="005F5D2F">
        <w:t>des</w:t>
      </w:r>
      <w:proofErr w:type="spellEnd"/>
      <w:r w:rsidRPr="005F5D2F">
        <w:t xml:space="preserve"> </w:t>
      </w:r>
      <w:proofErr w:type="spellStart"/>
      <w:r w:rsidRPr="005F5D2F">
        <w:t>Questions</w:t>
      </w:r>
      <w:proofErr w:type="spellEnd"/>
      <w:r w:rsidRPr="005F5D2F">
        <w:t xml:space="preserve"> </w:t>
      </w:r>
      <w:proofErr w:type="spellStart"/>
      <w:r w:rsidRPr="005F5D2F">
        <w:t>Statuaries</w:t>
      </w:r>
      <w:proofErr w:type="spellEnd"/>
      <w:r w:rsidRPr="005F5D2F">
        <w:t>”; sa zadovoljstvom primjećuje da je EDPS uspostavio poštanski pretinac u koji članovi osoblja mogu slati svoje zahtjeve u pogledu svih pitanja koja se odnose na etiku; potiče EDPS da nastavi podizati razinu osviještenosti i organizirati istraživanja kako bi se procijenila razina informiranosti osoblja o etičkom okviru EDPS-a/EDPB-a;</w:t>
      </w:r>
    </w:p>
    <w:p w14:paraId="1E695F8A" w14:textId="77777777" w:rsidR="00E73E3D" w:rsidRPr="005F5D2F" w:rsidRDefault="00E73E3D" w:rsidP="00E73E3D">
      <w:pPr>
        <w:pStyle w:val="NormalHanging12a"/>
      </w:pPr>
      <w:r w:rsidRPr="005F5D2F">
        <w:t>37.</w:t>
      </w:r>
      <w:r w:rsidRPr="005F5D2F">
        <w:tab/>
        <w:t>pozdravlja općenito visoku razinu transparentnosti koju je EDPS postigao u svojim aktivnostima, uključujući objavljivanje dnevnog reda i izjave o sukobu interesa nadzornika i glavnog tajnika; sa zadovoljstvom prima na znanje iz Upitnika da je, nakon interne procjene mjera transparentnosti provedene u razdoblju 2023. – 2024., EDPS 2025. donio odluku u skladu s kojom će se nadzornik, glavni tajnik i osoblje EDPS-a s upravljačkim odgovornostima sastajati s predstavnicima interesnih skupina samo ako su registrirani u registru transparentnosti Unije; pozdravlja činjenicu da je tom odlukom EDPS postao dio registra transparentnosti Unije, o čemu je Upravni odbor propisno obaviješten; preporučuje da EDPS na svojim internetskim stranicama objavi popis svih sastanaka koje održava s predstavnicima interesnih skupina kako bi se dodatno povećala javna odgovornost i transparentnost;</w:t>
      </w:r>
    </w:p>
    <w:p w14:paraId="4B82E56F" w14:textId="77777777" w:rsidR="00E73E3D" w:rsidRPr="005F5D2F" w:rsidRDefault="00E73E3D" w:rsidP="00E73E3D">
      <w:pPr>
        <w:pStyle w:val="NormalHanging12a"/>
        <w:rPr>
          <w:szCs w:val="24"/>
        </w:rPr>
      </w:pPr>
      <w:r w:rsidRPr="005F5D2F">
        <w:t>38.</w:t>
      </w:r>
      <w:r w:rsidRPr="005F5D2F">
        <w:tab/>
        <w:t xml:space="preserve">konstatira da je Europski </w:t>
      </w:r>
      <w:proofErr w:type="spellStart"/>
      <w:r w:rsidRPr="005F5D2F">
        <w:t>ombudsman</w:t>
      </w:r>
      <w:proofErr w:type="spellEnd"/>
      <w:r w:rsidRPr="005F5D2F">
        <w:t xml:space="preserve"> proveo istragu o EDPS-u u slučaju pokrenutom 2023., koji je zatvoren 2024. sa zaključkom da je došlo do nepravilnosti u postupanju; napominje da je u tom nalazu riječ bila o vremenu koje je EDPS-u bilo potrebno da dovrši procjenu pritužbe u razumnom roku i o tome da nije proaktivno obavještavao podnositelja pritužbe o napretku slučaja; stoga cijeni što je EDPS poduzeo mjere za poboljšanje svojih postupaka, u skladu s kojima su zaposlenici sad dužni proaktivno ažurirati pritužbe i obustaviti istrage dok se čekaju sudske presude ili odluke drugih tijela o istoj stvari; prima na znanje iz Upitnika da je EDPS 2024. sudjelovao u tri istrage Europskog ureda za borbu protiv prijevara (OLAF) koje su u tijeku; poziva EDPS da o tome redovito obavještava tijelo nadležno za davanje razrješnice;</w:t>
      </w:r>
    </w:p>
    <w:p w14:paraId="77A8A4EB" w14:textId="77777777" w:rsidR="00E73E3D" w:rsidRPr="005F5D2F" w:rsidRDefault="00E73E3D" w:rsidP="00E73E3D">
      <w:pPr>
        <w:pStyle w:val="NormalHanging12a"/>
      </w:pPr>
      <w:r w:rsidRPr="005F5D2F">
        <w:t>39.</w:t>
      </w:r>
      <w:r w:rsidRPr="005F5D2F">
        <w:tab/>
        <w:t xml:space="preserve">ističe ulogu EDPS-a u nadzoru postupaka obrade osobnih podataka u institucijama, tijelima i agencijama Europske unije; izražava zabrinutost zbog vremena koje je EDPS-u potrebno za obradu pritužbi; podsjeća na odluku Europskog </w:t>
      </w:r>
      <w:proofErr w:type="spellStart"/>
      <w:r w:rsidRPr="005F5D2F">
        <w:t>ombudsmana</w:t>
      </w:r>
      <w:proofErr w:type="spellEnd"/>
      <w:r w:rsidRPr="005F5D2F">
        <w:t xml:space="preserve"> od 7. studenoga 2024. u predmetu 1888/2023/TM, u kojoj je Europski </w:t>
      </w:r>
      <w:proofErr w:type="spellStart"/>
      <w:r w:rsidRPr="005F5D2F">
        <w:t>ombudsman</w:t>
      </w:r>
      <w:proofErr w:type="spellEnd"/>
      <w:r w:rsidRPr="005F5D2F">
        <w:t xml:space="preserve"> utvrdio da razdoblje od šest godina koliko je EDPS-u bilo potrebno da dovrši obradu jedne pritužbe nije razuman rok i da je pristup EDPS-a bio nepravilan; napominje da je Europski </w:t>
      </w:r>
      <w:proofErr w:type="spellStart"/>
      <w:r w:rsidRPr="005F5D2F">
        <w:t>ombudsman</w:t>
      </w:r>
      <w:proofErr w:type="spellEnd"/>
      <w:r w:rsidRPr="005F5D2F">
        <w:t xml:space="preserve"> utvrdio da EDPS također nije obavještavao podnositelja pritužbe o tijeku predmeta;</w:t>
      </w:r>
    </w:p>
    <w:p w14:paraId="1BCBC428" w14:textId="77777777" w:rsidR="00E73E3D" w:rsidRPr="005F5D2F" w:rsidRDefault="00E73E3D" w:rsidP="00E73E3D">
      <w:pPr>
        <w:pStyle w:val="NormalHanging12a"/>
        <w:rPr>
          <w:szCs w:val="24"/>
        </w:rPr>
      </w:pPr>
      <w:r w:rsidRPr="005F5D2F">
        <w:t>40.</w:t>
      </w:r>
      <w:r w:rsidRPr="005F5D2F">
        <w:tab/>
        <w:t>napominje da, u skladu s člankom 9. Kodeksa ponašanja EDPS-a, nadzornik i glavni tajnik imaju obvezu u pogledu integriteta, diskrecije i povjerljivosti u razdoblju od tri godine nakon prestanka dužnosti; napominje da 2024. nijedan viši dužnosnik nije napustio EDPS niti se pridružio EDPS-u;</w:t>
      </w:r>
    </w:p>
    <w:p w14:paraId="733104E0" w14:textId="77777777" w:rsidR="00E73E3D" w:rsidRPr="005F5D2F" w:rsidRDefault="00E73E3D" w:rsidP="00E73E3D">
      <w:pPr>
        <w:pStyle w:val="NormalHanging12a"/>
        <w:rPr>
          <w:szCs w:val="24"/>
        </w:rPr>
      </w:pPr>
      <w:r w:rsidRPr="005F5D2F">
        <w:rPr>
          <w:b/>
          <w:i/>
        </w:rPr>
        <w:t>Digitalizacija, kibernetička sigurnost i zaštita podataka</w:t>
      </w:r>
    </w:p>
    <w:p w14:paraId="3A94F71E" w14:textId="77777777" w:rsidR="00E73E3D" w:rsidRPr="005F5D2F" w:rsidRDefault="00E73E3D" w:rsidP="00E73E3D">
      <w:pPr>
        <w:pStyle w:val="NormalHanging12a"/>
        <w:rPr>
          <w:szCs w:val="24"/>
        </w:rPr>
      </w:pPr>
      <w:r w:rsidRPr="005F5D2F">
        <w:t>41.</w:t>
      </w:r>
      <w:r w:rsidRPr="005F5D2F">
        <w:tab/>
        <w:t>prima na znanje iz Upitnika da su 2024. rashodi za informatičku opremu i projekte bili 10 % veći u usporedbi s 2023. zbog dodatnog savjetovanja o kibernetičkoj sigurnosti; nadalje napominje da su ostali elementi troškova bili i dalje relativno stabilni u te dvije godine, uključujući opće informatičke usluge i održavanje;</w:t>
      </w:r>
    </w:p>
    <w:p w14:paraId="7FD9098B" w14:textId="77777777" w:rsidR="00E73E3D" w:rsidRPr="005F5D2F" w:rsidRDefault="00E73E3D" w:rsidP="00E73E3D">
      <w:pPr>
        <w:pStyle w:val="NormalHanging12a"/>
        <w:rPr>
          <w:szCs w:val="24"/>
        </w:rPr>
      </w:pPr>
      <w:r w:rsidRPr="005F5D2F">
        <w:t>42.</w:t>
      </w:r>
      <w:r w:rsidRPr="005F5D2F">
        <w:tab/>
        <w:t xml:space="preserve">primjećuje napredak koji je EDPS postigao 2024. prema digitalnoj transformaciji; </w:t>
      </w:r>
      <w:r w:rsidRPr="005F5D2F">
        <w:lastRenderedPageBreak/>
        <w:t xml:space="preserve">posebno primjećuje da je EDPS integrirao platformu EU </w:t>
      </w:r>
      <w:proofErr w:type="spellStart"/>
      <w:r w:rsidRPr="005F5D2F">
        <w:t>Send</w:t>
      </w:r>
      <w:proofErr w:type="spellEnd"/>
      <w:r w:rsidRPr="005F5D2F">
        <w:t xml:space="preserve"> (usluga/kanal za razmjenu osjetljivih neklasificiranih informacija s drugim institucijama, tijelima, uredima i agencijama Unije), uveo platformu </w:t>
      </w:r>
      <w:proofErr w:type="spellStart"/>
      <w:r w:rsidRPr="005F5D2F">
        <w:t>ServiceNow</w:t>
      </w:r>
      <w:proofErr w:type="spellEnd"/>
      <w:r w:rsidRPr="005F5D2F">
        <w:t xml:space="preserve"> za informatičku podršku (stvaranje jedinstvenog portala za korisničku podršku za osoblje), implementirao SECABC (</w:t>
      </w:r>
      <w:proofErr w:type="spellStart"/>
      <w:r w:rsidRPr="005F5D2F">
        <w:t>međuinstitucijski</w:t>
      </w:r>
      <w:proofErr w:type="spellEnd"/>
      <w:r w:rsidRPr="005F5D2F">
        <w:t xml:space="preserve"> okvir za sigurnu razmjenu informacija) i prešao na lokalni model Komisije </w:t>
      </w:r>
      <w:proofErr w:type="spellStart"/>
      <w:r w:rsidRPr="005F5D2F">
        <w:t>Container</w:t>
      </w:r>
      <w:proofErr w:type="spellEnd"/>
      <w:r w:rsidRPr="005F5D2F">
        <w:t>-as-a-Service; napominje da na digitalnoj transformaciji EDPS-a rade jedan stalno zaposleni službenik i jedan član ugovornog osoblja; prima na znanje iz Upitnika i izvješća o daljnjem postupanju da proračunska ograničenja EDPS-a onemogućavaju osnivanje tima od najmanje pet informatičkih stručnjaka koji bi pokrivali sedam različitih informatičkih domena i koji bi mogli pokrivati specifične aplikacije povezane s poslovnim procesima EDPS-a koje nadilaze osnovnu informatičku infrastrukturu i usluge koje nude Parlament i Komisija u okviru sporazuma o razini usluga;</w:t>
      </w:r>
    </w:p>
    <w:p w14:paraId="44501CEC" w14:textId="77777777" w:rsidR="00E73E3D" w:rsidRPr="005F5D2F" w:rsidRDefault="00E73E3D" w:rsidP="00E73E3D">
      <w:pPr>
        <w:pStyle w:val="NormalHanging12a"/>
        <w:rPr>
          <w:bCs/>
          <w:iCs/>
        </w:rPr>
      </w:pPr>
      <w:r w:rsidRPr="005F5D2F">
        <w:t>43.</w:t>
      </w:r>
      <w:r w:rsidRPr="005F5D2F">
        <w:tab/>
        <w:t xml:space="preserve">napominje da se ograničen broj internog IT osoblja EDPS-a djelomično nadoknađuje informatičkim uslugama koje pružaju Parlament i Komisija u okviru sporazuma o razini usluga i mehanizma povrata zaduženja; podsjeća da je Parlament u svojoj rezoluciji o razrješnici za 2023. već utvrdio strukturne razlike između takvih </w:t>
      </w:r>
      <w:proofErr w:type="spellStart"/>
      <w:r w:rsidRPr="005F5D2F">
        <w:t>međuinstitucijskih</w:t>
      </w:r>
      <w:proofErr w:type="spellEnd"/>
      <w:r w:rsidRPr="005F5D2F">
        <w:t xml:space="preserve"> informatičkih usluga i konkretnih operativnih potreba EDPS-a; naglašava da taj model, iako može stvoriti ekonomiju razmjera, može smanjiti predvidljivost troškova i izravnu kontrolu malih institucija nad razvojem rashoda povezanih s IT-om te naglašava da je u budućem proračunskom planiranju važno uzeti u obzir te strukturne pritiske troškova;</w:t>
      </w:r>
    </w:p>
    <w:p w14:paraId="5072544A" w14:textId="77777777" w:rsidR="00E73E3D" w:rsidRPr="005F5D2F" w:rsidRDefault="00E73E3D" w:rsidP="00E73E3D">
      <w:pPr>
        <w:pStyle w:val="NormalHanging12a"/>
        <w:rPr>
          <w:bCs/>
          <w:iCs/>
        </w:rPr>
      </w:pPr>
      <w:r w:rsidRPr="005F5D2F">
        <w:t>44.</w:t>
      </w:r>
      <w:r w:rsidRPr="005F5D2F">
        <w:tab/>
        <w:t xml:space="preserve">ističe rad EDPS-a na rješenjima u području otvorenog koda, odnosno rješenjima u području računalstva u oblaku koja se temelje na suradnji i potječu iz Unije, posebno projekt </w:t>
      </w:r>
      <w:proofErr w:type="spellStart"/>
      <w:r w:rsidRPr="005F5D2F">
        <w:t>Nextcloud</w:t>
      </w:r>
      <w:proofErr w:type="spellEnd"/>
      <w:r w:rsidRPr="005F5D2F">
        <w:t xml:space="preserve"> i njegovu migraciju na podatkovni centar kojim upravlja Komisija, u cilju jačanja suvereniteta nad podacima i smanjenja ovisnosti o pružateljima usluga izvan Unije; poziva Europskog nadzornika za zaštitu podataka da tijelu nadležnom za davanje razrješnice dostavi procjenu ukupnog troška vlasništva nad projektom, sigurnosnih koristi i prilagodljivosti za ostale institucije Unije;</w:t>
      </w:r>
    </w:p>
    <w:p w14:paraId="4D186A75" w14:textId="77777777" w:rsidR="00E73E3D" w:rsidRPr="005F5D2F" w:rsidRDefault="00E73E3D" w:rsidP="00E73E3D">
      <w:pPr>
        <w:pStyle w:val="NormalHanging12a"/>
      </w:pPr>
      <w:r w:rsidRPr="005F5D2F">
        <w:t>45.</w:t>
      </w:r>
      <w:r w:rsidRPr="005F5D2F">
        <w:tab/>
        <w:t>potvrđuje da se Europski nadzornik za zaštitu podataka uspješno oslanja na mnoge administrativne sustave kojima se koristi Komisija, posebno u području ljudskih resursa i procesa u okviru poslovne administracije, kao i na neke usluge Parlamenta, uključujući, među ostalim, stavljanje na raspolaganje prijenosnih računala, mrežnu infrastrukturu i videokonferencije; napominje da EDPS koristi kvalificirani elektronički potpis za potpisivanje elektroničkih administrativnih i financijskih dokumenata u sustavu ARES i izvan njega; pohvaljuje EDPS za napredak postignut u primjeni alata za e-nabavu, što je predviđeno za 2026. kad će SUMMA, novi financijski softver, biti uveden i u EDPS-u;</w:t>
      </w:r>
    </w:p>
    <w:p w14:paraId="3CB8E099" w14:textId="77777777" w:rsidR="00E73E3D" w:rsidRPr="005F5D2F" w:rsidRDefault="00E73E3D" w:rsidP="00E73E3D">
      <w:pPr>
        <w:pStyle w:val="NormalHanging12a"/>
      </w:pPr>
      <w:r w:rsidRPr="005F5D2F">
        <w:t>46.</w:t>
      </w:r>
      <w:r w:rsidRPr="005F5D2F">
        <w:tab/>
        <w:t>prima na znanje iz Upitnika da je EDPS 2025. odobrio interne smjernice o korištenju generativnih sustava umjetne inteligencije za osoblje, kojem se nudi i obvezno osposobljavanje o umjetnoj inteligenciji; pozdravlja pripremni rad EDPS-a za potencijalno izdavanje smjernica kako bi se osiguralo da institucije, tijela, uredi i agencije Unije koriste alate umjetne inteligencije na odgovoran način, čime bi se dopunile smjernice koje je Komisija već izdala te bi se usredotočilo na specifičnosti javne uprave Unije ili slučajeve upotrebe u određenim područjima kao što su ljudski resursi ili zapošljavanje;</w:t>
      </w:r>
    </w:p>
    <w:p w14:paraId="1B8D1C1C" w14:textId="77777777" w:rsidR="00E73E3D" w:rsidRPr="005F5D2F" w:rsidRDefault="00E73E3D" w:rsidP="00E73E3D">
      <w:pPr>
        <w:pStyle w:val="NormalHanging12a"/>
        <w:rPr>
          <w:szCs w:val="24"/>
        </w:rPr>
      </w:pPr>
      <w:r w:rsidRPr="005F5D2F">
        <w:t>47.</w:t>
      </w:r>
      <w:r w:rsidRPr="005F5D2F">
        <w:tab/>
        <w:t xml:space="preserve">uviđa vodeću ulogu EDPS-a u poboljšanju spremnosti institucija, tijela, ureda i agencija </w:t>
      </w:r>
      <w:r w:rsidRPr="005F5D2F">
        <w:lastRenderedPageBreak/>
        <w:t>Unije za kibernetičku sigurnost, uz istodobnu blisku suradnju s tijelima kao što je ENISA i centrima za kibernetičku sigurnost kao što je CERT-EU;</w:t>
      </w:r>
    </w:p>
    <w:p w14:paraId="0F7C1F70" w14:textId="77777777" w:rsidR="00E73E3D" w:rsidRPr="005F5D2F" w:rsidRDefault="00E73E3D" w:rsidP="00E73E3D">
      <w:pPr>
        <w:pStyle w:val="NormalHanging12a"/>
      </w:pPr>
      <w:r w:rsidRPr="005F5D2F">
        <w:t>48.</w:t>
      </w:r>
      <w:r w:rsidRPr="005F5D2F">
        <w:tab/>
        <w:t xml:space="preserve">prima na znanje iz Upitnika da je EDPS pokrenuo dvije ključne inicijative za jačanje upravljanja povredama osobnih podataka u institucijama Unije, odnosno Kampanju za podizanje razine osviještenosti o povredama osobnih podataka, koja je bila usmjerena na subjekte koji prije nisu prijavili povrede te su u okviru nje pruženi alati za samoprocjenu, bilateralne konzultacije i prilagođene preporuke, te vježbu u području kibernetičke sigurnosti (pod nazivom PATRICIA) usmjerenu na poboljšanje rješavanja incidenata u području kibernetičke sigurnosti koji uključuju povrede osobnih podataka i poboljšanje </w:t>
      </w:r>
      <w:proofErr w:type="spellStart"/>
      <w:r w:rsidRPr="005F5D2F">
        <w:t>međuinstitucijske</w:t>
      </w:r>
      <w:proofErr w:type="spellEnd"/>
      <w:r w:rsidRPr="005F5D2F">
        <w:t xml:space="preserve"> suradnje; sa zadovoljstvom primjećuje da je Globalna skupština za privatnost (Global </w:t>
      </w:r>
      <w:proofErr w:type="spellStart"/>
      <w:r w:rsidRPr="005F5D2F">
        <w:t>Privacy</w:t>
      </w:r>
      <w:proofErr w:type="spellEnd"/>
      <w:r w:rsidRPr="005F5D2F">
        <w:t xml:space="preserve"> </w:t>
      </w:r>
      <w:proofErr w:type="spellStart"/>
      <w:r w:rsidRPr="005F5D2F">
        <w:t>Assembly</w:t>
      </w:r>
      <w:proofErr w:type="spellEnd"/>
      <w:r w:rsidRPr="005F5D2F">
        <w:t xml:space="preserve">) 2025. nagradila obje inicijative za doprinos odgovornosti; primjećuje da je EDPS poboljšao svoj okvir za kibernetičku sigurnost uvođenjem otkrivanja slabosti i prijetnji u stvarnom vremenu za internetsku imovinu, i to poboljšanom suradnjom u okviru sporazuma o razini usluga s CERT-EU-om; čestita EDPS-u na organiziranju konferencije u Bruxellesu u lipnju 2024., na kojoj su se okupili stručnjaci za zaštitu podataka, </w:t>
      </w:r>
      <w:proofErr w:type="spellStart"/>
      <w:r w:rsidRPr="005F5D2F">
        <w:t>oblikovatelji</w:t>
      </w:r>
      <w:proofErr w:type="spellEnd"/>
      <w:r w:rsidRPr="005F5D2F">
        <w:t xml:space="preserve"> politika i tehnološki stručnjaci kako bi razmotrili promjenjivu ulogu zaštite podataka u modernim demokracijama, posebno s obzirom na porast dezinformacija i manipulacije na internetu te izazove koje nose društvene mreže;</w:t>
      </w:r>
    </w:p>
    <w:p w14:paraId="27CEC72F" w14:textId="77777777" w:rsidR="00E73E3D" w:rsidRPr="005F5D2F" w:rsidRDefault="00E73E3D" w:rsidP="00E73E3D">
      <w:pPr>
        <w:pStyle w:val="NormalHanging12a"/>
        <w:rPr>
          <w:b/>
          <w:i/>
          <w:szCs w:val="24"/>
        </w:rPr>
      </w:pPr>
      <w:r w:rsidRPr="005F5D2F">
        <w:rPr>
          <w:b/>
          <w:i/>
        </w:rPr>
        <w:t>Zgrade</w:t>
      </w:r>
    </w:p>
    <w:p w14:paraId="42BC1218" w14:textId="77777777" w:rsidR="00E73E3D" w:rsidRPr="005F5D2F" w:rsidRDefault="00E73E3D" w:rsidP="00E73E3D">
      <w:pPr>
        <w:pStyle w:val="NormalHanging12a"/>
        <w:rPr>
          <w:szCs w:val="24"/>
        </w:rPr>
      </w:pPr>
      <w:r w:rsidRPr="005F5D2F">
        <w:t>49.</w:t>
      </w:r>
      <w:r w:rsidRPr="005F5D2F">
        <w:tab/>
        <w:t>napominje da je 2024. bio potreban prijenos od približno 55 000 EUR za pokrivanje troškova sigurnosti zgrade i najma jer je trošak najma zgrade koju EDPS koristi, a koji je za 2024. potvrdio Parlament, bio veći od sredstava dodijeljenih za tu godinu;</w:t>
      </w:r>
    </w:p>
    <w:p w14:paraId="440EE927" w14:textId="77777777" w:rsidR="00E73E3D" w:rsidRPr="005F5D2F" w:rsidRDefault="00E73E3D" w:rsidP="00E73E3D">
      <w:pPr>
        <w:pStyle w:val="NormalHanging12a"/>
        <w:rPr>
          <w:szCs w:val="24"/>
        </w:rPr>
      </w:pPr>
      <w:r w:rsidRPr="005F5D2F">
        <w:t>50.</w:t>
      </w:r>
      <w:r w:rsidRPr="005F5D2F">
        <w:tab/>
        <w:t>konstatira da se, kad je riječ o pristupačnosti njegovoj zgradi, EDPS oslanja na odluke koje Parlament donosi i provodi u okviru svoje politike upravljanja nekretninama; poziva EDPS da obavijesti tijelo nadležno za davanje razrješnice o tome planira li zaposliti i stažiste sa smanjenom pokretljivošću ili invaliditetom;</w:t>
      </w:r>
    </w:p>
    <w:p w14:paraId="0B134D1F" w14:textId="77777777" w:rsidR="00E73E3D" w:rsidRPr="005F5D2F" w:rsidRDefault="00E73E3D" w:rsidP="00E73E3D">
      <w:pPr>
        <w:pStyle w:val="NormalHanging12a"/>
        <w:rPr>
          <w:b/>
          <w:iCs/>
          <w:szCs w:val="24"/>
        </w:rPr>
      </w:pPr>
      <w:r w:rsidRPr="005F5D2F">
        <w:rPr>
          <w:b/>
          <w:i/>
        </w:rPr>
        <w:t>Okoliš i održivost</w:t>
      </w:r>
    </w:p>
    <w:p w14:paraId="7E824A77" w14:textId="77777777" w:rsidR="00E73E3D" w:rsidRPr="005F5D2F" w:rsidRDefault="00E73E3D" w:rsidP="00E73E3D">
      <w:pPr>
        <w:pStyle w:val="NormalHanging12a"/>
        <w:rPr>
          <w:bCs/>
          <w:iCs/>
          <w:szCs w:val="24"/>
        </w:rPr>
      </w:pPr>
      <w:r w:rsidRPr="005F5D2F">
        <w:t>51.</w:t>
      </w:r>
      <w:r w:rsidRPr="005F5D2F">
        <w:tab/>
        <w:t>napominje da EDPS unajmljuje pametnu zgradu Parlamenta, čiji je utjecaj na okoliš smanjen zahvaljujući nekoliko mjera, kao što je, među ostalim, automatska i centralizirana regulacija temperature; ističe da je ta zgrada opremljena i fotonaponskim panelima koji proizvode približno 20 kWh električne energije, čime je 2024. pokriveno 6,04 % ukupne potrošnje EDPS-a;</w:t>
      </w:r>
    </w:p>
    <w:p w14:paraId="676FBDE0" w14:textId="77777777" w:rsidR="00E73E3D" w:rsidRPr="005F5D2F" w:rsidRDefault="00E73E3D" w:rsidP="00E73E3D">
      <w:pPr>
        <w:pStyle w:val="NormalHanging12a"/>
      </w:pPr>
      <w:r w:rsidRPr="005F5D2F">
        <w:t>52.</w:t>
      </w:r>
      <w:r w:rsidRPr="005F5D2F">
        <w:tab/>
        <w:t xml:space="preserve">napominje da EDPS nije pristupio sustavu upravljanja okolišem i neovisnog ocjenjivanja (EMAS); napominje da je, radi dobivanja certifikata EMAS-a, EDPS 2024. osnovao </w:t>
      </w:r>
      <w:proofErr w:type="spellStart"/>
      <w:r w:rsidRPr="005F5D2F">
        <w:t>međuodjelnu</w:t>
      </w:r>
      <w:proofErr w:type="spellEnd"/>
      <w:r w:rsidRPr="005F5D2F">
        <w:t xml:space="preserve"> radnu skupinu čiji su ciljevi mapiranje postojećih mjera koje je Parlament već proveo, razvoj strategija za smanjenje ugljika i predlaganje inovativnih rješenja; poziva EDPS da utvrdi jasan vremenski okvir za dobivanje certifikata ENAS-a te da tijelo nadležno za davanje razrješnice nastavi obavještavati o napretku postignutom po tom pitanju;</w:t>
      </w:r>
    </w:p>
    <w:p w14:paraId="44D423F3" w14:textId="77777777" w:rsidR="00E73E3D" w:rsidRPr="005F5D2F" w:rsidRDefault="00E73E3D" w:rsidP="00E73E3D">
      <w:pPr>
        <w:spacing w:after="240"/>
        <w:ind w:left="567" w:hanging="567"/>
      </w:pPr>
      <w:r w:rsidRPr="005F5D2F">
        <w:t>53.</w:t>
      </w:r>
      <w:r w:rsidRPr="005F5D2F">
        <w:tab/>
        <w:t xml:space="preserve">prima na znanje iz Upitnika da EDPS provodi veliku većinu svoje nabave na temelju </w:t>
      </w:r>
      <w:proofErr w:type="spellStart"/>
      <w:r w:rsidRPr="005F5D2F">
        <w:t>međuinstitucijskih</w:t>
      </w:r>
      <w:proofErr w:type="spellEnd"/>
      <w:r w:rsidRPr="005F5D2F">
        <w:t xml:space="preserve"> okvirnih ugovora te da, kao sudjelujući javni naručitelj, primjenjuje kriterije održivosti koje je utvrdio glavni javni naručitelj;</w:t>
      </w:r>
    </w:p>
    <w:p w14:paraId="1973F87F" w14:textId="77777777" w:rsidR="00E73E3D" w:rsidRPr="005F5D2F" w:rsidRDefault="00E73E3D" w:rsidP="00E73E3D">
      <w:pPr>
        <w:spacing w:after="240"/>
        <w:ind w:left="567" w:hanging="567"/>
      </w:pPr>
      <w:r w:rsidRPr="005F5D2F">
        <w:lastRenderedPageBreak/>
        <w:t>54.</w:t>
      </w:r>
      <w:r w:rsidRPr="005F5D2F">
        <w:tab/>
        <w:t>prima na znanje iz Upitnika da sva poslovna putovanja osoblja EDPS-a moraju biti u skladu s pravilima utvrđenima u Vodiču za službena putovanja; primjećuje da osoblje EDPS-a prvenstveno putuje ekonomskom klasom i da se većina putovanja odvija unutar Unije; pozdravlja napore EDPS-a da smanji svoj ugljični otisak poticanjem osoblja na korištenje videokonferencija, putovanja vlakom na kratke udaljenosti i javnog prijevoza pri putovanju do ili od zračne luke ili na odredištu;</w:t>
      </w:r>
    </w:p>
    <w:p w14:paraId="1110E41A" w14:textId="77777777" w:rsidR="00E73E3D" w:rsidRPr="005F5D2F" w:rsidRDefault="00E73E3D" w:rsidP="00E73E3D">
      <w:pPr>
        <w:spacing w:after="240"/>
        <w:ind w:left="567" w:hanging="567"/>
      </w:pPr>
      <w:r w:rsidRPr="005F5D2F">
        <w:t>55.</w:t>
      </w:r>
      <w:r w:rsidRPr="005F5D2F">
        <w:tab/>
        <w:t>prima na znanje iz Upitnika da EDPS provodi strategiju održive mobilnosti kojom se osoblju omogućuje da zatraži povrat 50 % cijene mjesečnih ili godišnjih sezonskih karata ili višestrukih propusnica za javni prijevoz te se pružaju sadržaji prilagođeni potrebama osoblja koje se koristi biciklima;</w:t>
      </w:r>
    </w:p>
    <w:p w14:paraId="500B6341" w14:textId="77777777" w:rsidR="00E73E3D" w:rsidRPr="005F5D2F" w:rsidRDefault="00E73E3D" w:rsidP="00E73E3D">
      <w:pPr>
        <w:pStyle w:val="NormalHanging12a"/>
        <w:rPr>
          <w:b/>
          <w:i/>
          <w:szCs w:val="24"/>
        </w:rPr>
      </w:pPr>
      <w:proofErr w:type="spellStart"/>
      <w:r w:rsidRPr="005F5D2F">
        <w:rPr>
          <w:b/>
          <w:i/>
        </w:rPr>
        <w:t>Međuinstitucijska</w:t>
      </w:r>
      <w:proofErr w:type="spellEnd"/>
      <w:r w:rsidRPr="005F5D2F">
        <w:rPr>
          <w:b/>
          <w:i/>
        </w:rPr>
        <w:t xml:space="preserve"> suradnja</w:t>
      </w:r>
    </w:p>
    <w:p w14:paraId="5FEB9C16" w14:textId="77777777" w:rsidR="00E73E3D" w:rsidRPr="005F5D2F" w:rsidRDefault="00E73E3D" w:rsidP="00E73E3D">
      <w:pPr>
        <w:pStyle w:val="NormalHanging12a"/>
        <w:rPr>
          <w:szCs w:val="24"/>
        </w:rPr>
      </w:pPr>
      <w:r w:rsidRPr="005F5D2F">
        <w:t>56.</w:t>
      </w:r>
      <w:r w:rsidRPr="005F5D2F">
        <w:tab/>
        <w:t xml:space="preserve">pozdravlja proračunske i administrativne uštede koje je EDPS ostvario </w:t>
      </w:r>
      <w:proofErr w:type="spellStart"/>
      <w:r w:rsidRPr="005F5D2F">
        <w:t>međuinstitucijskom</w:t>
      </w:r>
      <w:proofErr w:type="spellEnd"/>
      <w:r w:rsidRPr="005F5D2F">
        <w:t xml:space="preserve"> suradnjom, posebno sklapanjem sporazuma o razini usluga s Parlamentom za najam njegovih prostora i upotrebu aplikacija IT sustava, hardverske opreme i održavanja te s Komisijom za ljudske resurse i postupke poslovne administracije, kao i sudjelovanjem u velikim </w:t>
      </w:r>
      <w:proofErr w:type="spellStart"/>
      <w:r w:rsidRPr="005F5D2F">
        <w:t>međuinstitucijskim</w:t>
      </w:r>
      <w:proofErr w:type="spellEnd"/>
      <w:r w:rsidRPr="005F5D2F">
        <w:t xml:space="preserve"> okvirnim ugovorima u područjima kao što su, među ostalim, savjetovanje u području IT-a, privremene usluge i uredski materijal; osim toga, pohvaljuje EDPS zbog održavanja strukturirane suradnje s Europskim </w:t>
      </w:r>
      <w:proofErr w:type="spellStart"/>
      <w:r w:rsidRPr="005F5D2F">
        <w:t>ombudsmanom</w:t>
      </w:r>
      <w:proofErr w:type="spellEnd"/>
      <w:r w:rsidRPr="005F5D2F">
        <w:t xml:space="preserve">, Agencijom Europske unije za temeljna prava i CERT-EU-om preko memoranduma o razumijevanju; prima na znanje iz Upitnika da EDPS sudjeluje i u </w:t>
      </w:r>
      <w:proofErr w:type="spellStart"/>
      <w:r w:rsidRPr="005F5D2F">
        <w:t>međuinstitucijskom</w:t>
      </w:r>
      <w:proofErr w:type="spellEnd"/>
      <w:r w:rsidRPr="005F5D2F">
        <w:t xml:space="preserve"> projektu transformacije ljudskih resursa, koji vodi Komisija i čiji je cilj digitalizacija procesa upravljanja ljudskim resursima, a čija će provedba biti dovršena do 2029.;</w:t>
      </w:r>
    </w:p>
    <w:p w14:paraId="6CCFF246" w14:textId="77777777" w:rsidR="00E73E3D" w:rsidRPr="005F5D2F" w:rsidRDefault="00E73E3D" w:rsidP="00E73E3D">
      <w:pPr>
        <w:pStyle w:val="NormalHanging12a"/>
        <w:rPr>
          <w:szCs w:val="24"/>
        </w:rPr>
      </w:pPr>
      <w:r w:rsidRPr="005F5D2F">
        <w:t>57.</w:t>
      </w:r>
      <w:r w:rsidRPr="005F5D2F">
        <w:tab/>
        <w:t xml:space="preserve">napominje da EDPS sudjeluje na sastancima raznih </w:t>
      </w:r>
      <w:proofErr w:type="spellStart"/>
      <w:r w:rsidRPr="005F5D2F">
        <w:t>međuinstitucijskih</w:t>
      </w:r>
      <w:proofErr w:type="spellEnd"/>
      <w:r w:rsidRPr="005F5D2F">
        <w:t xml:space="preserve"> tijela; u tom kontekstu pozdravlja sudjelovanje EDPS-a na sastancima voditelja administracije i </w:t>
      </w:r>
      <w:proofErr w:type="spellStart"/>
      <w:r w:rsidRPr="005F5D2F">
        <w:t>Međuinstitucijskog</w:t>
      </w:r>
      <w:proofErr w:type="spellEnd"/>
      <w:r w:rsidRPr="005F5D2F">
        <w:t xml:space="preserve"> odbora za internetsku komunikaciju, pod vodstvom Glavne uprave za komunikaciju Europskog parlamenta; potvrđuje da je </w:t>
      </w:r>
      <w:proofErr w:type="spellStart"/>
      <w:r w:rsidRPr="005F5D2F">
        <w:t>međuinstitucijska</w:t>
      </w:r>
      <w:proofErr w:type="spellEnd"/>
      <w:r w:rsidRPr="005F5D2F">
        <w:t xml:space="preserve"> suradnja s EDPS-om u njegovoj nadzornoj ulozi od presudne važnosti za ostale institucije Unije kako bi se povećala njihova razina usklađenosti s pravnim okvirom za zaštitu podataka;</w:t>
      </w:r>
    </w:p>
    <w:p w14:paraId="008E520F" w14:textId="77777777" w:rsidR="00E73E3D" w:rsidRPr="005F5D2F" w:rsidRDefault="00E73E3D" w:rsidP="00E73E3D">
      <w:pPr>
        <w:pStyle w:val="NormalHanging12a"/>
        <w:rPr>
          <w:szCs w:val="24"/>
        </w:rPr>
      </w:pPr>
      <w:r w:rsidRPr="005F5D2F">
        <w:t>58.</w:t>
      </w:r>
      <w:r w:rsidRPr="005F5D2F">
        <w:tab/>
        <w:t xml:space="preserve">prima na znanje iz godišnjeg izvješća da je EDPB 2024. pokrenuo usklađene provedbene mjere u pogledu prava pojedinaca na pristup osobnim podacima, u čemu je sudjelovalo 30 tijela za zaštitu podataka iz Unije i EGP-a; prima na znanje iz Upitnika da je EDPS sudjelovao u toj inicijativi, ali i nastavio svoj rad na usklađenim provedbenim mjerama EDPB-a iz 2023. u pogledu uloge službenika za zaštitu podataka; konstatira kontinuirano aktivno sudjelovanje EPDS-a u aktivnostima Koordinacijskog nadzornog odbora u 2024. na način da je, među ostalim, preuzeo dužnost koordiniranja tim odborom na dvije godine te je izradio smjernice o suradnji u rješavanju pritužbi </w:t>
      </w:r>
      <w:proofErr w:type="spellStart"/>
      <w:r w:rsidRPr="005F5D2F">
        <w:t>Europola</w:t>
      </w:r>
      <w:proofErr w:type="spellEnd"/>
      <w:r w:rsidRPr="005F5D2F">
        <w:t xml:space="preserve"> i praćenju razvoja ETIAS-a; napominje da je EDPS, kao član EDPB-a, koordinirao i radnu skupinu za suradnju s tijelima za zaštitu tržišnog natjecanja i potrošača u pogledu međudjelovanja Akta o digitalnim tržištima</w:t>
      </w:r>
      <w:r w:rsidRPr="005F5D2F">
        <w:rPr>
          <w:rStyle w:val="FootnoteReference"/>
          <w:szCs w:val="24"/>
        </w:rPr>
        <w:footnoteReference w:id="11"/>
      </w:r>
      <w:r w:rsidRPr="005F5D2F">
        <w:t xml:space="preserve"> i Opće </w:t>
      </w:r>
      <w:r w:rsidRPr="005F5D2F">
        <w:lastRenderedPageBreak/>
        <w:t>uredbe o zaštiti podataka</w:t>
      </w:r>
      <w:r w:rsidRPr="005F5D2F">
        <w:rPr>
          <w:rStyle w:val="FootnoteReference"/>
          <w:szCs w:val="24"/>
        </w:rPr>
        <w:footnoteReference w:id="12"/>
      </w:r>
      <w:r w:rsidRPr="005F5D2F">
        <w:t>;</w:t>
      </w:r>
    </w:p>
    <w:p w14:paraId="6EEEA8D7" w14:textId="77777777" w:rsidR="00E73E3D" w:rsidRPr="005F5D2F" w:rsidRDefault="00E73E3D" w:rsidP="00E73E3D">
      <w:pPr>
        <w:pStyle w:val="NormalHanging12a"/>
        <w:rPr>
          <w:szCs w:val="24"/>
        </w:rPr>
      </w:pPr>
      <w:r w:rsidRPr="005F5D2F">
        <w:t>59.</w:t>
      </w:r>
      <w:r w:rsidRPr="005F5D2F">
        <w:tab/>
        <w:t>prima na znanje iz Upitnika i izvješća o daljnjem postupanju da zajedničke aktivnosti s OLAF-om, Uredom europskog javnog tužitelja (EPPO) i Sudom te preuzimanje inicijative u području otkrivanja prijevara nisu u nadležnosti EDPS-a;</w:t>
      </w:r>
    </w:p>
    <w:p w14:paraId="54D0446E" w14:textId="77777777" w:rsidR="00E73E3D" w:rsidRPr="005F5D2F" w:rsidRDefault="00E73E3D" w:rsidP="00E73E3D">
      <w:pPr>
        <w:pStyle w:val="NormalHanging12a"/>
        <w:rPr>
          <w:b/>
          <w:i/>
          <w:szCs w:val="24"/>
        </w:rPr>
      </w:pPr>
      <w:r w:rsidRPr="005F5D2F">
        <w:rPr>
          <w:b/>
          <w:i/>
        </w:rPr>
        <w:t>Komunikacija</w:t>
      </w:r>
    </w:p>
    <w:p w14:paraId="54DE0CCC" w14:textId="77777777" w:rsidR="00E73E3D" w:rsidRPr="005F5D2F" w:rsidRDefault="00E73E3D" w:rsidP="00E73E3D">
      <w:pPr>
        <w:pStyle w:val="NormalHanging12a"/>
        <w:rPr>
          <w:szCs w:val="24"/>
        </w:rPr>
      </w:pPr>
      <w:r w:rsidRPr="005F5D2F">
        <w:t>60.</w:t>
      </w:r>
      <w:r w:rsidRPr="005F5D2F">
        <w:tab/>
        <w:t>prima na znanje da je proračun za javne komunikacijske i promotivne aktivnosti 2024. iznosio 425 000 EUR, što je povećanje od otprilike 9,20 % u odnosu na 2023.;</w:t>
      </w:r>
    </w:p>
    <w:p w14:paraId="659DC9F8" w14:textId="77777777" w:rsidR="00E73E3D" w:rsidRPr="005F5D2F" w:rsidRDefault="00E73E3D" w:rsidP="00E73E3D">
      <w:pPr>
        <w:pStyle w:val="NormalHanging12a"/>
        <w:rPr>
          <w:szCs w:val="24"/>
        </w:rPr>
      </w:pPr>
      <w:r w:rsidRPr="005F5D2F">
        <w:t>61.</w:t>
      </w:r>
      <w:r w:rsidRPr="005F5D2F">
        <w:tab/>
        <w:t>sa zadovoljstvom napominje da je EDPS 2024. organizirao i sudjelovao u nekoliko komunikacijskih događanja na internetu i uživo u cilju podizanja razine osviještenosti o njegovoj ulozi i misiji u široj javnosti te o važnosti poštovanja pravila Unije o zaštiti podataka, kao što su Dan zaštite podataka, konferencija stažista EDPS-a (dvaput godišnje), sastanak EDPS-a na vrhu o civilnom društvu i Globalna skupština za privatnost;</w:t>
      </w:r>
    </w:p>
    <w:p w14:paraId="715A2374" w14:textId="77777777" w:rsidR="00E73E3D" w:rsidRPr="005F5D2F" w:rsidRDefault="00E73E3D" w:rsidP="00E73E3D">
      <w:pPr>
        <w:pStyle w:val="NormalHanging12a"/>
        <w:rPr>
          <w:szCs w:val="24"/>
        </w:rPr>
      </w:pPr>
      <w:r w:rsidRPr="005F5D2F">
        <w:t>62.</w:t>
      </w:r>
      <w:r w:rsidRPr="005F5D2F">
        <w:tab/>
        <w:t>primjećuje da EDPS na internetu komunicira preko svojih internetskih stranica i računa na društvenim mrežama X (bivši Twitter) (28 800 pratitelja), LinkedIn (82 800 pratitelja), YouTube (3400 pratitelja) i Instagram (300 pratitelja);</w:t>
      </w:r>
    </w:p>
    <w:p w14:paraId="1ACBAF71" w14:textId="6A354C9A" w:rsidR="00E365E1" w:rsidRPr="005F5D2F" w:rsidRDefault="00E73E3D" w:rsidP="005F5D2F">
      <w:pPr>
        <w:ind w:left="567" w:hanging="567"/>
      </w:pPr>
      <w:r w:rsidRPr="005F5D2F">
        <w:t>63.</w:t>
      </w:r>
      <w:r w:rsidRPr="005F5D2F">
        <w:tab/>
        <w:t>napominje da je 2024 završen pilot-projekt za platforme EU-</w:t>
      </w:r>
      <w:proofErr w:type="spellStart"/>
      <w:r w:rsidRPr="005F5D2F">
        <w:t>Voice</w:t>
      </w:r>
      <w:proofErr w:type="spellEnd"/>
      <w:r w:rsidRPr="005F5D2F">
        <w:t xml:space="preserve"> i EU-Video (besplatne društvene mreže otvorenog koda, usmjerene na privatnost, koje se temelje na softverima </w:t>
      </w:r>
      <w:proofErr w:type="spellStart"/>
      <w:r w:rsidRPr="005F5D2F">
        <w:t>Mastodon</w:t>
      </w:r>
      <w:proofErr w:type="spellEnd"/>
      <w:r w:rsidRPr="005F5D2F">
        <w:t xml:space="preserve"> i </w:t>
      </w:r>
      <w:proofErr w:type="spellStart"/>
      <w:r w:rsidRPr="005F5D2F">
        <w:t>PeerTube</w:t>
      </w:r>
      <w:proofErr w:type="spellEnd"/>
      <w:r w:rsidRPr="005F5D2F">
        <w:t xml:space="preserve">); ističe da je EDPS omogućio neometan prelazak za institucije, tijela, urede i agencije Unije koji su željeli zadržati svoje račune te je osigurao kontinuitet za korisnike; napominje da su, na temelju uspjeha tog pilot-projekta, provedene pripreme za nastavak upotrebe softvera </w:t>
      </w:r>
      <w:proofErr w:type="spellStart"/>
      <w:r w:rsidRPr="005F5D2F">
        <w:t>Mastodon</w:t>
      </w:r>
      <w:proofErr w:type="spellEnd"/>
      <w:r w:rsidRPr="005F5D2F">
        <w:t xml:space="preserve"> 2025.; u tom kontekstu pozdravlja doprinos EDPS-a strategiji Unije za podatke i digitalnu suverenost u cilju promicanja neovisnosti Unije u digitalnom svijetu i usklađenosti s pravnim okvirom za zaštitu podataka.</w:t>
      </w:r>
    </w:p>
    <w:sectPr w:rsidR="00E365E1" w:rsidRPr="005F5D2F" w:rsidSect="00744AA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DDC78" w14:textId="77777777" w:rsidR="002B2046" w:rsidRPr="00744AAF" w:rsidRDefault="002B2046">
      <w:r w:rsidRPr="00744AAF">
        <w:separator/>
      </w:r>
    </w:p>
  </w:endnote>
  <w:endnote w:type="continuationSeparator" w:id="0">
    <w:p w14:paraId="216E4C9A" w14:textId="77777777" w:rsidR="002B2046" w:rsidRPr="00744AAF" w:rsidRDefault="002B2046">
      <w:r w:rsidRPr="00744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A925" w14:textId="77777777" w:rsidR="00E73E3D" w:rsidRPr="00744AAF" w:rsidRDefault="00E73E3D" w:rsidP="00FD35F1">
    <w:pPr>
      <w:pStyle w:val="EPFooter"/>
    </w:pPr>
    <w:r w:rsidRPr="00744AAF">
      <w:t>PE</w:t>
    </w:r>
    <w:r w:rsidRPr="00744AAF">
      <w:rPr>
        <w:rStyle w:val="HideTWBExt"/>
      </w:rPr>
      <w:t>&lt;</w:t>
    </w:r>
    <w:proofErr w:type="spellStart"/>
    <w:r w:rsidRPr="00744AAF">
      <w:rPr>
        <w:rStyle w:val="HideTWBExt"/>
      </w:rPr>
      <w:t>NoPE</w:t>
    </w:r>
    <w:proofErr w:type="spellEnd"/>
    <w:r w:rsidRPr="00744AAF">
      <w:rPr>
        <w:rStyle w:val="HideTWBExt"/>
      </w:rPr>
      <w:t>&gt;</w:t>
    </w:r>
    <w:r w:rsidRPr="00744AAF">
      <w:t>778.066</w:t>
    </w:r>
    <w:r w:rsidRPr="00744AAF">
      <w:rPr>
        <w:rStyle w:val="HideTWBExt"/>
      </w:rPr>
      <w:t>&lt;/</w:t>
    </w:r>
    <w:proofErr w:type="spellStart"/>
    <w:r w:rsidRPr="00744AAF">
      <w:rPr>
        <w:rStyle w:val="HideTWBExt"/>
      </w:rPr>
      <w:t>NoPE</w:t>
    </w:r>
    <w:proofErr w:type="spellEnd"/>
    <w:r w:rsidRPr="00744AAF">
      <w:rPr>
        <w:rStyle w:val="HideTWBExt"/>
      </w:rPr>
      <w:t>&gt;&lt;Version&gt;</w:t>
    </w:r>
    <w:r w:rsidRPr="00744AAF">
      <w:t>v02-00</w:t>
    </w:r>
    <w:r w:rsidRPr="00744AAF">
      <w:rPr>
        <w:rStyle w:val="HideTWBExt"/>
      </w:rPr>
      <w:t>&lt;/</w:t>
    </w:r>
    <w:proofErr w:type="spellStart"/>
    <w:r w:rsidRPr="00744AAF">
      <w:rPr>
        <w:rStyle w:val="HideTWBExt"/>
      </w:rPr>
      <w:t>Version</w:t>
    </w:r>
    <w:proofErr w:type="spellEnd"/>
    <w:r w:rsidRPr="00744AAF">
      <w:rPr>
        <w:rStyle w:val="HideTWBExt"/>
      </w:rPr>
      <w:t>&gt;</w:t>
    </w:r>
    <w:r w:rsidRPr="00744AAF">
      <w:tab/>
    </w:r>
    <w:r w:rsidRPr="00744AAF">
      <w:fldChar w:fldCharType="begin"/>
    </w:r>
    <w:r w:rsidRPr="00744AAF">
      <w:instrText xml:space="preserve"> PAGE  \* MERGEFORMAT </w:instrText>
    </w:r>
    <w:r w:rsidRPr="00744AAF">
      <w:fldChar w:fldCharType="separate"/>
    </w:r>
    <w:r w:rsidRPr="00744AAF">
      <w:rPr>
        <w:noProof/>
      </w:rPr>
      <w:t>2</w:t>
    </w:r>
    <w:r w:rsidRPr="00744AAF">
      <w:fldChar w:fldCharType="end"/>
    </w:r>
    <w:r w:rsidRPr="00744AAF">
      <w:t>/</w:t>
    </w:r>
    <w:fldSimple w:instr=" NUMPAGES  \* MERGEFORMAT ">
      <w:r w:rsidRPr="00744AAF">
        <w:rPr>
          <w:noProof/>
        </w:rPr>
        <w:t>4</w:t>
      </w:r>
    </w:fldSimple>
    <w:r w:rsidRPr="00744AAF">
      <w:tab/>
    </w:r>
    <w:r w:rsidRPr="00744AAF">
      <w:rPr>
        <w:rStyle w:val="HideTWBExt"/>
      </w:rPr>
      <w:t>&lt;PathFdR&gt;</w:t>
    </w:r>
    <w:r w:rsidRPr="00744AAF">
      <w:t>RR\1339480HR.docx</w:t>
    </w:r>
    <w:r w:rsidRPr="00744AAF">
      <w:rPr>
        <w:rStyle w:val="HideTWBExt"/>
      </w:rPr>
      <w:t>&lt;/</w:t>
    </w:r>
    <w:proofErr w:type="spellStart"/>
    <w:r w:rsidRPr="00744AAF">
      <w:rPr>
        <w:rStyle w:val="HideTWBExt"/>
      </w:rPr>
      <w:t>PathFdR</w:t>
    </w:r>
    <w:proofErr w:type="spellEnd"/>
    <w:r w:rsidRPr="00744AAF">
      <w:rPr>
        <w:rStyle w:val="HideTWBExt"/>
      </w:rPr>
      <w:t>&gt;</w:t>
    </w:r>
  </w:p>
  <w:p w14:paraId="4F1C9AB3" w14:textId="77777777" w:rsidR="00E73E3D" w:rsidRPr="00744AAF" w:rsidRDefault="00E73E3D" w:rsidP="00FD35F1">
    <w:pPr>
      <w:pStyle w:val="EPFooter2"/>
    </w:pPr>
    <w:r w:rsidRPr="00744AAF">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5F6B" w14:textId="77777777" w:rsidR="00E73E3D" w:rsidRPr="00744AAF" w:rsidRDefault="00E73E3D" w:rsidP="00FD35F1">
    <w:pPr>
      <w:pStyle w:val="EPFooter"/>
    </w:pPr>
    <w:r w:rsidRPr="00744AAF">
      <w:rPr>
        <w:rStyle w:val="HideTWBExt"/>
      </w:rPr>
      <w:t>&lt;PathFdR&gt;</w:t>
    </w:r>
    <w:r w:rsidRPr="00744AAF">
      <w:t>RR\1339480HR.docx</w:t>
    </w:r>
    <w:r w:rsidRPr="00744AAF">
      <w:rPr>
        <w:rStyle w:val="HideTWBExt"/>
      </w:rPr>
      <w:t>&lt;/</w:t>
    </w:r>
    <w:proofErr w:type="spellStart"/>
    <w:r w:rsidRPr="00744AAF">
      <w:rPr>
        <w:rStyle w:val="HideTWBExt"/>
      </w:rPr>
      <w:t>PathFdR</w:t>
    </w:r>
    <w:proofErr w:type="spellEnd"/>
    <w:r w:rsidRPr="00744AAF">
      <w:rPr>
        <w:rStyle w:val="HideTWBExt"/>
      </w:rPr>
      <w:t>&gt;</w:t>
    </w:r>
    <w:r w:rsidRPr="00744AAF">
      <w:tab/>
    </w:r>
    <w:r w:rsidRPr="00744AAF">
      <w:tab/>
      <w:t>PE</w:t>
    </w:r>
    <w:r w:rsidRPr="00744AAF">
      <w:rPr>
        <w:rStyle w:val="HideTWBExt"/>
      </w:rPr>
      <w:t>&lt;</w:t>
    </w:r>
    <w:proofErr w:type="spellStart"/>
    <w:r w:rsidRPr="00744AAF">
      <w:rPr>
        <w:rStyle w:val="HideTWBExt"/>
      </w:rPr>
      <w:t>NoPE</w:t>
    </w:r>
    <w:proofErr w:type="spellEnd"/>
    <w:r w:rsidRPr="00744AAF">
      <w:rPr>
        <w:rStyle w:val="HideTWBExt"/>
      </w:rPr>
      <w:t>&gt;</w:t>
    </w:r>
    <w:r w:rsidRPr="00744AAF">
      <w:t>778.066</w:t>
    </w:r>
    <w:r w:rsidRPr="00744AAF">
      <w:rPr>
        <w:rStyle w:val="HideTWBExt"/>
      </w:rPr>
      <w:t>&lt;/</w:t>
    </w:r>
    <w:proofErr w:type="spellStart"/>
    <w:r w:rsidRPr="00744AAF">
      <w:rPr>
        <w:rStyle w:val="HideTWBExt"/>
      </w:rPr>
      <w:t>NoPE</w:t>
    </w:r>
    <w:proofErr w:type="spellEnd"/>
    <w:r w:rsidRPr="00744AAF">
      <w:rPr>
        <w:rStyle w:val="HideTWBExt"/>
      </w:rPr>
      <w:t>&gt;&lt;Version&gt;</w:t>
    </w:r>
    <w:r w:rsidRPr="00744AAF">
      <w:t>v02-00</w:t>
    </w:r>
    <w:r w:rsidRPr="00744AAF">
      <w:rPr>
        <w:rStyle w:val="HideTWBExt"/>
      </w:rPr>
      <w:t>&lt;/</w:t>
    </w:r>
    <w:proofErr w:type="spellStart"/>
    <w:r w:rsidRPr="00744AAF">
      <w:rPr>
        <w:rStyle w:val="HideTWBExt"/>
      </w:rPr>
      <w:t>Version</w:t>
    </w:r>
    <w:proofErr w:type="spellEnd"/>
    <w:r w:rsidRPr="00744AAF">
      <w:rPr>
        <w:rStyle w:val="HideTWBExt"/>
      </w:rPr>
      <w:t>&gt;</w:t>
    </w:r>
  </w:p>
  <w:p w14:paraId="1D107154" w14:textId="77777777" w:rsidR="00E73E3D" w:rsidRPr="00744AAF" w:rsidRDefault="00E73E3D" w:rsidP="00FD35F1">
    <w:pPr>
      <w:pStyle w:val="EPFooter2"/>
    </w:pPr>
    <w:r w:rsidRPr="00744AAF">
      <w:t>HR</w:t>
    </w:r>
    <w:r w:rsidRPr="00744AAF">
      <w:tab/>
    </w:r>
    <w:r w:rsidRPr="00744AAF">
      <w:rPr>
        <w:b w:val="0"/>
        <w:i/>
        <w:color w:val="C0C0C0"/>
        <w:sz w:val="22"/>
      </w:rPr>
      <w:t>Ujedinjena u raznolikosti</w:t>
    </w:r>
    <w:r w:rsidRPr="00744AAF">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5AE6" w14:textId="77777777" w:rsidR="00064002" w:rsidRPr="00744AA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E2DC" w14:textId="77777777" w:rsidR="00064002" w:rsidRPr="00744AA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1A4D" w14:textId="77777777" w:rsidR="00064002" w:rsidRPr="00744A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D62EF" w14:textId="77777777" w:rsidR="002B2046" w:rsidRPr="00744AAF" w:rsidRDefault="002B2046">
      <w:r w:rsidRPr="00744AAF">
        <w:separator/>
      </w:r>
    </w:p>
  </w:footnote>
  <w:footnote w:type="continuationSeparator" w:id="0">
    <w:p w14:paraId="1E362F23" w14:textId="77777777" w:rsidR="002B2046" w:rsidRPr="00744AAF" w:rsidRDefault="002B2046">
      <w:r w:rsidRPr="00744AAF">
        <w:continuationSeparator/>
      </w:r>
    </w:p>
  </w:footnote>
  <w:footnote w:id="1">
    <w:p w14:paraId="20CD70D3" w14:textId="534CB712"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SL L</w:t>
      </w:r>
      <w:r w:rsidR="0039125A">
        <w:rPr>
          <w:sz w:val="24"/>
          <w:lang w:val="hr-HR"/>
        </w:rPr>
        <w:t>,</w:t>
      </w:r>
      <w:r w:rsidRPr="00744AAF">
        <w:rPr>
          <w:sz w:val="24"/>
          <w:lang w:val="hr-HR"/>
        </w:rPr>
        <w:t> </w:t>
      </w:r>
      <w:r w:rsidR="00243BED">
        <w:rPr>
          <w:sz w:val="24"/>
          <w:lang w:val="hr-HR"/>
        </w:rPr>
        <w:t>2024/</w:t>
      </w:r>
      <w:r w:rsidRPr="00744AAF">
        <w:rPr>
          <w:sz w:val="24"/>
          <w:lang w:val="hr-HR"/>
        </w:rPr>
        <w:t xml:space="preserve">207, 22.2.2024., ELI: </w:t>
      </w:r>
      <w:hyperlink r:id="rId1" w:history="1">
        <w:r w:rsidRPr="00744AAF">
          <w:rPr>
            <w:rStyle w:val="Hyperlink"/>
            <w:sz w:val="24"/>
            <w:lang w:val="hr-HR"/>
          </w:rPr>
          <w:t>http://data.europa.eu/eli/budget/2024/207/oj</w:t>
        </w:r>
      </w:hyperlink>
      <w:r w:rsidRPr="00744AAF">
        <w:rPr>
          <w:sz w:val="24"/>
          <w:lang w:val="hr-HR"/>
        </w:rPr>
        <w:t>.</w:t>
      </w:r>
    </w:p>
  </w:footnote>
  <w:footnote w:id="2">
    <w:p w14:paraId="046E080D" w14:textId="179981B5"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SL C, C/2025/4944, 13.10.2025., ELI: </w:t>
      </w:r>
      <w:hyperlink r:id="rId2" w:tgtFrame="_blank" w:tooltip="ELI URI za pristup dokumentu." w:history="1">
        <w:r w:rsidRPr="00744AAF">
          <w:rPr>
            <w:rStyle w:val="Hyperlink"/>
            <w:sz w:val="24"/>
            <w:lang w:val="hr-HR"/>
          </w:rPr>
          <w:t>http://data.europa.eu/eli/C/2025/4944/oj</w:t>
        </w:r>
      </w:hyperlink>
      <w:r w:rsidRPr="00744AAF">
        <w:rPr>
          <w:sz w:val="24"/>
          <w:lang w:val="hr-HR"/>
        </w:rPr>
        <w:t>.</w:t>
      </w:r>
    </w:p>
  </w:footnote>
  <w:footnote w:id="3">
    <w:p w14:paraId="0C379372" w14:textId="002650A1"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 xml:space="preserve">SL C, C/2025/5409, 8.10.2025., ELI: </w:t>
      </w:r>
      <w:hyperlink r:id="rId3" w:history="1">
        <w:r w:rsidRPr="00744AAF">
          <w:rPr>
            <w:rStyle w:val="Hyperlink"/>
            <w:sz w:val="24"/>
            <w:lang w:val="hr-HR"/>
          </w:rPr>
          <w:t>http://data.europa.eu/eli/C/2025/5409/oj</w:t>
        </w:r>
      </w:hyperlink>
      <w:r w:rsidRPr="00744AAF">
        <w:rPr>
          <w:sz w:val="24"/>
          <w:lang w:val="hr-HR"/>
        </w:rPr>
        <w:t>.</w:t>
      </w:r>
    </w:p>
  </w:footnote>
  <w:footnote w:id="4">
    <w:p w14:paraId="4B204325" w14:textId="0825B418"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 xml:space="preserve">SL C, C/2025/5407, 13.10.2025., ELI: </w:t>
      </w:r>
      <w:hyperlink r:id="rId4" w:history="1">
        <w:r w:rsidRPr="00744AAF">
          <w:rPr>
            <w:rStyle w:val="Hyperlink"/>
            <w:sz w:val="24"/>
            <w:lang w:val="hr-HR"/>
          </w:rPr>
          <w:t>http://data.europa.eu/eli/C/2025/5407/oj</w:t>
        </w:r>
      </w:hyperlink>
      <w:r w:rsidRPr="00744AAF">
        <w:rPr>
          <w:sz w:val="24"/>
          <w:lang w:val="hr-HR"/>
        </w:rPr>
        <w:t>.</w:t>
      </w:r>
    </w:p>
  </w:footnote>
  <w:footnote w:id="5">
    <w:p w14:paraId="2FBCCE44" w14:textId="63BD74B6"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SL L 193, 30.7.2018., str. </w:t>
      </w:r>
      <w:r w:rsidRPr="00744AAF">
        <w:rPr>
          <w:sz w:val="24"/>
          <w:lang w:val="hr-HR"/>
        </w:rPr>
        <w:t xml:space="preserve">1., ELI: </w:t>
      </w:r>
      <w:hyperlink r:id="rId5" w:history="1">
        <w:r w:rsidRPr="00744AAF">
          <w:rPr>
            <w:rStyle w:val="Hyperlink"/>
            <w:sz w:val="24"/>
            <w:lang w:val="hr-HR"/>
          </w:rPr>
          <w:t>http://data.europa.eu/eli/reg/2018/1046/oj</w:t>
        </w:r>
      </w:hyperlink>
      <w:r w:rsidRPr="00744AAF">
        <w:rPr>
          <w:sz w:val="24"/>
          <w:lang w:val="hr-HR"/>
        </w:rPr>
        <w:t>.</w:t>
      </w:r>
    </w:p>
  </w:footnote>
  <w:footnote w:id="6">
    <w:p w14:paraId="7941C8C9" w14:textId="2C12AE04"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 xml:space="preserve">SL L, 2024/2509, 26.9.2024., ELI: </w:t>
      </w:r>
      <w:hyperlink r:id="rId6" w:history="1">
        <w:r w:rsidRPr="00744AAF">
          <w:rPr>
            <w:rStyle w:val="Hyperlink"/>
            <w:sz w:val="24"/>
            <w:lang w:val="hr-HR"/>
          </w:rPr>
          <w:t>http://data.europa.eu/eli/reg/2024/2509/oj</w:t>
        </w:r>
      </w:hyperlink>
      <w:r w:rsidRPr="00744AAF">
        <w:rPr>
          <w:sz w:val="24"/>
          <w:lang w:val="hr-HR"/>
        </w:rPr>
        <w:t>.</w:t>
      </w:r>
    </w:p>
  </w:footnote>
  <w:footnote w:id="7">
    <w:p w14:paraId="6BC0CF29" w14:textId="23B204FE"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SL L 295, 21.11.2018., str. </w:t>
      </w:r>
      <w:r w:rsidRPr="00744AAF">
        <w:rPr>
          <w:sz w:val="24"/>
          <w:lang w:val="hr-HR"/>
        </w:rPr>
        <w:t xml:space="preserve">39., ELI: </w:t>
      </w:r>
      <w:hyperlink r:id="rId7" w:history="1">
        <w:r w:rsidRPr="00744AAF">
          <w:rPr>
            <w:rStyle w:val="Hyperlink"/>
            <w:sz w:val="24"/>
            <w:lang w:val="hr-HR"/>
          </w:rPr>
          <w:t>http://data.europa.eu/eli/reg/2018/1725/oj</w:t>
        </w:r>
      </w:hyperlink>
      <w:r w:rsidRPr="00744AAF">
        <w:rPr>
          <w:sz w:val="24"/>
          <w:lang w:val="hr-HR"/>
        </w:rPr>
        <w:t>.</w:t>
      </w:r>
    </w:p>
  </w:footnote>
  <w:footnote w:id="8">
    <w:p w14:paraId="5ED859BE" w14:textId="763CC74C"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Uredba (EU) 2024/1689 Europskog parlamenta i Vijeća od 13. lipnja 2024. o utvrđivanju usklađenih pravila o umjetnoj inteligenciji i o izmjeni uredaba (EZ) br. 300/2008, (EU) br. 167/2013, (EU) br. </w:t>
      </w:r>
      <w:r w:rsidRPr="00744AAF">
        <w:rPr>
          <w:sz w:val="24"/>
          <w:lang w:val="hr-HR"/>
        </w:rPr>
        <w:t xml:space="preserve">168/2013, (EU) 2018/858, (EU) 2018/1139 i (EU) 2019/2144 te direktiva 2014/90/EU, (EU) 2016/797 i (EU) 2020/1828 (Akt o umjetnoj inteligenciji) (SL L, 2024/1689, 12.7.2024., ELI: </w:t>
      </w:r>
      <w:hyperlink r:id="rId8" w:history="1">
        <w:r w:rsidRPr="00744AAF">
          <w:rPr>
            <w:rStyle w:val="Hyperlink"/>
            <w:sz w:val="24"/>
            <w:lang w:val="hr-HR"/>
          </w:rPr>
          <w:t>http://data.europa.eu/eli/reg/2024/1689/oj</w:t>
        </w:r>
      </w:hyperlink>
      <w:r w:rsidRPr="00744AAF">
        <w:rPr>
          <w:sz w:val="24"/>
          <w:lang w:val="hr-HR"/>
        </w:rPr>
        <w:t>).</w:t>
      </w:r>
    </w:p>
  </w:footnote>
  <w:footnote w:id="9">
    <w:p w14:paraId="2CF7C5FC" w14:textId="3DED43DD"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Uredba (EU) 2016/794 Europskog parlamenta i Vijeća od 11. svibnja 2016. o Agenciji Europske unije za suradnju tijela za izvršavanje zakonodavstva (</w:t>
      </w:r>
      <w:proofErr w:type="spellStart"/>
      <w:r w:rsidRPr="00744AAF">
        <w:rPr>
          <w:sz w:val="24"/>
          <w:lang w:val="hr-HR"/>
        </w:rPr>
        <w:t>Europol</w:t>
      </w:r>
      <w:proofErr w:type="spellEnd"/>
      <w:r w:rsidRPr="00744AAF">
        <w:rPr>
          <w:sz w:val="24"/>
          <w:lang w:val="hr-HR"/>
        </w:rPr>
        <w:t>) te zamjeni i stavljanju izvan snage odluka Vijeća 2009/371/PUP, 2009/934/PUP, 2009/935/PUP, 2009/936/PUP i 2009/968/PUP (SL L 135, 24.5.2016., str. </w:t>
      </w:r>
      <w:r w:rsidRPr="00744AAF">
        <w:rPr>
          <w:sz w:val="24"/>
          <w:lang w:val="hr-HR"/>
        </w:rPr>
        <w:t xml:space="preserve">53., ELI: </w:t>
      </w:r>
      <w:hyperlink r:id="rId9" w:history="1">
        <w:r w:rsidRPr="00744AAF">
          <w:rPr>
            <w:rStyle w:val="Hyperlink"/>
            <w:sz w:val="24"/>
            <w:lang w:val="hr-HR"/>
          </w:rPr>
          <w:t>http://data.europa.eu/eli/reg/2016/794/oj</w:t>
        </w:r>
      </w:hyperlink>
      <w:r w:rsidRPr="00744AAF">
        <w:rPr>
          <w:sz w:val="24"/>
          <w:lang w:val="hr-HR"/>
        </w:rPr>
        <w:t>).</w:t>
      </w:r>
    </w:p>
  </w:footnote>
  <w:footnote w:id="10">
    <w:p w14:paraId="387326F8" w14:textId="13DF759A"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Rješenje Općeg suda od 6. rujna 2023., EDPS/Parlament i Vijeće, T-578/22, ECLI:EU:T:2023:522.</w:t>
      </w:r>
    </w:p>
  </w:footnote>
  <w:footnote w:id="11">
    <w:p w14:paraId="34AACA71" w14:textId="27BBEEEA"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Uredba (EU) 2022/1925 Europskog parlamenta i Vijeća od 14. rujna 2022. o pravednim tržištima s mogućnošću neograničenog tržišnog natjecanja u digitalnom sektoru i izmjeni direktiva (EU) 2019/1937 i (EU) 2020/1828 (Akt o digitalnim tržištima) (SL L 265, 12.10.2022., str. </w:t>
      </w:r>
      <w:r w:rsidRPr="00744AAF">
        <w:rPr>
          <w:sz w:val="24"/>
          <w:lang w:val="hr-HR"/>
        </w:rPr>
        <w:t xml:space="preserve">1., ELI: </w:t>
      </w:r>
      <w:hyperlink r:id="rId10" w:history="1">
        <w:r w:rsidRPr="00744AAF">
          <w:rPr>
            <w:rStyle w:val="Hyperlink"/>
            <w:sz w:val="24"/>
            <w:lang w:val="hr-HR"/>
          </w:rPr>
          <w:t>http://data.europa.eu/eli/reg/2022/1925/oj</w:t>
        </w:r>
      </w:hyperlink>
      <w:r w:rsidRPr="00744AAF">
        <w:rPr>
          <w:sz w:val="24"/>
          <w:lang w:val="hr-HR"/>
        </w:rPr>
        <w:t>).</w:t>
      </w:r>
    </w:p>
  </w:footnote>
  <w:footnote w:id="12">
    <w:p w14:paraId="17251C6E" w14:textId="181FDE57" w:rsidR="00E73E3D" w:rsidRPr="00744AAF" w:rsidRDefault="00E73E3D" w:rsidP="00744AAF">
      <w:pPr>
        <w:pStyle w:val="FootnoteText"/>
        <w:ind w:left="567" w:hanging="567"/>
        <w:rPr>
          <w:sz w:val="24"/>
          <w:lang w:val="hr-HR"/>
        </w:rPr>
      </w:pPr>
      <w:r w:rsidRPr="00744AAF">
        <w:rPr>
          <w:rStyle w:val="FootnoteReference"/>
          <w:sz w:val="24"/>
          <w:lang w:val="hr-HR"/>
        </w:rPr>
        <w:footnoteRef/>
      </w:r>
      <w:r w:rsidR="00744AAF" w:rsidRPr="00744AAF">
        <w:rPr>
          <w:sz w:val="24"/>
          <w:lang w:val="hr-HR"/>
        </w:rPr>
        <w:t xml:space="preserve"> </w:t>
      </w:r>
      <w:r w:rsidR="00744AAF" w:rsidRPr="00744AAF">
        <w:rPr>
          <w:sz w:val="24"/>
          <w:lang w:val="hr-HR"/>
        </w:rPr>
        <w:tab/>
      </w:r>
      <w:r w:rsidRPr="00744AAF">
        <w:rPr>
          <w:sz w:val="24"/>
          <w:lang w:val="hr-HR"/>
        </w:rPr>
        <w:t>Uredba (EU) 2016/679 Europskog parlamenta i Vijeća od 27. travnja 2016. o zaštiti pojedinaca u vezi s obradom osobnih podataka i o slobodnom kretanju takvih podataka te o stavljanju izvan snage Direktive 95/46/EZ (Opća uredba o zaštiti podataka) (SL L 119, 4.5.2016., str. </w:t>
      </w:r>
      <w:r w:rsidRPr="00744AAF">
        <w:rPr>
          <w:sz w:val="24"/>
          <w:lang w:val="hr-HR"/>
        </w:rPr>
        <w:t xml:space="preserve">1., ELI: </w:t>
      </w:r>
      <w:hyperlink r:id="rId11" w:history="1">
        <w:r w:rsidRPr="00744AAF">
          <w:rPr>
            <w:rStyle w:val="Hyperlink"/>
            <w:sz w:val="24"/>
            <w:lang w:val="hr-HR"/>
          </w:rPr>
          <w:t>http://data.europa.eu/eli/reg/2016/679/oj</w:t>
        </w:r>
      </w:hyperlink>
      <w:r w:rsidRPr="00744AAF">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A61AA" w14:textId="77777777" w:rsidR="00064002" w:rsidRPr="00744A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66F96" w14:textId="77777777" w:rsidR="00064002" w:rsidRPr="00744A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31379" w14:textId="77777777" w:rsidR="00064002" w:rsidRPr="00744A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3680009">
    <w:abstractNumId w:val="9"/>
  </w:num>
  <w:num w:numId="2" w16cid:durableId="267736116">
    <w:abstractNumId w:val="9"/>
  </w:num>
  <w:num w:numId="3" w16cid:durableId="524365251">
    <w:abstractNumId w:val="7"/>
  </w:num>
  <w:num w:numId="4" w16cid:durableId="181406371">
    <w:abstractNumId w:val="7"/>
  </w:num>
  <w:num w:numId="5" w16cid:durableId="695617243">
    <w:abstractNumId w:val="6"/>
  </w:num>
  <w:num w:numId="6" w16cid:durableId="1409494889">
    <w:abstractNumId w:val="6"/>
  </w:num>
  <w:num w:numId="7" w16cid:durableId="597909596">
    <w:abstractNumId w:val="5"/>
  </w:num>
  <w:num w:numId="8" w16cid:durableId="1186362456">
    <w:abstractNumId w:val="5"/>
  </w:num>
  <w:num w:numId="9" w16cid:durableId="1144929919">
    <w:abstractNumId w:val="4"/>
  </w:num>
  <w:num w:numId="10" w16cid:durableId="1010453952">
    <w:abstractNumId w:val="4"/>
  </w:num>
  <w:num w:numId="11" w16cid:durableId="1044448728">
    <w:abstractNumId w:val="8"/>
  </w:num>
  <w:num w:numId="12" w16cid:durableId="1227061409">
    <w:abstractNumId w:val="8"/>
  </w:num>
  <w:num w:numId="13" w16cid:durableId="473453935">
    <w:abstractNumId w:val="3"/>
  </w:num>
  <w:num w:numId="14" w16cid:durableId="217979915">
    <w:abstractNumId w:val="3"/>
  </w:num>
  <w:num w:numId="15" w16cid:durableId="1743673455">
    <w:abstractNumId w:val="2"/>
  </w:num>
  <w:num w:numId="16" w16cid:durableId="1610510190">
    <w:abstractNumId w:val="2"/>
  </w:num>
  <w:num w:numId="17" w16cid:durableId="699010264">
    <w:abstractNumId w:val="1"/>
  </w:num>
  <w:num w:numId="18" w16cid:durableId="541599280">
    <w:abstractNumId w:val="1"/>
  </w:num>
  <w:num w:numId="19" w16cid:durableId="2091539052">
    <w:abstractNumId w:val="0"/>
  </w:num>
  <w:num w:numId="20" w16cid:durableId="1048645398">
    <w:abstractNumId w:val="0"/>
  </w:num>
  <w:num w:numId="21" w16cid:durableId="1367678408">
    <w:abstractNumId w:val="9"/>
  </w:num>
  <w:num w:numId="22" w16cid:durableId="969870251">
    <w:abstractNumId w:val="7"/>
  </w:num>
  <w:num w:numId="23" w16cid:durableId="2127311296">
    <w:abstractNumId w:val="6"/>
  </w:num>
  <w:num w:numId="24" w16cid:durableId="910117125">
    <w:abstractNumId w:val="5"/>
  </w:num>
  <w:num w:numId="25" w16cid:durableId="1546411533">
    <w:abstractNumId w:val="4"/>
  </w:num>
  <w:num w:numId="26" w16cid:durableId="1440028288">
    <w:abstractNumId w:val="8"/>
  </w:num>
  <w:num w:numId="27" w16cid:durableId="19019262">
    <w:abstractNumId w:val="3"/>
  </w:num>
  <w:num w:numId="28" w16cid:durableId="2104495928">
    <w:abstractNumId w:val="2"/>
  </w:num>
  <w:num w:numId="29" w16cid:durableId="2123063573">
    <w:abstractNumId w:val="1"/>
  </w:num>
  <w:num w:numId="30" w16cid:durableId="1438132540">
    <w:abstractNumId w:val="0"/>
  </w:num>
  <w:num w:numId="31" w16cid:durableId="342588580">
    <w:abstractNumId w:val="9"/>
  </w:num>
  <w:num w:numId="32" w16cid:durableId="1069379501">
    <w:abstractNumId w:val="7"/>
  </w:num>
  <w:num w:numId="33" w16cid:durableId="1731924087">
    <w:abstractNumId w:val="6"/>
  </w:num>
  <w:num w:numId="34" w16cid:durableId="150871898">
    <w:abstractNumId w:val="5"/>
  </w:num>
  <w:num w:numId="35" w16cid:durableId="1832408528">
    <w:abstractNumId w:val="4"/>
  </w:num>
  <w:num w:numId="36" w16cid:durableId="1476988240">
    <w:abstractNumId w:val="8"/>
  </w:num>
  <w:num w:numId="37" w16cid:durableId="633562426">
    <w:abstractNumId w:val="3"/>
  </w:num>
  <w:num w:numId="38" w16cid:durableId="1991404106">
    <w:abstractNumId w:val="2"/>
  </w:num>
  <w:num w:numId="39" w16cid:durableId="1305622007">
    <w:abstractNumId w:val="1"/>
  </w:num>
  <w:num w:numId="40" w16cid:durableId="1824732116">
    <w:abstractNumId w:val="0"/>
  </w:num>
  <w:num w:numId="41" w16cid:durableId="1594390892">
    <w:abstractNumId w:val="10"/>
  </w:num>
  <w:num w:numId="42" w16cid:durableId="918444084">
    <w:abstractNumId w:val="10"/>
  </w:num>
  <w:num w:numId="43" w16cid:durableId="166679224">
    <w:abstractNumId w:val="10"/>
  </w:num>
  <w:num w:numId="44" w16cid:durableId="4013728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HR"/>
    <w:docVar w:name="dvnumam" w:val="0"/>
    <w:docVar w:name="dvpe" w:val="778.066"/>
    <w:docVar w:name="dvrapporteur" w:val="Izvjestitelj: "/>
    <w:docVar w:name="dvtitre" w:val="Odluka Europskog parlamenta od .... 2026. o razrješnici za izvršenje općeg proračuna Europske unije za financijsku godinu 2024., dio IX. – Europski nadzornik za zaštitu podataka(2025/2154(DEC))"/>
  </w:docVars>
  <w:rsids>
    <w:rsidRoot w:val="002B2046"/>
    <w:rsid w:val="00002272"/>
    <w:rsid w:val="00064002"/>
    <w:rsid w:val="000677B9"/>
    <w:rsid w:val="000831BA"/>
    <w:rsid w:val="000A42CC"/>
    <w:rsid w:val="000A795E"/>
    <w:rsid w:val="000E7DD9"/>
    <w:rsid w:val="0010095E"/>
    <w:rsid w:val="00125B37"/>
    <w:rsid w:val="00187494"/>
    <w:rsid w:val="001F32AE"/>
    <w:rsid w:val="00243BED"/>
    <w:rsid w:val="002767FF"/>
    <w:rsid w:val="002B18FE"/>
    <w:rsid w:val="002B2046"/>
    <w:rsid w:val="002B5493"/>
    <w:rsid w:val="00343214"/>
    <w:rsid w:val="00361C00"/>
    <w:rsid w:val="0039125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647"/>
    <w:rsid w:val="005F1B17"/>
    <w:rsid w:val="005F5D2F"/>
    <w:rsid w:val="006037C0"/>
    <w:rsid w:val="006631B6"/>
    <w:rsid w:val="00680577"/>
    <w:rsid w:val="006F74FA"/>
    <w:rsid w:val="00731ADD"/>
    <w:rsid w:val="00734777"/>
    <w:rsid w:val="00744AA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2F2"/>
    <w:rsid w:val="009D712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A77"/>
    <w:rsid w:val="00C05BFE"/>
    <w:rsid w:val="00C23CD4"/>
    <w:rsid w:val="00C61C0C"/>
    <w:rsid w:val="00C7628B"/>
    <w:rsid w:val="00C941CB"/>
    <w:rsid w:val="00CC2357"/>
    <w:rsid w:val="00CF071A"/>
    <w:rsid w:val="00D058B8"/>
    <w:rsid w:val="00D56C11"/>
    <w:rsid w:val="00D834A0"/>
    <w:rsid w:val="00D872DF"/>
    <w:rsid w:val="00D91E21"/>
    <w:rsid w:val="00DA7FCD"/>
    <w:rsid w:val="00E365E1"/>
    <w:rsid w:val="00E73E3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24C6B6"/>
  <w15:chartTrackingRefBased/>
  <w15:docId w15:val="{B1DDCC95-95C7-48AE-9FD5-A8838CD5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3E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3E3D"/>
    <w:pPr>
      <w:spacing w:before="480" w:after="240"/>
    </w:pPr>
  </w:style>
  <w:style w:type="paragraph" w:customStyle="1" w:styleId="PageHeading">
    <w:name w:val="PageHeading"/>
    <w:basedOn w:val="Normal"/>
    <w:rsid w:val="00E73E3D"/>
    <w:pPr>
      <w:keepNext/>
      <w:spacing w:after="480"/>
      <w:jc w:val="center"/>
    </w:pPr>
    <w:rPr>
      <w:rFonts w:ascii="Arial" w:hAnsi="Arial" w:cs="Arial"/>
      <w:b/>
    </w:rPr>
  </w:style>
  <w:style w:type="paragraph" w:customStyle="1" w:styleId="NormalBold">
    <w:name w:val="NormalBold"/>
    <w:basedOn w:val="Normal"/>
    <w:rsid w:val="00E73E3D"/>
    <w:rPr>
      <w:b/>
    </w:rPr>
  </w:style>
  <w:style w:type="paragraph" w:customStyle="1" w:styleId="NormalHanging12a">
    <w:name w:val="NormalHanging12a"/>
    <w:basedOn w:val="Normal"/>
    <w:link w:val="NormalHanging12aChar"/>
    <w:qFormat/>
    <w:rsid w:val="00E73E3D"/>
    <w:pPr>
      <w:spacing w:after="240"/>
      <w:ind w:left="567" w:hanging="567"/>
    </w:pPr>
  </w:style>
  <w:style w:type="paragraph" w:styleId="Header">
    <w:name w:val="header"/>
    <w:basedOn w:val="Normal"/>
    <w:link w:val="HeaderChar"/>
    <w:rsid w:val="00E73E3D"/>
    <w:pPr>
      <w:tabs>
        <w:tab w:val="center" w:pos="4513"/>
        <w:tab w:val="right" w:pos="9026"/>
      </w:tabs>
    </w:pPr>
  </w:style>
  <w:style w:type="character" w:customStyle="1" w:styleId="HeaderChar">
    <w:name w:val="Header Char"/>
    <w:basedOn w:val="DefaultParagraphFont"/>
    <w:link w:val="Header"/>
    <w:rsid w:val="00E73E3D"/>
    <w:rPr>
      <w:sz w:val="24"/>
      <w:lang w:val="hr-HR"/>
    </w:rPr>
  </w:style>
  <w:style w:type="paragraph" w:customStyle="1" w:styleId="EPFooter">
    <w:name w:val="EPFooter"/>
    <w:basedOn w:val="Normal"/>
    <w:rsid w:val="00E73E3D"/>
    <w:pPr>
      <w:tabs>
        <w:tab w:val="center" w:pos="4535"/>
        <w:tab w:val="right" w:pos="9071"/>
      </w:tabs>
      <w:spacing w:before="240" w:after="240"/>
    </w:pPr>
    <w:rPr>
      <w:color w:val="010000"/>
      <w:sz w:val="22"/>
    </w:rPr>
  </w:style>
  <w:style w:type="character" w:styleId="Hyperlink">
    <w:name w:val="Hyperlink"/>
    <w:basedOn w:val="DefaultParagraphFont"/>
    <w:rsid w:val="00E73E3D"/>
    <w:rPr>
      <w:color w:val="0563C1" w:themeColor="hyperlink"/>
      <w:u w:val="single"/>
    </w:rPr>
  </w:style>
  <w:style w:type="character" w:customStyle="1" w:styleId="NormalHanging12aChar">
    <w:name w:val="NormalHanging12a Char"/>
    <w:basedOn w:val="DefaultParagraphFont"/>
    <w:link w:val="NormalHanging12a"/>
    <w:locked/>
    <w:rsid w:val="00E73E3D"/>
    <w:rPr>
      <w:sz w:val="24"/>
      <w:lang w:val="hr-HR"/>
    </w:rPr>
  </w:style>
  <w:style w:type="paragraph" w:styleId="Footer">
    <w:name w:val="footer"/>
    <w:basedOn w:val="Normal"/>
    <w:link w:val="FooterChar"/>
    <w:rsid w:val="005F5D2F"/>
    <w:pPr>
      <w:tabs>
        <w:tab w:val="center" w:pos="4513"/>
        <w:tab w:val="right" w:pos="9026"/>
      </w:tabs>
    </w:pPr>
  </w:style>
  <w:style w:type="character" w:customStyle="1" w:styleId="FooterChar">
    <w:name w:val="Footer Char"/>
    <w:basedOn w:val="DefaultParagraphFont"/>
    <w:link w:val="Footer"/>
    <w:rsid w:val="005F5D2F"/>
    <w:rPr>
      <w:sz w:val="24"/>
      <w:lang w:val="hr-HR"/>
    </w:rPr>
  </w:style>
  <w:style w:type="paragraph" w:styleId="Revision">
    <w:name w:val="Revision"/>
    <w:hidden/>
    <w:uiPriority w:val="99"/>
    <w:semiHidden/>
    <w:rsid w:val="005D0647"/>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7080</Words>
  <Characters>41719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2026-04-29T14:51:00Z</dcterms:created>
  <dcterms:modified xsi:type="dcterms:W3CDTF">2026-04-29T14:51:00Z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A10-0057/2026</vt:lpwstr>
  </property>
  <property fmtid="{D5CDD505-2E9C-101B-9397-08002B2CF9AE}" pid="4" name="&lt;Type&gt;">
    <vt:lpwstr>RR</vt:lpwstr>
  </property>
</Properties>
</file>