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7DE" w14:paraId="6A5F9097" w14:textId="77777777" w:rsidTr="0010095E">
        <w:trPr>
          <w:trHeight w:hRule="exact" w:val="1418"/>
        </w:trPr>
        <w:tc>
          <w:tcPr>
            <w:tcW w:w="6804" w:type="dxa"/>
            <w:shd w:val="clear" w:color="auto" w:fill="auto"/>
            <w:vAlign w:val="center"/>
          </w:tcPr>
          <w:p w14:paraId="698EDCB1" w14:textId="77777777" w:rsidR="00751A4A" w:rsidRPr="005007DE" w:rsidRDefault="00F1491B" w:rsidP="0010095E">
            <w:pPr>
              <w:pStyle w:val="EPName"/>
            </w:pPr>
            <w:r w:rsidRPr="005007DE">
              <w:t>Europos Parlamentas</w:t>
            </w:r>
          </w:p>
          <w:p w14:paraId="28B56D69" w14:textId="77777777" w:rsidR="00751A4A" w:rsidRPr="005007DE" w:rsidRDefault="005F1B17" w:rsidP="005F1B17">
            <w:pPr>
              <w:pStyle w:val="EPTerm"/>
              <w:rPr>
                <w:rStyle w:val="HideTWBExt"/>
                <w:noProof w:val="0"/>
                <w:vanish w:val="0"/>
                <w:color w:val="auto"/>
              </w:rPr>
            </w:pPr>
            <w:r w:rsidRPr="005007DE">
              <w:t>2024</w:t>
            </w:r>
            <w:r w:rsidR="00817416" w:rsidRPr="005007DE">
              <w:t>-202</w:t>
            </w:r>
            <w:r w:rsidRPr="005007DE">
              <w:t>9</w:t>
            </w:r>
          </w:p>
        </w:tc>
        <w:tc>
          <w:tcPr>
            <w:tcW w:w="2268" w:type="dxa"/>
            <w:shd w:val="clear" w:color="auto" w:fill="auto"/>
          </w:tcPr>
          <w:p w14:paraId="53331954" w14:textId="77777777" w:rsidR="00751A4A" w:rsidRPr="005007DE" w:rsidRDefault="00187494" w:rsidP="0010095E">
            <w:pPr>
              <w:pStyle w:val="EPLogo"/>
            </w:pPr>
            <w:r w:rsidRPr="005007DE">
              <w:rPr>
                <w:noProof/>
                <w:lang w:eastAsia="ja-JP"/>
              </w:rPr>
              <w:drawing>
                <wp:inline distT="0" distB="0" distL="0" distR="0" wp14:anchorId="35143608" wp14:editId="6369B2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3AF254" w14:textId="77777777" w:rsidR="00D058B8" w:rsidRPr="005007DE" w:rsidRDefault="00D058B8" w:rsidP="004C5D52">
      <w:pPr>
        <w:pStyle w:val="LineTop"/>
      </w:pPr>
    </w:p>
    <w:p w14:paraId="436F7BEC" w14:textId="77777777" w:rsidR="00680577" w:rsidRPr="005007DE" w:rsidRDefault="00F1491B" w:rsidP="00680577">
      <w:pPr>
        <w:pStyle w:val="EPBodyTA1"/>
      </w:pPr>
      <w:r w:rsidRPr="005007DE">
        <w:t>PRIIMTI TEKSTAI</w:t>
      </w:r>
    </w:p>
    <w:p w14:paraId="26F1ECDF" w14:textId="77777777" w:rsidR="00D058B8" w:rsidRPr="005007DE" w:rsidRDefault="00D058B8" w:rsidP="00D058B8">
      <w:pPr>
        <w:pStyle w:val="LineBottom"/>
      </w:pPr>
    </w:p>
    <w:p w14:paraId="2A18DC36" w14:textId="590830A5" w:rsidR="00F1491B" w:rsidRPr="005007DE" w:rsidRDefault="00F1491B" w:rsidP="00F1491B">
      <w:pPr>
        <w:pStyle w:val="ATHeading1"/>
      </w:pPr>
      <w:bookmarkStart w:id="0" w:name="TANumber"/>
      <w:r w:rsidRPr="005007DE">
        <w:t>P10_TA(2026)0</w:t>
      </w:r>
      <w:r w:rsidR="00D46502">
        <w:t>134</w:t>
      </w:r>
      <w:bookmarkEnd w:id="0"/>
    </w:p>
    <w:p w14:paraId="193CE582" w14:textId="5E4D6859" w:rsidR="00F1491B" w:rsidRPr="005007DE" w:rsidRDefault="00F1491B" w:rsidP="00F1491B">
      <w:pPr>
        <w:pStyle w:val="ATHeading2"/>
      </w:pPr>
      <w:bookmarkStart w:id="1" w:name="title"/>
      <w:r w:rsidRPr="005007DE">
        <w:t>2024 m. biudžeto įvykdymo patvirtinimas: ES bendrasis biudžetas – Europos duomenų apsaugos</w:t>
      </w:r>
      <w:r w:rsidR="00A63E8A">
        <w:t xml:space="preserve"> </w:t>
      </w:r>
      <w:r w:rsidRPr="005007DE">
        <w:t>priežiūros pareigūnas</w:t>
      </w:r>
      <w:bookmarkEnd w:id="1"/>
    </w:p>
    <w:p w14:paraId="503D5CB4" w14:textId="77777777" w:rsidR="00F1491B" w:rsidRPr="005007DE" w:rsidRDefault="00F1491B" w:rsidP="00F1491B">
      <w:pPr>
        <w:rPr>
          <w:i/>
          <w:vanish/>
        </w:rPr>
      </w:pPr>
      <w:r w:rsidRPr="005007DE">
        <w:rPr>
          <w:i/>
        </w:rPr>
        <w:fldChar w:fldCharType="begin"/>
      </w:r>
      <w:r w:rsidRPr="005007DE">
        <w:rPr>
          <w:i/>
        </w:rPr>
        <w:instrText xml:space="preserve"> TC"(</w:instrText>
      </w:r>
      <w:bookmarkStart w:id="2" w:name="DocNumber"/>
      <w:r w:rsidRPr="005007DE">
        <w:rPr>
          <w:i/>
        </w:rPr>
        <w:instrText>A10-0057/2026</w:instrText>
      </w:r>
      <w:bookmarkEnd w:id="2"/>
      <w:r w:rsidRPr="005007DE">
        <w:rPr>
          <w:i/>
        </w:rPr>
        <w:instrText xml:space="preserve"> - Pranešėjas: Pasquale Tridico)"\l3 \n&gt; \* MERGEFORMAT </w:instrText>
      </w:r>
      <w:r w:rsidRPr="005007DE">
        <w:rPr>
          <w:i/>
        </w:rPr>
        <w:fldChar w:fldCharType="end"/>
      </w:r>
    </w:p>
    <w:p w14:paraId="5D1A533C" w14:textId="77777777" w:rsidR="00F1491B" w:rsidRPr="005007DE" w:rsidRDefault="00F1491B" w:rsidP="00F1491B">
      <w:pPr>
        <w:rPr>
          <w:vanish/>
        </w:rPr>
      </w:pPr>
      <w:bookmarkStart w:id="3" w:name="Commission"/>
      <w:r w:rsidRPr="005007DE">
        <w:rPr>
          <w:vanish/>
        </w:rPr>
        <w:t>Biudžeto kontrolės komitetas</w:t>
      </w:r>
      <w:bookmarkEnd w:id="3"/>
    </w:p>
    <w:p w14:paraId="55F80993" w14:textId="77777777" w:rsidR="00F1491B" w:rsidRPr="005007DE" w:rsidRDefault="00F1491B" w:rsidP="00F1491B">
      <w:pPr>
        <w:rPr>
          <w:vanish/>
        </w:rPr>
      </w:pPr>
      <w:bookmarkStart w:id="4" w:name="PE"/>
      <w:r w:rsidRPr="005007DE">
        <w:rPr>
          <w:vanish/>
        </w:rPr>
        <w:t>PE778.066</w:t>
      </w:r>
      <w:bookmarkEnd w:id="4"/>
    </w:p>
    <w:p w14:paraId="7B4F35E3" w14:textId="01928D98" w:rsidR="00F1491B" w:rsidRPr="005007DE" w:rsidRDefault="00EB4AFB" w:rsidP="0063483F">
      <w:pPr>
        <w:pStyle w:val="ATHeading3"/>
      </w:pPr>
      <w:bookmarkStart w:id="5" w:name="Sujet"/>
      <w:r>
        <w:t xml:space="preserve">1. </w:t>
      </w:r>
      <w:r w:rsidR="00F1491B" w:rsidRPr="005007DE">
        <w:t xml:space="preserve">2026 m. </w:t>
      </w:r>
      <w:r w:rsidR="006C420A" w:rsidRPr="005007DE">
        <w:t>balandžio</w:t>
      </w:r>
      <w:r w:rsidR="00F1491B" w:rsidRPr="005007DE">
        <w:t xml:space="preserve"> </w:t>
      </w:r>
      <w:r w:rsidR="006C420A">
        <w:t>29</w:t>
      </w:r>
      <w:r w:rsidR="00F1491B" w:rsidRPr="005007DE">
        <w:t xml:space="preserve"> d. Europos Parlamento sprendimas dėl 2024 finansinių metų Europos Sąjungos bendrojo biudžeto įvykdymo patvirtinimo, IX skirsnis – Europos duomenų apsaugos priežiūros pareigūnas</w:t>
      </w:r>
      <w:bookmarkEnd w:id="5"/>
      <w:r w:rsidR="00F1491B" w:rsidRPr="005007DE">
        <w:t xml:space="preserve"> </w:t>
      </w:r>
      <w:bookmarkStart w:id="6" w:name="References"/>
      <w:r w:rsidR="00F1491B" w:rsidRPr="005007DE">
        <w:t>(2025/2154(DEC))</w:t>
      </w:r>
      <w:bookmarkEnd w:id="6"/>
    </w:p>
    <w:p w14:paraId="3C5BD640" w14:textId="77777777" w:rsidR="00D6749F" w:rsidRPr="005007DE" w:rsidRDefault="00D6749F" w:rsidP="00D6749F">
      <w:pPr>
        <w:pStyle w:val="EPComma"/>
      </w:pPr>
      <w:bookmarkStart w:id="7" w:name="TextBodyBegin"/>
      <w:bookmarkEnd w:id="7"/>
      <w:r w:rsidRPr="005007DE">
        <w:rPr>
          <w:i/>
        </w:rPr>
        <w:t>Europos Parlamentas</w:t>
      </w:r>
      <w:r w:rsidRPr="005007DE">
        <w:t>,</w:t>
      </w:r>
    </w:p>
    <w:p w14:paraId="2A37395B" w14:textId="77777777" w:rsidR="00D6749F" w:rsidRPr="005007DE" w:rsidRDefault="00D6749F" w:rsidP="00D6749F">
      <w:pPr>
        <w:pStyle w:val="NormalHanging12a"/>
      </w:pPr>
      <w:r w:rsidRPr="005007DE">
        <w:t>–</w:t>
      </w:r>
      <w:r w:rsidRPr="005007DE">
        <w:tab/>
        <w:t>atsižvelgdamas į 2024 finansinių metų Europos Sąjungos bendrąjį biudžetą</w:t>
      </w:r>
      <w:r w:rsidRPr="005007DE">
        <w:rPr>
          <w:rStyle w:val="FootnoteReference"/>
        </w:rPr>
        <w:footnoteReference w:id="1"/>
      </w:r>
      <w:r w:rsidRPr="005007DE">
        <w:t>,</w:t>
      </w:r>
    </w:p>
    <w:p w14:paraId="23A02550" w14:textId="77777777" w:rsidR="00D6749F" w:rsidRPr="005007DE" w:rsidRDefault="00D6749F" w:rsidP="00D6749F">
      <w:pPr>
        <w:pStyle w:val="NormalHanging12a"/>
      </w:pPr>
      <w:r w:rsidRPr="005007DE">
        <w:t>–</w:t>
      </w:r>
      <w:r w:rsidRPr="005007DE">
        <w:tab/>
        <w:t>atsižvelgdamas į 2024 finansinių metų Europos Sąjungos konsoliduotąsias metines ataskaitas (COM(2025)0359 – C10</w:t>
      </w:r>
      <w:r w:rsidRPr="005007DE">
        <w:noBreakHyphen/>
        <w:t>0154/2025)</w:t>
      </w:r>
      <w:r w:rsidRPr="005007DE">
        <w:rPr>
          <w:rStyle w:val="FootnoteReference"/>
        </w:rPr>
        <w:footnoteReference w:id="2"/>
      </w:r>
      <w:r w:rsidRPr="005007DE">
        <w:t>,</w:t>
      </w:r>
    </w:p>
    <w:p w14:paraId="51C42BF4" w14:textId="77777777" w:rsidR="00D6749F" w:rsidRPr="005007DE" w:rsidRDefault="00D6749F" w:rsidP="00D6749F">
      <w:pPr>
        <w:pStyle w:val="NormalHanging12a"/>
      </w:pPr>
      <w:r w:rsidRPr="005007DE">
        <w:t>–</w:t>
      </w:r>
      <w:r w:rsidRPr="005007DE">
        <w:tab/>
        <w:t>atsižvelgdamas į Europos duomenų apsaugos priežiūros pareigūno 2024 m. metinę ataskaitą,</w:t>
      </w:r>
    </w:p>
    <w:p w14:paraId="6DD70AD3" w14:textId="77777777" w:rsidR="00D6749F" w:rsidRPr="005007DE" w:rsidRDefault="00D6749F" w:rsidP="00D6749F">
      <w:pPr>
        <w:pStyle w:val="NormalHanging12a"/>
      </w:pPr>
      <w:r w:rsidRPr="005007DE">
        <w:t>–</w:t>
      </w:r>
      <w:r w:rsidRPr="005007DE">
        <w:tab/>
        <w:t>atsižvelgdamas į Audito Rūmų metinę ataskaitą dėl 2024 finansinių metų biudžeto vykdymo kartu su institucijų atsakymais</w:t>
      </w:r>
      <w:r w:rsidRPr="005007DE">
        <w:rPr>
          <w:rStyle w:val="FootnoteReference"/>
        </w:rPr>
        <w:t xml:space="preserve"> </w:t>
      </w:r>
      <w:r w:rsidRPr="005007DE">
        <w:rPr>
          <w:rStyle w:val="FootnoteReference"/>
        </w:rPr>
        <w:footnoteReference w:id="3"/>
      </w:r>
      <w:r w:rsidRPr="005007DE">
        <w:t>,</w:t>
      </w:r>
    </w:p>
    <w:p w14:paraId="6DC74306" w14:textId="77777777" w:rsidR="00D6749F" w:rsidRPr="005007DE" w:rsidRDefault="00D6749F" w:rsidP="00D6749F">
      <w:pPr>
        <w:pStyle w:val="NormalHanging12a"/>
      </w:pPr>
      <w:r w:rsidRPr="005007DE">
        <w:t>–</w:t>
      </w:r>
      <w:r w:rsidRPr="005007DE">
        <w:tab/>
        <w:t>atsižvelgdamas į Audito Rūmų pagal Sutarties dėl Europos Sąjungos veikimo 287 straipsnį pateiktą 2024 finansinių metų sąskaitų patikimumo ir pagal jas atliktų operacijų teisėtumo ir tvarkingumo patikinimo pareiškimą</w:t>
      </w:r>
      <w:r w:rsidRPr="005007DE">
        <w:rPr>
          <w:rStyle w:val="FootnoteReference"/>
        </w:rPr>
        <w:footnoteReference w:id="4"/>
      </w:r>
      <w:r w:rsidRPr="005007DE">
        <w:t>,</w:t>
      </w:r>
    </w:p>
    <w:p w14:paraId="10633F7C" w14:textId="77777777" w:rsidR="00D6749F" w:rsidRPr="005007DE" w:rsidRDefault="00D6749F" w:rsidP="00D6749F">
      <w:pPr>
        <w:pStyle w:val="NormalHanging12a"/>
      </w:pPr>
      <w:r w:rsidRPr="005007DE">
        <w:t>–</w:t>
      </w:r>
      <w:r w:rsidRPr="005007DE">
        <w:tab/>
        <w:t>atsižvelgdamas į Sutarties dėl Europos Sąjungos veikimo 314 straipsnio 10 dalį ir 317, 318 ir 319 straipsnius,</w:t>
      </w:r>
    </w:p>
    <w:p w14:paraId="4A8726BA" w14:textId="77777777" w:rsidR="00D6749F" w:rsidRPr="005007DE" w:rsidRDefault="00D6749F" w:rsidP="00D6749F">
      <w:pPr>
        <w:pStyle w:val="NormalHanging12a"/>
      </w:pPr>
      <w:r w:rsidRPr="005007DE">
        <w:t>–</w:t>
      </w:r>
      <w:r w:rsidRPr="005007DE">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007DE">
        <w:rPr>
          <w:rStyle w:val="FootnoteReference"/>
        </w:rPr>
        <w:footnoteReference w:id="5"/>
      </w:r>
      <w:r w:rsidRPr="005007DE">
        <w:t>, ypač į jo 59, 118, 260, 261 ir 262 straipsnius,</w:t>
      </w:r>
    </w:p>
    <w:p w14:paraId="3DE58DA1" w14:textId="3F5BC5EF" w:rsidR="00D6749F" w:rsidRPr="005007DE" w:rsidRDefault="00D6749F" w:rsidP="00D6749F">
      <w:pPr>
        <w:pStyle w:val="NormalHanging12a"/>
      </w:pPr>
      <w:r w:rsidRPr="005007DE">
        <w:lastRenderedPageBreak/>
        <w:t>–</w:t>
      </w:r>
      <w:r w:rsidRPr="005007DE">
        <w:tab/>
        <w:t>atsižvelgdamas į 2024 m. rugsėjo 23 d. Europos Parlamento ir Tarybos reglamentą (ES, Euratomas) 2024/2509 dėl Sąjungos bendrajam biudžetui taikomų finansinių taisyklių</w:t>
      </w:r>
      <w:r w:rsidRPr="005007DE">
        <w:rPr>
          <w:rStyle w:val="FootnoteReference"/>
        </w:rPr>
        <w:footnoteReference w:id="6"/>
      </w:r>
      <w:r w:rsidRPr="005007DE">
        <w:t>, ypač į jo 59, 118, 266, 267 ir 268 straipsnius,</w:t>
      </w:r>
    </w:p>
    <w:p w14:paraId="2A772E15" w14:textId="77777777" w:rsidR="00D6749F" w:rsidRPr="005007DE" w:rsidRDefault="00D6749F" w:rsidP="00D6749F">
      <w:pPr>
        <w:pStyle w:val="NormalHanging12a"/>
      </w:pPr>
      <w:r w:rsidRPr="005007DE">
        <w:t>–</w:t>
      </w:r>
      <w:r w:rsidRPr="005007DE">
        <w:tab/>
        <w:t>atsižvelgdamas į 2018 m. spalio 23 d. Europos Parlamento ir Tarybos reglamentą (ES) 2018/1725 dėl fizinių asmenų apsaugos Sąjungos institucijoms, organams, tarnyboms ir agentūroms tvarkant asmens duomenis ir dėl laisvo tokių duomenų judėjimo, kuriuo panaikinamas Reglamentas (EB) Nr. 45/2001 ir Sprendimas Nr. 1247/2002/EB</w:t>
      </w:r>
      <w:r w:rsidRPr="005007DE">
        <w:rPr>
          <w:rStyle w:val="FootnoteReference"/>
        </w:rPr>
        <w:footnoteReference w:id="7"/>
      </w:r>
      <w:r w:rsidRPr="005007DE">
        <w:t>, ypač į jo 54 straipsnį,</w:t>
      </w:r>
    </w:p>
    <w:p w14:paraId="392FB83E" w14:textId="77777777" w:rsidR="00D6749F" w:rsidRPr="005007DE" w:rsidRDefault="00D6749F" w:rsidP="00D6749F">
      <w:pPr>
        <w:pStyle w:val="NormalHanging12a"/>
      </w:pPr>
      <w:r w:rsidRPr="005007DE">
        <w:t>–</w:t>
      </w:r>
      <w:r w:rsidRPr="005007DE">
        <w:tab/>
        <w:t>atsižvelgdamas į Darbo tvarkos taisyklių 102 straipsnį ir V priedą,</w:t>
      </w:r>
    </w:p>
    <w:p w14:paraId="76BBE97A" w14:textId="77777777" w:rsidR="00D6749F" w:rsidRPr="005007DE" w:rsidRDefault="00D6749F" w:rsidP="00D6749F">
      <w:pPr>
        <w:pStyle w:val="NormalHanging12a"/>
      </w:pPr>
      <w:r w:rsidRPr="005007DE">
        <w:t>–</w:t>
      </w:r>
      <w:r w:rsidRPr="005007DE">
        <w:tab/>
        <w:t>atsižvelgdamas į Piliečių laisvių, teisingumo ir vidaus reikalų komiteto nuomonę,</w:t>
      </w:r>
    </w:p>
    <w:p w14:paraId="21F8EE0D" w14:textId="77777777" w:rsidR="00D6749F" w:rsidRPr="005007DE" w:rsidRDefault="00D6749F" w:rsidP="00D6749F">
      <w:pPr>
        <w:pStyle w:val="NormalHanging12a"/>
      </w:pPr>
      <w:r w:rsidRPr="005007DE">
        <w:t>–</w:t>
      </w:r>
      <w:r w:rsidRPr="005007DE">
        <w:tab/>
        <w:t>atsižvelgdamas į Biudžeto kontrolės komiteto pranešimą (A10</w:t>
      </w:r>
      <w:r w:rsidRPr="005007DE">
        <w:noBreakHyphen/>
        <w:t>0057/2026),</w:t>
      </w:r>
    </w:p>
    <w:p w14:paraId="65D11E98" w14:textId="77777777" w:rsidR="00D6749F" w:rsidRPr="005007DE" w:rsidRDefault="00D6749F" w:rsidP="00D6749F">
      <w:pPr>
        <w:pStyle w:val="NormalHanging12a"/>
      </w:pPr>
      <w:r w:rsidRPr="005007DE">
        <w:t>1.</w:t>
      </w:r>
      <w:r w:rsidRPr="005007DE">
        <w:tab/>
        <w:t>patvirtina Europos duomenų apsaugos priežiūros pareigūnui, kad Europos duomenų apsaugos priežiūros pareigūno 2024 finansinių metų biudžetas įvykdytas;</w:t>
      </w:r>
    </w:p>
    <w:p w14:paraId="228F9E10" w14:textId="77777777" w:rsidR="00D6749F" w:rsidRPr="005007DE" w:rsidRDefault="00D6749F" w:rsidP="00D6749F">
      <w:pPr>
        <w:pStyle w:val="NormalHanging12a"/>
      </w:pPr>
      <w:r w:rsidRPr="005007DE">
        <w:t>2.</w:t>
      </w:r>
      <w:r w:rsidRPr="005007DE">
        <w:tab/>
        <w:t>išdėsto savo pastabas toliau pateikiamoje rezoliucijoje;</w:t>
      </w:r>
    </w:p>
    <w:p w14:paraId="7AAF946A" w14:textId="77777777" w:rsidR="00D6749F" w:rsidRPr="005007DE" w:rsidRDefault="00D6749F" w:rsidP="00D6749F">
      <w:pPr>
        <w:pStyle w:val="NormalHanging12a"/>
      </w:pPr>
      <w:r w:rsidRPr="005007DE">
        <w:t>3.</w:t>
      </w:r>
      <w:r w:rsidRPr="005007DE">
        <w:tab/>
        <w:t xml:space="preserve">paveda Pirmininkei perduoti šį sprendimą ir rezoliuciją, kuri yra neatskiriama jo dalis, Europos duomenų apsaugos priežiūros pareigūnui, Europos Vadovų Tarybai, Tarybai, Komisijai, Audito Rūmams, Europos Sąjungos Teisingumo Teismui, Europos ombudsmenei ir Europos išorės veiksmų tarnybai bei pasirūpinti, kad jie būtų paskelbti </w:t>
      </w:r>
      <w:r w:rsidRPr="005007DE">
        <w:rPr>
          <w:i/>
        </w:rPr>
        <w:t>Europos Sąjungos oficialiajame leidinyje</w:t>
      </w:r>
      <w:r w:rsidRPr="005007DE">
        <w:t xml:space="preserve"> (L serijoje);</w:t>
      </w:r>
    </w:p>
    <w:p w14:paraId="3CDDA716" w14:textId="77777777" w:rsidR="00D6749F" w:rsidRPr="005007DE" w:rsidRDefault="00D6749F" w:rsidP="00D6749F">
      <w:pPr>
        <w:pStyle w:val="PageHeading"/>
        <w:sectPr w:rsidR="00D6749F" w:rsidRPr="005007DE" w:rsidSect="005007D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3F3E2B" w14:textId="5FF5B2EF" w:rsidR="00D6749F" w:rsidRDefault="00D6749F" w:rsidP="0063483F">
      <w:pPr>
        <w:pStyle w:val="ATHeading3"/>
      </w:pPr>
      <w:bookmarkStart w:id="8" w:name="_Toc225764923"/>
      <w:r w:rsidRPr="005007DE">
        <w:t xml:space="preserve">2. </w:t>
      </w:r>
      <w:r w:rsidR="00EB4AFB" w:rsidRPr="005007DE">
        <w:t xml:space="preserve">2026 m. balandžio </w:t>
      </w:r>
      <w:r w:rsidR="00EB4AFB">
        <w:t>29</w:t>
      </w:r>
      <w:r w:rsidR="00EB4AFB" w:rsidRPr="005007DE">
        <w:t xml:space="preserve"> d. Europos Parlamento </w:t>
      </w:r>
      <w:r w:rsidR="00AB487C">
        <w:t xml:space="preserve">rezoliucija </w:t>
      </w:r>
      <w:bookmarkEnd w:id="8"/>
      <w:r w:rsidRPr="005007DE">
        <w:t>su pastabomis, sudarančiomis neatskiriamą sprendimo dėl 2024 finansinių metų Europos Sąjungos bendrojo biudžeto įvykdymo patvirtinimo, IX skirsnis – Europos duomenų apsaugos priežiūros pareigūnas, dalį</w:t>
      </w:r>
      <w:r w:rsidR="00EB4AFB">
        <w:t xml:space="preserve"> </w:t>
      </w:r>
      <w:r w:rsidRPr="005007DE">
        <w:t>(2025/2154(DEC))</w:t>
      </w:r>
    </w:p>
    <w:p w14:paraId="6240D821" w14:textId="77777777" w:rsidR="00D6749F" w:rsidRPr="005007DE" w:rsidRDefault="00D6749F" w:rsidP="00D6749F">
      <w:pPr>
        <w:pStyle w:val="EPComma"/>
      </w:pPr>
      <w:r w:rsidRPr="005007DE">
        <w:rPr>
          <w:i/>
        </w:rPr>
        <w:t>Europos Parlamentas</w:t>
      </w:r>
      <w:r w:rsidRPr="005007DE">
        <w:t>,</w:t>
      </w:r>
    </w:p>
    <w:p w14:paraId="6CB04207" w14:textId="77777777" w:rsidR="00D6749F" w:rsidRPr="005007DE" w:rsidRDefault="00D6749F" w:rsidP="00D6749F">
      <w:pPr>
        <w:pStyle w:val="NormalHanging12a"/>
      </w:pPr>
      <w:r w:rsidRPr="005007DE">
        <w:t>–</w:t>
      </w:r>
      <w:r w:rsidRPr="005007DE">
        <w:tab/>
        <w:t>atsižvelgdamas į savo sprendimą dėl 2024 finansinių metų Europos Sąjungos bendrojo biudžeto įvykdymo patvirtinimo, IX skirsnis – Europos duomenų apsaugos priežiūros pareigūnas,</w:t>
      </w:r>
    </w:p>
    <w:p w14:paraId="40E1F0CB" w14:textId="77777777" w:rsidR="00D6749F" w:rsidRPr="005007DE" w:rsidRDefault="00D6749F" w:rsidP="00D6749F">
      <w:pPr>
        <w:pStyle w:val="NormalHanging12a"/>
      </w:pPr>
      <w:r w:rsidRPr="005007DE">
        <w:t>–</w:t>
      </w:r>
      <w:r w:rsidRPr="005007DE">
        <w:tab/>
        <w:t>atsižvelgdamas į Darbo tvarkos taisyklių 102 straipsnį ir V priedą,</w:t>
      </w:r>
    </w:p>
    <w:p w14:paraId="36DF651A" w14:textId="77777777" w:rsidR="00D6749F" w:rsidRPr="005007DE" w:rsidRDefault="00D6749F" w:rsidP="00D6749F">
      <w:pPr>
        <w:pStyle w:val="NormalHanging12a"/>
      </w:pPr>
      <w:r w:rsidRPr="005007DE">
        <w:t>–</w:t>
      </w:r>
      <w:r w:rsidRPr="005007DE">
        <w:tab/>
        <w:t>atsižvelgdamas į Piliečių laisvių, teisingumo ir vidaus reikalų komiteto nuomonę,</w:t>
      </w:r>
    </w:p>
    <w:p w14:paraId="3336699E" w14:textId="77777777" w:rsidR="00D6749F" w:rsidRPr="005007DE" w:rsidRDefault="00D6749F" w:rsidP="00D6749F">
      <w:pPr>
        <w:pStyle w:val="NormalHanging12a"/>
      </w:pPr>
      <w:r w:rsidRPr="005007DE">
        <w:t>–</w:t>
      </w:r>
      <w:r w:rsidRPr="005007DE">
        <w:tab/>
        <w:t>atsižvelgdamas į Biudžeto kontrolės komiteto pranešimą (A10</w:t>
      </w:r>
      <w:r w:rsidRPr="005007DE">
        <w:noBreakHyphen/>
        <w:t>0057/2026),</w:t>
      </w:r>
    </w:p>
    <w:p w14:paraId="497E9DB3" w14:textId="77777777" w:rsidR="00D6749F" w:rsidRPr="005007DE" w:rsidRDefault="00D6749F" w:rsidP="00D6749F">
      <w:pPr>
        <w:pStyle w:val="NormalHanging12a"/>
        <w:rPr>
          <w:szCs w:val="24"/>
        </w:rPr>
      </w:pPr>
      <w:r w:rsidRPr="005007DE">
        <w:t>A.</w:t>
      </w:r>
      <w:r w:rsidRPr="005007DE">
        <w:tab/>
        <w:t>kadangi biudžeto įvykdymo patvirtinimo procedūros metu biudžeto įvykdymą tvirtinanti institucija nori pabrėžti, kad ypač svarbu toliau stiprinti Sąjungos institucijų demokratinį teisėtumą didinant skaidrumą ir atskaitomybę, įgyvendinant rezultatais grindžiamo biudžeto sudarymo koncepciją ir užtikrinant gerą žmogiškųjų išteklių valdymą;</w:t>
      </w:r>
    </w:p>
    <w:p w14:paraId="1974CAED" w14:textId="77777777" w:rsidR="00D6749F" w:rsidRPr="005007DE" w:rsidRDefault="00D6749F" w:rsidP="00D6749F">
      <w:pPr>
        <w:pStyle w:val="NormalHanging12a"/>
        <w:rPr>
          <w:szCs w:val="24"/>
        </w:rPr>
      </w:pPr>
      <w:r w:rsidRPr="005007DE">
        <w:t>B.</w:t>
      </w:r>
      <w:r w:rsidRPr="005007DE">
        <w:tab/>
        <w:t>kadangi duomenų apsauga yra pagrindinė teisė, saugoma Sąjungos teisės aktais ir įtvirtinta Europos Sąjungos pagrindinių teisių chartijos 8 straipsnyje;</w:t>
      </w:r>
    </w:p>
    <w:p w14:paraId="309992FB" w14:textId="77777777" w:rsidR="00D6749F" w:rsidRPr="005007DE" w:rsidRDefault="00D6749F" w:rsidP="00D6749F">
      <w:pPr>
        <w:pStyle w:val="NormalHanging12a"/>
        <w:rPr>
          <w:szCs w:val="24"/>
        </w:rPr>
      </w:pPr>
      <w:r w:rsidRPr="005007DE">
        <w:t>C.</w:t>
      </w:r>
      <w:r w:rsidRPr="005007DE">
        <w:tab/>
        <w:t>kadangi Sutarties dėl Europos Sąjungos veikimo 16 straipsnyje nustatyta, kad atitiktį taisyklėms, kurios taikomos asmenų apsaugai tvarkant su jais susijusius asmens duomenis, vertina nepriklausoma institucija;</w:t>
      </w:r>
    </w:p>
    <w:p w14:paraId="0EA87975" w14:textId="77777777" w:rsidR="00D6749F" w:rsidRPr="005007DE" w:rsidRDefault="00D6749F" w:rsidP="00D6749F">
      <w:pPr>
        <w:pStyle w:val="NormalHanging12a"/>
        <w:rPr>
          <w:szCs w:val="24"/>
        </w:rPr>
      </w:pPr>
      <w:r w:rsidRPr="005007DE">
        <w:t>D.</w:t>
      </w:r>
      <w:r w:rsidRPr="005007DE">
        <w:tab/>
        <w:t>kadangi pagal Reglamentą (ES) 2018/1725 numatyta įsteigti tokią nepriklausomą instituciją – Europos duomenų apsaugos priežiūros pareigūno (toliau – EDAPP) tarnybą, atsakingą už teisės į duomenų apsaugą ir privatumą apsaugą ir užtikrinimą, kurios užduotis – rūpintis, kad Sąjungos institucijos, įstaigos, organai ir agentūros diegtų tvirtą duomenų apsaugos kultūrą;</w:t>
      </w:r>
    </w:p>
    <w:p w14:paraId="704841E9" w14:textId="77777777" w:rsidR="00D6749F" w:rsidRPr="005007DE" w:rsidRDefault="00D6749F" w:rsidP="00D6749F">
      <w:pPr>
        <w:pStyle w:val="NormalHanging12a"/>
        <w:rPr>
          <w:szCs w:val="24"/>
        </w:rPr>
      </w:pPr>
      <w:r w:rsidRPr="005007DE">
        <w:t>E.</w:t>
      </w:r>
      <w:r w:rsidRPr="005007DE">
        <w:tab/>
        <w:t>kadangi EDAPP, kaip Europos duomenų apsaugos valdybos narys, savo funkcijas atlieka glaudžiai bendradarbiaudamas su kitomis duomenų apsaugos institucijomis ir tarnauja viešajam interesui, sykiu vadovaudamasis nešališkumo, sąžiningumo, skaidrumo ir pragmatizmo principais ir laikydamasis Sąjungos teisės aktų;</w:t>
      </w:r>
    </w:p>
    <w:p w14:paraId="1F1581A1" w14:textId="77777777" w:rsidR="00D6749F" w:rsidRPr="005007DE" w:rsidRDefault="00D6749F" w:rsidP="00D6749F">
      <w:pPr>
        <w:pStyle w:val="NormalHanging12a"/>
        <w:rPr>
          <w:szCs w:val="24"/>
        </w:rPr>
      </w:pPr>
      <w:r w:rsidRPr="005007DE">
        <w:t>F.</w:t>
      </w:r>
      <w:r w:rsidRPr="005007DE">
        <w:tab/>
        <w:t>kadangi Sąjungos piliečiams reikia skaitmeninės aplinkos, kurios nekontroliuotų neskaidrūs interesai, ir iniciatyvų, kuriomis būtų skatinamas skaitmeninis suverenumas, užtikrinant, kad asmenys, o ne įmonės ar neatskaitingos sistemos būtų duomenų valdymo Sąjungoje pagrindas;</w:t>
      </w:r>
    </w:p>
    <w:p w14:paraId="171ACC3E" w14:textId="77777777" w:rsidR="00D6749F" w:rsidRPr="005007DE" w:rsidRDefault="00D6749F" w:rsidP="00D6749F">
      <w:pPr>
        <w:pStyle w:val="NormalHanging12a"/>
        <w:rPr>
          <w:szCs w:val="24"/>
        </w:rPr>
      </w:pPr>
      <w:r w:rsidRPr="005007DE">
        <w:t>1.</w:t>
      </w:r>
      <w:r w:rsidRPr="005007DE">
        <w:tab/>
        <w:t>pažymi, kad EDAPP biudžetas patenka į DFP 7 išlaidų kategoriją „Europos viešasis administravimas“, kurią 2024 m. iš viso sudarė 13,3 mlrd. EUR, t. y. 6,9 proc. ES biudžeto išlaidų; pažymi, kad EDAPP biudžetas sudarė 0,18 proc. DFP 7 išlaidų kategorijos asignavimų;</w:t>
      </w:r>
    </w:p>
    <w:p w14:paraId="7A1A1653" w14:textId="77777777" w:rsidR="00D6749F" w:rsidRPr="005007DE" w:rsidRDefault="00D6749F" w:rsidP="00D6749F">
      <w:pPr>
        <w:pStyle w:val="NormalHanging12a"/>
      </w:pPr>
      <w:r w:rsidRPr="005007DE">
        <w:t>2.</w:t>
      </w:r>
      <w:r w:rsidRPr="005007DE">
        <w:tab/>
        <w:t>pažymi, kad Audito Rūmai savo 2024 finansinių metų metinėje ataskaitoje (toliau – Audito Rūmų ataskaita) išanalizavo 70 išlaidų kategorijos „Administravimas“ operacijų imtį – tiek pat kaip 2023 m.; kadangi Audito Rūmai taip pat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administracinės išlaidos yra nedidelės rizikos išlaidos;</w:t>
      </w:r>
    </w:p>
    <w:p w14:paraId="55D76A02" w14:textId="77777777" w:rsidR="00D6749F" w:rsidRPr="005007DE" w:rsidRDefault="00D6749F" w:rsidP="00D6749F">
      <w:pPr>
        <w:pStyle w:val="NormalHanging12a"/>
      </w:pPr>
      <w:r w:rsidRPr="005007DE">
        <w:t>3.</w:t>
      </w:r>
      <w:r w:rsidRPr="005007DE">
        <w:tab/>
        <w:t>pažymi, kad 16 (23 proc.) iš 70 operacijų buvo klaidų, tačiau Audito Rūmai, remdamiesi trimis kiekybiškai įvertintomis klaidomis, apskaičiavo, kad klaidų lygis nesiekia reikšmingumo ribos; pažymi, kad Audito Rūmų ataskaitoje nenustatyta jokių konkrečių su EDAPP susijusių problemų;</w:t>
      </w:r>
    </w:p>
    <w:p w14:paraId="440AB24E" w14:textId="77777777" w:rsidR="00D6749F" w:rsidRPr="005007DE" w:rsidRDefault="00D6749F" w:rsidP="00D6749F">
      <w:pPr>
        <w:pStyle w:val="NormalHanging12a"/>
      </w:pPr>
      <w:r w:rsidRPr="005007DE">
        <w:rPr>
          <w:b/>
          <w:i/>
        </w:rPr>
        <w:t>Biudžeto ir finansų valdymas</w:t>
      </w:r>
    </w:p>
    <w:p w14:paraId="69674388" w14:textId="77777777" w:rsidR="00D6749F" w:rsidRPr="005007DE" w:rsidRDefault="00D6749F" w:rsidP="00D6749F">
      <w:pPr>
        <w:pStyle w:val="NormalHanging12a"/>
        <w:rPr>
          <w:b/>
          <w:i/>
          <w:szCs w:val="24"/>
        </w:rPr>
      </w:pPr>
      <w:r w:rsidRPr="005007DE">
        <w:t>4.</w:t>
      </w:r>
      <w:r w:rsidRPr="005007DE">
        <w:tab/>
        <w:t>pažymi, kad galutinis priimtas EDAPP biudžetas 2024 m. siekė 24 329 460 EUR ir buvo 7,12 proc. didesnis, palyginti su 2023 m. (22 711 559 EUR); pažymi, kad į EDAPP biudžetą taip pat įtraukta Europos duomenų apsaugos valdybos nepriklausomo sekretoriato veikla; remdamasis EDAPP 2024 m. metine ataskaita (toliau – metinė ataskaita), pažymi, kad priimtas Europos duomenų apsaugos valdybos biudžetas 2024 m. siekė 8,36 mln. EUR (palyginti su 7,67 mln. EUR 2023 m.);</w:t>
      </w:r>
    </w:p>
    <w:p w14:paraId="3996B982" w14:textId="77777777" w:rsidR="00D6749F" w:rsidRPr="005007DE" w:rsidRDefault="00D6749F" w:rsidP="00D6749F">
      <w:pPr>
        <w:pStyle w:val="NormalHanging12a"/>
        <w:rPr>
          <w:szCs w:val="24"/>
        </w:rPr>
      </w:pPr>
      <w:r w:rsidRPr="005007DE">
        <w:t>5.</w:t>
      </w:r>
      <w:r w:rsidRPr="005007DE">
        <w:tab/>
        <w:t xml:space="preserve">su džiaugsmu pažymi, kad 2024 finansiniais metais EDAPP vykdant biudžeto stebėseną ir planavimo veiksmus 2024 m. biudžeto įvykdymo lygis einamųjų metų įsipareigojimų asignavimų atžvilgiu buvo 96 proc. (toks pat kaip ir 2023 m.); be to, remdamasis ataskaita dėl EDAPP 2024 m. metinių finansinių ataskaitų pažymi, kad einamųjų metų mokėjimų asignavimų įvykdymo lygis buvo 84 proc. (toks pat kaip ir 2023 m.); be to, remdamasis EDAPP atsakymais į Biudžeto kontrolės komiteto pateiktą klausimyną dėl 2023 m. biudžeto įvykdymo patvirtinimo (toliau – klausimynas), pažymi, kad bendras mokėjimų asignavimų įvykdymo lygis 2024 m. buvo 91,88 proc., t. y. didesnis palyginus su 91,33 proc. 2023 m.; </w:t>
      </w:r>
    </w:p>
    <w:p w14:paraId="665788CA" w14:textId="77777777" w:rsidR="00D6749F" w:rsidRPr="005007DE" w:rsidRDefault="00D6749F" w:rsidP="00D6749F">
      <w:pPr>
        <w:pStyle w:val="NormalHanging12a"/>
        <w:rPr>
          <w:szCs w:val="24"/>
        </w:rPr>
      </w:pPr>
      <w:r w:rsidRPr="005007DE">
        <w:t>6.</w:t>
      </w:r>
      <w:r w:rsidRPr="005007DE">
        <w:tab/>
        <w:t xml:space="preserve">taip pat pažymi, kad iš 2024 į 2025 m. perkeltų asignavimų suma (C8) sudarė 2 649 943 EUR (t. y. 10,89 proc. viso 2024 m. biudžeto), palyginti su 2 517 942 EUR 2023 m. (t. y. 11,08 proc. viso 2023 m. biudžeto); pažymi, kad 2024 m. C8 biudžeto įvykdymo lygis buvo 77,37 proc. (palyginti su 76,65 proc. 2023 m.); </w:t>
      </w:r>
    </w:p>
    <w:p w14:paraId="4727A20C" w14:textId="77777777" w:rsidR="00D6749F" w:rsidRPr="005007DE" w:rsidRDefault="00D6749F" w:rsidP="00D6749F">
      <w:pPr>
        <w:pStyle w:val="NormalHanging12a"/>
        <w:rPr>
          <w:szCs w:val="24"/>
        </w:rPr>
      </w:pPr>
      <w:r w:rsidRPr="005007DE">
        <w:t>7.</w:t>
      </w:r>
      <w:r w:rsidRPr="005007DE">
        <w:tab/>
        <w:t>pažymi, kad vidutinis mokėjimo laikas 2024 m. buvo nuo 20 dienų, palyginti su 19 dienų 2023 m., ir kad 96,87 proc. mokėjimų atlikta laiku (daugiau palyginus su 92,73 proc. 2023 m.); taip pat pažymi, kad gerokai padidėjo mokėjimų skaičius – nuo 1 335 mokėjimų 2023 m. iki 1 440 mokėjimų 2024 m.; pažymi, kad 2024 m. EDAPP susidūrė su tam tikrais techniniais sunkumais dėl to, kad vienu metu naudotos dvi skirtingos IT sistemos (Komisijos sistema „SUMMA“ ir EDAPP sistema „ABAC“), dėl kurių reikėjo iš naujo rankiniu būdu suvesti duomenis ir atlikti kitus rankinius veiksmus; pažymi, kad tikimasi, jog 2026 m. EDAPP pradės naudoti sistemą „SUMMA“;</w:t>
      </w:r>
    </w:p>
    <w:p w14:paraId="56807914" w14:textId="77777777" w:rsidR="00D6749F" w:rsidRPr="005007DE" w:rsidRDefault="00D6749F" w:rsidP="00D6749F">
      <w:pPr>
        <w:pStyle w:val="NormalHanging12a"/>
      </w:pPr>
      <w:r w:rsidRPr="005007DE">
        <w:t>8.</w:t>
      </w:r>
      <w:r w:rsidRPr="005007DE">
        <w:tab/>
        <w:t>remdamasis klausimynu pažymi, kad bendras EDAPP komandiruočių biudžetas sumažėjo 17,86 proc. nuo 323 421 EUR 2023 m. iki 265 630 EUR 2024 m., nes daugiau darbuotojų dalyvavo nuotoliniuose ir (arba) mišriuose posėdžiuose, todėl sumažėjo kelionių skaičius ir su jomis susijusios išlaidos; remdamasis metine ataskaita pažymi, kad sumažėjo ir darbuotojų komandiruočių skaičius – nuo 246 komandiruočių 2023 m. iki 218 komandiruočių 2024 m.; pažymi, kad, kaip minėto biudžeto dalis, 2024 m. 23 priežiūros pareigūno komandiruotėms buvo skirta 38 418 EUR suma, kuri, palyginus su 33 000 EUR suma 24 komandiruotėms 2023 m., padidėjo daugiausia dėl svarbių posėdžių ir renginių, kuriuose priežiūros pareigūnas turėjo dalyvauti, įskaitant kelias komandiruotes į Jungtines Amerikos Valstijas ir Meksiką 2024 m., vietos; pažymi, kad, kalbant apie aukšto rango pareigūnų komandiruotes į kilmės šalį, 2024 m. priežiūros pareigūnas vyko tik į tris komandiruotes į Lenkiją (iš visų 23 komandiruočių), o EDAPP generalinis sekretorius – į devynias komandiruotes į Ispaniją (iš visų 15 komandiruočių); reiškia susirūpinimą dėl to, kad EDAPP vis dar neteikia informacijos apie organizatorių ar kitų trečiųjų šalių finansuotų komandiruočių skaičių, o tai mažina EDAPP komandiruočių išlaidų skaidrumą;</w:t>
      </w:r>
    </w:p>
    <w:p w14:paraId="19B1E27D" w14:textId="77777777" w:rsidR="00D6749F" w:rsidRPr="005007DE" w:rsidRDefault="00D6749F" w:rsidP="00D6749F">
      <w:pPr>
        <w:pStyle w:val="NormalHanging12a"/>
      </w:pPr>
      <w:r w:rsidRPr="005007DE">
        <w:t>9.</w:t>
      </w:r>
      <w:r w:rsidRPr="005007DE">
        <w:tab/>
        <w:t>remdamasis klausimynu pažymi, kad, atsižvelgdamas į neteisėtą Rusijos agresijos karą prieš Ukrainą, EDAPP sprendė infliacinio spaudimo sutartims ir paslaugoms klausimą, per metus peržiūrėdamas išlaidų sąmatas ir perskirstydamas išteklius, atlikdamas perkėlimus pagal Finansinio reglamento 29 straipsnio 1 ir 4 dalis, numatydamas nenumatytų atvejų rezervą ir iš naujo įvertindamas prioritetus, kad būtų užtikrintas pagrindinių EDAPP procesų administravimas; ragina EDAPP toliau vykdyti reguliarias peržiūras siekiant nustatyti sritis, kuriose biudžetas nepakankamai įvykdytas, ir prireikus perskirstyti lėšas per metus; pripažįsta, kad visos Sąjungos institucijos, sudarydamos sutartis su paslaugų teikėjais, turi pagerinti savo biudžeto valdymą, be kita ko, atsižvelgdamos į kainų svyravimą, ypač energetikos sektoriuje;</w:t>
      </w:r>
    </w:p>
    <w:p w14:paraId="584A904D" w14:textId="77777777" w:rsidR="00D6749F" w:rsidRPr="005007DE" w:rsidRDefault="00D6749F" w:rsidP="00D6749F">
      <w:pPr>
        <w:pStyle w:val="NormalHanging12a"/>
        <w:rPr>
          <w:szCs w:val="24"/>
        </w:rPr>
      </w:pPr>
      <w:r w:rsidRPr="005007DE">
        <w:t>10.</w:t>
      </w:r>
      <w:r w:rsidRPr="005007DE">
        <w:tab/>
        <w:t>pažymi, kad EDAPP pradėjo ir užbaigė 66 viešųjų pirkimų procedūras, iš kurių 45 buvo labai mažos vertės, dvi – derybos be išankstinio skelbimo apie pirkimą, devynios – konkrečios sutartys dėl atskirų ekspertų sąrašo sudarymo ir viena – 200 000 EUR vertės preliminarioji sutartis su „PricewaterhouseCoopers“; pažymi, kad daugumą sutarčių EDAPP pasirašo su mažosiomis ir vidutinėmis įmonėmis taikydamas labai mažos vertės arba mažos vertės procedūras;</w:t>
      </w:r>
    </w:p>
    <w:p w14:paraId="3F8ED155" w14:textId="77777777" w:rsidR="00D6749F" w:rsidRPr="005007DE" w:rsidRDefault="00D6749F" w:rsidP="00D6749F">
      <w:pPr>
        <w:pStyle w:val="NormalHanging12a"/>
        <w:rPr>
          <w:szCs w:val="24"/>
        </w:rPr>
      </w:pPr>
      <w:r w:rsidRPr="005007DE">
        <w:rPr>
          <w:b/>
          <w:i/>
        </w:rPr>
        <w:t>Vidaus valdymas, veiklos rezultatai ir vidaus kontrolė</w:t>
      </w:r>
    </w:p>
    <w:p w14:paraId="65019147" w14:textId="77777777" w:rsidR="00D6749F" w:rsidRPr="005007DE" w:rsidRDefault="00D6749F" w:rsidP="00D6749F">
      <w:pPr>
        <w:pStyle w:val="NormalHanging12a"/>
        <w:rPr>
          <w:szCs w:val="24"/>
        </w:rPr>
      </w:pPr>
      <w:r w:rsidRPr="005007DE">
        <w:t>11.</w:t>
      </w:r>
      <w:r w:rsidRPr="005007DE">
        <w:tab/>
        <w:t>pažymi, kad 2024 m. EDAPP savo veiklos rezultatams stebėti naudojo devynis pagrindinius veiklos rezultatų rodiklius (PVRR), atitinkančius pagrindinius 2020–2024 m. EDAPP strategijos, kuri įgyvendinama pagal metinį valdymo planą, tikslus; remdamasis metine ataskaita pažymi, kad EDAPP pasiekė arba viršijo visų PVRR, išskyrus vieną (EDAPP sekėjų skaičius kai kuriose socialinių tinklų paskyrose), tikslus;</w:t>
      </w:r>
    </w:p>
    <w:p w14:paraId="082F441D" w14:textId="77777777" w:rsidR="00D6749F" w:rsidRPr="005007DE" w:rsidRDefault="00D6749F" w:rsidP="00D6749F">
      <w:pPr>
        <w:pStyle w:val="NormalHanging12a"/>
        <w:rPr>
          <w:szCs w:val="24"/>
        </w:rPr>
      </w:pPr>
      <w:r w:rsidRPr="005007DE">
        <w:t>12.</w:t>
      </w:r>
      <w:r w:rsidRPr="005007DE">
        <w:tab/>
        <w:t>atkreipia dėmesį į įvairius EDAPP vaidmenis, pvz., duomenų apsaugos institucijos, o nuo 2024 m. rugpjūčio 1 d. – notifikuotosios įstaigos, notifikuotosios institucijos ir rinkos priežiūros institucijos, atsakingos už Europos Parlamento ir Tarybos reglamento (ES) 2024/1689</w:t>
      </w:r>
      <w:r w:rsidRPr="005007DE">
        <w:rPr>
          <w:rStyle w:val="FootnoteReference"/>
          <w:szCs w:val="24"/>
        </w:rPr>
        <w:footnoteReference w:id="8"/>
      </w:r>
      <w:r w:rsidRPr="005007DE">
        <w:t xml:space="preserve"> taikymo Sąjungos institucijoms, organams, įstaigoms ir agentūroms priežiūrą ir vykdymo užtikrinimą, vaidmenį, nors pastarojo atveju EDAPP vykdymo užtikrinimo įgaliojimus turės tik nuo 2026 m. rugpjūčio 2 d.; džiaugdamasis pažymi, kad, atsižvelgiant į tai, EDAPP rengia valdymo struktūras ir procedūrines sistemas, būtinas jo, kaip rinkos priežiūros institucijos, naujoms užduotims ir įgaliojimams vykdyti pagal Reglamentą (ES) 2024/1689 ir, be kita ko, 2024 m. sukūrė DI akto korespondentų tinklą, kuriame, nors ir savanoriškai, dalyvavo visos Europos Sąjungos institucijos, organai, įstaigos ir agentūros;</w:t>
      </w:r>
    </w:p>
    <w:p w14:paraId="1854AE8E" w14:textId="77777777" w:rsidR="00D6749F" w:rsidRPr="005007DE" w:rsidRDefault="00D6749F" w:rsidP="00D6749F">
      <w:pPr>
        <w:pStyle w:val="NormalHanging12a"/>
        <w:rPr>
          <w:szCs w:val="24"/>
        </w:rPr>
      </w:pPr>
      <w:r w:rsidRPr="005007DE">
        <w:t>13.</w:t>
      </w:r>
      <w:r w:rsidRPr="005007DE">
        <w:tab/>
        <w:t>atkreipia dėmesį į didesnį EDAPP vaidmenį naujuose teisėkūros procedūra priimamuose aktuose, įskaitant Reglamentą (ES) 2024/1689, pagal kurį EDAPP tampa kompetentinga institucija Sąjungos institucijoms, organams, įstaigoms ir agentūroms ir jai deleguojamos papildomos užduotys; pažymi, kad 2024 m. spalio 1 d. EDAPP, siekdamas vykdyti naujas priežiūros užduotis, įsteigė DI skyrių, kurį 2024 m. sudarė du iš kitų skyrių paskirti tarnautojai; remdamasis klausimynu pažymi, kad nuo 2025 m. šio skyriaus EDAPP biudžetas apima dvi nuolatines pareigybes ir penkis sutartininkus, kurių įdarbinimo procedūros jau atliktos; vis dėlto, remdamasis klausimynu, atkreipia dėmesį į EDAPP nuomonę, kad šių išteklių vis dar nepakanka naujoms užduotims, visų pirma susijusioms su DI sistemų priežiūra sienų kontrolės, migracijos, teisingumo ir teisėsaugos srityse arba apribotos bandomosios DI reglamentavimo aplinkos sukūrimu Europos Sąjungos institucijoms, organams, įstaigoms ir agentūroms, kaip numatyta Reglamento (ES) 2024/1689 57 straipsnio 3 dalyje, vykdyti; remdamasis EDAPP tolesnių veiksmų, susijusių su Parlamento rezoliucija dėl EDAPP 2023 m. biudžeto vykdymo, ataskaita (toliau – tolesnių veiksmų ataskaita), taip pat pažymi, kad, be kita ko, dėl biudžeto apribojimų 2024 m. EDAPP negalėjo pradėti rengti dirbtinio intelekto galimybių studijos; primena, kad EDAPP turėtų laikytis savo įgaliojimų kompetencijos bendradarbiaudamas su Sąjungos institucijomis ir agentūromis, kad būtų išvengta brangių teisinių procedūrų; primena, kad savo 2023 m. rezoliucijoje dėl biudžeto įvykdymo patvirtinimo Parlamentas jau įspėjo, kad laipsniškai plečiant EDAPP įgaliojimus jo turimų išteklių gali nebepakakti; pabrėžia, kad svarbu suteikti EDAPP pakankamai finansinių ir žmogiškųjų išteklių, kad jis galėtų veiksmingai prižiūrėti dirbtinio intelekto sistemas didelės rizikos srityse;</w:t>
      </w:r>
    </w:p>
    <w:p w14:paraId="03B942E6" w14:textId="77777777" w:rsidR="00D6749F" w:rsidRPr="005007DE" w:rsidRDefault="00D6749F" w:rsidP="00D6749F">
      <w:pPr>
        <w:pStyle w:val="NormalHanging12a"/>
        <w:rPr>
          <w:szCs w:val="24"/>
        </w:rPr>
      </w:pPr>
      <w:r w:rsidRPr="005007DE">
        <w:t>14.</w:t>
      </w:r>
      <w:r w:rsidRPr="005007DE">
        <w:tab/>
        <w:t>technologijų stebėsenos ir prognozavimo atžvilgiu pažymi, kad 2024 m. EDAPP, visų pirma jo Technologijų ir privatumo skyrius, daugiausia dėmesio skyrė dirbtiniam intelektui; atsižvelgdamas į tai, atkreipia dėmesį į kai kurias EDAPP nagrinėtas temas, pvz.: neurotechnologijas taikant atliekamą neuroduomenų tvarkymą, kaip nurodyta 2024 m. birželio mėn. EDAPP kartu su Ispanijos duomenų apsaugos institucijos paskelbtame leidinyje „TechDispatch on neurodata“, taip pat automatizuotą sprendimų priėmimą ir jo žmogaus atliekamą priežiūrą, kurie buvo aptarti 2024 m. rugsėjo mėn. kartu su Europos Sąjungos kibernetinio saugumo agentūra (ENISA) ir Karlstado universitetu surengtame teminiame seminare; džiaugdamasis pažymi, kad 2024 m. lapkričio mėn. EDAPP paskelbė savo ketvirtąją iniciatyvą „TechSonar“, kurioje daugiausia dėmesio skiriama šešioms DI tendencijoms, pavyzdžiui, paieškos rezultatais papildytų duomenų generavimui, įrenginyje įdiegtam DI, mašininių žinių panaikinimui, daugiarūšiui DI, kintamo masto priežiūrai ir neurosimboliniam DI; pabrėžia, jog svarbu, kad EDAPP kauptų žinias, būtinas jo įgaliojimams pagal Reglamentą (ES) 2024/1689 įgyvendinti, kai ES institucijos, organai, įstaigos ir agentūros pradės naudoti besiformuojančias technologijas asmens duomenims tvarkyti; be to, pažymi, kad 2024 m. EDAPP paskelbė pirmąsias gaires Europos Sąjungos institucijoms, organams, įstaigoms ir agentūroms, kuriomis siekiama užtikrinti duomenų apsaugos reikalavimų laikymąsi naudojant generatyvinio DI sistemas, taip pat tris priežiūros nuomones dėl DI priemonių naudojimo Europole ir Eurojuste;</w:t>
      </w:r>
    </w:p>
    <w:p w14:paraId="754825B4" w14:textId="77777777" w:rsidR="00D6749F" w:rsidRPr="005007DE" w:rsidRDefault="00D6749F" w:rsidP="00D6749F">
      <w:pPr>
        <w:pStyle w:val="NormalHanging12a"/>
        <w:rPr>
          <w:szCs w:val="24"/>
        </w:rPr>
      </w:pPr>
      <w:r w:rsidRPr="005007DE">
        <w:t>15.</w:t>
      </w:r>
      <w:r w:rsidRPr="005007DE">
        <w:tab/>
        <w:t>pripažįsta, kad kasmet vis daugėja skundų, nors dauguma skundų yra susiję su Komisija, o juos teikia Europos Sąjungos institucijų, organų, įstaigų ir agentūrų darbuotojai; pažymi, kad 2024 m. EDAPP gavo 663 skundus, t. y. 202 skundais daugiau nei 2023 m., iš kurių 108 buvo priimtini, o 555 – nepriimtini; pažymi, kad EDAPP priėmė galutinį sprendimą, pateikė nuomonę arba atsakymą 77 (t. y. 33 proc. daugiau nei 2023 m.) iš 108 skundų, gautų 2024 m., atvejais, ir atsakė į visus gautus nepriimtinus skundus; pažymi, kad iš visų 2024 m. gautų priimtinų skundų baigti nagrinėti 48 skundai, t. y. mažiau, palyginti su 55 skundais 2023 m.; pažymi, kad 2024 m. pabaigoje buvo nagrinėjami 104 priimtini skundai (t. y. daugiau, palyginti su 71 skundu 2023 m.), įskaitant iki 2024 m. pateiktus skundus; pripažįsta EDAPP pastangas sumažinti didelį skundų skaičių ir ragina jį toliau supaprastinti skundų nagrinėjimą siekiant, pvz., bendro sutarimo su nacionalinėmis duomenų apsaugos institucijomis dėl skundų nagrinėjimo procedūros, visų pirma laisvės, saugumo ir teisingumo srityje, kurioje tyrimai yra sudėtingi ir ilgai trunka; pažymi, kad 2024 m. EDAPP gavo 125 pranešimus apie asmens duomenų saugumo pažeidimus, o tai yra daugiau nei 2023 m. (77 pranešimai);</w:t>
      </w:r>
    </w:p>
    <w:p w14:paraId="6BDB5469" w14:textId="77777777" w:rsidR="00D6749F" w:rsidRPr="005007DE" w:rsidRDefault="00D6749F" w:rsidP="00D6749F">
      <w:pPr>
        <w:pStyle w:val="NormalHanging12a"/>
        <w:rPr>
          <w:szCs w:val="24"/>
        </w:rPr>
      </w:pPr>
      <w:r w:rsidRPr="005007DE">
        <w:t>16.</w:t>
      </w:r>
      <w:r w:rsidRPr="005007DE">
        <w:tab/>
        <w:t>primygtinai ragina EDAPP apsvarstyti savo PVRR ir užtikrinti, kad į juos būtų įtrauktas skundų nagrinėjimas, taip pat skundų nagrinėjimo ir tyrimų atlikimo tikslai, kaip tai daroma pagal Europos ombudsmeno taikomą praktiką;</w:t>
      </w:r>
    </w:p>
    <w:p w14:paraId="5842413F" w14:textId="77777777" w:rsidR="00D6749F" w:rsidRPr="005007DE" w:rsidRDefault="00D6749F" w:rsidP="00D6749F">
      <w:pPr>
        <w:pStyle w:val="NormalHanging12a"/>
        <w:rPr>
          <w:szCs w:val="24"/>
        </w:rPr>
      </w:pPr>
      <w:r w:rsidRPr="005007DE">
        <w:t>17.</w:t>
      </w:r>
      <w:r w:rsidRPr="005007DE">
        <w:tab/>
        <w:t>pabrėžia svarbų EDAPP konsultacijų ir patarimų vaidmenį Sąjungos teisėkūros procese ne tik ankstyvuoju Komisijos pasiūlymų dėl teisėkūros procedūra priimamų aktų rengimo etapu, bet ir Parlamento ir jo komitetų prašymu teikiant pastabas ar nuomones dėl kompromisinių pakeitimų per trišales derybas; pažymi, kad pagal Reglamento (ES) 2018/1725 42 straipsnio 1 dalį 2024 m. EDAPP atsakė į 97 oficialias teisėkūros konsultacijas (2023 m. – 80), o reaguojant į prašymus surengti teisėkūros konsultacijas, jo patarimai buvo pateikti Komisijai ir teisėkūros institucijoms skirtose 25 nuomonėse (2023 m. – 54), 45 oficialiose pastabose (2023 m. – 26) ir 27 neoficialiose pastabose (2023 m. – 34);</w:t>
      </w:r>
    </w:p>
    <w:p w14:paraId="00CDE688" w14:textId="77777777" w:rsidR="00D6749F" w:rsidRPr="005007DE" w:rsidRDefault="00D6749F" w:rsidP="00D6749F">
      <w:pPr>
        <w:pStyle w:val="NormalHanging12a"/>
        <w:rPr>
          <w:szCs w:val="24"/>
        </w:rPr>
      </w:pPr>
      <w:r w:rsidRPr="005007DE">
        <w:t>18.</w:t>
      </w:r>
      <w:r w:rsidRPr="005007DE">
        <w:tab/>
        <w:t>atkreipia dėmesį į svarbų Europos duomenų apsaugos valdybos vaidmenį derinant priežiūros institucijų gaires, procedūras, vykdymo užtikrinimo procesus ir praktiką visose valstybėse narėse; atsižvelgdamas į tai pažymi, kad 2024 m. Europos duomenų apsaugos valdyba nepriėmė nė vieno privalomo sprendimo, paskelbė 28 nuomones dėl nuoseklumo, priėmė dvi naujas gaires, paskelbė keturis pareiškimus dėl teisėkūros pokyčių, įgyvendino ir koordinavo keletą programų, susijusių su bendradarbiavimu vykdymo užtikrinimo srityje; taip pat pažymi, kad Europos duomenų apsaugos valdyba teikia sekretoriato paslaugas Koordinuotam priežiūros komitetui, kurį sudaro nacionalinės priežiūros institucijos ir EDAPP ir kuris užtikrina koordinuotą Sąjungos didelės apimties IT sistemų priežiūrą; 2024 m. tokia priežiūra buvo išplėsta įtraukiant Vizų informacinę sistemą, papildant parengiamąjį darbą, atliktą Europos kelionių informacijos ir leidimų sistemos (ETIAS) priežiūros srityje;</w:t>
      </w:r>
    </w:p>
    <w:p w14:paraId="76119E4F" w14:textId="77777777" w:rsidR="00D6749F" w:rsidRPr="005007DE" w:rsidRDefault="00D6749F" w:rsidP="00D6749F">
      <w:pPr>
        <w:pStyle w:val="NormalHanging12a"/>
        <w:rPr>
          <w:szCs w:val="24"/>
        </w:rPr>
      </w:pPr>
      <w:r w:rsidRPr="005007DE">
        <w:t>19.</w:t>
      </w:r>
      <w:r w:rsidRPr="005007DE">
        <w:tab/>
        <w:t>su džiaugsmu pažymi, kad, siekdamas sustiprinti savo tyrimo procesus, 2024 m. EDAPP parengė įvairias procedūrines priemones ir politiką; atsižvelgdamas į tai, giria EDAPP už tai, kad 2024 m. jis iš dalies pakeitė savo darbo tvarkos taisykles, pagal kurias „peržiūros procedūra“ buvo pakeista „preliminariu vertinimu“, siekiant apsaugoti visų susijusių šalių teisę būti išklausytoms; pažymi, kad nuo 2024 m. liepos mėn. Europos Sąjungos institucijos, organai, įstaigos ir agentūros gali pasidalyti savo nuomonėmis dėl preliminaraus vertinimo prieš EDAPP priimant sprendimą, kuris joms galėtų daryti neigiamą poveikį; pažymi, kad šios procedūrinės apsaugos priemonės padeda sąžiningai ir laiku nagrinėti skundus ir atlikti tyrimus; pažymi, kad 2024 m. EDAPP taip pat peržiūrėjo tyrimo metodikas, parengė galimybės susipažinti su byla vadovą, pagerino pasirengimą bylinėjimuisi, atnaujino vidaus skundų bylų vadovą ir patobulino klausymų įrašus bei transkripcijos procesus;</w:t>
      </w:r>
    </w:p>
    <w:p w14:paraId="1CF331AA" w14:textId="77777777" w:rsidR="00D6749F" w:rsidRPr="005007DE" w:rsidRDefault="00D6749F" w:rsidP="00D6749F">
      <w:pPr>
        <w:pStyle w:val="NormalHanging12a"/>
      </w:pPr>
      <w:r w:rsidRPr="005007DE">
        <w:t>20.</w:t>
      </w:r>
      <w:r w:rsidRPr="005007DE">
        <w:tab/>
        <w:t>remdamasis metine ataskaita ir tolesnių veiksmų ataskaita, pabrėžia ypatingą EDAPP dėmesį vaikų duomenų tvarkymui, visų pirma teisėsaugos srityje; pažymi, kad vienas iš 2024 m. EDAPP atliktų auditų buvo susijęs su vaikų asmens duomenų tvarkymu Ispanijoje veikiančio Komisijos Jungtinio tyrimų centro valdomuose mokslinių tyrimų projektuose, visų pirma kiek tai susiję su vaikų ir robotų sąveika; su džiaugsmu pažymi, kad 2024 m. spalio mėn. EDAPP dalyvavo G7 duomenų apsaugos institucijų apskritojo stalo diskusijoje Romoje, kurios metu duomenų apsaugos institucijos paskelbė pareiškimą dėl DI ir vaikų, kuriame primygtinai ragino imtis veiksmų siekiant apsaugoti vaikų privatumą ir užtikrinti, kad DI skatintų pasitikėjimą, kartu apsaugant pažeidžiamiausius asmenis; primena, kad EDAPP atliko specialų patikrinimą, kaip Europolas tvarko duomenis apie jaunesnius nei 15 metų amžiaus nepilnamečius, kurie nurodomi kaip įtariamieji; palankiai vertina tai, kad EDAPP nustatė, jog bendras partnerių pateiktos informacijos apie nepilnamečius (įskaitant jaunesnius nei 15 metų amžiaus) vertinimo procesas yra aiškus ir gerai išplėtotas; pažymi, kad EDAPP patikrinimo ataskaitoje Europolas raginamas tęsti gautų duomenų teisėtumo vertinimą, ir pabrėžia, kad tvarkydamas duomenis apie nepilnamečius, kurie įtariami padarę nusikalstamą veiką, Europolas laikosi griežto būtinumo principo;</w:t>
      </w:r>
    </w:p>
    <w:p w14:paraId="38C51A9A" w14:textId="77777777" w:rsidR="00D6749F" w:rsidRPr="005007DE" w:rsidRDefault="00D6749F" w:rsidP="00D6749F">
      <w:pPr>
        <w:pStyle w:val="NormalHanging12a"/>
        <w:rPr>
          <w:szCs w:val="24"/>
        </w:rPr>
      </w:pPr>
      <w:r w:rsidRPr="005007DE">
        <w:t>21.</w:t>
      </w:r>
      <w:r w:rsidRPr="005007DE">
        <w:tab/>
        <w:t>pažymi, kad Europos Sąjungos institucijos, organai, įstaigos ir agentūros gali prašyti EDAPP pateikti gaires dėl planuojamų duomenų tvarkymo operacijų ir duomenų apsaugos; pažymi, kad EDAPP pateikė rekomendacijas 26 konsultacijose ir 26 priežiūros nuomonėse įvairiomis temomis; visų pirma pažymi, kad 2024 m. gruodžio mėn. EDAPP paskelbė priežiūros nuomonę dėl Parlamento plano naudoti biometrinius duomenis siekiant patvirtinti Parlamento narių dalyvavimą mokant dienpinigius;</w:t>
      </w:r>
    </w:p>
    <w:p w14:paraId="7C9A6999" w14:textId="77777777" w:rsidR="00D6749F" w:rsidRPr="005007DE" w:rsidRDefault="00D6749F" w:rsidP="00D6749F">
      <w:pPr>
        <w:pStyle w:val="NormalHanging12a"/>
        <w:rPr>
          <w:szCs w:val="24"/>
        </w:rPr>
      </w:pPr>
      <w:r w:rsidRPr="005007DE">
        <w:t>22.</w:t>
      </w:r>
      <w:r w:rsidRPr="005007DE">
        <w:tab/>
        <w:t>pažymi, kad 2024 m. EDAPP atliko keturis tyrimus ir du išankstinius tyrimus, t. y. mažiau, palyginti su 2023 m.; pažymi, kad tarp svarbiausių atvejų yra išankstinis tyrimas dėl automatizuoto sprendimų priėmimo atrenkant stažuotojus, tyrimas dėl to, kaip Komisija naudoja „Microsoft 365“, ir vienas išankstinis tyrimas dėl profiliavimo viešos prieigos taikomosiose programose; dėl Komisijos naudojimosi „Microsoft 365“, pažymi, kad atlikus tyrimą nustatyta daug Reglamento (ES) 2018/1725 pažeidimų, dėl kurių EDAPP nurodė Komisijai iki 2024 m. gruodžio 9 d. sustabdyti visus duomenų srautus į „Microsoft“ ir su ja susijusias įmones už Sąjungos ir (arba) Europos ekonominės erdvės (EEE) ribų; ragina EDAPP nuolat informuoti biudžeto įvykdymą tvirtinančią instituciją apie tolesnių veiksmų, susijusių su tuo, kaip Komisija šiuo atveju laikosi EDAPP rekomendacijų, rezultatus; taip pat pažymi, kad 2024 m. EDAPP tęsė penkis tyrimus dėl Europos Sąjungos institucijų, organų, įstaigų ir agentūrų interneto svetainių praktikos, daugiausia dėmesio skirdamas trečiųjų šalių komponentams ir prašymams duoti sutikimą; pažymi, kad 2024 m. EDAPP atliko tris auditus vietoje tokiomis temomis kaip sveikatos duomenų tvarkymas, duomenų saugojimo laikotarpiai ir moksliniai tyrimai, susiję su nepilnamečiais;</w:t>
      </w:r>
    </w:p>
    <w:p w14:paraId="4AD202C0" w14:textId="77777777" w:rsidR="00D6749F" w:rsidRPr="005007DE" w:rsidRDefault="00D6749F" w:rsidP="00D6749F">
      <w:pPr>
        <w:pStyle w:val="NormalHanging12a"/>
      </w:pPr>
      <w:r w:rsidRPr="005007DE">
        <w:t>23.</w:t>
      </w:r>
      <w:r w:rsidRPr="005007DE">
        <w:tab/>
        <w:t>primena, kad 2022 m. EDAPP Europos Sąjungos Teisingumo Teisme (ESTT) pateikė ieškinį dėl dviejų iš dalies pakeisto Europos Parlamento ir Tarybos reglamento (ES) 2016/794</w:t>
      </w:r>
      <w:r w:rsidRPr="005007DE">
        <w:rPr>
          <w:vertAlign w:val="superscript"/>
        </w:rPr>
        <w:footnoteReference w:id="9"/>
      </w:r>
      <w:r w:rsidRPr="005007DE">
        <w:t xml:space="preserve"> nuostatų panaikinimo, kurį ESTT vėliau atmetė, tačiau EDAPP pateikė apeliacinį skundą Bendrajam Teismui byloje T-578/22</w:t>
      </w:r>
      <w:r w:rsidRPr="005007DE">
        <w:rPr>
          <w:vertAlign w:val="superscript"/>
        </w:rPr>
        <w:footnoteReference w:id="10"/>
      </w:r>
      <w:r w:rsidRPr="005007DE">
        <w:t>, nes mano, kad iškelti klausimai turėtų būti sprendžiami aukščiausiu lygmeniu; remdamasis tolesnių veiksmų ataskaita pažymi, kad, kol vyksta šio apeliacinio skundo nagrinėjimas, EDAPP šio skundo nekomentuoja; primena, kad tai, jog EDAPP, atlikdamas priežiūros funkciją, į ESTT kreipiasi dėl teisinių klausimų, neturėtų turėti įtakos lojaliam EDAPP ir jo prižiūrimų subjektų bendradarbiavimui ir geriems santykiam, tačiau pažymi, kad dėl to kyla abejonių dėl EDAPP pozicijos dėl Parlamento ir Tarybos, kaip teisės aktų leidėjo, vaidmens;</w:t>
      </w:r>
    </w:p>
    <w:p w14:paraId="75C05670" w14:textId="77777777" w:rsidR="00D6749F" w:rsidRPr="005007DE" w:rsidRDefault="00D6749F" w:rsidP="00D6749F">
      <w:pPr>
        <w:pStyle w:val="NormalHanging12a"/>
        <w:rPr>
          <w:szCs w:val="24"/>
        </w:rPr>
      </w:pPr>
      <w:r w:rsidRPr="005007DE">
        <w:t>24.</w:t>
      </w:r>
      <w:r w:rsidRPr="005007DE">
        <w:tab/>
        <w:t xml:space="preserve">pažymi, kad 2024 m. atlikus EDAPP vidaus kontrolės standartų vertinimą patvirtinta, jog vidaus kontrolės lygis yra patenkinamas ir kad visi 14 standartų buvo nustatyti ir taikomi; pažymi, kad buvo sudaryta darbo grupė, kuriai pavesta analizuoti rezultatus ir siūlyti patobulinimus, pvz., mokymo ir plėtros, taip pat žinių ir dokumentų valdymo srityse; remdamasis klausimynu pažymi, kad EDAPP atnaujintoje rizikos valdymo sistemoje nustatyti struktūriniai tolesni veiksmai, o tai leido organizacijai užtikrinti, kad rizikos mažinimo pastangos išliktų veiksmingos ir nuosekliai stebimos; taip pat pažymi, kad EDAPP atnaujino savo </w:t>
      </w:r>
      <w:r w:rsidRPr="005007DE">
        <w:rPr>
          <w:i/>
          <w:iCs/>
        </w:rPr>
        <w:t>ex post</w:t>
      </w:r>
      <w:r w:rsidRPr="005007DE">
        <w:t xml:space="preserve"> kontrolės procedūrą, kuri dabar yra grindžiama rizika, ir sustiprino veiklos tęstinumą bei audito seką, integruodamas sistemą „ARES“, rengdamas mokymus ir patobulindamas žinių valdymo procesus;</w:t>
      </w:r>
    </w:p>
    <w:p w14:paraId="6EC10CF5" w14:textId="77777777" w:rsidR="00D6749F" w:rsidRPr="005007DE" w:rsidRDefault="00D6749F" w:rsidP="00D6749F">
      <w:pPr>
        <w:pStyle w:val="NormalHanging12a"/>
      </w:pPr>
      <w:r w:rsidRPr="005007DE">
        <w:t>25.</w:t>
      </w:r>
      <w:r w:rsidRPr="005007DE">
        <w:tab/>
        <w:t>remdamasis klausimynu pažymi, kad 2024 m. Komisijos Vidaus audito tarnyba (VAT) pradėjo vieną Parlamento EDAPP teikiamų IT paslaugų valdymo auditą, kurio dvi rekomendacijas EDAPP šiuo metu įgyvendina; atsižvelgdamas į 2023 m. atliktą EDAPP auditų planavimo metodikos auditą pažymi, kad į vieną iš dviejų Vidaus audito tarnybos pateiktų rekomendacijų buvo atsižvelgta, o kitos rekomendacijos (dėl EDAPP audito plano rengimo metodikos) įgyvendinimas buvo atidėtas, kol bus paskirtas naujas priežiūros pareigūnas; ragina EDAPP nuolat informuoti biudžeto įvykdymą tvirtinančią instituciją apie šioje srityje padarytą pažangą ir pažymi, kad EDAPP turėtų konsultuotis su subjektais, kurių auditą jis atliko, dėl rekomendacijų, kurias planuojama pateikti, įgyvendinamumo ir tinkamumo, siekiant užtikrinti, kad vėliau audituojama įstaiga rekomendacijas galėtų įgyvendinti greitai, veiksmingai ir efektyviai naudodama išteklius;</w:t>
      </w:r>
    </w:p>
    <w:p w14:paraId="7F1B0005" w14:textId="77777777" w:rsidR="00D6749F" w:rsidRPr="005007DE" w:rsidRDefault="00D6749F" w:rsidP="00D6749F">
      <w:pPr>
        <w:pStyle w:val="NormalHanging12a"/>
        <w:rPr>
          <w:b/>
          <w:i/>
          <w:szCs w:val="24"/>
        </w:rPr>
      </w:pPr>
      <w:r w:rsidRPr="005007DE">
        <w:rPr>
          <w:b/>
          <w:i/>
        </w:rPr>
        <w:t>Žmogiškieji ištekliai, lygybė ir darbuotojų gerovė</w:t>
      </w:r>
    </w:p>
    <w:p w14:paraId="49DCCB1C" w14:textId="77777777" w:rsidR="00D6749F" w:rsidRPr="005007DE" w:rsidRDefault="00D6749F" w:rsidP="00D6749F">
      <w:pPr>
        <w:pStyle w:val="NormalHanging12a"/>
        <w:rPr>
          <w:szCs w:val="24"/>
        </w:rPr>
      </w:pPr>
      <w:r w:rsidRPr="005007DE">
        <w:t>26.</w:t>
      </w:r>
      <w:r w:rsidRPr="005007DE">
        <w:tab/>
        <w:t>pažymi, kad 2024 m. pabaigoje EDAPP dirbo 137 darbuotojai, o 2023 m. – 129; pažymi, kad 2023 m. EDAPP įdarbino 55 sutartininkus pagal Europos Sąjungos pareigūnų tarnybos nuostatų ir kitų tarnautojų įdarbinimo sąlygų 3 straipsnio b punktą (2023 m. – 50 sutartininkų), 9 laikinuosius darbuotojus pagal 2 straipsnio b ir c punktus (2023 m. – 7 laikinuosius darbuotojus) ir naudojosi 10 </w:t>
      </w:r>
      <w:r w:rsidRPr="005007DE">
        <w:rPr>
          <w:i/>
          <w:iCs/>
        </w:rPr>
        <w:t>intra muros</w:t>
      </w:r>
      <w:r w:rsidRPr="005007DE">
        <w:t xml:space="preserve"> dirbusių išorės paslaugų teikėjų (2022 m. – 12 išorės paslaugų teikėjų) paslaugomis; ragina EDAPP apsvarstyti, kaip būtų galima sumažinti sutartininkų skaičių siekiant sudaryti neterminuotas darbo sutartis, kad būtų užtikrintas specialistų išlaikymas ir veiklos tęstinumas; pažymi, kad 2024 m. EDAPP dirbo 23 pilietybių darbuotojai iš valstybių narių (tiek pat, kiek ir 2023 m.), o tai, nepaisant pernelyg didelio 5 pilietybių atstovų skaičiaus ir nepakankamo kitų pilietybių atstovavimo, tokiai mažai institucijai yra puikus pasiekimas; ragina EDAPP toliau dėti pastangas siekiant subalansuoto geografinio visų valstybių narių piliečių pasiskirstymo, ypatingą dėmesį skiriant vadovybės lygmeniui, be kita ko, vykdant įdarbinimo politiką;</w:t>
      </w:r>
    </w:p>
    <w:p w14:paraId="3668BE6D" w14:textId="77777777" w:rsidR="00D6749F" w:rsidRPr="005007DE" w:rsidRDefault="00D6749F" w:rsidP="00D6749F">
      <w:pPr>
        <w:pStyle w:val="NormalHanging12a"/>
      </w:pPr>
      <w:r w:rsidRPr="005007DE">
        <w:t>27.</w:t>
      </w:r>
      <w:r w:rsidRPr="005007DE">
        <w:tab/>
        <w:t>atkreipia dėmesį į 2024 m. didelį etatų plano užimtumo rodiklį, kuris siekė 98,80 proc. (palyginti su 95,65 proc. 2023 m.), tačiau kartu ir į didelį darbuotojų kaitos lygį – 12 proc. (palyginti su 13 proc. 2023 m.); pažymi, kad dauguma laisvų darbo vietų atsirado dėl to, kad kandidatai buvo netinkami;</w:t>
      </w:r>
      <w:r w:rsidRPr="005007DE">
        <w:rPr>
          <w:b/>
          <w:i/>
        </w:rPr>
        <w:t xml:space="preserve"> </w:t>
      </w:r>
      <w:r w:rsidRPr="005007DE">
        <w:t>pripažįsta įdarbinimo ir atrankos procedūrose nustatytas problemas; remdamasis tolesnių veiksmų ataskaita su džiaugsmu pažymi, kad šioms problemoms spręsti EDAPP parengė išsamią darbuotojų išlaikymo ir specialistų pritraukimo strategiją, kuri buvo priimta 2025 m. pradžioje ir kurioje numatyti trumpalaikiai, vidutinės trukmės ir ilgalaikiai veiksmai, susiję su patyrusių darbuotojų išlaikymu, kaitos rizikos mažinimu ir EDAPP, kaip darbdavio, patrauklumo didinimu; ragina EDAPP toliau tobulinti įdarbinimo procedūras, kartu visapusiškai laikantis nuopelnų, skaidrumo ir vienodo požiūrio principų;</w:t>
      </w:r>
    </w:p>
    <w:p w14:paraId="6B5E197C" w14:textId="77777777" w:rsidR="00D6749F" w:rsidRPr="005007DE" w:rsidRDefault="00D6749F" w:rsidP="00D6749F">
      <w:pPr>
        <w:pStyle w:val="NormalHanging12a"/>
        <w:rPr>
          <w:szCs w:val="24"/>
        </w:rPr>
      </w:pPr>
      <w:r w:rsidRPr="005007DE">
        <w:t>28.</w:t>
      </w:r>
      <w:r w:rsidRPr="005007DE">
        <w:tab/>
        <w:t>dėl EDAPP darbuotojų pasiskirstymo pagal lytį pažymi, kad 2024 m. 63 proc. visų darbuotojų buvo moterys ir 37 proc. – vyrai, panašiai kaip ir ankstesniais metais, kai moterų ir vyrų pasiskirstymas buvo atitinkamai 65 proc. ir 35 proc.; atkreipia dėmesį į viduriniosios grandies vadovybės lyčių pusiausvyrą – trys vyrai ir trys moterys, tačiau apgailestauja dėl to, kad vis dar nepakankamai moterų eina vyresniosios vadovybės pareigas; ragina EDAPP toliau dėti pastangas siekiant užtikrinti lyčių pusiausvyrą tarp darbuotojų;</w:t>
      </w:r>
    </w:p>
    <w:p w14:paraId="1404AB9A" w14:textId="77777777" w:rsidR="00D6749F" w:rsidRPr="005007DE" w:rsidRDefault="00D6749F" w:rsidP="00D6749F">
      <w:pPr>
        <w:ind w:left="567" w:hanging="567"/>
      </w:pPr>
      <w:r w:rsidRPr="005007DE">
        <w:t>29.</w:t>
      </w:r>
      <w:r w:rsidRPr="005007DE">
        <w:tab/>
        <w:t xml:space="preserve">pažymi, kad EDAPP įdarbino 20 stažuotojų pagal Komisijos Mėlynosios knygos stažuočių programą, kuriems buvo mokama maždaug 1 500 EUR mėnesinė išmoka, ir vieną neapmokamą stažuotoją pagal akademinės stažuotės susitarimą; </w:t>
      </w:r>
      <w:bookmarkStart w:id="9" w:name="_Hlk215140632"/>
      <w:r w:rsidRPr="005007DE">
        <w:t>dar kartą pabrėžia, kad stažuotė turėtų būti atlyginama vadovaujantis 2023 m. birželio 14 d. Europos Parlamento rezoliucija su rekomendacijomis Komisijai dėl kokybiškų stažuočių Sąjungoje (2020/2005(INL)), kurioje raginama užtikrinti, kad visos stažuotės Sąjungoje būtų apmokamos;</w:t>
      </w:r>
      <w:bookmarkEnd w:id="9"/>
    </w:p>
    <w:p w14:paraId="1237E8AC" w14:textId="77777777" w:rsidR="00D6749F" w:rsidRPr="005007DE" w:rsidRDefault="00D6749F" w:rsidP="00D6749F">
      <w:pPr>
        <w:ind w:left="567"/>
      </w:pPr>
    </w:p>
    <w:p w14:paraId="05E5CB08" w14:textId="77777777" w:rsidR="00D6749F" w:rsidRPr="005007DE" w:rsidRDefault="00D6749F" w:rsidP="00D6749F">
      <w:pPr>
        <w:pStyle w:val="NormalHanging12a"/>
        <w:rPr>
          <w:szCs w:val="24"/>
        </w:rPr>
      </w:pPr>
      <w:r w:rsidRPr="005007DE">
        <w:t>30.</w:t>
      </w:r>
      <w:r w:rsidRPr="005007DE">
        <w:tab/>
        <w:t>atkreipia dėmesį į veiklą, kurią EDAPP vykdė 2024 m. plėtodamas savo žmogiškuosius išteklius; pažymi, kad jis patvirtino naują internetinių mokymosi platformų politiką, prisijungė prie naujos tarpinstitucinės darbo stebėjimo programos, pagal kurią penki EDAPP darbuotojai mokėsi stebėdami Komisijos darbuotojų darbą, surengė išvažiuojamąjį renginį darbuotojams apie pasirengimą DI ir kitą bendrumo stiprinimo veiklą; atkreipia dėmesį į tai, kad įsteigta kelių skyrių darbo grupė, kurios tikslas – plėtoti iniciatyvas, kuriomis skatinama lygybė, įtrauktis ir įvairovė;</w:t>
      </w:r>
    </w:p>
    <w:p w14:paraId="5BAA9C64" w14:textId="77777777" w:rsidR="00D6749F" w:rsidRPr="005007DE" w:rsidRDefault="00D6749F" w:rsidP="00D6749F">
      <w:pPr>
        <w:pStyle w:val="NormalHanging12a"/>
      </w:pPr>
      <w:r w:rsidRPr="005007DE">
        <w:t>31.</w:t>
      </w:r>
      <w:r w:rsidRPr="005007DE">
        <w:tab/>
        <w:t>remdamasis klausimynu pažymi, kad EDAPP siūlo lanksčias ir mišrias darbo sąlygas, kurias darbuotojai vertina palankiai, nes jiems suteikiamos galimybės, be kita ko, pasinaudoti vaiko priežiūros atostogomis, laiko kreditais, dirbti ne visą darbo laiką arba tam tikrą skaičių dienų per metus dirbti iš užsienio; pažymi, kad kitą darbuotojų pasitenkinimo darbu apklausą, susijusią su nuotoliniu darbu, planuota atlikti 2025 m.; mano, kad prireikus pastatų infrastruktūra turėtų būti optimizuota, kad atspindėtų lanksčias ir mišrias darbo sąlygas, nes tai galėtų padėti sumažinti veiklos sąnaudas ir užtikrinti veiksmingesnį biuro patalpų panaudojimą;</w:t>
      </w:r>
    </w:p>
    <w:p w14:paraId="3B3E81CB" w14:textId="77777777" w:rsidR="00D6749F" w:rsidRPr="005007DE" w:rsidRDefault="00D6749F" w:rsidP="00D6749F">
      <w:pPr>
        <w:pStyle w:val="NormalHanging12a"/>
        <w:rPr>
          <w:szCs w:val="24"/>
        </w:rPr>
      </w:pPr>
      <w:r w:rsidRPr="005007DE">
        <w:t>32.</w:t>
      </w:r>
      <w:r w:rsidRPr="005007DE">
        <w:tab/>
        <w:t>pažymi, kad šiuo metu EDAPP nedirba nė vienas negalią turintis darbuotojas, bet į visus EDAPP pranešimus apie laisvas darbo vietas yra įtraukta lygių galimybių sąlyga, be to, EDAPP aktyviai skatina kandidatus su negalia teikti paraiškas; pažymi, kad EDAPP interneto svetainė yra grindžiama turinio valdymo sistema, suderinta su esminiais prieinamos interneto svetainės dizaino standartais, o visos papildomos šios interneto svetainės funkcijos sukurtos prieinamumą laikant vienu iš pagrindinių reikalavimų;</w:t>
      </w:r>
    </w:p>
    <w:p w14:paraId="68061DF0" w14:textId="77777777" w:rsidR="00D6749F" w:rsidRPr="005007DE" w:rsidRDefault="00D6749F" w:rsidP="00D6749F">
      <w:pPr>
        <w:pStyle w:val="NormalHanging12a"/>
      </w:pPr>
      <w:r w:rsidRPr="005007DE">
        <w:t>33.</w:t>
      </w:r>
      <w:r w:rsidRPr="005007DE">
        <w:tab/>
        <w:t>remdamasis klausimynu atkreipia dėmesį į EDAPP atsakymą, kad EDAPP neturi prieigos prie savo darbuotojų medicininių duomenų ir negali žinoti pagrindinės nebuvimo darbe priežasties, nes tai tvirtina Komisijos medicinos tarnyba; pažymi, kad EDAPP turi prieigą tik prie apibendrintų duomenų, pvz., laikinojo nedarbingumo atostogų dienų skaičiaus ir ar pridedama medicininė pažyma; pažymi, kad laikinojo nedarbingumo atostogų dienų skaičiaus padidėjimas nuo 2023 iki 2024 m., t. y. nuo 1 680,50 iki 1 946 (+ 15,80 proc.), viršijo darbuotojų skaičiaus padidėjimą nuo 129 iki 137 (t. y. + 6,20 proc.); pažymi, kad vidutinė ligos trukmė vienam asmeniui taip pat pailgėjo nuo 14,7 dienų 2023 m. iki 18,30 dienų 2024 m. ir kad laikinojo nedarbingumo atostogų rodiklis padidėjo nuo 3,60 proc. 2023 m. iki 3,9 proc. 2024 m.; yra susirūpinęs dėl dabartinės padėties ir toliau prašo aiškiau įvertinti darbuotojų gerovę siekiant nustatyti galimas pasikartojančias perdegimo priežastis, apie kurių atvejus turėtų būti kasmet pranešama biudžeto įvykdymą tvirtinančiai institucijai, kaip tai privalo daryti visos kitos institucijos; prašo EDAPP, bendradarbiaujant su Komisijos medicinos tarnyba, atlikti tikslinį pagrindinių šio padidėjimo priežasčių vertinimą, ypatingą dėmesį skiriant perdegimo prevencijai;</w:t>
      </w:r>
    </w:p>
    <w:p w14:paraId="4DB76E2F" w14:textId="77777777" w:rsidR="00D6749F" w:rsidRPr="005007DE" w:rsidRDefault="00D6749F" w:rsidP="00D6749F">
      <w:pPr>
        <w:pStyle w:val="NormalHanging12a"/>
        <w:rPr>
          <w:szCs w:val="24"/>
        </w:rPr>
      </w:pPr>
      <w:r w:rsidRPr="005007DE">
        <w:t>34.</w:t>
      </w:r>
      <w:r w:rsidRPr="005007DE">
        <w:tab/>
        <w:t>remdamasis klausimynu pažymi, kad 2024 m. EDAPP negavo nė vieno pranešimo apie priekabiavimą; palankiai vertina tai, kad 2024 m. EDAPP toliau teikė kovos su priekabiavimu pristatymą, kurį per naujų darbuotojų priėmimo sesiją pristatė vienas iš EDAPP konfidencialių patarėjų; palankiai vertina tai, kad EDAPP intranete paskelbtas sprendimas dėl kovos su priekabiavimu ir konfidencialių patarėjų vaidmuo;</w:t>
      </w:r>
    </w:p>
    <w:p w14:paraId="110ACD6E" w14:textId="77777777" w:rsidR="00D6749F" w:rsidRPr="005007DE" w:rsidRDefault="00D6749F" w:rsidP="00D6749F">
      <w:pPr>
        <w:pStyle w:val="NormalHanging12a"/>
        <w:rPr>
          <w:szCs w:val="24"/>
        </w:rPr>
      </w:pPr>
      <w:r w:rsidRPr="005007DE">
        <w:rPr>
          <w:b/>
          <w:i/>
        </w:rPr>
        <w:t>Etikos sistema ir skaidrumas</w:t>
      </w:r>
    </w:p>
    <w:p w14:paraId="6677ABF5" w14:textId="77777777" w:rsidR="00D6749F" w:rsidRPr="005007DE" w:rsidRDefault="00D6749F" w:rsidP="00D6749F">
      <w:pPr>
        <w:pStyle w:val="NormalHanging12a"/>
      </w:pPr>
      <w:r w:rsidRPr="005007DE">
        <w:t>35.</w:t>
      </w:r>
      <w:r w:rsidRPr="005007DE">
        <w:tab/>
        <w:t>pažymi, kad EDAPP sukūrė sistemą, kuria siekiama užkirsti kelią interesų konfliktams vyresniosios vadovybės ir darbuotojų lygmeniu, taikant elgesio kodeksus, didinant informuotumą ir teikiant deklaracijas dėl konfliktų nebuvimo ir konfidencialumo; pažymi, kad visi prie EDAPP prisijungiantys darbuotojai turi pasirašyti deklaraciją dėl konfliktų nebuvimo ir konfidencialumo; pažymi, kad 2024 m. EDAPP neužregistruota jokių interesų konfliktų ar informavimo apie pažeidimus atvejų; susirūpinęs pažymi, kad 2024 m. EDAPP buvo pranešta apie vieną galimo sukčiavimo atvejį, kurį tyrė Komisijos tyrimų ir drausmės tarnyba (IDOC); šiuo atveju pažymi, kad 2025 m. IDOC užbaigė tyrimą ir pateikė EDAPP rekomendaciją pradėti drausminę procedūrą pagal tarnybos nuostatus; ragina EDAPP nuolat informuoti biudžeto įvykdymą tvirtinančią instituciją apie galutinį sprendimą šioje byloje, taip pat apie visas galimas priemones, kurių imtasi siekiant sustiprinti vidaus kovos su sukčiavimu kontrolę;</w:t>
      </w:r>
    </w:p>
    <w:p w14:paraId="180CBC49" w14:textId="77777777" w:rsidR="00D6749F" w:rsidRPr="005007DE" w:rsidRDefault="00D6749F" w:rsidP="00D6749F">
      <w:pPr>
        <w:pStyle w:val="NormalHanging12a"/>
        <w:rPr>
          <w:szCs w:val="24"/>
        </w:rPr>
      </w:pPr>
      <w:r w:rsidRPr="005007DE">
        <w:t>36.</w:t>
      </w:r>
      <w:r w:rsidRPr="005007DE">
        <w:tab/>
        <w:t>pažymi, kad 2024 m. EDAPP toliau rengė EDAPP ir Europos duomenų apsaugos valdybos naujiems darbuotojams skirtus įvadinius mokymus, apimančius jo etikos sistemą (dėl priekabiavimo, informavimo apie pažeidimus, interesų konfliktų) ir kovos su sukčiavimu strategiją; pažymi, kad EDAPP etikos pareigūnas kasmet EDAPP ir Europos duomenų apsaugos valdybos vadovybei teikia etikos ataskaitą ir dalyvauja darbo grupės etikos klausimais „Comité Paritaire des Questions Statuaries“ veikloje; su džiaugsmu pažymi, kad EDAPP sukūrė e. pašto dėžutę, į kurią darbuotojai gali siųsti visas su etika susijusias užklausas; ragina EDAPP toliau didinti informuotumą ir organizuoti apklausas siekiant įvertinti darbuotojų informuotumo apie EDAPP ir (arba) Europos duomenų apsaugos valdybos etikos sistemą lygį;</w:t>
      </w:r>
    </w:p>
    <w:p w14:paraId="3B9FEDAC" w14:textId="77777777" w:rsidR="00D6749F" w:rsidRPr="005007DE" w:rsidRDefault="00D6749F" w:rsidP="00D6749F">
      <w:pPr>
        <w:pStyle w:val="NormalHanging12a"/>
      </w:pPr>
      <w:r w:rsidRPr="005007DE">
        <w:t>37.</w:t>
      </w:r>
      <w:r w:rsidRPr="005007DE">
        <w:tab/>
        <w:t>palankiai vertina tai, kad EDAPP pasiekė bendrą aukštą savo veiklos skaidrumo lygį, be kita ko, kiek tai susiję su priežiūros pareigūno ir generalinio sekretoriaus darbotvarkės ir interesų deklaracijos skelbimu; remdamasis klausimynu su džiaugsmu pažymi, kad 2023–2024 m. atlikus skaidrumo priemonių vidaus vertinimą, 2025 m. EDAPP priėmė sprendimą, pagal kurį priežiūros pareigūnas, generalinis sekretorius ir vadovaujamas pareigas einantys EDAPP darbuotojai susitiks su interesų grupių atstovais tik tuo atveju, jei jie bus užsiregistravę Sąjungos skaidrumo registre; palankiai vertina tai, kad šiuo sprendimu EDAPP prisijungė prie Sąjungos skaidrumo registro ir kad jo valdyba buvo tinkamai informuota; rekomenduoja EDAPP savo interneto svetainėje paskelbti visų susitikimų su interesų grupių atstovais sąrašą siekiant toliau didinti viešąją atskaitomybę ir skaidrumą;</w:t>
      </w:r>
    </w:p>
    <w:p w14:paraId="016DBF52" w14:textId="77777777" w:rsidR="00D6749F" w:rsidRPr="005007DE" w:rsidRDefault="00D6749F" w:rsidP="00D6749F">
      <w:pPr>
        <w:pStyle w:val="NormalHanging12a"/>
        <w:rPr>
          <w:szCs w:val="24"/>
        </w:rPr>
      </w:pPr>
      <w:r w:rsidRPr="005007DE">
        <w:t>38.</w:t>
      </w:r>
      <w:r w:rsidRPr="005007DE">
        <w:tab/>
        <w:t>pažymi, kad Europos ombudsmenas atliko EDAPP tyrimą dėl 2023 m. inicijuotos bylos, kuri buvo užbaigta 2024 m. nustačius netinkamo administravimo atvejį; pažymi, kad ši išvada buvo susijusi su laiku, per kurį EDAPP užbaigė skundo vertinimą per pagrįstą laikotarpį ir aktyviai neinformavo skundo pateikėjo apie bylos eigą; todėl palankiai vertina tai, kad EDAPP ėmėsi veiksmų, jog pagerintų savo procedūras, pagal kurias dabar reikalaujama, kad darbuotojai aktyviai atnaujintų skundus ir sustabdytų tyrimus, kol laukiama teismo sprendimų arba kitų organų sprendimų tuo pačiu klausimu; remdamasis klausimynu pažymi, kad 2024 m. EDAPP buvo susijęs su trejais Europos kovos su sukčiavimu tarnybos (OLAF) atliekamais tyrimais, kurie šiuo metu vykdomi; ragina EDAPP šiais klausimais nuolat informuoti biudžeto įvykdymą tvirtinančią instituciją;</w:t>
      </w:r>
    </w:p>
    <w:p w14:paraId="6A516C7A" w14:textId="77777777" w:rsidR="00D6749F" w:rsidRPr="005007DE" w:rsidRDefault="00D6749F" w:rsidP="00D6749F">
      <w:pPr>
        <w:pStyle w:val="NormalHanging12a"/>
      </w:pPr>
      <w:r w:rsidRPr="005007DE">
        <w:t>39.</w:t>
      </w:r>
      <w:r w:rsidRPr="005007DE">
        <w:tab/>
        <w:t>pabrėžia EDAPP vaidmenį prižiūrint Europos Sąjungos institucijų, organų, įstaigų ir agentūrų atliekamas asmens duomenų tvarkymo operacijas; reiškia susirūpinimą dėl to, kad EDAPP reikia daug laiko skundams išnagrinėti; primena 2024 m. lapkričio 7 d. Europos ombudsmeno sprendimą byloje 1888/2023/TM, kuriame jis nustatė, kad šešerių metų laikotarpis, per kurį EDAPP išnagrinėjo skundą, yra nepagrįstas ir kad EDAPP požiūris buvo netinkamas administravimas; pažymi, kad ombudsmenas nustatė, jog EDAPP taip pat neinformavo skundo pateikėjo apie bylos nagrinėjimo eigą;</w:t>
      </w:r>
    </w:p>
    <w:p w14:paraId="50BB6D4C" w14:textId="77777777" w:rsidR="00D6749F" w:rsidRPr="005007DE" w:rsidRDefault="00D6749F" w:rsidP="00D6749F">
      <w:pPr>
        <w:pStyle w:val="NormalHanging12a"/>
        <w:rPr>
          <w:szCs w:val="24"/>
        </w:rPr>
      </w:pPr>
      <w:r w:rsidRPr="005007DE">
        <w:t>40.</w:t>
      </w:r>
      <w:r w:rsidRPr="005007DE">
        <w:tab/>
        <w:t>pažymi, kad pagal EDAPP elgesio kodekso 9 straipsnį priežiūros pareigūnas ir generalinis sekretorius trejus metus po to, kai nustoja eiti pareigas, privalo laikytis sąžiningumo, diskretiškumo ir konfidencialumo pareigos; pažymi, kad 2024 m. nė vienas vyresnysis pareigūnas neišėjo iš darbo ar prisijungė prie EDAPP;</w:t>
      </w:r>
    </w:p>
    <w:p w14:paraId="415CCDE8" w14:textId="77777777" w:rsidR="00D6749F" w:rsidRPr="005007DE" w:rsidRDefault="00D6749F" w:rsidP="00D6749F">
      <w:pPr>
        <w:pStyle w:val="NormalHanging12a"/>
        <w:rPr>
          <w:szCs w:val="24"/>
        </w:rPr>
      </w:pPr>
      <w:r w:rsidRPr="005007DE">
        <w:rPr>
          <w:b/>
          <w:i/>
        </w:rPr>
        <w:t>Skaitmeninimas, kibernetinis saugumas ir duomenų apsauga</w:t>
      </w:r>
    </w:p>
    <w:p w14:paraId="20541A32" w14:textId="77777777" w:rsidR="00D6749F" w:rsidRPr="005007DE" w:rsidRDefault="00D6749F" w:rsidP="00D6749F">
      <w:pPr>
        <w:pStyle w:val="NormalHanging12a"/>
        <w:rPr>
          <w:szCs w:val="24"/>
        </w:rPr>
      </w:pPr>
      <w:r w:rsidRPr="005007DE">
        <w:t>41.</w:t>
      </w:r>
      <w:r w:rsidRPr="005007DE">
        <w:tab/>
        <w:t>remdamasis klausimynu pažymi, kad 2024 m. išlaidos IT įrangai ir projektams buvo 10 proc. didesnės, palyginti su 2023 m., dėl papildomų konsultacijų kibernetinio saugumo klausimais; taip pat pažymi, kad kiti išlaidų elementai per dvejus metus išliko palyginti stabilūs, įskaitant bendrąsias IT paslaugas ir techninę priežiūrą;</w:t>
      </w:r>
    </w:p>
    <w:p w14:paraId="557DACA1" w14:textId="77777777" w:rsidR="00D6749F" w:rsidRPr="005007DE" w:rsidRDefault="00D6749F" w:rsidP="00D6749F">
      <w:pPr>
        <w:pStyle w:val="NormalHanging12a"/>
        <w:rPr>
          <w:szCs w:val="24"/>
        </w:rPr>
      </w:pPr>
      <w:r w:rsidRPr="005007DE">
        <w:t>42.</w:t>
      </w:r>
      <w:r w:rsidRPr="005007DE">
        <w:tab/>
        <w:t>atkreipia dėmesį į pažangą, kurią EDAPP padarė 2024 m. vykdydamas skaitmeninę pertvarką; visų pirma pažymi, kad EDAPP integravo „EU Send“ (paslaugą ir (arba) kanalą, skirtą keistis neskelbtina neįslaptinta informacija su kitomis Europos Sąjungos institucijomis, organais, įstaigomis ir agentūromis), patvirtino IT paramos paslaugų teikėją „ServiceNow“ (sukurdamas bendrą pagalbos tarnybos portalą darbuotojams), įdiegė sistemą „SECABC“ (tarpinstitucinę saugaus keitimosi informacija sistema) ir perėjo prie Komisijos vidaus debesijos modelio (CaaS); pažymi, kad vienas nuolatinis pareigūnas ir vienas sutartininkas yra paskirti atsakingais už EDAPP skaitmeninę pertvarką; remdamasis klausimynu ir tolesnių veiksmų ataskaita, pripažįsta, kad dėl EDAPP biudžeto apribojimų negalima sudaryti 7 skirtingas IT sritis apimančios ir bent iš penkių IT specialistų sudarytos grupės, kuri galėtų pasirūpinti ne tik pagrindine IT infrastruktūrą ir paslaugas, kurias Parlamentas ir Komisija siūlo pagal susitarimus dėl paslaugų lygio, bet ir konkrečiomis su EDAPP veiklos procesais susijusiomis taikomosiomis programomis;</w:t>
      </w:r>
    </w:p>
    <w:p w14:paraId="51548CBB" w14:textId="77777777" w:rsidR="00D6749F" w:rsidRPr="005007DE" w:rsidRDefault="00D6749F" w:rsidP="00D6749F">
      <w:pPr>
        <w:pStyle w:val="NormalHanging12a"/>
        <w:rPr>
          <w:bCs/>
          <w:iCs/>
        </w:rPr>
      </w:pPr>
      <w:r w:rsidRPr="005007DE">
        <w:t>43.</w:t>
      </w:r>
      <w:r w:rsidRPr="005007DE">
        <w:tab/>
        <w:t>pažymi, kad ribotą EDAPP vidaus IT darbuotojų skaičių iš dalies kompensuoja IT paslaugos, kurias Parlamentas ir Komisija teikia pagal susitarimus dėl paslaugų lygio ir atgalinio nuskaitymo mechanizmą; primena, kad Parlamentas savo 2023 m. rezoliucijoje dėl biudžeto įvykdymo patvirtinimo jau nustatė tokių tarpinstitucinių IT paslaugų ir konkrečių EDAPP veiklos poreikių struktūrinius skirtumus; pabrėžia, kad nors šis modelis gali sukurti masto ekonomiją, jis gali sumažinti išlaidų nuspėjamumą ir tiesioginę mažų institucijų kontrolę, susijusią su IT išlaidų raida, ir pabrėžia, kad ateityje planuojant biudžetą svarbu atsižvelgti į šį su išlaidomis susijusį struktūrinį spaudimą;</w:t>
      </w:r>
    </w:p>
    <w:p w14:paraId="33A7BF85" w14:textId="77777777" w:rsidR="00D6749F" w:rsidRPr="005007DE" w:rsidRDefault="00D6749F" w:rsidP="00D6749F">
      <w:pPr>
        <w:pStyle w:val="NormalHanging12a"/>
        <w:rPr>
          <w:bCs/>
          <w:iCs/>
        </w:rPr>
      </w:pPr>
      <w:r w:rsidRPr="005007DE">
        <w:t>44.</w:t>
      </w:r>
      <w:r w:rsidRPr="005007DE">
        <w:tab/>
        <w:t>atkreipia dėmesį į EDAPP darbą, susijusį su atvirojo kodo Sąjungos bendradarbiavimu grindžiamais debesijos sprendimais, visų pirma projektu „Nextcloud“, ir jo perėjimą prie Komisijos valdomo duomenų centro, siekiant stiprinti duomenų suverenumą ir mažinti priklausomybę nuo ne Sąjungos paslaugų teikėjų; ragina EDAPP pateikti biudžeto įvykdymą tvirtinančiai institucijai bendrų projekto nuosavybės kaštų, saugumo privalumų ir išplečiamumo kitoms Sąjungos institucijoms vertinimą;</w:t>
      </w:r>
    </w:p>
    <w:p w14:paraId="456B2623" w14:textId="77777777" w:rsidR="00D6749F" w:rsidRPr="005007DE" w:rsidRDefault="00D6749F" w:rsidP="00D6749F">
      <w:pPr>
        <w:pStyle w:val="NormalHanging12a"/>
      </w:pPr>
      <w:r w:rsidRPr="005007DE">
        <w:t>45.</w:t>
      </w:r>
      <w:r w:rsidRPr="005007DE">
        <w:tab/>
        <w:t>pripažįsta, kad EDAPP sėkmingai remiasi daugeliu Komisijos naudojamų administracinių sistemų, visų pirma žmogiškųjų išteklių ir verslo administravimo procesų srityje, taip pat kai kuriomis Parlamento paslaugomis, įskaitant, be kita ko, nešiojamuosius kompiuterius, tinklo infrastruktūros ir vaizdo konferencijų paslaugų teikimą; pažymi, kad EDAPP naudoja kvalifikuotą elektroninį parašą elektroniniams dokumentams, be kita ko, sistemoje „ARES“, skirtoje administraciniams ir finansiniams dokumentams, pasirašyti; giria EDAPP už pažangą, padarytą priimant e. viešųjų pirkimų priemones, kurios numatytos 2026 m., kai EDAPP taip pat bus įdiegta nauja finansinė programinė įranga „SUMMA“;</w:t>
      </w:r>
    </w:p>
    <w:p w14:paraId="3AA2D7DE" w14:textId="77777777" w:rsidR="00D6749F" w:rsidRPr="005007DE" w:rsidRDefault="00D6749F" w:rsidP="00D6749F">
      <w:pPr>
        <w:pStyle w:val="NormalHanging12a"/>
      </w:pPr>
      <w:r w:rsidRPr="005007DE">
        <w:t>46.</w:t>
      </w:r>
      <w:r w:rsidRPr="005007DE">
        <w:tab/>
        <w:t>remdamasis klausimynu pažymi, kad 2025 m. EDAPP patvirtino darbuotojams skirtas vidaus gaires dėl generatyvinio DI sistemų naudojimo, be to, darbuotojams taip pat organizuojamas privalomas DI mokymo kursas; palankiai vertina EDAPP parengiamąjį darbą siekiant galimai paskelbti gaires, kuriomis būtų užtikrinta, kad Europos Sąjungos institucijos, organai, įstaigos ir agentūros atsakingai naudotų DI priemones, ir kurios papildytų Komisijos jau pateiktas gaires, daugiausia dėmesio skiriant Sąjungos viešojo administravimo ypatumams arba naudojimo atvejams konkrečiose srityse, pvz., žmogiškųjų išteklių ir įdarbinimo srityse;</w:t>
      </w:r>
    </w:p>
    <w:p w14:paraId="1440409C" w14:textId="77777777" w:rsidR="00D6749F" w:rsidRPr="005007DE" w:rsidRDefault="00D6749F" w:rsidP="00D6749F">
      <w:pPr>
        <w:pStyle w:val="NormalHanging12a"/>
        <w:rPr>
          <w:szCs w:val="24"/>
        </w:rPr>
      </w:pPr>
      <w:r w:rsidRPr="005007DE">
        <w:t>47.</w:t>
      </w:r>
      <w:r w:rsidRPr="005007DE">
        <w:tab/>
        <w:t>pripažįsta, kad EDAPP atlieka pagrindinį vaidmenį didinant Europos Sąjungos institucijų, organų, įstaigų ir agentūrų kibernetinio saugumo parengtį, kartu glaudžiai bendradarbiaudamas su tokiomis įstaigomis kaip Europos Sąjungos kibernetinio saugumo agentūra (ENISA) ir kibernetinio saugumo centrais, pvz., CERT-EU;</w:t>
      </w:r>
    </w:p>
    <w:p w14:paraId="7FFB55CB" w14:textId="77777777" w:rsidR="00D6749F" w:rsidRPr="005007DE" w:rsidRDefault="00D6749F" w:rsidP="00D6749F">
      <w:pPr>
        <w:pStyle w:val="NormalHanging12a"/>
      </w:pPr>
      <w:r w:rsidRPr="005007DE">
        <w:t>48.</w:t>
      </w:r>
      <w:r w:rsidRPr="005007DE">
        <w:tab/>
        <w:t>remdamasis klausimynu pažymi, kad EDAPP pradėjo dvi pagrindines iniciatyvas, kuriomis siekiama stiprinti asmens duomenų saugumo pažeidimų valdymą visose Sąjungos institucijose, t. y. informavimo apie asmens duomenų saugumo pažeidimus kampaniją, kuri buvo skirta subjektams, anksčiau nepranešusiems apie pažeidimus, teikiant įsivertinimo priemones, dvišales konsultacijas ir pritaikytas rekomendacijas, ir kibernetinio saugumo pratybas (PATRICIA), kuriomis siekiama pagerinti kibernetinio saugumo incidentų, susijusių su asmens duomenų saugumo pažeidimais, valdymą ir stiprinti tarpinstitucinį bendradarbiavimą; džiaugdamasis pažymi, kad 2025 m. Pasaulinė privatumo asamblėja abiem iniciatyvoms skyrė apdovanojimus už jų indėlį į atskaitomybę; pažymi, kad EDAPP sustiprino savo kibernetinio saugumo sistemą, nustatydamas į internetą orientuoto turto pažeidžiamumą ir grėsmių aptikimą tikruoju laiku, tvirčiau bendradarbiaudamas pagal savo susitarimą dėl paslaugų lygio su CERT-EU; sveikina EDAPP 2024 m. birželio mėn. Briuselyje surengus konferenciją, kurioje dalyvavo duomenų apsaugos ekspertai, politikos formuotojai ir technologijų specialistai, kad apsvarstytų kintantį duomenų apsaugos vaidmenį šiuolaikinėje demokratijoje, visų pirma atsižvelgiant į plintančią dezinformaciją ir manipuliavimą internetu, taip pat į socialinių tinklų keliamus iššūkius;</w:t>
      </w:r>
    </w:p>
    <w:p w14:paraId="681744A1" w14:textId="77777777" w:rsidR="00D6749F" w:rsidRPr="005007DE" w:rsidRDefault="00D6749F" w:rsidP="00D6749F">
      <w:pPr>
        <w:pStyle w:val="NormalHanging12a"/>
        <w:rPr>
          <w:b/>
          <w:i/>
          <w:szCs w:val="24"/>
        </w:rPr>
      </w:pPr>
      <w:r w:rsidRPr="005007DE">
        <w:rPr>
          <w:b/>
          <w:i/>
        </w:rPr>
        <w:t>Pastatai</w:t>
      </w:r>
    </w:p>
    <w:p w14:paraId="5FB0C64E" w14:textId="77777777" w:rsidR="00D6749F" w:rsidRPr="005007DE" w:rsidRDefault="00D6749F" w:rsidP="00D6749F">
      <w:pPr>
        <w:pStyle w:val="NormalHanging12a"/>
        <w:rPr>
          <w:szCs w:val="24"/>
        </w:rPr>
      </w:pPr>
      <w:r w:rsidRPr="005007DE">
        <w:t>49.</w:t>
      </w:r>
      <w:r w:rsidRPr="005007DE">
        <w:tab/>
        <w:t>pažymi, kad 2024 m. reikėjo pervesti apie 55 000 EUR pastatų saugumo ir nuomos išlaidoms padengti, nes Parlamento patvirtintos 2024 m. nuomos išlaidos, susijusios su pastatu, kuriuo naudojasi EDAPP, buvo didesnės nei tiems metams skirtos lėšos;</w:t>
      </w:r>
    </w:p>
    <w:p w14:paraId="1BB474CE" w14:textId="77777777" w:rsidR="00D6749F" w:rsidRPr="005007DE" w:rsidRDefault="00D6749F" w:rsidP="00D6749F">
      <w:pPr>
        <w:pStyle w:val="NormalHanging12a"/>
        <w:rPr>
          <w:szCs w:val="24"/>
        </w:rPr>
      </w:pPr>
      <w:r w:rsidRPr="005007DE">
        <w:t>50.</w:t>
      </w:r>
      <w:r w:rsidRPr="005007DE">
        <w:tab/>
        <w:t>pažymi, kad, kalbant apie jo pastato prieinamumą, EDAPP remiasi Parlamento priimtais ir įgyvendinamais sprendimais, kurie yra jo pastatų politikos dalis; ragina EDAPP informuoti biudžeto įvykdymą tvirtinančią instituciją, ar jis taip pat planuoja įdarbinti riboto judumo stažuotojus ar stažuotojus su negalia;</w:t>
      </w:r>
    </w:p>
    <w:p w14:paraId="74F1CDD6" w14:textId="77777777" w:rsidR="00D6749F" w:rsidRPr="005007DE" w:rsidRDefault="00D6749F" w:rsidP="00D6749F">
      <w:pPr>
        <w:pStyle w:val="NormalHanging12a"/>
        <w:rPr>
          <w:b/>
          <w:iCs/>
          <w:szCs w:val="24"/>
        </w:rPr>
      </w:pPr>
      <w:r w:rsidRPr="005007DE">
        <w:rPr>
          <w:b/>
          <w:i/>
        </w:rPr>
        <w:t>Aplinka ir tvarumas</w:t>
      </w:r>
    </w:p>
    <w:p w14:paraId="7B72841F" w14:textId="77777777" w:rsidR="00D6749F" w:rsidRPr="005007DE" w:rsidRDefault="00D6749F" w:rsidP="00D6749F">
      <w:pPr>
        <w:pStyle w:val="NormalHanging12a"/>
        <w:rPr>
          <w:bCs/>
          <w:iCs/>
          <w:szCs w:val="24"/>
        </w:rPr>
      </w:pPr>
      <w:r w:rsidRPr="005007DE">
        <w:t>51.</w:t>
      </w:r>
      <w:r w:rsidRPr="005007DE">
        <w:tab/>
        <w:t>pažymi, kad EDAPP nuomojasi išmanųjį Parlamento pastatą, kurio aplinkosauginis pėdsakas mažinamas keliomis priemonėmis, pvz., be kita ko, automatiškai ir centralizuotai reguliuojant temperatūrą; pažymi, kad tame pastate taip pat įrengtos fotovoltinės plokštės, kurios pagamina apie 20 kWh elektros energijos, o tai sudarė 6,04 proc. viso EDAPP 2024 m. suvartoto kiekio;</w:t>
      </w:r>
    </w:p>
    <w:p w14:paraId="7343A35A" w14:textId="77777777" w:rsidR="00D6749F" w:rsidRPr="005007DE" w:rsidRDefault="00D6749F" w:rsidP="00D6749F">
      <w:pPr>
        <w:pStyle w:val="NormalHanging12a"/>
      </w:pPr>
      <w:r w:rsidRPr="005007DE">
        <w:t>52.</w:t>
      </w:r>
      <w:r w:rsidRPr="005007DE">
        <w:tab/>
        <w:t>pažymi, kad EDAPP nėra prisijungęs prie aplinkosaugos vadybos ir audito sistemos (EMAS); pažymi, kad, siekdamas tapti EMAS sertifikuotu subjektu, 2024 m. EDAPP įsteigė kelių skyrių darbo grupę, kurios tikslai – nustatyti esamas Parlamento jau įgyvendintas priemones, parengti anglies dioksido kiekio mažinimo strategijas ir pasiūlyti inovatyvius sprendimus; ragina EDAPP nustatyti aiškų tvarkaraštį siekiant EMAS sertifikato ir nuolat pranešti biudžeto įvykdymą tvirtinančiai institucijai apie daromą pažangą šioje srityje;</w:t>
      </w:r>
    </w:p>
    <w:p w14:paraId="04DEAAE9" w14:textId="77777777" w:rsidR="00D6749F" w:rsidRPr="005007DE" w:rsidRDefault="00D6749F" w:rsidP="00D6749F">
      <w:pPr>
        <w:spacing w:after="240"/>
        <w:ind w:left="567" w:hanging="567"/>
      </w:pPr>
      <w:r w:rsidRPr="005007DE">
        <w:t>53.</w:t>
      </w:r>
      <w:r w:rsidRPr="005007DE">
        <w:tab/>
        <w:t>remdamasis klausimynu pažymi, kad EDAPP didžiąją dalį savo viešųjų pirkimų vykdo pagal tarpinstitucines preliminariąsias sutartis ir, kaip dalyvaujanti perkančioji organizacija, taiko vadovaujančios perkančiosios organizacijos nustatytus tvarumo kriterijus;</w:t>
      </w:r>
    </w:p>
    <w:p w14:paraId="6D4F5FD1" w14:textId="77777777" w:rsidR="00D6749F" w:rsidRPr="005007DE" w:rsidRDefault="00D6749F" w:rsidP="00D6749F">
      <w:pPr>
        <w:spacing w:after="240"/>
        <w:ind w:left="567" w:hanging="567"/>
      </w:pPr>
      <w:r w:rsidRPr="005007DE">
        <w:t>54.</w:t>
      </w:r>
      <w:r w:rsidRPr="005007DE">
        <w:tab/>
        <w:t>remdamasis klausimynu pažymi, kad visos tarnybinės kelionės EDAPP viduje turi atitikti komandiruočių vadove nustatytas taisykles; pažymi, kad EDAPP darbuotojai daugiausia keliauja ekonomine klase ir kad dauguma kelionių vyksta Sąjungos teritorijoje; palankiai vertina EDAPP pastangas sumažinti savo anglies pėdsaką skatinant darbuotojus rengti vaizdo konferencijas, keliaujant trumpais atstumais rinktis traukinius, o į oro uostą ar iš jo arba misijos vietoje keliauti viešuoju transportu;</w:t>
      </w:r>
    </w:p>
    <w:p w14:paraId="191BD774" w14:textId="77777777" w:rsidR="00D6749F" w:rsidRPr="005007DE" w:rsidRDefault="00D6749F" w:rsidP="00D6749F">
      <w:pPr>
        <w:spacing w:after="240"/>
        <w:ind w:left="567" w:hanging="567"/>
      </w:pPr>
      <w:r w:rsidRPr="005007DE">
        <w:t>55.</w:t>
      </w:r>
      <w:r w:rsidRPr="005007DE">
        <w:tab/>
        <w:t>remdamasis klausimynu pažymi, kad EDAPP įgyvendina tvaraus judumo strategiją, pagal kurią darbuotojai gali prašyti kompensuoti 50 proc. jų viešojo transporto mėnesinių ar metinių arba daugkartinių kelionės bilietų kainos ir suteikiama dviračiais keliaujančių darbuotojų poreikiams pritaikyta infrastruktūra;</w:t>
      </w:r>
    </w:p>
    <w:p w14:paraId="5C2540CD" w14:textId="77777777" w:rsidR="00D6749F" w:rsidRPr="005007DE" w:rsidRDefault="00D6749F" w:rsidP="00D6749F">
      <w:pPr>
        <w:pStyle w:val="NormalHanging12a"/>
        <w:rPr>
          <w:b/>
          <w:i/>
          <w:szCs w:val="24"/>
        </w:rPr>
      </w:pPr>
      <w:r w:rsidRPr="005007DE">
        <w:rPr>
          <w:b/>
          <w:i/>
        </w:rPr>
        <w:t>Tarpinstitucinis bendradarbiavimas</w:t>
      </w:r>
    </w:p>
    <w:p w14:paraId="1C33D323" w14:textId="77777777" w:rsidR="00D6749F" w:rsidRPr="005007DE" w:rsidRDefault="00D6749F" w:rsidP="00D6749F">
      <w:pPr>
        <w:pStyle w:val="NormalHanging12a"/>
        <w:rPr>
          <w:szCs w:val="24"/>
        </w:rPr>
      </w:pPr>
      <w:r w:rsidRPr="005007DE">
        <w:t>56.</w:t>
      </w:r>
      <w:r w:rsidRPr="005007DE">
        <w:tab/>
        <w:t>palankiai vertina EDAPP sutaupytas biudžeto ir administracines lėšas vykdant tarpinstitucinį bendradarbiavimą, visų pirma sudarant susitarimus dėl paslaugų lygio su Parlamentu dėl jo patalpų nuomos ir IT sistemų taikomųjų programų naudojimo, aparatinės įrangos tiekimo ir techninės priežiūros, taip pat su Komisija dėl žmogiškųjų išteklių ir verslo administravimo procesų, taip pat dalyvaujant didelėse tarpinstitucinėse preliminariosiose sutartyse, be kita ko, tokiose srityse kaip IT konsultavimo, laikinosios paslaugos ir raštinės reikmenų įsigijimas; be to, giria EDAPP už tai, kad, sudarydamas susitarimo memorandumus, jis palaiko struktūrinį bendradarbiavimą su Europos Ombudsmenu, Pagrindinių teisių Europos Sąjungos agentūra ir CERT-EU; remdamasis klausimynu pažymi, kad EDAPP taip pat dalyvauja Komisijos vadovaujamame tarpinstituciniame žmogiškųjų išteklių pertvarkos projekte, kuriuo siekiama skaitmeninti žmogiškųjų išteklių procesus, o šis projektas bus baigtas įgyvendinti iki 2029 m.;</w:t>
      </w:r>
    </w:p>
    <w:p w14:paraId="0B37B751" w14:textId="77777777" w:rsidR="00D6749F" w:rsidRPr="005007DE" w:rsidRDefault="00D6749F" w:rsidP="00D6749F">
      <w:pPr>
        <w:pStyle w:val="NormalHanging12a"/>
        <w:rPr>
          <w:szCs w:val="24"/>
        </w:rPr>
      </w:pPr>
      <w:r w:rsidRPr="005007DE">
        <w:t>57.</w:t>
      </w:r>
      <w:r w:rsidRPr="005007DE">
        <w:tab/>
        <w:t>pažymi, kad EDAPP dalyvauja įvairių tarpinstitucinių organų posėdžiuose; atsižvelgdamas į tai, palankiai vertina EDAPP dalyvavimą administracijos vadovų posėdžiuose ir Tarpinstitucinio internetinės komunikacijos komiteto, kuriam vadovauja Parlamento Komunikacijos generalinis direktoratas, posėdžiuose; pripažįsta, kad tarpinstitucinis bendradarbiavimas su EDAPP, atliekančiu priežiūros funkciją, yra labai svarbus tam, kad kitos Sąjungos institucijos pagerintų savo atitikties duomenų apsaugos teisinei sistemai lygį;</w:t>
      </w:r>
    </w:p>
    <w:p w14:paraId="73804A7B" w14:textId="77777777" w:rsidR="00D6749F" w:rsidRPr="005007DE" w:rsidRDefault="00D6749F" w:rsidP="00D6749F">
      <w:pPr>
        <w:pStyle w:val="NormalHanging12a"/>
        <w:rPr>
          <w:szCs w:val="24"/>
        </w:rPr>
      </w:pPr>
      <w:r w:rsidRPr="005007DE">
        <w:t>58.</w:t>
      </w:r>
      <w:r w:rsidRPr="005007DE">
        <w:tab/>
        <w:t>remdamasis metine ataskaita pažymi, kad 2024 m. Europos duomenų apsaugos valdyba pradėjo suderintus vykdymo užtikrinimo veiksmus, susijusius su asmenų teise susipažinti su savo asmens duomenimis, dalyvaujant 30 duomenų apsaugos institucijų visoje Sąjungoje ir EEE; remdamasis klausimynu pažymi, kad EDAPP dalyvavo šiuose vykdymo užtikrinimo veiksmuose, tačiau taip pat tęsė darbą, susijusį su nuo 2023 m. Europos duomenų apsaugos valdybos vykdomais koordinuotais vykdymo užtikrinimo veiksmais dėl duomenų apsaugos pareigūno vaidmens; atkreipia dėmesį į tai, kad 2024 m. EDAPP toliau aktyviai dalyvavo BPK veikloje, dvejus metus prisiimdamas BPK koordinavimo vaidmenį, be kita ko, parengdamas gaires dėl bendradarbiavimo nagrinėjant Europolo skundus ir stebint ETIAS plėtojimą; pažymi, kad EDAPP, kaip Europos duomenų apsaugos valdybos narys, taip pat koordinavo bendradarbiavimo su konkurencijos ir vartotojų apsaugos institucijomis darbo grupės veiklą, susijusią su Skaitmeninių rinkų akto</w:t>
      </w:r>
      <w:r w:rsidRPr="005007DE">
        <w:rPr>
          <w:rStyle w:val="FootnoteReference"/>
          <w:szCs w:val="24"/>
        </w:rPr>
        <w:footnoteReference w:id="11"/>
      </w:r>
      <w:r w:rsidRPr="005007DE">
        <w:t xml:space="preserve"> ir Bendrojo duomenų apsaugos reglamento</w:t>
      </w:r>
      <w:r w:rsidRPr="005007DE">
        <w:rPr>
          <w:rStyle w:val="FootnoteReference"/>
          <w:szCs w:val="24"/>
        </w:rPr>
        <w:footnoteReference w:id="12"/>
      </w:r>
      <w:r w:rsidRPr="005007DE">
        <w:t xml:space="preserve"> sąveika;</w:t>
      </w:r>
    </w:p>
    <w:p w14:paraId="1BB64965" w14:textId="77777777" w:rsidR="00D6749F" w:rsidRPr="005007DE" w:rsidRDefault="00D6749F" w:rsidP="00D6749F">
      <w:pPr>
        <w:pStyle w:val="NormalHanging12a"/>
        <w:rPr>
          <w:szCs w:val="24"/>
        </w:rPr>
      </w:pPr>
      <w:r w:rsidRPr="005007DE">
        <w:t>59.</w:t>
      </w:r>
      <w:r w:rsidRPr="005007DE">
        <w:tab/>
        <w:t>remdamasis klausimynu ir tolesnių veiksmų ataskaita pažymi, kad bendra veikla su OLAF, Europos prokuratūra ir Audito Rūmais ir iniciatyva sukčiavimo nustatymo srityje nepatenka į EDAPP įgaliojimų sritį;</w:t>
      </w:r>
    </w:p>
    <w:p w14:paraId="3B2A7325" w14:textId="77777777" w:rsidR="00D6749F" w:rsidRPr="005007DE" w:rsidRDefault="00D6749F" w:rsidP="00D6749F">
      <w:pPr>
        <w:pStyle w:val="NormalHanging12a"/>
        <w:rPr>
          <w:b/>
          <w:i/>
          <w:szCs w:val="24"/>
        </w:rPr>
      </w:pPr>
      <w:r w:rsidRPr="005007DE">
        <w:rPr>
          <w:b/>
          <w:i/>
        </w:rPr>
        <w:t>Komunikacija</w:t>
      </w:r>
    </w:p>
    <w:p w14:paraId="669028E8" w14:textId="6FDE6F7C" w:rsidR="00D6749F" w:rsidRPr="005007DE" w:rsidRDefault="00D6749F" w:rsidP="00D6749F">
      <w:pPr>
        <w:pStyle w:val="NormalHanging12a"/>
        <w:rPr>
          <w:szCs w:val="24"/>
        </w:rPr>
      </w:pPr>
      <w:r w:rsidRPr="005007DE">
        <w:t>60.</w:t>
      </w:r>
      <w:r w:rsidRPr="005007DE">
        <w:tab/>
        <w:t>pažymi, kad 2024 m. viešosios komunikacijos ir reklaminės veiklos biudžetas siekė 425 000 EUR, t. y. maždaug 9,20 proc. daugiau nei 202</w:t>
      </w:r>
      <w:r w:rsidR="00AE4BE3">
        <w:t>4</w:t>
      </w:r>
      <w:r w:rsidRPr="005007DE">
        <w:t> m.;</w:t>
      </w:r>
    </w:p>
    <w:p w14:paraId="437E3DA6" w14:textId="77777777" w:rsidR="00D6749F" w:rsidRPr="005007DE" w:rsidRDefault="00D6749F" w:rsidP="00D6749F">
      <w:pPr>
        <w:pStyle w:val="NormalHanging12a"/>
        <w:rPr>
          <w:szCs w:val="24"/>
        </w:rPr>
      </w:pPr>
      <w:r w:rsidRPr="005007DE">
        <w:t>61.</w:t>
      </w:r>
      <w:r w:rsidRPr="005007DE">
        <w:tab/>
        <w:t>su džiaugsmu pažymi, kad 2024 m. EDAPP internetu ir asmeniškai surengė keletą komunikacijos renginių, kuriais siekiama didinti plačiosios visuomenės informuotumą apie EDAPP vaidmenį ir misiją ir apie tai, kaip svarbu laikytis Sąjungos duomenų apsaugos taisyklių, pvz., Duomenų apsaugos dieną, EDAPP stažuotojų konferenciją (du kartus per metus), EDAPP civilinės visuomenės aukščiausiojo lygio susitikimą ir Pasaulinę privatumo asamblėją, ir juose dalyvavo;</w:t>
      </w:r>
    </w:p>
    <w:p w14:paraId="5D0FDC53" w14:textId="77777777" w:rsidR="00D6749F" w:rsidRPr="005007DE" w:rsidRDefault="00D6749F" w:rsidP="00D6749F">
      <w:pPr>
        <w:pStyle w:val="NormalHanging12a"/>
        <w:rPr>
          <w:szCs w:val="24"/>
        </w:rPr>
      </w:pPr>
      <w:r w:rsidRPr="005007DE">
        <w:t>62.</w:t>
      </w:r>
      <w:r w:rsidRPr="005007DE">
        <w:tab/>
        <w:t>pažymi, kad EDAPP informaciją skelbia savo interneto svetainėje ir savo socialinių tinklų „X“ (buvęs „Twitter“) (28 800 sekėjų), „LinkedIn“ (82 800 sekėjų), „YouTube“ (3 400 sekėjų) ir „Instagram“ (300 sekėjų) paskyrose;</w:t>
      </w:r>
    </w:p>
    <w:p w14:paraId="4CD99ACB" w14:textId="4367E122" w:rsidR="00E365E1" w:rsidRPr="005007DE" w:rsidRDefault="00D6749F" w:rsidP="0063483F">
      <w:pPr>
        <w:pStyle w:val="NormalHanging12a"/>
      </w:pPr>
      <w:r w:rsidRPr="005007DE">
        <w:t>63.</w:t>
      </w:r>
      <w:r w:rsidRPr="005007DE">
        <w:tab/>
        <w:t>pažymi, kad 2024 m. baigtas platformų „EU Voice“ ir „EU Video“ (laisvų ir atvirojo kodo socialinės žiniasklaidos tinklų, orientuotų į privatumą ir grindžiamų programine įranga „Mastodon“ ir „PeerTube“) bandomasis projektas; pažymi, kad EDAPP palengvino sklandų Europos Sąjungos institucijų, organų, įstaigų ir agentūrų, kurios norėjo išsaugoti savo paskyras, perėjimą, užtikrindamas tęstinumą naudotojams; pažymi, kad, atsižvelgiant į bandomojo projekto sėkmę, buvo pasirengta 2025 m. atnaujinti „Mastodon“ naudojimą; atsižvelgdamas į tai, palankiai vertina EDAPP indėlį į Sąjungos duomenų ir skaitmeninio suverenumo strategiją, siekiant skatinti Sąjungos nepriklausomumą skaitmeniniame pasaulyje ir duomenų apsaugos teisinės sistemos laikymąsi.</w:t>
      </w:r>
    </w:p>
    <w:sectPr w:rsidR="00E365E1" w:rsidRPr="005007DE" w:rsidSect="005007D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F4F7" w14:textId="77777777" w:rsidR="00F1491B" w:rsidRPr="005007DE" w:rsidRDefault="00F1491B">
      <w:r w:rsidRPr="005007DE">
        <w:separator/>
      </w:r>
    </w:p>
  </w:endnote>
  <w:endnote w:type="continuationSeparator" w:id="0">
    <w:p w14:paraId="7EB78963" w14:textId="77777777" w:rsidR="00F1491B" w:rsidRPr="005007DE" w:rsidRDefault="00F1491B">
      <w:r w:rsidRPr="005007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A660" w14:textId="77777777" w:rsidR="00D6749F" w:rsidRPr="005007DE" w:rsidRDefault="00D6749F" w:rsidP="00ED486E">
    <w:pPr>
      <w:pStyle w:val="EPFooter"/>
    </w:pPr>
    <w:r w:rsidRPr="005007DE">
      <w:t>PE</w:t>
    </w:r>
    <w:r w:rsidRPr="005007DE">
      <w:rPr>
        <w:rStyle w:val="HideTWBExt"/>
      </w:rPr>
      <w:t>&lt;NoPE&gt;</w:t>
    </w:r>
    <w:r w:rsidRPr="005007DE">
      <w:t>778.066</w:t>
    </w:r>
    <w:r w:rsidRPr="005007DE">
      <w:rPr>
        <w:rStyle w:val="HideTWBExt"/>
      </w:rPr>
      <w:t>&lt;/NoPE&gt;&lt;Version&gt;</w:t>
    </w:r>
    <w:r w:rsidRPr="005007DE">
      <w:t>v02-00</w:t>
    </w:r>
    <w:r w:rsidRPr="005007DE">
      <w:rPr>
        <w:rStyle w:val="HideTWBExt"/>
      </w:rPr>
      <w:t>&lt;/Version&gt;</w:t>
    </w:r>
    <w:r w:rsidRPr="005007DE">
      <w:tab/>
    </w:r>
    <w:r w:rsidRPr="005007DE">
      <w:fldChar w:fldCharType="begin"/>
    </w:r>
    <w:r w:rsidRPr="005007DE">
      <w:instrText xml:space="preserve"> PAGE  \* MERGEFORMAT </w:instrText>
    </w:r>
    <w:r w:rsidRPr="005007DE">
      <w:fldChar w:fldCharType="separate"/>
    </w:r>
    <w:r w:rsidRPr="005007DE">
      <w:rPr>
        <w:noProof/>
      </w:rPr>
      <w:t>26</w:t>
    </w:r>
    <w:r w:rsidRPr="005007DE">
      <w:fldChar w:fldCharType="end"/>
    </w:r>
    <w:r w:rsidRPr="005007DE">
      <w:t>/</w:t>
    </w:r>
    <w:fldSimple w:instr=" NUMPAGES  \* MERGEFORMAT ">
      <w:r w:rsidRPr="005007DE">
        <w:rPr>
          <w:noProof/>
        </w:rPr>
        <w:t>26</w:t>
      </w:r>
    </w:fldSimple>
    <w:r w:rsidRPr="005007DE">
      <w:tab/>
    </w:r>
    <w:r w:rsidRPr="005007DE">
      <w:rPr>
        <w:rStyle w:val="HideTWBExt"/>
      </w:rPr>
      <w:t>&lt;PathFdR&gt;</w:t>
    </w:r>
    <w:r w:rsidRPr="005007DE">
      <w:t>RR\1339480LT.docx</w:t>
    </w:r>
    <w:r w:rsidRPr="005007DE">
      <w:rPr>
        <w:rStyle w:val="HideTWBExt"/>
      </w:rPr>
      <w:t>&lt;/PathFdR&gt;</w:t>
    </w:r>
  </w:p>
  <w:p w14:paraId="4DB48FBC" w14:textId="77777777" w:rsidR="00D6749F" w:rsidRPr="005007DE" w:rsidRDefault="00D6749F" w:rsidP="00ED486E">
    <w:pPr>
      <w:pStyle w:val="EPFooter2"/>
    </w:pPr>
    <w:r w:rsidRPr="005007D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84944" w14:textId="77777777" w:rsidR="00D6749F" w:rsidRPr="005007DE" w:rsidRDefault="00D6749F" w:rsidP="00ED486E">
    <w:pPr>
      <w:pStyle w:val="EPFooter"/>
    </w:pPr>
    <w:r w:rsidRPr="005007DE">
      <w:rPr>
        <w:rStyle w:val="HideTWBExt"/>
      </w:rPr>
      <w:t>&lt;PathFdR&gt;</w:t>
    </w:r>
    <w:r w:rsidRPr="005007DE">
      <w:t>RR\1339480LT.docx</w:t>
    </w:r>
    <w:r w:rsidRPr="005007DE">
      <w:rPr>
        <w:rStyle w:val="HideTWBExt"/>
      </w:rPr>
      <w:t>&lt;/PathFdR&gt;</w:t>
    </w:r>
    <w:r w:rsidRPr="005007DE">
      <w:tab/>
    </w:r>
    <w:r w:rsidRPr="005007DE">
      <w:tab/>
      <w:t>PE</w:t>
    </w:r>
    <w:r w:rsidRPr="005007DE">
      <w:rPr>
        <w:rStyle w:val="HideTWBExt"/>
      </w:rPr>
      <w:t>&lt;NoPE&gt;</w:t>
    </w:r>
    <w:r w:rsidRPr="005007DE">
      <w:t>778.066</w:t>
    </w:r>
    <w:r w:rsidRPr="005007DE">
      <w:rPr>
        <w:rStyle w:val="HideTWBExt"/>
      </w:rPr>
      <w:t>&lt;/NoPE&gt;&lt;Version&gt;</w:t>
    </w:r>
    <w:r w:rsidRPr="005007DE">
      <w:t>v02-00</w:t>
    </w:r>
    <w:r w:rsidRPr="005007DE">
      <w:rPr>
        <w:rStyle w:val="HideTWBExt"/>
      </w:rPr>
      <w:t>&lt;/Version&gt;</w:t>
    </w:r>
  </w:p>
  <w:p w14:paraId="648F8DF7" w14:textId="77777777" w:rsidR="00D6749F" w:rsidRPr="005007DE" w:rsidRDefault="00D6749F" w:rsidP="00ED486E">
    <w:pPr>
      <w:pStyle w:val="EPFooter2"/>
    </w:pPr>
    <w:r w:rsidRPr="005007DE">
      <w:t>LT</w:t>
    </w:r>
    <w:r w:rsidRPr="005007DE">
      <w:tab/>
    </w:r>
    <w:r w:rsidRPr="005007DE">
      <w:rPr>
        <w:b w:val="0"/>
        <w:i/>
        <w:color w:val="C0C0C0"/>
        <w:sz w:val="22"/>
      </w:rPr>
      <w:t>Suvienijusi įvairovę</w:t>
    </w:r>
    <w:r w:rsidRPr="005007D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700C" w14:textId="77777777" w:rsidR="00064002" w:rsidRPr="005007D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CD17" w14:textId="77777777" w:rsidR="00064002" w:rsidRPr="005007D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75F1" w14:textId="77777777" w:rsidR="00064002" w:rsidRPr="005007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6A478" w14:textId="77777777" w:rsidR="00F1491B" w:rsidRPr="005007DE" w:rsidRDefault="00F1491B">
      <w:r w:rsidRPr="005007DE">
        <w:separator/>
      </w:r>
    </w:p>
  </w:footnote>
  <w:footnote w:type="continuationSeparator" w:id="0">
    <w:p w14:paraId="1E030C02" w14:textId="77777777" w:rsidR="00F1491B" w:rsidRPr="005007DE" w:rsidRDefault="00F1491B">
      <w:r w:rsidRPr="005007DE">
        <w:continuationSeparator/>
      </w:r>
    </w:p>
  </w:footnote>
  <w:footnote w:id="1">
    <w:p w14:paraId="12A41454" w14:textId="03349D36"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OL L</w:t>
      </w:r>
      <w:r w:rsidR="00082B54">
        <w:rPr>
          <w:sz w:val="24"/>
          <w:lang w:val="lt-LT"/>
        </w:rPr>
        <w:t>,</w:t>
      </w:r>
      <w:r w:rsidRPr="005007DE">
        <w:rPr>
          <w:sz w:val="24"/>
          <w:lang w:val="lt-LT"/>
        </w:rPr>
        <w:t> </w:t>
      </w:r>
      <w:r w:rsidR="00082B54">
        <w:rPr>
          <w:sz w:val="24"/>
          <w:lang w:val="lt-LT"/>
        </w:rPr>
        <w:t>2024/</w:t>
      </w:r>
      <w:r w:rsidRPr="005007DE">
        <w:rPr>
          <w:sz w:val="24"/>
          <w:lang w:val="lt-LT"/>
        </w:rPr>
        <w:t xml:space="preserve">207, 2024 2 22, ELI: </w:t>
      </w:r>
      <w:hyperlink r:id="rId1" w:history="1">
        <w:r w:rsidRPr="005007DE">
          <w:rPr>
            <w:rStyle w:val="Hyperlink"/>
            <w:sz w:val="24"/>
            <w:lang w:val="lt-LT"/>
          </w:rPr>
          <w:t>http://data.europa.eu/eli/budget/2024/207/oj</w:t>
        </w:r>
      </w:hyperlink>
      <w:r w:rsidRPr="005007DE">
        <w:rPr>
          <w:sz w:val="24"/>
          <w:lang w:val="lt-LT"/>
        </w:rPr>
        <w:t>.</w:t>
      </w:r>
    </w:p>
  </w:footnote>
  <w:footnote w:id="2">
    <w:p w14:paraId="3BACA1C6" w14:textId="4921FCE9"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OL C, C/2025/4944, 2025 10 13, ELI: </w:t>
      </w:r>
      <w:hyperlink r:id="rId2" w:tgtFrame="_blank" w:tooltip="Prieiga prie šio dokumento suteikiama per ELI sistemoje jam suteiktą URI." w:history="1">
        <w:r w:rsidRPr="005007DE">
          <w:rPr>
            <w:rStyle w:val="Hyperlink"/>
            <w:sz w:val="24"/>
            <w:lang w:val="lt-LT"/>
          </w:rPr>
          <w:t>http://data.europa.eu/eli/C/2025/4944/oj</w:t>
        </w:r>
      </w:hyperlink>
      <w:r w:rsidRPr="005007DE">
        <w:rPr>
          <w:sz w:val="24"/>
          <w:lang w:val="lt-LT"/>
        </w:rPr>
        <w:t>.</w:t>
      </w:r>
    </w:p>
  </w:footnote>
  <w:footnote w:id="3">
    <w:p w14:paraId="68C6F8CD" w14:textId="16C5B3D2"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OL C, C/2025/5409, 2025 10 8, ELI: </w:t>
      </w:r>
      <w:hyperlink r:id="rId3" w:history="1">
        <w:r w:rsidRPr="005007DE">
          <w:rPr>
            <w:rStyle w:val="Hyperlink"/>
            <w:sz w:val="24"/>
            <w:lang w:val="lt-LT"/>
          </w:rPr>
          <w:t>http://data.europa.eu/eli/C/2025/5409/oj</w:t>
        </w:r>
      </w:hyperlink>
      <w:r w:rsidRPr="005007DE">
        <w:rPr>
          <w:sz w:val="24"/>
          <w:lang w:val="lt-LT"/>
        </w:rPr>
        <w:t>.</w:t>
      </w:r>
    </w:p>
  </w:footnote>
  <w:footnote w:id="4">
    <w:p w14:paraId="3443C271" w14:textId="6CE13066"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OL C, C/2025/5407, 2025 10 13, ELI: </w:t>
      </w:r>
      <w:hyperlink r:id="rId4" w:history="1">
        <w:r w:rsidRPr="005007DE">
          <w:rPr>
            <w:rStyle w:val="Hyperlink"/>
            <w:sz w:val="24"/>
            <w:lang w:val="lt-LT"/>
          </w:rPr>
          <w:t>http://data.europa.eu/eli/C/2025/5407/oj</w:t>
        </w:r>
      </w:hyperlink>
      <w:r w:rsidRPr="005007DE">
        <w:rPr>
          <w:sz w:val="24"/>
          <w:lang w:val="lt-LT"/>
        </w:rPr>
        <w:t>.</w:t>
      </w:r>
    </w:p>
  </w:footnote>
  <w:footnote w:id="5">
    <w:p w14:paraId="26872718" w14:textId="3058BA01"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OL L 193, 2018 7 30, p. 1, ELI: </w:t>
      </w:r>
      <w:hyperlink r:id="rId5" w:history="1">
        <w:r w:rsidRPr="005007DE">
          <w:rPr>
            <w:rStyle w:val="Hyperlink"/>
            <w:sz w:val="24"/>
            <w:lang w:val="lt-LT"/>
          </w:rPr>
          <w:t>http://data.europa.eu/eli/reg/2018/1046/oj</w:t>
        </w:r>
      </w:hyperlink>
      <w:r w:rsidRPr="005007DE">
        <w:rPr>
          <w:sz w:val="24"/>
          <w:lang w:val="lt-LT"/>
        </w:rPr>
        <w:t>.</w:t>
      </w:r>
    </w:p>
  </w:footnote>
  <w:footnote w:id="6">
    <w:p w14:paraId="29F3867B" w14:textId="1742E3AA"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OL L, 2024/2509, 2024 9 26, ELI: </w:t>
      </w:r>
      <w:hyperlink r:id="rId6" w:history="1">
        <w:r w:rsidRPr="005007DE">
          <w:rPr>
            <w:rStyle w:val="Hyperlink"/>
            <w:sz w:val="24"/>
            <w:lang w:val="lt-LT"/>
          </w:rPr>
          <w:t>http://data.europa.eu/eli/reg/2024/2509/oj</w:t>
        </w:r>
      </w:hyperlink>
      <w:r w:rsidRPr="005007DE">
        <w:rPr>
          <w:sz w:val="24"/>
          <w:lang w:val="lt-LT"/>
        </w:rPr>
        <w:t>.</w:t>
      </w:r>
    </w:p>
  </w:footnote>
  <w:footnote w:id="7">
    <w:p w14:paraId="7E7AF073" w14:textId="25A638FF"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OL L 295, 2018 11 21, p. 39, ELI: </w:t>
      </w:r>
      <w:hyperlink r:id="rId7" w:history="1">
        <w:r w:rsidRPr="005007DE">
          <w:rPr>
            <w:rStyle w:val="Hyperlink"/>
            <w:sz w:val="24"/>
            <w:lang w:val="lt-LT"/>
          </w:rPr>
          <w:t>http://data.europa.eu/eli/reg/2018/1725/oj</w:t>
        </w:r>
      </w:hyperlink>
      <w:r w:rsidRPr="005007DE">
        <w:rPr>
          <w:sz w:val="24"/>
          <w:lang w:val="lt-LT"/>
        </w:rPr>
        <w:t>.</w:t>
      </w:r>
    </w:p>
  </w:footnote>
  <w:footnote w:id="8">
    <w:p w14:paraId="4D676ED4" w14:textId="1BCF9112"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8" w:history="1">
        <w:r w:rsidRPr="005007DE">
          <w:rPr>
            <w:rStyle w:val="Hyperlink"/>
            <w:sz w:val="24"/>
            <w:lang w:val="lt-LT"/>
          </w:rPr>
          <w:t>http://data.europa.eu/eli/reg/2024/1689/oj</w:t>
        </w:r>
      </w:hyperlink>
      <w:r w:rsidRPr="005007DE">
        <w:rPr>
          <w:sz w:val="24"/>
          <w:lang w:val="lt-LT"/>
        </w:rPr>
        <w:t>).</w:t>
      </w:r>
    </w:p>
  </w:footnote>
  <w:footnote w:id="9">
    <w:p w14:paraId="14138905" w14:textId="7C594BEA"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 ELI: </w:t>
      </w:r>
      <w:hyperlink r:id="rId9" w:history="1">
        <w:r w:rsidRPr="005007DE">
          <w:rPr>
            <w:rStyle w:val="Hyperlink"/>
            <w:sz w:val="24"/>
            <w:lang w:val="lt-LT"/>
          </w:rPr>
          <w:t>http://data.europa.eu/eli/reg/2016/794/oj</w:t>
        </w:r>
      </w:hyperlink>
      <w:r w:rsidRPr="005007DE">
        <w:rPr>
          <w:sz w:val="24"/>
          <w:lang w:val="lt-LT"/>
        </w:rPr>
        <w:t>).</w:t>
      </w:r>
    </w:p>
  </w:footnote>
  <w:footnote w:id="10">
    <w:p w14:paraId="4C7C3BAA" w14:textId="2094C47D"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2023 m. rugsėjo 6 d. Bendrojo Teismo nutartis </w:t>
      </w:r>
      <w:r w:rsidRPr="005007DE">
        <w:rPr>
          <w:i/>
          <w:sz w:val="24"/>
          <w:lang w:val="lt-LT"/>
        </w:rPr>
        <w:t>EDAPP</w:t>
      </w:r>
      <w:r w:rsidRPr="005007DE">
        <w:rPr>
          <w:sz w:val="24"/>
          <w:lang w:val="lt-LT"/>
        </w:rPr>
        <w:t> / </w:t>
      </w:r>
      <w:r w:rsidRPr="005007DE">
        <w:rPr>
          <w:i/>
          <w:sz w:val="24"/>
          <w:lang w:val="lt-LT"/>
        </w:rPr>
        <w:t>Parlamentas ir Taryba</w:t>
      </w:r>
      <w:r w:rsidRPr="005007DE">
        <w:rPr>
          <w:sz w:val="24"/>
          <w:lang w:val="lt-LT"/>
        </w:rPr>
        <w:t>, T-578/22, ECLI:EU:T:2023:522.</w:t>
      </w:r>
    </w:p>
  </w:footnote>
  <w:footnote w:id="11">
    <w:p w14:paraId="5509C119" w14:textId="47C8751C"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ELI: </w:t>
      </w:r>
      <w:hyperlink r:id="rId10" w:history="1">
        <w:r w:rsidRPr="005007DE">
          <w:rPr>
            <w:rStyle w:val="Hyperlink"/>
            <w:sz w:val="24"/>
            <w:lang w:val="lt-LT"/>
          </w:rPr>
          <w:t>http://data.europa.eu/eli/reg/2022/1925/oj</w:t>
        </w:r>
      </w:hyperlink>
      <w:r w:rsidRPr="005007DE">
        <w:rPr>
          <w:sz w:val="24"/>
          <w:lang w:val="lt-LT"/>
        </w:rPr>
        <w:t>).</w:t>
      </w:r>
    </w:p>
  </w:footnote>
  <w:footnote w:id="12">
    <w:p w14:paraId="7241BBD6" w14:textId="1B223C6A" w:rsidR="00D6749F" w:rsidRPr="005007DE" w:rsidRDefault="00D6749F" w:rsidP="005007DE">
      <w:pPr>
        <w:pStyle w:val="FootnoteText"/>
        <w:ind w:left="567" w:hanging="567"/>
        <w:rPr>
          <w:sz w:val="24"/>
          <w:lang w:val="lt-LT"/>
        </w:rPr>
      </w:pPr>
      <w:r w:rsidRPr="005007DE">
        <w:rPr>
          <w:rStyle w:val="FootnoteReference"/>
          <w:sz w:val="24"/>
          <w:lang w:val="lt-LT"/>
        </w:rPr>
        <w:footnoteRef/>
      </w:r>
      <w:r w:rsidR="005007DE" w:rsidRPr="005007DE">
        <w:rPr>
          <w:sz w:val="24"/>
          <w:lang w:val="lt-LT"/>
        </w:rPr>
        <w:t xml:space="preserve"> </w:t>
      </w:r>
      <w:r w:rsidR="005007DE" w:rsidRPr="005007DE">
        <w:rPr>
          <w:sz w:val="24"/>
          <w:lang w:val="lt-LT"/>
        </w:rPr>
        <w:tab/>
      </w:r>
      <w:r w:rsidRPr="005007DE">
        <w:rPr>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11" w:history="1">
        <w:r w:rsidRPr="005007DE">
          <w:rPr>
            <w:rStyle w:val="Hyperlink"/>
            <w:sz w:val="24"/>
            <w:lang w:val="lt-LT"/>
          </w:rPr>
          <w:t>http://data.europa.eu/eli/reg/2016/679/oj</w:t>
        </w:r>
      </w:hyperlink>
      <w:r w:rsidRPr="005007DE">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1918" w14:textId="77777777" w:rsidR="00064002" w:rsidRPr="005007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FAC9" w14:textId="77777777" w:rsidR="00064002" w:rsidRPr="005007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FDC0" w14:textId="77777777" w:rsidR="00064002" w:rsidRPr="005007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96303">
    <w:abstractNumId w:val="9"/>
  </w:num>
  <w:num w:numId="2" w16cid:durableId="1209147114">
    <w:abstractNumId w:val="9"/>
  </w:num>
  <w:num w:numId="3" w16cid:durableId="1732924801">
    <w:abstractNumId w:val="7"/>
  </w:num>
  <w:num w:numId="4" w16cid:durableId="2038694544">
    <w:abstractNumId w:val="7"/>
  </w:num>
  <w:num w:numId="5" w16cid:durableId="1134323534">
    <w:abstractNumId w:val="6"/>
  </w:num>
  <w:num w:numId="6" w16cid:durableId="532308273">
    <w:abstractNumId w:val="6"/>
  </w:num>
  <w:num w:numId="7" w16cid:durableId="76245668">
    <w:abstractNumId w:val="5"/>
  </w:num>
  <w:num w:numId="8" w16cid:durableId="939071531">
    <w:abstractNumId w:val="5"/>
  </w:num>
  <w:num w:numId="9" w16cid:durableId="1971739187">
    <w:abstractNumId w:val="4"/>
  </w:num>
  <w:num w:numId="10" w16cid:durableId="1183864971">
    <w:abstractNumId w:val="4"/>
  </w:num>
  <w:num w:numId="11" w16cid:durableId="2006204296">
    <w:abstractNumId w:val="8"/>
  </w:num>
  <w:num w:numId="12" w16cid:durableId="1625500894">
    <w:abstractNumId w:val="8"/>
  </w:num>
  <w:num w:numId="13" w16cid:durableId="418673642">
    <w:abstractNumId w:val="3"/>
  </w:num>
  <w:num w:numId="14" w16cid:durableId="1163278714">
    <w:abstractNumId w:val="3"/>
  </w:num>
  <w:num w:numId="15" w16cid:durableId="483622816">
    <w:abstractNumId w:val="2"/>
  </w:num>
  <w:num w:numId="16" w16cid:durableId="886451962">
    <w:abstractNumId w:val="2"/>
  </w:num>
  <w:num w:numId="17" w16cid:durableId="477453402">
    <w:abstractNumId w:val="1"/>
  </w:num>
  <w:num w:numId="18" w16cid:durableId="1524904471">
    <w:abstractNumId w:val="1"/>
  </w:num>
  <w:num w:numId="19" w16cid:durableId="888567138">
    <w:abstractNumId w:val="0"/>
  </w:num>
  <w:num w:numId="20" w16cid:durableId="218438640">
    <w:abstractNumId w:val="0"/>
  </w:num>
  <w:num w:numId="21" w16cid:durableId="569466108">
    <w:abstractNumId w:val="9"/>
  </w:num>
  <w:num w:numId="22" w16cid:durableId="631448098">
    <w:abstractNumId w:val="7"/>
  </w:num>
  <w:num w:numId="23" w16cid:durableId="513344651">
    <w:abstractNumId w:val="6"/>
  </w:num>
  <w:num w:numId="24" w16cid:durableId="347492559">
    <w:abstractNumId w:val="5"/>
  </w:num>
  <w:num w:numId="25" w16cid:durableId="1425760299">
    <w:abstractNumId w:val="4"/>
  </w:num>
  <w:num w:numId="26" w16cid:durableId="1555191807">
    <w:abstractNumId w:val="8"/>
  </w:num>
  <w:num w:numId="27" w16cid:durableId="1794668789">
    <w:abstractNumId w:val="3"/>
  </w:num>
  <w:num w:numId="28" w16cid:durableId="2050106210">
    <w:abstractNumId w:val="2"/>
  </w:num>
  <w:num w:numId="29" w16cid:durableId="1233278315">
    <w:abstractNumId w:val="1"/>
  </w:num>
  <w:num w:numId="30" w16cid:durableId="1020206011">
    <w:abstractNumId w:val="0"/>
  </w:num>
  <w:num w:numId="31" w16cid:durableId="31269168">
    <w:abstractNumId w:val="9"/>
  </w:num>
  <w:num w:numId="32" w16cid:durableId="1432625571">
    <w:abstractNumId w:val="7"/>
  </w:num>
  <w:num w:numId="33" w16cid:durableId="479855921">
    <w:abstractNumId w:val="6"/>
  </w:num>
  <w:num w:numId="34" w16cid:durableId="1584952217">
    <w:abstractNumId w:val="5"/>
  </w:num>
  <w:num w:numId="35" w16cid:durableId="695693057">
    <w:abstractNumId w:val="4"/>
  </w:num>
  <w:num w:numId="36" w16cid:durableId="310907188">
    <w:abstractNumId w:val="8"/>
  </w:num>
  <w:num w:numId="37" w16cid:durableId="1677422149">
    <w:abstractNumId w:val="3"/>
  </w:num>
  <w:num w:numId="38" w16cid:durableId="2089761669">
    <w:abstractNumId w:val="2"/>
  </w:num>
  <w:num w:numId="39" w16cid:durableId="1705248928">
    <w:abstractNumId w:val="1"/>
  </w:num>
  <w:num w:numId="40" w16cid:durableId="1077284692">
    <w:abstractNumId w:val="0"/>
  </w:num>
  <w:num w:numId="41" w16cid:durableId="898129081">
    <w:abstractNumId w:val="10"/>
  </w:num>
  <w:num w:numId="42" w16cid:durableId="63913448">
    <w:abstractNumId w:val="10"/>
  </w:num>
  <w:num w:numId="43" w16cid:durableId="655259608">
    <w:abstractNumId w:val="10"/>
  </w:num>
  <w:num w:numId="44" w16cid:durableId="1672760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LT"/>
    <w:docVar w:name="dvnumam" w:val="0"/>
    <w:docVar w:name="dvpe" w:val="778.066"/>
    <w:docVar w:name="dvrapporteur" w:val="Pranešėjas: "/>
    <w:docVar w:name="dvtitre" w:val="2026 m. balandzio XX d. Europos Parlamento sprendimas dėl 2024 finansinių metų Europos Sąjungos bendrojo biudžeto įvykdymo patvirtinimo, IX skirsnis – Europos duomenų apsaugos priežiūros pareigūnas(2025/2154(DEC))"/>
  </w:docVars>
  <w:rsids>
    <w:rsidRoot w:val="00F1491B"/>
    <w:rsid w:val="00002272"/>
    <w:rsid w:val="00064002"/>
    <w:rsid w:val="000677B9"/>
    <w:rsid w:val="00082B54"/>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D68"/>
    <w:rsid w:val="004C0004"/>
    <w:rsid w:val="004C5D52"/>
    <w:rsid w:val="005007DE"/>
    <w:rsid w:val="0050519A"/>
    <w:rsid w:val="005072A1"/>
    <w:rsid w:val="00514517"/>
    <w:rsid w:val="00545827"/>
    <w:rsid w:val="00560270"/>
    <w:rsid w:val="005C2568"/>
    <w:rsid w:val="005F1B17"/>
    <w:rsid w:val="006037C0"/>
    <w:rsid w:val="0063483F"/>
    <w:rsid w:val="006631B6"/>
    <w:rsid w:val="00680577"/>
    <w:rsid w:val="006C420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1B4"/>
    <w:rsid w:val="00981893"/>
    <w:rsid w:val="00A1687D"/>
    <w:rsid w:val="00A43E52"/>
    <w:rsid w:val="00A4678D"/>
    <w:rsid w:val="00A63E8A"/>
    <w:rsid w:val="00A778C7"/>
    <w:rsid w:val="00AB441E"/>
    <w:rsid w:val="00AB487C"/>
    <w:rsid w:val="00AB6293"/>
    <w:rsid w:val="00AE0928"/>
    <w:rsid w:val="00AE4BE3"/>
    <w:rsid w:val="00AF3B82"/>
    <w:rsid w:val="00B12E95"/>
    <w:rsid w:val="00B22876"/>
    <w:rsid w:val="00B558F0"/>
    <w:rsid w:val="00BD48FE"/>
    <w:rsid w:val="00BD7BD8"/>
    <w:rsid w:val="00BE6ADC"/>
    <w:rsid w:val="00C05BFE"/>
    <w:rsid w:val="00C111B8"/>
    <w:rsid w:val="00C23CD4"/>
    <w:rsid w:val="00C61C0C"/>
    <w:rsid w:val="00C941CB"/>
    <w:rsid w:val="00CC2357"/>
    <w:rsid w:val="00CF071A"/>
    <w:rsid w:val="00D058B8"/>
    <w:rsid w:val="00D46502"/>
    <w:rsid w:val="00D56C11"/>
    <w:rsid w:val="00D6749F"/>
    <w:rsid w:val="00D834A0"/>
    <w:rsid w:val="00D872DF"/>
    <w:rsid w:val="00D91E21"/>
    <w:rsid w:val="00DA7FCD"/>
    <w:rsid w:val="00E365E1"/>
    <w:rsid w:val="00E820A4"/>
    <w:rsid w:val="00EB006A"/>
    <w:rsid w:val="00EB4772"/>
    <w:rsid w:val="00EB4AFB"/>
    <w:rsid w:val="00ED169E"/>
    <w:rsid w:val="00ED4235"/>
    <w:rsid w:val="00F04346"/>
    <w:rsid w:val="00F075DC"/>
    <w:rsid w:val="00F1491B"/>
    <w:rsid w:val="00F149E9"/>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EEE40"/>
  <w15:chartTrackingRefBased/>
  <w15:docId w15:val="{04BA2B41-172E-4C39-BDE3-FF5F3AB0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74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749F"/>
    <w:pPr>
      <w:spacing w:before="480" w:after="240"/>
    </w:pPr>
  </w:style>
  <w:style w:type="paragraph" w:customStyle="1" w:styleId="PageHeading">
    <w:name w:val="PageHeading"/>
    <w:basedOn w:val="Normal"/>
    <w:rsid w:val="00D6749F"/>
    <w:pPr>
      <w:keepNext/>
      <w:spacing w:after="480"/>
      <w:jc w:val="center"/>
    </w:pPr>
    <w:rPr>
      <w:rFonts w:ascii="Arial" w:hAnsi="Arial" w:cs="Arial"/>
      <w:b/>
    </w:rPr>
  </w:style>
  <w:style w:type="paragraph" w:customStyle="1" w:styleId="NormalBold">
    <w:name w:val="NormalBold"/>
    <w:basedOn w:val="Normal"/>
    <w:rsid w:val="00D6749F"/>
    <w:rPr>
      <w:b/>
    </w:rPr>
  </w:style>
  <w:style w:type="paragraph" w:customStyle="1" w:styleId="NormalHanging12a">
    <w:name w:val="NormalHanging12a"/>
    <w:basedOn w:val="Normal"/>
    <w:link w:val="NormalHanging12aChar"/>
    <w:qFormat/>
    <w:rsid w:val="00D6749F"/>
    <w:pPr>
      <w:spacing w:after="240"/>
      <w:ind w:left="567" w:hanging="567"/>
    </w:pPr>
  </w:style>
  <w:style w:type="paragraph" w:styleId="Header">
    <w:name w:val="header"/>
    <w:basedOn w:val="Normal"/>
    <w:link w:val="HeaderChar"/>
    <w:rsid w:val="00D6749F"/>
    <w:pPr>
      <w:tabs>
        <w:tab w:val="center" w:pos="4513"/>
        <w:tab w:val="right" w:pos="9026"/>
      </w:tabs>
    </w:pPr>
  </w:style>
  <w:style w:type="character" w:customStyle="1" w:styleId="HeaderChar">
    <w:name w:val="Header Char"/>
    <w:basedOn w:val="DefaultParagraphFont"/>
    <w:link w:val="Header"/>
    <w:rsid w:val="00D6749F"/>
    <w:rPr>
      <w:sz w:val="24"/>
      <w:lang w:val="lt-LT"/>
    </w:rPr>
  </w:style>
  <w:style w:type="paragraph" w:customStyle="1" w:styleId="EPFooter">
    <w:name w:val="EPFooter"/>
    <w:basedOn w:val="Normal"/>
    <w:rsid w:val="00D6749F"/>
    <w:pPr>
      <w:tabs>
        <w:tab w:val="center" w:pos="4535"/>
        <w:tab w:val="right" w:pos="9071"/>
      </w:tabs>
      <w:spacing w:before="240" w:after="240"/>
    </w:pPr>
    <w:rPr>
      <w:color w:val="010000"/>
      <w:sz w:val="22"/>
    </w:rPr>
  </w:style>
  <w:style w:type="character" w:styleId="Hyperlink">
    <w:name w:val="Hyperlink"/>
    <w:basedOn w:val="DefaultParagraphFont"/>
    <w:rsid w:val="00D6749F"/>
    <w:rPr>
      <w:color w:val="0563C1" w:themeColor="hyperlink"/>
      <w:u w:val="single"/>
    </w:rPr>
  </w:style>
  <w:style w:type="character" w:customStyle="1" w:styleId="NormalHanging12aChar">
    <w:name w:val="NormalHanging12a Char"/>
    <w:basedOn w:val="DefaultParagraphFont"/>
    <w:link w:val="NormalHanging12a"/>
    <w:locked/>
    <w:rsid w:val="00D6749F"/>
    <w:rPr>
      <w:sz w:val="24"/>
      <w:lang w:val="lt-LT"/>
    </w:rPr>
  </w:style>
  <w:style w:type="paragraph" w:styleId="Revision">
    <w:name w:val="Revision"/>
    <w:hidden/>
    <w:uiPriority w:val="99"/>
    <w:semiHidden/>
    <w:rsid w:val="006C420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6503</Words>
  <Characters>43286</Characters>
  <Application>Microsoft Office Word</Application>
  <DocSecurity>0</DocSecurity>
  <Lines>360</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5</cp:revision>
  <cp:lastPrinted>2004-11-19T15:42:00Z</cp:lastPrinted>
  <dcterms:created xsi:type="dcterms:W3CDTF">2026-04-29T13:19:00Z</dcterms:created>
  <dcterms:modified xsi:type="dcterms:W3CDTF">2026-04-29T13:34:00Z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A10-0057/2026</vt:lpwstr>
  </property>
  <property fmtid="{D5CDD505-2E9C-101B-9397-08002B2CF9AE}" pid="4" name="&lt;Type&gt;">
    <vt:lpwstr>RR</vt:lpwstr>
  </property>
</Properties>
</file>