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9EE" w14:paraId="094294CA" w14:textId="77777777" w:rsidTr="0010095E">
        <w:trPr>
          <w:trHeight w:hRule="exact" w:val="1418"/>
        </w:trPr>
        <w:tc>
          <w:tcPr>
            <w:tcW w:w="6804" w:type="dxa"/>
            <w:shd w:val="clear" w:color="auto" w:fill="auto"/>
            <w:vAlign w:val="center"/>
          </w:tcPr>
          <w:p w14:paraId="7ED7C689" w14:textId="77777777" w:rsidR="00751A4A" w:rsidRPr="005569EE" w:rsidRDefault="00DB2BA4" w:rsidP="0010095E">
            <w:pPr>
              <w:pStyle w:val="EPName"/>
            </w:pPr>
            <w:r w:rsidRPr="005569EE">
              <w:t>Eiropas Parlaments</w:t>
            </w:r>
          </w:p>
          <w:p w14:paraId="36E867D0" w14:textId="77777777" w:rsidR="00751A4A" w:rsidRPr="005569EE" w:rsidRDefault="005F1B17" w:rsidP="005F1B17">
            <w:pPr>
              <w:pStyle w:val="EPTerm"/>
              <w:rPr>
                <w:rStyle w:val="HideTWBExt"/>
                <w:noProof w:val="0"/>
                <w:vanish w:val="0"/>
                <w:color w:val="auto"/>
              </w:rPr>
            </w:pPr>
            <w:r w:rsidRPr="005569EE">
              <w:t>2024</w:t>
            </w:r>
            <w:r w:rsidR="00817416" w:rsidRPr="005569EE">
              <w:t>-202</w:t>
            </w:r>
            <w:r w:rsidRPr="005569EE">
              <w:t>9</w:t>
            </w:r>
          </w:p>
        </w:tc>
        <w:tc>
          <w:tcPr>
            <w:tcW w:w="2268" w:type="dxa"/>
            <w:shd w:val="clear" w:color="auto" w:fill="auto"/>
          </w:tcPr>
          <w:p w14:paraId="0CE35BBA" w14:textId="77777777" w:rsidR="00751A4A" w:rsidRPr="005569EE" w:rsidRDefault="00187494" w:rsidP="0010095E">
            <w:pPr>
              <w:pStyle w:val="EPLogo"/>
            </w:pPr>
            <w:r w:rsidRPr="005569EE">
              <w:rPr>
                <w:noProof/>
                <w:lang w:eastAsia="ja-JP"/>
              </w:rPr>
              <w:drawing>
                <wp:inline distT="0" distB="0" distL="0" distR="0" wp14:anchorId="4C303591" wp14:editId="7083D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52AEEC" w14:textId="77777777" w:rsidR="00D058B8" w:rsidRPr="005569EE" w:rsidRDefault="00D058B8" w:rsidP="004C5D52">
      <w:pPr>
        <w:pStyle w:val="LineTop"/>
      </w:pPr>
    </w:p>
    <w:p w14:paraId="310D6DA6" w14:textId="77777777" w:rsidR="00680577" w:rsidRPr="005569EE" w:rsidRDefault="00DB2BA4" w:rsidP="00680577">
      <w:pPr>
        <w:pStyle w:val="EPBodyTA1"/>
      </w:pPr>
      <w:r w:rsidRPr="005569EE">
        <w:t>PIEŅEMTIE TEKSTI</w:t>
      </w:r>
    </w:p>
    <w:p w14:paraId="6B3451F1" w14:textId="77777777" w:rsidR="00D058B8" w:rsidRPr="005569EE" w:rsidRDefault="00D058B8" w:rsidP="00D058B8">
      <w:pPr>
        <w:pStyle w:val="LineBottom"/>
      </w:pPr>
    </w:p>
    <w:p w14:paraId="5138862F" w14:textId="7F83E9A9" w:rsidR="00DB2BA4" w:rsidRPr="005569EE" w:rsidRDefault="00DB2BA4" w:rsidP="00DB2BA4">
      <w:pPr>
        <w:pStyle w:val="ATHeading1"/>
      </w:pPr>
      <w:bookmarkStart w:id="0" w:name="TANumber"/>
      <w:r w:rsidRPr="005569EE">
        <w:t>P10_TA(2026)</w:t>
      </w:r>
      <w:bookmarkEnd w:id="0"/>
      <w:r w:rsidR="005569EE" w:rsidRPr="005569EE">
        <w:t>0134</w:t>
      </w:r>
    </w:p>
    <w:p w14:paraId="5DE77FD2" w14:textId="107520FC" w:rsidR="00DB2BA4" w:rsidRPr="005569EE" w:rsidRDefault="00DB2BA4" w:rsidP="00DB2BA4">
      <w:pPr>
        <w:pStyle w:val="ATHeading2"/>
      </w:pPr>
      <w:bookmarkStart w:id="1" w:name="title"/>
      <w:r w:rsidRPr="005569EE">
        <w:t>ES 2024. finanšu gada vispārējā budžeta izpildes apstiprināšana: Eiropas Datu</w:t>
      </w:r>
      <w:r w:rsidR="00FC4932" w:rsidRPr="005569EE">
        <w:t xml:space="preserve"> </w:t>
      </w:r>
      <w:r w:rsidRPr="005569EE">
        <w:t>aizsardzības uzraudzītājs</w:t>
      </w:r>
      <w:bookmarkEnd w:id="1"/>
    </w:p>
    <w:p w14:paraId="151F70C9" w14:textId="77777777" w:rsidR="00DB2BA4" w:rsidRPr="005569EE" w:rsidRDefault="00DB2BA4" w:rsidP="00DB2BA4">
      <w:pPr>
        <w:rPr>
          <w:i/>
          <w:vanish/>
        </w:rPr>
      </w:pPr>
      <w:r w:rsidRPr="005569EE">
        <w:rPr>
          <w:i/>
        </w:rPr>
        <w:fldChar w:fldCharType="begin"/>
      </w:r>
      <w:r w:rsidRPr="005569EE">
        <w:rPr>
          <w:i/>
        </w:rPr>
        <w:instrText xml:space="preserve"> TC"(</w:instrText>
      </w:r>
      <w:bookmarkStart w:id="2" w:name="DocNumber"/>
      <w:r w:rsidRPr="005569EE">
        <w:rPr>
          <w:i/>
        </w:rPr>
        <w:instrText>A10-0057/2026</w:instrText>
      </w:r>
      <w:bookmarkEnd w:id="2"/>
      <w:r w:rsidRPr="005569EE">
        <w:rPr>
          <w:i/>
        </w:rPr>
        <w:instrText xml:space="preserve"> - Referents: </w:instrText>
      </w:r>
      <w:proofErr w:type="spellStart"/>
      <w:r w:rsidRPr="005569EE">
        <w:rPr>
          <w:i/>
        </w:rPr>
        <w:instrText>Pasquale</w:instrText>
      </w:r>
      <w:proofErr w:type="spellEnd"/>
      <w:r w:rsidRPr="005569EE">
        <w:rPr>
          <w:i/>
        </w:rPr>
        <w:instrText xml:space="preserve"> </w:instrText>
      </w:r>
      <w:proofErr w:type="spellStart"/>
      <w:r w:rsidRPr="005569EE">
        <w:rPr>
          <w:i/>
        </w:rPr>
        <w:instrText>Tridico</w:instrText>
      </w:r>
      <w:proofErr w:type="spellEnd"/>
      <w:r w:rsidRPr="005569EE">
        <w:rPr>
          <w:i/>
        </w:rPr>
        <w:instrText xml:space="preserve">)"\l3 \n&gt; \* MERGEFORMAT </w:instrText>
      </w:r>
      <w:r w:rsidRPr="005569EE">
        <w:rPr>
          <w:i/>
        </w:rPr>
        <w:fldChar w:fldCharType="end"/>
      </w:r>
    </w:p>
    <w:p w14:paraId="7236979F" w14:textId="77777777" w:rsidR="00DB2BA4" w:rsidRPr="005569EE" w:rsidRDefault="00DB2BA4" w:rsidP="00DB2BA4">
      <w:pPr>
        <w:rPr>
          <w:vanish/>
        </w:rPr>
      </w:pPr>
      <w:bookmarkStart w:id="3" w:name="Commission"/>
      <w:r w:rsidRPr="005569EE">
        <w:rPr>
          <w:vanish/>
        </w:rPr>
        <w:t>Budžeta kontroles komiteja</w:t>
      </w:r>
      <w:bookmarkEnd w:id="3"/>
    </w:p>
    <w:p w14:paraId="3363AF57" w14:textId="77777777" w:rsidR="00DB2BA4" w:rsidRPr="005569EE" w:rsidRDefault="00DB2BA4" w:rsidP="00DB2BA4">
      <w:pPr>
        <w:rPr>
          <w:vanish/>
        </w:rPr>
      </w:pPr>
      <w:bookmarkStart w:id="4" w:name="PE"/>
      <w:r w:rsidRPr="005569EE">
        <w:rPr>
          <w:vanish/>
        </w:rPr>
        <w:t>PE778.066</w:t>
      </w:r>
      <w:bookmarkEnd w:id="4"/>
    </w:p>
    <w:p w14:paraId="124A6AC2" w14:textId="66CBE178" w:rsidR="00DB2BA4" w:rsidRPr="005569EE" w:rsidRDefault="00D50506" w:rsidP="00DB2BA4">
      <w:pPr>
        <w:pStyle w:val="ATHeading3"/>
      </w:pPr>
      <w:bookmarkStart w:id="5" w:name="Sujet"/>
      <w:r w:rsidRPr="005569EE">
        <w:t xml:space="preserve">1. </w:t>
      </w:r>
      <w:r w:rsidR="00DB2BA4" w:rsidRPr="005569EE">
        <w:t xml:space="preserve">Eiropas Parlamenta 2026. gada </w:t>
      </w:r>
      <w:r w:rsidR="00FC4932" w:rsidRPr="005569EE">
        <w:t>29</w:t>
      </w:r>
      <w:r w:rsidR="00DB2BA4" w:rsidRPr="005569EE">
        <w:t xml:space="preserve">. </w:t>
      </w:r>
      <w:r w:rsidR="00FC4932" w:rsidRPr="005569EE">
        <w:t>aprīļa</w:t>
      </w:r>
      <w:r w:rsidR="00DB2BA4" w:rsidRPr="005569EE">
        <w:t xml:space="preserve"> lēmums par Eiropas Savienības 2024. finanšu gada vispārējā budžeta izpildes apstiprināšanu, IX iedaļa — Eiropas Datu aizsardzības uzraudzītājs</w:t>
      </w:r>
      <w:bookmarkEnd w:id="5"/>
      <w:r w:rsidR="00DB2BA4" w:rsidRPr="005569EE">
        <w:t xml:space="preserve"> </w:t>
      </w:r>
      <w:bookmarkStart w:id="6" w:name="References"/>
      <w:r w:rsidR="00DB2BA4" w:rsidRPr="005569EE">
        <w:t>(2025/2154(DEC))</w:t>
      </w:r>
      <w:bookmarkEnd w:id="6"/>
    </w:p>
    <w:p w14:paraId="6889FB41" w14:textId="77777777" w:rsidR="00DD3EE8" w:rsidRPr="005569EE" w:rsidRDefault="00DD3EE8" w:rsidP="00DD3EE8">
      <w:pPr>
        <w:pStyle w:val="EPComma"/>
      </w:pPr>
      <w:bookmarkStart w:id="7" w:name="TextBodyBegin"/>
      <w:bookmarkEnd w:id="7"/>
      <w:r w:rsidRPr="005569EE">
        <w:rPr>
          <w:i/>
        </w:rPr>
        <w:t>Eiropas Parlaments</w:t>
      </w:r>
      <w:r w:rsidRPr="005569EE">
        <w:t>,</w:t>
      </w:r>
    </w:p>
    <w:p w14:paraId="1078E69A" w14:textId="77777777" w:rsidR="00DD3EE8" w:rsidRPr="005569EE" w:rsidRDefault="00DD3EE8" w:rsidP="00DD3EE8">
      <w:pPr>
        <w:pStyle w:val="NormalHanging12a"/>
      </w:pPr>
      <w:r w:rsidRPr="005569EE">
        <w:t>–</w:t>
      </w:r>
      <w:r w:rsidRPr="005569EE">
        <w:tab/>
        <w:t>ņemot vērā Eiropas Savienības 2024. finanšu gada vispārējo budžetu</w:t>
      </w:r>
      <w:r w:rsidRPr="005569EE">
        <w:rPr>
          <w:rStyle w:val="FootnoteReference"/>
        </w:rPr>
        <w:footnoteReference w:id="1"/>
      </w:r>
      <w:r w:rsidRPr="005569EE">
        <w:t>,</w:t>
      </w:r>
    </w:p>
    <w:p w14:paraId="09334A56" w14:textId="361F7B9F" w:rsidR="00DD3EE8" w:rsidRPr="005569EE" w:rsidRDefault="00DD3EE8" w:rsidP="00DD3EE8">
      <w:pPr>
        <w:pStyle w:val="NormalHanging12a"/>
      </w:pPr>
      <w:r w:rsidRPr="005569EE">
        <w:t>–</w:t>
      </w:r>
      <w:r w:rsidRPr="005569EE">
        <w:tab/>
        <w:t>ņemot vērā Eiropas Savienības konsolidētos pārskatus par 2024. finanšu gadu (COM(202</w:t>
      </w:r>
      <w:r w:rsidR="008B11BB">
        <w:t>5</w:t>
      </w:r>
      <w:r w:rsidRPr="005569EE">
        <w:t>)0359 – C10</w:t>
      </w:r>
      <w:r w:rsidRPr="005569EE">
        <w:noBreakHyphen/>
        <w:t>0154/2025)</w:t>
      </w:r>
      <w:r w:rsidRPr="005569EE">
        <w:rPr>
          <w:rStyle w:val="FootnoteReference"/>
        </w:rPr>
        <w:footnoteReference w:id="2"/>
      </w:r>
      <w:r w:rsidRPr="005569EE">
        <w:t>,</w:t>
      </w:r>
    </w:p>
    <w:p w14:paraId="0FB7750D" w14:textId="77777777" w:rsidR="00DD3EE8" w:rsidRPr="005569EE" w:rsidRDefault="00DD3EE8" w:rsidP="00DD3EE8">
      <w:pPr>
        <w:pStyle w:val="NormalHanging12a"/>
      </w:pPr>
      <w:r w:rsidRPr="005569EE">
        <w:t>–</w:t>
      </w:r>
      <w:r w:rsidRPr="005569EE">
        <w:tab/>
        <w:t>ņemot vērā Eiropas Datu aizsardzības uzraudzītāja 2024. gada pārskatu,</w:t>
      </w:r>
    </w:p>
    <w:p w14:paraId="0C1222DB" w14:textId="77777777" w:rsidR="00DD3EE8" w:rsidRPr="005569EE" w:rsidRDefault="00DD3EE8" w:rsidP="00DD3EE8">
      <w:pPr>
        <w:pStyle w:val="NormalHanging12a"/>
      </w:pPr>
      <w:r w:rsidRPr="005569EE">
        <w:t>–</w:t>
      </w:r>
      <w:r w:rsidRPr="005569EE">
        <w:tab/>
        <w:t>ņemot vērā Revīzijas palātas pārskatu par budžeta izpildi 2024. finanšu gadā un iestāžu atbildes</w:t>
      </w:r>
      <w:r w:rsidRPr="005569EE">
        <w:rPr>
          <w:rStyle w:val="FootnoteReference"/>
        </w:rPr>
        <w:footnoteReference w:id="3"/>
      </w:r>
      <w:r w:rsidRPr="005569EE">
        <w:t>,</w:t>
      </w:r>
    </w:p>
    <w:p w14:paraId="2ECFE8B4" w14:textId="77777777" w:rsidR="00DD3EE8" w:rsidRPr="005569EE" w:rsidRDefault="00DD3EE8" w:rsidP="00DD3EE8">
      <w:pPr>
        <w:pStyle w:val="NormalHanging12a"/>
      </w:pPr>
      <w:r w:rsidRPr="005569EE">
        <w:t>–</w:t>
      </w:r>
      <w:r w:rsidRPr="005569EE">
        <w:tab/>
        <w:t>ņemot vērā deklarāciju</w:t>
      </w:r>
      <w:r w:rsidRPr="005569EE">
        <w:rPr>
          <w:rStyle w:val="FootnoteReference"/>
        </w:rPr>
        <w:footnoteReference w:id="4"/>
      </w:r>
      <w:r w:rsidRPr="005569EE">
        <w:t xml:space="preserve"> par pārskatu ticamību, kā arī par pakārtoto darījumu likumību un pareizību, kuru Revīzijas palāta sniegusi par 2024. finanšu gadu saskaņā ar Līguma par Eiropas Savienības darbību 287. pantu,</w:t>
      </w:r>
    </w:p>
    <w:p w14:paraId="791EFD41" w14:textId="77777777" w:rsidR="00DD3EE8" w:rsidRPr="005569EE" w:rsidRDefault="00DD3EE8" w:rsidP="00DD3EE8">
      <w:pPr>
        <w:pStyle w:val="NormalHanging12a"/>
      </w:pPr>
      <w:r w:rsidRPr="005569EE">
        <w:t>–</w:t>
      </w:r>
      <w:r w:rsidRPr="005569EE">
        <w:tab/>
        <w:t>ņemot vērā Līguma par Eiropas Savienības darbību 314. panta 10. punktu, kā arī 317., 318. un 319. pantu,</w:t>
      </w:r>
    </w:p>
    <w:p w14:paraId="34E6ABD6" w14:textId="77777777" w:rsidR="00DD3EE8" w:rsidRPr="005569EE" w:rsidRDefault="00DD3EE8" w:rsidP="00DD3EE8">
      <w:pPr>
        <w:pStyle w:val="NormalHanging12a"/>
      </w:pPr>
      <w:r w:rsidRPr="005569EE">
        <w:t>–</w:t>
      </w:r>
      <w:r w:rsidRPr="005569EE">
        <w:tab/>
        <w:t xml:space="preserve">ņemot vērā Eiropas Parlamenta un Padomes 2018. gada 18. jūlija Regulu (ES, </w:t>
      </w:r>
      <w:r w:rsidRPr="005569EE">
        <w:rPr>
          <w:i/>
          <w:iCs/>
        </w:rPr>
        <w:t>Euratom</w:t>
      </w:r>
      <w:r w:rsidRPr="005569EE">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5569EE">
        <w:rPr>
          <w:i/>
          <w:iCs/>
        </w:rPr>
        <w:t>Euratom</w:t>
      </w:r>
      <w:r w:rsidRPr="005569EE">
        <w:t xml:space="preserve">) </w:t>
      </w:r>
      <w:r w:rsidRPr="005569EE">
        <w:lastRenderedPageBreak/>
        <w:t>Nr. 966/2012</w:t>
      </w:r>
      <w:r w:rsidRPr="005569EE">
        <w:rPr>
          <w:rStyle w:val="FootnoteReference"/>
        </w:rPr>
        <w:footnoteReference w:id="5"/>
      </w:r>
      <w:r w:rsidRPr="005569EE">
        <w:t>, un jo īpaši tās 59., 118., 260., 261. un 262. pantu,</w:t>
      </w:r>
    </w:p>
    <w:p w14:paraId="105B0916" w14:textId="77777777" w:rsidR="00DD3EE8" w:rsidRPr="005569EE" w:rsidRDefault="00DD3EE8" w:rsidP="00DD3EE8">
      <w:pPr>
        <w:pStyle w:val="NormalHanging12a"/>
      </w:pPr>
      <w:r w:rsidRPr="005569EE">
        <w:t>–</w:t>
      </w:r>
      <w:r w:rsidRPr="005569EE">
        <w:tab/>
        <w:t xml:space="preserve">ņemot vērā Eiropas Parlamenta un Padomes 2024. gada 23. septembra Regulu (ES, </w:t>
      </w:r>
      <w:r w:rsidRPr="005569EE">
        <w:rPr>
          <w:i/>
          <w:iCs/>
        </w:rPr>
        <w:t>Euratom</w:t>
      </w:r>
      <w:r w:rsidRPr="005569EE">
        <w:t>) 2024/2509 par finanšu noteikumiem, ko piemēro Savienības vispārējam budžetam</w:t>
      </w:r>
      <w:r w:rsidRPr="005569EE">
        <w:rPr>
          <w:rStyle w:val="FootnoteReference"/>
        </w:rPr>
        <w:footnoteReference w:id="6"/>
      </w:r>
      <w:r w:rsidRPr="005569EE">
        <w:t>, un jo īpaši tās 59., 118., 266., 267. un 268. pantu,</w:t>
      </w:r>
    </w:p>
    <w:p w14:paraId="0F784A64" w14:textId="77777777" w:rsidR="00DD3EE8" w:rsidRPr="005569EE" w:rsidRDefault="00DD3EE8" w:rsidP="00DD3EE8">
      <w:pPr>
        <w:pStyle w:val="NormalHanging12a"/>
      </w:pPr>
      <w:r w:rsidRPr="005569EE">
        <w:t>–</w:t>
      </w:r>
      <w:r w:rsidRPr="005569EE">
        <w:tab/>
        <w:t>ņemot vērā Eiropas Parlamenta un Padomes 2018. gada 23. oktobra Regulu (ES) 2018/1725 par fizisku personu aizsardzību attiecībā uz personas datu apstrādi Savienības iestādēs, struktūrās, birojos un aģentūrās un par šādu datu brīvu apriti un ar ko atceļ Regulu (EK) Nr. 45/2001 un Lēmumu Nr. 1247/2002/EK</w:t>
      </w:r>
      <w:r w:rsidRPr="005569EE">
        <w:rPr>
          <w:rStyle w:val="FootnoteReference"/>
        </w:rPr>
        <w:footnoteReference w:id="7"/>
      </w:r>
      <w:r w:rsidRPr="005569EE">
        <w:t>, un jo īpaši tās 54. pantu,</w:t>
      </w:r>
    </w:p>
    <w:p w14:paraId="14CA970D" w14:textId="77777777" w:rsidR="00DD3EE8" w:rsidRPr="005569EE" w:rsidRDefault="00DD3EE8" w:rsidP="00DD3EE8">
      <w:pPr>
        <w:pStyle w:val="NormalHanging12a"/>
      </w:pPr>
      <w:r w:rsidRPr="005569EE">
        <w:t>–</w:t>
      </w:r>
      <w:r w:rsidRPr="005569EE">
        <w:tab/>
        <w:t>ņemot vērā Reglamenta 102. pantu un V pielikumu,</w:t>
      </w:r>
    </w:p>
    <w:p w14:paraId="3B119475" w14:textId="77777777" w:rsidR="00DD3EE8" w:rsidRPr="005569EE" w:rsidRDefault="00DD3EE8" w:rsidP="00DD3EE8">
      <w:pPr>
        <w:pStyle w:val="NormalHanging12a"/>
      </w:pPr>
      <w:r w:rsidRPr="005569EE">
        <w:t>–</w:t>
      </w:r>
      <w:r w:rsidRPr="005569EE">
        <w:tab/>
        <w:t xml:space="preserve">ņemot vērā Pilsoņu brīvību, tieslietu un </w:t>
      </w:r>
      <w:proofErr w:type="spellStart"/>
      <w:r w:rsidRPr="005569EE">
        <w:t>iekšlietu</w:t>
      </w:r>
      <w:proofErr w:type="spellEnd"/>
      <w:r w:rsidRPr="005569EE">
        <w:t xml:space="preserve"> komitejas atzinumu,</w:t>
      </w:r>
    </w:p>
    <w:p w14:paraId="2C7911F7" w14:textId="77777777" w:rsidR="00DD3EE8" w:rsidRPr="005569EE" w:rsidRDefault="00DD3EE8" w:rsidP="00DD3EE8">
      <w:pPr>
        <w:pStyle w:val="NormalHanging12a"/>
      </w:pPr>
      <w:r w:rsidRPr="005569EE">
        <w:t>–</w:t>
      </w:r>
      <w:r w:rsidRPr="005569EE">
        <w:tab/>
        <w:t>ņemot vērā Budžeta kontroles komitejas ziņojumu (A10-0057/2026),</w:t>
      </w:r>
    </w:p>
    <w:p w14:paraId="3BB2F2D1" w14:textId="77777777" w:rsidR="00DD3EE8" w:rsidRPr="005569EE" w:rsidRDefault="00DD3EE8" w:rsidP="00DD3EE8">
      <w:pPr>
        <w:pStyle w:val="NormalHanging12a"/>
      </w:pPr>
      <w:r w:rsidRPr="005569EE">
        <w:t>1.</w:t>
      </w:r>
      <w:r w:rsidRPr="005569EE">
        <w:tab/>
        <w:t>sniedz Eiropas datu aizsardzības uzraudzītājam apstiprinājumu par 2024. finanšu gada budžeta izpildi;</w:t>
      </w:r>
    </w:p>
    <w:p w14:paraId="5B1A1DB5" w14:textId="77777777" w:rsidR="00DD3EE8" w:rsidRPr="005569EE" w:rsidRDefault="00DD3EE8" w:rsidP="00DD3EE8">
      <w:pPr>
        <w:pStyle w:val="NormalHanging12a"/>
      </w:pPr>
      <w:r w:rsidRPr="005569EE">
        <w:t>2.</w:t>
      </w:r>
      <w:r w:rsidRPr="005569EE">
        <w:tab/>
        <w:t>izklāsta savus konstatējumus turpmāk tekstā iekļautajā rezolūcijā;</w:t>
      </w:r>
    </w:p>
    <w:p w14:paraId="13F2842B" w14:textId="77777777" w:rsidR="00DD3EE8" w:rsidRPr="005569EE" w:rsidRDefault="00DD3EE8" w:rsidP="00DD3EE8">
      <w:pPr>
        <w:pStyle w:val="NormalHanging12a"/>
      </w:pPr>
      <w:r w:rsidRPr="005569EE">
        <w:t>3.</w:t>
      </w:r>
      <w:r w:rsidRPr="005569EE">
        <w:tab/>
        <w:t xml:space="preserve">uzdod priekšsēdētājai šo lēmumu un rezolūciju, kas ir tā neatņemama daļa, nosūtīt Eiropas Datu aizsardzības uzraudzītājam, Eiropadomei, Padomei, Komisijai, Revīzijas palātai, Eiropas Savienības Tiesai, Eiropas </w:t>
      </w:r>
      <w:proofErr w:type="spellStart"/>
      <w:r w:rsidRPr="005569EE">
        <w:t>Ombudam</w:t>
      </w:r>
      <w:proofErr w:type="spellEnd"/>
      <w:r w:rsidRPr="005569EE">
        <w:t xml:space="preserve"> un Eiropas Ārējās darbības dienestam un nodrošināt to publicēšanu </w:t>
      </w:r>
      <w:r w:rsidRPr="005569EE">
        <w:rPr>
          <w:i/>
          <w:iCs/>
        </w:rPr>
        <w:t>Eiropas Savienības Oficiālajā Vēstnesī</w:t>
      </w:r>
      <w:r w:rsidRPr="005569EE">
        <w:t xml:space="preserve"> (L sērijā).</w:t>
      </w:r>
    </w:p>
    <w:p w14:paraId="59C5302C" w14:textId="77777777" w:rsidR="00DD3EE8" w:rsidRPr="005569EE" w:rsidRDefault="00DD3EE8" w:rsidP="00DD3EE8">
      <w:pPr>
        <w:pStyle w:val="PageHeading"/>
        <w:sectPr w:rsidR="00DD3EE8" w:rsidRPr="005569EE" w:rsidSect="000B67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B2D618" w14:textId="77777777" w:rsidR="00D50506" w:rsidRPr="005569EE" w:rsidRDefault="00D50506" w:rsidP="00D50506">
      <w:pPr>
        <w:pStyle w:val="ATHeading3"/>
      </w:pPr>
      <w:r w:rsidRPr="005569EE">
        <w:lastRenderedPageBreak/>
        <w:t>2. Eiropas Parlamenta 2026. gada 29. aprīļa rezolūcija ar konstatējumiem, kas ir neatņemama daļa no lēmuma par Eiropas Savienības 2024. finanšu gada vispārējā budžeta izpildes apstiprināšanu, IX iedaļa — Eiropas Datu aizsardzības uzraudzītājs (2025/2154(DEC))</w:t>
      </w:r>
    </w:p>
    <w:p w14:paraId="387CD8A1" w14:textId="77777777" w:rsidR="00DD3EE8" w:rsidRPr="005569EE" w:rsidRDefault="00DD3EE8" w:rsidP="00DD3EE8">
      <w:pPr>
        <w:pStyle w:val="EPComma"/>
      </w:pPr>
      <w:r w:rsidRPr="005569EE">
        <w:rPr>
          <w:i/>
        </w:rPr>
        <w:t>Eiropas Parlaments</w:t>
      </w:r>
      <w:r w:rsidRPr="005569EE">
        <w:t>,</w:t>
      </w:r>
    </w:p>
    <w:p w14:paraId="288F763A" w14:textId="77777777" w:rsidR="00DD3EE8" w:rsidRPr="005569EE" w:rsidRDefault="00DD3EE8" w:rsidP="00DD3EE8">
      <w:pPr>
        <w:pStyle w:val="NormalHanging12a"/>
      </w:pPr>
      <w:r w:rsidRPr="005569EE">
        <w:t>–</w:t>
      </w:r>
      <w:r w:rsidRPr="005569EE">
        <w:tab/>
        <w:t>ņemot vērā lēmumu par Eiropas Savienības 2024. finanšu gada vispārējā budžeta izpildes apstiprināšanu, IX iedaļa — Eiropas Datu aizsardzības uzraudzītājs,</w:t>
      </w:r>
    </w:p>
    <w:p w14:paraId="22B74B77" w14:textId="77777777" w:rsidR="00DD3EE8" w:rsidRPr="005569EE" w:rsidRDefault="00DD3EE8" w:rsidP="00DD3EE8">
      <w:pPr>
        <w:pStyle w:val="NormalHanging12a"/>
      </w:pPr>
      <w:r w:rsidRPr="005569EE">
        <w:t>–</w:t>
      </w:r>
      <w:r w:rsidRPr="005569EE">
        <w:tab/>
        <w:t>ņemot vērā Reglamenta 102. pantu un V pielikumu,</w:t>
      </w:r>
    </w:p>
    <w:p w14:paraId="6CD6D724" w14:textId="77777777" w:rsidR="00DD3EE8" w:rsidRPr="005569EE" w:rsidRDefault="00DD3EE8" w:rsidP="00DD3EE8">
      <w:pPr>
        <w:pStyle w:val="NormalHanging12a"/>
      </w:pPr>
      <w:r w:rsidRPr="005569EE">
        <w:t>–</w:t>
      </w:r>
      <w:r w:rsidRPr="005569EE">
        <w:tab/>
        <w:t xml:space="preserve">ņemot vērā Pilsoņu brīvību, tieslietu un </w:t>
      </w:r>
      <w:proofErr w:type="spellStart"/>
      <w:r w:rsidRPr="005569EE">
        <w:t>iekšlietu</w:t>
      </w:r>
      <w:proofErr w:type="spellEnd"/>
      <w:r w:rsidRPr="005569EE">
        <w:t xml:space="preserve"> komitejas atzinumu,</w:t>
      </w:r>
    </w:p>
    <w:p w14:paraId="090861CA" w14:textId="77777777" w:rsidR="00DD3EE8" w:rsidRPr="005569EE" w:rsidRDefault="00DD3EE8" w:rsidP="00DD3EE8">
      <w:pPr>
        <w:pStyle w:val="NormalHanging12a"/>
      </w:pPr>
      <w:r w:rsidRPr="005569EE">
        <w:t>–</w:t>
      </w:r>
      <w:r w:rsidRPr="005569EE">
        <w:tab/>
        <w:t>ņemot vērā Budžeta kontroles komitejas ziņojumu (A10-0057/2026),</w:t>
      </w:r>
    </w:p>
    <w:p w14:paraId="219C3077" w14:textId="77777777" w:rsidR="00DD3EE8" w:rsidRPr="005569EE" w:rsidRDefault="00DD3EE8" w:rsidP="00DD3EE8">
      <w:pPr>
        <w:pStyle w:val="NormalHanging12a"/>
        <w:rPr>
          <w:szCs w:val="24"/>
        </w:rPr>
      </w:pPr>
      <w:r w:rsidRPr="005569EE">
        <w:t>A.</w:t>
      </w:r>
      <w:r w:rsidRPr="005569EE">
        <w:tab/>
        <w:t xml:space="preserve">tā kā saistībā ar budžeta izpildes apstiprināšanas procedūru budžeta izpildes </w:t>
      </w:r>
      <w:proofErr w:type="spellStart"/>
      <w:r w:rsidRPr="005569EE">
        <w:t>apstiprinātājiestāde</w:t>
      </w:r>
      <w:proofErr w:type="spellEnd"/>
      <w:r w:rsidRPr="005569EE">
        <w:t xml:space="preserve"> vēlas uzsvērt, ka ir īpaši svarīgi vēl vairāk stiprināt Savienības iestāžu demokrātisko leģitimitāti, uzlabojot </w:t>
      </w:r>
      <w:proofErr w:type="spellStart"/>
      <w:r w:rsidRPr="005569EE">
        <w:t>pārredzamību</w:t>
      </w:r>
      <w:proofErr w:type="spellEnd"/>
      <w:r w:rsidRPr="005569EE">
        <w:t xml:space="preserve"> un </w:t>
      </w:r>
      <w:proofErr w:type="spellStart"/>
      <w:r w:rsidRPr="005569EE">
        <w:t>pārskatatbildību</w:t>
      </w:r>
      <w:proofErr w:type="spellEnd"/>
      <w:r w:rsidRPr="005569EE">
        <w:t xml:space="preserve"> un īstenojot uz sniegumu balstītas budžeta izstrādes un labas cilvēkresursu pārvaldības koncepciju;</w:t>
      </w:r>
    </w:p>
    <w:p w14:paraId="7FFC13E7" w14:textId="77777777" w:rsidR="00DD3EE8" w:rsidRPr="005569EE" w:rsidRDefault="00DD3EE8" w:rsidP="00DD3EE8">
      <w:pPr>
        <w:pStyle w:val="NormalHanging12a"/>
        <w:rPr>
          <w:szCs w:val="24"/>
        </w:rPr>
      </w:pPr>
      <w:r w:rsidRPr="005569EE">
        <w:t>B.</w:t>
      </w:r>
      <w:r w:rsidRPr="005569EE">
        <w:tab/>
        <w:t xml:space="preserve">tā kā datu aizsardzība ir viens no </w:t>
      </w:r>
      <w:proofErr w:type="spellStart"/>
      <w:r w:rsidRPr="005569EE">
        <w:t>pamattiesību</w:t>
      </w:r>
      <w:proofErr w:type="spellEnd"/>
      <w:r w:rsidRPr="005569EE">
        <w:t xml:space="preserve"> veidiem, to aizsargā Savienības tiesību akti un tā ir nostiprināta Eiropas Savienības </w:t>
      </w:r>
      <w:proofErr w:type="spellStart"/>
      <w:r w:rsidRPr="005569EE">
        <w:t>Pamattiesību</w:t>
      </w:r>
      <w:proofErr w:type="spellEnd"/>
      <w:r w:rsidRPr="005569EE">
        <w:t xml:space="preserve"> hartas 8. pantā;</w:t>
      </w:r>
    </w:p>
    <w:p w14:paraId="04947A7C" w14:textId="77777777" w:rsidR="00DD3EE8" w:rsidRPr="005569EE" w:rsidRDefault="00DD3EE8" w:rsidP="00DD3EE8">
      <w:pPr>
        <w:pStyle w:val="NormalHanging12a"/>
        <w:rPr>
          <w:szCs w:val="24"/>
        </w:rPr>
      </w:pPr>
      <w:r w:rsidRPr="005569EE">
        <w:t>C.</w:t>
      </w:r>
      <w:r w:rsidRPr="005569EE">
        <w:tab/>
        <w:t>tā kā Līguma par Eiropas Savienības darbību 16. pantā ir noteikts, ka neatkarīga iestāde kontrolē, kā tiek ievēroti noteikumi par fizisko personu aizsardzību attiecībā uz viņu personas datu apstrādi;</w:t>
      </w:r>
    </w:p>
    <w:p w14:paraId="4F2B9A5F" w14:textId="77777777" w:rsidR="00DD3EE8" w:rsidRPr="005569EE" w:rsidRDefault="00DD3EE8" w:rsidP="00DD3EE8">
      <w:pPr>
        <w:pStyle w:val="NormalHanging12a"/>
        <w:rPr>
          <w:szCs w:val="24"/>
        </w:rPr>
      </w:pPr>
      <w:r w:rsidRPr="005569EE">
        <w:t>D.</w:t>
      </w:r>
      <w:r w:rsidRPr="005569EE">
        <w:tab/>
        <w:t>tā kā Regulā (ES) 2018/1725 ir paredzēts izveidot neatkarīgu iestādi — Eiropas Datu aizsardzības uzraudzītāju (“EDAU”) —, kura atbild par tiesību uz datu aizsardzību un privātumu aizsardzību un garantēšanu un kuras uzdevums ir nodrošināt, lai Savienības iestādes un struktūras, biroji un aģentūras ievērotu stingru datu aizsardzības kultūru;</w:t>
      </w:r>
    </w:p>
    <w:p w14:paraId="56CE189C" w14:textId="77777777" w:rsidR="00DD3EE8" w:rsidRPr="005569EE" w:rsidRDefault="00DD3EE8" w:rsidP="00DD3EE8">
      <w:pPr>
        <w:pStyle w:val="NormalHanging12a"/>
        <w:rPr>
          <w:szCs w:val="24"/>
        </w:rPr>
      </w:pPr>
      <w:r w:rsidRPr="005569EE">
        <w:t>E.</w:t>
      </w:r>
      <w:r w:rsidRPr="005569EE">
        <w:tab/>
        <w:t xml:space="preserve">tā kā EDAU savas funkcijas veic ciešā sadarbībā ar citām datu aizsardzības iestādēm, kas veido Eiropas Datu aizsardzības kolēģiju (EDAK), un kalpo sabiedrības interesēm, vadoties pēc objektivitātes, integritātes, </w:t>
      </w:r>
      <w:proofErr w:type="spellStart"/>
      <w:r w:rsidRPr="005569EE">
        <w:t>pārredzamības</w:t>
      </w:r>
      <w:proofErr w:type="spellEnd"/>
      <w:r w:rsidRPr="005569EE">
        <w:t xml:space="preserve"> un pragmatisma principiem, un ievēro Savienības tiesību aktus;</w:t>
      </w:r>
    </w:p>
    <w:p w14:paraId="3B92FA4E" w14:textId="77777777" w:rsidR="00DD3EE8" w:rsidRPr="005569EE" w:rsidRDefault="00DD3EE8" w:rsidP="00DD3EE8">
      <w:pPr>
        <w:pStyle w:val="NormalHanging12a"/>
        <w:rPr>
          <w:szCs w:val="24"/>
        </w:rPr>
      </w:pPr>
      <w:r w:rsidRPr="005569EE">
        <w:t>F.</w:t>
      </w:r>
      <w:r w:rsidRPr="005569EE">
        <w:tab/>
        <w:t>tā kā Savienības iedzīvotājiem ir nepieciešama tāda digitālā vide, ko nekontrolē neskaidras intereses, un tādas iniciatīvas, kas veicina digitālo suverenitāti, nodrošinot, ka datu pārvaldības centrā Savienībā ir indivīdi, nevis uzņēmumi vai sistēmas, kuru atbildību nav iespējams nodrošināt,</w:t>
      </w:r>
    </w:p>
    <w:p w14:paraId="10994FD1" w14:textId="77777777" w:rsidR="00DD3EE8" w:rsidRPr="005569EE" w:rsidRDefault="00DD3EE8" w:rsidP="00DD3EE8">
      <w:pPr>
        <w:pStyle w:val="NormalHanging12a"/>
        <w:rPr>
          <w:szCs w:val="24"/>
        </w:rPr>
      </w:pPr>
      <w:r w:rsidRPr="005569EE">
        <w:t>1.</w:t>
      </w:r>
      <w:r w:rsidRPr="005569EE">
        <w:tab/>
        <w:t>norāda, ka EDAU budžets ietilpst DFS 7. izdevumu kategorijā “Eiropas publiskā pārvalde”, kuras kopējais apjoms 2024. gadā bija 13,3 miljardi EUR, t. i., 6,9 % no ES budžeta izdevumiem; norāda, ka EDAU budžets bija 0,18 % no DFS 7. izdevumu kategorijas apropriācijām;</w:t>
      </w:r>
    </w:p>
    <w:p w14:paraId="6497B15B" w14:textId="77777777" w:rsidR="00DD3EE8" w:rsidRPr="005569EE" w:rsidRDefault="00DD3EE8" w:rsidP="00DD3EE8">
      <w:pPr>
        <w:pStyle w:val="NormalHanging12a"/>
      </w:pPr>
      <w:r w:rsidRPr="005569EE">
        <w:t>2.</w:t>
      </w:r>
      <w:r w:rsidRPr="005569EE">
        <w:tab/>
        <w:t xml:space="preserve">norāda, ka Eiropas Savienības Revīzijas palāta (“Revīzijas palāta”) savā 2024. finanšu gada pārskatā (“Revīzijas palātas pārskats”) kategorijā “Administrācija” ir pārbaudījusi </w:t>
      </w:r>
      <w:r w:rsidRPr="005569EE">
        <w:lastRenderedPageBreak/>
        <w:t>70 darījumu izlasi, proti, tikpat daudz darījumu, cik 2023. gadā; tā kā Revīzijas palāta turklāt ir norādījusi, ka administratīvie izdevumi ietver izdevumus par cilvēkresursiem (tostarp pensijām), kas 2024. gadā bija aptuveni 69 % no kopējiem administratīvajiem izdevumiem, un izdevumus par ēkām, iekārtām, energoresursiem, sakariem un informācijas tehnoloģijām (IT) un ka tās daudzu gadu garumā veiktais darbs liecina — administratīvie izdevumi kopumā ir ar zemu riska faktoru;</w:t>
      </w:r>
    </w:p>
    <w:p w14:paraId="2A7BE540" w14:textId="77777777" w:rsidR="00DD3EE8" w:rsidRPr="005569EE" w:rsidRDefault="00DD3EE8" w:rsidP="00DD3EE8">
      <w:pPr>
        <w:pStyle w:val="NormalHanging12a"/>
      </w:pPr>
      <w:r w:rsidRPr="005569EE">
        <w:t>3.</w:t>
      </w:r>
      <w:r w:rsidRPr="005569EE">
        <w:tab/>
        <w:t>norāda, ka no 70 pārbaudītajiem darījumiem 16 darījumos (23 %) bija kļūdas, taču Revīzijas palāta, pamatojoties uz trim skaitliski izteiktām kļūdām, lēš, ka kļūdu līmenis ir zem būtiskuma sliekšņa; norāda, ka Revīzijas palātas pārskatā attiecībā uz EDAU nekādas īpašas problēmas nav konstatētas;</w:t>
      </w:r>
    </w:p>
    <w:p w14:paraId="6E167F05" w14:textId="77777777" w:rsidR="00DD3EE8" w:rsidRPr="005569EE" w:rsidRDefault="00DD3EE8" w:rsidP="00DD3EE8">
      <w:pPr>
        <w:pStyle w:val="NormalHanging12a"/>
      </w:pPr>
      <w:r w:rsidRPr="005569EE">
        <w:rPr>
          <w:b/>
          <w:i/>
        </w:rPr>
        <w:t>Budžeta un finanšu pārvaldība</w:t>
      </w:r>
    </w:p>
    <w:p w14:paraId="7013DA8D" w14:textId="77777777" w:rsidR="00DD3EE8" w:rsidRPr="005569EE" w:rsidRDefault="00DD3EE8" w:rsidP="00DD3EE8">
      <w:pPr>
        <w:pStyle w:val="NormalHanging12a"/>
        <w:rPr>
          <w:b/>
          <w:i/>
          <w:szCs w:val="24"/>
        </w:rPr>
      </w:pPr>
      <w:r w:rsidRPr="005569EE">
        <w:t>4.</w:t>
      </w:r>
      <w:r w:rsidRPr="005569EE">
        <w:tab/>
        <w:t>norāda, ka EDAU galīgais pieņemtais budžets 2024. gadā bija 24 329 460 EUR, kas ir par 7,12 % vairāk nekā 2023. gadā (22 711 559 EUR); norāda, ka EDAU budžets sedz arī EDAK neatkarīgā sekretariāta darbu; norāda, ka EDAU 2024. gada pārskatā (“gada pārskats”) norādīts, ka EDAK pieņemtais budžets 2024. gadā bija 8,36 miljoni EUR (salīdzinājumam — 7,67 miljoni EUR 2023. gadā);</w:t>
      </w:r>
    </w:p>
    <w:p w14:paraId="44B43741" w14:textId="77777777" w:rsidR="00DD3EE8" w:rsidRPr="005569EE" w:rsidRDefault="00DD3EE8" w:rsidP="00DD3EE8">
      <w:pPr>
        <w:pStyle w:val="NormalHanging12a"/>
        <w:rPr>
          <w:szCs w:val="24"/>
        </w:rPr>
      </w:pPr>
      <w:r w:rsidRPr="005569EE">
        <w:t>5.</w:t>
      </w:r>
      <w:r w:rsidRPr="005569EE">
        <w:tab/>
        <w:t xml:space="preserve">ar gandarījumu atzīmē, ka 2024. finanšu gadā EDAU veiktās budžeta uzraudzības un plānošanas rezultātā attiecīgā gada saistību apropriāciju izpildes līmenis bija 96 %, proti, tāds pats kā 2023. gadā; turklāt pēc iepazīšanās ar pārskatu par EDAU 2024. gada pārskatiem norāda, ka kārtējā gada maksājumu apropriāciju izpildes līmenis bija 84 % (tāds pats kā 2023. gadā); turklāt pēc iepazīšanās ar EDAU atbildēm uz Budžeta kontroles komitejas iesniegto anketu par 2023. gada budžeta izpildes apstiprināšanu (“anketa”) norāda, ka vispārējais maksājumu apropriāciju izpildes līmenis 2024. gadā bija 91,88 %, kas ir vairāk nekā 2023. gadā sasniegtie 91,33 %; </w:t>
      </w:r>
    </w:p>
    <w:p w14:paraId="50B87EF8" w14:textId="77777777" w:rsidR="00DD3EE8" w:rsidRPr="005569EE" w:rsidRDefault="00DD3EE8" w:rsidP="00DD3EE8">
      <w:pPr>
        <w:pStyle w:val="NormalHanging12a"/>
        <w:rPr>
          <w:szCs w:val="24"/>
        </w:rPr>
      </w:pPr>
      <w:r w:rsidRPr="005569EE">
        <w:t>6.</w:t>
      </w:r>
      <w:r w:rsidRPr="005569EE">
        <w:tab/>
        <w:t xml:space="preserve">turklāt norāda, ka no 2024. gada uz 2025. gadu pārnesto apropriāciju summa (C8) bija 2 649 943 EUR jeb 10,89 % no 2024. gada kopējā budžeta salīdzinājumā ar 2 517 942 EUR jeb 11,08 % no 2023. gada kopējā budžeta; norāda, ka C8 budžeta izpildes līmenis 2024. gadā bija 77,37 % (2023. gadā — 76,65 %); </w:t>
      </w:r>
    </w:p>
    <w:p w14:paraId="50EBDF70" w14:textId="77777777" w:rsidR="00DD3EE8" w:rsidRPr="005569EE" w:rsidRDefault="00DD3EE8" w:rsidP="00DD3EE8">
      <w:pPr>
        <w:pStyle w:val="NormalHanging12a"/>
        <w:rPr>
          <w:szCs w:val="24"/>
        </w:rPr>
      </w:pPr>
      <w:r w:rsidRPr="005569EE">
        <w:t>7.</w:t>
      </w:r>
      <w:r w:rsidRPr="005569EE">
        <w:tab/>
        <w:t xml:space="preserve">norāda, ka vidējais maksājumu veikšanas laiks 2024. gadā bija 20 dienas salīdzinājumā ar 19 dienām 2023. gadā, un 96,87 % maksājumu tika apstrādāti laikā (pieaugums salīdzinājumā ar 92,73 % 2023. gadā); turklāt norāda, ka maksājumu skaits palielinājās no 1335 maksājumiem 2023. gadā līdz 1440 maksājumiem 2024. gadā; norāda, ka EDAU 2024. gadā </w:t>
      </w:r>
      <w:proofErr w:type="spellStart"/>
      <w:r w:rsidRPr="005569EE">
        <w:t>saskārās</w:t>
      </w:r>
      <w:proofErr w:type="spellEnd"/>
      <w:r w:rsidRPr="005569EE">
        <w:t xml:space="preserve"> ar dažām tehniskām grūtībām divu dažādu IT sistēmu (Komisijas </w:t>
      </w:r>
      <w:r w:rsidRPr="005569EE">
        <w:rPr>
          <w:i/>
          <w:iCs/>
        </w:rPr>
        <w:t>SUMMA</w:t>
      </w:r>
      <w:r w:rsidRPr="005569EE">
        <w:t xml:space="preserve"> un EDAU </w:t>
      </w:r>
      <w:r w:rsidRPr="005569EE">
        <w:rPr>
          <w:i/>
          <w:iCs/>
        </w:rPr>
        <w:t>ABAC</w:t>
      </w:r>
      <w:r w:rsidRPr="005569EE">
        <w:t xml:space="preserve">) paralēlas darbības dēļ — bija nepieciešama manuāla atkārtota kodu ievadīšanu un citas manuālas iejaukšanās; norāda, ka 2026. gadā EDAU būtu jāsāk izmantot sistēmu </w:t>
      </w:r>
      <w:r w:rsidRPr="005569EE">
        <w:rPr>
          <w:i/>
          <w:iCs/>
        </w:rPr>
        <w:t>SUMMA</w:t>
      </w:r>
      <w:r w:rsidRPr="005569EE">
        <w:t>;</w:t>
      </w:r>
    </w:p>
    <w:p w14:paraId="03E7A262" w14:textId="77777777" w:rsidR="00DD3EE8" w:rsidRPr="005569EE" w:rsidRDefault="00DD3EE8" w:rsidP="00DD3EE8">
      <w:pPr>
        <w:pStyle w:val="NormalHanging12a"/>
      </w:pPr>
      <w:r w:rsidRPr="005569EE">
        <w:t>8.</w:t>
      </w:r>
      <w:r w:rsidRPr="005569EE">
        <w:tab/>
        <w:t xml:space="preserve">konstatē, ka saskaņā ar anketā sniegto informāciju EDAU kopējais komandējumu budžets samazinājās par 17,86 %, proti, no 323 421 EUR 2023. gadā līdz 265 630 EUR 2024. gadā, jo līdz ar biežāku dalību attālinātās sanāksmēs / </w:t>
      </w:r>
      <w:proofErr w:type="spellStart"/>
      <w:r w:rsidRPr="005569EE">
        <w:t>hibrīdsanāksmēs</w:t>
      </w:r>
      <w:proofErr w:type="spellEnd"/>
      <w:r w:rsidRPr="005569EE">
        <w:t xml:space="preserve"> samazinājās ceļa izmaksas un saistītie izdevumi; konstatē, ka saskaņā ar gada pārskatu samazinājies arī darbinieku komandējumu skaits — no 246 komandējumiem 2023. gadā līdz 218 komandējumiem 2024. gadā; norāda, ka šā budžeta ietvaros 38 418 EUR bija atvēlēti 23 uzraudzītāja komandējumiem 2024. gadā, kas ir vairāk nekā 33 000 EUR 24 komandējumiem 2023. gadā, un ka palielinājumu galvenokārt noteica to svarīgo </w:t>
      </w:r>
      <w:r w:rsidRPr="005569EE">
        <w:lastRenderedPageBreak/>
        <w:t xml:space="preserve">sanāksmju un pasākumu norises vietas, kuros uzraudzītājam bija jāpiedalās, tostarp vairāki komandējumi uz ASV un Meksiku 2024. gadā; ar bažām norāda, ka attiecībā uz augsta ranga amatpersonu komandējumiem uz izcelsmes valsti uzraudzītājs 2024. gadā devās tikai trijos komandējumos uz Poliju (no kopumā 23 komandējumiem), savukārt EDAU ģenerālsekretārs 2024. gadā devās deviņos komandējumos uz Spāniju (no kopumā 15); uzsver, ka EDAU joprojām nesniedz informāciju par organizatoru vai citu trešo personu finansēto komandējumu skaitu, tādējādi samazinot </w:t>
      </w:r>
      <w:proofErr w:type="spellStart"/>
      <w:r w:rsidRPr="005569EE">
        <w:t>pārredzamību</w:t>
      </w:r>
      <w:proofErr w:type="spellEnd"/>
      <w:r w:rsidRPr="005569EE">
        <w:t xml:space="preserve"> attiecībā uz EDAU komandējumu izdevumiem;</w:t>
      </w:r>
    </w:p>
    <w:p w14:paraId="684D4325" w14:textId="77777777" w:rsidR="00DD3EE8" w:rsidRPr="005569EE" w:rsidRDefault="00DD3EE8" w:rsidP="00DD3EE8">
      <w:pPr>
        <w:pStyle w:val="NormalHanging12a"/>
      </w:pPr>
      <w:r w:rsidRPr="005569EE">
        <w:t>9.</w:t>
      </w:r>
      <w:r w:rsidRPr="005569EE">
        <w:tab/>
        <w:t xml:space="preserve">pēc iepazīšanās ar anketā sniegto informāciju norāda, ka saistībā ar Krievijas agresijas karu pret Ukrainu EDAU centās novērst inflācijas radīto spiedienu uz līgumiem un pakalpojumiem, gada laikā pārskatot izmaksu tāmes un pārdalot resursus, veicot pārvietojumus saskaņā ar Finanšu regulas 29. panta 1. un 4. punktu, paredzot rezerves neparedzētiem izdevumiem un pārvērtējot prioritātes, lai nodrošinātu EDAU </w:t>
      </w:r>
      <w:proofErr w:type="spellStart"/>
      <w:r w:rsidRPr="005569EE">
        <w:t>pamatprocesu</w:t>
      </w:r>
      <w:proofErr w:type="spellEnd"/>
      <w:r w:rsidRPr="005569EE">
        <w:t xml:space="preserve"> apkalpošanu; aicina EDAU turpināt veikt regulāras pārbaudes, lai noteiktu jomas, kurās budžets netiek pilnībā izlietots, un gada laikā vajadzības gadījumā pārdalītu līdzekļus; atzīst, ka visām Savienības iestādēm ir jāuzlabo budžeta pārvaldība, līgumu slēgšanā ar pakalpojumu sniedzējiem ņemot vērā arī cenu svārstīgumu, jo īpaši enerģētikas nozarē;</w:t>
      </w:r>
    </w:p>
    <w:p w14:paraId="7715CF76" w14:textId="77777777" w:rsidR="00DD3EE8" w:rsidRPr="005569EE" w:rsidRDefault="00DD3EE8" w:rsidP="00DD3EE8">
      <w:pPr>
        <w:pStyle w:val="NormalHanging12a"/>
        <w:rPr>
          <w:szCs w:val="24"/>
        </w:rPr>
      </w:pPr>
      <w:r w:rsidRPr="005569EE">
        <w:t>10.</w:t>
      </w:r>
      <w:r w:rsidRPr="005569EE">
        <w:tab/>
        <w:t xml:space="preserve">norāda, ka EDAU ir sācis iepirkumu un piešķīris līguma slēgšanas tiesības 66 iepirkuma procedūrās, no kurām 45 bija par ļoti mazas vērtības līgumiem, divas bija sarunu procedūras bez paziņojuma par līgumu iepriekšējas publicēšanas, deviņas attiecās uz konkrētiem līgumiem individuālo ekspertu saraksta izveidei un viena — uz pamatlīgumu 200 000 EUR vērtībā ar </w:t>
      </w:r>
      <w:proofErr w:type="spellStart"/>
      <w:r w:rsidRPr="005569EE">
        <w:rPr>
          <w:i/>
          <w:iCs/>
        </w:rPr>
        <w:t>PricewaterhouseCoopers</w:t>
      </w:r>
      <w:proofErr w:type="spellEnd"/>
      <w:r w:rsidRPr="005569EE">
        <w:t>; norāda, ka lielākā daļa EDAU līgumu tiek noslēgti ar maziem un vidējiem uzņēmumiem ļoti mazas vai mazas vērtības līgumu procedūru satvarā;</w:t>
      </w:r>
    </w:p>
    <w:p w14:paraId="1AC4C6B9" w14:textId="77777777" w:rsidR="00DD3EE8" w:rsidRPr="005569EE" w:rsidRDefault="00DD3EE8" w:rsidP="00DD3EE8">
      <w:pPr>
        <w:pStyle w:val="NormalHanging12a"/>
        <w:rPr>
          <w:szCs w:val="24"/>
        </w:rPr>
      </w:pPr>
      <w:r w:rsidRPr="005569EE">
        <w:rPr>
          <w:b/>
          <w:i/>
        </w:rPr>
        <w:t>Iekšējā pārvaldība, sniegums un iekšējā kontrole</w:t>
      </w:r>
    </w:p>
    <w:p w14:paraId="0A086D91" w14:textId="77777777" w:rsidR="00DD3EE8" w:rsidRPr="005569EE" w:rsidRDefault="00DD3EE8" w:rsidP="00DD3EE8">
      <w:pPr>
        <w:pStyle w:val="NormalHanging12a"/>
        <w:rPr>
          <w:szCs w:val="24"/>
        </w:rPr>
      </w:pPr>
      <w:r w:rsidRPr="005569EE">
        <w:t>11.</w:t>
      </w:r>
      <w:r w:rsidRPr="005569EE">
        <w:tab/>
        <w:t>norāda, ka EDAU izmantoja deviņus galvenos snieguma rādītājus (</w:t>
      </w:r>
      <w:r w:rsidRPr="005569EE">
        <w:rPr>
          <w:i/>
          <w:iCs/>
        </w:rPr>
        <w:t>KPI</w:t>
      </w:r>
      <w:r w:rsidRPr="005569EE">
        <w:t xml:space="preserve">), lai uzraudzītu savu sniegumu 2024. gadā saskaņā ar galvenajiem mērķiem EDAU 2020.–2024. gada stratēģijā, kas tiek īstenota, izmantojot gada pārvaldības plānu; konstatē, ka saskaņā ar gada pārskatu EDAU sasniedza vai pārsniedza visiem </w:t>
      </w:r>
      <w:r w:rsidRPr="005569EE">
        <w:rPr>
          <w:i/>
          <w:iCs/>
        </w:rPr>
        <w:t>KPI</w:t>
      </w:r>
      <w:r w:rsidRPr="005569EE">
        <w:t xml:space="preserve"> noteiktos </w:t>
      </w:r>
      <w:proofErr w:type="spellStart"/>
      <w:r w:rsidRPr="005569EE">
        <w:t>mērķrādītājus</w:t>
      </w:r>
      <w:proofErr w:type="spellEnd"/>
      <w:r w:rsidRPr="005569EE">
        <w:t xml:space="preserve">, izņemot vienu </w:t>
      </w:r>
      <w:r w:rsidRPr="005569EE">
        <w:rPr>
          <w:i/>
          <w:iCs/>
        </w:rPr>
        <w:t>KPI</w:t>
      </w:r>
      <w:r w:rsidRPr="005569EE">
        <w:t xml:space="preserve"> (EDAU sekotāju skaits dažos sociālo mediju kontos);</w:t>
      </w:r>
    </w:p>
    <w:p w14:paraId="00601CA9" w14:textId="77777777" w:rsidR="00DD3EE8" w:rsidRPr="005569EE" w:rsidRDefault="00DD3EE8" w:rsidP="00DD3EE8">
      <w:pPr>
        <w:pStyle w:val="NormalHanging12a"/>
        <w:rPr>
          <w:szCs w:val="24"/>
        </w:rPr>
      </w:pPr>
      <w:r w:rsidRPr="005569EE">
        <w:t>12.</w:t>
      </w:r>
      <w:r w:rsidRPr="005569EE">
        <w:tab/>
        <w:t>norāda, ka EDAU pilda dažādas funkcijas, piemēram, datu aizsardzības iestādes funkciju un, sākot ar 2024. gada 1. augustu, paziņotās struktūras, paziņotās iestādes un tirgus uzraudzības iestādes pienākumus, atbildot par Eiropas Parlamenta un Padomes Regulas (ES) 2024/1689</w:t>
      </w:r>
      <w:r w:rsidRPr="005569EE">
        <w:rPr>
          <w:rStyle w:val="FootnoteReference"/>
          <w:szCs w:val="24"/>
        </w:rPr>
        <w:footnoteReference w:id="8"/>
      </w:r>
      <w:r w:rsidRPr="005569EE">
        <w:t xml:space="preserve"> uzraudzību un Savienības iestāžu, struktūru, biroju un aģentūru atbilstību minētajai regulai (attiecībā uz pēdējo minēto EDAU izpildes pilnvaras būs tikai no 2026. gada 2. augusta); ar gandarījumu norāda, ka šajā saistībā EDAU ir strādājis pie pārvaldības struktūrām un procesuālā satvara, kas nepieciešams jauno uzdevumu un pilnvaru īstenošanai tirgus uzraudzības iestādes statusā saskaņā ar </w:t>
      </w:r>
      <w:r w:rsidRPr="005569EE">
        <w:lastRenderedPageBreak/>
        <w:t>Regulu (ES) 2024/1689, tostarp 2024. gadā izveidojot MI akta korespondentu tīklu, kurā, neraugoties uz to, ka dalība ir brīvprātīga, iesaistījās visas Savienības iestādes, struktūras, biroji un aģentūras;</w:t>
      </w:r>
    </w:p>
    <w:p w14:paraId="02382FBA" w14:textId="4F79FD90" w:rsidR="00DD3EE8" w:rsidRPr="005569EE" w:rsidRDefault="00DD3EE8" w:rsidP="00DD3EE8">
      <w:pPr>
        <w:pStyle w:val="NormalHanging12a"/>
        <w:rPr>
          <w:szCs w:val="24"/>
        </w:rPr>
      </w:pPr>
      <w:r w:rsidRPr="005569EE">
        <w:t>13.</w:t>
      </w:r>
      <w:r w:rsidRPr="005569EE">
        <w:tab/>
        <w:t xml:space="preserve">norāda uz EDAU aizvien svarīgāko lomu saistībā ar jauniem tiesību aktiem, tai skaitā Regulu (ES) 2024/1689, saskaņā ar kuru EDAU kļūst par kompetento iestādi attiecībā uz Savienības iestādēm, aģentūrām, birojiem un struktūrām un saskaņā ar kuru EDAU ir deleģēti vēl papildu uzdevumi; norāda, ka EDAU 2024. gada 1. oktobrī savu jauno uzraudzības uzdevumu veikšanai izveidoja MI nodaļu, ko 2024. gadā veidoja divi iekšēji pārcelti darbinieki; pēc iepazīšanās ar anketā sniegto informāciju norāda, ka, sākot ar 2025. gadu, šīs nodaļas budžets sedz divas pastāvīgas amata vietas un piecus līgumdarbiniekus, attiecībā uz kuriem ir notikušas atlases procedūras; tomēr norāda, ka saskaņā ar anketu EDAU uzskata šos resursus par joprojām nepietiekamiem minēto jauno uzdevumu izpildei, jo īpaši saistībā ar MI sistēmu uzraudzību robežkontroles, migrācijas, tiesiskuma un tiesībaizsardzības jomā un MI “regulatīvās smilškastes” izveidi Savienības iestādēm, struktūrām, birojiem un aģentūrām, kā paredzēts Regulas (ES) 2024/1689 57. panta 3. punktā; turklāt norāda, ka saskaņā ar EDAU turpmāko ziņojumu par Parlamenta rezolūciju par EDAU 2023. gada budžeta izpildi (“turpmākais ziņojums”) budžeta ierobežojumu dēļ EDAU 2024. gadā arī nevarēja uzsākt </w:t>
      </w:r>
      <w:proofErr w:type="spellStart"/>
      <w:r w:rsidRPr="005569EE">
        <w:t>priekšizpēti</w:t>
      </w:r>
      <w:proofErr w:type="spellEnd"/>
      <w:r w:rsidRPr="005569EE">
        <w:t xml:space="preserve"> par mākslīgo intelektu; atgādina, ka EDAU būtu jāievēro savu pilnvaru kompetences un jāīsteno uz sadarbību ar Savienības iestādēm un aģentūrām vērsta pieeja, lai izvairītos no dārgām juridiskām procedūrām; atgādina, ka Parlaments savā rezolūcijā par 2023. gada budžeta izpildes apstiprināšanu jau brīdināja, ka EDAU pilnvaru pakāpeniska paplašināšana varētu neatbilst tam pieejamajiem resursiem; uzsver, ka ir svarīgi nodrošināt EDAU pienācīgus finanšu resursus un cilvēkresursus, lai efektīvi uzraudzītu MI sistēmas sevišķi svarīgās jomās;</w:t>
      </w:r>
    </w:p>
    <w:p w14:paraId="408BAC1E" w14:textId="77777777" w:rsidR="00DD3EE8" w:rsidRPr="005569EE" w:rsidRDefault="00DD3EE8" w:rsidP="00DD3EE8">
      <w:pPr>
        <w:pStyle w:val="NormalHanging12a"/>
        <w:rPr>
          <w:szCs w:val="24"/>
        </w:rPr>
      </w:pPr>
      <w:r w:rsidRPr="005569EE">
        <w:t>14.</w:t>
      </w:r>
      <w:r w:rsidRPr="005569EE">
        <w:tab/>
        <w:t xml:space="preserve">attiecībā uz tehnoloģiju uzraudzību un prognozēšanu norāda, ka EDAU Tehnoloģiju un privātuma nodaļa savā darbā 2024. gadā galveno uzmanību pievērsa mākslīgā intelekta jautājumiem; šajā kontekstā norāda uz dažiem EDAU aplūkotajiem tematiem, piemēram: – </w:t>
      </w:r>
      <w:proofErr w:type="spellStart"/>
      <w:r w:rsidRPr="005569EE">
        <w:t>neirodatu</w:t>
      </w:r>
      <w:proofErr w:type="spellEnd"/>
      <w:r w:rsidRPr="005569EE">
        <w:t xml:space="preserve"> apstrāde ar </w:t>
      </w:r>
      <w:proofErr w:type="spellStart"/>
      <w:r w:rsidRPr="005569EE">
        <w:t>neirotehnoloģijām</w:t>
      </w:r>
      <w:proofErr w:type="spellEnd"/>
      <w:r w:rsidRPr="005569EE">
        <w:t>, ko EDAU kopā ar Spānijas datu aizsardzības iestādi aplūkoja 2024. gada jūnijā izdotajā publikācijā “</w:t>
      </w:r>
      <w:proofErr w:type="spellStart"/>
      <w:r w:rsidRPr="005569EE">
        <w:t>TechDispatch</w:t>
      </w:r>
      <w:proofErr w:type="spellEnd"/>
      <w:r w:rsidRPr="005569EE">
        <w:t xml:space="preserve"> </w:t>
      </w:r>
      <w:proofErr w:type="spellStart"/>
      <w:r w:rsidRPr="005569EE">
        <w:t>on</w:t>
      </w:r>
      <w:proofErr w:type="spellEnd"/>
      <w:r w:rsidRPr="005569EE">
        <w:t xml:space="preserve"> </w:t>
      </w:r>
      <w:proofErr w:type="spellStart"/>
      <w:r w:rsidRPr="005569EE">
        <w:t>neurodata</w:t>
      </w:r>
      <w:proofErr w:type="spellEnd"/>
      <w:r w:rsidRPr="005569EE">
        <w:t xml:space="preserve">” (Tehnoloģiskā informācija par </w:t>
      </w:r>
      <w:proofErr w:type="spellStart"/>
      <w:r w:rsidRPr="005569EE">
        <w:t>neirodatiem</w:t>
      </w:r>
      <w:proofErr w:type="spellEnd"/>
      <w:r w:rsidRPr="005569EE">
        <w:t xml:space="preserve">), un – automatizēta lēmumu pieņemšana un cilvēka virsvadība, kas tika apspriesta ar Eiropas Savienības </w:t>
      </w:r>
      <w:proofErr w:type="spellStart"/>
      <w:r w:rsidRPr="005569EE">
        <w:t>Kiberdrošības</w:t>
      </w:r>
      <w:proofErr w:type="spellEnd"/>
      <w:r w:rsidRPr="005569EE">
        <w:t xml:space="preserve"> aģentūru (</w:t>
      </w:r>
      <w:r w:rsidRPr="005569EE">
        <w:rPr>
          <w:i/>
          <w:iCs/>
        </w:rPr>
        <w:t>ENISA</w:t>
      </w:r>
      <w:r w:rsidRPr="005569EE">
        <w:t xml:space="preserve">) un </w:t>
      </w:r>
      <w:proofErr w:type="spellStart"/>
      <w:r w:rsidRPr="005569EE">
        <w:t>Kārlstades</w:t>
      </w:r>
      <w:proofErr w:type="spellEnd"/>
      <w:r w:rsidRPr="005569EE">
        <w:t xml:space="preserve"> Universitāti kopīgi organizētā tematiskā seminārā 2024. gada septembrī; ar gandarījumu norāda, ka EDAU 2024. gada novembrī publicēja savu ceturto </w:t>
      </w:r>
      <w:proofErr w:type="spellStart"/>
      <w:r w:rsidRPr="005569EE">
        <w:rPr>
          <w:i/>
          <w:iCs/>
        </w:rPr>
        <w:t>Techsonar</w:t>
      </w:r>
      <w:proofErr w:type="spellEnd"/>
      <w:r w:rsidRPr="005569EE">
        <w:t xml:space="preserve"> iniciatīvu, pievēršoties šādām sešām tendencēm MI jomā: </w:t>
      </w:r>
      <w:proofErr w:type="spellStart"/>
      <w:r w:rsidRPr="005569EE">
        <w:t>izguves</w:t>
      </w:r>
      <w:proofErr w:type="spellEnd"/>
      <w:r w:rsidRPr="005569EE">
        <w:t xml:space="preserve"> papildināta ģenerēšana, ierīcē iebūvēts MI, </w:t>
      </w:r>
      <w:proofErr w:type="spellStart"/>
      <w:r w:rsidRPr="005569EE">
        <w:t>mašīnatmācīšanās</w:t>
      </w:r>
      <w:proofErr w:type="spellEnd"/>
      <w:r w:rsidRPr="005569EE">
        <w:t xml:space="preserve">, multimodālais mākslīgais intelekts, mērogojama uzraudzība un </w:t>
      </w:r>
      <w:proofErr w:type="spellStart"/>
      <w:r w:rsidRPr="005569EE">
        <w:t>neirosimbolisks</w:t>
      </w:r>
      <w:proofErr w:type="spellEnd"/>
      <w:r w:rsidRPr="005569EE">
        <w:t xml:space="preserve"> mākslīgais intelekts; uzsver, ka EDAU ir svarīgi uzkrāt zināšanas, kas nepieciešamas tā pilnvaru īstenošanai saskaņā ar Regulu (ES) 2024/1689, kad Savienības iestādes, struktūras, biroji un aģentūras sāks izmantot jaunās tehnoloģijas personas datu apstrādei; turklāt norāda, ka 2024. gadā EDAU publicēja pirmās vadlīnijas Savienības iestādēm, struktūrām, birojiem un aģentūrām, lai nodrošinātu datu aizsardzības atbilstības prasību ievērošanu ģeneratīvā mākslīgā intelekta sistēmu izmantošanā, kā arī trīs uzraudzības atzinumus par MI rīku izmantošanu Eiropolā un </w:t>
      </w:r>
      <w:proofErr w:type="spellStart"/>
      <w:r w:rsidRPr="005569EE">
        <w:rPr>
          <w:i/>
          <w:iCs/>
        </w:rPr>
        <w:t>Eurojust</w:t>
      </w:r>
      <w:proofErr w:type="spellEnd"/>
      <w:r w:rsidRPr="005569EE">
        <w:t>;</w:t>
      </w:r>
    </w:p>
    <w:p w14:paraId="4956CFEE" w14:textId="77777777" w:rsidR="00DD3EE8" w:rsidRPr="005569EE" w:rsidRDefault="00DD3EE8" w:rsidP="00DD3EE8">
      <w:pPr>
        <w:pStyle w:val="NormalHanging12a"/>
        <w:rPr>
          <w:szCs w:val="24"/>
        </w:rPr>
      </w:pPr>
      <w:r w:rsidRPr="005569EE">
        <w:t>15.</w:t>
      </w:r>
      <w:r w:rsidRPr="005569EE">
        <w:tab/>
        <w:t xml:space="preserve">atzīst, ka sūdzību skaits gadu no gada pieaug, lielākā daļa sūdzību attiecas uz Komisiju un tās iesniedz Savienības iestāžu, struktūru, biroju un aģentūru darbinieki; norāda, ka 2024. gadā EDAU saņēma 663 sūdzības, t. i., par 202 sūdzībām vairāk nekā 2023. gadā, un no tām 108 bija pieņemamas, bet 555 — nepieņemamas; norāda, ka EDAU sniedza </w:t>
      </w:r>
      <w:r w:rsidRPr="005569EE">
        <w:lastRenderedPageBreak/>
        <w:t>galīgo lēmumu, atzinumu vai atbildi 77 no 108 sūdzību lietām, kas saņemtas 2024. gadā (t. i., par 33 % vairāk nekā 2023. gadā), un atbildēja uz visām saņemtajām nepieņemamajām sūdzībām; norāda, ka no visām 2024. gadā saņemtajām pieņemamajām sūdzībām 2024. gadā tika pabeigtas 48 lietas, kas ir samazinājums salīdzinājumā ar 55 lietām 2023. gadā; norāda, ka 2024. gada beigās izskatīšana turpinājās 104 pieņemamo sūdzību lietās (pieaugums salīdzinājumā ar 71 lietu 2023. gadā), tai skaitā tādās, kas iesniegtas pirms 2024. gada; atzīst EDAU centienus samazināt sūdzību lielo skaitu un mudina to vēl vairāk racionalizēt sūdzību izskatīšanas procesu, piemēram, cenšoties panākt kopīgu izpratni ar valstu datu aizsardzības iestādēm par sūdzību izskatīšanas procedūru, jo īpaši brīvības, drošības un tiesiskuma telpā, kur izmeklēšana ir sarežģīta un ilga; norāda, ka EDAU 2024. gadā saņēma 125 paziņojumus par personas datu pārkāpumiem, kas ir vairāk nekā 2023. gadā saņemtie 77 paziņojumi;</w:t>
      </w:r>
    </w:p>
    <w:p w14:paraId="2273BD99" w14:textId="77777777" w:rsidR="00DD3EE8" w:rsidRPr="005569EE" w:rsidRDefault="00DD3EE8" w:rsidP="00DD3EE8">
      <w:pPr>
        <w:pStyle w:val="NormalHanging12a"/>
        <w:rPr>
          <w:szCs w:val="24"/>
        </w:rPr>
      </w:pPr>
      <w:r w:rsidRPr="005569EE">
        <w:t>16.</w:t>
      </w:r>
      <w:r w:rsidRPr="005569EE">
        <w:tab/>
        <w:t xml:space="preserve">mudina EDAU pārdomāt savus galvenos snieguma rādītājus un nodrošināt, ka tie attiecas uz sūdzību izskatīšanu, kā arī noteikt </w:t>
      </w:r>
      <w:proofErr w:type="spellStart"/>
      <w:r w:rsidRPr="005569EE">
        <w:t>mērķrādītājus</w:t>
      </w:r>
      <w:proofErr w:type="spellEnd"/>
      <w:r w:rsidRPr="005569EE">
        <w:t xml:space="preserve"> sūdzību un izmeklēšanu izskatīšanā, līdzīgi kā to dara Eiropas </w:t>
      </w:r>
      <w:proofErr w:type="spellStart"/>
      <w:r w:rsidRPr="005569EE">
        <w:t>Ombuds</w:t>
      </w:r>
      <w:proofErr w:type="spellEnd"/>
      <w:r w:rsidRPr="005569EE">
        <w:t>;</w:t>
      </w:r>
    </w:p>
    <w:p w14:paraId="4D3D4BC8" w14:textId="77777777" w:rsidR="00DD3EE8" w:rsidRPr="005569EE" w:rsidRDefault="00DD3EE8" w:rsidP="00DD3EE8">
      <w:pPr>
        <w:pStyle w:val="NormalHanging12a"/>
        <w:rPr>
          <w:szCs w:val="24"/>
        </w:rPr>
      </w:pPr>
      <w:r w:rsidRPr="005569EE">
        <w:t>17.</w:t>
      </w:r>
      <w:r w:rsidRPr="005569EE">
        <w:tab/>
        <w:t xml:space="preserve">uzsver, ka EDAU konsultācijām un ieteikumiem ir svarīga loma Savienības likumdošanas procesā — gan Komisijas likumdošanas priekšlikumu sagatavošanas agrīnā posmā, gan tam sniedzot komentārus vai atzinumus par kompromisa grozījumiem </w:t>
      </w:r>
      <w:proofErr w:type="spellStart"/>
      <w:r w:rsidRPr="005569EE">
        <w:t>trialoga</w:t>
      </w:r>
      <w:proofErr w:type="spellEnd"/>
      <w:r w:rsidRPr="005569EE">
        <w:t xml:space="preserve"> sarunās pēc Parlamenta un tā komiteju pieprasījumiem; norāda, ka saskaņā ar Regulas (ES) 2018/1725 42. panta 1. punktu EDAU atbildēja uz 97 formāliem leģislatīvu jautājumu apspriešanas pieprasījumiem (2023. gadā — 80) un tā ieteikumi Komisijai un likumdevējiem 2024. gadā, atbildot uz leģislatīvās apspriešanās pieprasījumiem, tika sniegti kā 25 atzinumi (2023. gadā — 54), 45 oficiāli komentāri (2023. gadā — 26) un 27 neoficiāli komentāri (2023. gadā — 34);</w:t>
      </w:r>
    </w:p>
    <w:p w14:paraId="43911026" w14:textId="77777777" w:rsidR="00DD3EE8" w:rsidRPr="005569EE" w:rsidRDefault="00DD3EE8" w:rsidP="00DD3EE8">
      <w:pPr>
        <w:pStyle w:val="NormalHanging12a"/>
        <w:rPr>
          <w:szCs w:val="24"/>
        </w:rPr>
      </w:pPr>
      <w:r w:rsidRPr="005569EE">
        <w:t>18.</w:t>
      </w:r>
      <w:r w:rsidRPr="005569EE">
        <w:tab/>
        <w:t xml:space="preserve">norāda uz EDAK galveno lomu uzraudzības iestāžu pamatnostādņu, procedūru, izpildes panākšanas procesu un prakses saskaņošanā visās dalībvalstīs; šajā sakarībā norāda, ka EDAK 2024. gadā nepieņēma nevienu saistošu lēmumu, izdeva 28 konsekvences atzinumus, pieņēma divas jaunas pamatnostādnes, izdeva četrus paziņojumus par likumdošanas izstrādēm, īstenoja un koordinēja vairākas programmas attiecībā uz sadarbību izpildes panākšanas jomā; turklāt norāda, ka EDAK nodrošina sekretariāta pakalpojumus Koordinētās uzraudzības komitejai, kas ir grupa, kurā ietilpst valstu uzraudzības iestādes un EDAU un kura nodrošina Savienības </w:t>
      </w:r>
      <w:proofErr w:type="spellStart"/>
      <w:r w:rsidRPr="005569EE">
        <w:t>lielapjoma</w:t>
      </w:r>
      <w:proofErr w:type="spellEnd"/>
      <w:r w:rsidRPr="005569EE">
        <w:t xml:space="preserve"> IT sistēmu koordinētu uzraudzību; 2024. gadā šāda uzraudzība tika paplašināta, ietverot Vīzu informācijas sistēmu, papildus darbam, kas tika veikts, lai sagatavotos Eiropas ceļošanas informācijas un atļauju sistēmas (</w:t>
      </w:r>
      <w:r w:rsidRPr="005569EE">
        <w:rPr>
          <w:i/>
          <w:iCs/>
        </w:rPr>
        <w:t>ETIAS</w:t>
      </w:r>
      <w:r w:rsidRPr="005569EE">
        <w:t>) uzraudzībai;</w:t>
      </w:r>
    </w:p>
    <w:p w14:paraId="2F254923" w14:textId="77777777" w:rsidR="00DD3EE8" w:rsidRPr="005569EE" w:rsidRDefault="00DD3EE8" w:rsidP="00DD3EE8">
      <w:pPr>
        <w:pStyle w:val="NormalHanging12a"/>
        <w:rPr>
          <w:szCs w:val="24"/>
        </w:rPr>
      </w:pPr>
      <w:r w:rsidRPr="005569EE">
        <w:t>19.</w:t>
      </w:r>
      <w:r w:rsidRPr="005569EE">
        <w:tab/>
        <w:t xml:space="preserve">ar gandarījumu norāda, ka EDAU ir izstrādājis dažādus procesuālos instrumentus un politiku, lai 2024. gadā uzlabotu savus izmeklēšanas procesus; šajā saistībā izsaka atzinību EDAU par 2024. gadā veiktajiem grozījumiem tā reglamentā, aizstājot “pārskatīšanas procedūru” ar “sākotnēju novērtējumu”, lai aizsargātu visu iesaistīto pušu tiesības tikt uzklausītām; norāda, ka no 2024. gada jūlija Savienības iestādes, struktūras, biroji un aģentūras var paust savu viedokli par sākotnējo novērtējumu, pirms EDAU pieņem lēmumu, kas varētu tos nelabvēlīgi ietekmēt; norāda, ka šīs procesuālās garantijas veicina sūdzību un izmeklēšanu taisnīgu un savlaicīgu izskatīšanu; norāda, ka 2024. gadā EDAU arī pārskatīja izmeklēšanas metodikas, izstrādāja rokasgrāmatu par piekļuvi lietas materiāliem, uzlaboja sagatavotību tiesvedībai, atjaunināja iekšējo sūdzību lietu rokasgrāmatu un uzlaboja uzklausīšanas ierakstu un transkripcijas </w:t>
      </w:r>
      <w:r w:rsidRPr="005569EE">
        <w:lastRenderedPageBreak/>
        <w:t>procesus;</w:t>
      </w:r>
    </w:p>
    <w:p w14:paraId="44739A8F" w14:textId="77777777" w:rsidR="00DD3EE8" w:rsidRPr="005569EE" w:rsidRDefault="00DD3EE8" w:rsidP="00DD3EE8">
      <w:pPr>
        <w:pStyle w:val="NormalHanging12a"/>
      </w:pPr>
      <w:r w:rsidRPr="005569EE">
        <w:t>20.</w:t>
      </w:r>
      <w:r w:rsidRPr="005569EE">
        <w:tab/>
        <w:t>norāda, ka saskaņā ar gada pārskatu un turpmāko ziņojumu EDAU pievērsa īpašu uzmanību bērnu datu apstrādei, jo īpaši tiesībaizsardzības kontekstā; norāda, ka viena no EDAU 2024. gadā veiktajām revīzijām bija par bērnu personas datu apstrādi Komisijas Kopīgā pētniecības centra Spānijā vadītos pētniecības projektos, jo īpaši attiecībā uz bērnu un robotu mijiedarbību; ar gandarījumu norāda, ka EDAU 2024. gada oktobrī piedalījās G7 valstu datu aizsardzības iestāžu apaļā galda sanāksmē Romā, kuras laikā minētās iestādes nāca klajā ar paziņojumu par MI un bērniem, mudinot rīkoties, lai aizsargātu bērnu privātumu un nodrošinātu, ka MI veicina uzticēšanos un vienlaikus tiek aizsargāta visneaizsargātākā sabiedrības daļa; atgādina, ka EDAU veica īpašu pārbaudi par Eiropola veikto datu apstrādi saistībā ar datiem par nepilngadīgajiem, kas ir jaunāki par 15 gadiem un atzīmēti kā aizdomās turētie; atzinīgi vērtē EDAU konstatējumus attiecībā uz to, ka vispārējais process tās informācijas novērtēšanai, kuru partneri sniedz par nepilngadīgajiem (tai skaitā nepilngadīgajiem, kas jaunāki par 15 gadiem), ir skaidrs un labi izstrādāts; norāda, ka EDAU pārbaudes ziņojumā aicina Eiropolu turpināt pašam novērtēt saņemto datu likumību un uzsver, ka Eiropolam ir jāizvērtē “stingra nepieciešamība” saistībā ar aizdomās par nelieliem pārkāpumiem turētu nepilngadīgo datu apstrādi;</w:t>
      </w:r>
    </w:p>
    <w:p w14:paraId="21FD276F" w14:textId="77777777" w:rsidR="00DD3EE8" w:rsidRPr="005569EE" w:rsidRDefault="00DD3EE8" w:rsidP="00DD3EE8">
      <w:pPr>
        <w:pStyle w:val="NormalHanging12a"/>
        <w:rPr>
          <w:szCs w:val="24"/>
        </w:rPr>
      </w:pPr>
      <w:r w:rsidRPr="005569EE">
        <w:t>21.</w:t>
      </w:r>
      <w:r w:rsidRPr="005569EE">
        <w:tab/>
        <w:t xml:space="preserve">norāda, ka Savienības iestādes, struktūras, biroji un aģentūras var konsultēties ar EDAU, lai saņemtu ieteikumus par plānotajām apstrādes darbībām un datu aizsardzību; norāda, ka EDAU sniedza ieteikumus 26 konsultācijās un 26 uzraudzības atzinumos par dažādām tēmām; jo īpaši atzīmē, ka EDAU 2024. gada decembrī publicēja uzraudzības atzinumu par Parlamenta plānu izmantot </w:t>
      </w:r>
      <w:proofErr w:type="spellStart"/>
      <w:r w:rsidRPr="005569EE">
        <w:t>biometriskos</w:t>
      </w:r>
      <w:proofErr w:type="spellEnd"/>
      <w:r w:rsidRPr="005569EE">
        <w:t xml:space="preserve"> datus, lai saistībā ar dienas naudas izmaksāšanu apliecinātu deputātu klātbūtni;</w:t>
      </w:r>
    </w:p>
    <w:p w14:paraId="07DE8BBE" w14:textId="77777777" w:rsidR="00DD3EE8" w:rsidRPr="005569EE" w:rsidRDefault="00DD3EE8" w:rsidP="00DD3EE8">
      <w:pPr>
        <w:pStyle w:val="NormalHanging12a"/>
        <w:rPr>
          <w:szCs w:val="24"/>
        </w:rPr>
      </w:pPr>
      <w:r w:rsidRPr="005569EE">
        <w:t>22.</w:t>
      </w:r>
      <w:r w:rsidRPr="005569EE">
        <w:tab/>
        <w:t xml:space="preserve">norāda, ka 2024. gadā EDAU veica četras izmeklēšanas un divas </w:t>
      </w:r>
      <w:proofErr w:type="spellStart"/>
      <w:r w:rsidRPr="005569EE">
        <w:t>pirmsizmeklēšanas</w:t>
      </w:r>
      <w:proofErr w:type="spellEnd"/>
      <w:r w:rsidRPr="005569EE">
        <w:t xml:space="preserve">, kas ir mazāk nekā 2023. gadā; kā būtiskākos gadījumus min </w:t>
      </w:r>
      <w:proofErr w:type="spellStart"/>
      <w:r w:rsidRPr="005569EE">
        <w:t>pirmsizmeklēšanu</w:t>
      </w:r>
      <w:proofErr w:type="spellEnd"/>
      <w:r w:rsidRPr="005569EE">
        <w:t xml:space="preserve"> par automatizētu lēmumu pieņemšanu praktikantu atlasē, izmeklēšanu par </w:t>
      </w:r>
      <w:r w:rsidRPr="005569EE">
        <w:rPr>
          <w:i/>
          <w:iCs/>
        </w:rPr>
        <w:t>Microsoft 365</w:t>
      </w:r>
      <w:r w:rsidRPr="005569EE">
        <w:t xml:space="preserve"> izmantošanu Komisijā un vienu </w:t>
      </w:r>
      <w:proofErr w:type="spellStart"/>
      <w:r w:rsidRPr="005569EE">
        <w:t>pirmsizmeklēšanu</w:t>
      </w:r>
      <w:proofErr w:type="spellEnd"/>
      <w:r w:rsidRPr="005569EE">
        <w:t xml:space="preserve"> par profilēšanu publiskas piekļuves lietojumprogrammās; attiecībā uz </w:t>
      </w:r>
      <w:r w:rsidRPr="005569EE">
        <w:rPr>
          <w:i/>
          <w:iCs/>
        </w:rPr>
        <w:t>Microsoft 365</w:t>
      </w:r>
      <w:r w:rsidRPr="005569EE">
        <w:t xml:space="preserve"> izmantošanu Komisijā norāda, ka izmeklēšanā tika konstatēti vairāki Regulas (ES) 2018/1725 pārkāpumi, kuru dēļ EDAU lika Komisijai līdz 2024. gada 9. decembrim apturēt visas datu plūsmas uz </w:t>
      </w:r>
      <w:r w:rsidRPr="005569EE">
        <w:rPr>
          <w:i/>
          <w:iCs/>
        </w:rPr>
        <w:t>Microsoft</w:t>
      </w:r>
      <w:r w:rsidRPr="005569EE">
        <w:t xml:space="preserve"> un tā saistītajiem uzņēmumiem ārpus Savienības / Eiropas Ekonomikas zonas (EEZ); aicina EDAU informēt budžeta izpildes </w:t>
      </w:r>
      <w:proofErr w:type="spellStart"/>
      <w:r w:rsidRPr="005569EE">
        <w:t>apstiprinātājiestādi</w:t>
      </w:r>
      <w:proofErr w:type="spellEnd"/>
      <w:r w:rsidRPr="005569EE">
        <w:t xml:space="preserve"> par pēcpārbaudes rezultātiem attiecībā uz to, kā Komisija pilda EDAU ieteikumus šajā lietā; turklāt norāda, ka EDAU 2024. gadā, koncentrējoties uz trešo pušu komponentiem un piekrišanas pieprasījumiem, turpināja piecas izmeklēšanas par Savienības iestāžu, struktūru, biroju un aģentūru tīmekļa vietņu praksi; norāda, ka EDAU 2024. gadā veica trīs revīzijas (ar apmeklējumiem uz vietas) par tādiem tematiem kā veselības datu apstrāde, glabāšanas termiņi un pētījumi, kuros iesaistītas nepilngadīgas personas;</w:t>
      </w:r>
    </w:p>
    <w:p w14:paraId="7FA3B742" w14:textId="77777777" w:rsidR="00DD3EE8" w:rsidRPr="005569EE" w:rsidRDefault="00DD3EE8" w:rsidP="00DD3EE8">
      <w:pPr>
        <w:pStyle w:val="NormalHanging12a"/>
      </w:pPr>
      <w:r w:rsidRPr="005569EE">
        <w:t>23.</w:t>
      </w:r>
      <w:r w:rsidRPr="005569EE">
        <w:tab/>
        <w:t>atgādina, ka 2022. gadā EDAU cēla prasību Eiropas Savienības Tiesā (EST) par divu grozītās Eiropas Parlamenta un Padomes Regulas (ES) 2016/794</w:t>
      </w:r>
      <w:r w:rsidRPr="005569EE">
        <w:rPr>
          <w:vertAlign w:val="superscript"/>
        </w:rPr>
        <w:footnoteReference w:id="9"/>
      </w:r>
      <w:r w:rsidRPr="005569EE">
        <w:t xml:space="preserve"> noteikumu atcelšanu, </w:t>
      </w:r>
      <w:r w:rsidRPr="005569EE">
        <w:lastRenderedPageBreak/>
        <w:t>ko EST vēlāk noraidīja, bet pēc tam EDAU Vispārējās tiesas nolēmumu lietā T-578/22</w:t>
      </w:r>
      <w:r w:rsidRPr="005569EE">
        <w:rPr>
          <w:vertAlign w:val="superscript"/>
        </w:rPr>
        <w:footnoteReference w:id="10"/>
      </w:r>
      <w:r w:rsidRPr="005569EE">
        <w:t xml:space="preserve"> pārsūdzēja, uzskatot, ka izvirzītie jautājumi būtu jārisina visaugstākajā līmenī; norāda, ka saskaņā ar turpmāko ziņojumu EDAU atturas no komentāriem par šo pārsūdzību, jo tā vēl tiek izskatīta; atgādina, ka EDAU rīcība, savu uzraudzības funkciju satvarā iesniedzot juridiskus jautājumus izskatīšanai EST, nebūtu jāuzskata par tādu, kas ietekmē lojālu sadarbību un labas attiecības starp EDAU un struktūrām, kuras tas uzrauga, taču norāda, ka tādējādi rodas šaubas par EDAU nostāju attiecībā uz Parlamenta un Padomes lomu kā likumdevējiem;</w:t>
      </w:r>
    </w:p>
    <w:p w14:paraId="46BA6ADE" w14:textId="77777777" w:rsidR="00DD3EE8" w:rsidRPr="005569EE" w:rsidRDefault="00DD3EE8" w:rsidP="00DD3EE8">
      <w:pPr>
        <w:pStyle w:val="NormalHanging12a"/>
        <w:rPr>
          <w:szCs w:val="24"/>
        </w:rPr>
      </w:pPr>
      <w:r w:rsidRPr="005569EE">
        <w:t>24.</w:t>
      </w:r>
      <w:r w:rsidRPr="005569EE">
        <w:tab/>
        <w:t xml:space="preserve">norāda, ka 2024. gadā veiktajā EDAU iekšējās kontroles standartu novērtējumā tika apstiprināts, ka iekšējās kontroles līmenis ir apmierinošs, jo visi 14 standarti ir ieviesti un darbojas; norāda, ka tika izveidota darba grupa, lai analizētu rezultātus un ierosinātu uzlabojumus, piemēram, uzlabojumus apmācībā un attīstībā, kā arī zināšanu un dokumentu pārvaldībā; norāda, ka saskaņā ar anketu EDAU atjauninātajā riska pārvaldības sistēmā tika ieviesti strukturēti turpmākie pasākumi, kas ir ļāvuši organizācijai nodrošināt, ka riska mazināšanas pasākumi joprojām ir efektīvi un tiek pastāvīgi uzraudzīti; turklāt norāda, ka EDAU ir atjauninājis savu procedūru attiecībā uz </w:t>
      </w:r>
      <w:proofErr w:type="spellStart"/>
      <w:r w:rsidRPr="005569EE">
        <w:rPr>
          <w:i/>
          <w:iCs/>
        </w:rPr>
        <w:t>ex</w:t>
      </w:r>
      <w:proofErr w:type="spellEnd"/>
      <w:r w:rsidRPr="005569EE">
        <w:rPr>
          <w:i/>
          <w:iCs/>
        </w:rPr>
        <w:t> post</w:t>
      </w:r>
      <w:r w:rsidRPr="005569EE">
        <w:t xml:space="preserve"> kontrolēm, kas tagad ir balstītas uz risku, un ir pastiprinājis darbības nepārtrauktību un audita pierakstus, integrējot </w:t>
      </w:r>
      <w:r w:rsidRPr="005569EE">
        <w:rPr>
          <w:i/>
          <w:iCs/>
        </w:rPr>
        <w:t>ARES</w:t>
      </w:r>
      <w:r w:rsidRPr="005569EE">
        <w:t xml:space="preserve"> sistēmu, nodrošinot apmācību un uzlabojot zināšanu pārvaldības procesus;</w:t>
      </w:r>
    </w:p>
    <w:p w14:paraId="78A2A548" w14:textId="77777777" w:rsidR="00DD3EE8" w:rsidRPr="005569EE" w:rsidRDefault="00DD3EE8" w:rsidP="00DD3EE8">
      <w:pPr>
        <w:pStyle w:val="NormalHanging12a"/>
      </w:pPr>
      <w:r w:rsidRPr="005569EE">
        <w:t>25.</w:t>
      </w:r>
      <w:r w:rsidRPr="005569EE">
        <w:tab/>
        <w:t>norāda, ka saskaņā ar anketu Komisijas Iekšējās revīzijas dienests (</w:t>
      </w:r>
      <w:r w:rsidRPr="005569EE">
        <w:rPr>
          <w:i/>
          <w:iCs/>
        </w:rPr>
        <w:t>IAS</w:t>
      </w:r>
      <w:r w:rsidRPr="005569EE">
        <w:t xml:space="preserve">) 2024. gadā sāka vienu revīziju par Parlamenta sniegto IT pakalpojumu EDAU pārvaldību, kā rezultātā tika sniegti divi ieteikumi, kurus EDAU pašlaik īsteno; attiecībā uz 2023. gada revīziju par EDAU revīziju plānošanas metodiku norāda, ka viens no diviem </w:t>
      </w:r>
      <w:r w:rsidRPr="005569EE">
        <w:rPr>
          <w:i/>
          <w:iCs/>
        </w:rPr>
        <w:t>IAS</w:t>
      </w:r>
      <w:r w:rsidRPr="005569EE">
        <w:t xml:space="preserve"> sniegtajiem ieteikumiem ir ņemts vērā, savukārt otra ieteikuma (par EDAU revīzijas plāna izstrādes metodikas izstrādi) īstenošana ir atlikta līdz brīdim, kad tiks iecelts jaunais uzraudzītājs; aicina EDAU informēt budžeta izpildes </w:t>
      </w:r>
      <w:proofErr w:type="spellStart"/>
      <w:r w:rsidRPr="005569EE">
        <w:t>apstiprinātājiestādi</w:t>
      </w:r>
      <w:proofErr w:type="spellEnd"/>
      <w:r w:rsidRPr="005569EE">
        <w:t xml:space="preserve"> par panākto šā jautājuma risināšanā, norādot, ka EDAU būtu jāapspriežas ar tā revidētajām struktūrām par plānoto ieteikumu </w:t>
      </w:r>
      <w:proofErr w:type="spellStart"/>
      <w:r w:rsidRPr="005569EE">
        <w:t>īstenojamību</w:t>
      </w:r>
      <w:proofErr w:type="spellEnd"/>
      <w:r w:rsidRPr="005569EE">
        <w:t xml:space="preserve"> un piemērotību, lai nodrošinātu, ka revidētā struktūra pēc tam ātri, efektīvi un veikli īsteno ieteikumus;</w:t>
      </w:r>
    </w:p>
    <w:p w14:paraId="12ABA4CF" w14:textId="77777777" w:rsidR="00DD3EE8" w:rsidRPr="005569EE" w:rsidRDefault="00DD3EE8" w:rsidP="00DD3EE8">
      <w:pPr>
        <w:pStyle w:val="NormalHanging12a"/>
        <w:rPr>
          <w:b/>
          <w:i/>
          <w:szCs w:val="24"/>
        </w:rPr>
      </w:pPr>
      <w:r w:rsidRPr="005569EE">
        <w:rPr>
          <w:b/>
          <w:i/>
        </w:rPr>
        <w:t xml:space="preserve">Cilvēkresursi, līdztiesība un darbinieku </w:t>
      </w:r>
      <w:proofErr w:type="spellStart"/>
      <w:r w:rsidRPr="005569EE">
        <w:rPr>
          <w:b/>
          <w:i/>
        </w:rPr>
        <w:t>labbūtība</w:t>
      </w:r>
      <w:proofErr w:type="spellEnd"/>
    </w:p>
    <w:p w14:paraId="5DDE512B" w14:textId="77777777" w:rsidR="00DD3EE8" w:rsidRPr="005569EE" w:rsidRDefault="00DD3EE8" w:rsidP="00DD3EE8">
      <w:pPr>
        <w:pStyle w:val="NormalHanging12a"/>
        <w:rPr>
          <w:szCs w:val="24"/>
        </w:rPr>
      </w:pPr>
      <w:r w:rsidRPr="005569EE">
        <w:t>26.</w:t>
      </w:r>
      <w:r w:rsidRPr="005569EE">
        <w:tab/>
        <w:t xml:space="preserve">norāda, ka 2024. gada beigās EDAU bija 137 darbinieki, bet 2023. gadā — 129; norāda, ka EDAU nodarbināja 55 līgumdarbiniekus saskaņā ar Eiropas Savienības Pārējo darbinieku nodarbināšanas kārtības 3.b pantu (2023. gadā — 50 līgumdarbiniekus), deviņus pagaidu darbiniekus saskaņā ar 2. panta b) un c) punktu (2023. gadā — septiņus pagaidu darbiniekus) un izmantoja desmit ārpakalpojumu sniedzēju pakalpojumus, kuri 2023. gadā strādāja uz vietas iestādē (2022. gadā tika izmantoti 12 ārpakalpojumu sniedzēju pakalpojumi); aicina EDAU apsvērt veidus, kā samazināt līgumdarbinieku skaitu, dodot priekšroku pastāvīgiem līgumiem, lai garantētu talantu noturēšanu un darbības nepārtrauktību; norāda, ka EDAU darbinieku vidū 2024. gadā bija 23 dalībvalstu </w:t>
      </w:r>
      <w:proofErr w:type="spellStart"/>
      <w:r w:rsidRPr="005569EE">
        <w:t>valstspiederīgie</w:t>
      </w:r>
      <w:proofErr w:type="spellEnd"/>
      <w:r w:rsidRPr="005569EE">
        <w:t xml:space="preserve"> (tāpat kā 2023. gadā), kas, neraugoties uz piecu valstu </w:t>
      </w:r>
      <w:proofErr w:type="spellStart"/>
      <w:r w:rsidRPr="005569EE">
        <w:t>valstspiederīgo</w:t>
      </w:r>
      <w:proofErr w:type="spellEnd"/>
      <w:r w:rsidRPr="005569EE">
        <w:t xml:space="preserve"> pārsvaru un citu </w:t>
      </w:r>
      <w:proofErr w:type="spellStart"/>
      <w:r w:rsidRPr="005569EE">
        <w:t>valstspiederīgo</w:t>
      </w:r>
      <w:proofErr w:type="spellEnd"/>
      <w:r w:rsidRPr="005569EE">
        <w:t xml:space="preserve"> nepietiekamu pārstāvību, ir izcils rādītājs tik mazai iestādei; aicina EDAU turpināt centienus panākt visu dalībvalstu </w:t>
      </w:r>
      <w:proofErr w:type="spellStart"/>
      <w:r w:rsidRPr="005569EE">
        <w:t>valstspiederīgo</w:t>
      </w:r>
      <w:proofErr w:type="spellEnd"/>
      <w:r w:rsidRPr="005569EE">
        <w:t xml:space="preserve"> līdzsvarotu ģeogrāfisko sadalījumu, īpašu uzmanību pievēršot vadības </w:t>
      </w:r>
      <w:r w:rsidRPr="005569EE">
        <w:lastRenderedPageBreak/>
        <w:t>līmenim, tostarp īstenojot attiecīgu darbā pieņemšanas politiku;</w:t>
      </w:r>
    </w:p>
    <w:p w14:paraId="34DCD2C3" w14:textId="77777777" w:rsidR="00DD3EE8" w:rsidRPr="005569EE" w:rsidRDefault="00DD3EE8" w:rsidP="00DD3EE8">
      <w:pPr>
        <w:pStyle w:val="NormalHanging12a"/>
      </w:pPr>
      <w:r w:rsidRPr="005569EE">
        <w:t>27.</w:t>
      </w:r>
      <w:r w:rsidRPr="005569EE">
        <w:tab/>
        <w:t>norāda gan uz aizpildīto štatu saraksta vietu augsto līmeni, proti, 98,80 % (salīdzinājumā ar 95,65 % 2023. gadā), gan arī uz augsto kadru mainības līmeni, proti, 12 % 2024. gadā (salīdzinājumā ar 13 % 2023. gadā); norāda, ka vairumā gadījumu neaizpildīto amata vietu iemesls bija kandidātu nepiemērotība;</w:t>
      </w:r>
      <w:r w:rsidRPr="005569EE">
        <w:rPr>
          <w:b/>
          <w:i/>
        </w:rPr>
        <w:t xml:space="preserve"> </w:t>
      </w:r>
      <w:r w:rsidRPr="005569EE">
        <w:t xml:space="preserve">atzīst darbā pieņemšanas un atlases procedūrās konstatētās grūtības; ar gandarījumu norāda, ka saskaņā ar turpmāko ziņojumu EDAU risināja šīs problēmas, izstrādājot visaptverošu darbinieku noturēšanas un talantu piesaistes stratēģiju, kas tika pieņemta 2025. gada sākumā un kurā ietvertas īstermiņa, vidēja termiņa un ilgtermiņa darbības pieredzējušu darbinieku noturēšanai, kadru mainības risku mazināšanai un EDAU kā darba devēja pievilcīguma uzlabošanai; mudina EDAU turpināt uzlabot darbā pieņemšanas procedūras, vienlaikus pilnībā ievērojot nopelnu, </w:t>
      </w:r>
      <w:proofErr w:type="spellStart"/>
      <w:r w:rsidRPr="005569EE">
        <w:t>pārredzamības</w:t>
      </w:r>
      <w:proofErr w:type="spellEnd"/>
      <w:r w:rsidRPr="005569EE">
        <w:t xml:space="preserve"> un vienlīdzīgas attieksmes principus;</w:t>
      </w:r>
    </w:p>
    <w:p w14:paraId="168E4B26" w14:textId="77777777" w:rsidR="00DD3EE8" w:rsidRPr="005569EE" w:rsidRDefault="00DD3EE8" w:rsidP="00DD3EE8">
      <w:pPr>
        <w:pStyle w:val="NormalHanging12a"/>
        <w:rPr>
          <w:szCs w:val="24"/>
        </w:rPr>
      </w:pPr>
      <w:r w:rsidRPr="005569EE">
        <w:t>28.</w:t>
      </w:r>
      <w:r w:rsidRPr="005569EE">
        <w:tab/>
        <w:t>attiecībā uz EDAU darbinieku sadalījumu dzimuma aspektā norāda, ka 2024. gadā 63 % darbinieku bija sievietes un 37 % — vīrieši, kas atbilst iepriekšējā gada tendencei, kad sadalījums starp sievietēm un vīriešiem bija attiecīgi 65 % un 35 %; atzīmē dzimumu līdzsvaru vidējā līmeņa vadītāju vidū — trīs vīrieši un trīs sievietes, taču pauž nožēlu par to, ka augstākā līmeņa vadības amatus joprojām ieņem pārāk maz sieviešu; aicina EDAU turpināt centienus panākt dzimumu ziņā līdzsvarotu darbinieku pārstāvību;</w:t>
      </w:r>
    </w:p>
    <w:p w14:paraId="6BE5AF25" w14:textId="77777777" w:rsidR="00DD3EE8" w:rsidRPr="005569EE" w:rsidRDefault="00DD3EE8" w:rsidP="005569EE">
      <w:pPr>
        <w:pStyle w:val="NormalHanging12a"/>
      </w:pPr>
      <w:r w:rsidRPr="005569EE">
        <w:t>29.</w:t>
      </w:r>
      <w:r w:rsidRPr="005569EE">
        <w:tab/>
        <w:t xml:space="preserve">norāda, ka EDAU pieņēma darbā 20 praktikantus no Komisijas “Zilās grāmatas” prakses programmas, kuriem tika maksāts ikmēneša pabalsts aptuveni 1500 EUR apmērā, un vienu neapmaksātu praktikantu, pamatojoties uz akadēmiskās stažēšanās nolīgumu; </w:t>
      </w:r>
      <w:bookmarkStart w:id="8" w:name="_Hlk215140632"/>
      <w:r w:rsidRPr="005569EE">
        <w:t>vēlreiz uzsver, ka prakse būtu jāatalgo atbilstoši Eiropas Parlamenta 2023. gada 14. jūnija rezolūcijai ar ieteikumiem Komisijai par kvalitatīvu stažēšanos Eiropas Savienībā (2020/2005(INL)), kurā prasīts atalgot jebkādu Savienībā izietu praksi;</w:t>
      </w:r>
      <w:bookmarkEnd w:id="8"/>
    </w:p>
    <w:p w14:paraId="0705ABA1" w14:textId="77777777" w:rsidR="00DD3EE8" w:rsidRPr="005569EE" w:rsidRDefault="00DD3EE8" w:rsidP="00DD3EE8">
      <w:pPr>
        <w:pStyle w:val="NormalHanging12a"/>
        <w:rPr>
          <w:szCs w:val="24"/>
        </w:rPr>
      </w:pPr>
      <w:r w:rsidRPr="005569EE">
        <w:t>30.</w:t>
      </w:r>
      <w:r w:rsidRPr="005569EE">
        <w:tab/>
        <w:t xml:space="preserve">atzīmē EDAU 2024. gadā veiktās darbības cilvēkresursu attīstības jomā; norāda, ka tas pieņēma jaunu politiku attiecībā uz tiešsaistes mācību platformām, pievienojās jaunajai iestāžu darba ēnošanas programmai, kurā pieci EDAU darbinieki ēnoja Komisijas darbiniekus, organizēja izbraukuma dienu darbiniekiem, kas veltīta sagatavotībai darbam ar MI, un veica citas komandas saliedētības veidošanas aktivitātes; norāda uz </w:t>
      </w:r>
      <w:proofErr w:type="spellStart"/>
      <w:r w:rsidRPr="005569EE">
        <w:t>starpnodaļu</w:t>
      </w:r>
      <w:proofErr w:type="spellEnd"/>
      <w:r w:rsidRPr="005569EE">
        <w:t xml:space="preserve"> darba grupas izveidi, kuras mērķis ir izstrādāt iniciatīvas līdztiesības, iekļaušanas un daudzveidības veicināšanai;</w:t>
      </w:r>
    </w:p>
    <w:p w14:paraId="7F95FE46" w14:textId="77777777" w:rsidR="00DD3EE8" w:rsidRPr="005569EE" w:rsidRDefault="00DD3EE8" w:rsidP="00DD3EE8">
      <w:pPr>
        <w:pStyle w:val="NormalHanging12a"/>
      </w:pPr>
      <w:r w:rsidRPr="005569EE">
        <w:t>31.</w:t>
      </w:r>
      <w:r w:rsidRPr="005569EE">
        <w:tab/>
        <w:t xml:space="preserve">pēc iepazīšanās ar anketā sniegto informāciju norāda, ka EDAU piedāvā elastīgus un </w:t>
      </w:r>
      <w:proofErr w:type="spellStart"/>
      <w:r w:rsidRPr="005569EE">
        <w:t>hibrīddarba</w:t>
      </w:r>
      <w:proofErr w:type="spellEnd"/>
      <w:r w:rsidRPr="005569EE">
        <w:t xml:space="preserve"> režīmus, kas guvuši darbinieku atbalstu, kuri cita starpā var izmantot bērna kopšanas atvaļinājumu, laika kredītu, iespējas strādāt nepilnu laiku vai ierobežotu dienu skaitu gadā strādāt no ārvalstīm; norāda, ka nākamā darbinieku apmierinātības aptauja, kas attiecas uz tāldarbu, bija plānota 2025. gadā; uzskata, ka, ņemot vērā tāldarba un </w:t>
      </w:r>
      <w:proofErr w:type="spellStart"/>
      <w:r w:rsidRPr="005569EE">
        <w:t>hibrīddarba</w:t>
      </w:r>
      <w:proofErr w:type="spellEnd"/>
      <w:r w:rsidRPr="005569EE">
        <w:t xml:space="preserve"> režīmu, attiecīgā gadījumā varētu optimizēt ēku infrastruktūru, lai samazinātu darbības izmaksas un nodrošinātu biroja telpu efektīvāku izmantošanu;</w:t>
      </w:r>
    </w:p>
    <w:p w14:paraId="3848CBE0" w14:textId="77777777" w:rsidR="00DD3EE8" w:rsidRPr="005569EE" w:rsidRDefault="00DD3EE8" w:rsidP="00DD3EE8">
      <w:pPr>
        <w:pStyle w:val="NormalHanging12a"/>
        <w:rPr>
          <w:szCs w:val="24"/>
        </w:rPr>
      </w:pPr>
      <w:r w:rsidRPr="005569EE">
        <w:t>32.</w:t>
      </w:r>
      <w:r w:rsidRPr="005569EE">
        <w:tab/>
        <w:t xml:space="preserve">norāda, ka pašlaik EDAU nenodarbina darbiniekus ar invaliditāti, bet tam ir vienlīdzīgu iespēju klauzula, kas iekļauta visos EDAU paziņojumos par vakancēm, un tas aktīvi mudina pieteikties kandidātus ar invaliditāti; norāda, ka EDAU korporatīvā tīmekļa vietne ir veidota, izmantojot satura pārvaldības sistēmu, kas ir saskaņota ar </w:t>
      </w:r>
      <w:proofErr w:type="spellStart"/>
      <w:r w:rsidRPr="005569EE">
        <w:t>piekļūstamību</w:t>
      </w:r>
      <w:proofErr w:type="spellEnd"/>
      <w:r w:rsidRPr="005569EE">
        <w:t xml:space="preserve"> nodrošinoša tīmekļa dizaina pamatstandartiem, un visas papildu funkcijas, kas izstrādātas šai tīmekļa vietnei, ir veidotas, par galveno prasību izvirzot </w:t>
      </w:r>
      <w:proofErr w:type="spellStart"/>
      <w:r w:rsidRPr="005569EE">
        <w:lastRenderedPageBreak/>
        <w:t>piekļūstamību</w:t>
      </w:r>
      <w:proofErr w:type="spellEnd"/>
      <w:r w:rsidRPr="005569EE">
        <w:t>;</w:t>
      </w:r>
    </w:p>
    <w:p w14:paraId="5BC2215F" w14:textId="77777777" w:rsidR="00DD3EE8" w:rsidRPr="005569EE" w:rsidRDefault="00DD3EE8" w:rsidP="00DD3EE8">
      <w:pPr>
        <w:pStyle w:val="NormalHanging12a"/>
      </w:pPr>
      <w:r w:rsidRPr="005569EE">
        <w:t>33.</w:t>
      </w:r>
      <w:r w:rsidRPr="005569EE">
        <w:tab/>
        <w:t xml:space="preserve">norāda, ka EDAU atbildē uz anketas jautājumiem teikts, ka EDAU nav piekļuves savu darbinieku medicīniskajām kartēm un tas nevar uzzināt prombūtnes pamatcēloni, jo prombūtni apstiprina Komisijas Medicīnas dienests; norāda, ka EDAU ir piekļuve tikai apkopotiem datiem, piemēram, slimības prombūtnes dienu skaitam un tam, vai ir pievienota medicīniskā izziņa; norāda, ka slimības prombūtnes dienu skaita pieaugums no 2023. gada līdz 2024. gadam, t. i., no 1680,50 līdz 1946 dienām (par 15,80 %), apsteidza darbinieku skaita pieaugumu no 129 līdz 137 darbiniekiem (t. i., par 6,20 %); norāda, ka arī vidējais slimības ilgums uz vienu cilvēku palielinājās no 14,7 dienām 2023. gadā līdz 18,30 dienām 2024. gadā un ka slimības prombūtnes rādītājs palielinājās no 3,60 % 2023. gadā līdz 3,9 % 2024. gadā; pauž bažas par pašreizējo situāciju un turpina pieprasīt skaidrāku darbinieku </w:t>
      </w:r>
      <w:proofErr w:type="spellStart"/>
      <w:r w:rsidRPr="005569EE">
        <w:t>labbūtības</w:t>
      </w:r>
      <w:proofErr w:type="spellEnd"/>
      <w:r w:rsidRPr="005569EE">
        <w:t xml:space="preserve"> </w:t>
      </w:r>
      <w:proofErr w:type="spellStart"/>
      <w:r w:rsidRPr="005569EE">
        <w:t>izvērtējumu</w:t>
      </w:r>
      <w:proofErr w:type="spellEnd"/>
      <w:r w:rsidRPr="005569EE">
        <w:t xml:space="preserve">, lai noteiktu iespējamus atkārtotus izdegšanas sindroma cēloņus, par kuriem katru gadu, tāpat kā ikvienai citai iestādei, būtu jāziņo budžeta izpildes </w:t>
      </w:r>
      <w:proofErr w:type="spellStart"/>
      <w:r w:rsidRPr="005569EE">
        <w:t>apstiprinātājiestādei</w:t>
      </w:r>
      <w:proofErr w:type="spellEnd"/>
      <w:r w:rsidRPr="005569EE">
        <w:t>; prasa EDAU, lai tas sadarbībā ar Komisijas Medicīniskās aprūpes dienestu veiktu mērķtiecīgu novērtējumu par šā pieauguma pamatcēloņiem, īpašu uzmanību pievēršot izdegšanas novēršanai;</w:t>
      </w:r>
    </w:p>
    <w:p w14:paraId="418720EA" w14:textId="77777777" w:rsidR="00DD3EE8" w:rsidRPr="005569EE" w:rsidRDefault="00DD3EE8" w:rsidP="00DD3EE8">
      <w:pPr>
        <w:pStyle w:val="NormalHanging12a"/>
        <w:rPr>
          <w:szCs w:val="24"/>
        </w:rPr>
      </w:pPr>
      <w:r w:rsidRPr="005569EE">
        <w:t>34.</w:t>
      </w:r>
      <w:r w:rsidRPr="005569EE">
        <w:tab/>
        <w:t xml:space="preserve">norāda, ka saskaņā ar anketu EDAU 2024. gadā netika ziņots par nevienu aizskarošas izturēšanas gadījumu; atzinīgi vērtē to, ka 2024. gadā EDAU turpināja </w:t>
      </w:r>
      <w:proofErr w:type="spellStart"/>
      <w:r w:rsidRPr="005569EE">
        <w:t>ievadapmācībā</w:t>
      </w:r>
      <w:proofErr w:type="spellEnd"/>
      <w:r w:rsidRPr="005569EE">
        <w:t xml:space="preserve"> </w:t>
      </w:r>
      <w:proofErr w:type="spellStart"/>
      <w:r w:rsidRPr="005569EE">
        <w:t>jaunpienācējiem</w:t>
      </w:r>
      <w:proofErr w:type="spellEnd"/>
      <w:r w:rsidRPr="005569EE">
        <w:t xml:space="preserve"> sniegt izklāstu par aizskarošas izturēšanās novēršanu, ar ko uzstājās viens no EDAU konfidenciālajiem konsultantiem; atzinīgi vērtē to, ka EDAU iekštīklā ir publicēts lēmums par aizskarošas izturēšanās novēršanu un konfidenciālo konsultantu lomu;</w:t>
      </w:r>
    </w:p>
    <w:p w14:paraId="78067DF5" w14:textId="77777777" w:rsidR="00DD3EE8" w:rsidRPr="005569EE" w:rsidRDefault="00DD3EE8" w:rsidP="00DD3EE8">
      <w:pPr>
        <w:pStyle w:val="NormalHanging12a"/>
        <w:rPr>
          <w:szCs w:val="24"/>
        </w:rPr>
      </w:pPr>
      <w:r w:rsidRPr="005569EE">
        <w:rPr>
          <w:b/>
          <w:i/>
        </w:rPr>
        <w:t xml:space="preserve">Ētikas regulējums un </w:t>
      </w:r>
      <w:proofErr w:type="spellStart"/>
      <w:r w:rsidRPr="005569EE">
        <w:rPr>
          <w:b/>
          <w:i/>
        </w:rPr>
        <w:t>pārredzamība</w:t>
      </w:r>
      <w:proofErr w:type="spellEnd"/>
    </w:p>
    <w:p w14:paraId="2C1B0EC0" w14:textId="77777777" w:rsidR="00DD3EE8" w:rsidRPr="005569EE" w:rsidRDefault="00DD3EE8" w:rsidP="00DD3EE8">
      <w:pPr>
        <w:pStyle w:val="NormalHanging12a"/>
      </w:pPr>
      <w:r w:rsidRPr="005569EE">
        <w:t>35.</w:t>
      </w:r>
      <w:r w:rsidRPr="005569EE">
        <w:tab/>
        <w:t xml:space="preserve">norāda, ka EDAU ir izveidojis regulējumu interešu konfliktu novēršanai augstākās vadības un darbinieku līmenī, izmantojot rīcības kodeksus, izpratnes veicināšanu un deklarācijas par interešu konfliktu neesamību un konfidencialitāti; norāda, ka visiem darbiniekiem, kas sāk strādāt EDAU, ir jāparaksta interešu konfliktu </w:t>
      </w:r>
      <w:proofErr w:type="spellStart"/>
      <w:r w:rsidRPr="005569EE">
        <w:t>neesības</w:t>
      </w:r>
      <w:proofErr w:type="spellEnd"/>
      <w:r w:rsidRPr="005569EE">
        <w:t xml:space="preserve"> un konfidencialitātes apliecinājums; norāda, ka 2024. gadā EDAU netika reģistrēti interešu konfliktu vai trauksmes celšanas gadījumi; ar bažām norāda, ka EDAU 2024. gadā tika ziņots par vienu iespējamas krāpšanas gadījumu, kuru izmeklēja Komisijas disciplinārlietu birojs (</w:t>
      </w:r>
      <w:r w:rsidRPr="005569EE">
        <w:rPr>
          <w:i/>
          <w:iCs/>
        </w:rPr>
        <w:t>IDOC</w:t>
      </w:r>
      <w:r w:rsidRPr="005569EE">
        <w:t xml:space="preserve">); norāda, ka šajā gadījumā </w:t>
      </w:r>
      <w:r w:rsidRPr="005569EE">
        <w:rPr>
          <w:i/>
          <w:iCs/>
        </w:rPr>
        <w:t>IDOC</w:t>
      </w:r>
      <w:r w:rsidRPr="005569EE">
        <w:t xml:space="preserve"> 2025. gadā slēdza izmeklēšanu, iesakot EDAU sākt disciplinārlietu saskaņā ar Civildienesta noteikumiem; aicina EDAU informēt budžeta izpildes </w:t>
      </w:r>
      <w:proofErr w:type="spellStart"/>
      <w:r w:rsidRPr="005569EE">
        <w:t>apstiprinātājiestādi</w:t>
      </w:r>
      <w:proofErr w:type="spellEnd"/>
      <w:r w:rsidRPr="005569EE">
        <w:t xml:space="preserve"> par šā jautājuma galīgo iznākumu, kā arī par jebkādiem iespējamiem pasākumiem, kas veikti nolūkā stiprināt iekšējo krāpšanas apkarošanas kontroli;</w:t>
      </w:r>
    </w:p>
    <w:p w14:paraId="2511A136" w14:textId="77777777" w:rsidR="00DD3EE8" w:rsidRPr="005569EE" w:rsidRDefault="00DD3EE8" w:rsidP="00DD3EE8">
      <w:pPr>
        <w:pStyle w:val="NormalHanging12a"/>
        <w:rPr>
          <w:szCs w:val="24"/>
        </w:rPr>
      </w:pPr>
      <w:r w:rsidRPr="005569EE">
        <w:t>36.</w:t>
      </w:r>
      <w:r w:rsidRPr="005569EE">
        <w:tab/>
        <w:t xml:space="preserve">norāda, ka 2024. gadā EDAU turpināja organizēt </w:t>
      </w:r>
      <w:proofErr w:type="spellStart"/>
      <w:r w:rsidRPr="005569EE">
        <w:t>ievadapmācības</w:t>
      </w:r>
      <w:proofErr w:type="spellEnd"/>
      <w:r w:rsidRPr="005569EE">
        <w:t xml:space="preserve"> EDAU/EDAK </w:t>
      </w:r>
      <w:proofErr w:type="spellStart"/>
      <w:r w:rsidRPr="005569EE">
        <w:t>jaunpienācējiem</w:t>
      </w:r>
      <w:proofErr w:type="spellEnd"/>
      <w:r w:rsidRPr="005569EE">
        <w:t xml:space="preserve">, aptverot tā ētikas sistēmu (par aizskaršanu, trauksmes celšanu, interešu konfliktiem) un krāpšanas apkarošanas stratēģiju; norāda, ka EDAU ētikas amatpersona katru gadu iesniedz ētikas ziņojumu EDAU/EDAK vadībai un līdzdarbojas </w:t>
      </w:r>
      <w:proofErr w:type="spellStart"/>
      <w:r w:rsidRPr="005569EE">
        <w:rPr>
          <w:i/>
          <w:iCs/>
        </w:rPr>
        <w:t>Comité</w:t>
      </w:r>
      <w:proofErr w:type="spellEnd"/>
      <w:r w:rsidRPr="005569EE">
        <w:rPr>
          <w:i/>
          <w:iCs/>
        </w:rPr>
        <w:t xml:space="preserve"> </w:t>
      </w:r>
      <w:proofErr w:type="spellStart"/>
      <w:r w:rsidRPr="005569EE">
        <w:rPr>
          <w:i/>
          <w:iCs/>
        </w:rPr>
        <w:t>Paritaire</w:t>
      </w:r>
      <w:proofErr w:type="spellEnd"/>
      <w:r w:rsidRPr="005569EE">
        <w:rPr>
          <w:i/>
          <w:iCs/>
        </w:rPr>
        <w:t xml:space="preserve"> des </w:t>
      </w:r>
      <w:proofErr w:type="spellStart"/>
      <w:r w:rsidRPr="005569EE">
        <w:rPr>
          <w:i/>
          <w:iCs/>
        </w:rPr>
        <w:t>Questions</w:t>
      </w:r>
      <w:proofErr w:type="spellEnd"/>
      <w:r w:rsidRPr="005569EE">
        <w:rPr>
          <w:i/>
          <w:iCs/>
        </w:rPr>
        <w:t xml:space="preserve"> </w:t>
      </w:r>
      <w:proofErr w:type="spellStart"/>
      <w:r w:rsidRPr="005569EE">
        <w:rPr>
          <w:i/>
          <w:iCs/>
        </w:rPr>
        <w:t>Statuaries</w:t>
      </w:r>
      <w:proofErr w:type="spellEnd"/>
      <w:r w:rsidRPr="005569EE">
        <w:t xml:space="preserve"> ētikas jautājumu darba grupā; ar gandarījumu norāda, ka EDAU ir izveidojis e-pasta adresi, uz kuru darbinieki var nosūtīt savus pieprasījumus par jebkādiem ar ētiku saistītiem jautājumiem; mudina EDAU turpināt uzlabot informētību un organizēt aptaujas, lai novērtētu darbinieku informētības līmeni par EDAU/EDAK ētikas regulējumu;</w:t>
      </w:r>
    </w:p>
    <w:p w14:paraId="306256B5" w14:textId="77777777" w:rsidR="00DD3EE8" w:rsidRPr="005569EE" w:rsidRDefault="00DD3EE8" w:rsidP="00DD3EE8">
      <w:pPr>
        <w:pStyle w:val="NormalHanging12a"/>
      </w:pPr>
      <w:r w:rsidRPr="005569EE">
        <w:lastRenderedPageBreak/>
        <w:t>37.</w:t>
      </w:r>
      <w:r w:rsidRPr="005569EE">
        <w:tab/>
        <w:t xml:space="preserve">atzinīgi vērtē EDAU panākto kopumā augsto </w:t>
      </w:r>
      <w:proofErr w:type="spellStart"/>
      <w:r w:rsidRPr="005569EE">
        <w:t>pārredzamības</w:t>
      </w:r>
      <w:proofErr w:type="spellEnd"/>
      <w:r w:rsidRPr="005569EE">
        <w:t xml:space="preserve"> līmeni attiecībā uz tā darbību, arī attiecībā uz uzraudzītāja un ģenerālsekretāra darba kārtības un interešu deklarācijas publicēšanu; ar gandarījumu norāda, ka pēc 2023.–2024. gadā veiktā iekšējā novērtējuma par </w:t>
      </w:r>
      <w:proofErr w:type="spellStart"/>
      <w:r w:rsidRPr="005569EE">
        <w:t>pārredzamības</w:t>
      </w:r>
      <w:proofErr w:type="spellEnd"/>
      <w:r w:rsidRPr="005569EE">
        <w:t xml:space="preserve"> pasākumiem EDAU 2025. gadā pieņēma lēmumu, saskaņā ar kuru uzraudzītājs, ģenerālsekretārs un EDAU darbinieki, kas pilda vadības pienākumus, tiksies ar interešu pārstāvjiem tikai tad, ja viņi būs reģistrēti Savienības </w:t>
      </w:r>
      <w:proofErr w:type="spellStart"/>
      <w:r w:rsidRPr="005569EE">
        <w:t>pārredzamības</w:t>
      </w:r>
      <w:proofErr w:type="spellEnd"/>
      <w:r w:rsidRPr="005569EE">
        <w:t xml:space="preserve"> reģistrā; atzinīgi vērtē to, ka ar šo lēmumu EDAU ir iekļauts Savienības </w:t>
      </w:r>
      <w:proofErr w:type="spellStart"/>
      <w:r w:rsidRPr="005569EE">
        <w:t>pārredzamības</w:t>
      </w:r>
      <w:proofErr w:type="spellEnd"/>
      <w:r w:rsidRPr="005569EE">
        <w:t xml:space="preserve"> reģistrā, kura valde par to tika pienācīgi informēta; iesaka EDAU savā tīmekļa vietnē publicēt sarakstu ar visām sanāksmēm, kas rīkotas, lai tiktos ar interešu pārstāvjiem, un tā vēl vairāk uzlabot publisko </w:t>
      </w:r>
      <w:proofErr w:type="spellStart"/>
      <w:r w:rsidRPr="005569EE">
        <w:t>pārskatatbildību</w:t>
      </w:r>
      <w:proofErr w:type="spellEnd"/>
      <w:r w:rsidRPr="005569EE">
        <w:t xml:space="preserve"> un </w:t>
      </w:r>
      <w:proofErr w:type="spellStart"/>
      <w:r w:rsidRPr="005569EE">
        <w:t>pārredzamību</w:t>
      </w:r>
      <w:proofErr w:type="spellEnd"/>
      <w:r w:rsidRPr="005569EE">
        <w:t>;</w:t>
      </w:r>
    </w:p>
    <w:p w14:paraId="47A5192C" w14:textId="77777777" w:rsidR="00DD3EE8" w:rsidRPr="005569EE" w:rsidRDefault="00DD3EE8" w:rsidP="00DD3EE8">
      <w:pPr>
        <w:pStyle w:val="NormalHanging12a"/>
        <w:rPr>
          <w:szCs w:val="24"/>
        </w:rPr>
      </w:pPr>
      <w:r w:rsidRPr="005569EE">
        <w:t>38.</w:t>
      </w:r>
      <w:r w:rsidRPr="005569EE">
        <w:tab/>
        <w:t xml:space="preserve">norāda, ka Eiropas </w:t>
      </w:r>
      <w:proofErr w:type="spellStart"/>
      <w:r w:rsidRPr="005569EE">
        <w:t>Ombuds</w:t>
      </w:r>
      <w:proofErr w:type="spellEnd"/>
      <w:r w:rsidRPr="005569EE">
        <w:t xml:space="preserve"> veica izmeklēšanu par EDAU lietā, kas sākta 2023. gadā un slēgta 2024. gadā, konstatējot administratīvu kļūmi; norāda, ka konstatējums attiecās uz laiku, kas EDAU bija nepieciešams, lai samērīgā termiņā pabeigtu sūdzības izvērtēšanu, un uz to, ka EDAU nebija </w:t>
      </w:r>
      <w:proofErr w:type="spellStart"/>
      <w:r w:rsidRPr="005569EE">
        <w:t>proaktīvi</w:t>
      </w:r>
      <w:proofErr w:type="spellEnd"/>
      <w:r w:rsidRPr="005569EE">
        <w:t xml:space="preserve"> informējis sūdzības iesniedzēju par lietas virzību; tāpēc atzinīgi vērtē to, ka EDAU veica pasākumus savu procedūru uzlabošanai, saskaņā ar kurām darbiniekiem tagad ir </w:t>
      </w:r>
      <w:proofErr w:type="spellStart"/>
      <w:r w:rsidRPr="005569EE">
        <w:t>proaktīvi</w:t>
      </w:r>
      <w:proofErr w:type="spellEnd"/>
      <w:r w:rsidRPr="005569EE">
        <w:t xml:space="preserve"> jāatjaunina informācija par sūdzībām un jāaptur izmeklēšana, ja tiek gaidīts tiesas nolēmums vai citu iestāžu lēmums par to pašu lietu; norāda, ka saskaņā ar anketu EDAU 2024. gadā bija iesaistīts trīs Eiropas Biroja krāpšanas apkarošanai (</w:t>
      </w:r>
      <w:r w:rsidRPr="005569EE">
        <w:rPr>
          <w:i/>
          <w:iCs/>
        </w:rPr>
        <w:t>OLAF</w:t>
      </w:r>
      <w:r w:rsidRPr="005569EE">
        <w:t xml:space="preserve">) izmeklēšanās, kuras joprojām turpinās; mudina EDAU informēt budžeta izpildes </w:t>
      </w:r>
      <w:proofErr w:type="spellStart"/>
      <w:r w:rsidRPr="005569EE">
        <w:t>apstiprinātājiestādi</w:t>
      </w:r>
      <w:proofErr w:type="spellEnd"/>
      <w:r w:rsidRPr="005569EE">
        <w:t xml:space="preserve"> par šiem jautājumiem;</w:t>
      </w:r>
    </w:p>
    <w:p w14:paraId="23C38866" w14:textId="77777777" w:rsidR="00DD3EE8" w:rsidRPr="005569EE" w:rsidRDefault="00DD3EE8" w:rsidP="00DD3EE8">
      <w:pPr>
        <w:pStyle w:val="NormalHanging12a"/>
      </w:pPr>
      <w:r w:rsidRPr="005569EE">
        <w:t>39.</w:t>
      </w:r>
      <w:r w:rsidRPr="005569EE">
        <w:tab/>
        <w:t xml:space="preserve">uzsver EDAU lomu Savienības iestāžu, struktūru, biroju un aģentūru veiktās personas datu apstrādes darbību uzraudzībā; pauž bažas par laiku, kas EDAU vajadzīgs sūdzību izskatīšanai; atgādina par Eiropas </w:t>
      </w:r>
      <w:proofErr w:type="spellStart"/>
      <w:r w:rsidRPr="005569EE">
        <w:t>Ombuda</w:t>
      </w:r>
      <w:proofErr w:type="spellEnd"/>
      <w:r w:rsidRPr="005569EE">
        <w:t xml:space="preserve"> 2024. gada 7. novembra lēmumu lietā 1888/2023/TM, kurā Eiropas </w:t>
      </w:r>
      <w:proofErr w:type="spellStart"/>
      <w:r w:rsidRPr="005569EE">
        <w:t>Ombuds</w:t>
      </w:r>
      <w:proofErr w:type="spellEnd"/>
      <w:r w:rsidRPr="005569EE">
        <w:t xml:space="preserve"> konstatēja, ka seši gadi, kas vajadzīgi, lai EDAU pabeigtu sūdzības novērtējumu, nav saprātīgs termiņš un ka EDAU pieeja ir jāuzskata par administratīvu kļūmi; norāda, ka Eiropas </w:t>
      </w:r>
      <w:proofErr w:type="spellStart"/>
      <w:r w:rsidRPr="005569EE">
        <w:t>Ombuds</w:t>
      </w:r>
      <w:proofErr w:type="spellEnd"/>
      <w:r w:rsidRPr="005569EE">
        <w:t xml:space="preserve"> konstatēja, ka EDAU arī netika informējis sūdzības iesniedzēju par lietas virzību;</w:t>
      </w:r>
    </w:p>
    <w:p w14:paraId="1F547B9C" w14:textId="77777777" w:rsidR="00DD3EE8" w:rsidRPr="005569EE" w:rsidRDefault="00DD3EE8" w:rsidP="00DD3EE8">
      <w:pPr>
        <w:pStyle w:val="NormalHanging12a"/>
        <w:rPr>
          <w:szCs w:val="24"/>
        </w:rPr>
      </w:pPr>
      <w:r w:rsidRPr="005569EE">
        <w:t>40.</w:t>
      </w:r>
      <w:r w:rsidRPr="005569EE">
        <w:tab/>
        <w:t>norāda, ka saskaņā ar EDAU rīcības kodeksa 9. pantu uzraudzītājam un ģenerālsekretāram trīs gadus pēc amata pilnvaru termiņa beigām ir pienākums ievērot integritāti, diskrētumu un konfidencialitāti; norāda, ka 2024. gadā neviens augsta ranga ierēdnis neatstāja EDAU un nepievienojās tam;</w:t>
      </w:r>
    </w:p>
    <w:p w14:paraId="0716DF40" w14:textId="77777777" w:rsidR="00DD3EE8" w:rsidRPr="005569EE" w:rsidRDefault="00DD3EE8" w:rsidP="00DD3EE8">
      <w:pPr>
        <w:pStyle w:val="NormalHanging12a"/>
        <w:rPr>
          <w:szCs w:val="24"/>
        </w:rPr>
      </w:pPr>
      <w:proofErr w:type="spellStart"/>
      <w:r w:rsidRPr="005569EE">
        <w:rPr>
          <w:b/>
          <w:i/>
        </w:rPr>
        <w:t>Digitalizācija</w:t>
      </w:r>
      <w:proofErr w:type="spellEnd"/>
      <w:r w:rsidRPr="005569EE">
        <w:rPr>
          <w:b/>
          <w:i/>
        </w:rPr>
        <w:t xml:space="preserve">, </w:t>
      </w:r>
      <w:proofErr w:type="spellStart"/>
      <w:r w:rsidRPr="005569EE">
        <w:rPr>
          <w:b/>
          <w:i/>
        </w:rPr>
        <w:t>kiberdrošība</w:t>
      </w:r>
      <w:proofErr w:type="spellEnd"/>
      <w:r w:rsidRPr="005569EE">
        <w:rPr>
          <w:b/>
          <w:i/>
        </w:rPr>
        <w:t xml:space="preserve"> un datu aizsardzība</w:t>
      </w:r>
    </w:p>
    <w:p w14:paraId="137F49FB" w14:textId="77777777" w:rsidR="00DD3EE8" w:rsidRPr="005569EE" w:rsidRDefault="00DD3EE8" w:rsidP="00DD3EE8">
      <w:pPr>
        <w:pStyle w:val="NormalHanging12a"/>
        <w:rPr>
          <w:szCs w:val="24"/>
        </w:rPr>
      </w:pPr>
      <w:r w:rsidRPr="005569EE">
        <w:t>41.</w:t>
      </w:r>
      <w:r w:rsidRPr="005569EE">
        <w:tab/>
        <w:t xml:space="preserve">norāda, ka saskaņā ar anketu 2024. gada izdevumi IT aprīkojumam un projektiem bija par 10 % lielāki nekā 2023. gadā papildu </w:t>
      </w:r>
      <w:proofErr w:type="spellStart"/>
      <w:r w:rsidRPr="005569EE">
        <w:t>kiberdrošības</w:t>
      </w:r>
      <w:proofErr w:type="spellEnd"/>
      <w:r w:rsidRPr="005569EE">
        <w:t xml:space="preserve"> konsultāciju dēļ; turklāt norāda, ka citi izmaksu elementi, tostarp vispārējo IT pakalpojumu un uzturēšanas izmaksas, 2024. gadā salīdzinājumā ar iepriekšējo gadu saglabājas salīdzinoši stabili;</w:t>
      </w:r>
    </w:p>
    <w:p w14:paraId="1545F0B6" w14:textId="77777777" w:rsidR="00DD3EE8" w:rsidRPr="005569EE" w:rsidRDefault="00DD3EE8" w:rsidP="00DD3EE8">
      <w:pPr>
        <w:pStyle w:val="NormalHanging12a"/>
        <w:rPr>
          <w:szCs w:val="24"/>
        </w:rPr>
      </w:pPr>
      <w:r w:rsidRPr="005569EE">
        <w:t>42.</w:t>
      </w:r>
      <w:r w:rsidRPr="005569EE">
        <w:tab/>
        <w:t xml:space="preserve">atzīmē EDAU 2024. gadā panākto progresu ceļā uz digitālo pārveidi; īpaši atzīmē, ka EDAU integrēja </w:t>
      </w:r>
      <w:r w:rsidRPr="005569EE">
        <w:rPr>
          <w:i/>
          <w:iCs/>
        </w:rPr>
        <w:t>EU </w:t>
      </w:r>
      <w:proofErr w:type="spellStart"/>
      <w:r w:rsidRPr="005569EE">
        <w:rPr>
          <w:i/>
          <w:iCs/>
        </w:rPr>
        <w:t>Send</w:t>
      </w:r>
      <w:proofErr w:type="spellEnd"/>
      <w:r w:rsidRPr="005569EE">
        <w:t xml:space="preserve"> (pakalpojumu/kanālu </w:t>
      </w:r>
      <w:proofErr w:type="spellStart"/>
      <w:r w:rsidRPr="005569EE">
        <w:t>sensitīvas</w:t>
      </w:r>
      <w:proofErr w:type="spellEnd"/>
      <w:r w:rsidRPr="005569EE">
        <w:t xml:space="preserve"> neklasificētas informācijas apmaiņai ar citām Savienības iestādēm, struktūrām, birojiem un aģentūrām), ieviesa </w:t>
      </w:r>
      <w:proofErr w:type="spellStart"/>
      <w:r w:rsidRPr="005569EE">
        <w:rPr>
          <w:i/>
          <w:iCs/>
        </w:rPr>
        <w:t>ServiceNow</w:t>
      </w:r>
      <w:proofErr w:type="spellEnd"/>
      <w:r w:rsidRPr="005569EE">
        <w:t xml:space="preserve"> IT atbalstam (izveidojot vienotu palīdzības dienesta portālu darbiniekiem), ieviesa </w:t>
      </w:r>
      <w:r w:rsidRPr="005569EE">
        <w:rPr>
          <w:i/>
          <w:iCs/>
        </w:rPr>
        <w:t>SECABC</w:t>
      </w:r>
      <w:r w:rsidRPr="005569EE">
        <w:t xml:space="preserve"> (</w:t>
      </w:r>
      <w:proofErr w:type="spellStart"/>
      <w:r w:rsidRPr="005569EE">
        <w:t>starpiestāžu</w:t>
      </w:r>
      <w:proofErr w:type="spellEnd"/>
      <w:r w:rsidRPr="005569EE">
        <w:t xml:space="preserve"> sistēmu drošai informācijas apmaiņai) un veica migrāciju uz Komisijas lokālās infrastruktūras </w:t>
      </w:r>
      <w:proofErr w:type="spellStart"/>
      <w:r w:rsidRPr="005569EE">
        <w:rPr>
          <w:i/>
          <w:iCs/>
        </w:rPr>
        <w:t>Container</w:t>
      </w:r>
      <w:proofErr w:type="spellEnd"/>
      <w:r w:rsidRPr="005569EE">
        <w:rPr>
          <w:i/>
          <w:iCs/>
        </w:rPr>
        <w:t>-</w:t>
      </w:r>
      <w:proofErr w:type="spellStart"/>
      <w:r w:rsidRPr="005569EE">
        <w:rPr>
          <w:i/>
          <w:iCs/>
        </w:rPr>
        <w:t>as</w:t>
      </w:r>
      <w:proofErr w:type="spellEnd"/>
      <w:r w:rsidRPr="005569EE">
        <w:rPr>
          <w:i/>
          <w:iCs/>
        </w:rPr>
        <w:t>-a-Service</w:t>
      </w:r>
      <w:r w:rsidRPr="005569EE">
        <w:t xml:space="preserve"> platformu; norāda, ka ar EDAU digitālās pārveides jautājumiem strādā viens pastāvīgs ierēdnis un viens līgumstrādnieks; pieņem zināšanai to, ka saskaņā ar anketu un turpmāko ziņojumu </w:t>
      </w:r>
      <w:r w:rsidRPr="005569EE">
        <w:lastRenderedPageBreak/>
        <w:t>EDAU budžeta ierobežojumi neļauj izveidot vismaz piecu IT speciālistu komandu, kas pārzinātu septiņas dažādas IT jomas un varētu aptvert konkrētas lietojumprogrammas saistībā ar EDAU darbības procesiem, kuri pārsniedz pamata IT infrastruktūru un pakalpojumus, ko saskaņā ar dienestu līmeņa nolīgumiem nodrošina Parlaments un Komisija;</w:t>
      </w:r>
    </w:p>
    <w:p w14:paraId="37303761" w14:textId="77777777" w:rsidR="00DD3EE8" w:rsidRPr="005569EE" w:rsidRDefault="00DD3EE8" w:rsidP="00DD3EE8">
      <w:pPr>
        <w:pStyle w:val="NormalHanging12a"/>
        <w:rPr>
          <w:bCs/>
          <w:iCs/>
        </w:rPr>
      </w:pPr>
      <w:r w:rsidRPr="005569EE">
        <w:t>43.</w:t>
      </w:r>
      <w:r w:rsidRPr="005569EE">
        <w:tab/>
        <w:t xml:space="preserve">norāda, ka EDAU iekšējā IT personāla ierobežojumus daļēji kompensē IT pakalpojumi, ko nodrošina Parlaments un Komisija saskaņā ar dienestu līmeņa nolīgumiem un maksājumu atmaksas mehānismu; atgādina, ka Parlaments jau rezolūcijā par 2023. gada budžeta izpildes apstiprināšanu konstatēja, ka pastāv strukturāla neatbilstība starp šādiem </w:t>
      </w:r>
      <w:proofErr w:type="spellStart"/>
      <w:r w:rsidRPr="005569EE">
        <w:t>starpiestāžu</w:t>
      </w:r>
      <w:proofErr w:type="spellEnd"/>
      <w:r w:rsidRPr="005569EE">
        <w:t xml:space="preserve"> IT pakalpojumiem un EDAU īpašajām operatīvajām vajadzībām; uzsver — lai gan šis modelis var ģenerēt </w:t>
      </w:r>
      <w:proofErr w:type="spellStart"/>
      <w:r w:rsidRPr="005569EE">
        <w:t>apjomradītus</w:t>
      </w:r>
      <w:proofErr w:type="spellEnd"/>
      <w:r w:rsidRPr="005569EE">
        <w:t xml:space="preserve"> ietaupījumus, tas var samazināt izmaksu </w:t>
      </w:r>
      <w:proofErr w:type="spellStart"/>
      <w:r w:rsidRPr="005569EE">
        <w:t>paredzamību</w:t>
      </w:r>
      <w:proofErr w:type="spellEnd"/>
      <w:r w:rsidRPr="005569EE">
        <w:t xml:space="preserve"> un mazo iestāžu tiešu kontroli pār to, kā attīstās ar IT saistītie izdevumi, un uzsver, ka turpmākajā budžeta plānošanā ir svarīgi ņemt vērā šo strukturālo izmaksu spiedienu;</w:t>
      </w:r>
    </w:p>
    <w:p w14:paraId="4FC96618" w14:textId="77777777" w:rsidR="00DD3EE8" w:rsidRPr="005569EE" w:rsidRDefault="00DD3EE8" w:rsidP="00DD3EE8">
      <w:pPr>
        <w:pStyle w:val="NormalHanging12a"/>
        <w:rPr>
          <w:bCs/>
          <w:iCs/>
        </w:rPr>
      </w:pPr>
      <w:r w:rsidRPr="005569EE">
        <w:t>44.</w:t>
      </w:r>
      <w:r w:rsidRPr="005569EE">
        <w:tab/>
        <w:t xml:space="preserve">uzsver EDAU darbu pie atvērtā pirmkoda, Savienībā balstītiem </w:t>
      </w:r>
      <w:proofErr w:type="spellStart"/>
      <w:r w:rsidRPr="005569EE">
        <w:t>sadarbīgiem</w:t>
      </w:r>
      <w:proofErr w:type="spellEnd"/>
      <w:r w:rsidRPr="005569EE">
        <w:t xml:space="preserve"> </w:t>
      </w:r>
      <w:proofErr w:type="spellStart"/>
      <w:r w:rsidRPr="005569EE">
        <w:t>mākoņdatošanas</w:t>
      </w:r>
      <w:proofErr w:type="spellEnd"/>
      <w:r w:rsidRPr="005569EE">
        <w:t xml:space="preserve"> risinājumiem, jo īpaši projektu </w:t>
      </w:r>
      <w:proofErr w:type="spellStart"/>
      <w:r w:rsidRPr="005569EE">
        <w:rPr>
          <w:i/>
          <w:iCs/>
        </w:rPr>
        <w:t>Nextcloud</w:t>
      </w:r>
      <w:proofErr w:type="spellEnd"/>
      <w:r w:rsidRPr="005569EE">
        <w:t xml:space="preserve"> un migrāciju uz Komisijas pārvaldītu datu centru, lai stiprinātu datu suverenitāti un samazinātu atkarību no ārpuskopienas pakalpojumu sniedzējiem; aicina EDAU sniegt budžeta izpildes </w:t>
      </w:r>
      <w:proofErr w:type="spellStart"/>
      <w:r w:rsidRPr="005569EE">
        <w:t>apstiprinātājiestādei</w:t>
      </w:r>
      <w:proofErr w:type="spellEnd"/>
      <w:r w:rsidRPr="005569EE">
        <w:t xml:space="preserve"> novērtējumu par projekta kopējām izmaksām, kas saistītas ar citu Savienības iestāžu īpašumtiesībām, ieguvumiem drošības jomā un mērogojamību;</w:t>
      </w:r>
    </w:p>
    <w:p w14:paraId="7C5E8919" w14:textId="77777777" w:rsidR="00DD3EE8" w:rsidRPr="005569EE" w:rsidRDefault="00DD3EE8" w:rsidP="00DD3EE8">
      <w:pPr>
        <w:pStyle w:val="NormalHanging12a"/>
      </w:pPr>
      <w:r w:rsidRPr="005569EE">
        <w:t>45.</w:t>
      </w:r>
      <w:r w:rsidRPr="005569EE">
        <w:tab/>
        <w:t xml:space="preserve">pieņem zināšanai to, ka EDAU sekmīgi lieto vairākas Komisijas izmantotās administratīvās sistēmas, jo īpaši cilvēkresursu un uzņēmējdarbības vadības procesu jomā, kā arī dažus Parlamenta pakalpojumus, tai skaitā klēpjdatoru, tīkla infrastruktūras un videokonferenču nodrošināšanu; norāda, ka EDAU izmanto kvalificētu elektronisko parakstu elektronisko dokumentu parakstīšanai gan </w:t>
      </w:r>
      <w:r w:rsidRPr="005569EE">
        <w:rPr>
          <w:i/>
          <w:iCs/>
        </w:rPr>
        <w:t>ARES</w:t>
      </w:r>
      <w:r w:rsidRPr="005569EE">
        <w:t xml:space="preserve"> sistēmā, gan ārpus tās administratīviem un finanšu dokumentiem; izsaka atzinību EDAU par panākto progresu e-iepirkuma rīku ieviešanā, kas paredzēta 2026. gadā, kad EDAU tiks ieviesta arī jaunā finanšu programmatūra </w:t>
      </w:r>
      <w:r w:rsidRPr="005569EE">
        <w:rPr>
          <w:i/>
          <w:iCs/>
        </w:rPr>
        <w:t>SUMMA</w:t>
      </w:r>
      <w:r w:rsidRPr="005569EE">
        <w:t>;</w:t>
      </w:r>
    </w:p>
    <w:p w14:paraId="51BE70E1" w14:textId="77777777" w:rsidR="00DD3EE8" w:rsidRPr="005569EE" w:rsidRDefault="00DD3EE8" w:rsidP="00DD3EE8">
      <w:pPr>
        <w:pStyle w:val="NormalHanging12a"/>
      </w:pPr>
      <w:r w:rsidRPr="005569EE">
        <w:t>46.</w:t>
      </w:r>
      <w:r w:rsidRPr="005569EE">
        <w:tab/>
        <w:t>norāda, ka saskaņā ar anketu EDAU 2025. gadā apstiprināja darbiniekiem paredzētas iekšējās vadlīnijas par ģeneratīvo MI sistēmu izmantošanu un darbiniekiem tiek nodrošināta arī obligāta MI apmācību programma; atzinīgi vērtē EDAU veikto sagatavošanas darbu iespējamai vadlīniju izdošanai, lai nodrošinātu, ka Savienības iestādes, struktūras, biroji un aģentūras atbildīgi izmanto MI rīkus; šādas vadlīnijas papildinātu Komisijas jau sniegtos norādījumus, pievēršoties Savienības publiskās pārvaldes specifikai vai lietošanas gadījumiem konkrētās jomās, piemēram, cilvēkresursu / darbā pieņemšanas jomā;</w:t>
      </w:r>
    </w:p>
    <w:p w14:paraId="11FD37B1" w14:textId="77777777" w:rsidR="00DD3EE8" w:rsidRPr="005569EE" w:rsidRDefault="00DD3EE8" w:rsidP="00DD3EE8">
      <w:pPr>
        <w:pStyle w:val="NormalHanging12a"/>
        <w:rPr>
          <w:szCs w:val="24"/>
        </w:rPr>
      </w:pPr>
      <w:r w:rsidRPr="005569EE">
        <w:t>47.</w:t>
      </w:r>
      <w:r w:rsidRPr="005569EE">
        <w:tab/>
        <w:t xml:space="preserve">atzīst EDAU vadošo lomu Savienības iestāžu, struktūru, biroju un aģentūru </w:t>
      </w:r>
      <w:proofErr w:type="spellStart"/>
      <w:r w:rsidRPr="005569EE">
        <w:t>kiberdrošības</w:t>
      </w:r>
      <w:proofErr w:type="spellEnd"/>
      <w:r w:rsidRPr="005569EE">
        <w:t xml:space="preserve"> sagatavotības uzlabošanā ciešā sadarbībā ar tādām struktūrām kā </w:t>
      </w:r>
      <w:r w:rsidRPr="005569EE">
        <w:rPr>
          <w:i/>
          <w:iCs/>
        </w:rPr>
        <w:t>ENISA</w:t>
      </w:r>
      <w:r w:rsidRPr="005569EE">
        <w:t xml:space="preserve"> un </w:t>
      </w:r>
      <w:proofErr w:type="spellStart"/>
      <w:r w:rsidRPr="005569EE">
        <w:t>kiberdrošības</w:t>
      </w:r>
      <w:proofErr w:type="spellEnd"/>
      <w:r w:rsidRPr="005569EE">
        <w:t xml:space="preserve"> centriem, piemēram, </w:t>
      </w:r>
      <w:r w:rsidRPr="005569EE">
        <w:rPr>
          <w:i/>
          <w:iCs/>
        </w:rPr>
        <w:t>CERT-EU</w:t>
      </w:r>
      <w:r w:rsidRPr="005569EE">
        <w:t>;</w:t>
      </w:r>
    </w:p>
    <w:p w14:paraId="3A4E2D82" w14:textId="77777777" w:rsidR="00DD3EE8" w:rsidRPr="005569EE" w:rsidRDefault="00DD3EE8" w:rsidP="00DD3EE8">
      <w:pPr>
        <w:pStyle w:val="NormalHanging12a"/>
      </w:pPr>
      <w:r w:rsidRPr="005569EE">
        <w:t>48.</w:t>
      </w:r>
      <w:r w:rsidRPr="005569EE">
        <w:tab/>
        <w:t xml:space="preserve">norāda, ka saskaņā ar anketu EDAU ir uzsācis divas svarīgas iniciatīvas, lai stiprinātu personas datu aizsardzības pārkāpumu pārvaldību Savienības iestādēs, proti, informatīvi izglītojošu kampaņu par personas datu aizsardzības pārkāpumiem, kas vērsta uz subjektiem, kuri iepriekš nav ziņojuši par pārkāpumiem, un nodrošināja pašnovērtējuma rīkus, divpusējas konsultācijas un pielāgotus ieteikumus, un </w:t>
      </w:r>
      <w:proofErr w:type="spellStart"/>
      <w:r w:rsidRPr="005569EE">
        <w:t>kiberdrošības</w:t>
      </w:r>
      <w:proofErr w:type="spellEnd"/>
      <w:r w:rsidRPr="005569EE">
        <w:t xml:space="preserve"> mācības (“PATRICIA”), kuru mērķis ir uzlabot ar personas datu aizsardzības pārkāpumiem </w:t>
      </w:r>
      <w:r w:rsidRPr="005569EE">
        <w:lastRenderedPageBreak/>
        <w:t xml:space="preserve">saistītu </w:t>
      </w:r>
      <w:proofErr w:type="spellStart"/>
      <w:r w:rsidRPr="005569EE">
        <w:t>kiberdrošības</w:t>
      </w:r>
      <w:proofErr w:type="spellEnd"/>
      <w:r w:rsidRPr="005569EE">
        <w:t xml:space="preserve"> incidentu pārvaldību un stiprināt iestāžu sadarbību; ar gandarījumu norāda, ka abas iniciatīvas 2025. gadā saņēma Globālās privātuma asamblejas apbalvojumus par ieguldījumu </w:t>
      </w:r>
      <w:proofErr w:type="spellStart"/>
      <w:r w:rsidRPr="005569EE">
        <w:t>pārskatatbildībā</w:t>
      </w:r>
      <w:proofErr w:type="spellEnd"/>
      <w:r w:rsidRPr="005569EE">
        <w:t xml:space="preserve">; konstatē, ka EDAU nostiprināja savu </w:t>
      </w:r>
      <w:proofErr w:type="spellStart"/>
      <w:r w:rsidRPr="005569EE">
        <w:t>kiberdrošības</w:t>
      </w:r>
      <w:proofErr w:type="spellEnd"/>
      <w:r w:rsidRPr="005569EE">
        <w:t xml:space="preserve"> regulējumu, ieviešot ar internetu savienotu resursu ievainojamības un apdraudējumu atklāšanu reāllaikā, pateicoties uzlabotai sadarbībai ar </w:t>
      </w:r>
      <w:r w:rsidRPr="005569EE">
        <w:rPr>
          <w:i/>
          <w:iCs/>
        </w:rPr>
        <w:t>CERT-EU</w:t>
      </w:r>
      <w:r w:rsidRPr="005569EE">
        <w:t xml:space="preserve"> saskaņā ar dienestu līmeņa nolīgumu; apsveic EDAU par 2024. gada jūnijā Briselē sarīkoto konferenci, kurā pulcējās datu aizsardzības eksperti, politikas veidotāji un tehnoloģiju speciālisti, lai dalītos pārdomās par datu aizsardzības mainīgo lomu mūsdienu demokrātiskajās sabiedrībās, it īpaši, ņemot vērā dezinformācijas un tiešsaistes manipulāciju pieaugumu, kā arī sociālo mediju radītās problēmas;</w:t>
      </w:r>
    </w:p>
    <w:p w14:paraId="6434B482" w14:textId="77777777" w:rsidR="00DD3EE8" w:rsidRPr="005569EE" w:rsidRDefault="00DD3EE8" w:rsidP="00DD3EE8">
      <w:pPr>
        <w:pStyle w:val="NormalHanging12a"/>
        <w:rPr>
          <w:b/>
          <w:i/>
          <w:szCs w:val="24"/>
        </w:rPr>
      </w:pPr>
      <w:r w:rsidRPr="005569EE">
        <w:rPr>
          <w:b/>
          <w:i/>
        </w:rPr>
        <w:t>Ēkas</w:t>
      </w:r>
    </w:p>
    <w:p w14:paraId="54FDC8BA" w14:textId="77777777" w:rsidR="00DD3EE8" w:rsidRPr="005569EE" w:rsidRDefault="00DD3EE8" w:rsidP="00DD3EE8">
      <w:pPr>
        <w:pStyle w:val="NormalHanging12a"/>
        <w:rPr>
          <w:szCs w:val="24"/>
        </w:rPr>
      </w:pPr>
      <w:r w:rsidRPr="005569EE">
        <w:t>49.</w:t>
      </w:r>
      <w:r w:rsidRPr="005569EE">
        <w:tab/>
        <w:t>norāda, ka 2024. gadā bija nepieciešams pārvietojums aptuveni 55 000 EUR apmērā, lai segtu ēkas drošības un īres izmaksas, jo Parlamenta apstiprinātās 2024. gada īres izmaksas ēkai, kuru izmanto EDAU, pārsniedza šim gadam piešķirtās apropriācijas;</w:t>
      </w:r>
    </w:p>
    <w:p w14:paraId="270A57D2" w14:textId="77777777" w:rsidR="00DD3EE8" w:rsidRPr="005569EE" w:rsidRDefault="00DD3EE8" w:rsidP="00DD3EE8">
      <w:pPr>
        <w:pStyle w:val="NormalHanging12a"/>
        <w:rPr>
          <w:szCs w:val="24"/>
        </w:rPr>
      </w:pPr>
      <w:r w:rsidRPr="005569EE">
        <w:t>50.</w:t>
      </w:r>
      <w:r w:rsidRPr="005569EE">
        <w:tab/>
        <w:t xml:space="preserve">norāda, ka attiecībā uz piekļuvi savai ēkai EDAU balstās uz lēmumiem, ko Parlaments pieņēmis un īstenojis kā daļu no savas ēku politikas; aicina EDAU informēt budžeta izpildes </w:t>
      </w:r>
      <w:proofErr w:type="spellStart"/>
      <w:r w:rsidRPr="005569EE">
        <w:t>apstiprinātājiestādi</w:t>
      </w:r>
      <w:proofErr w:type="spellEnd"/>
      <w:r w:rsidRPr="005569EE">
        <w:t xml:space="preserve"> par to, vai tas plāno pieņemt darbā arī praktikantus ar ierobežotām pārvietošanās spējām vai invaliditāti;</w:t>
      </w:r>
    </w:p>
    <w:p w14:paraId="52D7DB5F" w14:textId="77777777" w:rsidR="00DD3EE8" w:rsidRPr="005569EE" w:rsidRDefault="00DD3EE8" w:rsidP="00DD3EE8">
      <w:pPr>
        <w:pStyle w:val="NormalHanging12a"/>
        <w:rPr>
          <w:b/>
          <w:iCs/>
          <w:szCs w:val="24"/>
        </w:rPr>
      </w:pPr>
      <w:r w:rsidRPr="005569EE">
        <w:rPr>
          <w:b/>
          <w:i/>
        </w:rPr>
        <w:t>Vide un ilgtspēja</w:t>
      </w:r>
    </w:p>
    <w:p w14:paraId="3E079B50" w14:textId="77777777" w:rsidR="00DD3EE8" w:rsidRPr="005569EE" w:rsidRDefault="00DD3EE8" w:rsidP="00DD3EE8">
      <w:pPr>
        <w:pStyle w:val="NormalHanging12a"/>
        <w:rPr>
          <w:bCs/>
          <w:iCs/>
          <w:szCs w:val="24"/>
        </w:rPr>
      </w:pPr>
      <w:r w:rsidRPr="005569EE">
        <w:t>51.</w:t>
      </w:r>
      <w:r w:rsidRPr="005569EE">
        <w:tab/>
        <w:t xml:space="preserve">norāda, ka EDAU īrē Parlamentam piederošu viedo ēku, kuras </w:t>
      </w:r>
      <w:proofErr w:type="spellStart"/>
      <w:r w:rsidRPr="005569EE">
        <w:t>vidiskā</w:t>
      </w:r>
      <w:proofErr w:type="spellEnd"/>
      <w:r w:rsidRPr="005569EE">
        <w:t xml:space="preserve"> pēda ir samazināta ar vairākiem pasākumiem, piemēram, automātisku un centralizētu temperatūras regulēšanu; norāda, ka minētā ēka ir aprīkota arī ar saules paneļiem, kas saražo aptuveni 20 </w:t>
      </w:r>
      <w:proofErr w:type="spellStart"/>
      <w:r w:rsidRPr="005569EE">
        <w:t>kWh</w:t>
      </w:r>
      <w:proofErr w:type="spellEnd"/>
      <w:r w:rsidRPr="005569EE">
        <w:t xml:space="preserve"> elektroenerģijas un sedza 6,04 % no EDAU kopējā patēriņa 2024. gadā;</w:t>
      </w:r>
    </w:p>
    <w:p w14:paraId="44DE10B2" w14:textId="77777777" w:rsidR="00DD3EE8" w:rsidRPr="005569EE" w:rsidRDefault="00DD3EE8" w:rsidP="00DD3EE8">
      <w:pPr>
        <w:pStyle w:val="NormalHanging12a"/>
      </w:pPr>
      <w:r w:rsidRPr="005569EE">
        <w:t>52.</w:t>
      </w:r>
      <w:r w:rsidRPr="005569EE">
        <w:tab/>
        <w:t>norāda, ka EDAU nav pievienojies vides vadības un audita sistēmai (</w:t>
      </w:r>
      <w:r w:rsidRPr="005569EE">
        <w:rPr>
          <w:i/>
          <w:iCs/>
        </w:rPr>
        <w:t>EMAS</w:t>
      </w:r>
      <w:r w:rsidRPr="005569EE">
        <w:t xml:space="preserve">); norāda — lai iegūtu </w:t>
      </w:r>
      <w:r w:rsidRPr="005569EE">
        <w:rPr>
          <w:i/>
          <w:iCs/>
        </w:rPr>
        <w:t>EMAS</w:t>
      </w:r>
      <w:r w:rsidRPr="005569EE">
        <w:t xml:space="preserve"> sertifikātu, EDAU 2024. gadā izveidoja </w:t>
      </w:r>
      <w:proofErr w:type="spellStart"/>
      <w:r w:rsidRPr="005569EE">
        <w:t>starpnodaļu</w:t>
      </w:r>
      <w:proofErr w:type="spellEnd"/>
      <w:r w:rsidRPr="005569EE">
        <w:t xml:space="preserve"> darba grupu, kuras mērķi ir apzināt Parlamenta jau īstenotos pasākumus, izstrādāt oglekļa emisiju samazināšanas stratēģijas un ierosināt inovatīvus risinājumus; aicina EDAU noteikt skaidru grafiku</w:t>
      </w:r>
      <w:r w:rsidRPr="005569EE">
        <w:rPr>
          <w:i/>
          <w:iCs/>
        </w:rPr>
        <w:t xml:space="preserve"> EMAS</w:t>
      </w:r>
      <w:r w:rsidRPr="005569EE">
        <w:t xml:space="preserve"> sertifikāta iegūšanai un informēt budžeta izpildes </w:t>
      </w:r>
      <w:proofErr w:type="spellStart"/>
      <w:r w:rsidRPr="005569EE">
        <w:t>apstiprinātājiestādi</w:t>
      </w:r>
      <w:proofErr w:type="spellEnd"/>
      <w:r w:rsidRPr="005569EE">
        <w:t xml:space="preserve"> par šajā jautājumā panākto progresu;</w:t>
      </w:r>
    </w:p>
    <w:p w14:paraId="16336531" w14:textId="77777777" w:rsidR="00DD3EE8" w:rsidRPr="005569EE" w:rsidRDefault="00DD3EE8" w:rsidP="00DD3EE8">
      <w:pPr>
        <w:spacing w:after="240"/>
        <w:ind w:left="567" w:hanging="567"/>
      </w:pPr>
      <w:r w:rsidRPr="005569EE">
        <w:t>53.</w:t>
      </w:r>
      <w:r w:rsidRPr="005569EE">
        <w:tab/>
        <w:t xml:space="preserve">norāda, ka saskaņā ar anketu EDAU lielāko daļu savu iepirkumu veic, izmantojot iestāžu </w:t>
      </w:r>
      <w:proofErr w:type="spellStart"/>
      <w:r w:rsidRPr="005569EE">
        <w:t>pamatnolīgumus</w:t>
      </w:r>
      <w:proofErr w:type="spellEnd"/>
      <w:r w:rsidRPr="005569EE">
        <w:t>, un tas kā iesaistītā līgumslēdzēja iestāde piemēro vadošās līgumslēdzējas iestādes noteiktos ilgtspējas kritērijus;</w:t>
      </w:r>
    </w:p>
    <w:p w14:paraId="4CBDCB30" w14:textId="77777777" w:rsidR="00DD3EE8" w:rsidRPr="005569EE" w:rsidRDefault="00DD3EE8" w:rsidP="00DD3EE8">
      <w:pPr>
        <w:spacing w:after="240"/>
        <w:ind w:left="567" w:hanging="567"/>
      </w:pPr>
      <w:r w:rsidRPr="005569EE">
        <w:t>54.</w:t>
      </w:r>
      <w:r w:rsidRPr="005569EE">
        <w:tab/>
        <w:t>norāda, ka saskaņā ar anketu visiem EDAU komandējumiem ir jāatbilst komandējumu rokasgrāmatā izklāstītajiem noteikumiem; konstatē, ka EDAU darbinieki galvenokārt ceļo ekonomiskajā klasē un ka lielākā daļa braucienu notiek Savienības teritorijā; atzinīgi vērtē EDAU centienus samazināt savu oglekļa pēdu, mudinot darbiniekus izmantot videokonferences, īsos attālumos ceļot ar vilcienu un, dodoties uz lidostu vai no tās vai esot komandējuma vietā, izmantot sabiedrisko transportu;</w:t>
      </w:r>
    </w:p>
    <w:p w14:paraId="2828C7BB" w14:textId="77777777" w:rsidR="00DD3EE8" w:rsidRPr="005569EE" w:rsidRDefault="00DD3EE8" w:rsidP="00DD3EE8">
      <w:pPr>
        <w:spacing w:after="240"/>
        <w:ind w:left="567" w:hanging="567"/>
      </w:pPr>
      <w:r w:rsidRPr="005569EE">
        <w:t>55.</w:t>
      </w:r>
      <w:r w:rsidRPr="005569EE">
        <w:tab/>
        <w:t xml:space="preserve">norāda, ka saskaņā ar anketu EDAU īsteno ilgtspējīgas mobilitātes stratēģiju, kas ļauj darbiniekiem pieprasīt atlīdzību 50 % apmērā no viņu sabiedriskā transporta mēnešbiļetes vai gada biļetes vai vairāku braucienu braukšanas karšu maksas un </w:t>
      </w:r>
      <w:r w:rsidRPr="005569EE">
        <w:lastRenderedPageBreak/>
        <w:t>nodrošina infrastruktūru, kas pielāgota to darbinieku vajadzībām, kuri izmanto velosipēdus;</w:t>
      </w:r>
    </w:p>
    <w:p w14:paraId="3F831BDD" w14:textId="77777777" w:rsidR="00DD3EE8" w:rsidRPr="005569EE" w:rsidRDefault="00DD3EE8" w:rsidP="00DD3EE8">
      <w:pPr>
        <w:pStyle w:val="NormalHanging12a"/>
        <w:rPr>
          <w:b/>
          <w:i/>
          <w:szCs w:val="24"/>
        </w:rPr>
      </w:pPr>
      <w:r w:rsidRPr="005569EE">
        <w:rPr>
          <w:b/>
          <w:i/>
        </w:rPr>
        <w:t>Iestāžu sadarbība</w:t>
      </w:r>
    </w:p>
    <w:p w14:paraId="23D0B957" w14:textId="77777777" w:rsidR="00DD3EE8" w:rsidRPr="005569EE" w:rsidRDefault="00DD3EE8" w:rsidP="00DD3EE8">
      <w:pPr>
        <w:pStyle w:val="NormalHanging12a"/>
        <w:rPr>
          <w:szCs w:val="24"/>
        </w:rPr>
      </w:pPr>
      <w:r w:rsidRPr="005569EE">
        <w:t>56.</w:t>
      </w:r>
      <w:r w:rsidRPr="005569EE">
        <w:tab/>
        <w:t xml:space="preserve">atzinīgi vērtē budžeta un administratīvos ietaupījumus, ko EDAU panācis, sadarbojoties ar citām iestādēm, jo īpaši dienestu līmeņa nolīgumu noslēgšanu ar Parlamentu par tā telpu nomu un IT sistēmu lietojumprogrammu izmantošanu, aparatūras piegādi un uzturēšanu un ar Komisiju attiecībā uz cilvēkresursu un uzņēmējdarbības pārvaldības procesiem, kā arī piedaloties lielos iestāžu pamatlīgumos, cita starpā tādās jomās kā IT konsultācijas, pagaidu pakalpojumi un biroja piederumi; turklāt pauž atzinību EDAU par strukturētas sadarbības turpināšanu ar Eiropas </w:t>
      </w:r>
      <w:proofErr w:type="spellStart"/>
      <w:r w:rsidRPr="005569EE">
        <w:t>Ombudu</w:t>
      </w:r>
      <w:proofErr w:type="spellEnd"/>
      <w:r w:rsidRPr="005569EE">
        <w:t xml:space="preserve">, Eiropas Savienības </w:t>
      </w:r>
      <w:proofErr w:type="spellStart"/>
      <w:r w:rsidRPr="005569EE">
        <w:t>Pamattiesību</w:t>
      </w:r>
      <w:proofErr w:type="spellEnd"/>
      <w:r w:rsidRPr="005569EE">
        <w:t xml:space="preserve"> aģentūru un </w:t>
      </w:r>
      <w:r w:rsidRPr="005569EE">
        <w:rPr>
          <w:i/>
          <w:iCs/>
        </w:rPr>
        <w:t>CERT-EU</w:t>
      </w:r>
      <w:r w:rsidRPr="005569EE">
        <w:t xml:space="preserve">, izmantojot saprašanās memorandus; norāda, ka saskaņā ar anketu EDAU piedalās arī Komisijas vadītajā iestāžu cilvēkresursu vadības pārveides projektā, kura mērķis ir </w:t>
      </w:r>
      <w:proofErr w:type="spellStart"/>
      <w:r w:rsidRPr="005569EE">
        <w:t>digitalizēt</w:t>
      </w:r>
      <w:proofErr w:type="spellEnd"/>
      <w:r w:rsidRPr="005569EE">
        <w:t xml:space="preserve"> cilvēkresursu procesus, un šī projekta ieviešana tiks pabeigta līdz 2029. gadam;</w:t>
      </w:r>
    </w:p>
    <w:p w14:paraId="19630018" w14:textId="77777777" w:rsidR="00DD3EE8" w:rsidRPr="005569EE" w:rsidRDefault="00DD3EE8" w:rsidP="00DD3EE8">
      <w:pPr>
        <w:pStyle w:val="NormalHanging12a"/>
        <w:rPr>
          <w:szCs w:val="24"/>
        </w:rPr>
      </w:pPr>
      <w:r w:rsidRPr="005569EE">
        <w:t>57.</w:t>
      </w:r>
      <w:r w:rsidRPr="005569EE">
        <w:tab/>
        <w:t>norāda, ka EDAU piedalās dažādu iestāžu struktūru sanāksmēs; šajā sakarībā atzinīgi vērtē EDAU dalību administrācijas vadītāju un Iestāžu tiešsaistes komunikācijas komitejas sanāksmēs, ko vada Parlamenta Komunikācijas ģenerāldirektorāts; atzīst, ka iestāžu sadarbība ar EDAU, tam pildot savus uzraudzības pienākumus, ir ļoti svarīga, lai citas Savienības iestādes uzlabotu savu atbilstību datu aizsardzības tiesiskajam regulējumam;</w:t>
      </w:r>
    </w:p>
    <w:p w14:paraId="0607691F" w14:textId="77777777" w:rsidR="00DD3EE8" w:rsidRPr="005569EE" w:rsidRDefault="00DD3EE8" w:rsidP="00DD3EE8">
      <w:pPr>
        <w:pStyle w:val="NormalHanging12a"/>
        <w:rPr>
          <w:szCs w:val="24"/>
        </w:rPr>
      </w:pPr>
      <w:r w:rsidRPr="005569EE">
        <w:t>58.</w:t>
      </w:r>
      <w:r w:rsidRPr="005569EE">
        <w:tab/>
        <w:t xml:space="preserve">norāda, ka saskaņā ar gada pārskatu EDAK 2024. gadā sāka koordinētu izpildes pasākumu par personu tiesībām piekļūt saviem personas datiem, kurā piedalījās 30 datu aizsardzības iestādes Savienības un EEZ valstīs; norāda, ka saskaņā ar anketā sniegto informāciju EDAU piedalījās šajā koordinētajā izpildes pasākumā, kā arī turpināja darbu saistībā ar EDAK 2023. gadā sākto koordinēto izpildes pasākumu par datu aizsardzības speciālista lomu; atzīmē, ka EDAU turpināja aktīvi iesaistīties Koordinētās uzraudzības komitejas darbībās 2024. gadā un cita starpā uz diviem gadiem uzņēmās komitejas koordinatora lomu, izstrādāja norādījumus par sadarbību Eiropola sūdzību izskatīšanā un uzraudzīja </w:t>
      </w:r>
      <w:r w:rsidRPr="005569EE">
        <w:rPr>
          <w:i/>
          <w:iCs/>
        </w:rPr>
        <w:t>ETIAS</w:t>
      </w:r>
      <w:r w:rsidRPr="005569EE">
        <w:t xml:space="preserve"> izstrādi; norāda, ka EDAU kā EDAK loceklis koordinēja arī darba grupu sadarbībai ar konkurences un patērētāju tiesību aizsardzības iestādēm attiecībā uz Digitālā tirgus akta</w:t>
      </w:r>
      <w:r w:rsidRPr="005569EE">
        <w:rPr>
          <w:rStyle w:val="FootnoteReference"/>
          <w:szCs w:val="24"/>
        </w:rPr>
        <w:footnoteReference w:id="11"/>
      </w:r>
      <w:r w:rsidRPr="005569EE">
        <w:t xml:space="preserve"> un Vispārīgās datu aizsardzības regulas</w:t>
      </w:r>
      <w:r w:rsidRPr="005569EE">
        <w:rPr>
          <w:rStyle w:val="FootnoteReference"/>
          <w:szCs w:val="24"/>
        </w:rPr>
        <w:footnoteReference w:id="12"/>
      </w:r>
      <w:r w:rsidRPr="005569EE">
        <w:t xml:space="preserve"> mijiedarbību;</w:t>
      </w:r>
    </w:p>
    <w:p w14:paraId="655879EA" w14:textId="77777777" w:rsidR="00DD3EE8" w:rsidRPr="005569EE" w:rsidRDefault="00DD3EE8" w:rsidP="00DD3EE8">
      <w:pPr>
        <w:pStyle w:val="NormalHanging12a"/>
        <w:rPr>
          <w:szCs w:val="24"/>
        </w:rPr>
      </w:pPr>
      <w:r w:rsidRPr="005569EE">
        <w:t>59.</w:t>
      </w:r>
      <w:r w:rsidRPr="005569EE">
        <w:tab/>
        <w:t xml:space="preserve">norāda, ka saskaņā ar anketu un turpmāko ziņojumu kopīgas darbības ar </w:t>
      </w:r>
      <w:r w:rsidRPr="005569EE">
        <w:rPr>
          <w:i/>
          <w:iCs/>
        </w:rPr>
        <w:t>OLAF</w:t>
      </w:r>
      <w:r w:rsidRPr="005569EE">
        <w:t>, Eiropas Prokuratūru (</w:t>
      </w:r>
      <w:r w:rsidRPr="005569EE">
        <w:rPr>
          <w:i/>
          <w:iCs/>
        </w:rPr>
        <w:t>EPPO</w:t>
      </w:r>
      <w:r w:rsidRPr="005569EE">
        <w:t>) un Tiesu, kā arī iniciatīvas uzņemšanās krāpšanas atklāšanas jomā neietilpst EDAU pilnvarās;</w:t>
      </w:r>
    </w:p>
    <w:p w14:paraId="0E49F3EE" w14:textId="77777777" w:rsidR="00DD3EE8" w:rsidRPr="005569EE" w:rsidRDefault="00DD3EE8" w:rsidP="00DD3EE8">
      <w:pPr>
        <w:pStyle w:val="NormalHanging12a"/>
        <w:rPr>
          <w:b/>
          <w:i/>
          <w:szCs w:val="24"/>
        </w:rPr>
      </w:pPr>
      <w:r w:rsidRPr="005569EE">
        <w:rPr>
          <w:b/>
          <w:i/>
        </w:rPr>
        <w:t>Komunikācija</w:t>
      </w:r>
    </w:p>
    <w:p w14:paraId="461FB6D8" w14:textId="77777777" w:rsidR="00DD3EE8" w:rsidRPr="005569EE" w:rsidRDefault="00DD3EE8" w:rsidP="00DD3EE8">
      <w:pPr>
        <w:pStyle w:val="NormalHanging12a"/>
        <w:rPr>
          <w:szCs w:val="24"/>
        </w:rPr>
      </w:pPr>
      <w:r w:rsidRPr="005569EE">
        <w:lastRenderedPageBreak/>
        <w:t>60.</w:t>
      </w:r>
      <w:r w:rsidRPr="005569EE">
        <w:tab/>
        <w:t>norāda, ka publiskās komunikācijas un reklāmas pasākumu budžets 2024. gadā bija 425 000 EUR, kas ir aptuveni par 9,20 % vairāk nekā 2023. gadā;</w:t>
      </w:r>
    </w:p>
    <w:p w14:paraId="49B65DF3" w14:textId="77777777" w:rsidR="00DD3EE8" w:rsidRPr="005569EE" w:rsidRDefault="00DD3EE8" w:rsidP="00DD3EE8">
      <w:pPr>
        <w:pStyle w:val="NormalHanging12a"/>
        <w:rPr>
          <w:szCs w:val="24"/>
        </w:rPr>
      </w:pPr>
      <w:r w:rsidRPr="005569EE">
        <w:t>61.</w:t>
      </w:r>
      <w:r w:rsidRPr="005569EE">
        <w:tab/>
        <w:t>ar gandarījumu norāda — lai palielinātu plašākas sabiedrības informētību par EDAU lomu un uzdevumiem un to, cik svarīgi ir ievērot Savienības datu aizsardzības noteikumus, EDAU 2024. gadā organizēja un piedalījās vairākos komunikācijas pasākumos gan tiešsaistē, gan klātienē, tādos kā Datu aizsardzības diena, EDAU praktikantu konference (divreiz gadā), EDAU pilsoniskās sabiedrības augstākā līmeņa sanāksme un Globālā privātuma asambleja;</w:t>
      </w:r>
    </w:p>
    <w:p w14:paraId="743F192D" w14:textId="77777777" w:rsidR="00DD3EE8" w:rsidRPr="005569EE" w:rsidRDefault="00DD3EE8" w:rsidP="00DD3EE8">
      <w:pPr>
        <w:pStyle w:val="NormalHanging12a"/>
        <w:rPr>
          <w:szCs w:val="24"/>
        </w:rPr>
      </w:pPr>
      <w:r w:rsidRPr="005569EE">
        <w:t>62.</w:t>
      </w:r>
      <w:r w:rsidRPr="005569EE">
        <w:tab/>
        <w:t xml:space="preserve">norāda, ka EDAU sazinās tiešsaistē, izmantojot savu tīmekļa vietni un sociālo mediju kontus platformās </w:t>
      </w:r>
      <w:r w:rsidRPr="005569EE">
        <w:rPr>
          <w:i/>
          <w:iCs/>
        </w:rPr>
        <w:t>X</w:t>
      </w:r>
      <w:r w:rsidRPr="005569EE">
        <w:t xml:space="preserve"> (bijušais </w:t>
      </w:r>
      <w:proofErr w:type="spellStart"/>
      <w:r w:rsidRPr="005569EE">
        <w:rPr>
          <w:i/>
          <w:iCs/>
        </w:rPr>
        <w:t>Twitter</w:t>
      </w:r>
      <w:proofErr w:type="spellEnd"/>
      <w:r w:rsidRPr="005569EE">
        <w:t xml:space="preserve">) (28 800 sekotāju), </w:t>
      </w:r>
      <w:proofErr w:type="spellStart"/>
      <w:r w:rsidRPr="005569EE">
        <w:rPr>
          <w:i/>
          <w:iCs/>
        </w:rPr>
        <w:t>LinkedIn</w:t>
      </w:r>
      <w:proofErr w:type="spellEnd"/>
      <w:r w:rsidRPr="005569EE">
        <w:t xml:space="preserve"> (82 800 sekotāju), </w:t>
      </w:r>
      <w:proofErr w:type="spellStart"/>
      <w:r w:rsidRPr="005569EE">
        <w:rPr>
          <w:i/>
          <w:iCs/>
        </w:rPr>
        <w:t>YouTube</w:t>
      </w:r>
      <w:proofErr w:type="spellEnd"/>
      <w:r w:rsidRPr="005569EE">
        <w:t xml:space="preserve"> (3400 sekotāju) un </w:t>
      </w:r>
      <w:proofErr w:type="spellStart"/>
      <w:r w:rsidRPr="005569EE">
        <w:rPr>
          <w:i/>
          <w:iCs/>
        </w:rPr>
        <w:t>Instagram</w:t>
      </w:r>
      <w:proofErr w:type="spellEnd"/>
      <w:r w:rsidRPr="005569EE">
        <w:t xml:space="preserve"> (300 sekotāju);</w:t>
      </w:r>
    </w:p>
    <w:p w14:paraId="33B5D4C0" w14:textId="03ABC8A1" w:rsidR="000B6726" w:rsidRPr="005569EE" w:rsidRDefault="00DD3EE8" w:rsidP="000B6726">
      <w:pPr>
        <w:pStyle w:val="NormalHanging12a"/>
      </w:pPr>
      <w:r w:rsidRPr="005569EE">
        <w:t>63.</w:t>
      </w:r>
      <w:r w:rsidRPr="005569EE">
        <w:tab/>
        <w:t xml:space="preserve">norāda, ka 2024. gadā tika pabeigts platformu </w:t>
      </w:r>
      <w:r w:rsidRPr="005569EE">
        <w:rPr>
          <w:i/>
          <w:iCs/>
        </w:rPr>
        <w:t xml:space="preserve">EU </w:t>
      </w:r>
      <w:proofErr w:type="spellStart"/>
      <w:r w:rsidRPr="005569EE">
        <w:rPr>
          <w:i/>
          <w:iCs/>
        </w:rPr>
        <w:t>Voice</w:t>
      </w:r>
      <w:proofErr w:type="spellEnd"/>
      <w:r w:rsidRPr="005569EE">
        <w:t xml:space="preserve"> un </w:t>
      </w:r>
      <w:r w:rsidRPr="005569EE">
        <w:rPr>
          <w:i/>
          <w:iCs/>
        </w:rPr>
        <w:t>EU Video</w:t>
      </w:r>
      <w:r w:rsidRPr="005569EE">
        <w:t xml:space="preserve"> izmēģinājuma projekts (bezmaksas atvērtā koda sociālo mediju tīkli, kas orientēti uz privātumu un balstās uz programmatūru </w:t>
      </w:r>
      <w:proofErr w:type="spellStart"/>
      <w:r w:rsidRPr="005569EE">
        <w:rPr>
          <w:i/>
          <w:iCs/>
        </w:rPr>
        <w:t>Mastodon</w:t>
      </w:r>
      <w:proofErr w:type="spellEnd"/>
      <w:r w:rsidRPr="005569EE">
        <w:t xml:space="preserve"> un </w:t>
      </w:r>
      <w:proofErr w:type="spellStart"/>
      <w:r w:rsidRPr="005569EE">
        <w:rPr>
          <w:i/>
          <w:iCs/>
        </w:rPr>
        <w:t>PeerTube</w:t>
      </w:r>
      <w:proofErr w:type="spellEnd"/>
      <w:r w:rsidRPr="005569EE">
        <w:t xml:space="preserve">); norāda, ka EDAU veicināja to Savienības iestāžu, struktūru, biroju un aģentūru raitu migrāciju, kuri vēlējās saglabāt savus kontus, lai nodrošinātu nepārtrauktību lietotājiem; norāda, ka, balstoties uz izmēģinājuma projekta panākumiem, tika veikti sagatavošanās darbi </w:t>
      </w:r>
      <w:proofErr w:type="spellStart"/>
      <w:r w:rsidRPr="005569EE">
        <w:rPr>
          <w:i/>
          <w:iCs/>
        </w:rPr>
        <w:t>Mastodon</w:t>
      </w:r>
      <w:proofErr w:type="spellEnd"/>
      <w:r w:rsidRPr="005569EE">
        <w:t xml:space="preserve"> lietošanas atsākšanai 2025. gadā; šajā sakarībā atzinīgi vērtē EDAU ieguldījumu Savienības datu un digitālās suverenitātes stratēģijā, lai veicinātu Savienības neatkarību digitālajā pasaulē un atbilstību datu aizsardzības tiesiskajam regulējumam.</w:t>
      </w:r>
    </w:p>
    <w:p w14:paraId="539FBC32" w14:textId="7A7BD454" w:rsidR="00E365E1" w:rsidRPr="005569EE" w:rsidRDefault="00E365E1" w:rsidP="00DB2BA4"/>
    <w:sectPr w:rsidR="00E365E1" w:rsidRPr="005569EE" w:rsidSect="000B672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84BE3" w14:textId="77777777" w:rsidR="00DB2BA4" w:rsidRPr="000B6726" w:rsidRDefault="00DB2BA4">
      <w:r w:rsidRPr="000B6726">
        <w:separator/>
      </w:r>
    </w:p>
  </w:endnote>
  <w:endnote w:type="continuationSeparator" w:id="0">
    <w:p w14:paraId="7242FE89" w14:textId="77777777" w:rsidR="00DB2BA4" w:rsidRPr="000B6726" w:rsidRDefault="00DB2BA4">
      <w:r w:rsidRPr="000B67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76D3" w14:textId="77777777" w:rsidR="00DD3EE8" w:rsidRPr="000B6726" w:rsidRDefault="00DD3EE8" w:rsidP="000E357A">
    <w:pPr>
      <w:pStyle w:val="EPFooter"/>
    </w:pPr>
    <w:r w:rsidRPr="000B6726">
      <w:t>PE</w:t>
    </w:r>
    <w:r w:rsidRPr="000B6726">
      <w:rPr>
        <w:rStyle w:val="HideTWBExt"/>
      </w:rPr>
      <w:t>&lt;</w:t>
    </w:r>
    <w:proofErr w:type="spellStart"/>
    <w:r w:rsidRPr="000B6726">
      <w:rPr>
        <w:rStyle w:val="HideTWBExt"/>
      </w:rPr>
      <w:t>NoPE</w:t>
    </w:r>
    <w:proofErr w:type="spellEnd"/>
    <w:r w:rsidRPr="000B6726">
      <w:rPr>
        <w:rStyle w:val="HideTWBExt"/>
      </w:rPr>
      <w:t>&gt;</w:t>
    </w:r>
    <w:r w:rsidRPr="000B6726">
      <w:t>778.066</w:t>
    </w:r>
    <w:r w:rsidRPr="000B6726">
      <w:rPr>
        <w:rStyle w:val="HideTWBExt"/>
      </w:rPr>
      <w:t>&lt;/</w:t>
    </w:r>
    <w:proofErr w:type="spellStart"/>
    <w:r w:rsidRPr="000B6726">
      <w:rPr>
        <w:rStyle w:val="HideTWBExt"/>
      </w:rPr>
      <w:t>NoPE</w:t>
    </w:r>
    <w:proofErr w:type="spellEnd"/>
    <w:r w:rsidRPr="000B6726">
      <w:rPr>
        <w:rStyle w:val="HideTWBExt"/>
      </w:rPr>
      <w:t>&gt;&lt;Version&gt;</w:t>
    </w:r>
    <w:r w:rsidRPr="000B6726">
      <w:t>v02-00</w:t>
    </w:r>
    <w:r w:rsidRPr="000B6726">
      <w:rPr>
        <w:rStyle w:val="HideTWBExt"/>
      </w:rPr>
      <w:t>&lt;/</w:t>
    </w:r>
    <w:proofErr w:type="spellStart"/>
    <w:r w:rsidRPr="000B6726">
      <w:rPr>
        <w:rStyle w:val="HideTWBExt"/>
      </w:rPr>
      <w:t>Version</w:t>
    </w:r>
    <w:proofErr w:type="spellEnd"/>
    <w:r w:rsidRPr="000B6726">
      <w:rPr>
        <w:rStyle w:val="HideTWBExt"/>
      </w:rPr>
      <w:t>&gt;</w:t>
    </w:r>
    <w:r w:rsidRPr="000B6726">
      <w:tab/>
    </w:r>
    <w:r w:rsidRPr="000B6726">
      <w:fldChar w:fldCharType="begin"/>
    </w:r>
    <w:r w:rsidRPr="000B6726">
      <w:instrText xml:space="preserve"> PAGE  \* MERGEFORMAT </w:instrText>
    </w:r>
    <w:r w:rsidRPr="000B6726">
      <w:fldChar w:fldCharType="separate"/>
    </w:r>
    <w:r w:rsidRPr="000B6726">
      <w:rPr>
        <w:noProof/>
      </w:rPr>
      <w:t>18</w:t>
    </w:r>
    <w:r w:rsidRPr="000B6726">
      <w:fldChar w:fldCharType="end"/>
    </w:r>
    <w:r w:rsidRPr="000B6726">
      <w:t>/</w:t>
    </w:r>
    <w:fldSimple w:instr=" NUMPAGES  \* MERGEFORMAT ">
      <w:r w:rsidRPr="000B6726">
        <w:rPr>
          <w:noProof/>
        </w:rPr>
        <w:t>19</w:t>
      </w:r>
    </w:fldSimple>
    <w:r w:rsidRPr="000B6726">
      <w:tab/>
    </w:r>
    <w:r w:rsidRPr="000B6726">
      <w:rPr>
        <w:rStyle w:val="HideTWBExt"/>
      </w:rPr>
      <w:t>&lt;PathFdR&gt;</w:t>
    </w:r>
    <w:r w:rsidRPr="000B6726">
      <w:t>RR\1339480LV.docx</w:t>
    </w:r>
    <w:r w:rsidRPr="000B6726">
      <w:rPr>
        <w:rStyle w:val="HideTWBExt"/>
      </w:rPr>
      <w:t>&lt;/</w:t>
    </w:r>
    <w:proofErr w:type="spellStart"/>
    <w:r w:rsidRPr="000B6726">
      <w:rPr>
        <w:rStyle w:val="HideTWBExt"/>
      </w:rPr>
      <w:t>PathFdR</w:t>
    </w:r>
    <w:proofErr w:type="spellEnd"/>
    <w:r w:rsidRPr="000B6726">
      <w:rPr>
        <w:rStyle w:val="HideTWBExt"/>
      </w:rPr>
      <w:t>&gt;</w:t>
    </w:r>
  </w:p>
  <w:p w14:paraId="38097C1B" w14:textId="77777777" w:rsidR="00DD3EE8" w:rsidRPr="000B6726" w:rsidRDefault="00DD3EE8" w:rsidP="000E357A">
    <w:pPr>
      <w:pStyle w:val="EPFooter2"/>
    </w:pPr>
    <w:r w:rsidRPr="000B6726">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A1D9" w14:textId="5F776AC9" w:rsidR="00DD3EE8" w:rsidRPr="000B6726" w:rsidRDefault="00DD3EE8" w:rsidP="000E35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9F49" w14:textId="77777777" w:rsidR="00DD3EE8" w:rsidRPr="000B6726" w:rsidRDefault="00DD3EE8" w:rsidP="000E357A">
    <w:pPr>
      <w:pStyle w:val="EPFooter"/>
    </w:pPr>
    <w:r w:rsidRPr="000B6726">
      <w:rPr>
        <w:rStyle w:val="HideTWBExt"/>
      </w:rPr>
      <w:t>&lt;PathFdR&gt;</w:t>
    </w:r>
    <w:r w:rsidRPr="000B6726">
      <w:t>RR\1339480LV.docx</w:t>
    </w:r>
    <w:r w:rsidRPr="000B6726">
      <w:rPr>
        <w:rStyle w:val="HideTWBExt"/>
      </w:rPr>
      <w:t>&lt;/</w:t>
    </w:r>
    <w:proofErr w:type="spellStart"/>
    <w:r w:rsidRPr="000B6726">
      <w:rPr>
        <w:rStyle w:val="HideTWBExt"/>
      </w:rPr>
      <w:t>PathFdR</w:t>
    </w:r>
    <w:proofErr w:type="spellEnd"/>
    <w:r w:rsidRPr="000B6726">
      <w:rPr>
        <w:rStyle w:val="HideTWBExt"/>
      </w:rPr>
      <w:t>&gt;</w:t>
    </w:r>
    <w:r w:rsidRPr="000B6726">
      <w:tab/>
    </w:r>
    <w:r w:rsidRPr="000B6726">
      <w:tab/>
      <w:t>PE</w:t>
    </w:r>
    <w:r w:rsidRPr="000B6726">
      <w:rPr>
        <w:rStyle w:val="HideTWBExt"/>
      </w:rPr>
      <w:t>&lt;</w:t>
    </w:r>
    <w:proofErr w:type="spellStart"/>
    <w:r w:rsidRPr="000B6726">
      <w:rPr>
        <w:rStyle w:val="HideTWBExt"/>
      </w:rPr>
      <w:t>NoPE</w:t>
    </w:r>
    <w:proofErr w:type="spellEnd"/>
    <w:r w:rsidRPr="000B6726">
      <w:rPr>
        <w:rStyle w:val="HideTWBExt"/>
      </w:rPr>
      <w:t>&gt;</w:t>
    </w:r>
    <w:r w:rsidRPr="000B6726">
      <w:t>778.066</w:t>
    </w:r>
    <w:r w:rsidRPr="000B6726">
      <w:rPr>
        <w:rStyle w:val="HideTWBExt"/>
      </w:rPr>
      <w:t>&lt;/</w:t>
    </w:r>
    <w:proofErr w:type="spellStart"/>
    <w:r w:rsidRPr="000B6726">
      <w:rPr>
        <w:rStyle w:val="HideTWBExt"/>
      </w:rPr>
      <w:t>NoPE</w:t>
    </w:r>
    <w:proofErr w:type="spellEnd"/>
    <w:r w:rsidRPr="000B6726">
      <w:rPr>
        <w:rStyle w:val="HideTWBExt"/>
      </w:rPr>
      <w:t>&gt;&lt;Version&gt;</w:t>
    </w:r>
    <w:r w:rsidRPr="000B6726">
      <w:t>v02-00</w:t>
    </w:r>
    <w:r w:rsidRPr="000B6726">
      <w:rPr>
        <w:rStyle w:val="HideTWBExt"/>
      </w:rPr>
      <w:t>&lt;/</w:t>
    </w:r>
    <w:proofErr w:type="spellStart"/>
    <w:r w:rsidRPr="000B6726">
      <w:rPr>
        <w:rStyle w:val="HideTWBExt"/>
      </w:rPr>
      <w:t>Version</w:t>
    </w:r>
    <w:proofErr w:type="spellEnd"/>
    <w:r w:rsidRPr="000B6726">
      <w:rPr>
        <w:rStyle w:val="HideTWBExt"/>
      </w:rPr>
      <w:t>&gt;</w:t>
    </w:r>
  </w:p>
  <w:p w14:paraId="10AB9AB3" w14:textId="77777777" w:rsidR="00DD3EE8" w:rsidRPr="000B6726" w:rsidRDefault="00DD3EE8" w:rsidP="000E357A">
    <w:pPr>
      <w:pStyle w:val="EPFooter2"/>
    </w:pPr>
    <w:r w:rsidRPr="000B6726">
      <w:t>LV</w:t>
    </w:r>
    <w:r w:rsidRPr="000B6726">
      <w:tab/>
    </w:r>
    <w:r w:rsidRPr="000B6726">
      <w:rPr>
        <w:b w:val="0"/>
        <w:i/>
        <w:color w:val="C0C0C0"/>
        <w:sz w:val="22"/>
      </w:rPr>
      <w:t>Vienoti daudzveidībā</w:t>
    </w:r>
    <w:r w:rsidRPr="000B6726">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45627" w14:textId="77777777" w:rsidR="00064002" w:rsidRPr="000B672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D849" w14:textId="77777777" w:rsidR="00064002" w:rsidRPr="000B672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4FDD" w14:textId="77777777" w:rsidR="00064002" w:rsidRPr="000B67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0DE95" w14:textId="77777777" w:rsidR="00DB2BA4" w:rsidRPr="000B6726" w:rsidRDefault="00DB2BA4">
      <w:r w:rsidRPr="000B6726">
        <w:separator/>
      </w:r>
    </w:p>
  </w:footnote>
  <w:footnote w:type="continuationSeparator" w:id="0">
    <w:p w14:paraId="5C684243" w14:textId="77777777" w:rsidR="00DB2BA4" w:rsidRPr="000B6726" w:rsidRDefault="00DB2BA4">
      <w:r w:rsidRPr="000B6726">
        <w:continuationSeparator/>
      </w:r>
    </w:p>
  </w:footnote>
  <w:footnote w:id="1">
    <w:p w14:paraId="28633DB4" w14:textId="16014F5D"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OV L</w:t>
      </w:r>
      <w:r w:rsidR="00637CAD">
        <w:rPr>
          <w:sz w:val="24"/>
          <w:lang w:val="lv-LV"/>
        </w:rPr>
        <w:t>, 2024/</w:t>
      </w:r>
      <w:r w:rsidRPr="000B6726">
        <w:rPr>
          <w:sz w:val="24"/>
          <w:lang w:val="lv-LV"/>
        </w:rPr>
        <w:t xml:space="preserve">207, 22.2.2024., 1. lpp., ELI: </w:t>
      </w:r>
      <w:r>
        <w:fldChar w:fldCharType="begin"/>
      </w:r>
      <w:r w:rsidRPr="008B11BB">
        <w:rPr>
          <w:lang w:val="fi-FI"/>
        </w:rPr>
        <w:instrText>HYPERLINK "http://data.europa.eu/eli/budget/2024/207/oj"</w:instrText>
      </w:r>
      <w:r>
        <w:fldChar w:fldCharType="separate"/>
      </w:r>
      <w:r w:rsidRPr="000B6726">
        <w:rPr>
          <w:rStyle w:val="Hyperlink"/>
          <w:sz w:val="24"/>
          <w:lang w:val="lv-LV"/>
        </w:rPr>
        <w:t>http://data.europa.eu/eli/budget/2024/207/oj</w:t>
      </w:r>
      <w:r>
        <w:fldChar w:fldCharType="end"/>
      </w:r>
      <w:r w:rsidRPr="000B6726">
        <w:rPr>
          <w:sz w:val="24"/>
          <w:lang w:val="lv-LV"/>
        </w:rPr>
        <w:t>.</w:t>
      </w:r>
    </w:p>
  </w:footnote>
  <w:footnote w:id="2">
    <w:p w14:paraId="0242F27E" w14:textId="34BF19C5"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OV C, C/2025/4944, 13.10.2025., ELI: </w:t>
      </w:r>
      <w:r>
        <w:fldChar w:fldCharType="begin"/>
      </w:r>
      <w:r w:rsidRPr="008B11BB">
        <w:rPr>
          <w:lang w:val="da-DK"/>
        </w:rPr>
        <w:instrText>HYPERLINK "http://data.europa.eu/eli/C/2025/4944/oj" \t "_blank" \o "Nodrošina piekļuvi šim dokumentam, izmantojot tā ELI URI."</w:instrText>
      </w:r>
      <w:r>
        <w:fldChar w:fldCharType="separate"/>
      </w:r>
      <w:r w:rsidRPr="000B6726">
        <w:rPr>
          <w:rStyle w:val="Hyperlink"/>
          <w:sz w:val="24"/>
          <w:lang w:val="lv-LV"/>
        </w:rPr>
        <w:t>http://data.europa.eu/eli/C/2025/4944/oj</w:t>
      </w:r>
      <w:r>
        <w:fldChar w:fldCharType="end"/>
      </w:r>
      <w:r w:rsidRPr="000B6726">
        <w:rPr>
          <w:sz w:val="24"/>
          <w:lang w:val="lv-LV"/>
        </w:rPr>
        <w:t>.</w:t>
      </w:r>
    </w:p>
  </w:footnote>
  <w:footnote w:id="3">
    <w:p w14:paraId="5D5D85EB" w14:textId="65ED3B8F"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OV C, C/2025/5409, 8.10.2025., ELI: </w:t>
      </w:r>
      <w:r>
        <w:fldChar w:fldCharType="begin"/>
      </w:r>
      <w:r w:rsidRPr="008B11BB">
        <w:rPr>
          <w:lang w:val="fi-FI"/>
        </w:rPr>
        <w:instrText>HYPERLINK "http://data.europa.eu/eli/C/2025/5409/oj"</w:instrText>
      </w:r>
      <w:r>
        <w:fldChar w:fldCharType="separate"/>
      </w:r>
      <w:r w:rsidRPr="000B6726">
        <w:rPr>
          <w:rStyle w:val="Hyperlink"/>
          <w:sz w:val="24"/>
          <w:lang w:val="lv-LV"/>
        </w:rPr>
        <w:t>http://data.europa.eu/eli/C/2025/5409/oj</w:t>
      </w:r>
      <w:r>
        <w:fldChar w:fldCharType="end"/>
      </w:r>
      <w:r w:rsidRPr="000B6726">
        <w:rPr>
          <w:sz w:val="24"/>
          <w:lang w:val="lv-LV"/>
        </w:rPr>
        <w:t>.</w:t>
      </w:r>
    </w:p>
  </w:footnote>
  <w:footnote w:id="4">
    <w:p w14:paraId="67E76069" w14:textId="43703634"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OV C, C/2025/5407, 13.10.2025., ELI: </w:t>
      </w:r>
      <w:r>
        <w:fldChar w:fldCharType="begin"/>
      </w:r>
      <w:r w:rsidRPr="008B11BB">
        <w:rPr>
          <w:lang w:val="fi-FI"/>
        </w:rPr>
        <w:instrText>HYPERLINK "http://data.europa.eu/eli/C/2025/5407/oj"</w:instrText>
      </w:r>
      <w:r>
        <w:fldChar w:fldCharType="separate"/>
      </w:r>
      <w:r w:rsidRPr="000B6726">
        <w:rPr>
          <w:rStyle w:val="Hyperlink"/>
          <w:sz w:val="24"/>
          <w:lang w:val="lv-LV"/>
        </w:rPr>
        <w:t>http://data.europa.eu/eli/C/2025/5407/oj</w:t>
      </w:r>
      <w:r>
        <w:fldChar w:fldCharType="end"/>
      </w:r>
      <w:r w:rsidRPr="000B6726">
        <w:rPr>
          <w:sz w:val="24"/>
          <w:lang w:val="lv-LV"/>
        </w:rPr>
        <w:t>.</w:t>
      </w:r>
    </w:p>
  </w:footnote>
  <w:footnote w:id="5">
    <w:p w14:paraId="326A9D66" w14:textId="15B6E018"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OV L 193, 30.7.2018., 1. lpp., ELI: </w:t>
      </w:r>
      <w:r>
        <w:fldChar w:fldCharType="begin"/>
      </w:r>
      <w:r w:rsidRPr="008B11BB">
        <w:rPr>
          <w:lang w:val="fi-FI"/>
        </w:rPr>
        <w:instrText>HYPERLINK "http://data.europa.eu/eli/reg/2018/1046/oj"</w:instrText>
      </w:r>
      <w:r>
        <w:fldChar w:fldCharType="separate"/>
      </w:r>
      <w:r w:rsidRPr="000B6726">
        <w:rPr>
          <w:rStyle w:val="Hyperlink"/>
          <w:sz w:val="24"/>
          <w:lang w:val="lv-LV"/>
        </w:rPr>
        <w:t>http://data.europa.eu/eli/reg/2018/1046/oj</w:t>
      </w:r>
      <w:r>
        <w:fldChar w:fldCharType="end"/>
      </w:r>
      <w:r w:rsidRPr="000B6726">
        <w:rPr>
          <w:sz w:val="24"/>
          <w:lang w:val="lv-LV"/>
        </w:rPr>
        <w:t>.</w:t>
      </w:r>
    </w:p>
  </w:footnote>
  <w:footnote w:id="6">
    <w:p w14:paraId="3F251232" w14:textId="0B5A8A8C"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OV L, 2024/2509, 26.9.2024. ELI: </w:t>
      </w:r>
      <w:r>
        <w:fldChar w:fldCharType="begin"/>
      </w:r>
      <w:r w:rsidRPr="008B11BB">
        <w:rPr>
          <w:lang w:val="fi-FI"/>
        </w:rPr>
        <w:instrText>HYPERLINK "http://data.europa.eu/eli/reg/2024/2509/oj"</w:instrText>
      </w:r>
      <w:r>
        <w:fldChar w:fldCharType="separate"/>
      </w:r>
      <w:r w:rsidRPr="000B6726">
        <w:rPr>
          <w:rStyle w:val="Hyperlink"/>
          <w:sz w:val="24"/>
          <w:lang w:val="lv-LV"/>
        </w:rPr>
        <w:t>http://data.europa.eu/eli/reg/2024/2509/oj</w:t>
      </w:r>
      <w:r>
        <w:fldChar w:fldCharType="end"/>
      </w:r>
      <w:r w:rsidRPr="000B6726">
        <w:rPr>
          <w:sz w:val="24"/>
          <w:lang w:val="lv-LV"/>
        </w:rPr>
        <w:t>.</w:t>
      </w:r>
    </w:p>
  </w:footnote>
  <w:footnote w:id="7">
    <w:p w14:paraId="0C37CE3A" w14:textId="2DA3CA9B"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OV L 295, 21.11.2018., 39. lpp., ELI: </w:t>
      </w:r>
      <w:r>
        <w:fldChar w:fldCharType="begin"/>
      </w:r>
      <w:r w:rsidRPr="008B11BB">
        <w:rPr>
          <w:lang w:val="fi-FI"/>
        </w:rPr>
        <w:instrText>HYPERLINK "http://data.europa.eu/eli/reg/2018/1725/oj"</w:instrText>
      </w:r>
      <w:r>
        <w:fldChar w:fldCharType="separate"/>
      </w:r>
      <w:r w:rsidRPr="000B6726">
        <w:rPr>
          <w:rStyle w:val="Hyperlink"/>
          <w:sz w:val="24"/>
          <w:lang w:val="lv-LV"/>
        </w:rPr>
        <w:t>http://data.europa.eu/eli/reg/2018/1725/oj</w:t>
      </w:r>
      <w:r>
        <w:fldChar w:fldCharType="end"/>
      </w:r>
      <w:r w:rsidRPr="000B6726">
        <w:rPr>
          <w:sz w:val="24"/>
          <w:lang w:val="lv-LV"/>
        </w:rPr>
        <w:t>.</w:t>
      </w:r>
    </w:p>
  </w:footnote>
  <w:footnote w:id="8">
    <w:p w14:paraId="53EF342D" w14:textId="483DB45C"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 (Mākslīgā intelekta akts) (OV L, 2024/1689, 12.7.2024., ELI: </w:t>
      </w:r>
      <w:r>
        <w:fldChar w:fldCharType="begin"/>
      </w:r>
      <w:r w:rsidRPr="008B11BB">
        <w:rPr>
          <w:lang w:val="lv-LV"/>
        </w:rPr>
        <w:instrText>HYPERLINK "http://data.europa.eu/eli/reg/2024/1689/oj"</w:instrText>
      </w:r>
      <w:r>
        <w:fldChar w:fldCharType="separate"/>
      </w:r>
      <w:r w:rsidRPr="000B6726">
        <w:rPr>
          <w:rStyle w:val="Hyperlink"/>
          <w:sz w:val="24"/>
          <w:lang w:val="lv-LV"/>
        </w:rPr>
        <w:t>http://data.europa.eu/eli/reg/2024/1689/oj</w:t>
      </w:r>
      <w:r>
        <w:fldChar w:fldCharType="end"/>
      </w:r>
      <w:r w:rsidRPr="000B6726">
        <w:rPr>
          <w:sz w:val="24"/>
          <w:lang w:val="lv-LV"/>
        </w:rPr>
        <w:t>).</w:t>
      </w:r>
    </w:p>
  </w:footnote>
  <w:footnote w:id="9">
    <w:p w14:paraId="1AB18987" w14:textId="78697CBC"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Eiropas Parlamenta un Padomes Regula (ES) 2016/794 (2016. gada 11. maijs) par Eiropas Savienības Aģentūru tiesībaizsardzības sadarbībai (Eiropolu) un ar kuru aizstāj un atceļ Padomes Lēmumus 2009/371/TI, 2009/934/TI, 2009/935/TI, 2009/936/TI un 2009/968/TI (OV L 135, 24.5.2016., 53. lpp., ELI: </w:t>
      </w:r>
      <w:r>
        <w:fldChar w:fldCharType="begin"/>
      </w:r>
      <w:r w:rsidRPr="008B11BB">
        <w:rPr>
          <w:lang w:val="lv-LV"/>
        </w:rPr>
        <w:instrText>HYPERLINK "http://data.europa.eu/eli/reg/2016/794/oj"</w:instrText>
      </w:r>
      <w:r>
        <w:fldChar w:fldCharType="separate"/>
      </w:r>
      <w:r w:rsidRPr="000B6726">
        <w:rPr>
          <w:rStyle w:val="Hyperlink"/>
          <w:sz w:val="24"/>
          <w:lang w:val="lv-LV"/>
        </w:rPr>
        <w:t>http://data.europa.eu/eli/reg/2016/794/oj</w:t>
      </w:r>
      <w:r>
        <w:fldChar w:fldCharType="end"/>
      </w:r>
      <w:r w:rsidRPr="000B6726">
        <w:rPr>
          <w:sz w:val="24"/>
          <w:lang w:val="lv-LV"/>
        </w:rPr>
        <w:t>).</w:t>
      </w:r>
    </w:p>
  </w:footnote>
  <w:footnote w:id="10">
    <w:p w14:paraId="27F5B817" w14:textId="052F2CDA"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Vispārējās tiesas 2023. gada 6. septembra rīkojums lietā EDAU/Parlaments un Padome, T-578/22, ECLI:EU:T:2023:522.</w:t>
      </w:r>
    </w:p>
  </w:footnote>
  <w:footnote w:id="11">
    <w:p w14:paraId="18A41F1A" w14:textId="6F100D2D"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Eiropas Parlamenta un Padomes Regula (ES) 2022/1925 (2022. gada 14. septembris) par </w:t>
      </w:r>
      <w:proofErr w:type="spellStart"/>
      <w:r w:rsidRPr="000B6726">
        <w:rPr>
          <w:sz w:val="24"/>
          <w:lang w:val="lv-LV"/>
        </w:rPr>
        <w:t>sāncensīgiem</w:t>
      </w:r>
      <w:proofErr w:type="spellEnd"/>
      <w:r w:rsidRPr="000B6726">
        <w:rPr>
          <w:sz w:val="24"/>
          <w:lang w:val="lv-LV"/>
        </w:rPr>
        <w:t xml:space="preserve"> un godīgiem tirgiem digitālajā nozarē un ar ko groza Direktīvas (ES) 2019/1937 un (ES) 2020/1828 (Digitālo tirgu akts) (OV L 265, 12.10.2022., 1. lpp., ELI: </w:t>
      </w:r>
      <w:r>
        <w:fldChar w:fldCharType="begin"/>
      </w:r>
      <w:r w:rsidRPr="008B11BB">
        <w:rPr>
          <w:lang w:val="lv-LV"/>
        </w:rPr>
        <w:instrText>HYPERLINK "http://data.europa.eu/eli/reg/2022/1925/oj"</w:instrText>
      </w:r>
      <w:r>
        <w:fldChar w:fldCharType="separate"/>
      </w:r>
      <w:r w:rsidRPr="000B6726">
        <w:rPr>
          <w:rStyle w:val="Hyperlink"/>
          <w:sz w:val="24"/>
          <w:lang w:val="lv-LV"/>
        </w:rPr>
        <w:t>http://data.europa.eu/eli/reg/2022/1925/oj</w:t>
      </w:r>
      <w:r>
        <w:fldChar w:fldCharType="end"/>
      </w:r>
      <w:r w:rsidRPr="000B6726">
        <w:rPr>
          <w:sz w:val="24"/>
          <w:lang w:val="lv-LV"/>
        </w:rPr>
        <w:t>).</w:t>
      </w:r>
    </w:p>
  </w:footnote>
  <w:footnote w:id="12">
    <w:p w14:paraId="6B49ECA1" w14:textId="1BF5192B" w:rsidR="00DD3EE8" w:rsidRPr="000B6726" w:rsidRDefault="00DD3EE8" w:rsidP="000B6726">
      <w:pPr>
        <w:pStyle w:val="FootnoteText"/>
        <w:ind w:left="567" w:hanging="567"/>
        <w:rPr>
          <w:sz w:val="24"/>
          <w:lang w:val="lv-LV"/>
        </w:rPr>
      </w:pPr>
      <w:r w:rsidRPr="000B6726">
        <w:rPr>
          <w:rStyle w:val="FootnoteReference"/>
          <w:sz w:val="24"/>
          <w:lang w:val="lv-LV"/>
        </w:rPr>
        <w:footnoteRef/>
      </w:r>
      <w:r w:rsidR="000B6726" w:rsidRPr="000B6726">
        <w:rPr>
          <w:sz w:val="24"/>
          <w:lang w:val="lv-LV"/>
        </w:rPr>
        <w:t xml:space="preserve"> </w:t>
      </w:r>
      <w:r w:rsidR="000B6726" w:rsidRPr="000B6726">
        <w:rPr>
          <w:sz w:val="24"/>
          <w:lang w:val="lv-LV"/>
        </w:rPr>
        <w:tab/>
      </w:r>
      <w:r w:rsidRPr="000B6726">
        <w:rPr>
          <w:sz w:val="24"/>
          <w:lang w:val="lv-LV"/>
        </w:rPr>
        <w:t xml:space="preserve">Eiropas Parlamenta un Padomes Regula (ES) 2016/679 (2016. gada 27. aprīlis) par fizisku personu aizsardzību attiecībā uz personas datu apstrādi un šādu datu brīvu apriti un ar ko atceļ Direktīvu 95/46/EK (Vispārīgā datu aizsardzības regula) (OV L 119, 4.5.2016., 1. lpp., ELI: </w:t>
      </w:r>
      <w:r>
        <w:fldChar w:fldCharType="begin"/>
      </w:r>
      <w:r w:rsidRPr="008B11BB">
        <w:rPr>
          <w:lang w:val="lv-LV"/>
        </w:rPr>
        <w:instrText>HYPERLINK "http://data.europa.eu/eli/reg/2016/679/oj"</w:instrText>
      </w:r>
      <w:r>
        <w:fldChar w:fldCharType="separate"/>
      </w:r>
      <w:r w:rsidRPr="000B6726">
        <w:rPr>
          <w:rStyle w:val="Hyperlink"/>
          <w:sz w:val="24"/>
          <w:lang w:val="lv-LV"/>
        </w:rPr>
        <w:t>http://data.europa.eu/eli/reg/2016/679/oj</w:t>
      </w:r>
      <w:r>
        <w:fldChar w:fldCharType="end"/>
      </w:r>
      <w:r w:rsidRPr="000B672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C192" w14:textId="77777777" w:rsidR="00DD3EE8" w:rsidRPr="000B6726" w:rsidRDefault="00DD3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A44C" w14:textId="77777777" w:rsidR="00DD3EE8" w:rsidRPr="000B6726" w:rsidRDefault="00DD3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6826D" w14:textId="77777777" w:rsidR="00DD3EE8" w:rsidRPr="000B6726" w:rsidRDefault="00DD3E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6FA9" w14:textId="77777777" w:rsidR="00064002" w:rsidRPr="000B672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BB1F" w14:textId="77777777" w:rsidR="00064002" w:rsidRPr="000B672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00E50" w14:textId="77777777" w:rsidR="00064002" w:rsidRPr="000B67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1409728">
    <w:abstractNumId w:val="9"/>
  </w:num>
  <w:num w:numId="2" w16cid:durableId="1327393359">
    <w:abstractNumId w:val="9"/>
  </w:num>
  <w:num w:numId="3" w16cid:durableId="1237319848">
    <w:abstractNumId w:val="7"/>
  </w:num>
  <w:num w:numId="4" w16cid:durableId="2072804295">
    <w:abstractNumId w:val="7"/>
  </w:num>
  <w:num w:numId="5" w16cid:durableId="1068190800">
    <w:abstractNumId w:val="6"/>
  </w:num>
  <w:num w:numId="6" w16cid:durableId="1604342959">
    <w:abstractNumId w:val="6"/>
  </w:num>
  <w:num w:numId="7" w16cid:durableId="1146625889">
    <w:abstractNumId w:val="5"/>
  </w:num>
  <w:num w:numId="8" w16cid:durableId="1108348942">
    <w:abstractNumId w:val="5"/>
  </w:num>
  <w:num w:numId="9" w16cid:durableId="712191449">
    <w:abstractNumId w:val="4"/>
  </w:num>
  <w:num w:numId="10" w16cid:durableId="99882924">
    <w:abstractNumId w:val="4"/>
  </w:num>
  <w:num w:numId="11" w16cid:durableId="1313487870">
    <w:abstractNumId w:val="8"/>
  </w:num>
  <w:num w:numId="12" w16cid:durableId="963003609">
    <w:abstractNumId w:val="8"/>
  </w:num>
  <w:num w:numId="13" w16cid:durableId="2103648149">
    <w:abstractNumId w:val="3"/>
  </w:num>
  <w:num w:numId="14" w16cid:durableId="1182550865">
    <w:abstractNumId w:val="3"/>
  </w:num>
  <w:num w:numId="15" w16cid:durableId="1282419100">
    <w:abstractNumId w:val="2"/>
  </w:num>
  <w:num w:numId="16" w16cid:durableId="376006083">
    <w:abstractNumId w:val="2"/>
  </w:num>
  <w:num w:numId="17" w16cid:durableId="2053964549">
    <w:abstractNumId w:val="1"/>
  </w:num>
  <w:num w:numId="18" w16cid:durableId="976255095">
    <w:abstractNumId w:val="1"/>
  </w:num>
  <w:num w:numId="19" w16cid:durableId="740257465">
    <w:abstractNumId w:val="0"/>
  </w:num>
  <w:num w:numId="20" w16cid:durableId="718821420">
    <w:abstractNumId w:val="0"/>
  </w:num>
  <w:num w:numId="21" w16cid:durableId="3283885">
    <w:abstractNumId w:val="9"/>
  </w:num>
  <w:num w:numId="22" w16cid:durableId="1261572066">
    <w:abstractNumId w:val="7"/>
  </w:num>
  <w:num w:numId="23" w16cid:durableId="1714570890">
    <w:abstractNumId w:val="6"/>
  </w:num>
  <w:num w:numId="24" w16cid:durableId="697007861">
    <w:abstractNumId w:val="5"/>
  </w:num>
  <w:num w:numId="25" w16cid:durableId="175388169">
    <w:abstractNumId w:val="4"/>
  </w:num>
  <w:num w:numId="26" w16cid:durableId="505828123">
    <w:abstractNumId w:val="8"/>
  </w:num>
  <w:num w:numId="27" w16cid:durableId="518079918">
    <w:abstractNumId w:val="3"/>
  </w:num>
  <w:num w:numId="28" w16cid:durableId="1612127148">
    <w:abstractNumId w:val="2"/>
  </w:num>
  <w:num w:numId="29" w16cid:durableId="1254128740">
    <w:abstractNumId w:val="1"/>
  </w:num>
  <w:num w:numId="30" w16cid:durableId="1614822468">
    <w:abstractNumId w:val="0"/>
  </w:num>
  <w:num w:numId="31" w16cid:durableId="638801236">
    <w:abstractNumId w:val="9"/>
  </w:num>
  <w:num w:numId="32" w16cid:durableId="778570364">
    <w:abstractNumId w:val="7"/>
  </w:num>
  <w:num w:numId="33" w16cid:durableId="440339035">
    <w:abstractNumId w:val="6"/>
  </w:num>
  <w:num w:numId="34" w16cid:durableId="482506444">
    <w:abstractNumId w:val="5"/>
  </w:num>
  <w:num w:numId="35" w16cid:durableId="585575558">
    <w:abstractNumId w:val="4"/>
  </w:num>
  <w:num w:numId="36" w16cid:durableId="327749628">
    <w:abstractNumId w:val="8"/>
  </w:num>
  <w:num w:numId="37" w16cid:durableId="737288397">
    <w:abstractNumId w:val="3"/>
  </w:num>
  <w:num w:numId="38" w16cid:durableId="920333846">
    <w:abstractNumId w:val="2"/>
  </w:num>
  <w:num w:numId="39" w16cid:durableId="1419213806">
    <w:abstractNumId w:val="1"/>
  </w:num>
  <w:num w:numId="40" w16cid:durableId="1791195534">
    <w:abstractNumId w:val="0"/>
  </w:num>
  <w:num w:numId="41" w16cid:durableId="1018117877">
    <w:abstractNumId w:val="10"/>
  </w:num>
  <w:num w:numId="42" w16cid:durableId="1411347355">
    <w:abstractNumId w:val="10"/>
  </w:num>
  <w:num w:numId="43" w16cid:durableId="350572644">
    <w:abstractNumId w:val="10"/>
  </w:num>
  <w:num w:numId="44" w16cid:durableId="1997120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LV"/>
    <w:docVar w:name="dvnumam" w:val="0"/>
    <w:docVar w:name="dvpe" w:val="778.066"/>
    <w:docVar w:name="dvrapporteur" w:val="Referents: "/>
    <w:docVar w:name="dvtitre" w:val="Eiropas Parlamenta 2026. gada XX. XXX lēmums par Eiropas Savienības 2024. finanšu gada vispārējā budžeta izpildes apstiprināšanu, IX iedaļa — Eiropas Datu aizsardzības uzraudzītājs(2025/2154(DEC))"/>
  </w:docVars>
  <w:rsids>
    <w:rsidRoot w:val="00DB2BA4"/>
    <w:rsid w:val="00002272"/>
    <w:rsid w:val="00064002"/>
    <w:rsid w:val="000677B9"/>
    <w:rsid w:val="000831BA"/>
    <w:rsid w:val="000A42CC"/>
    <w:rsid w:val="000B6726"/>
    <w:rsid w:val="000D4495"/>
    <w:rsid w:val="000E7DD9"/>
    <w:rsid w:val="0010095E"/>
    <w:rsid w:val="00125B37"/>
    <w:rsid w:val="00187494"/>
    <w:rsid w:val="001C143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9EE"/>
    <w:rsid w:val="00560270"/>
    <w:rsid w:val="005C2568"/>
    <w:rsid w:val="005F1B17"/>
    <w:rsid w:val="006037C0"/>
    <w:rsid w:val="00637CA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1BB"/>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506"/>
    <w:rsid w:val="00D56C11"/>
    <w:rsid w:val="00D834A0"/>
    <w:rsid w:val="00D872DF"/>
    <w:rsid w:val="00D91E21"/>
    <w:rsid w:val="00D943E4"/>
    <w:rsid w:val="00DA7FCD"/>
    <w:rsid w:val="00DB2BA4"/>
    <w:rsid w:val="00DD3EE8"/>
    <w:rsid w:val="00E365E1"/>
    <w:rsid w:val="00E820A4"/>
    <w:rsid w:val="00EB006A"/>
    <w:rsid w:val="00EB4772"/>
    <w:rsid w:val="00ED169E"/>
    <w:rsid w:val="00ED4235"/>
    <w:rsid w:val="00F04346"/>
    <w:rsid w:val="00F075DC"/>
    <w:rsid w:val="00F149E9"/>
    <w:rsid w:val="00F5134D"/>
    <w:rsid w:val="00F519D0"/>
    <w:rsid w:val="00F74202"/>
    <w:rsid w:val="00F87713"/>
    <w:rsid w:val="00FB4360"/>
    <w:rsid w:val="00FC493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515B6"/>
  <w15:chartTrackingRefBased/>
  <w15:docId w15:val="{9E83E8E3-EE1C-4868-9531-A408F063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D3E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3EE8"/>
    <w:pPr>
      <w:spacing w:before="480" w:after="240"/>
    </w:pPr>
  </w:style>
  <w:style w:type="paragraph" w:customStyle="1" w:styleId="PageHeading">
    <w:name w:val="PageHeading"/>
    <w:basedOn w:val="Normal"/>
    <w:rsid w:val="00DD3EE8"/>
    <w:pPr>
      <w:keepNext/>
      <w:spacing w:after="480"/>
      <w:jc w:val="center"/>
    </w:pPr>
    <w:rPr>
      <w:rFonts w:ascii="Arial" w:hAnsi="Arial" w:cs="Arial"/>
      <w:b/>
    </w:rPr>
  </w:style>
  <w:style w:type="paragraph" w:customStyle="1" w:styleId="NormalBold">
    <w:name w:val="NormalBold"/>
    <w:basedOn w:val="Normal"/>
    <w:rsid w:val="00DD3EE8"/>
    <w:rPr>
      <w:b/>
    </w:rPr>
  </w:style>
  <w:style w:type="paragraph" w:customStyle="1" w:styleId="NormalHanging12a">
    <w:name w:val="NormalHanging12a"/>
    <w:basedOn w:val="Normal"/>
    <w:link w:val="NormalHanging12aChar"/>
    <w:qFormat/>
    <w:rsid w:val="00DD3EE8"/>
    <w:pPr>
      <w:spacing w:after="240"/>
      <w:ind w:left="567" w:hanging="567"/>
    </w:pPr>
  </w:style>
  <w:style w:type="paragraph" w:styleId="Header">
    <w:name w:val="header"/>
    <w:basedOn w:val="Normal"/>
    <w:link w:val="HeaderChar"/>
    <w:rsid w:val="00DD3EE8"/>
    <w:pPr>
      <w:tabs>
        <w:tab w:val="center" w:pos="4513"/>
        <w:tab w:val="right" w:pos="9026"/>
      </w:tabs>
    </w:pPr>
  </w:style>
  <w:style w:type="character" w:customStyle="1" w:styleId="HeaderChar">
    <w:name w:val="Header Char"/>
    <w:basedOn w:val="DefaultParagraphFont"/>
    <w:link w:val="Header"/>
    <w:rsid w:val="00DD3EE8"/>
    <w:rPr>
      <w:sz w:val="24"/>
      <w:lang w:val="lv-LV"/>
    </w:rPr>
  </w:style>
  <w:style w:type="paragraph" w:customStyle="1" w:styleId="EPFooter">
    <w:name w:val="EPFooter"/>
    <w:basedOn w:val="Normal"/>
    <w:rsid w:val="00DD3EE8"/>
    <w:pPr>
      <w:tabs>
        <w:tab w:val="center" w:pos="4535"/>
        <w:tab w:val="right" w:pos="9071"/>
      </w:tabs>
      <w:spacing w:before="240" w:after="240"/>
    </w:pPr>
    <w:rPr>
      <w:color w:val="010000"/>
      <w:sz w:val="22"/>
    </w:rPr>
  </w:style>
  <w:style w:type="character" w:styleId="Hyperlink">
    <w:name w:val="Hyperlink"/>
    <w:basedOn w:val="DefaultParagraphFont"/>
    <w:rsid w:val="00DD3EE8"/>
    <w:rPr>
      <w:color w:val="0563C1" w:themeColor="hyperlink"/>
      <w:u w:val="single"/>
    </w:rPr>
  </w:style>
  <w:style w:type="character" w:customStyle="1" w:styleId="NormalHanging12aChar">
    <w:name w:val="NormalHanging12a Char"/>
    <w:basedOn w:val="DefaultParagraphFont"/>
    <w:link w:val="NormalHanging12a"/>
    <w:locked/>
    <w:rsid w:val="00DD3EE8"/>
    <w:rPr>
      <w:sz w:val="24"/>
      <w:lang w:val="lv-LV"/>
    </w:rPr>
  </w:style>
  <w:style w:type="paragraph" w:styleId="Revision">
    <w:name w:val="Revision"/>
    <w:hidden/>
    <w:uiPriority w:val="99"/>
    <w:semiHidden/>
    <w:rsid w:val="00637CA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6364</Words>
  <Characters>41385</Characters>
  <Application>Microsoft Office Word</Application>
  <DocSecurity>0</DocSecurity>
  <Lines>344</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2026-05-05T11:36:00Z</dcterms:created>
  <dcterms:modified xsi:type="dcterms:W3CDTF">2026-05-05T11:36:00Z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P10_TA(2026)0134_</vt:lpwstr>
  </property>
  <property fmtid="{D5CDD505-2E9C-101B-9397-08002B2CF9AE}" pid="4" name="&lt;Type&gt;">
    <vt:lpwstr>RR</vt:lpwstr>
  </property>
</Properties>
</file>