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001" w14:paraId="788C8093" w14:textId="77777777" w:rsidTr="0010095E">
        <w:trPr>
          <w:trHeight w:hRule="exact" w:val="1418"/>
        </w:trPr>
        <w:tc>
          <w:tcPr>
            <w:tcW w:w="6804" w:type="dxa"/>
            <w:shd w:val="clear" w:color="auto" w:fill="auto"/>
            <w:vAlign w:val="center"/>
          </w:tcPr>
          <w:p w14:paraId="07195F2F" w14:textId="77777777" w:rsidR="00751A4A" w:rsidRPr="00EB0001" w:rsidRDefault="00EB5658" w:rsidP="0010095E">
            <w:pPr>
              <w:pStyle w:val="EPName"/>
            </w:pPr>
            <w:r w:rsidRPr="00EB0001">
              <w:t>Parlament Europejski</w:t>
            </w:r>
          </w:p>
          <w:p w14:paraId="73653E2D" w14:textId="77777777" w:rsidR="00751A4A" w:rsidRPr="00EB0001" w:rsidRDefault="005F1B17" w:rsidP="005F1B17">
            <w:pPr>
              <w:pStyle w:val="EPTerm"/>
              <w:rPr>
                <w:rStyle w:val="HideTWBExt"/>
                <w:noProof w:val="0"/>
                <w:vanish w:val="0"/>
                <w:color w:val="auto"/>
              </w:rPr>
            </w:pPr>
            <w:r w:rsidRPr="00EB0001">
              <w:t>2024</w:t>
            </w:r>
            <w:r w:rsidR="00817416" w:rsidRPr="00EB0001">
              <w:t>-202</w:t>
            </w:r>
            <w:r w:rsidRPr="00EB0001">
              <w:t>9</w:t>
            </w:r>
          </w:p>
        </w:tc>
        <w:tc>
          <w:tcPr>
            <w:tcW w:w="2268" w:type="dxa"/>
            <w:shd w:val="clear" w:color="auto" w:fill="auto"/>
          </w:tcPr>
          <w:p w14:paraId="0E0F35B8" w14:textId="77777777" w:rsidR="00751A4A" w:rsidRPr="00EB0001" w:rsidRDefault="00187494" w:rsidP="0010095E">
            <w:pPr>
              <w:pStyle w:val="EPLogo"/>
            </w:pPr>
            <w:r w:rsidRPr="00EB0001">
              <w:rPr>
                <w:noProof/>
                <w:lang w:eastAsia="ja-JP"/>
              </w:rPr>
              <w:drawing>
                <wp:inline distT="0" distB="0" distL="0" distR="0" wp14:anchorId="23D531B1" wp14:editId="44E01E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2D721A" w14:textId="77777777" w:rsidR="00D058B8" w:rsidRPr="00EB0001" w:rsidRDefault="00D058B8" w:rsidP="004C5D52">
      <w:pPr>
        <w:pStyle w:val="LineTop"/>
      </w:pPr>
    </w:p>
    <w:p w14:paraId="077F1C1A" w14:textId="77777777" w:rsidR="00680577" w:rsidRPr="00EB0001" w:rsidRDefault="00EB5658" w:rsidP="00680577">
      <w:pPr>
        <w:pStyle w:val="EPBodyTA1"/>
      </w:pPr>
      <w:r w:rsidRPr="00EB0001">
        <w:t>TEKSTY PRZYJĘTE</w:t>
      </w:r>
    </w:p>
    <w:p w14:paraId="3265BDF4" w14:textId="77777777" w:rsidR="00D058B8" w:rsidRPr="00EB0001" w:rsidRDefault="00D058B8" w:rsidP="00D058B8">
      <w:pPr>
        <w:pStyle w:val="LineBottom"/>
      </w:pPr>
    </w:p>
    <w:p w14:paraId="04350F70" w14:textId="49E0FCC0" w:rsidR="00EB5658" w:rsidRPr="00EB0001" w:rsidRDefault="00EB5658" w:rsidP="00EB5658">
      <w:pPr>
        <w:pStyle w:val="ATHeading1"/>
      </w:pPr>
      <w:bookmarkStart w:id="0" w:name="TANumber"/>
      <w:r w:rsidRPr="00EB0001">
        <w:t>P10_TA(2026)0</w:t>
      </w:r>
      <w:bookmarkEnd w:id="0"/>
      <w:r w:rsidR="006312D3">
        <w:t>134</w:t>
      </w:r>
    </w:p>
    <w:p w14:paraId="029DEE58" w14:textId="72B5FEF8" w:rsidR="00EB5658" w:rsidRPr="00C92F2B" w:rsidRDefault="00C92F2B" w:rsidP="00EB5658">
      <w:pPr>
        <w:pStyle w:val="ATHeading2"/>
      </w:pPr>
      <w:r w:rsidRPr="00C92F2B">
        <w:t>Absolutorium za rok 2024: budżet ogólny UE – Europejski Inspektor Ochrony Danych</w:t>
      </w:r>
    </w:p>
    <w:p w14:paraId="7FCD5159" w14:textId="77777777" w:rsidR="00EB5658" w:rsidRPr="00EB0001" w:rsidRDefault="00EB5658" w:rsidP="00EB5658">
      <w:pPr>
        <w:rPr>
          <w:i/>
          <w:vanish/>
        </w:rPr>
      </w:pPr>
      <w:r w:rsidRPr="00EB0001">
        <w:rPr>
          <w:i/>
        </w:rPr>
        <w:fldChar w:fldCharType="begin"/>
      </w:r>
      <w:r w:rsidRPr="00EB0001">
        <w:rPr>
          <w:i/>
        </w:rPr>
        <w:instrText xml:space="preserve"> TC"(</w:instrText>
      </w:r>
      <w:bookmarkStart w:id="1" w:name="DocNumber"/>
      <w:r w:rsidRPr="00EB0001">
        <w:rPr>
          <w:i/>
        </w:rPr>
        <w:instrText>A10-0057/2026</w:instrText>
      </w:r>
      <w:bookmarkEnd w:id="1"/>
      <w:r w:rsidRPr="00EB0001">
        <w:rPr>
          <w:i/>
        </w:rPr>
        <w:instrText xml:space="preserve"> - Sprawozdawca: </w:instrText>
      </w:r>
      <w:proofErr w:type="spellStart"/>
      <w:r w:rsidRPr="00EB0001">
        <w:rPr>
          <w:i/>
        </w:rPr>
        <w:instrText>Pasquale</w:instrText>
      </w:r>
      <w:proofErr w:type="spellEnd"/>
      <w:r w:rsidRPr="00EB0001">
        <w:rPr>
          <w:i/>
        </w:rPr>
        <w:instrText xml:space="preserve"> </w:instrText>
      </w:r>
      <w:proofErr w:type="spellStart"/>
      <w:r w:rsidRPr="00EB0001">
        <w:rPr>
          <w:i/>
        </w:rPr>
        <w:instrText>Tridico</w:instrText>
      </w:r>
      <w:proofErr w:type="spellEnd"/>
      <w:r w:rsidRPr="00EB0001">
        <w:rPr>
          <w:i/>
        </w:rPr>
        <w:instrText xml:space="preserve">)"\l3 \n&gt; \* MERGEFORMAT </w:instrText>
      </w:r>
      <w:r w:rsidRPr="00EB0001">
        <w:rPr>
          <w:i/>
        </w:rPr>
        <w:fldChar w:fldCharType="end"/>
      </w:r>
    </w:p>
    <w:p w14:paraId="02B6CA0F" w14:textId="77777777" w:rsidR="00EB5658" w:rsidRPr="00EB0001" w:rsidRDefault="00EB5658" w:rsidP="00EB5658">
      <w:pPr>
        <w:rPr>
          <w:vanish/>
        </w:rPr>
      </w:pPr>
      <w:bookmarkStart w:id="2" w:name="Commission"/>
      <w:r w:rsidRPr="00EB0001">
        <w:rPr>
          <w:vanish/>
        </w:rPr>
        <w:t>Komisja Kontroli Budżetowej</w:t>
      </w:r>
      <w:bookmarkEnd w:id="2"/>
    </w:p>
    <w:p w14:paraId="39725C45" w14:textId="77777777" w:rsidR="00EB5658" w:rsidRPr="00EB0001" w:rsidRDefault="00EB5658" w:rsidP="00EB5658">
      <w:pPr>
        <w:rPr>
          <w:vanish/>
        </w:rPr>
      </w:pPr>
      <w:bookmarkStart w:id="3" w:name="PE"/>
      <w:r w:rsidRPr="00EB0001">
        <w:rPr>
          <w:vanish/>
        </w:rPr>
        <w:t>PE778.066</w:t>
      </w:r>
      <w:bookmarkEnd w:id="3"/>
    </w:p>
    <w:p w14:paraId="734A8D18" w14:textId="54550ECF" w:rsidR="00EB5658" w:rsidRPr="00EB0001" w:rsidRDefault="00D074AE" w:rsidP="00EB5658">
      <w:pPr>
        <w:pStyle w:val="ATHeading3"/>
      </w:pPr>
      <w:bookmarkStart w:id="4" w:name="Sujet"/>
      <w:r>
        <w:t xml:space="preserve">1. </w:t>
      </w:r>
      <w:r w:rsidR="00EB5658" w:rsidRPr="00EB0001">
        <w:t xml:space="preserve">Decyzja Parlamentu Europejskiego z dnia </w:t>
      </w:r>
      <w:r w:rsidR="00C92F2B">
        <w:t>29 kwietnia</w:t>
      </w:r>
      <w:r w:rsidR="00EB5658" w:rsidRPr="00EB0001">
        <w:t xml:space="preserve"> 2026 r. w sprawie absolutorium z wykonania budżetu ogólnego Unii Europejskiej za rok budżetowy 2024, sekcja IX – Europejski Inspektor Ochrony Danych</w:t>
      </w:r>
      <w:bookmarkEnd w:id="4"/>
      <w:r w:rsidR="00EB5658" w:rsidRPr="00EB0001">
        <w:t xml:space="preserve"> </w:t>
      </w:r>
      <w:bookmarkStart w:id="5" w:name="References"/>
      <w:r w:rsidR="00EB5658" w:rsidRPr="00EB0001">
        <w:t>(2025/2154(DEC))</w:t>
      </w:r>
      <w:bookmarkEnd w:id="5"/>
    </w:p>
    <w:p w14:paraId="34F0ABBE" w14:textId="77777777" w:rsidR="007A7D20" w:rsidRPr="00EB0001" w:rsidRDefault="007A7D20" w:rsidP="007A7D20">
      <w:pPr>
        <w:pStyle w:val="EPComma"/>
      </w:pPr>
      <w:bookmarkStart w:id="6" w:name="TextBodyBegin"/>
      <w:bookmarkEnd w:id="6"/>
      <w:r w:rsidRPr="00EB0001">
        <w:rPr>
          <w:i/>
        </w:rPr>
        <w:t>Parlament Europejski</w:t>
      </w:r>
      <w:r w:rsidRPr="00EB0001">
        <w:t>,</w:t>
      </w:r>
    </w:p>
    <w:p w14:paraId="0FF961E8" w14:textId="77777777" w:rsidR="007A7D20" w:rsidRPr="00EB0001" w:rsidRDefault="007A7D20" w:rsidP="007A7D20">
      <w:pPr>
        <w:pStyle w:val="NormalHanging12a"/>
      </w:pPr>
      <w:r w:rsidRPr="00EB0001">
        <w:t>–</w:t>
      </w:r>
      <w:r w:rsidRPr="00EB0001">
        <w:tab/>
        <w:t>uwzględniając budżet ogólny Unii Europejskiej na rok budżetowy 2024</w:t>
      </w:r>
      <w:r w:rsidRPr="00EB0001">
        <w:rPr>
          <w:rStyle w:val="FootnoteReference"/>
        </w:rPr>
        <w:footnoteReference w:id="1"/>
      </w:r>
      <w:r w:rsidRPr="00EB0001">
        <w:t>,</w:t>
      </w:r>
    </w:p>
    <w:p w14:paraId="6D2DB880" w14:textId="77777777" w:rsidR="007A7D20" w:rsidRPr="00EB0001" w:rsidRDefault="007A7D20" w:rsidP="007A7D20">
      <w:pPr>
        <w:pStyle w:val="NormalHanging12a"/>
      </w:pPr>
      <w:r w:rsidRPr="00EB0001">
        <w:t>–</w:t>
      </w:r>
      <w:r w:rsidRPr="00EB0001">
        <w:tab/>
        <w:t>uwzględniając skonsolidowane roczne sprawozdanie finansowe Unii Europejskiej za rok budżetowy 2024 (</w:t>
      </w:r>
      <w:proofErr w:type="gramStart"/>
      <w:r w:rsidRPr="00EB0001">
        <w:t>COM(</w:t>
      </w:r>
      <w:proofErr w:type="gramEnd"/>
      <w:r w:rsidRPr="00EB0001">
        <w:t>2025)0359 – C10</w:t>
      </w:r>
      <w:r w:rsidRPr="00EB0001">
        <w:noBreakHyphen/>
        <w:t>0154/2025)</w:t>
      </w:r>
      <w:r w:rsidRPr="00EB0001">
        <w:rPr>
          <w:rStyle w:val="FootnoteReference"/>
        </w:rPr>
        <w:footnoteReference w:id="2"/>
      </w:r>
      <w:r w:rsidRPr="00EB0001">
        <w:t>,</w:t>
      </w:r>
    </w:p>
    <w:p w14:paraId="0E0C01AF" w14:textId="77777777" w:rsidR="007A7D20" w:rsidRPr="00EB0001" w:rsidRDefault="007A7D20" w:rsidP="007A7D20">
      <w:pPr>
        <w:pStyle w:val="NormalHanging12a"/>
      </w:pPr>
      <w:r w:rsidRPr="00EB0001">
        <w:t>–</w:t>
      </w:r>
      <w:r w:rsidRPr="00EB0001">
        <w:tab/>
        <w:t>uwzględniając sprawozdanie roczne Europejskiego Inspektora Ochrony Danych za 2024 r.,</w:t>
      </w:r>
    </w:p>
    <w:p w14:paraId="7DA961B9" w14:textId="77777777" w:rsidR="007A7D20" w:rsidRPr="00EB0001" w:rsidRDefault="007A7D20" w:rsidP="007A7D20">
      <w:pPr>
        <w:pStyle w:val="NormalHanging12a"/>
      </w:pPr>
      <w:r w:rsidRPr="00EB0001">
        <w:t>–</w:t>
      </w:r>
      <w:r w:rsidRPr="00EB0001">
        <w:tab/>
        <w:t>uwzględniając sprawozdanie roczne Trybunału Obrachunkowego dotyczące wykonania budżetu za rok budżetowy 2024 wraz z odpowiedziami instytucji</w:t>
      </w:r>
      <w:r w:rsidRPr="00EB0001">
        <w:rPr>
          <w:rStyle w:val="FootnoteReference"/>
        </w:rPr>
        <w:footnoteReference w:id="3"/>
      </w:r>
      <w:r w:rsidRPr="00EB0001">
        <w:t>,</w:t>
      </w:r>
    </w:p>
    <w:p w14:paraId="6616FD87" w14:textId="77777777" w:rsidR="007A7D20" w:rsidRPr="00EB0001" w:rsidRDefault="007A7D20" w:rsidP="007A7D20">
      <w:pPr>
        <w:pStyle w:val="NormalHanging12a"/>
      </w:pPr>
      <w:r w:rsidRPr="00EB0001">
        <w:t>–</w:t>
      </w:r>
      <w:r w:rsidRPr="00EB0001">
        <w:tab/>
        <w:t>uwzględniając poświadczenie wiarygodności</w:t>
      </w:r>
      <w:r w:rsidRPr="00EB0001">
        <w:rPr>
          <w:rStyle w:val="FootnoteReference"/>
        </w:rPr>
        <w:footnoteReference w:id="4"/>
      </w:r>
      <w:r w:rsidRPr="00EB0001">
        <w:t xml:space="preserve"> rachunków, jak również legalności i prawidłowości operacji leżących u ich podstaw przedłożone przez Trybunał Obrachunkowy za rok budżetowy 2024 zgodnie z art. 287 Traktatu o funkcjonowaniu Unii Europejskiej,</w:t>
      </w:r>
    </w:p>
    <w:p w14:paraId="1B08FFAF" w14:textId="77777777" w:rsidR="007A7D20" w:rsidRPr="00EB0001" w:rsidRDefault="007A7D20" w:rsidP="007A7D20">
      <w:pPr>
        <w:pStyle w:val="NormalHanging12a"/>
      </w:pPr>
      <w:r w:rsidRPr="00EB0001">
        <w:t>–</w:t>
      </w:r>
      <w:r w:rsidRPr="00EB0001">
        <w:tab/>
        <w:t>uwzględniając art. 314 ust. 10 oraz art. 317, 318 i 319 Traktatu o funkcjonowaniu Unii Europejskiej,</w:t>
      </w:r>
    </w:p>
    <w:p w14:paraId="434595AB" w14:textId="77777777" w:rsidR="007A7D20" w:rsidRPr="00EB0001" w:rsidRDefault="007A7D20" w:rsidP="007A7D20">
      <w:pPr>
        <w:pStyle w:val="NormalHanging12a"/>
      </w:pPr>
      <w:r w:rsidRPr="00EB0001">
        <w:t>–</w:t>
      </w:r>
      <w:r w:rsidRPr="00EB0001">
        <w:tab/>
        <w:t xml:space="preserve">uwzględniając rozporządzenie Parlamentu Europejskiego i Rady (UE, </w:t>
      </w:r>
      <w:proofErr w:type="spellStart"/>
      <w:r w:rsidRPr="00EB0001">
        <w:t>Euratom</w:t>
      </w:r>
      <w:proofErr w:type="spellEnd"/>
      <w:r w:rsidRPr="00EB0001">
        <w:t xml:space="preserve">) 2018/1046 z dnia 18 lipca 2018 r. w sprawie zasad finansowych mających zastosowanie do budżetu ogólnego Unii, zmieniające rozporządzenia (UE) nr 1296/2013, (UE) nr 1301/2013, (UE) nr 1303/2013, (UE) nr 1304/2013, (UE) nr 1309/2013, (UE) </w:t>
      </w:r>
      <w:r w:rsidRPr="00EB0001">
        <w:lastRenderedPageBreak/>
        <w:t>nr 1316/</w:t>
      </w:r>
      <w:proofErr w:type="gramStart"/>
      <w:r w:rsidRPr="00EB0001">
        <w:t>2013,</w:t>
      </w:r>
      <w:proofErr w:type="gramEnd"/>
      <w:r w:rsidRPr="00EB0001">
        <w:t xml:space="preserve"> (UE) nr 223/2014 i (UE) nr 283/2014 oraz decyzję nr 541/2014/UE, a także uchylające rozporządzenie (UE, </w:t>
      </w:r>
      <w:proofErr w:type="spellStart"/>
      <w:r w:rsidRPr="00EB0001">
        <w:t>Euratom</w:t>
      </w:r>
      <w:proofErr w:type="spellEnd"/>
      <w:r w:rsidRPr="00EB0001">
        <w:t>) nr 966/2012</w:t>
      </w:r>
      <w:r w:rsidRPr="00EB0001">
        <w:rPr>
          <w:rStyle w:val="FootnoteReference"/>
        </w:rPr>
        <w:footnoteReference w:id="5"/>
      </w:r>
      <w:r w:rsidRPr="00EB0001">
        <w:t>, w szczególności jego art. 59, 118, 260, 261 i 262,</w:t>
      </w:r>
    </w:p>
    <w:p w14:paraId="5F8BAAB2" w14:textId="77777777" w:rsidR="007A7D20" w:rsidRPr="00EB0001" w:rsidRDefault="007A7D20" w:rsidP="007A7D20">
      <w:pPr>
        <w:pStyle w:val="NormalHanging12a"/>
      </w:pPr>
      <w:r w:rsidRPr="00EB0001">
        <w:t>–</w:t>
      </w:r>
      <w:r w:rsidRPr="00EB0001">
        <w:tab/>
        <w:t xml:space="preserve">uwzględniając rozporządzenie Parlamentu Europejskiego i Rady (UE, </w:t>
      </w:r>
      <w:proofErr w:type="spellStart"/>
      <w:r w:rsidRPr="00EB0001">
        <w:t>Euratom</w:t>
      </w:r>
      <w:proofErr w:type="spellEnd"/>
      <w:r w:rsidRPr="00EB0001">
        <w:t>) 2024/2509 z dnia 23 września 2024 r. w sprawie zasad finansowych mających zastosowanie do budżetu ogólnego Unii</w:t>
      </w:r>
      <w:r w:rsidRPr="00EB0001">
        <w:rPr>
          <w:rStyle w:val="FootnoteReference"/>
        </w:rPr>
        <w:footnoteReference w:id="6"/>
      </w:r>
      <w:r w:rsidRPr="00EB0001">
        <w:t>, w szczególności jego art. 59, 118, 266, 267 i 268,</w:t>
      </w:r>
    </w:p>
    <w:p w14:paraId="0C2045E2" w14:textId="77777777" w:rsidR="007A7D20" w:rsidRPr="00EB0001" w:rsidRDefault="007A7D20" w:rsidP="007A7D20">
      <w:pPr>
        <w:pStyle w:val="NormalHanging12a"/>
      </w:pPr>
      <w:r w:rsidRPr="00EB0001">
        <w:t>–</w:t>
      </w:r>
      <w:r w:rsidRPr="00EB0001">
        <w:tab/>
        <w:t>uwzględniając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w:t>
      </w:r>
      <w:r w:rsidRPr="00EB0001">
        <w:rPr>
          <w:rStyle w:val="FootnoteReference"/>
        </w:rPr>
        <w:footnoteReference w:id="7"/>
      </w:r>
      <w:r w:rsidRPr="00EB0001">
        <w:t>, w szczególności jego art. 54,</w:t>
      </w:r>
    </w:p>
    <w:p w14:paraId="4D25B310" w14:textId="77777777" w:rsidR="007A7D20" w:rsidRPr="00EB0001" w:rsidRDefault="007A7D20" w:rsidP="007A7D20">
      <w:pPr>
        <w:pStyle w:val="NormalHanging12a"/>
      </w:pPr>
      <w:r w:rsidRPr="00EB0001">
        <w:t>–</w:t>
      </w:r>
      <w:r w:rsidRPr="00EB0001">
        <w:tab/>
        <w:t>uwzględniając art. 102 Regulaminu i załącznik V do Regulaminu,</w:t>
      </w:r>
    </w:p>
    <w:p w14:paraId="3A533CFD" w14:textId="77777777" w:rsidR="007A7D20" w:rsidRPr="00EB0001" w:rsidRDefault="007A7D20" w:rsidP="007A7D20">
      <w:pPr>
        <w:pStyle w:val="NormalHanging12a"/>
      </w:pPr>
      <w:r w:rsidRPr="00EB0001">
        <w:t>–</w:t>
      </w:r>
      <w:r w:rsidRPr="00EB0001">
        <w:tab/>
        <w:t>uwzględniając opinię przedstawioną przez Komisję Wolności Obywatelskich, Sprawiedliwości i Spraw Wewnętrznych,</w:t>
      </w:r>
    </w:p>
    <w:p w14:paraId="26577706" w14:textId="77777777" w:rsidR="007A7D20" w:rsidRPr="00EB0001" w:rsidRDefault="007A7D20" w:rsidP="007A7D20">
      <w:pPr>
        <w:pStyle w:val="NormalHanging12a"/>
      </w:pPr>
      <w:r w:rsidRPr="00EB0001">
        <w:t>–</w:t>
      </w:r>
      <w:r w:rsidRPr="00EB0001">
        <w:tab/>
        <w:t>uwzględniając sprawozdanie Komisji Kontroli Budżetowej (A10-0057/2026),</w:t>
      </w:r>
    </w:p>
    <w:p w14:paraId="047DF51A" w14:textId="77777777" w:rsidR="007A7D20" w:rsidRPr="00EB0001" w:rsidRDefault="007A7D20" w:rsidP="007A7D20">
      <w:pPr>
        <w:pStyle w:val="NormalHanging12a"/>
      </w:pPr>
      <w:r w:rsidRPr="00EB0001">
        <w:t>1.</w:t>
      </w:r>
      <w:r w:rsidRPr="00EB0001">
        <w:tab/>
        <w:t>udziela Europejskiemu Inspektorowi Ochrony Danych absolutorium z wykonania budżetu za rok budżetowy 2024;</w:t>
      </w:r>
    </w:p>
    <w:p w14:paraId="6F30AAB4" w14:textId="77777777" w:rsidR="007A7D20" w:rsidRPr="00EB0001" w:rsidRDefault="007A7D20" w:rsidP="007A7D20">
      <w:pPr>
        <w:pStyle w:val="NormalHanging12a"/>
      </w:pPr>
      <w:r w:rsidRPr="00EB0001">
        <w:t>2.</w:t>
      </w:r>
      <w:r w:rsidRPr="00EB0001">
        <w:tab/>
        <w:t>przedstawia swoje uwagi w poniższej rezolucji;</w:t>
      </w:r>
    </w:p>
    <w:p w14:paraId="3911A770" w14:textId="77777777" w:rsidR="007A7D20" w:rsidRPr="00EB0001" w:rsidRDefault="007A7D20" w:rsidP="007A7D20">
      <w:pPr>
        <w:pStyle w:val="NormalHanging12a"/>
      </w:pPr>
      <w:r w:rsidRPr="00EB0001">
        <w:t>3.</w:t>
      </w:r>
      <w:r w:rsidRPr="00EB0001">
        <w:tab/>
        <w:t>zobowiązuje swoją przewodniczącą do przekazania niniejszej decyzji wraz z rezolucją, która stanowi jej integralną część, Europejskiemu Inspektorowi Ochrony Danych, Radzie Europejskiej, Radzie, Komisji, Trybunałowi Obrachunkowemu, Trybunałowi Sprawiedliwości Unii Europejskiej Europejskiemu Rzecznikowi Praw Obywatelskich, jak również Europejskiej Służbie Działań Zewnętrznych oraz do zarządzenia jej publikacji w </w:t>
      </w:r>
      <w:r w:rsidRPr="00EB0001">
        <w:rPr>
          <w:i/>
        </w:rPr>
        <w:t>Dzienniku Urzędowym Unii Europejskiej</w:t>
      </w:r>
      <w:r w:rsidRPr="00EB0001">
        <w:t xml:space="preserve"> (seria L).</w:t>
      </w:r>
    </w:p>
    <w:p w14:paraId="75514AD4" w14:textId="77777777" w:rsidR="007A7D20" w:rsidRPr="00EB0001" w:rsidRDefault="007A7D20" w:rsidP="007A7D20">
      <w:pPr>
        <w:pStyle w:val="PageHeading"/>
        <w:sectPr w:rsidR="007A7D20" w:rsidRPr="00EB0001" w:rsidSect="00EB00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16289F" w14:textId="27C58E26" w:rsidR="00D074AE" w:rsidRDefault="00D074AE" w:rsidP="00D074AE">
      <w:pPr>
        <w:pStyle w:val="ATHeading3"/>
      </w:pPr>
      <w:r>
        <w:lastRenderedPageBreak/>
        <w:t>2. Rezolucja Parlamentu Europejskiego z dnia 29 kwietnia 2026 r. zawierając</w:t>
      </w:r>
      <w:r w:rsidR="00717DAA">
        <w:t>a</w:t>
      </w:r>
      <w:r>
        <w:t xml:space="preserve"> uwagi stanowiące integralną część decyzji w sprawie absolutorium z wykonania budżetu ogólnego Unii Europejskiej za rok budżetowy 2024, sekcja IX – Europejski Inspektor Ochrony Danych (2025/2154(DEC))</w:t>
      </w:r>
    </w:p>
    <w:p w14:paraId="28347590" w14:textId="77777777" w:rsidR="007A7D20" w:rsidRPr="00EB0001" w:rsidRDefault="007A7D20" w:rsidP="007A7D20">
      <w:pPr>
        <w:pStyle w:val="EPComma"/>
      </w:pPr>
      <w:r w:rsidRPr="00EB0001">
        <w:rPr>
          <w:i/>
        </w:rPr>
        <w:t>Parlament Europejski</w:t>
      </w:r>
      <w:r w:rsidRPr="00EB0001">
        <w:t>,</w:t>
      </w:r>
    </w:p>
    <w:p w14:paraId="7F8ED67F" w14:textId="77777777" w:rsidR="007A7D20" w:rsidRPr="00EB0001" w:rsidRDefault="007A7D20" w:rsidP="007A7D20">
      <w:pPr>
        <w:pStyle w:val="NormalHanging12a"/>
      </w:pPr>
      <w:r w:rsidRPr="00EB0001">
        <w:t>–</w:t>
      </w:r>
      <w:r w:rsidRPr="00EB0001">
        <w:tab/>
        <w:t>uwzględniając swoją decyzję w sprawie absolutorium z wykonania budżetu ogólnego Unii Europejskiej za rok budżetowy 2024, sekcja IX - Europejski Inspektor Ochrony Danych,</w:t>
      </w:r>
    </w:p>
    <w:p w14:paraId="25C7C764" w14:textId="77777777" w:rsidR="007A7D20" w:rsidRPr="00EB0001" w:rsidRDefault="007A7D20" w:rsidP="007A7D20">
      <w:pPr>
        <w:pStyle w:val="NormalHanging12a"/>
      </w:pPr>
      <w:r w:rsidRPr="00EB0001">
        <w:t>–</w:t>
      </w:r>
      <w:r w:rsidRPr="00EB0001">
        <w:tab/>
        <w:t>uwzględniając art. 102 Regulaminu i załącznik V do Regulaminu,</w:t>
      </w:r>
    </w:p>
    <w:p w14:paraId="7C39078A" w14:textId="77777777" w:rsidR="007A7D20" w:rsidRPr="00EB0001" w:rsidRDefault="007A7D20" w:rsidP="007A7D20">
      <w:pPr>
        <w:pStyle w:val="NormalHanging12a"/>
      </w:pPr>
      <w:r w:rsidRPr="00EB0001">
        <w:t>–</w:t>
      </w:r>
      <w:r w:rsidRPr="00EB0001">
        <w:tab/>
        <w:t>uwzględniając opinię przedstawioną przez Komisję Wolności Obywatelskich, Sprawiedliwości i Spraw Wewnętrznych,</w:t>
      </w:r>
    </w:p>
    <w:p w14:paraId="32E32C86" w14:textId="77777777" w:rsidR="007A7D20" w:rsidRPr="00EB0001" w:rsidRDefault="007A7D20" w:rsidP="007A7D20">
      <w:pPr>
        <w:pStyle w:val="NormalHanging12a"/>
      </w:pPr>
      <w:r w:rsidRPr="00EB0001">
        <w:t>–</w:t>
      </w:r>
      <w:r w:rsidRPr="00EB0001">
        <w:tab/>
        <w:t>uwzględniając sprawozdanie Komisji Kontroli Budżetowej (A10-0057/2026),</w:t>
      </w:r>
    </w:p>
    <w:p w14:paraId="502FE007" w14:textId="77777777" w:rsidR="007A7D20" w:rsidRPr="00EB0001" w:rsidRDefault="007A7D20" w:rsidP="007A7D20">
      <w:pPr>
        <w:pStyle w:val="NormalHanging12a"/>
        <w:rPr>
          <w:szCs w:val="24"/>
        </w:rPr>
      </w:pPr>
      <w:r w:rsidRPr="00EB0001">
        <w:t>A.</w:t>
      </w:r>
      <w:r w:rsidRPr="00EB0001">
        <w:tab/>
        <w:t>mając na uwadze, że w ramach procedury udzielania absolutorium organ udzielający absolutorium pragnie podkreślić szczególne znaczenie dalszego wzmacniania legitymacji demokratycznej instytucji Unii dzięki poprawie przejrzystości i większej odpowiedzialności, jak również znaczenie realizowania koncepcji budżetowania celowego i właściwego zarządzania zasobami kadrowymi;</w:t>
      </w:r>
    </w:p>
    <w:p w14:paraId="57B25418" w14:textId="77777777" w:rsidR="007A7D20" w:rsidRPr="00EB0001" w:rsidRDefault="007A7D20" w:rsidP="007A7D20">
      <w:pPr>
        <w:pStyle w:val="NormalHanging12a"/>
        <w:rPr>
          <w:szCs w:val="24"/>
        </w:rPr>
      </w:pPr>
      <w:r w:rsidRPr="00EB0001">
        <w:t>B.</w:t>
      </w:r>
      <w:r w:rsidRPr="00EB0001">
        <w:tab/>
        <w:t>mając na uwadze, że ochrona danych jest prawem podstawowym, chronionym prawem unijnym i zapisanym w art. 8 Karty praw podstawowych Unii Europejskiej;</w:t>
      </w:r>
    </w:p>
    <w:p w14:paraId="6F50F79B" w14:textId="77777777" w:rsidR="007A7D20" w:rsidRPr="00EB0001" w:rsidRDefault="007A7D20" w:rsidP="007A7D20">
      <w:pPr>
        <w:pStyle w:val="NormalHanging12a"/>
        <w:rPr>
          <w:szCs w:val="24"/>
        </w:rPr>
      </w:pPr>
      <w:r w:rsidRPr="00EB0001">
        <w:t>C.</w:t>
      </w:r>
      <w:r w:rsidRPr="00EB0001">
        <w:tab/>
        <w:t>mając na uwadze, że zgodnie z art. 16 Traktatu o funkcjonowaniu Unii Europejskiej przestrzeganie zasad dotyczących ochrony osób fizycznych w zakresie przetwarzania ich danych osobowych podlega kontroli niezależnego organu;</w:t>
      </w:r>
    </w:p>
    <w:p w14:paraId="1037DBD0" w14:textId="77777777" w:rsidR="007A7D20" w:rsidRPr="00EB0001" w:rsidRDefault="007A7D20" w:rsidP="007A7D20">
      <w:pPr>
        <w:pStyle w:val="NormalHanging12a"/>
        <w:rPr>
          <w:szCs w:val="24"/>
        </w:rPr>
      </w:pPr>
      <w:r w:rsidRPr="00EB0001">
        <w:t>D.</w:t>
      </w:r>
      <w:r w:rsidRPr="00EB0001">
        <w:tab/>
        <w:t>mając na uwadze, że w rozporządzeniu (UE) 2018/1725 przewidziano ustanowienie niezależnego organu, Europejskiego Inspektora Ochrony Danych (EIOD), odpowiedzialnego za ochronę i gwarantowanie prawa do ochrony danych i prywatności, mającego dbać o to, by kultura ochrony danych w instytucjach, organach i jednostkach organizacyjnych Unii stała na wysokim poziomie;</w:t>
      </w:r>
    </w:p>
    <w:p w14:paraId="49F8809F" w14:textId="77777777" w:rsidR="007A7D20" w:rsidRPr="00EB0001" w:rsidRDefault="007A7D20" w:rsidP="007A7D20">
      <w:pPr>
        <w:pStyle w:val="NormalHanging12a"/>
        <w:rPr>
          <w:szCs w:val="24"/>
        </w:rPr>
      </w:pPr>
      <w:r w:rsidRPr="00EB0001">
        <w:t>E.</w:t>
      </w:r>
      <w:r w:rsidRPr="00EB0001">
        <w:tab/>
        <w:t>mając na uwadze, że EIOD pełni swoje funkcje w ścisłej współpracy z innymi organami ochrony danych w ramach Europejskiej Rady Ochrony Danych (EROD) i służy interesowi publicznemu, przy czym kieruje się zasadami bezstronności, uczciwości, przejrzystości i pragmatyzmu oraz poszanowania prawodawstwa Unii;</w:t>
      </w:r>
    </w:p>
    <w:p w14:paraId="5D6B273B" w14:textId="77777777" w:rsidR="007A7D20" w:rsidRPr="00EB0001" w:rsidRDefault="007A7D20" w:rsidP="007A7D20">
      <w:pPr>
        <w:pStyle w:val="NormalHanging12a"/>
        <w:rPr>
          <w:szCs w:val="24"/>
        </w:rPr>
      </w:pPr>
      <w:r w:rsidRPr="00EB0001">
        <w:t>F.</w:t>
      </w:r>
      <w:r w:rsidRPr="00EB0001">
        <w:tab/>
        <w:t>mając na uwadze, że obywatele Unii potrzebują środowiska cyfrowego, które nie jest kontrolowane przez nieprzejrzyste interesy, oraz inicjatyw promujących suwerenność cyfrową i gwarantujących, że to osoby fizyczne, a nie przedsiębiorstwa lub niepodlegające kontroli systemy będą w centrum zarządzania danymi w Unii;</w:t>
      </w:r>
    </w:p>
    <w:p w14:paraId="72CCE99B" w14:textId="77777777" w:rsidR="007A7D20" w:rsidRPr="00EB0001" w:rsidRDefault="007A7D20" w:rsidP="007A7D20">
      <w:pPr>
        <w:pStyle w:val="NormalHanging12a"/>
        <w:rPr>
          <w:szCs w:val="24"/>
        </w:rPr>
      </w:pPr>
      <w:r w:rsidRPr="00EB0001">
        <w:t>1.</w:t>
      </w:r>
      <w:r w:rsidRPr="00EB0001">
        <w:tab/>
        <w:t>zauważa, że budżet EIOD wchodzi w zakres działu 7 WRF „Europejska administracja publiczna”, który w 2024 r. wyniósł łącznie 13,3 mld EUR, tj. 6,9 % wydatków z budżetu UE; zauważa, że budżet EIOD stanowił 0,18 % środków w dziale 7 WRF;</w:t>
      </w:r>
    </w:p>
    <w:p w14:paraId="3A2AE415" w14:textId="77777777" w:rsidR="007A7D20" w:rsidRPr="00EB0001" w:rsidRDefault="007A7D20" w:rsidP="007A7D20">
      <w:pPr>
        <w:pStyle w:val="NormalHanging12a"/>
      </w:pPr>
      <w:r w:rsidRPr="00EB0001">
        <w:lastRenderedPageBreak/>
        <w:t>2.</w:t>
      </w:r>
      <w:r w:rsidRPr="00EB0001">
        <w:tab/>
        <w:t>zwraca uwagę, że Trybunał Obrachunkowy w swoim sprawozdaniu rocznym za rok budżetowy 2024 zbadał próbę 70 transakcji w dziale „Administracja”, czyli tyle samo co w 2023 r.; zwraca ponadto uwagę, że Trybunał stwierdził, iż wydatki administracyjne obejmują wydatki na zasoby kadrowe, w tym na emerytury i renty, które w 2024 r. stanowiły około 69 % wszystkich wydatków administracyjnych, oraz wydatki na budynki, wyposażenie, energię, telekomunikację i technologię informacyjną (IT), a z kontroli prowadzonych od wielu lat przez Trybunał wynika, iż zasadniczo te wydatki administracyjne są obarczone niskim ryzykiem;</w:t>
      </w:r>
    </w:p>
    <w:p w14:paraId="1A7CCE60" w14:textId="77777777" w:rsidR="007A7D20" w:rsidRPr="00EB0001" w:rsidRDefault="007A7D20" w:rsidP="007A7D20">
      <w:pPr>
        <w:pStyle w:val="NormalHanging12a"/>
      </w:pPr>
      <w:r w:rsidRPr="00EB0001">
        <w:t>3.</w:t>
      </w:r>
      <w:r w:rsidRPr="00EB0001">
        <w:tab/>
        <w:t>zauważa, że chociaż na 70 zbadanych transakcji błędy wystąpiły w 16 (23 %), na podstawie trzech skwantyfikowanych błędów Trybunał szacuje, iż poziom błędu znajduje się poniżej progu istotności; zwraca uwagę, że Trybunał nie wskazał w swoim sprawozdaniu żadnego konkretnego problemu dotyczącego EIOD;</w:t>
      </w:r>
    </w:p>
    <w:p w14:paraId="4105FD0F" w14:textId="77777777" w:rsidR="007A7D20" w:rsidRPr="00EB0001" w:rsidRDefault="007A7D20" w:rsidP="007A7D20">
      <w:pPr>
        <w:pStyle w:val="NormalHanging12a"/>
      </w:pPr>
      <w:r w:rsidRPr="00EB0001">
        <w:rPr>
          <w:b/>
          <w:i/>
        </w:rPr>
        <w:t>Zarządzanie budżetem i finansami</w:t>
      </w:r>
    </w:p>
    <w:p w14:paraId="1DCA0D88" w14:textId="77777777" w:rsidR="007A7D20" w:rsidRPr="00EB0001" w:rsidRDefault="007A7D20" w:rsidP="007A7D20">
      <w:pPr>
        <w:pStyle w:val="NormalHanging12a"/>
        <w:rPr>
          <w:b/>
          <w:i/>
          <w:szCs w:val="24"/>
        </w:rPr>
      </w:pPr>
      <w:r w:rsidRPr="00EB0001">
        <w:t>4.</w:t>
      </w:r>
      <w:r w:rsidRPr="00EB0001">
        <w:tab/>
        <w:t>zauważa, że w 2024 r. ostateczny budżet EIOD wyniósł 24 329 460 EUR, co stanowi wzrost o 7,12 % w porównaniu z rokiem 2023 (22 711 559 EUR); zauważa, że budżet EIOD obejmuje także pracę niezależnego sekretariatu EROD; na podstawie sprawozdania rocznego EIOD za 2024 r. („sprawozdanie roczne”) zauważa, że przyjęty budżet EROD w 2024 r. wyniósł 8,36 mln EUR (w porównaniu z 7,67 mln EUR w 2023 r.);</w:t>
      </w:r>
    </w:p>
    <w:p w14:paraId="6B75CF27" w14:textId="77777777" w:rsidR="007A7D20" w:rsidRPr="00EB0001" w:rsidRDefault="007A7D20" w:rsidP="007A7D20">
      <w:pPr>
        <w:pStyle w:val="NormalHanging12a"/>
        <w:rPr>
          <w:szCs w:val="24"/>
        </w:rPr>
      </w:pPr>
      <w:r w:rsidRPr="00EB0001">
        <w:t>5.</w:t>
      </w:r>
      <w:r w:rsidRPr="00EB0001">
        <w:tab/>
        <w:t xml:space="preserve">z zadowoleniem zauważa, że wysiłki związane z monitorowaniem i planowaniem budżetu EIOD w roku budżetowym 2024 doprowadziły do osiągnięcia wskaźnika wykonania budżetu w wysokości 96 % w przypadku środków na zobowiązania na bieżący rok (tyle samo co w 2023 r.); ponadto na podstawie sprawozdania dotyczącego rocznego sprawozdania finansowego EIOD za 2024 r. zauważa, że wskaźnik wykonania w odniesieniu do środków na płatności w bieżącym roku wyniósł 84 % (tyle samo co w 2023 r.); zauważa również, na podstawie odpowiedzi EIOD na pytania zawarte w kwestionariuszu przedłożonym przez Komisję Kontroli Budżetowej na potrzeby absolutorium z wykonania budżetu za 2023 r., że wskaźnik wykonania środków na płatności ogółem wyniósł 91,88 % w 2024 r., czyli więcej niż w 2023 r. (91,33 %); </w:t>
      </w:r>
    </w:p>
    <w:p w14:paraId="21990694" w14:textId="77777777" w:rsidR="007A7D20" w:rsidRPr="00EB0001" w:rsidRDefault="007A7D20" w:rsidP="007A7D20">
      <w:pPr>
        <w:pStyle w:val="NormalHanging12a"/>
        <w:rPr>
          <w:szCs w:val="24"/>
        </w:rPr>
      </w:pPr>
      <w:r w:rsidRPr="00EB0001">
        <w:t>6.</w:t>
      </w:r>
      <w:r w:rsidRPr="00EB0001">
        <w:tab/>
        <w:t xml:space="preserve">zauważa ponadto, że kwota przeniesień (C8) z roku 2024 na 2025 wyniosła 2 649 943 EUR (czyli 10,89 % całkowitego budżetu na rok 2024), w porównaniu z 2 517 942 EUR w 2023 r. (czyli 11,08 % całkowitego budżetu na rok 2023); zauważa, że wskaźnik wykonania budżetu C8 w 2024 r. wyniósł 77,37 % (w porównaniu z 76,65 % w 2023 r.); </w:t>
      </w:r>
    </w:p>
    <w:p w14:paraId="069E158A" w14:textId="77777777" w:rsidR="007A7D20" w:rsidRPr="00EB0001" w:rsidRDefault="007A7D20" w:rsidP="007A7D20">
      <w:pPr>
        <w:pStyle w:val="NormalHanging12a"/>
        <w:rPr>
          <w:szCs w:val="24"/>
        </w:rPr>
      </w:pPr>
      <w:r w:rsidRPr="00EB0001">
        <w:t>7.</w:t>
      </w:r>
      <w:r w:rsidRPr="00EB0001">
        <w:tab/>
        <w:t>odnotowuje, że średni czas realizacji płatności wyniósł 20 dni w 2024 r. w porównaniu z 19 dniami w 2023 r., przy czym 96,87 % płatności zostało zrealizowanych terminowo (wzrost z 92,73 % w 2023 r.); zauważa ponadto, że nastąpił wzrost liczby płatności z 1 335 w 2023 r. do 1 440 w 2024 r.; zauważa, że w 2024 r. EIOD napotkał pewne trudności techniczne związane z równoległym funkcjonowaniem dwóch różnych systemów informatycznych (systemu SUMMA Komisji i systemu ABAC EIOD), co wymagało ręcznego ponownego kodowania i innych ręcznych interwencji; odnotowuje, że system SUMMA ma zostać wprowadzony w EIOD w 2026 r.;</w:t>
      </w:r>
    </w:p>
    <w:p w14:paraId="79AD0454" w14:textId="77777777" w:rsidR="007A7D20" w:rsidRPr="00EB0001" w:rsidRDefault="007A7D20" w:rsidP="007A7D20">
      <w:pPr>
        <w:pStyle w:val="NormalHanging12a"/>
      </w:pPr>
      <w:r w:rsidRPr="00EB0001">
        <w:t>8.</w:t>
      </w:r>
      <w:r w:rsidRPr="00EB0001">
        <w:tab/>
        <w:t xml:space="preserve">na podstawie kwestionariusza zauważa, że całkowity budżet EIOD przeznaczony na podróże służbowe zmniejszył się o 17,86 % z 323 421 EUR w 2023 r. do 265 630 EUR </w:t>
      </w:r>
      <w:r w:rsidRPr="00EB0001">
        <w:lastRenderedPageBreak/>
        <w:t>w 2024 r. w związku ze spadkiem kosztów podróży i kosztów powiązanych wynikającym z częstszego udziału w posiedzeniach zdalnych/hybrydowych; na podstawie sprawozdania rocznego zauważa, że liczba podróży służbowych pracowników również uległa zmniejszeniu, z 246 w 2023 r. do 218 w 2024 r.; zauważa, że z tego budżetu przeznaczono 38 418 EUR na 23 podróże służbowe Inspektora w 2024 r., co stanowi wzrost w stosunku do kwoty 33 000 EUR na 24 podróże służbowe w 2023 r., głównie ze względu na lokalizację ważnych spotkań i wydarzeń, w których Inspektor musiał uczestniczyć, w tym kilka podróży służbowych do Stanów Zjednoczonych i Meksyku w 2024 r.; zauważa z niepokojem, że jeśli chodzi o podróże służbowe do krajów pochodzenia urzędników wysokiego szczebla, w 2024 r. Inspektor odbył tylko 3 podróże do Polski (z łącznej liczby 23), a sekretarz generalny EIOD odbył 9 podróży służbowych do Hiszpanii (z łącznej liczby 15); podkreśla, że EIOD nadal nie dostarcza informacji na temat liczby podróży służbowych finansowanych przez organizatorów lub inne strony trzecie, co zmniejsza przejrzystość w odniesieniu do kosztów podróży służbowych EIOD;</w:t>
      </w:r>
    </w:p>
    <w:p w14:paraId="7D8C095E" w14:textId="77777777" w:rsidR="007A7D20" w:rsidRPr="00EB0001" w:rsidRDefault="007A7D20" w:rsidP="007A7D20">
      <w:pPr>
        <w:pStyle w:val="NormalHanging12a"/>
      </w:pPr>
      <w:r w:rsidRPr="00EB0001">
        <w:t>9.</w:t>
      </w:r>
      <w:r w:rsidRPr="00EB0001">
        <w:tab/>
        <w:t>na podstawie kwestionariusza zauważa, że w kontekście rosyjskiej nielegalnej wojny napastniczej przeciwko Ukrainie EIOD uwzględnił kwestię presji inflacyjnej na umowy i usługi przez korektę szacunków kosztów w ciągu roku i realokację środków w drodze przesunięć dokonanych zgodnie z art. 29 ust. 1 i 4 rozporządzenia finansowego, zapewnienie marginesów na nieprzewidziane wydatki oraz ponowną ocenę priorytetów w celu zapewnienia obsługi podstawowych procesów EIOD; zachęca EIOD do dalszego przeprowadzania regularnych przeglądów w celu identyfikacji obszarów, w których realizacja budżetu jest niewystarczająca, oraz do realokacji środków w razie potrzeby w ciągu roku; uznaje potrzebę usprawnienia zarządzania budżetem przez wszystkie instytucje Unii, również przez uwzględnianie wahania cen, zwłaszcza w sektorze energetycznym, przy zawieraniu umów z usługodawcami;</w:t>
      </w:r>
    </w:p>
    <w:p w14:paraId="005048EC" w14:textId="77777777" w:rsidR="007A7D20" w:rsidRPr="00EB0001" w:rsidRDefault="007A7D20" w:rsidP="007A7D20">
      <w:pPr>
        <w:pStyle w:val="NormalHanging12a"/>
        <w:rPr>
          <w:szCs w:val="24"/>
        </w:rPr>
      </w:pPr>
      <w:r w:rsidRPr="00EB0001">
        <w:t>10.</w:t>
      </w:r>
      <w:r w:rsidRPr="00EB0001">
        <w:tab/>
        <w:t xml:space="preserve">zauważa, że EIOD wszczął i rozstrzygnął 66 postępowań o udzielenie zamówienia, z czego 45 miało bardzo niską wartość, dwa stanowiły procedury negocjacyjne bez uprzedniej publikacji, dziewięć stanowiły zamówienia szczególne dotyczące sporządzenia wykazu ekspertów indywidualnych, a jedno było umową ramową o wartości 200 000 EUR zawartą z </w:t>
      </w:r>
      <w:proofErr w:type="spellStart"/>
      <w:r w:rsidRPr="00EB0001">
        <w:t>PricewaterhouseCoopers</w:t>
      </w:r>
      <w:proofErr w:type="spellEnd"/>
      <w:r w:rsidRPr="00EB0001">
        <w:t>; zauważa, że większość umów jest podpisywana przez EIOD z małymi i średnimi przedsiębiorstwami w ramach postępowań o bardzo niskiej lub niskiej wartości;</w:t>
      </w:r>
    </w:p>
    <w:p w14:paraId="230A3D42" w14:textId="77777777" w:rsidR="007A7D20" w:rsidRPr="00EB0001" w:rsidRDefault="007A7D20" w:rsidP="007A7D20">
      <w:pPr>
        <w:pStyle w:val="NormalHanging12a"/>
        <w:rPr>
          <w:szCs w:val="24"/>
        </w:rPr>
      </w:pPr>
      <w:r w:rsidRPr="00EB0001">
        <w:rPr>
          <w:b/>
          <w:i/>
        </w:rPr>
        <w:t>Zarządzanie wewnętrzne, wyniki i kontrola wewnętrzna</w:t>
      </w:r>
    </w:p>
    <w:p w14:paraId="5ADCD74E" w14:textId="77777777" w:rsidR="007A7D20" w:rsidRPr="00EB0001" w:rsidRDefault="007A7D20" w:rsidP="007A7D20">
      <w:pPr>
        <w:pStyle w:val="NormalHanging12a"/>
        <w:rPr>
          <w:szCs w:val="24"/>
        </w:rPr>
      </w:pPr>
      <w:r w:rsidRPr="00EB0001">
        <w:t>11.</w:t>
      </w:r>
      <w:r w:rsidRPr="00EB0001">
        <w:tab/>
        <w:t>zauważa, że EIOD wykorzystał dziewięć kluczowych wskaźników efektywności, aby monitorować swoje wyniki w 2024 r., zgodnie z głównymi celami strategii EIOD na lata 2020–2024 wdrażanej za pośrednictwem rocznego planu zarządzania; zauważa, że w sprawozdaniu rocznym wskazano, iż EIOD osiągnął lub przekroczył cele określone we wszystkich kluczowych wskaźnikach efektywności, z wyjątkiem jednego (liczba obserwujących na kontach EIOD w mediach społecznościowych);</w:t>
      </w:r>
    </w:p>
    <w:p w14:paraId="653CBAC1" w14:textId="77777777" w:rsidR="007A7D20" w:rsidRPr="00EB0001" w:rsidRDefault="007A7D20" w:rsidP="007A7D20">
      <w:pPr>
        <w:pStyle w:val="NormalHanging12a"/>
        <w:rPr>
          <w:szCs w:val="24"/>
        </w:rPr>
      </w:pPr>
      <w:r w:rsidRPr="00EB0001">
        <w:t>12.</w:t>
      </w:r>
      <w:r w:rsidRPr="00EB0001">
        <w:tab/>
        <w:t xml:space="preserve">zwraca uwagę na rozmaite role EIOD, np. jako organ ochrony danych oraz, od 1 sierpnia 2024 r., jednostka notyfikowana, organ notyfikowany i organ nadzoru rynku odpowiedzialny za nadzorowanie i egzekwowanie rozporządzenia Parlamentu </w:t>
      </w:r>
      <w:r w:rsidRPr="00EB0001">
        <w:lastRenderedPageBreak/>
        <w:t>Europejskiego i Rady (UE) 2024/1689</w:t>
      </w:r>
      <w:r w:rsidRPr="00EB0001">
        <w:rPr>
          <w:rStyle w:val="FootnoteReference"/>
          <w:szCs w:val="24"/>
        </w:rPr>
        <w:footnoteReference w:id="8"/>
      </w:r>
      <w:r w:rsidRPr="00EB0001">
        <w:t xml:space="preserve"> w odniesieniu do instytucji, organów, urzędów i agencji Unii, przy czym w odniesieniu do tej ostatniej roli EIOD uzyska uprawnienia wykonawcze dopiero od 2 sierpnia 2026 r.; z zadowoleniem zauważa, że w tym kontekście EIOD pracuje nad strukturami zarządzania i ramami proceduralnymi niezbędnymi do wykonywania nowych zadań i uprawnień jako organ nadzoru rynku na podstawie rozporządzenia (UE) 2024/1689, w tym przez uruchomienie w 2024 r. sieci korespondentów ds. aktu w sprawie sztucznej inteligencji, do udziału w której – choć dobrowolnego – zachęcono wszystkie instytucje, organy, urzędy i agencje;</w:t>
      </w:r>
    </w:p>
    <w:p w14:paraId="65D55BC6" w14:textId="690F83A0" w:rsidR="007A7D20" w:rsidRPr="00EB0001" w:rsidRDefault="007A7D20" w:rsidP="007A7D20">
      <w:pPr>
        <w:pStyle w:val="NormalHanging12a"/>
        <w:rPr>
          <w:szCs w:val="24"/>
        </w:rPr>
      </w:pPr>
      <w:r w:rsidRPr="00EB0001">
        <w:t>13.</w:t>
      </w:r>
      <w:r w:rsidRPr="00EB0001">
        <w:tab/>
        <w:t>zauważa, że rola EIOD została wzmocniona w nowych aktach ustawodawczych, w tym w rozporządzeniu (UE) 2024/1689, zgodnie z którymi EIOD staje się organem właściwym dla instytucji, organów i jednostek organizacyjnych Unii i w których powierzono mu dodatkowe zadania: zauważa, że 1 października 2024 r. w celu realizacji nowych zadań nadzorczych EIOD utworzył Dział ds. Sztucznej Inteligencji, który w 2024 r. składał się z dwóch pracowników przeniesionych wewnętrznie; na podstawie kwestionariusza zauważa, że od 2025 r. EIOD dysponuje na ten dział budżetem obejmującym dwa stanowiska stałe i pięć stanowisk dla pracowników kontraktowych, w odniesieniu do których przeprowadzono procedury rekrutacyjne; zauważa jednak, że – jak stwierdzono w kwestionariuszu – zdaniem EIOD zasoby te pozostają niewystarczające do realizacji nowych zadań, w szczególności nadzoru nad systemami sztucznej inteligencji w obszarze kontroli granicznej, migracji, wymiaru sprawiedliwości i egzekwowania prawa lub ustanowienia piaskownicy regulacyjnej w zakresie AI dla instytucji, organów, urzędów i agencji UE, zgodnie z art. 57 ust. 3 rozporządzenia (UE) 2024/1689; na podstawie sprawozdania uzupełniającego EIOD dotyczącego rezolucji Parlamentu w sprawie wykonania budżetu EIOD za 2023 r. zauważa ponadto, że również ze względu na ograniczenia budżetowe EIOD nie mógł rozpocząć w 2024 r. studium wykonalności dotyczącego sztucznej inteligencji; przypomina, że EIOD powinien przestrzegać kompetencji wynikających z jego mandatu, stosując podejście oparte na współpracy z instytucjami i agencjami Unii, aby uniknąć kosztownych procedur prawnych; przypomina, że już w rezolucji w sprawie absolutorium za 2023 r. Parlament ostrzegł, że stopniowe rozszerzanie mandatu EIOD grozi wyczerpaniem się dostępnych zasobów; podkreśla, jak ważne jest zapewnienie EIOD odpowiednich zasobów finansowych i ludzkich, aby mógł on skutecznie nadzorować systemy sztucznej inteligencji w dziedzinach obarczonych wysokim ryzykiem;</w:t>
      </w:r>
    </w:p>
    <w:p w14:paraId="452E96B8" w14:textId="77777777" w:rsidR="007A7D20" w:rsidRPr="00EB0001" w:rsidRDefault="007A7D20" w:rsidP="007A7D20">
      <w:pPr>
        <w:pStyle w:val="NormalHanging12a"/>
        <w:rPr>
          <w:szCs w:val="24"/>
        </w:rPr>
      </w:pPr>
      <w:r w:rsidRPr="00EB0001">
        <w:t>14.</w:t>
      </w:r>
      <w:r w:rsidRPr="00EB0001">
        <w:tab/>
        <w:t xml:space="preserve">w odniesieniu do monitorowania i prognozowania technologii zauważa, że w 2024 r. EIOD za pośrednictwem swojego Działu ds. Technologii i Prywatności skupił się na sztucznej inteligencji (AI); w tym kontekście zwraca uwagę na niektóre z tematów poruszonych przez EIOD, takie jak: – przetwarzanie </w:t>
      </w:r>
      <w:proofErr w:type="spellStart"/>
      <w:r w:rsidRPr="00EB0001">
        <w:t>neurodanych</w:t>
      </w:r>
      <w:proofErr w:type="spellEnd"/>
      <w:r w:rsidRPr="00EB0001">
        <w:t xml:space="preserve"> za pomocą </w:t>
      </w:r>
      <w:proofErr w:type="spellStart"/>
      <w:r w:rsidRPr="00EB0001">
        <w:t>neurotechnologii</w:t>
      </w:r>
      <w:proofErr w:type="spellEnd"/>
      <w:r w:rsidRPr="00EB0001">
        <w:t>, o czym wspomniano w „</w:t>
      </w:r>
      <w:proofErr w:type="spellStart"/>
      <w:r w:rsidRPr="00EB0001">
        <w:t>TechDispatch</w:t>
      </w:r>
      <w:proofErr w:type="spellEnd"/>
      <w:r w:rsidRPr="00EB0001">
        <w:t xml:space="preserve"> na temat </w:t>
      </w:r>
      <w:proofErr w:type="spellStart"/>
      <w:r w:rsidRPr="00EB0001">
        <w:t>neurodanych</w:t>
      </w:r>
      <w:proofErr w:type="spellEnd"/>
      <w:r w:rsidRPr="00EB0001">
        <w:t xml:space="preserve">” – publikacji EIOD we współpracy z hiszpańskim organem ochrony danych w czerwcu 2024 r.; – zautomatyzowane podejmowanie decyzji i sprawowanie nadzoru przez człowieka nad tym procesem, które były przedmiotem seminarium tematycznego </w:t>
      </w:r>
      <w:r w:rsidRPr="00EB0001">
        <w:lastRenderedPageBreak/>
        <w:t xml:space="preserve">zorganizowanego wspólnie z Agencją Unii Europejskiej ds. </w:t>
      </w:r>
      <w:proofErr w:type="spellStart"/>
      <w:r w:rsidRPr="00EB0001">
        <w:t>Cyberbezpieczeństwa</w:t>
      </w:r>
      <w:proofErr w:type="spellEnd"/>
      <w:r w:rsidRPr="00EB0001">
        <w:t xml:space="preserve"> (ENISA) i Uniwersytetem w Karlstad we wrześniu 2024 r.; z zadowoleniem zauważa, że w listopadzie 2024 r. EIOD opublikował czwartą edycję swojej inicjatywy </w:t>
      </w:r>
      <w:proofErr w:type="spellStart"/>
      <w:r w:rsidRPr="00EB0001">
        <w:t>Techsonar</w:t>
      </w:r>
      <w:proofErr w:type="spellEnd"/>
      <w:r w:rsidRPr="00EB0001">
        <w:t xml:space="preserve">, która koncentrowała się na sześciu trendach w dziedzinie AI, mianowicie: generowanie wspomagane wyszukiwaniem, sztuczna inteligencja w urządzeniach, oduczanie maszyn, multimodalna AI, skalowalny nadzór i </w:t>
      </w:r>
      <w:proofErr w:type="spellStart"/>
      <w:r w:rsidRPr="00EB0001">
        <w:t>neurosymboliczna</w:t>
      </w:r>
      <w:proofErr w:type="spellEnd"/>
      <w:r w:rsidRPr="00EB0001">
        <w:t xml:space="preserve"> AI; podkreśla, że EIOD powinien gromadzić wiedzę niezbędną do wykonywania swoich uprawnień wynikających z rozporządzenia (UE) 2024/1689, gdy instytucje, organy, urzędy i agencje UE zaczną wykorzystywać powstające technologie do przetwarzania danych osobowych; zauważa ponadto, że w 2024 r. EIOD wydał pierwsze wytyczne dla instytucji, organów, urzędów i agencji UE w celu zapewnienia zgodności z przepisami o ochronie danych przy korzystaniu z systemów generatywnej AI, a także trzy opinie nadzorcze w sprawie wykorzystania narzędzi AI przez Europol i </w:t>
      </w:r>
      <w:proofErr w:type="spellStart"/>
      <w:r w:rsidRPr="00EB0001">
        <w:t>Eurojust</w:t>
      </w:r>
      <w:proofErr w:type="spellEnd"/>
      <w:r w:rsidRPr="00EB0001">
        <w:t>;</w:t>
      </w:r>
    </w:p>
    <w:p w14:paraId="2758D7E1" w14:textId="77777777" w:rsidR="007A7D20" w:rsidRPr="00EB0001" w:rsidRDefault="007A7D20" w:rsidP="007A7D20">
      <w:pPr>
        <w:pStyle w:val="NormalHanging12a"/>
        <w:rPr>
          <w:szCs w:val="24"/>
        </w:rPr>
      </w:pPr>
      <w:r w:rsidRPr="00EB0001">
        <w:t>15.</w:t>
      </w:r>
      <w:r w:rsidRPr="00EB0001">
        <w:tab/>
        <w:t>zwraca uwagę na stale rosnącą liczbę skarg z roku na rok, przy czym większość skarg dotyczy Komisji i jest składana przez pracowników instytucji, organów, urzędów i agencji; zauważa, że w 2024 r. EIOD otrzymał 663 skargi, tj. o 202 więcej niż w 2023 r., z czego 108 było dopuszczalnych, a 555 było niedopuszczalnych; zauważa, że EIOD wydał ostateczną decyzję, opinię lub dał odpowiedź w 77 ze 108 skarg otrzymanych w 2024 r. (wzrost o 33 % w porównaniu z 2023 r.) oraz odpowiedział na wszystkie otrzymane skargi niedopuszczalne; odnotowuje, że spośród wszystkich dopuszczalnych skarg otrzymanych w 2024 r. sfinalizowano 48 spraw, co stanowi spadek w porównaniu z 55 sprawami w 2023 r.; zauważa, że na koniec 2024 r. w toku były 104 dopuszczalne skargi (wzrost z 71 spraw w 2023 r.), co obejmuje skargi złożone przed 2024 r.; uznaje wysiłki podjęte przez EIOD mające na celu zmniejszenie dużej liczby skarg i zachęca go do dalszego usprawniania procedury rozpatrywania skarg, np. przez dążenie do osiągnięcia porozumienia z krajowymi organami ochrony danych w sprawie procedury rozpatrywania skarg, w szczególności w przestrzeni wolności, bezpieczeństwa i sprawiedliwości, gdzie dochodzenia są złożone i długotrwałe; zauważa, że w 2024 r. EIOD otrzymał 125 zgłoszeń naruszenia ochrony danych osobowych, co stanowi wzrost w porównaniu z 77 zgłoszeniami w 2023 r.;</w:t>
      </w:r>
    </w:p>
    <w:p w14:paraId="165E8DB6" w14:textId="77777777" w:rsidR="007A7D20" w:rsidRPr="00EB0001" w:rsidRDefault="007A7D20" w:rsidP="007A7D20">
      <w:pPr>
        <w:pStyle w:val="NormalHanging12a"/>
        <w:rPr>
          <w:szCs w:val="24"/>
        </w:rPr>
      </w:pPr>
      <w:r w:rsidRPr="00EB0001">
        <w:t>16.</w:t>
      </w:r>
      <w:r w:rsidRPr="00EB0001">
        <w:tab/>
        <w:t>wzywa EIOD do zastanowienia się nad swoimi kluczowymi wskaźnikami skuteczności działania oraz do dopilnowania, aby obejmowały one rozpatrywanie skarg i wyznaczały cele w zakresie rozpatrywania skarg i dochodzeń, podobnie jak czyni to Europejski Rzecznik Praw Obywatelskich;</w:t>
      </w:r>
    </w:p>
    <w:p w14:paraId="446F30B8" w14:textId="77777777" w:rsidR="007A7D20" w:rsidRPr="00EB0001" w:rsidRDefault="007A7D20" w:rsidP="007A7D20">
      <w:pPr>
        <w:pStyle w:val="NormalHanging12a"/>
        <w:rPr>
          <w:szCs w:val="24"/>
        </w:rPr>
      </w:pPr>
      <w:r w:rsidRPr="00EB0001">
        <w:t>17.</w:t>
      </w:r>
      <w:r w:rsidRPr="00EB0001">
        <w:tab/>
        <w:t xml:space="preserve">podkreśla ważną rolę konsultacji i doradztwa EIOD w procesie legislacyjnym Unii, nie tylko na wczesnym etapie przygotowywania wniosków ustawodawczych Komisji, ale także pod względem udzielania uwag lub opinii w odniesieniu do poprawek kompromisowych w kontekście negocjacji trójstronnych na wnioski Parlamentu lub jego komitetów; zauważa, że zgodnie z art. 42 ust. 1 rozporządzenia (UE) 2018/1725 EIOD odpowiedział na 97 formalnych konsultacji ustawodawczych (80 w 2023 r.), a jego porada przyjęła formę 25 opinii (54 w 2023 r.), 45 uwag formalnych (26 w 2023 r.) i 27 uwag nieformalnych (34 w 2023 r.) skierowanych do Komisji i </w:t>
      </w:r>
      <w:proofErr w:type="spellStart"/>
      <w:r w:rsidRPr="00EB0001">
        <w:t>współprawodawców</w:t>
      </w:r>
      <w:proofErr w:type="spellEnd"/>
      <w:r w:rsidRPr="00EB0001">
        <w:t xml:space="preserve"> w odpowiedzi na wnioski o konsultacje ustawodawcze w 2024 r.;</w:t>
      </w:r>
    </w:p>
    <w:p w14:paraId="78ACE61F" w14:textId="77777777" w:rsidR="007A7D20" w:rsidRPr="00EB0001" w:rsidRDefault="007A7D20" w:rsidP="007A7D20">
      <w:pPr>
        <w:pStyle w:val="NormalHanging12a"/>
        <w:rPr>
          <w:szCs w:val="24"/>
        </w:rPr>
      </w:pPr>
      <w:r w:rsidRPr="00EB0001">
        <w:t>18.</w:t>
      </w:r>
      <w:r w:rsidRPr="00EB0001">
        <w:tab/>
        <w:t xml:space="preserve">zwraca uwagę na kluczową rolę EROD w harmonizacji wytycznych, procedur, procesów egzekwowania i praktyk organów nadzorczych w państwach członkowskich; zauważa w tym kontekście, że w 2024 r. EROD nie podjęła żadnej wiążącej decyzji, wydała 28 opinii dotyczących spójności, przyjęła dwie nowe wytyczne, wydała cztery </w:t>
      </w:r>
      <w:r w:rsidRPr="00EB0001">
        <w:lastRenderedPageBreak/>
        <w:t>oświadczenia dotyczące zmian legislacyjnych, wdrożyła i skoordynowała kilka programów dotyczących współpracy w zakresie egzekwowania przepisów; zauważa ponadto, że EROD pełni funkcję sekretariatu Komitetu Skoordynowanego Nadzoru (CSC), który jest grupą krajowych organów nadzorczych i EIOD zapewniającą skoordynowany nadzór nad wielkoskalowymi systemami informatycznymi Unii, przy czym w 2024 r. nadzór ten rozszerzono na wizowy system informacyjny, oprócz prac przygotowawczych przeprowadzonych w celu nadzoru nad europejskim systemem informacji o podróży oraz zezwoleń na podróż (ETIAS);</w:t>
      </w:r>
    </w:p>
    <w:p w14:paraId="1C0526F4" w14:textId="77777777" w:rsidR="007A7D20" w:rsidRPr="00EB0001" w:rsidRDefault="007A7D20" w:rsidP="007A7D20">
      <w:pPr>
        <w:pStyle w:val="NormalHanging12a"/>
        <w:rPr>
          <w:szCs w:val="24"/>
        </w:rPr>
      </w:pPr>
      <w:r w:rsidRPr="00EB0001">
        <w:t>19.</w:t>
      </w:r>
      <w:r w:rsidRPr="00EB0001">
        <w:tab/>
        <w:t xml:space="preserve">zauważa z zadowoleniem, że EIOD opracował różne narzędzia proceduralne i strategie polityczne w celu usprawnienia swoich procesów dochodzeniowych w 2024 r.; w tym kontekście pochwala EIOD za zmianę jego regulaminu w 2024 r., zgodnie z którą „procedurę przeglądu” zastępuje się „wstępną oceną”, aby zagwarantować wszystkim zaangażowanym stronom prawo do bycia wysłuchanym; zauważa, że od lipca 2024 r. instytucje, organy, urzędy i agencje UE mogą dzielić się swoimi opiniami na temat wstępnej oceny, zanim EIOD podejmie decyzję, która mogłaby mieć dla nich niekorzystne skutki; zauważa, że te gwarancje proceduralne przyczyniają się do sprawiedliwego i terminowego rozpatrywania skarg i dochodzeń; zauważa, że w 2024 r. EIOD dokonał również przeglądu metod dochodzeniowych, opracował podręcznik dotyczący dostępu do akt, poprawił gotowość do postępowania sądowego, zaktualizował wewnętrzny podręcznik dotyczący skarg oraz usprawnił procesy nagrywania i transkrypcji </w:t>
      </w:r>
      <w:proofErr w:type="spellStart"/>
      <w:r w:rsidRPr="00EB0001">
        <w:t>wysłuchań</w:t>
      </w:r>
      <w:proofErr w:type="spellEnd"/>
      <w:r w:rsidRPr="00EB0001">
        <w:t>;</w:t>
      </w:r>
    </w:p>
    <w:p w14:paraId="0CB42381" w14:textId="77777777" w:rsidR="007A7D20" w:rsidRPr="00EB0001" w:rsidRDefault="007A7D20" w:rsidP="007A7D20">
      <w:pPr>
        <w:pStyle w:val="NormalHanging12a"/>
      </w:pPr>
      <w:r w:rsidRPr="00EB0001">
        <w:t>20.</w:t>
      </w:r>
      <w:r w:rsidRPr="00EB0001">
        <w:tab/>
        <w:t>na podstawie sprawozdania rocznego i sprawozdania uzupełniającego zauważa szczególną uwagę, jaką EIOD poświęca przetwarzaniu danych dzieci, zwłaszcza w kontekście egzekwowania prawa; zauważa, że jedna z kontroli przeprowadzonych przez EIOD w 2024 r. dotyczyła przetwarzania danych osobowych dzieci w projektach badawczych zarządzanych przez Wspólne Centrum Badawcze Komisji w Hiszpanii, w szczególności w odniesieniu do interakcji między dziećmi a robotami; z zadowoleniem odnotowuje, że w październiku 2024 r. EIOD uczestniczył w obradach okrągłego stołu organów ochrony danych z państw grupy G-7 w Rzymie, podczas których organy te wydały „Oświadczenie w sprawie sztucznej inteligencji i dzieci”, w którym zaapelowały o podjęcie działań w celu ochrony prywatności dzieci i dopilnowanie, by AI budowała zaufanie, a jednocześnie ochronę osób najbardziej narażonych; przypomina, że EIOD przeprowadził specjalną kontrolę przetwarzania przez Europol danych dotyczących małoletnich poniżej 15. roku życia oznaczonych jako podejrzani; docenia fakt, że EIOD stwierdził, iż ogólny proces oceny informacji przekazywanych przez partnerów na temat osób małoletnich (w tym małoletnich poniżej 15 roku życia) jest jasny i dobrze opracowany; zauważa, że w sprawozdaniu z kontroli EIOD zwrócono się do Europolu o dalsze przeprowadzanie własnej oceny zgodności z prawem otrzymanych danych, i podkreślono, że Europol musi ocenić „absolutną konieczność” przetwarzania danych dotyczących małoletnich podejrzanych o przestępstwa;</w:t>
      </w:r>
    </w:p>
    <w:p w14:paraId="75C2BC90" w14:textId="77777777" w:rsidR="007A7D20" w:rsidRPr="00EB0001" w:rsidRDefault="007A7D20" w:rsidP="007A7D20">
      <w:pPr>
        <w:pStyle w:val="NormalHanging12a"/>
        <w:rPr>
          <w:szCs w:val="24"/>
        </w:rPr>
      </w:pPr>
      <w:r w:rsidRPr="00EB0001">
        <w:t>21.</w:t>
      </w:r>
      <w:r w:rsidRPr="00EB0001">
        <w:tab/>
        <w:t>zauważa, że instytucje, organy, urzędy i agencje UE mogą zwracać się do EIOD o wytyczne dotyczące planowanych operacji przetwarzania danych i ochrony danych; zauważa, że EIOD wydał 26 opinii konsultacyjnych i 26 opinii nadzorczych na różne tematy; zauważa w szczególności, że w grudniu 2024 r. EIOD opublikował opinię nadzorczą dotyczącą planu Parlamentu dotyczącego wykorzystania danych biometrycznych do poświadczania obecności posłów w celu wypłaty diet dziennych;</w:t>
      </w:r>
    </w:p>
    <w:p w14:paraId="4AC8E310" w14:textId="77777777" w:rsidR="007A7D20" w:rsidRPr="00EB0001" w:rsidRDefault="007A7D20" w:rsidP="007A7D20">
      <w:pPr>
        <w:pStyle w:val="NormalHanging12a"/>
        <w:rPr>
          <w:szCs w:val="24"/>
        </w:rPr>
      </w:pPr>
      <w:r w:rsidRPr="00EB0001">
        <w:lastRenderedPageBreak/>
        <w:t>22.</w:t>
      </w:r>
      <w:r w:rsidRPr="00EB0001">
        <w:tab/>
        <w:t>zauważa, że w 2024 r. EIOD przeprowadził cztery dochodzenia i dwa dochodzenia wstępne, co stanowi spadek w porównaniu z 2023 r.; odnotowuje najbardziej znaczące sprawy, takie jak dochodzenie wstępne dotyczące automatycznego podejmowania decyzji w procesie selekcji stażystów, dochodzenie dotyczące wykorzystania pakietu Microsoft 365 przez Komisję oraz dochodzenie wstępne dotyczące profilowania w aplikacjach dostępnych publicznie; zauważa, że w odniesieniu do korzystania przez Komisję z pakietu Microsoft 365 w dochodzeniu stwierdzono liczne naruszenia rozporządzenia (UE) 2018/1725, co skłoniło EIOD do nakazania Komisji zawieszenia do 9 grudnia 2024 r. wszelkiego przepływu danych do firmy Microsoft i jej podmiotów powiązanych poza Unią/Europejskim Obszarem Gospodarczym (EOG); wzywa EIOD do informowania organu udzielającego absolutorium o wynikach działań następczych dotyczących przestrzegania przez Komisję zaleceń EIOD w tej sprawie; zauważa ponadto, że w 2024 r. EIOD kontynuował pięć dochodzeń dotyczących praktyk stosowanych na stronach internetowych unijnych instytucji, organów, urzędów i agencji, koncentrując się na komponentach stron trzecich i wnioskach o zgodę; zauważa, że w 2024 r. EIOD przeprowadził trzy kontrole, obejmujące wizyty na miejscu, dotyczące takich zagadnień jak przetwarzanie danych dotyczących zdrowia, okresy zatrzymywania danych oraz badania z udziałem małoletnich;</w:t>
      </w:r>
    </w:p>
    <w:p w14:paraId="17BBB54E" w14:textId="77777777" w:rsidR="007A7D20" w:rsidRPr="00EB0001" w:rsidRDefault="007A7D20" w:rsidP="007A7D20">
      <w:pPr>
        <w:pStyle w:val="NormalHanging12a"/>
      </w:pPr>
      <w:r w:rsidRPr="00EB0001">
        <w:t>23.</w:t>
      </w:r>
      <w:r w:rsidRPr="00EB0001">
        <w:tab/>
        <w:t>przypomina, że w 2022 r. EIOD wniósł do Trybunału Sprawiedliwości Unii Europejskiej (TSUE) skargę o unieważnienie dwóch przepisów zmienionego rozporządzenia Parlamentu Europejskiego i Rady (UE) 2016/794</w:t>
      </w:r>
      <w:r w:rsidRPr="00EB0001">
        <w:rPr>
          <w:vertAlign w:val="superscript"/>
        </w:rPr>
        <w:footnoteReference w:id="9"/>
      </w:r>
      <w:r w:rsidRPr="00EB0001">
        <w:t>, która została odrzucona przez TSUE, ale następnie EIOD odwołał się od tej decyzji przed Sądem w sprawie T-578/22</w:t>
      </w:r>
      <w:r w:rsidRPr="00EB0001">
        <w:rPr>
          <w:vertAlign w:val="superscript"/>
        </w:rPr>
        <w:footnoteReference w:id="10"/>
      </w:r>
      <w:r w:rsidRPr="00EB0001">
        <w:t>, ponieważ uznano, że podniesione kwestie powinny zostać rozpatrzone na najwyższym szczeblu; na podstawie sprawozdania uzupełniającego zauważa, że EIOD powstrzymuje się od komentowania tego odwołania, ponieważ postępowanie jest w toku; przypomina, że wnoszenia przez EIOD do TSUE spraw dotyczących kwestii prawnych nie należy postrzegać jako czegoś, co wpływa na lojalną współpracę i dobre stosunki między EIOD a nadzorowanymi przez niego podmiotami, ale zauważa, że budzi to wątpliwości co do stanowiska EIOD wobec roli Parlamentu i Rady jako prawodawcy;</w:t>
      </w:r>
    </w:p>
    <w:p w14:paraId="172738AC" w14:textId="77777777" w:rsidR="007A7D20" w:rsidRPr="00EB0001" w:rsidRDefault="007A7D20" w:rsidP="007A7D20">
      <w:pPr>
        <w:pStyle w:val="NormalHanging12a"/>
        <w:rPr>
          <w:szCs w:val="24"/>
        </w:rPr>
      </w:pPr>
      <w:r w:rsidRPr="00EB0001">
        <w:t>24.</w:t>
      </w:r>
      <w:r w:rsidRPr="00EB0001">
        <w:tab/>
        <w:t xml:space="preserve">zauważa, że przeprowadzona w 2024 r. ocena standardów kontroli wewnętrznej EIOD potwierdziła zadowalający poziom kontroli wewnętrznej, przy czym wszystkie 14 standardów było obecnych i funkcjonowało; zauważa, że utworzono grupę roboczą w celu analizy wyników i zaproponowania ulepszeń, takich jak usprawnienia w zakresie szkoleń i rozwoju oraz zarządzania wiedzą i dokumentami; na podstawie kwestionariusza zauważa, że zaktualizowane ramy zarządzania ryzykiem EIOD wprowadziły ustrukturyzowane działania następcze, które umożliwiły organizacji zapewnienie skuteczności i spójnego monitorowania działań łagodzących; zauważa ponadto, że EIOD zaktualizował procedurę kontroli </w:t>
      </w:r>
      <w:r w:rsidRPr="00EB0001">
        <w:rPr>
          <w:i/>
        </w:rPr>
        <w:t>ex post</w:t>
      </w:r>
      <w:r w:rsidRPr="00EB0001">
        <w:t xml:space="preserve">, które są obecnie oparte na analizie ryzyka, oraz wzmocnił ciągłość działania i ścieżkę audytu przez integrację </w:t>
      </w:r>
      <w:r w:rsidRPr="00EB0001">
        <w:lastRenderedPageBreak/>
        <w:t>systemu ARES, szkolenia i ulepszone procesy zarządzania wiedzą;</w:t>
      </w:r>
    </w:p>
    <w:p w14:paraId="56B5CEF6" w14:textId="77777777" w:rsidR="007A7D20" w:rsidRPr="00EB0001" w:rsidRDefault="007A7D20" w:rsidP="007A7D20">
      <w:pPr>
        <w:pStyle w:val="NormalHanging12a"/>
      </w:pPr>
      <w:r w:rsidRPr="00EB0001">
        <w:t>25.</w:t>
      </w:r>
      <w:r w:rsidRPr="00EB0001">
        <w:tab/>
        <w:t xml:space="preserve">na podstawie kwestionariusza zauważa, że Służba Audytu Wewnętrznego (IAS) Komisji przeprowadziła w 2024 r. jedną kontrolę dotyczącą zarządzania usługami informatycznymi świadczonymi przez Parlament na rzecz EIOD, w wyniku której sformułowano dwa zalecenia, które są obecnie wdrażane przez EIOD; w odniesieniu do audytu z 2023 r. dotyczącego metodyki planowania audytów EIOD zauważa, że jedno z dwóch zaleceń wydanych przez IAS zostało uwzględnione, natomiast wdrożenie drugiego zalecenia (dotyczącego opracowania metodyki ustalania planu audytu EIOD) zostało odłożone do czasu mianowania nowego Inspektora; wzywa EIOD, aby informował organ udzielający absolutorium o postępach poczynionych w tej sprawie; zauważa przy tym, że EIOD powinien konsultować się z kontrolowanymi przez siebie jednostkami w kwestii wykonalności i adekwatności planowanych zaleceń, aby zapewnić szybkie, skuteczne i </w:t>
      </w:r>
      <w:proofErr w:type="spellStart"/>
      <w:r w:rsidRPr="00EB0001">
        <w:t>zasobooszczędne</w:t>
      </w:r>
      <w:proofErr w:type="spellEnd"/>
      <w:r w:rsidRPr="00EB0001">
        <w:t xml:space="preserve"> wdrożenie zaleceń przez kontrolowany organ;</w:t>
      </w:r>
    </w:p>
    <w:p w14:paraId="17D1A137" w14:textId="77777777" w:rsidR="007A7D20" w:rsidRPr="00EB0001" w:rsidRDefault="007A7D20" w:rsidP="007A7D20">
      <w:pPr>
        <w:pStyle w:val="NormalHanging12a"/>
        <w:rPr>
          <w:b/>
          <w:i/>
          <w:szCs w:val="24"/>
        </w:rPr>
      </w:pPr>
      <w:r w:rsidRPr="00EB0001">
        <w:rPr>
          <w:b/>
          <w:i/>
        </w:rPr>
        <w:t>Zasoby ludzkie, równość i dobrostan pracowników</w:t>
      </w:r>
    </w:p>
    <w:p w14:paraId="60227965" w14:textId="77777777" w:rsidR="007A7D20" w:rsidRPr="00EB0001" w:rsidRDefault="007A7D20" w:rsidP="007A7D20">
      <w:pPr>
        <w:pStyle w:val="NormalHanging12a"/>
        <w:rPr>
          <w:szCs w:val="24"/>
        </w:rPr>
      </w:pPr>
      <w:r w:rsidRPr="00EB0001">
        <w:t>26.</w:t>
      </w:r>
      <w:r w:rsidRPr="00EB0001">
        <w:tab/>
        <w:t>zauważa, że na koniec 2024 r. EIOD zatrudniał 137 pracowników, natomiast w 2023 r. było ich 129; zauważa, że EIOD zatrudniał 55 pracowników kontraktowych na podstawie art. 3 lit. b) warunków zatrudnienia innych pracowników Unii Europejskiej (50 pracowników kontraktowych w 2023 r.), 9 pracowników zatrudnionych na czas określony na podstawie art. 2 lit. b) i c) (7 pracowników zatrudnionych na czas określony w 2023 r.) i korzystał z usług 10 usługodawców zewnętrznych pracujących na miejscu w 2023 r. (12 pracowników zewnętrznych w 2022 r.); zachęca EIOD do zastanowienia się nad sposobem zmniejszenia liczby pracowników kontraktowych na rzecz umów na czas nieokreślony, aby zagwarantować zatrzymanie talentów i ciągłość działania; zauważa, że w 2024 r. EIOD zatrudniał przedstawicieli 23 narodowości z państw członkowskich (tak samo jak w 2023 r.), co mimo nadmiernej reprezentacji w przypadku pięciu narodowości i zbyt słabej reprezentacji w przypadku innych narodowości jest doskonałym wynikiem jak na tak małą instytucję; wzywa EIOD do dalszego dążenia do zrównoważonej reprezentacji geograficznej obywateli wszystkich państw członkowskich ze szczególnym uwzględnieniem kadry kierowniczej, w tym również w ramach polityki rekrutacyjnej;</w:t>
      </w:r>
    </w:p>
    <w:p w14:paraId="2597FD4C" w14:textId="77777777" w:rsidR="007A7D20" w:rsidRPr="00EB0001" w:rsidRDefault="007A7D20" w:rsidP="007A7D20">
      <w:pPr>
        <w:pStyle w:val="NormalHanging12a"/>
      </w:pPr>
      <w:r w:rsidRPr="00EB0001">
        <w:t>27.</w:t>
      </w:r>
      <w:r w:rsidRPr="00EB0001">
        <w:tab/>
        <w:t>odnotowuje wysoki wskaźnik obsadzenia stanowisk w planie zatrudnienia wynoszący 98,80 % (w porównaniu z 95,65 % w 2023 r.), ale także wysoki wskaźnik rotacji pracowników wynoszący 12 % w 2024 r. (w 2023 r. wynosił on 13 %); zauważa, że większość nieobsadzonych stanowisk wynikała z nieodpowiedniego profilu kandydatów;</w:t>
      </w:r>
      <w:r w:rsidRPr="00EB0001">
        <w:rPr>
          <w:b/>
          <w:i/>
        </w:rPr>
        <w:t xml:space="preserve"> </w:t>
      </w:r>
      <w:r w:rsidRPr="00EB0001">
        <w:t>dostrzega wyzwania zidentyfikowane w procedurach rekrutacji i selekcji; z zadowoleniem przyjmuje fakt, że – jak wynika ze sprawozdania uzupełniającego – EIOD podjął te wyzwania, opracowując kompleksową strategię zatrzymywania pracowników i przyciągania talentów, którą przyjęto na początku 2025 r. i która obejmuje krótko-, średnio- i długoterminowe działania mające na celu zatrzymanie doświadczonych pracowników, ograniczenie ryzyka rotacji kadr oraz zwiększenie atrakcyjności EIOD jako pracodawcy; zachęca EIOD do dalszego usprawniania procedur rekrutacji, przy pełnym poszanowaniu zasady indywidualnych zasług, przejrzystości i równego traktowania;</w:t>
      </w:r>
    </w:p>
    <w:p w14:paraId="52DD0BC6" w14:textId="77777777" w:rsidR="007A7D20" w:rsidRPr="00EB0001" w:rsidRDefault="007A7D20" w:rsidP="007A7D20">
      <w:pPr>
        <w:pStyle w:val="NormalHanging12a"/>
        <w:rPr>
          <w:szCs w:val="24"/>
        </w:rPr>
      </w:pPr>
      <w:r w:rsidRPr="00EB0001">
        <w:t>28.</w:t>
      </w:r>
      <w:r w:rsidRPr="00EB0001">
        <w:tab/>
        <w:t xml:space="preserve">zauważa, że w 2024 r. 63 % pracowników EIOD stanowiły kobiety, a 37 % mężczyźni, co jest zgodne z tendencją z poprzedniego roku, kiedy to proporcje te wynosiły </w:t>
      </w:r>
      <w:r w:rsidRPr="00EB0001">
        <w:lastRenderedPageBreak/>
        <w:t>odpowiednio 65 % i 35 %; zauważa równowagę płci wśród kierowników średniego szczebla, na których to stanowiskach zatrudnionych jest trzech mężczyzn i trzy kobiety, ale ubolewa nad utrzymującą się niedostateczną reprezentacją kobiet na stanowiskach kierowniczych najwyższego szczebla; wzywa EIOD, by kontynuował wysiłki na rzecz osiągnięcia zrównoważonej pod względem płci reprezentacji personelu;</w:t>
      </w:r>
    </w:p>
    <w:p w14:paraId="0519897E" w14:textId="77777777" w:rsidR="007A7D20" w:rsidRPr="00EB0001" w:rsidRDefault="007A7D20" w:rsidP="007A7D20">
      <w:pPr>
        <w:ind w:left="567" w:hanging="567"/>
      </w:pPr>
      <w:r w:rsidRPr="00EB0001">
        <w:t>29.</w:t>
      </w:r>
      <w:r w:rsidRPr="00EB0001">
        <w:tab/>
        <w:t xml:space="preserve">zauważa, że EIOD zatrudnił 20 stażystów z programu staży Komisji Europejskiej (Blue </w:t>
      </w:r>
      <w:proofErr w:type="spellStart"/>
      <w:r w:rsidRPr="00EB0001">
        <w:t>Book</w:t>
      </w:r>
      <w:proofErr w:type="spellEnd"/>
      <w:r w:rsidRPr="00EB0001">
        <w:t xml:space="preserve">), którzy otrzymywali miesięczne wynagrodzenie w wysokości około 1500 EUR, oraz jednego stażystę bez wynagrodzenia na podstawie umowy o staż akademicki; </w:t>
      </w:r>
      <w:bookmarkStart w:id="7" w:name="_Hlk215140632"/>
      <w:r w:rsidRPr="00EB0001">
        <w:t>ponownie podkreśla, że staże powinny być płatne zgodnie z rezolucją Parlamentu Europejskiego z 14 czerwca 2023 r. zawierającą zalecenia dla Komisji dotyczące wysokiej jakości staży w Unii (2020/2005(INL)), w której to rezolucji Parlament apelował, by wszystkie staże w Unii były płatne;</w:t>
      </w:r>
      <w:bookmarkEnd w:id="7"/>
    </w:p>
    <w:p w14:paraId="3FBC6317" w14:textId="77777777" w:rsidR="007A7D20" w:rsidRPr="00EB0001" w:rsidRDefault="007A7D20" w:rsidP="007A7D20">
      <w:pPr>
        <w:ind w:left="567"/>
      </w:pPr>
    </w:p>
    <w:p w14:paraId="39324BAA" w14:textId="77777777" w:rsidR="007A7D20" w:rsidRPr="00EB0001" w:rsidRDefault="007A7D20" w:rsidP="007A7D20">
      <w:pPr>
        <w:pStyle w:val="NormalHanging12a"/>
        <w:rPr>
          <w:szCs w:val="24"/>
        </w:rPr>
      </w:pPr>
      <w:r w:rsidRPr="00EB0001">
        <w:t>30.</w:t>
      </w:r>
      <w:r w:rsidRPr="00EB0001">
        <w:tab/>
        <w:t xml:space="preserve">odnotowuje działania podjęte przez EIOD w celu rozwoju zasobów ludzkich w 2024 r.; zauważa, że przyjął on nową politykę dotyczącą platform do uczenia się online, przystąpił do nowego międzyinstytucjonalnego programu obserwacji pracy, w którym pięcioro pracowników EIOD obserwuje pracę pracowników Komisji, zorganizował wyjazd dla pracowników poświęcony przygotowaniu na AI oraz inne działania na rzecz budowania spójności; zauważa utworzenie </w:t>
      </w:r>
      <w:proofErr w:type="spellStart"/>
      <w:r w:rsidRPr="00EB0001">
        <w:t>międzydziałowej</w:t>
      </w:r>
      <w:proofErr w:type="spellEnd"/>
      <w:r w:rsidRPr="00EB0001">
        <w:t xml:space="preserve"> grupy roboczej w celu opracowania inicjatyw na rzecz równości, włączenia społecznego i różnorodności;</w:t>
      </w:r>
    </w:p>
    <w:p w14:paraId="598D7839" w14:textId="77777777" w:rsidR="007A7D20" w:rsidRPr="00EB0001" w:rsidRDefault="007A7D20" w:rsidP="007A7D20">
      <w:pPr>
        <w:pStyle w:val="NormalHanging12a"/>
      </w:pPr>
      <w:r w:rsidRPr="00EB0001">
        <w:t>31.</w:t>
      </w:r>
      <w:r w:rsidRPr="00EB0001">
        <w:tab/>
        <w:t>na podstawie kwestionariusza zauważa, że EIOD oferuje elastyczne i hybrydowe warunki pracy, które są dobrze przyjmowane przez pracowników, którzy mogą korzystać m.in. z urlopu rodzicielskiego, kredytów czasowych, zatrudnienia w niepełnym wymiarze czasu pracy lub pracy z zagranicy przez ograniczoną liczbę dni w roku; zauważa, że kolejne badanie satysfakcji pracowników, obejmujące telepracę, zaplanowano na 2025 r.; uważa, że w stosownych przypadkach można zoptymalizować infrastrukturę budynków, aby uwzględnić telepracę i hybrydową organizację pracy i dzięki temu zmniejszyć koszty operacyjne i zapewnić bardziej efektywne wykorzystanie przestrzeni biurowej;</w:t>
      </w:r>
    </w:p>
    <w:p w14:paraId="2349F6C7" w14:textId="77777777" w:rsidR="007A7D20" w:rsidRPr="00EB0001" w:rsidRDefault="007A7D20" w:rsidP="007A7D20">
      <w:pPr>
        <w:pStyle w:val="NormalHanging12a"/>
        <w:rPr>
          <w:szCs w:val="24"/>
        </w:rPr>
      </w:pPr>
      <w:r w:rsidRPr="00EB0001">
        <w:t>32.</w:t>
      </w:r>
      <w:r w:rsidRPr="00EB0001">
        <w:tab/>
        <w:t>zauważa, że obecnie EIOD nie zatrudnia pracowników z niepełnosprawnościami, ale ma klauzulę równych szans zawartą we wszystkich ogłoszeniach o naborze i aktywnie zachęca kandydatów z niepełnosprawnościami do zgłaszania się; zauważa, że strona internetowa EIOD opiera się na systemie zarządzania treścią, który jest zgodny z podstawowymi standardami projektowania stron internetowych w dostępnym formacie, a wszelkie dodatkowe funkcje opracowane dla tej strony internetowej są tworzone z uwzględnieniem dostępności jako kluczowego wymogu;</w:t>
      </w:r>
    </w:p>
    <w:p w14:paraId="678D027D" w14:textId="77777777" w:rsidR="007A7D20" w:rsidRPr="00EB0001" w:rsidRDefault="007A7D20" w:rsidP="007A7D20">
      <w:pPr>
        <w:pStyle w:val="NormalHanging12a"/>
      </w:pPr>
      <w:r w:rsidRPr="00EB0001">
        <w:t>33.</w:t>
      </w:r>
      <w:r w:rsidRPr="00EB0001">
        <w:tab/>
        <w:t xml:space="preserve">zwraca uwagę na odpowiedź EIOD na pytania zawarte w kwestionariuszu, że nie ma on dostępu do dokumentacji medycznej swoich pracowników i nie jest w stanie poznać przyczyn nieobecności, ponieważ są one zatwierdzane przez służbę medyczną Komisji; zauważa, że EIOD ma dostęp jedynie do danych zagregowanych, takich jak liczba dni zwolnienia chorobowego i informacja, czy są one poparte orzeczeniem lekarskim; zauważa, że wzrost liczby dni zwolnień chorobowych w latach 2023–2024, tj. z 1 680,5 do 1 946 (+15,80 %), przewyższył wzrost liczby pracowników z 129 do 137 (tj. o 6,20 %); zauważa, że wzrósł również średni czas trwania choroby na osobę, z 14,7 dnia w 2023 r. do 18,30 dnia w 2024 r., a wskaźnik zwolnień chorobowych wzrósł z 3,60 % w 2023 r. do 3,9 % w 2024 r.; jest zaniepokojony obecną sytuacją i nadal domaga się jaśniejszej oceny dobrostanu pracowników w celu zidentyfikowania ewentualnych </w:t>
      </w:r>
      <w:r w:rsidRPr="00EB0001">
        <w:lastRenderedPageBreak/>
        <w:t>powtarzających się przyczyn wypalenia zawodowego, o których należy co roku informować organ udzielający absolutorium, tak jak ma to miejsce w przypadku wszystkich innych instytucji; zwraca się do EIOD, aby we współpracy ze Służbą Medyczną Komisji przeprowadził ukierunkowaną ocenę podstawowych przyczyn tego wzrostu, ze szczególnym naciskiem na zapobieganie wypaleniu zawodowemu;</w:t>
      </w:r>
    </w:p>
    <w:p w14:paraId="27A55937" w14:textId="77777777" w:rsidR="007A7D20" w:rsidRPr="00EB0001" w:rsidRDefault="007A7D20" w:rsidP="007A7D20">
      <w:pPr>
        <w:pStyle w:val="NormalHanging12a"/>
        <w:rPr>
          <w:szCs w:val="24"/>
        </w:rPr>
      </w:pPr>
      <w:r w:rsidRPr="00EB0001">
        <w:t>34.</w:t>
      </w:r>
      <w:r w:rsidRPr="00EB0001">
        <w:tab/>
        <w:t>na podstawie kwestionariusza zauważa, że w 2024 r. w EIOD nie zgłoszono żadnych przypadków nękania; z zadowoleniem przyjmuje fakt, że w 2024 r. w ramach szkolenia wprowadzającego dla nowych pracowników jeden z zaufanych doradców EIOD nadal przedstawiał prezentację na temat przeciwdziałania nękaniu; pochwala publikację decyzji w sprawie przeciwdziałania nękaniu i rolę zaufanych doradców w intranecie EIOD;</w:t>
      </w:r>
    </w:p>
    <w:p w14:paraId="0D5C6ABA" w14:textId="77777777" w:rsidR="007A7D20" w:rsidRPr="00EB0001" w:rsidRDefault="007A7D20" w:rsidP="007A7D20">
      <w:pPr>
        <w:pStyle w:val="NormalHanging12a"/>
        <w:rPr>
          <w:szCs w:val="24"/>
        </w:rPr>
      </w:pPr>
      <w:r w:rsidRPr="00EB0001">
        <w:rPr>
          <w:b/>
          <w:i/>
        </w:rPr>
        <w:t>Ramy etyczne i przejrzystość</w:t>
      </w:r>
    </w:p>
    <w:p w14:paraId="2D770995" w14:textId="77777777" w:rsidR="007A7D20" w:rsidRPr="00EB0001" w:rsidRDefault="007A7D20" w:rsidP="007A7D20">
      <w:pPr>
        <w:pStyle w:val="NormalHanging12a"/>
      </w:pPr>
      <w:r w:rsidRPr="00EB0001">
        <w:t>35.</w:t>
      </w:r>
      <w:r w:rsidRPr="00EB0001">
        <w:tab/>
        <w:t>zauważa, że EIOD ustanowił ramy zapobiegania konfliktom interesów na poziomie kadry kierowniczej najwyższego szczebla i personelu za pomocą kodeksów postępowania, podnoszenia świadomości i oświadczeń o braku konfliktu interesów i poufności; zauważa, że wszyscy nowi pracownicy EIOD muszą podpisać takie oświadczenie; odnotowuje, że w 2024 r. nie zgłoszono do EIOD żadnych spraw dotyczących konfliktu interesów ani nie zasygnalizowano nieprawidłowości; z niepokojem odnotowuje, że w 2024 r. do EIOD zgłoszono jeden przypadek zarzucanego nadużycia finansowego, zbadany przez Biuro Dochodzeń i Postępowań Dyscyplinarnych Komisji (IDOC); zwraca uwagę, że w tej sprawie IDOC zamknęło dochodzenie w 2025 r. i zaleciło EIOD wszczęcie postępowania dyscyplinarnego zgodnie z regulaminem pracowniczym; zachęca EIOD, aby informował organ udzielający absolutorium o ostatecznym wyniku tej sprawy, a także o wszelkich potencjalnych środkach podjętych w celu wzmocnienia wewnętrznych kontroli w zakresie zwalczania nadużyć finansowych;</w:t>
      </w:r>
    </w:p>
    <w:p w14:paraId="4AB772D1" w14:textId="77777777" w:rsidR="007A7D20" w:rsidRPr="00EB0001" w:rsidRDefault="007A7D20" w:rsidP="007A7D20">
      <w:pPr>
        <w:pStyle w:val="NormalHanging12a"/>
        <w:rPr>
          <w:szCs w:val="24"/>
        </w:rPr>
      </w:pPr>
      <w:r w:rsidRPr="00EB0001">
        <w:t>36.</w:t>
      </w:r>
      <w:r w:rsidRPr="00EB0001">
        <w:tab/>
        <w:t>zauważa, że w 2024 r. EIOD nadal organizował szkolenia wprowadzające obejmujące ramy etyczne (dotyczące nękania, sygnalizowania nieprawidłowości, konfliktu interesów) oraz strategię zwalczania nadużyć finansowych dla nowych pracowników EIOD/EROD; zauważa, że urzędnik ds. etyki EIOD co roku przedkłada kierownictwu EIOD/EROD sprawozdanie dotyczące etyki i uczestniczy w pracach grupy roboczej ds. etyki „</w:t>
      </w:r>
      <w:proofErr w:type="spellStart"/>
      <w:r w:rsidRPr="00EB0001">
        <w:t>Comité</w:t>
      </w:r>
      <w:proofErr w:type="spellEnd"/>
      <w:r w:rsidRPr="00EB0001">
        <w:t xml:space="preserve"> </w:t>
      </w:r>
      <w:proofErr w:type="spellStart"/>
      <w:r w:rsidRPr="00EB0001">
        <w:t>Paritaire</w:t>
      </w:r>
      <w:proofErr w:type="spellEnd"/>
      <w:r w:rsidRPr="00EB0001">
        <w:t xml:space="preserve"> des </w:t>
      </w:r>
      <w:proofErr w:type="spellStart"/>
      <w:r w:rsidRPr="00EB0001">
        <w:t>Questions</w:t>
      </w:r>
      <w:proofErr w:type="spellEnd"/>
      <w:r w:rsidRPr="00EB0001">
        <w:t xml:space="preserve"> </w:t>
      </w:r>
      <w:proofErr w:type="spellStart"/>
      <w:r w:rsidRPr="00EB0001">
        <w:t>Statuaries</w:t>
      </w:r>
      <w:proofErr w:type="spellEnd"/>
      <w:r w:rsidRPr="00EB0001">
        <w:t>”; z zadowoleniem odnotowuje, że EIOD utworzył skrzynkę pocztową, za pośrednictwem której pracownicy mogą zgłaszać wszelkie pytania dotyczące kwestii etycznych; zachęca EIOD do dalszego podnoszenia świadomości i organizowania ankiet w celu oceny poziomu świadomości pracowników w zakresie ram etycznych EIOD/EROD;</w:t>
      </w:r>
    </w:p>
    <w:p w14:paraId="7ABCA605" w14:textId="77777777" w:rsidR="007A7D20" w:rsidRPr="00EB0001" w:rsidRDefault="007A7D20" w:rsidP="007A7D20">
      <w:pPr>
        <w:pStyle w:val="NormalHanging12a"/>
      </w:pPr>
      <w:r w:rsidRPr="00EB0001">
        <w:t>37.</w:t>
      </w:r>
      <w:r w:rsidRPr="00EB0001">
        <w:tab/>
        <w:t xml:space="preserve">z zadowoleniem przyjmuje ogólnie wysoki poziom przejrzystości, jaki w swojej działalności osiągnął EIOD, w szczególności jeśli chodzi o publikację porządku obrad i deklaracji interesów Inspektora i sekretarza generalnego; na podstawie kwestionariusza z zadowoleniem odnotowuje, że po przeprowadzeniu w latach 2023–2024 wewnętrznej oceny środków przejrzystości EIOD przyjął w 2025 r. decyzję, zgodnie z którą Inspektor, sekretarz generalny i pracownicy EIOD pełniący funkcje kierownicze będą spotykać się z przedstawicielami grup interesu wyłącznie wtedy, gdy są oni zarejestrowani w unijnym rejestrze służącym przejrzystości; z zadowoleniem przyjmuje fakt, że dzięki tej decyzji EIOD jest wpisany do unijnego rejestru służącego przejrzystości, o czym należycie poinformowano zarząd rejestru; zaleca, aby EIOD </w:t>
      </w:r>
      <w:r w:rsidRPr="00EB0001">
        <w:lastRenderedPageBreak/>
        <w:t>publikował na swojej stronie internetowej wykaz wszystkich spotkań z przedstawicielami grup interesu w celu dalszego zwiększania odpowiedzialności publicznej i przejrzystości;</w:t>
      </w:r>
    </w:p>
    <w:p w14:paraId="323A15D0" w14:textId="77777777" w:rsidR="007A7D20" w:rsidRPr="00EB0001" w:rsidRDefault="007A7D20" w:rsidP="007A7D20">
      <w:pPr>
        <w:pStyle w:val="NormalHanging12a"/>
        <w:rPr>
          <w:szCs w:val="24"/>
        </w:rPr>
      </w:pPr>
      <w:r w:rsidRPr="00EB0001">
        <w:t>38.</w:t>
      </w:r>
      <w:r w:rsidRPr="00EB0001">
        <w:tab/>
        <w:t>zauważa, że EIOD był przedmiotem dochodzenia prowadzonego przez Europejskiego Rzecznika Praw Obywatelskich w sprawie wszczętej w 2023 r., którą zamknięto w 2024 r. i w której stwierdzono niewłaściwe administrowanie; zauważa, że dotyczyło to czasu potrzebnego EIOD na przeprowadzenie oceny skargi w rozsądnym terminie oraz niepoinformowania skarżącego z własnej inicjatywy o postępach w sprawie; w związku z tym docenia fakt, że EIOD podjął działania mające na celu usprawnienie swoich procedur, w wyniku których pracownicy są obecnie zobowiązani do aktywnego aktualizowania skarg i zawieszania dochodzeń w oczekiwaniu na orzeczenia sądowe lub decyzje innych organów w tej samej sprawie; zauważa na podstawie kwestionariusza, że EIOD był zaangażowany w trzy dochodzenia Europejskiego Urzędu ds. Zwalczania Nadużyć Finansowych (OLAF) w 2024 r., które są w toku; zachęca EIOD do informowania organu udzielającego absolutorium o tych sprawach;</w:t>
      </w:r>
    </w:p>
    <w:p w14:paraId="79639A1C" w14:textId="77777777" w:rsidR="007A7D20" w:rsidRPr="00EB0001" w:rsidRDefault="007A7D20" w:rsidP="007A7D20">
      <w:pPr>
        <w:pStyle w:val="NormalHanging12a"/>
      </w:pPr>
      <w:r w:rsidRPr="00EB0001">
        <w:t>39.</w:t>
      </w:r>
      <w:r w:rsidRPr="00EB0001">
        <w:tab/>
        <w:t>podkreśla rolę EIOD w monitorowaniu przetwarzania danych osobowych przez instytucje, organy i jednostki organizacyjne UE; wyraża zaniepokojenie czasem potrzebnym EIOD na rozpatrzenie skarg; przypomina decyzję Europejskiego Rzecznika Praw Obywatelskich z 7 listopada 2024 r. w sprawie 1888/2023/TM, w której Europejski Rzecznik Praw Obywatelskich stwierdził, że sześć lat potrzebnych EIOD na zakończenie oceny skargi nie jest rozsądnym terminem oraz że postępowanie EIOD należy zakwalifikować jako niewłaściwe administrowanie; zauważa, że Europejski Rzecznik Praw Obywatelskich stwierdził, iż EIOD również nie informował skarżącego o postępach w tej sprawie;</w:t>
      </w:r>
    </w:p>
    <w:p w14:paraId="7D1C244C" w14:textId="77777777" w:rsidR="007A7D20" w:rsidRPr="00EB0001" w:rsidRDefault="007A7D20" w:rsidP="007A7D20">
      <w:pPr>
        <w:pStyle w:val="NormalHanging12a"/>
        <w:rPr>
          <w:szCs w:val="24"/>
        </w:rPr>
      </w:pPr>
      <w:r w:rsidRPr="00EB0001">
        <w:t>40.</w:t>
      </w:r>
      <w:r w:rsidRPr="00EB0001">
        <w:tab/>
        <w:t>zauważa, że zgodnie z art. 9 kodeksu postępowania EIOD Inspektor i sekretarz generalny są zobowiązani do zachowania uczciwości, dyskrecji i poufności przez trzy lata po zakończeniu pełnienia funkcji; zauważa, że w 2024 r. żaden z urzędników wyższego szczebla nie odszedł z EIOD ani nie dołączył do tej instytucji;</w:t>
      </w:r>
    </w:p>
    <w:p w14:paraId="3BA968D4" w14:textId="77777777" w:rsidR="007A7D20" w:rsidRPr="00EB0001" w:rsidRDefault="007A7D20" w:rsidP="007A7D20">
      <w:pPr>
        <w:pStyle w:val="NormalHanging12a"/>
        <w:rPr>
          <w:szCs w:val="24"/>
        </w:rPr>
      </w:pPr>
      <w:r w:rsidRPr="00EB0001">
        <w:rPr>
          <w:b/>
          <w:i/>
        </w:rPr>
        <w:t xml:space="preserve">Cyfryzacja, </w:t>
      </w:r>
      <w:proofErr w:type="spellStart"/>
      <w:r w:rsidRPr="00EB0001">
        <w:rPr>
          <w:b/>
          <w:i/>
        </w:rPr>
        <w:t>cyberbezpieczeństwo</w:t>
      </w:r>
      <w:proofErr w:type="spellEnd"/>
      <w:r w:rsidRPr="00EB0001">
        <w:rPr>
          <w:b/>
          <w:i/>
        </w:rPr>
        <w:t xml:space="preserve"> i ochrona danych</w:t>
      </w:r>
    </w:p>
    <w:p w14:paraId="6D27522C" w14:textId="77777777" w:rsidR="007A7D20" w:rsidRPr="00EB0001" w:rsidRDefault="007A7D20" w:rsidP="007A7D20">
      <w:pPr>
        <w:pStyle w:val="NormalHanging12a"/>
        <w:rPr>
          <w:szCs w:val="24"/>
        </w:rPr>
      </w:pPr>
      <w:r w:rsidRPr="00EB0001">
        <w:t>41.</w:t>
      </w:r>
      <w:r w:rsidRPr="00EB0001">
        <w:tab/>
        <w:t xml:space="preserve">na podstawie kwestionariusza zauważa, że wydatki na sprzęt i projekty informatyczne w 2024 r. były o 10 % wyższe w porównaniu z 2023 r. ze względu na dodatkowe doradztwo w zakresie </w:t>
      </w:r>
      <w:proofErr w:type="spellStart"/>
      <w:r w:rsidRPr="00EB0001">
        <w:t>cyberbezpieczeństwa</w:t>
      </w:r>
      <w:proofErr w:type="spellEnd"/>
      <w:r w:rsidRPr="00EB0001">
        <w:t>; zauważa ponadto, że inne elementy kosztów były stosunkowo stabilne w okresie tych dwóch lat, w tym ogólnych usług informatycznych i utrzymania;</w:t>
      </w:r>
    </w:p>
    <w:p w14:paraId="188854ED" w14:textId="77777777" w:rsidR="007A7D20" w:rsidRPr="00EB0001" w:rsidRDefault="007A7D20" w:rsidP="007A7D20">
      <w:pPr>
        <w:pStyle w:val="NormalHanging12a"/>
        <w:rPr>
          <w:szCs w:val="24"/>
        </w:rPr>
      </w:pPr>
      <w:r w:rsidRPr="00EB0001">
        <w:t>42.</w:t>
      </w:r>
      <w:r w:rsidRPr="00EB0001">
        <w:tab/>
        <w:t xml:space="preserve">odnotowuje postępy poczynione przez EIOD w zakresie transformacji cyfrowej w 2024 r.; zwraca uwagę w szczególności na fakt, że EIOD zintegrował środowisko EU </w:t>
      </w:r>
      <w:proofErr w:type="spellStart"/>
      <w:r w:rsidRPr="00EB0001">
        <w:t>Send</w:t>
      </w:r>
      <w:proofErr w:type="spellEnd"/>
      <w:r w:rsidRPr="00EB0001">
        <w:t xml:space="preserve"> (usługa/kanał do wymiany szczególnie chronionych informacji jawnych z innymi instytucjami, organami, urzędami i agencjami UE), wprowadził wydział </w:t>
      </w:r>
      <w:proofErr w:type="spellStart"/>
      <w:r w:rsidRPr="00EB0001">
        <w:t>ServiceNow</w:t>
      </w:r>
      <w:proofErr w:type="spellEnd"/>
      <w:r w:rsidRPr="00EB0001">
        <w:t xml:space="preserve"> do wsparcia informatycznego (tworząc ujednolicony portal pomocy technicznej dla pracowników), wdrożył rozwiązanie SECABC (międzyinstytucjonalne ramy bezpiecznej wymiany informacji) oraz przeszedł na lokalną usługę Komisji „kontenery jako usługa” (</w:t>
      </w:r>
      <w:proofErr w:type="spellStart"/>
      <w:r w:rsidRPr="00EB0001">
        <w:t>CaaS</w:t>
      </w:r>
      <w:proofErr w:type="spellEnd"/>
      <w:r w:rsidRPr="00EB0001">
        <w:t xml:space="preserve">); zauważa, że do przeprowadzenia transformacja cyfrowej EIOD wyznaczono jednego urzędnika zatrudnionego na czas nieokreślony i jednego pracownika kontraktowego; uznaje na podstawie kwestionariusza i sprawozdania uzupełniającego ograniczenia budżetowe EIOD, które uniemożliwiają utworzenie </w:t>
      </w:r>
      <w:r w:rsidRPr="00EB0001">
        <w:lastRenderedPageBreak/>
        <w:t>zespołu co najmniej pięciu specjalistów IT zajmujących się siedmioma różnymi dziedzinami IT, którzy mogliby zajmować się konkretnymi aplikacjami związanymi z procesami biznesowymi EIOD, wykraczającymi poza podstawową infrastrukturę IT i usługi oferowane przez Parlament i Komisję w ramach umów o gwarantowanym poziomie usług (SLA);</w:t>
      </w:r>
    </w:p>
    <w:p w14:paraId="412ED426" w14:textId="77777777" w:rsidR="007A7D20" w:rsidRPr="00EB0001" w:rsidRDefault="007A7D20" w:rsidP="007A7D20">
      <w:pPr>
        <w:pStyle w:val="NormalHanging12a"/>
        <w:rPr>
          <w:bCs/>
          <w:iCs/>
        </w:rPr>
      </w:pPr>
      <w:r w:rsidRPr="00EB0001">
        <w:t>43.</w:t>
      </w:r>
      <w:r w:rsidRPr="00EB0001">
        <w:tab/>
        <w:t>zauważa, że EIOD ma nieliczny wewnętrzny personel informatyczny, co kompensują usługi informatyczne świadczone przez Parlament i Komisję na podstawie umów o gwarantowanym poziomie usług i mechanizmu obciążeń zwrotnych; przypomina, że w rezolucji w sprawie absolutorium za 2023 r. Parlament zidentyfikował już niedobory strukturalne między takimi międzyinstytucjonalnymi usługami informatycznymi a szczególnymi potrzebami operacyjnymi EIOD; podkreśla, że chociaż model ten może przynieść korzyści skali, może on także obniżyć przewidywalność kosztów i bezpośrednią kontrolę małych instytucji nad ewolucją wydatków związanych z IT, oraz podkreśla znaczenie uwzględnienia tej strukturalnej presji kosztowej w przyszłym planowaniu budżetowym;</w:t>
      </w:r>
    </w:p>
    <w:p w14:paraId="3C8D9DA8" w14:textId="77777777" w:rsidR="007A7D20" w:rsidRPr="00EB0001" w:rsidRDefault="007A7D20" w:rsidP="007A7D20">
      <w:pPr>
        <w:pStyle w:val="NormalHanging12a"/>
        <w:rPr>
          <w:bCs/>
          <w:iCs/>
        </w:rPr>
      </w:pPr>
      <w:r w:rsidRPr="00EB0001">
        <w:t>44.</w:t>
      </w:r>
      <w:r w:rsidRPr="00EB0001">
        <w:tab/>
        <w:t xml:space="preserve">zwraca uwagę na realizowane przez EIOD w celu wzmocnienia suwerenności danych i zmniejszenia zależności od dostawców spoza UE prace nad otwartymi, opartymi na unijnej współpracy rozwiązaniami chmurowymi, w szczególności na projekt </w:t>
      </w:r>
      <w:proofErr w:type="spellStart"/>
      <w:r w:rsidRPr="00EB0001">
        <w:t>Nextcloud</w:t>
      </w:r>
      <w:proofErr w:type="spellEnd"/>
      <w:r w:rsidRPr="00EB0001">
        <w:t xml:space="preserve"> i jego migrację do zarządzanego przez Komisję centrum danych; zwraca się do EIOD o przedstawienie organowi udzielającemu absolutorium oceny całkowitego kosztu własności projektu, korzyści dla bezpieczeństwa i skalowalności z dla innych instytucji Unii;</w:t>
      </w:r>
    </w:p>
    <w:p w14:paraId="1FE6066E" w14:textId="77777777" w:rsidR="007A7D20" w:rsidRPr="00EB0001" w:rsidRDefault="007A7D20" w:rsidP="007A7D20">
      <w:pPr>
        <w:pStyle w:val="NormalHanging12a"/>
      </w:pPr>
      <w:r w:rsidRPr="00EB0001">
        <w:t>45.</w:t>
      </w:r>
      <w:r w:rsidRPr="00EB0001">
        <w:tab/>
        <w:t>przyznaje, że EIOD z powodzeniem polega na wielu systemach administracyjnych wykorzystywanych przez Komisję, zwłaszcza w dziedzinie procesów zarządzania zasobami ludzkimi i zarządzania przedsiębiorstwami, a także na niektórych służbach Parlamentu, w tym między innymi jeśli chodzi o dostarczanie laptopów, infrastruktury sieciowej i wideokonferencji; zauważa, że EIOD stosuje kwalifikowany podpis elektroniczny do podpisywania dokumentów elektronicznych w systemie ARES i poza nim w odniesieniu do dokumentów administracyjnych i finansowych; pochwala EIOD za postępy w zakresie przyjmowania narzędzi e-zamówień, które mają zostać wprowadzone w 2026 r., kiedy to u EIOD zostanie również wdrożone nowe oprogramowanie finansowe SUMMA;</w:t>
      </w:r>
    </w:p>
    <w:p w14:paraId="56917FFA" w14:textId="77777777" w:rsidR="007A7D20" w:rsidRPr="00EB0001" w:rsidRDefault="007A7D20" w:rsidP="007A7D20">
      <w:pPr>
        <w:pStyle w:val="NormalHanging12a"/>
      </w:pPr>
      <w:r w:rsidRPr="00EB0001">
        <w:t>46.</w:t>
      </w:r>
      <w:r w:rsidRPr="00EB0001">
        <w:tab/>
        <w:t>na podstawie kwestionariusza odnotowuje, że EIOD zatwierdził w 2025 r. wewnętrzne wytyczne dotyczące stosowania systemów generatywnej AI przez swoich pracowników, którym oferuje się również obowiązkowe szkolenia z zakresu AI; z zadowoleniem przyjmuje prace przygotowawcze EIOD nad ewentualnym wydaniem wytycznych mających na celu zapewnienie odpowiedzialnego stosowania narzędzi AI przez instytucje, organy, urzędy i agencje unijne, które uzupełniałyby wytyczne już przedstawione przez Komisję, koncentrując się na specyfice administracji publicznej Unii lub przypadkach użycia w określonych obszarach, takich jak zasoby ludzkie czy rekrutacja;</w:t>
      </w:r>
    </w:p>
    <w:p w14:paraId="26E787BE" w14:textId="77777777" w:rsidR="007A7D20" w:rsidRPr="00EB0001" w:rsidRDefault="007A7D20" w:rsidP="007A7D20">
      <w:pPr>
        <w:pStyle w:val="NormalHanging12a"/>
        <w:rPr>
          <w:szCs w:val="24"/>
        </w:rPr>
      </w:pPr>
      <w:r w:rsidRPr="00EB0001">
        <w:t>47.</w:t>
      </w:r>
      <w:r w:rsidRPr="00EB0001">
        <w:tab/>
        <w:t xml:space="preserve">docenia wiodącą rolę EIOD w zwiększaniu gotowości instytucji, organów, urzędów i agencji UE w zakresie </w:t>
      </w:r>
      <w:proofErr w:type="spellStart"/>
      <w:r w:rsidRPr="00EB0001">
        <w:t>cyberbezpieczeństwa</w:t>
      </w:r>
      <w:proofErr w:type="spellEnd"/>
      <w:r w:rsidRPr="00EB0001">
        <w:t xml:space="preserve">, przy ścisłej współpracy z organami takimi jak ENISA i ośrodkami </w:t>
      </w:r>
      <w:proofErr w:type="spellStart"/>
      <w:r w:rsidRPr="00EB0001">
        <w:t>cyberbezpieczeństwa</w:t>
      </w:r>
      <w:proofErr w:type="spellEnd"/>
      <w:r w:rsidRPr="00EB0001">
        <w:t xml:space="preserve"> takimi jak CERT-UE;</w:t>
      </w:r>
    </w:p>
    <w:p w14:paraId="1B4F4969" w14:textId="77777777" w:rsidR="007A7D20" w:rsidRPr="00EB0001" w:rsidRDefault="007A7D20" w:rsidP="007A7D20">
      <w:pPr>
        <w:pStyle w:val="NormalHanging12a"/>
      </w:pPr>
      <w:r w:rsidRPr="00EB0001">
        <w:t>48.</w:t>
      </w:r>
      <w:r w:rsidRPr="00EB0001">
        <w:tab/>
        <w:t xml:space="preserve">na podstawie kwestionariusza zauważa, że EIOD podjął dwie kluczowe inicjatywy </w:t>
      </w:r>
      <w:r w:rsidRPr="00EB0001">
        <w:lastRenderedPageBreak/>
        <w:t xml:space="preserve">mające na celu wzmocnienie zarządzania naruszeniami ochrony danych osobowych we wszystkich instytucjach unijnych, tj. kampanię uświadamiającą na temat naruszeń ochrony danych osobowych, skierowaną do podmiotów, które wcześniej nie zgłaszały naruszeń, zapewniającą narzędzia samooceny, konsultacje dwustronne i dostosowane do potrzeb zalecenia, a także ćwiczenie z zakresu </w:t>
      </w:r>
      <w:proofErr w:type="spellStart"/>
      <w:r w:rsidRPr="00EB0001">
        <w:t>cyberbezpieczeństwa</w:t>
      </w:r>
      <w:proofErr w:type="spellEnd"/>
      <w:r w:rsidRPr="00EB0001">
        <w:t xml:space="preserve"> (o nazwie PATRICIA), mające na celu poprawę postępowania w przypadku </w:t>
      </w:r>
      <w:proofErr w:type="spellStart"/>
      <w:r w:rsidRPr="00EB0001">
        <w:t>cyberincydentów</w:t>
      </w:r>
      <w:proofErr w:type="spellEnd"/>
      <w:r w:rsidRPr="00EB0001">
        <w:t xml:space="preserve">, dotyczących naruszeń ochrony danych osobowych, oraz wzmocnienie współpracy międzyinstytucjonalnej; z zadowoleniem zauważa, że obie inicjatywy zostały w 2025 r. nagrodzone przez Globalne Zgromadzenie ds. Prywatności za ich wkład w zwiększenie odpowiedzialności; zauważa, że EIOD wzmocnił swoje ramy </w:t>
      </w:r>
      <w:proofErr w:type="spellStart"/>
      <w:r w:rsidRPr="00EB0001">
        <w:t>cyberbezpieczeństwa</w:t>
      </w:r>
      <w:proofErr w:type="spellEnd"/>
      <w:r w:rsidRPr="00EB0001">
        <w:t xml:space="preserve">, wprowadzając wykrywanie podatności i zagrożeń w czasie rzeczywistym dla zasobów dostępnych w </w:t>
      </w:r>
      <w:proofErr w:type="spellStart"/>
      <w:r w:rsidRPr="00EB0001">
        <w:t>internecie</w:t>
      </w:r>
      <w:proofErr w:type="spellEnd"/>
      <w:r w:rsidRPr="00EB0001">
        <w:t xml:space="preserve"> dzięki zacieśnionej współpracy w ramach umowy SLA z CERT-UE; gratuluje EIOD zorganizowania w czerwcu 2024 r. w Brukseli konferencji z udziałem ekspertów ds. ochrony danych, osób odpowiedzialnych za wyznaczanie kierunków polityki i specjalistów ds. technologii, aby zastanowić się nad zmieniającą się rolą ochrony danych we współczesnych demokracjach, w szczególności w kontekście nasilenia się dezinformacji i manipulacji w </w:t>
      </w:r>
      <w:proofErr w:type="spellStart"/>
      <w:r w:rsidRPr="00EB0001">
        <w:t>internecie</w:t>
      </w:r>
      <w:proofErr w:type="spellEnd"/>
      <w:r w:rsidRPr="00EB0001">
        <w:t xml:space="preserve"> oraz wyzwań związanych z mediami społecznościowymi;</w:t>
      </w:r>
    </w:p>
    <w:p w14:paraId="4BBFFC43" w14:textId="77777777" w:rsidR="007A7D20" w:rsidRPr="00EB0001" w:rsidRDefault="007A7D20" w:rsidP="007A7D20">
      <w:pPr>
        <w:pStyle w:val="NormalHanging12a"/>
        <w:rPr>
          <w:b/>
          <w:i/>
          <w:szCs w:val="24"/>
        </w:rPr>
      </w:pPr>
      <w:r w:rsidRPr="00EB0001">
        <w:rPr>
          <w:b/>
          <w:i/>
        </w:rPr>
        <w:t>Budynki</w:t>
      </w:r>
    </w:p>
    <w:p w14:paraId="1F3D7C3F" w14:textId="77777777" w:rsidR="007A7D20" w:rsidRPr="00EB0001" w:rsidRDefault="007A7D20" w:rsidP="007A7D20">
      <w:pPr>
        <w:pStyle w:val="NormalHanging12a"/>
        <w:rPr>
          <w:szCs w:val="24"/>
        </w:rPr>
      </w:pPr>
      <w:r w:rsidRPr="00EB0001">
        <w:t>49.</w:t>
      </w:r>
      <w:r w:rsidRPr="00EB0001">
        <w:tab/>
        <w:t>zauważa, że w 2024 r. konieczne było przeniesienie kwoty około 55 000 EUR w celu pokrycia kosztów ochrony budynku i kosztów najmu, ponieważ potwierdzone przez Parlament koszty najmu budynku, z którego korzysta EIOD, na 2024 r. były wyższe niż środki przyznane na ten rok;</w:t>
      </w:r>
    </w:p>
    <w:p w14:paraId="14D43190" w14:textId="77777777" w:rsidR="007A7D20" w:rsidRPr="00EB0001" w:rsidRDefault="007A7D20" w:rsidP="007A7D20">
      <w:pPr>
        <w:pStyle w:val="NormalHanging12a"/>
        <w:rPr>
          <w:szCs w:val="24"/>
        </w:rPr>
      </w:pPr>
      <w:r w:rsidRPr="00EB0001">
        <w:t>50.</w:t>
      </w:r>
      <w:r w:rsidRPr="00EB0001">
        <w:tab/>
        <w:t>zauważa, że jeśli chodzi o dostępność jego budynku, EIOD opiera się na decyzjach podejmowanych i wdrażanych przez Parlament w ramach polityki dotyczącej budynków; zachęca EIOD do poinformowania organu udzielającego absolutorium, czy planuje on również zatrudniać stażystów o ograniczonej możliwości poruszania się lub z niepełnosprawnościami;</w:t>
      </w:r>
    </w:p>
    <w:p w14:paraId="2B7E2F64" w14:textId="77777777" w:rsidR="007A7D20" w:rsidRPr="00EB0001" w:rsidRDefault="007A7D20" w:rsidP="007A7D20">
      <w:pPr>
        <w:pStyle w:val="NormalHanging12a"/>
        <w:rPr>
          <w:b/>
          <w:iCs/>
          <w:szCs w:val="24"/>
        </w:rPr>
      </w:pPr>
      <w:r w:rsidRPr="00EB0001">
        <w:rPr>
          <w:b/>
          <w:i/>
        </w:rPr>
        <w:t>Środowisko i zrównoważony rozwój</w:t>
      </w:r>
    </w:p>
    <w:p w14:paraId="22ECCD25" w14:textId="77777777" w:rsidR="007A7D20" w:rsidRPr="00EB0001" w:rsidRDefault="007A7D20" w:rsidP="007A7D20">
      <w:pPr>
        <w:pStyle w:val="NormalHanging12a"/>
        <w:rPr>
          <w:bCs/>
          <w:iCs/>
          <w:szCs w:val="24"/>
        </w:rPr>
      </w:pPr>
      <w:r w:rsidRPr="00EB0001">
        <w:t>51.</w:t>
      </w:r>
      <w:r w:rsidRPr="00EB0001">
        <w:tab/>
        <w:t>zauważa, że EIOD wynajmuje inteligentny budynek Parlamentu, którego ślad środowiskowy zmniejszono dzięki kilku środkom takim jak między innymi automatyczna i centralna regulacja temperatury; zauważa, że budynek ten jest również wyposażony w panele fotowoltaiczne, które generują około 20 kWh energii elektrycznej, co pokrywa 6,04 % całkowitego zużycia energii przez EIOD w 2024 r.;</w:t>
      </w:r>
    </w:p>
    <w:p w14:paraId="7186D8A8" w14:textId="77777777" w:rsidR="007A7D20" w:rsidRPr="00EB0001" w:rsidRDefault="007A7D20" w:rsidP="007A7D20">
      <w:pPr>
        <w:pStyle w:val="NormalHanging12a"/>
      </w:pPr>
      <w:r w:rsidRPr="00EB0001">
        <w:t>52.</w:t>
      </w:r>
      <w:r w:rsidRPr="00EB0001">
        <w:tab/>
        <w:t xml:space="preserve">zauważa, że EIOD nie przystąpił do systemu </w:t>
      </w:r>
      <w:proofErr w:type="spellStart"/>
      <w:r w:rsidRPr="00EB0001">
        <w:t>ekozarządzania</w:t>
      </w:r>
      <w:proofErr w:type="spellEnd"/>
      <w:r w:rsidRPr="00EB0001">
        <w:t xml:space="preserve"> i audytu (EMAS); zauważa, że w celu uzyskania certyfikatu EMAS EIOD powołał w 2024 r. międzyjednostkową grupę roboczą, której celem jest sporządzenie wykazu istniejących środków już wdrożonych przez Parlament, opracowanie strategii redukcji emisji dwutlenku węgla oraz zaproponowanie innowacyjnych rozwiązań; wzywa EIOD, aby określił jasny harmonogram uzyskania certyfikacji EMAS oraz aby informował organ udzielający absolutorium o bieżących postępach poczynionych w tej sprawie;</w:t>
      </w:r>
    </w:p>
    <w:p w14:paraId="5D32AB87" w14:textId="77777777" w:rsidR="007A7D20" w:rsidRPr="00EB0001" w:rsidRDefault="007A7D20" w:rsidP="007A7D20">
      <w:pPr>
        <w:spacing w:after="240"/>
        <w:ind w:left="567" w:hanging="567"/>
      </w:pPr>
      <w:r w:rsidRPr="00EB0001">
        <w:t>53.</w:t>
      </w:r>
      <w:r w:rsidRPr="00EB0001">
        <w:tab/>
        <w:t xml:space="preserve">na podstawie kwestionariusza zauważa, że EIOD realizuje większość zamówień publicznych w drodze międzyinstytucjonalnych umów ramowych i jako uczestnicząca instytucja zamawiająca stosuje kryteria zrównoważonego rozwoju ustanowione przez </w:t>
      </w:r>
      <w:r w:rsidRPr="00EB0001">
        <w:lastRenderedPageBreak/>
        <w:t>główną instytucję zamawiającą;</w:t>
      </w:r>
    </w:p>
    <w:p w14:paraId="7BEB35AD" w14:textId="77777777" w:rsidR="007A7D20" w:rsidRPr="00EB0001" w:rsidRDefault="007A7D20" w:rsidP="007A7D20">
      <w:pPr>
        <w:spacing w:after="240"/>
        <w:ind w:left="567" w:hanging="567"/>
      </w:pPr>
      <w:r w:rsidRPr="00EB0001">
        <w:t>54.</w:t>
      </w:r>
      <w:r w:rsidRPr="00EB0001">
        <w:tab/>
        <w:t>na podstawie kwestionariusza zauważa, że wszystkie podróże służbowe w EIOD muszą być zgodne z zasadami określonymi w przewodniku dotyczącym podróży służbowych; zauważa, że pracownicy EIOD podróżują głównie klasą ekonomiczną, a większość podróży odbywa się na terenie Unii; z zadowoleniem przyjmuje działania EIOD na rzecz zmniejszenia śladu węglowego przez zachęcanie pracowników do korzystania z wideokonferencji, podróży pociągiem na krótkich dystansach oraz transportu publicznego podczas podróży do lub z lotniska lub w miejscu delegacji służbowej;</w:t>
      </w:r>
    </w:p>
    <w:p w14:paraId="097733AC" w14:textId="77777777" w:rsidR="007A7D20" w:rsidRPr="00EB0001" w:rsidRDefault="007A7D20" w:rsidP="007A7D20">
      <w:pPr>
        <w:spacing w:after="240"/>
        <w:ind w:left="567" w:hanging="567"/>
      </w:pPr>
      <w:r w:rsidRPr="00EB0001">
        <w:t>55.</w:t>
      </w:r>
      <w:r w:rsidRPr="00EB0001">
        <w:tab/>
        <w:t>zauważa na podstawie kwestionariusza, że EIOD wdraża strategię zrównoważonej mobilności, która umożliwia pracownikom ubieganie się o zwrot 50 % kosztów miesięcznych lub rocznych biletów okresowych lub biletów wielokrotnych na transport publiczny oraz zapewnia udogodnienia dostosowane do potrzeb pracowników korzystających z rowerów;</w:t>
      </w:r>
    </w:p>
    <w:p w14:paraId="3D0610D8" w14:textId="77777777" w:rsidR="007A7D20" w:rsidRPr="00EB0001" w:rsidRDefault="007A7D20" w:rsidP="007A7D20">
      <w:pPr>
        <w:pStyle w:val="NormalHanging12a"/>
        <w:rPr>
          <w:b/>
          <w:i/>
          <w:szCs w:val="24"/>
        </w:rPr>
      </w:pPr>
      <w:r w:rsidRPr="00EB0001">
        <w:rPr>
          <w:b/>
          <w:i/>
        </w:rPr>
        <w:t>Współpraca międzyinstytucjonalna</w:t>
      </w:r>
    </w:p>
    <w:p w14:paraId="2CC113A0" w14:textId="77777777" w:rsidR="007A7D20" w:rsidRPr="00EB0001" w:rsidRDefault="007A7D20" w:rsidP="007A7D20">
      <w:pPr>
        <w:pStyle w:val="NormalHanging12a"/>
        <w:rPr>
          <w:szCs w:val="24"/>
        </w:rPr>
      </w:pPr>
      <w:r w:rsidRPr="00EB0001">
        <w:t>56.</w:t>
      </w:r>
      <w:r w:rsidRPr="00EB0001">
        <w:tab/>
        <w:t>z zadowoleniem przyjmuje oszczędności budżetowe i administracyjne osiągnięte przez EIOD dzięki współpracy międzyinstytucjonalnej, w szczególności zawieraniu z Parlamentem umów o gwarantowanym poziomie usług dotyczących wynajmu pomieszczeń oraz korzystania z aplikacji informatycznych, sprzętu i utrzymania, a także z Komisją w odniesieniu do procesów zarządzania zasobami ludzkimi i administracyjnymi, jak również przez udział w dużych międzyinstytucjonalnych umowach ramowych w takich dziedzinach jak między innymi doradztwo informatyczne, usługi tymczasowe i materiały biurowe; ponadto pochwala EIOD za utrzymywanie ustrukturyzowanej współpracy z Europejskim Rzecznikiem Praw Obywatelskich, Agencją Praw Podstawowych Unii Europejskiej i CERT-UE za pośrednictwem protokołów ustaleń; na podstawie kwestionariusza zauważa, że EIOD uczestniczy również w międzyinstytucjonalnym projekcie transformacji zasobów ludzkich, kierowanym przez Komisję, którego celem jest cyfryzacja procesów związanych z zasobami ludzkimi, a realizacja tego projektu zostanie zakończona do 2029 r.;</w:t>
      </w:r>
    </w:p>
    <w:p w14:paraId="061A9CD9" w14:textId="77777777" w:rsidR="007A7D20" w:rsidRPr="00EB0001" w:rsidRDefault="007A7D20" w:rsidP="007A7D20">
      <w:pPr>
        <w:pStyle w:val="NormalHanging12a"/>
        <w:rPr>
          <w:szCs w:val="24"/>
        </w:rPr>
      </w:pPr>
      <w:r w:rsidRPr="00EB0001">
        <w:t>57.</w:t>
      </w:r>
      <w:r w:rsidRPr="00EB0001">
        <w:tab/>
        <w:t>zauważa, że EIOD uczestniczy w posiedzeniach różnych organów międzyinstytucjonalnych; w tym kontekście z zadowoleniem przyjmuje udział EIOD w posiedzeniach szefów administracji i Międzyinstytucjonalnego Komitetu Komunikacji Internetowej pod przewodnictwem Dyrekcji Generalnej Parlamentu ds. Komunikacji; zauważa, że współpraca międzyinstytucjonalna z EIOD pełniącym swoją funkcję nadzorczą jest kluczowe dla lepszego przestrzegania przepisów dotyczących ochrony danych przez inne instytucje UE;</w:t>
      </w:r>
    </w:p>
    <w:p w14:paraId="45FFDB64" w14:textId="77777777" w:rsidR="007A7D20" w:rsidRPr="00EB0001" w:rsidRDefault="007A7D20" w:rsidP="007A7D20">
      <w:pPr>
        <w:pStyle w:val="NormalHanging12a"/>
        <w:rPr>
          <w:szCs w:val="24"/>
        </w:rPr>
      </w:pPr>
      <w:r w:rsidRPr="00EB0001">
        <w:t>58.</w:t>
      </w:r>
      <w:r w:rsidRPr="00EB0001">
        <w:tab/>
        <w:t xml:space="preserve">na podstawie sprawozdania rocznego zauważa, że w 2024 r. EROD rozpoczęła skoordynowane działania w zakresie egzekwowania prawa osób fizycznych do dostępu do ich danych osobowych, w których to działaniach uczestniczyło 30 organów ochrony danych z całej Unii i EOG; na podstawie kwestionariusza zauważa, że EIOD uczestniczył w tych działaniach, ale kontynuował również prace nad skoordynowanymi działaniami EROD w zakresie egzekwowania prawa od 2023 r., dotyczącymi roli inspektora ochrony danych; zauważa dalsze aktywne zaangażowanie EIOD w działania CSC w 2024 r. poprzez przejęcie na dwa lata roli koordynatora CSC, opracowanie wytycznych dotyczących współpracy w zakresie rozpatrywania skarg dotyczących </w:t>
      </w:r>
      <w:r w:rsidRPr="00EB0001">
        <w:lastRenderedPageBreak/>
        <w:t>Europolu oraz monitorowanie rozwoju systemu ETIAS; zauważa, że EIOD, jako członek EROD, koordynował również grupę zadaniową ds. współpracy z organami ds. konkurencji i ochrony konsumentów w zakresie wzajemnego oddziaływania między aktem o rynkach cyfrowych</w:t>
      </w:r>
      <w:r w:rsidRPr="00EB0001">
        <w:rPr>
          <w:rStyle w:val="FootnoteReference"/>
          <w:szCs w:val="24"/>
        </w:rPr>
        <w:footnoteReference w:id="11"/>
      </w:r>
      <w:r w:rsidRPr="00EB0001">
        <w:t xml:space="preserve"> a RODO</w:t>
      </w:r>
      <w:r w:rsidRPr="00EB0001">
        <w:rPr>
          <w:rStyle w:val="FootnoteReference"/>
          <w:szCs w:val="24"/>
        </w:rPr>
        <w:footnoteReference w:id="12"/>
      </w:r>
      <w:r w:rsidRPr="00EB0001">
        <w:t>;</w:t>
      </w:r>
    </w:p>
    <w:p w14:paraId="03906BC4" w14:textId="77777777" w:rsidR="007A7D20" w:rsidRPr="00EB0001" w:rsidRDefault="007A7D20" w:rsidP="007A7D20">
      <w:pPr>
        <w:pStyle w:val="NormalHanging12a"/>
        <w:rPr>
          <w:szCs w:val="24"/>
        </w:rPr>
      </w:pPr>
      <w:r w:rsidRPr="00EB0001">
        <w:t>59.</w:t>
      </w:r>
      <w:r w:rsidRPr="00EB0001">
        <w:tab/>
        <w:t>Na podstawie kwestionariusza i sprawozdania uzupełniającego zauważa, że wspólne działania z OLAF-em, Prokuraturą Europejską i Trybunałem oraz podejmowanie inicjatyw w zakresie wykrywania nadużyć finansowych wykraczają poza zakres uprawnień EIOD;</w:t>
      </w:r>
    </w:p>
    <w:p w14:paraId="5682E8E9" w14:textId="77777777" w:rsidR="007A7D20" w:rsidRPr="00EB0001" w:rsidRDefault="007A7D20" w:rsidP="007A7D20">
      <w:pPr>
        <w:pStyle w:val="NormalHanging12a"/>
        <w:rPr>
          <w:b/>
          <w:i/>
          <w:szCs w:val="24"/>
        </w:rPr>
      </w:pPr>
      <w:r w:rsidRPr="00EB0001">
        <w:rPr>
          <w:b/>
          <w:i/>
        </w:rPr>
        <w:t>Komunikacja</w:t>
      </w:r>
    </w:p>
    <w:p w14:paraId="772E2103" w14:textId="20C8A95D" w:rsidR="007A7D20" w:rsidRPr="00EB0001" w:rsidRDefault="007A7D20" w:rsidP="007A7D20">
      <w:pPr>
        <w:pStyle w:val="NormalHanging12a"/>
        <w:rPr>
          <w:szCs w:val="24"/>
        </w:rPr>
      </w:pPr>
      <w:r w:rsidRPr="00EB0001">
        <w:t>60.</w:t>
      </w:r>
      <w:r w:rsidRPr="00EB0001">
        <w:tab/>
        <w:t>zauważa, że budżet na działania w zakresie komunikacji publicznej i działaniach promocyjnych w 202</w:t>
      </w:r>
      <w:r w:rsidR="00A24020">
        <w:t>4</w:t>
      </w:r>
      <w:r w:rsidRPr="00EB0001">
        <w:t xml:space="preserve"> r. wyniósł 425 000 EUR, co stanowi wzrost o około 9,20 % w porównaniu z 2023 r.;</w:t>
      </w:r>
    </w:p>
    <w:p w14:paraId="3FB55F49" w14:textId="77777777" w:rsidR="007A7D20" w:rsidRPr="00EB0001" w:rsidRDefault="007A7D20" w:rsidP="007A7D20">
      <w:pPr>
        <w:pStyle w:val="NormalHanging12a"/>
        <w:rPr>
          <w:szCs w:val="24"/>
        </w:rPr>
      </w:pPr>
      <w:r w:rsidRPr="00EB0001">
        <w:t>61.</w:t>
      </w:r>
      <w:r w:rsidRPr="00EB0001">
        <w:tab/>
        <w:t>z zadowoleniem zauważa, że w 2024 r. EIOD zorganizował kilka wydarzeń komunikacyjnych online i na żywo oraz uczestniczył w takich wydarzeniach; ich celem było zwiększenie świadomości szerszej opinii publicznej na temat roli i misji EIOD oraz znaczenia przestrzegania unijnych przepisów o ochronie danych, takich jak Dzień Ochrony Danych, konferencja stażystów EIOD (dwa razy w roku), szczyt społeczeństwa obywatelskiego EIOD oraz Globalne Zgromadzenie ds. Prywatności;</w:t>
      </w:r>
    </w:p>
    <w:p w14:paraId="2C153C47" w14:textId="77777777" w:rsidR="007A7D20" w:rsidRPr="00EB0001" w:rsidRDefault="007A7D20" w:rsidP="007A7D20">
      <w:pPr>
        <w:pStyle w:val="NormalHanging12a"/>
        <w:rPr>
          <w:szCs w:val="24"/>
        </w:rPr>
      </w:pPr>
      <w:r w:rsidRPr="00EB0001">
        <w:t>62.</w:t>
      </w:r>
      <w:r w:rsidRPr="00EB0001">
        <w:tab/>
        <w:t xml:space="preserve">zauważa, że EIOD prowadzi komunikację w </w:t>
      </w:r>
      <w:proofErr w:type="spellStart"/>
      <w:r w:rsidRPr="00EB0001">
        <w:t>internecie</w:t>
      </w:r>
      <w:proofErr w:type="spellEnd"/>
      <w:r w:rsidRPr="00EB0001">
        <w:t xml:space="preserve"> za pośrednictwem swojej strony internetowej i kont w mediach społecznościowych na platformach: X (dawny Twitter) (28 800 obserwujących), LinkedIn (82 800 obserwujących), YouTube (3 400 obserwujących) i Instagram (300 obserwujących);</w:t>
      </w:r>
    </w:p>
    <w:p w14:paraId="45B63194" w14:textId="49BDEAC7" w:rsidR="00EB0001" w:rsidRPr="00EB0001" w:rsidRDefault="007A7D20" w:rsidP="00EB0001">
      <w:pPr>
        <w:pStyle w:val="NormalHanging12a"/>
      </w:pPr>
      <w:r w:rsidRPr="00EB0001">
        <w:t>63.</w:t>
      </w:r>
      <w:r w:rsidRPr="00EB0001">
        <w:tab/>
        <w:t xml:space="preserve">zauważa, że w 2024 r. sfinalizowano projekt pilotażowy platform EU Voice i EU Video (bezpłatne i otwarte sieci mediów społecznościowych, zorientowanych na prywatność i opartych na oprogramowaniu </w:t>
      </w:r>
      <w:proofErr w:type="spellStart"/>
      <w:r w:rsidRPr="00EB0001">
        <w:t>Mastodon</w:t>
      </w:r>
      <w:proofErr w:type="spellEnd"/>
      <w:r w:rsidRPr="00EB0001">
        <w:t xml:space="preserve"> i </w:t>
      </w:r>
      <w:proofErr w:type="spellStart"/>
      <w:r w:rsidRPr="00EB0001">
        <w:t>PeerTube</w:t>
      </w:r>
      <w:proofErr w:type="spellEnd"/>
      <w:r w:rsidRPr="00EB0001">
        <w:t xml:space="preserve">); zauważa, że EIOD ułatwił płynną migrację użytkowników instytucji, organów, urzędów i agencji UE, którzy chcieli zachować swoje konta, zapewniając ciągłość działania serwisu; odnotowuje, że w oparciu o sukces programu pilotażowego podjęto przygotowania do przywrócenia oprogramowania </w:t>
      </w:r>
      <w:proofErr w:type="spellStart"/>
      <w:r w:rsidRPr="00EB0001">
        <w:t>Mastodon</w:t>
      </w:r>
      <w:proofErr w:type="spellEnd"/>
      <w:r w:rsidRPr="00EB0001">
        <w:t xml:space="preserve"> w 2025 r.; w tym kontekście z zadowoleniem przyjmuje wkład EIOD w strategię Unii w zakresie danych i suwerenności cyfrowej w celu promowania niezależności Unii w świecie cyfrowym i przestrzegania ram prawnych dotyczących ochrony danych.</w:t>
      </w:r>
    </w:p>
    <w:p w14:paraId="1B002D86" w14:textId="622984BC" w:rsidR="00E365E1" w:rsidRPr="00EB0001" w:rsidRDefault="00E365E1" w:rsidP="00EB5658"/>
    <w:sectPr w:rsidR="00E365E1" w:rsidRPr="00EB0001" w:rsidSect="00EB000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29206" w14:textId="77777777" w:rsidR="00EB5658" w:rsidRPr="00EB0001" w:rsidRDefault="00EB5658">
      <w:r w:rsidRPr="00EB0001">
        <w:separator/>
      </w:r>
    </w:p>
  </w:endnote>
  <w:endnote w:type="continuationSeparator" w:id="0">
    <w:p w14:paraId="469AD448" w14:textId="77777777" w:rsidR="00EB5658" w:rsidRPr="00EB0001" w:rsidRDefault="00EB5658">
      <w:r w:rsidRPr="00EB00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86FF" w14:textId="77777777" w:rsidR="007A7D20" w:rsidRPr="00EB0001" w:rsidRDefault="007A7D20" w:rsidP="00BA691D">
    <w:pPr>
      <w:pStyle w:val="EPFooter"/>
    </w:pPr>
    <w:r w:rsidRPr="00EB0001">
      <w:t>PE</w:t>
    </w:r>
    <w:r w:rsidRPr="00EB0001">
      <w:rPr>
        <w:rStyle w:val="HideTWBExt"/>
      </w:rPr>
      <w:t>&lt;</w:t>
    </w:r>
    <w:proofErr w:type="spellStart"/>
    <w:r w:rsidRPr="00EB0001">
      <w:rPr>
        <w:rStyle w:val="HideTWBExt"/>
      </w:rPr>
      <w:t>NoPE</w:t>
    </w:r>
    <w:proofErr w:type="spellEnd"/>
    <w:r w:rsidRPr="00EB0001">
      <w:rPr>
        <w:rStyle w:val="HideTWBExt"/>
      </w:rPr>
      <w:t>&gt;</w:t>
    </w:r>
    <w:r w:rsidRPr="00EB0001">
      <w:t>778.066</w:t>
    </w:r>
    <w:r w:rsidRPr="00EB0001">
      <w:rPr>
        <w:rStyle w:val="HideTWBExt"/>
      </w:rPr>
      <w:t>&lt;/</w:t>
    </w:r>
    <w:proofErr w:type="spellStart"/>
    <w:r w:rsidRPr="00EB0001">
      <w:rPr>
        <w:rStyle w:val="HideTWBExt"/>
      </w:rPr>
      <w:t>NoPE</w:t>
    </w:r>
    <w:proofErr w:type="spellEnd"/>
    <w:r w:rsidRPr="00EB0001">
      <w:rPr>
        <w:rStyle w:val="HideTWBExt"/>
      </w:rPr>
      <w:t>&gt;&lt;Version&gt;</w:t>
    </w:r>
    <w:r w:rsidRPr="00EB0001">
      <w:t>v02-00</w:t>
    </w:r>
    <w:r w:rsidRPr="00EB0001">
      <w:rPr>
        <w:rStyle w:val="HideTWBExt"/>
      </w:rPr>
      <w:t>&lt;/Version&gt;</w:t>
    </w:r>
    <w:r w:rsidRPr="00EB0001">
      <w:tab/>
    </w:r>
    <w:r w:rsidRPr="00EB0001">
      <w:fldChar w:fldCharType="begin"/>
    </w:r>
    <w:r w:rsidRPr="00EB0001">
      <w:instrText xml:space="preserve"> PAGE  \* MERGEFORMAT </w:instrText>
    </w:r>
    <w:r w:rsidRPr="00EB0001">
      <w:fldChar w:fldCharType="separate"/>
    </w:r>
    <w:r w:rsidRPr="00EB0001">
      <w:rPr>
        <w:noProof/>
      </w:rPr>
      <w:t>2</w:t>
    </w:r>
    <w:r w:rsidRPr="00EB0001">
      <w:fldChar w:fldCharType="end"/>
    </w:r>
    <w:r w:rsidRPr="00EB0001">
      <w:t>/</w:t>
    </w:r>
    <w:fldSimple w:instr=" NUMPAGES  \* MERGEFORMAT ">
      <w:r w:rsidRPr="00EB0001">
        <w:rPr>
          <w:noProof/>
        </w:rPr>
        <w:t>26</w:t>
      </w:r>
    </w:fldSimple>
    <w:r w:rsidRPr="00EB0001">
      <w:tab/>
    </w:r>
    <w:r w:rsidRPr="00EB0001">
      <w:rPr>
        <w:rStyle w:val="HideTWBExt"/>
      </w:rPr>
      <w:t>&lt;PathFdR&gt;</w:t>
    </w:r>
    <w:r w:rsidRPr="00EB0001">
      <w:t>RR\1339480PL.docx</w:t>
    </w:r>
    <w:r w:rsidRPr="00EB0001">
      <w:rPr>
        <w:rStyle w:val="HideTWBExt"/>
      </w:rPr>
      <w:t>&lt;/</w:t>
    </w:r>
    <w:proofErr w:type="spellStart"/>
    <w:r w:rsidRPr="00EB0001">
      <w:rPr>
        <w:rStyle w:val="HideTWBExt"/>
      </w:rPr>
      <w:t>PathFdR</w:t>
    </w:r>
    <w:proofErr w:type="spellEnd"/>
    <w:r w:rsidRPr="00EB0001">
      <w:rPr>
        <w:rStyle w:val="HideTWBExt"/>
      </w:rPr>
      <w:t>&gt;</w:t>
    </w:r>
  </w:p>
  <w:p w14:paraId="3CAFAA19" w14:textId="77777777" w:rsidR="007A7D20" w:rsidRPr="00EB0001" w:rsidRDefault="007A7D20" w:rsidP="00BA691D">
    <w:pPr>
      <w:pStyle w:val="EPFooter2"/>
    </w:pPr>
    <w:r w:rsidRPr="00EB000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0CD6" w14:textId="6422126B" w:rsidR="007A7D20" w:rsidRPr="00EB0001" w:rsidRDefault="007A7D20" w:rsidP="00BA691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B855" w14:textId="77777777" w:rsidR="007A7D20" w:rsidRPr="00EB0001" w:rsidRDefault="007A7D20" w:rsidP="00BA691D">
    <w:pPr>
      <w:pStyle w:val="EPFooter"/>
    </w:pPr>
    <w:r w:rsidRPr="00EB0001">
      <w:rPr>
        <w:rStyle w:val="HideTWBExt"/>
      </w:rPr>
      <w:t>&lt;PathFdR&gt;</w:t>
    </w:r>
    <w:r w:rsidRPr="00EB0001">
      <w:t>RR\1339480PL.docx</w:t>
    </w:r>
    <w:r w:rsidRPr="00EB0001">
      <w:rPr>
        <w:rStyle w:val="HideTWBExt"/>
      </w:rPr>
      <w:t>&lt;/</w:t>
    </w:r>
    <w:proofErr w:type="spellStart"/>
    <w:r w:rsidRPr="00EB0001">
      <w:rPr>
        <w:rStyle w:val="HideTWBExt"/>
      </w:rPr>
      <w:t>PathFdR</w:t>
    </w:r>
    <w:proofErr w:type="spellEnd"/>
    <w:r w:rsidRPr="00EB0001">
      <w:rPr>
        <w:rStyle w:val="HideTWBExt"/>
      </w:rPr>
      <w:t>&gt;</w:t>
    </w:r>
    <w:r w:rsidRPr="00EB0001">
      <w:tab/>
    </w:r>
    <w:r w:rsidRPr="00EB0001">
      <w:tab/>
      <w:t>PE</w:t>
    </w:r>
    <w:r w:rsidRPr="00EB0001">
      <w:rPr>
        <w:rStyle w:val="HideTWBExt"/>
      </w:rPr>
      <w:t>&lt;</w:t>
    </w:r>
    <w:proofErr w:type="spellStart"/>
    <w:r w:rsidRPr="00EB0001">
      <w:rPr>
        <w:rStyle w:val="HideTWBExt"/>
      </w:rPr>
      <w:t>NoPE</w:t>
    </w:r>
    <w:proofErr w:type="spellEnd"/>
    <w:r w:rsidRPr="00EB0001">
      <w:rPr>
        <w:rStyle w:val="HideTWBExt"/>
      </w:rPr>
      <w:t>&gt;</w:t>
    </w:r>
    <w:r w:rsidRPr="00EB0001">
      <w:t>778.066</w:t>
    </w:r>
    <w:r w:rsidRPr="00EB0001">
      <w:rPr>
        <w:rStyle w:val="HideTWBExt"/>
      </w:rPr>
      <w:t>&lt;/</w:t>
    </w:r>
    <w:proofErr w:type="spellStart"/>
    <w:r w:rsidRPr="00EB0001">
      <w:rPr>
        <w:rStyle w:val="HideTWBExt"/>
      </w:rPr>
      <w:t>NoPE</w:t>
    </w:r>
    <w:proofErr w:type="spellEnd"/>
    <w:r w:rsidRPr="00EB0001">
      <w:rPr>
        <w:rStyle w:val="HideTWBExt"/>
      </w:rPr>
      <w:t>&gt;&lt;Version&gt;</w:t>
    </w:r>
    <w:r w:rsidRPr="00EB0001">
      <w:t>v02-00</w:t>
    </w:r>
    <w:r w:rsidRPr="00EB0001">
      <w:rPr>
        <w:rStyle w:val="HideTWBExt"/>
      </w:rPr>
      <w:t>&lt;/Version&gt;</w:t>
    </w:r>
  </w:p>
  <w:p w14:paraId="7CFE5623" w14:textId="77777777" w:rsidR="007A7D20" w:rsidRPr="00EB0001" w:rsidRDefault="007A7D20" w:rsidP="00BA691D">
    <w:pPr>
      <w:pStyle w:val="EPFooter2"/>
    </w:pPr>
    <w:r w:rsidRPr="00EB0001">
      <w:t>PL</w:t>
    </w:r>
    <w:r w:rsidRPr="00EB0001">
      <w:tab/>
    </w:r>
    <w:r w:rsidRPr="00EB0001">
      <w:rPr>
        <w:b w:val="0"/>
        <w:i/>
        <w:color w:val="C0C0C0"/>
        <w:sz w:val="22"/>
      </w:rPr>
      <w:t>Zjednoczona w różnorodności</w:t>
    </w:r>
    <w:r w:rsidRPr="00EB0001">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E057" w14:textId="77777777" w:rsidR="00064002" w:rsidRPr="00EB000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C6EF" w14:textId="77777777" w:rsidR="00064002" w:rsidRPr="00EB000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E5CC" w14:textId="77777777" w:rsidR="00064002" w:rsidRPr="00EB00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D802" w14:textId="77777777" w:rsidR="00EB5658" w:rsidRPr="00EB0001" w:rsidRDefault="00EB5658">
      <w:r w:rsidRPr="00EB0001">
        <w:separator/>
      </w:r>
    </w:p>
  </w:footnote>
  <w:footnote w:type="continuationSeparator" w:id="0">
    <w:p w14:paraId="765A6349" w14:textId="77777777" w:rsidR="00EB5658" w:rsidRPr="00EB0001" w:rsidRDefault="00EB5658">
      <w:r w:rsidRPr="00EB0001">
        <w:continuationSeparator/>
      </w:r>
    </w:p>
  </w:footnote>
  <w:footnote w:id="1">
    <w:p w14:paraId="79E4302A" w14:textId="25C6C5A4" w:rsidR="007A7D20" w:rsidRPr="006112C2" w:rsidRDefault="007A7D20" w:rsidP="00EB0001">
      <w:pPr>
        <w:pStyle w:val="FootnoteText"/>
        <w:ind w:left="567" w:hanging="567"/>
        <w:rPr>
          <w:sz w:val="24"/>
          <w:lang w:val="fi-FI"/>
        </w:rPr>
      </w:pPr>
      <w:r w:rsidRPr="00EB0001">
        <w:rPr>
          <w:rStyle w:val="FootnoteReference"/>
          <w:sz w:val="24"/>
          <w:lang w:val="pl-PL"/>
        </w:rPr>
        <w:footnoteRef/>
      </w:r>
      <w:r w:rsidR="00EB0001" w:rsidRPr="006112C2">
        <w:rPr>
          <w:sz w:val="24"/>
          <w:lang w:val="fi-FI"/>
        </w:rPr>
        <w:t xml:space="preserve"> </w:t>
      </w:r>
      <w:r w:rsidR="00EB0001" w:rsidRPr="006112C2">
        <w:rPr>
          <w:sz w:val="24"/>
          <w:lang w:val="fi-FI"/>
        </w:rPr>
        <w:tab/>
      </w:r>
      <w:proofErr w:type="spellStart"/>
      <w:r w:rsidRPr="006112C2">
        <w:rPr>
          <w:sz w:val="24"/>
          <w:lang w:val="fi-FI"/>
        </w:rPr>
        <w:t>Dz.U</w:t>
      </w:r>
      <w:proofErr w:type="spellEnd"/>
      <w:r w:rsidRPr="006112C2">
        <w:rPr>
          <w:sz w:val="24"/>
          <w:lang w:val="fi-FI"/>
        </w:rPr>
        <w:t>. L</w:t>
      </w:r>
      <w:r w:rsidR="00A24020" w:rsidRPr="006112C2">
        <w:rPr>
          <w:sz w:val="24"/>
          <w:lang w:val="fi-FI"/>
        </w:rPr>
        <w:t>, 2024/</w:t>
      </w:r>
      <w:r w:rsidRPr="006112C2">
        <w:rPr>
          <w:sz w:val="24"/>
          <w:lang w:val="fi-FI"/>
        </w:rPr>
        <w:t>207</w:t>
      </w:r>
      <w:r w:rsidR="006112C2" w:rsidRPr="006112C2">
        <w:rPr>
          <w:sz w:val="24"/>
          <w:lang w:val="fi-FI"/>
        </w:rPr>
        <w:t>,</w:t>
      </w:r>
      <w:r w:rsidRPr="006112C2">
        <w:rPr>
          <w:sz w:val="24"/>
          <w:lang w:val="fi-FI"/>
        </w:rPr>
        <w:t xml:space="preserve"> 22.2.2024, ELI: </w:t>
      </w:r>
      <w:hyperlink r:id="rId1" w:history="1">
        <w:r w:rsidRPr="006112C2">
          <w:rPr>
            <w:rStyle w:val="Hyperlink"/>
            <w:sz w:val="24"/>
            <w:lang w:val="fi-FI"/>
          </w:rPr>
          <w:t>http://data.europa.eu/eli/budget/2024/207/oj</w:t>
        </w:r>
      </w:hyperlink>
      <w:r w:rsidRPr="006112C2">
        <w:rPr>
          <w:sz w:val="24"/>
          <w:lang w:val="fi-FI"/>
        </w:rPr>
        <w:t>.</w:t>
      </w:r>
    </w:p>
  </w:footnote>
  <w:footnote w:id="2">
    <w:p w14:paraId="4218AAAD" w14:textId="1A54CE89"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Dz.U. C, C/2025/4944, 13.10.2025, ELI: </w:t>
      </w:r>
      <w:hyperlink r:id="rId2" w:tgtFrame="_blank" w:tooltip="Dostęp do dokumentu poprzez identyfikator URI w systemie ELI." w:history="1">
        <w:r w:rsidRPr="00EB0001">
          <w:rPr>
            <w:rStyle w:val="Hyperlink"/>
            <w:sz w:val="24"/>
            <w:lang w:val="pl-PL"/>
          </w:rPr>
          <w:t>http://data.europa.eu/eli/C/2025/4944/oj</w:t>
        </w:r>
      </w:hyperlink>
      <w:r w:rsidRPr="00EB0001">
        <w:rPr>
          <w:sz w:val="24"/>
          <w:lang w:val="pl-PL"/>
        </w:rPr>
        <w:t>.</w:t>
      </w:r>
    </w:p>
  </w:footnote>
  <w:footnote w:id="3">
    <w:p w14:paraId="47588C95" w14:textId="5FCFECF8" w:rsidR="007A7D20" w:rsidRPr="00717DAA" w:rsidRDefault="007A7D20" w:rsidP="00EB0001">
      <w:pPr>
        <w:pStyle w:val="FootnoteText"/>
        <w:ind w:left="567" w:hanging="567"/>
        <w:rPr>
          <w:sz w:val="24"/>
          <w:lang w:val="fi-FI"/>
        </w:rPr>
      </w:pPr>
      <w:r w:rsidRPr="00EB0001">
        <w:rPr>
          <w:rStyle w:val="FootnoteReference"/>
          <w:sz w:val="24"/>
          <w:lang w:val="pl-PL"/>
        </w:rPr>
        <w:footnoteRef/>
      </w:r>
      <w:r w:rsidR="00EB0001" w:rsidRPr="00717DAA">
        <w:rPr>
          <w:sz w:val="24"/>
          <w:lang w:val="fi-FI"/>
        </w:rPr>
        <w:t xml:space="preserve"> </w:t>
      </w:r>
      <w:r w:rsidR="00EB0001" w:rsidRPr="00717DAA">
        <w:rPr>
          <w:sz w:val="24"/>
          <w:lang w:val="fi-FI"/>
        </w:rPr>
        <w:tab/>
      </w:r>
      <w:r w:rsidRPr="00717DAA">
        <w:rPr>
          <w:sz w:val="24"/>
          <w:lang w:val="fi-FI"/>
        </w:rPr>
        <w:t xml:space="preserve">Dz.U. C, C/2025/5409, 8.10.2025, ELI: </w:t>
      </w:r>
      <w:hyperlink r:id="rId3" w:history="1">
        <w:r w:rsidRPr="00717DAA">
          <w:rPr>
            <w:rStyle w:val="Hyperlink"/>
            <w:sz w:val="24"/>
            <w:lang w:val="fi-FI"/>
          </w:rPr>
          <w:t>http://data.europa.eu/eli/C/2025/5409/oj</w:t>
        </w:r>
      </w:hyperlink>
      <w:r w:rsidRPr="00717DAA">
        <w:rPr>
          <w:sz w:val="24"/>
          <w:lang w:val="fi-FI"/>
        </w:rPr>
        <w:t>.</w:t>
      </w:r>
    </w:p>
  </w:footnote>
  <w:footnote w:id="4">
    <w:p w14:paraId="2B1612E3" w14:textId="3D1E0DE3" w:rsidR="007A7D20" w:rsidRPr="00717DAA" w:rsidRDefault="007A7D20" w:rsidP="00EB0001">
      <w:pPr>
        <w:pStyle w:val="FootnoteText"/>
        <w:ind w:left="567" w:hanging="567"/>
        <w:rPr>
          <w:sz w:val="24"/>
          <w:lang w:val="fi-FI"/>
        </w:rPr>
      </w:pPr>
      <w:r w:rsidRPr="00EB0001">
        <w:rPr>
          <w:rStyle w:val="FootnoteReference"/>
          <w:sz w:val="24"/>
          <w:lang w:val="pl-PL"/>
        </w:rPr>
        <w:footnoteRef/>
      </w:r>
      <w:r w:rsidR="00EB0001" w:rsidRPr="00717DAA">
        <w:rPr>
          <w:sz w:val="24"/>
          <w:lang w:val="fi-FI"/>
        </w:rPr>
        <w:t xml:space="preserve"> </w:t>
      </w:r>
      <w:r w:rsidR="00EB0001" w:rsidRPr="00717DAA">
        <w:rPr>
          <w:sz w:val="24"/>
          <w:lang w:val="fi-FI"/>
        </w:rPr>
        <w:tab/>
      </w:r>
      <w:r w:rsidRPr="00717DAA">
        <w:rPr>
          <w:sz w:val="24"/>
          <w:lang w:val="fi-FI"/>
        </w:rPr>
        <w:t xml:space="preserve">Dz.U. C, C/2025/5407, 13.10.2025, ELI: </w:t>
      </w:r>
      <w:hyperlink r:id="rId4" w:history="1">
        <w:r w:rsidRPr="00717DAA">
          <w:rPr>
            <w:rStyle w:val="Hyperlink"/>
            <w:sz w:val="24"/>
            <w:lang w:val="fi-FI"/>
          </w:rPr>
          <w:t>http://data.europa.eu/eli/C/2025/5407/oj</w:t>
        </w:r>
      </w:hyperlink>
      <w:r w:rsidRPr="00717DAA">
        <w:rPr>
          <w:sz w:val="24"/>
          <w:lang w:val="fi-FI"/>
        </w:rPr>
        <w:t>.</w:t>
      </w:r>
    </w:p>
  </w:footnote>
  <w:footnote w:id="5">
    <w:p w14:paraId="08DF5161" w14:textId="4E196A75"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 xml:space="preserve">Dz.U. L 193 z </w:t>
      </w:r>
      <w:proofErr w:type="gramStart"/>
      <w:r w:rsidRPr="00EB0001">
        <w:rPr>
          <w:sz w:val="24"/>
          <w:lang w:val="pl-PL"/>
        </w:rPr>
        <w:t>30.7.2018</w:t>
      </w:r>
      <w:proofErr w:type="gramEnd"/>
      <w:r w:rsidRPr="00EB0001">
        <w:rPr>
          <w:sz w:val="24"/>
          <w:lang w:val="pl-PL"/>
        </w:rPr>
        <w:t xml:space="preserve">, s. 1, ELI: </w:t>
      </w:r>
      <w:hyperlink r:id="rId5" w:history="1">
        <w:r w:rsidRPr="00EB0001">
          <w:rPr>
            <w:rStyle w:val="Hyperlink"/>
            <w:sz w:val="24"/>
            <w:lang w:val="pl-PL"/>
          </w:rPr>
          <w:t>http://data.europa.eu/eli/reg/2018/1046/oj</w:t>
        </w:r>
      </w:hyperlink>
      <w:r w:rsidRPr="00EB0001">
        <w:rPr>
          <w:sz w:val="24"/>
          <w:lang w:val="pl-PL"/>
        </w:rPr>
        <w:t>.</w:t>
      </w:r>
    </w:p>
  </w:footnote>
  <w:footnote w:id="6">
    <w:p w14:paraId="7A41B194" w14:textId="23D18B0A" w:rsidR="007A7D20" w:rsidRPr="00717DAA" w:rsidRDefault="007A7D20" w:rsidP="00EB0001">
      <w:pPr>
        <w:pStyle w:val="FootnoteText"/>
        <w:ind w:left="567" w:hanging="567"/>
        <w:rPr>
          <w:sz w:val="24"/>
          <w:lang w:val="fi-FI"/>
        </w:rPr>
      </w:pPr>
      <w:r w:rsidRPr="00EB0001">
        <w:rPr>
          <w:rStyle w:val="FootnoteReference"/>
          <w:sz w:val="24"/>
          <w:lang w:val="pl-PL"/>
        </w:rPr>
        <w:footnoteRef/>
      </w:r>
      <w:r w:rsidR="00EB0001" w:rsidRPr="00717DAA">
        <w:rPr>
          <w:sz w:val="24"/>
          <w:lang w:val="fi-FI"/>
        </w:rPr>
        <w:t xml:space="preserve"> </w:t>
      </w:r>
      <w:r w:rsidR="00EB0001" w:rsidRPr="00717DAA">
        <w:rPr>
          <w:sz w:val="24"/>
          <w:lang w:val="fi-FI"/>
        </w:rPr>
        <w:tab/>
      </w:r>
      <w:r w:rsidRPr="00717DAA">
        <w:rPr>
          <w:sz w:val="24"/>
          <w:lang w:val="fi-FI"/>
        </w:rPr>
        <w:t xml:space="preserve">Dz.U. L, 2024/2509, 26.9.2024, ELI: </w:t>
      </w:r>
      <w:hyperlink r:id="rId6" w:history="1">
        <w:r w:rsidRPr="00717DAA">
          <w:rPr>
            <w:rStyle w:val="Hyperlink"/>
            <w:sz w:val="24"/>
            <w:lang w:val="fi-FI"/>
          </w:rPr>
          <w:t>http://data.europa.eu/eli/reg/2024/2509/oj</w:t>
        </w:r>
      </w:hyperlink>
      <w:r w:rsidRPr="00717DAA">
        <w:rPr>
          <w:sz w:val="24"/>
          <w:lang w:val="fi-FI"/>
        </w:rPr>
        <w:t>.</w:t>
      </w:r>
    </w:p>
  </w:footnote>
  <w:footnote w:id="7">
    <w:p w14:paraId="45467593" w14:textId="13F921F3"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 xml:space="preserve">Dz.U. L 295 z 21.11.2018, s. 39, ELI: </w:t>
      </w:r>
      <w:hyperlink r:id="rId7" w:history="1">
        <w:r w:rsidRPr="00EB0001">
          <w:rPr>
            <w:rStyle w:val="Hyperlink"/>
            <w:sz w:val="24"/>
            <w:lang w:val="pl-PL"/>
          </w:rPr>
          <w:t>http://data.europa.eu/eli/reg/2018/1725/oj</w:t>
        </w:r>
      </w:hyperlink>
      <w:r w:rsidRPr="00EB0001">
        <w:rPr>
          <w:sz w:val="24"/>
          <w:lang w:val="pl-PL"/>
        </w:rPr>
        <w:t>.</w:t>
      </w:r>
    </w:p>
  </w:footnote>
  <w:footnote w:id="8">
    <w:p w14:paraId="3B195727" w14:textId="01E268CE"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8" w:history="1">
        <w:r w:rsidRPr="00EB0001">
          <w:rPr>
            <w:rStyle w:val="Hyperlink"/>
            <w:sz w:val="24"/>
            <w:lang w:val="pl-PL"/>
          </w:rPr>
          <w:t>http://data.europa.eu/eli/reg/2024/1689/oj</w:t>
        </w:r>
      </w:hyperlink>
      <w:r w:rsidRPr="00EB0001">
        <w:rPr>
          <w:sz w:val="24"/>
          <w:lang w:val="pl-PL"/>
        </w:rPr>
        <w:t>).</w:t>
      </w:r>
    </w:p>
  </w:footnote>
  <w:footnote w:id="9">
    <w:p w14:paraId="56314956" w14:textId="2C387453"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Rozporządzenie Parlamentu Europejskiego i Rady (UE) 2016/794 z dnia 11 maja 2016 r. w sprawie Agencji Unii Europejskiej ds. Współpracy Organów Ścigania (Europol), zastępujące i uchylające decyzje Rady 2009/371/</w:t>
      </w:r>
      <w:proofErr w:type="spellStart"/>
      <w:r w:rsidRPr="00EB0001">
        <w:rPr>
          <w:sz w:val="24"/>
          <w:lang w:val="pl-PL"/>
        </w:rPr>
        <w:t>WSiSW</w:t>
      </w:r>
      <w:proofErr w:type="spellEnd"/>
      <w:r w:rsidRPr="00EB0001">
        <w:rPr>
          <w:sz w:val="24"/>
          <w:lang w:val="pl-PL"/>
        </w:rPr>
        <w:t>, 2009/934/</w:t>
      </w:r>
      <w:proofErr w:type="spellStart"/>
      <w:r w:rsidRPr="00EB0001">
        <w:rPr>
          <w:sz w:val="24"/>
          <w:lang w:val="pl-PL"/>
        </w:rPr>
        <w:t>WSiSW</w:t>
      </w:r>
      <w:proofErr w:type="spellEnd"/>
      <w:r w:rsidRPr="00EB0001">
        <w:rPr>
          <w:sz w:val="24"/>
          <w:lang w:val="pl-PL"/>
        </w:rPr>
        <w:t>, 2009/935/</w:t>
      </w:r>
      <w:proofErr w:type="spellStart"/>
      <w:r w:rsidRPr="00EB0001">
        <w:rPr>
          <w:sz w:val="24"/>
          <w:lang w:val="pl-PL"/>
        </w:rPr>
        <w:t>WSiSW</w:t>
      </w:r>
      <w:proofErr w:type="spellEnd"/>
      <w:r w:rsidRPr="00EB0001">
        <w:rPr>
          <w:sz w:val="24"/>
          <w:lang w:val="pl-PL"/>
        </w:rPr>
        <w:t>, 2009/936/</w:t>
      </w:r>
      <w:proofErr w:type="spellStart"/>
      <w:r w:rsidRPr="00EB0001">
        <w:rPr>
          <w:sz w:val="24"/>
          <w:lang w:val="pl-PL"/>
        </w:rPr>
        <w:t>WSiSW</w:t>
      </w:r>
      <w:proofErr w:type="spellEnd"/>
      <w:r w:rsidRPr="00EB0001">
        <w:rPr>
          <w:sz w:val="24"/>
          <w:lang w:val="pl-PL"/>
        </w:rPr>
        <w:t xml:space="preserve"> i 2009/968/</w:t>
      </w:r>
      <w:proofErr w:type="spellStart"/>
      <w:r w:rsidRPr="00EB0001">
        <w:rPr>
          <w:sz w:val="24"/>
          <w:lang w:val="pl-PL"/>
        </w:rPr>
        <w:t>WSiSW</w:t>
      </w:r>
      <w:proofErr w:type="spellEnd"/>
      <w:r w:rsidRPr="00EB0001">
        <w:rPr>
          <w:sz w:val="24"/>
          <w:lang w:val="pl-PL"/>
        </w:rPr>
        <w:t xml:space="preserve"> (Dz.U. L 135 z </w:t>
      </w:r>
      <w:proofErr w:type="gramStart"/>
      <w:r w:rsidRPr="00EB0001">
        <w:rPr>
          <w:sz w:val="24"/>
          <w:lang w:val="pl-PL"/>
        </w:rPr>
        <w:t>24.5.2016</w:t>
      </w:r>
      <w:proofErr w:type="gramEnd"/>
      <w:r w:rsidRPr="00EB0001">
        <w:rPr>
          <w:sz w:val="24"/>
          <w:lang w:val="pl-PL"/>
        </w:rPr>
        <w:t xml:space="preserve">, s. 53, ELI: </w:t>
      </w:r>
      <w:hyperlink r:id="rId9" w:history="1">
        <w:r w:rsidRPr="00EB0001">
          <w:rPr>
            <w:rStyle w:val="Hyperlink"/>
            <w:sz w:val="24"/>
            <w:lang w:val="pl-PL"/>
          </w:rPr>
          <w:t>http://data.europa.eu/eli/reg/2016/794/oj</w:t>
        </w:r>
      </w:hyperlink>
      <w:r w:rsidRPr="00EB0001">
        <w:rPr>
          <w:sz w:val="24"/>
          <w:lang w:val="pl-PL"/>
        </w:rPr>
        <w:t>).</w:t>
      </w:r>
    </w:p>
  </w:footnote>
  <w:footnote w:id="10">
    <w:p w14:paraId="3BD73DBC" w14:textId="22050AED"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Postanowienie Sądu z dnia 6 września 2023 r., EIOD przeciwko Parlamentowi i Radzie, T-578/22, ECLI:</w:t>
      </w:r>
      <w:proofErr w:type="gramStart"/>
      <w:r w:rsidRPr="00EB0001">
        <w:rPr>
          <w:sz w:val="24"/>
          <w:lang w:val="pl-PL"/>
        </w:rPr>
        <w:t>EU:T</w:t>
      </w:r>
      <w:proofErr w:type="gramEnd"/>
      <w:r w:rsidRPr="00EB0001">
        <w:rPr>
          <w:sz w:val="24"/>
          <w:lang w:val="pl-PL"/>
        </w:rPr>
        <w:t>:2023:522.</w:t>
      </w:r>
    </w:p>
  </w:footnote>
  <w:footnote w:id="11">
    <w:p w14:paraId="4B6838CD" w14:textId="0CFE9657"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 xml:space="preserve">Rozporządzenie Parlamentu Europejskiego i Rady (UE) 2022/1925 z 14 września 2022 r. w sprawie </w:t>
      </w:r>
      <w:proofErr w:type="spellStart"/>
      <w:r w:rsidRPr="00EB0001">
        <w:rPr>
          <w:sz w:val="24"/>
          <w:lang w:val="pl-PL"/>
        </w:rPr>
        <w:t>kontestowalnych</w:t>
      </w:r>
      <w:proofErr w:type="spellEnd"/>
      <w:r w:rsidRPr="00EB0001">
        <w:rPr>
          <w:sz w:val="24"/>
          <w:lang w:val="pl-PL"/>
        </w:rPr>
        <w:t xml:space="preserve"> i uczciwych rynków w sektorze cyfrowym oraz zmiany dyrektyw (UE) 2019/1937 i (UE) 2020/1828 (akt o usługach cyfrowych) (Dz.U. L 265 z 12.10.2022, s. 1, ELI: </w:t>
      </w:r>
      <w:hyperlink r:id="rId10" w:history="1">
        <w:r w:rsidRPr="00EB0001">
          <w:rPr>
            <w:rStyle w:val="Hyperlink"/>
            <w:sz w:val="24"/>
            <w:lang w:val="pl-PL"/>
          </w:rPr>
          <w:t>http://data.europa.eu/eli/reg/2022/1925/oj</w:t>
        </w:r>
      </w:hyperlink>
      <w:r w:rsidRPr="00EB0001">
        <w:rPr>
          <w:sz w:val="24"/>
          <w:lang w:val="pl-PL"/>
        </w:rPr>
        <w:t>).</w:t>
      </w:r>
    </w:p>
  </w:footnote>
  <w:footnote w:id="12">
    <w:p w14:paraId="7857F2B3" w14:textId="56505ADD" w:rsidR="007A7D20" w:rsidRPr="00EB0001" w:rsidRDefault="007A7D20" w:rsidP="00EB0001">
      <w:pPr>
        <w:pStyle w:val="FootnoteText"/>
        <w:ind w:left="567" w:hanging="567"/>
        <w:rPr>
          <w:sz w:val="24"/>
          <w:lang w:val="pl-PL"/>
        </w:rPr>
      </w:pPr>
      <w:r w:rsidRPr="00EB0001">
        <w:rPr>
          <w:rStyle w:val="FootnoteReference"/>
          <w:sz w:val="24"/>
          <w:lang w:val="pl-PL"/>
        </w:rPr>
        <w:footnoteRef/>
      </w:r>
      <w:r w:rsidR="00EB0001" w:rsidRPr="00EB0001">
        <w:rPr>
          <w:sz w:val="24"/>
          <w:lang w:val="pl-PL"/>
        </w:rPr>
        <w:t xml:space="preserve"> </w:t>
      </w:r>
      <w:r w:rsidR="00EB0001" w:rsidRPr="00EB0001">
        <w:rPr>
          <w:sz w:val="24"/>
          <w:lang w:val="pl-PL"/>
        </w:rPr>
        <w:tab/>
      </w:r>
      <w:r w:rsidRPr="00EB0001">
        <w:rPr>
          <w:sz w:val="24"/>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w:t>
      </w:r>
      <w:proofErr w:type="gramStart"/>
      <w:r w:rsidRPr="00EB0001">
        <w:rPr>
          <w:sz w:val="24"/>
          <w:lang w:val="pl-PL"/>
        </w:rPr>
        <w:t>4.5.2016</w:t>
      </w:r>
      <w:proofErr w:type="gramEnd"/>
      <w:r w:rsidRPr="00EB0001">
        <w:rPr>
          <w:sz w:val="24"/>
          <w:lang w:val="pl-PL"/>
        </w:rPr>
        <w:t xml:space="preserve">, s. 1, ELI: </w:t>
      </w:r>
      <w:hyperlink r:id="rId11" w:history="1">
        <w:r w:rsidRPr="00EB0001">
          <w:rPr>
            <w:rStyle w:val="Hyperlink"/>
            <w:sz w:val="24"/>
            <w:lang w:val="pl-PL"/>
          </w:rPr>
          <w:t>http://data.europa.eu/eli/reg/2016/679/oj</w:t>
        </w:r>
      </w:hyperlink>
      <w:r w:rsidRPr="00EB0001">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C240" w14:textId="77777777" w:rsidR="007A7D20" w:rsidRPr="00EB0001" w:rsidRDefault="007A7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259D" w14:textId="77777777" w:rsidR="007A7D20" w:rsidRPr="00EB0001" w:rsidRDefault="007A7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CD66" w14:textId="77777777" w:rsidR="007A7D20" w:rsidRPr="00EB0001" w:rsidRDefault="007A7D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201C" w14:textId="77777777" w:rsidR="00064002" w:rsidRPr="00EB000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B782" w14:textId="77777777" w:rsidR="00064002" w:rsidRPr="00EB000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B11F" w14:textId="77777777" w:rsidR="00064002" w:rsidRPr="00EB00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6866045">
    <w:abstractNumId w:val="9"/>
  </w:num>
  <w:num w:numId="2" w16cid:durableId="2027054915">
    <w:abstractNumId w:val="9"/>
  </w:num>
  <w:num w:numId="3" w16cid:durableId="361902659">
    <w:abstractNumId w:val="7"/>
  </w:num>
  <w:num w:numId="4" w16cid:durableId="1239629393">
    <w:abstractNumId w:val="7"/>
  </w:num>
  <w:num w:numId="5" w16cid:durableId="1239096469">
    <w:abstractNumId w:val="6"/>
  </w:num>
  <w:num w:numId="6" w16cid:durableId="1259365657">
    <w:abstractNumId w:val="6"/>
  </w:num>
  <w:num w:numId="7" w16cid:durableId="479350734">
    <w:abstractNumId w:val="5"/>
  </w:num>
  <w:num w:numId="8" w16cid:durableId="277417359">
    <w:abstractNumId w:val="5"/>
  </w:num>
  <w:num w:numId="9" w16cid:durableId="733089873">
    <w:abstractNumId w:val="4"/>
  </w:num>
  <w:num w:numId="10" w16cid:durableId="331952838">
    <w:abstractNumId w:val="4"/>
  </w:num>
  <w:num w:numId="11" w16cid:durableId="1917594426">
    <w:abstractNumId w:val="8"/>
  </w:num>
  <w:num w:numId="12" w16cid:durableId="1148131282">
    <w:abstractNumId w:val="8"/>
  </w:num>
  <w:num w:numId="13" w16cid:durableId="1607420209">
    <w:abstractNumId w:val="3"/>
  </w:num>
  <w:num w:numId="14" w16cid:durableId="334577686">
    <w:abstractNumId w:val="3"/>
  </w:num>
  <w:num w:numId="15" w16cid:durableId="864368681">
    <w:abstractNumId w:val="2"/>
  </w:num>
  <w:num w:numId="16" w16cid:durableId="1227762242">
    <w:abstractNumId w:val="2"/>
  </w:num>
  <w:num w:numId="17" w16cid:durableId="1991204509">
    <w:abstractNumId w:val="1"/>
  </w:num>
  <w:num w:numId="18" w16cid:durableId="2111007562">
    <w:abstractNumId w:val="1"/>
  </w:num>
  <w:num w:numId="19" w16cid:durableId="2058698179">
    <w:abstractNumId w:val="0"/>
  </w:num>
  <w:num w:numId="20" w16cid:durableId="114375284">
    <w:abstractNumId w:val="0"/>
  </w:num>
  <w:num w:numId="21" w16cid:durableId="910965202">
    <w:abstractNumId w:val="9"/>
  </w:num>
  <w:num w:numId="22" w16cid:durableId="1111818928">
    <w:abstractNumId w:val="7"/>
  </w:num>
  <w:num w:numId="23" w16cid:durableId="981226996">
    <w:abstractNumId w:val="6"/>
  </w:num>
  <w:num w:numId="24" w16cid:durableId="1284533220">
    <w:abstractNumId w:val="5"/>
  </w:num>
  <w:num w:numId="25" w16cid:durableId="460463627">
    <w:abstractNumId w:val="4"/>
  </w:num>
  <w:num w:numId="26" w16cid:durableId="1851065366">
    <w:abstractNumId w:val="8"/>
  </w:num>
  <w:num w:numId="27" w16cid:durableId="1661352660">
    <w:abstractNumId w:val="3"/>
  </w:num>
  <w:num w:numId="28" w16cid:durableId="1528524064">
    <w:abstractNumId w:val="2"/>
  </w:num>
  <w:num w:numId="29" w16cid:durableId="1647318006">
    <w:abstractNumId w:val="1"/>
  </w:num>
  <w:num w:numId="30" w16cid:durableId="1940942787">
    <w:abstractNumId w:val="0"/>
  </w:num>
  <w:num w:numId="31" w16cid:durableId="1452239065">
    <w:abstractNumId w:val="9"/>
  </w:num>
  <w:num w:numId="32" w16cid:durableId="491874636">
    <w:abstractNumId w:val="7"/>
  </w:num>
  <w:num w:numId="33" w16cid:durableId="788819233">
    <w:abstractNumId w:val="6"/>
  </w:num>
  <w:num w:numId="34" w16cid:durableId="1113206306">
    <w:abstractNumId w:val="5"/>
  </w:num>
  <w:num w:numId="35" w16cid:durableId="249969382">
    <w:abstractNumId w:val="4"/>
  </w:num>
  <w:num w:numId="36" w16cid:durableId="1745642344">
    <w:abstractNumId w:val="8"/>
  </w:num>
  <w:num w:numId="37" w16cid:durableId="559438198">
    <w:abstractNumId w:val="3"/>
  </w:num>
  <w:num w:numId="38" w16cid:durableId="1621767992">
    <w:abstractNumId w:val="2"/>
  </w:num>
  <w:num w:numId="39" w16cid:durableId="2055503417">
    <w:abstractNumId w:val="1"/>
  </w:num>
  <w:num w:numId="40" w16cid:durableId="1813675140">
    <w:abstractNumId w:val="0"/>
  </w:num>
  <w:num w:numId="41" w16cid:durableId="568536763">
    <w:abstractNumId w:val="10"/>
  </w:num>
  <w:num w:numId="42" w16cid:durableId="1206066127">
    <w:abstractNumId w:val="10"/>
  </w:num>
  <w:num w:numId="43" w16cid:durableId="1163469386">
    <w:abstractNumId w:val="10"/>
  </w:num>
  <w:num w:numId="44" w16cid:durableId="7037536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PL"/>
    <w:docVar w:name="dvnumam" w:val="0"/>
    <w:docVar w:name="dvpe" w:val="778.066"/>
    <w:docVar w:name="dvrapporteur" w:val="Sprawozdawca: "/>
    <w:docVar w:name="dvstar" w:val="??"/>
    <w:docVar w:name="dvtitre" w:val="Decyzja Parlamentu Europejskiego z dnia  2026 r. w sprawie absolutorium z wykonania budżetu ogólnego Unii Europejskiej za rok budżetowy 2024, sekcja IX – Europejski Inspektor Ochrony Danych(2025/2154(DEC))"/>
  </w:docVars>
  <w:rsids>
    <w:rsidRoot w:val="00EB5658"/>
    <w:rsid w:val="00002272"/>
    <w:rsid w:val="00064002"/>
    <w:rsid w:val="000677B9"/>
    <w:rsid w:val="000831BA"/>
    <w:rsid w:val="000A42CC"/>
    <w:rsid w:val="000E7DD9"/>
    <w:rsid w:val="0010095E"/>
    <w:rsid w:val="00111CB0"/>
    <w:rsid w:val="00125B37"/>
    <w:rsid w:val="00187494"/>
    <w:rsid w:val="001F32AE"/>
    <w:rsid w:val="002767FF"/>
    <w:rsid w:val="002B18FE"/>
    <w:rsid w:val="002B5493"/>
    <w:rsid w:val="00343214"/>
    <w:rsid w:val="00361C00"/>
    <w:rsid w:val="00395FA1"/>
    <w:rsid w:val="003E15D4"/>
    <w:rsid w:val="003E444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2C2"/>
    <w:rsid w:val="006312D3"/>
    <w:rsid w:val="006631B6"/>
    <w:rsid w:val="00680577"/>
    <w:rsid w:val="006F74FA"/>
    <w:rsid w:val="00717DAA"/>
    <w:rsid w:val="00731ADD"/>
    <w:rsid w:val="00734777"/>
    <w:rsid w:val="00747932"/>
    <w:rsid w:val="00751A4A"/>
    <w:rsid w:val="00756632"/>
    <w:rsid w:val="00762C74"/>
    <w:rsid w:val="00786EC0"/>
    <w:rsid w:val="007A7D20"/>
    <w:rsid w:val="007D1690"/>
    <w:rsid w:val="007E22AD"/>
    <w:rsid w:val="00817416"/>
    <w:rsid w:val="00842779"/>
    <w:rsid w:val="00865F67"/>
    <w:rsid w:val="00881A7B"/>
    <w:rsid w:val="008840E5"/>
    <w:rsid w:val="00887B3E"/>
    <w:rsid w:val="008C2AC6"/>
    <w:rsid w:val="00930C23"/>
    <w:rsid w:val="0093193B"/>
    <w:rsid w:val="009509D8"/>
    <w:rsid w:val="00950B64"/>
    <w:rsid w:val="00966FB0"/>
    <w:rsid w:val="00981893"/>
    <w:rsid w:val="00A1687D"/>
    <w:rsid w:val="00A2402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F2B"/>
    <w:rsid w:val="00C941CB"/>
    <w:rsid w:val="00CC2357"/>
    <w:rsid w:val="00CF071A"/>
    <w:rsid w:val="00D058B8"/>
    <w:rsid w:val="00D074AE"/>
    <w:rsid w:val="00D56C11"/>
    <w:rsid w:val="00D834A0"/>
    <w:rsid w:val="00D872DF"/>
    <w:rsid w:val="00D91E21"/>
    <w:rsid w:val="00DA7FCD"/>
    <w:rsid w:val="00E365E1"/>
    <w:rsid w:val="00E820A4"/>
    <w:rsid w:val="00EA24F3"/>
    <w:rsid w:val="00EB0001"/>
    <w:rsid w:val="00EB006A"/>
    <w:rsid w:val="00EB4772"/>
    <w:rsid w:val="00EB565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1B074"/>
  <w15:chartTrackingRefBased/>
  <w15:docId w15:val="{3892E24B-33A6-415A-9CCD-0D3EB975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7D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7D20"/>
    <w:pPr>
      <w:spacing w:before="480" w:after="240"/>
    </w:pPr>
  </w:style>
  <w:style w:type="paragraph" w:customStyle="1" w:styleId="PageHeading">
    <w:name w:val="PageHeading"/>
    <w:basedOn w:val="Normal"/>
    <w:rsid w:val="007A7D20"/>
    <w:pPr>
      <w:keepNext/>
      <w:spacing w:after="480"/>
      <w:jc w:val="center"/>
    </w:pPr>
    <w:rPr>
      <w:rFonts w:ascii="Arial" w:hAnsi="Arial" w:cs="Arial"/>
      <w:b/>
    </w:rPr>
  </w:style>
  <w:style w:type="paragraph" w:customStyle="1" w:styleId="NormalBold">
    <w:name w:val="NormalBold"/>
    <w:basedOn w:val="Normal"/>
    <w:rsid w:val="007A7D20"/>
    <w:rPr>
      <w:b/>
    </w:rPr>
  </w:style>
  <w:style w:type="paragraph" w:customStyle="1" w:styleId="NormalHanging12a">
    <w:name w:val="NormalHanging12a"/>
    <w:basedOn w:val="Normal"/>
    <w:link w:val="NormalHanging12aChar"/>
    <w:qFormat/>
    <w:rsid w:val="007A7D20"/>
    <w:pPr>
      <w:spacing w:after="240"/>
      <w:ind w:left="567" w:hanging="567"/>
    </w:pPr>
  </w:style>
  <w:style w:type="paragraph" w:styleId="Header">
    <w:name w:val="header"/>
    <w:basedOn w:val="Normal"/>
    <w:link w:val="HeaderChar"/>
    <w:rsid w:val="007A7D20"/>
    <w:pPr>
      <w:tabs>
        <w:tab w:val="center" w:pos="4513"/>
        <w:tab w:val="right" w:pos="9026"/>
      </w:tabs>
    </w:pPr>
  </w:style>
  <w:style w:type="character" w:customStyle="1" w:styleId="HeaderChar">
    <w:name w:val="Header Char"/>
    <w:basedOn w:val="DefaultParagraphFont"/>
    <w:link w:val="Header"/>
    <w:rsid w:val="007A7D20"/>
    <w:rPr>
      <w:sz w:val="24"/>
      <w:lang w:val="pl-PL"/>
    </w:rPr>
  </w:style>
  <w:style w:type="paragraph" w:customStyle="1" w:styleId="EPFooter">
    <w:name w:val="EPFooter"/>
    <w:basedOn w:val="Normal"/>
    <w:rsid w:val="007A7D20"/>
    <w:pPr>
      <w:tabs>
        <w:tab w:val="center" w:pos="4535"/>
        <w:tab w:val="right" w:pos="9071"/>
      </w:tabs>
      <w:spacing w:before="240" w:after="240"/>
    </w:pPr>
    <w:rPr>
      <w:color w:val="010000"/>
      <w:sz w:val="22"/>
    </w:rPr>
  </w:style>
  <w:style w:type="character" w:styleId="Hyperlink">
    <w:name w:val="Hyperlink"/>
    <w:basedOn w:val="DefaultParagraphFont"/>
    <w:rsid w:val="007A7D20"/>
    <w:rPr>
      <w:color w:val="0563C1" w:themeColor="hyperlink"/>
      <w:u w:val="single"/>
    </w:rPr>
  </w:style>
  <w:style w:type="character" w:customStyle="1" w:styleId="NormalHanging12aChar">
    <w:name w:val="NormalHanging12a Char"/>
    <w:basedOn w:val="DefaultParagraphFont"/>
    <w:link w:val="NormalHanging12a"/>
    <w:locked/>
    <w:rsid w:val="007A7D20"/>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7008</Words>
  <Characters>44964</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2026-05-11T09:15:00Z</dcterms:created>
  <dcterms:modified xsi:type="dcterms:W3CDTF">2026-05-11T09:15:00Z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P10_TA(2026)0134_</vt:lpwstr>
  </property>
  <property fmtid="{D5CDD505-2E9C-101B-9397-08002B2CF9AE}" pid="4" name="&lt;Type&gt;">
    <vt:lpwstr>RR</vt:lpwstr>
  </property>
</Properties>
</file>