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33A97" w14:paraId="29D9C0E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06A721E" w14:textId="77777777" w:rsidR="00751A4A" w:rsidRPr="00533A97" w:rsidRDefault="00C26D39" w:rsidP="0010095E">
            <w:pPr>
              <w:pStyle w:val="EPName"/>
            </w:pPr>
            <w:r w:rsidRPr="00533A97">
              <w:t>Európsky parlament</w:t>
            </w:r>
          </w:p>
          <w:p w14:paraId="4EA8CEA7" w14:textId="77777777" w:rsidR="00751A4A" w:rsidRPr="00533A9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33A97">
              <w:t>2024</w:t>
            </w:r>
            <w:r w:rsidR="00817416" w:rsidRPr="00533A97">
              <w:t>-202</w:t>
            </w:r>
            <w:r w:rsidRPr="00533A97">
              <w:t>9</w:t>
            </w:r>
          </w:p>
        </w:tc>
        <w:tc>
          <w:tcPr>
            <w:tcW w:w="2268" w:type="dxa"/>
            <w:shd w:val="clear" w:color="auto" w:fill="auto"/>
          </w:tcPr>
          <w:p w14:paraId="3D0CA9C5" w14:textId="77777777" w:rsidR="00751A4A" w:rsidRPr="00533A97" w:rsidRDefault="00187494" w:rsidP="0010095E">
            <w:pPr>
              <w:pStyle w:val="EPLogo"/>
            </w:pPr>
            <w:r w:rsidRPr="00533A97">
              <w:rPr>
                <w:noProof/>
                <w:lang w:eastAsia="ja-JP"/>
              </w:rPr>
              <w:drawing>
                <wp:inline distT="0" distB="0" distL="0" distR="0" wp14:anchorId="3A82BA74" wp14:editId="4437B4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C98189" w14:textId="77777777" w:rsidR="00D058B8" w:rsidRPr="00533A97" w:rsidRDefault="00D058B8" w:rsidP="004C5D52">
      <w:pPr>
        <w:pStyle w:val="LineTop"/>
      </w:pPr>
    </w:p>
    <w:p w14:paraId="4A7B19AB" w14:textId="77777777" w:rsidR="00680577" w:rsidRPr="00533A97" w:rsidRDefault="00C26D39" w:rsidP="00680577">
      <w:pPr>
        <w:pStyle w:val="EPBodyTA1"/>
      </w:pPr>
      <w:r w:rsidRPr="00533A97">
        <w:t>PRIJATÉ TEXTY</w:t>
      </w:r>
    </w:p>
    <w:p w14:paraId="6F949819" w14:textId="77777777" w:rsidR="00D058B8" w:rsidRPr="00533A97" w:rsidRDefault="00D058B8" w:rsidP="00D058B8">
      <w:pPr>
        <w:pStyle w:val="LineBottom"/>
      </w:pPr>
    </w:p>
    <w:p w14:paraId="329BF543" w14:textId="79474A71" w:rsidR="00C26D39" w:rsidRPr="00533A97" w:rsidRDefault="00C26D39" w:rsidP="00C26D39">
      <w:pPr>
        <w:pStyle w:val="ATHeading1"/>
      </w:pPr>
      <w:bookmarkStart w:id="0" w:name="TANumber"/>
      <w:r w:rsidRPr="00533A97">
        <w:t>P10_TA(2026)0</w:t>
      </w:r>
      <w:r w:rsidR="00533A97" w:rsidRPr="00533A97">
        <w:t>134</w:t>
      </w:r>
      <w:bookmarkEnd w:id="0"/>
    </w:p>
    <w:p w14:paraId="241CE0AF" w14:textId="77777777" w:rsidR="00C26D39" w:rsidRPr="00533A97" w:rsidRDefault="00C26D39" w:rsidP="00C26D39">
      <w:pPr>
        <w:pStyle w:val="ATHeading2"/>
      </w:pPr>
      <w:bookmarkStart w:id="1" w:name="title"/>
      <w:r w:rsidRPr="00533A97">
        <w:t>Absolutórium za rok 2024: všeobecný rozpočet EÚ – európsky dozorný úradník pre ochranu údajov</w:t>
      </w:r>
      <w:bookmarkEnd w:id="1"/>
    </w:p>
    <w:p w14:paraId="02E46F25" w14:textId="77777777" w:rsidR="00C26D39" w:rsidRPr="00533A97" w:rsidRDefault="00C26D39" w:rsidP="00C26D39">
      <w:pPr>
        <w:rPr>
          <w:i/>
          <w:vanish/>
        </w:rPr>
      </w:pPr>
      <w:r w:rsidRPr="00533A97">
        <w:rPr>
          <w:i/>
        </w:rPr>
        <w:fldChar w:fldCharType="begin"/>
      </w:r>
      <w:r w:rsidRPr="00533A97">
        <w:rPr>
          <w:i/>
        </w:rPr>
        <w:instrText xml:space="preserve"> TC"(</w:instrText>
      </w:r>
      <w:bookmarkStart w:id="2" w:name="DocNumber"/>
      <w:r w:rsidRPr="00533A97">
        <w:rPr>
          <w:i/>
        </w:rPr>
        <w:instrText>A10-0057/2026</w:instrText>
      </w:r>
      <w:bookmarkEnd w:id="2"/>
      <w:r w:rsidRPr="00533A97">
        <w:rPr>
          <w:i/>
        </w:rPr>
        <w:instrText xml:space="preserve"> - Spravodajca: Pasquale Tridico)"\l3 \n&gt; \* MERGEFORMAT </w:instrText>
      </w:r>
      <w:r w:rsidRPr="00533A97">
        <w:rPr>
          <w:i/>
        </w:rPr>
        <w:fldChar w:fldCharType="end"/>
      </w:r>
    </w:p>
    <w:p w14:paraId="1088A28E" w14:textId="77777777" w:rsidR="00C26D39" w:rsidRPr="00533A97" w:rsidRDefault="00C26D39" w:rsidP="00C26D39">
      <w:pPr>
        <w:rPr>
          <w:vanish/>
        </w:rPr>
      </w:pPr>
      <w:bookmarkStart w:id="3" w:name="Commission"/>
      <w:r w:rsidRPr="00533A97">
        <w:rPr>
          <w:vanish/>
        </w:rPr>
        <w:t>Výbor pre kontrolu rozpočtu</w:t>
      </w:r>
      <w:bookmarkEnd w:id="3"/>
    </w:p>
    <w:p w14:paraId="64D0D955" w14:textId="77777777" w:rsidR="00C26D39" w:rsidRPr="00533A97" w:rsidRDefault="00C26D39" w:rsidP="00C26D39">
      <w:pPr>
        <w:rPr>
          <w:vanish/>
        </w:rPr>
      </w:pPr>
      <w:bookmarkStart w:id="4" w:name="PE"/>
      <w:r w:rsidRPr="00533A97">
        <w:rPr>
          <w:vanish/>
        </w:rPr>
        <w:t>PE778.066</w:t>
      </w:r>
      <w:bookmarkEnd w:id="4"/>
    </w:p>
    <w:p w14:paraId="3B2E881E" w14:textId="7F06C463" w:rsidR="00C26D39" w:rsidRPr="00533A97" w:rsidRDefault="008E7793" w:rsidP="00C26D39">
      <w:pPr>
        <w:pStyle w:val="ATHeading3"/>
      </w:pPr>
      <w:bookmarkStart w:id="5" w:name="Sujet"/>
      <w:r w:rsidRPr="00533A97">
        <w:t xml:space="preserve">1. </w:t>
      </w:r>
      <w:r w:rsidR="00C26D39" w:rsidRPr="00533A97">
        <w:t xml:space="preserve">Rozhodnutie Európskeho parlamentu z </w:t>
      </w:r>
      <w:r w:rsidR="00D606C2" w:rsidRPr="00533A97">
        <w:t>29</w:t>
      </w:r>
      <w:r w:rsidR="00C26D39" w:rsidRPr="00533A97">
        <w:t xml:space="preserve">. </w:t>
      </w:r>
      <w:r w:rsidR="00EE7A17" w:rsidRPr="00533A97">
        <w:t xml:space="preserve">apríla </w:t>
      </w:r>
      <w:r w:rsidR="00C26D39" w:rsidRPr="00533A97">
        <w:t>2026 o absolutóriu za plnenie všeobecného rozpočtu Európskej únie za rozpočtový rok 2024, oddiel IX – Európsky dozorný úradník pre ochranu údajov</w:t>
      </w:r>
      <w:bookmarkEnd w:id="5"/>
      <w:r w:rsidR="00C26D39" w:rsidRPr="00533A97">
        <w:t xml:space="preserve"> </w:t>
      </w:r>
      <w:bookmarkStart w:id="6" w:name="References"/>
      <w:r w:rsidR="00C26D39" w:rsidRPr="00533A97">
        <w:t>(2025/2154(DEC))</w:t>
      </w:r>
      <w:bookmarkEnd w:id="6"/>
    </w:p>
    <w:p w14:paraId="67312B58" w14:textId="77777777" w:rsidR="00A52205" w:rsidRPr="00533A97" w:rsidRDefault="00A52205" w:rsidP="00A52205">
      <w:pPr>
        <w:pStyle w:val="EPComma"/>
      </w:pPr>
      <w:bookmarkStart w:id="7" w:name="TextBodyBegin"/>
      <w:bookmarkEnd w:id="7"/>
      <w:r w:rsidRPr="00533A97">
        <w:rPr>
          <w:i/>
          <w:iCs/>
        </w:rPr>
        <w:t>Európsky parlament,</w:t>
      </w:r>
    </w:p>
    <w:p w14:paraId="6458BBFD" w14:textId="77777777" w:rsidR="00A52205" w:rsidRPr="00533A97" w:rsidRDefault="00A52205" w:rsidP="00A52205">
      <w:pPr>
        <w:pStyle w:val="NormalHanging12a"/>
      </w:pPr>
      <w:r w:rsidRPr="00533A97">
        <w:t>–</w:t>
      </w:r>
      <w:r w:rsidRPr="00533A97">
        <w:tab/>
        <w:t>so zreteľom na všeobecný rozpočet Európskej únie na rozpočtový rok 2024</w:t>
      </w:r>
      <w:r w:rsidRPr="00533A97">
        <w:rPr>
          <w:rStyle w:val="FootnoteReference"/>
        </w:rPr>
        <w:footnoteReference w:id="1"/>
      </w:r>
      <w:r w:rsidRPr="00533A97">
        <w:t>,</w:t>
      </w:r>
    </w:p>
    <w:p w14:paraId="3B30BDC4" w14:textId="77777777" w:rsidR="00A52205" w:rsidRPr="00533A97" w:rsidRDefault="00A52205" w:rsidP="00A52205">
      <w:pPr>
        <w:pStyle w:val="NormalHanging12a"/>
      </w:pPr>
      <w:r w:rsidRPr="00533A97">
        <w:t>–</w:t>
      </w:r>
      <w:r w:rsidRPr="00533A97">
        <w:tab/>
        <w:t>so zreteľom na konsolidovanú ročnú účtovnú závierku Európskej únie za rozpočtový rok 2024 (COM(2025)0359 – C10</w:t>
      </w:r>
      <w:r w:rsidRPr="00533A97">
        <w:noBreakHyphen/>
        <w:t>0154/2025)</w:t>
      </w:r>
      <w:r w:rsidRPr="00533A97">
        <w:rPr>
          <w:rStyle w:val="FootnoteReference"/>
        </w:rPr>
        <w:footnoteReference w:id="2"/>
      </w:r>
      <w:r w:rsidRPr="00533A97">
        <w:t>,</w:t>
      </w:r>
    </w:p>
    <w:p w14:paraId="57ECCE69" w14:textId="77777777" w:rsidR="00A52205" w:rsidRPr="00533A97" w:rsidRDefault="00A52205" w:rsidP="00A52205">
      <w:pPr>
        <w:pStyle w:val="NormalHanging12a"/>
      </w:pPr>
      <w:r w:rsidRPr="00533A97">
        <w:t>–</w:t>
      </w:r>
      <w:r w:rsidRPr="00533A97">
        <w:tab/>
        <w:t>so zreteľom na výročnú správu európskeho dozorného úradníka pre ochranu údajov za rok 2024,</w:t>
      </w:r>
    </w:p>
    <w:p w14:paraId="32B7738D" w14:textId="77777777" w:rsidR="00A52205" w:rsidRPr="00533A97" w:rsidRDefault="00A52205" w:rsidP="00A52205">
      <w:pPr>
        <w:pStyle w:val="NormalHanging12a"/>
      </w:pPr>
      <w:r w:rsidRPr="00533A97">
        <w:t>–</w:t>
      </w:r>
      <w:r w:rsidRPr="00533A97">
        <w:tab/>
        <w:t>so zreteľom na výročnú správu Dvora audítorov o plnení rozpočtu za rozpočtový rok 2024 spolu s odpoveďami inštitúcií</w:t>
      </w:r>
      <w:r w:rsidRPr="00533A97">
        <w:rPr>
          <w:rStyle w:val="FootnoteReference"/>
        </w:rPr>
        <w:footnoteReference w:id="3"/>
      </w:r>
      <w:r w:rsidRPr="00533A97">
        <w:t>,</w:t>
      </w:r>
    </w:p>
    <w:p w14:paraId="42D8C728" w14:textId="77777777" w:rsidR="00A52205" w:rsidRPr="00533A97" w:rsidRDefault="00A52205" w:rsidP="00A52205">
      <w:pPr>
        <w:pStyle w:val="NormalHanging12a"/>
      </w:pPr>
      <w:r w:rsidRPr="00533A97">
        <w:t>–</w:t>
      </w:r>
      <w:r w:rsidRPr="00533A97">
        <w:tab/>
        <w:t>so zreteľom na vyhlásenie o vierohodnosti</w:t>
      </w:r>
      <w:r w:rsidRPr="00533A97">
        <w:rPr>
          <w:rStyle w:val="FootnoteReference"/>
        </w:rPr>
        <w:footnoteReference w:id="4"/>
      </w:r>
      <w:r w:rsidRPr="00533A97">
        <w:t xml:space="preserve"> vedenia účtov a zákonnosti a správnosti príslušných operácií, ktoré poskytol Dvor audítorov za rozpočtový rok 2024 v súlade s článkom 287 Zmluvy o fungovaní Európskej únie,</w:t>
      </w:r>
    </w:p>
    <w:p w14:paraId="115D28B1" w14:textId="77777777" w:rsidR="00A52205" w:rsidRPr="00533A97" w:rsidRDefault="00A52205" w:rsidP="00A52205">
      <w:pPr>
        <w:pStyle w:val="NormalHanging12a"/>
      </w:pPr>
      <w:r w:rsidRPr="00533A97">
        <w:t>–</w:t>
      </w:r>
      <w:r w:rsidRPr="00533A97">
        <w:tab/>
        <w:t>so zreteľom na článok 314 ods. 10 a články 317, 318 a 319 Zmluvy o fungovaní Európskej únie,</w:t>
      </w:r>
    </w:p>
    <w:p w14:paraId="3DEEDC00" w14:textId="77777777" w:rsidR="00A52205" w:rsidRPr="00533A97" w:rsidRDefault="00A52205" w:rsidP="00A52205">
      <w:pPr>
        <w:pStyle w:val="NormalHanging12a"/>
      </w:pPr>
      <w:r w:rsidRPr="00533A97">
        <w:t>–</w:t>
      </w:r>
      <w:r w:rsidRPr="00533A97">
        <w:tab/>
        <w:t xml:space="preserve">so zreteľom na nariadenie Európskeho parlamentu a Rady (EÚ, </w:t>
      </w:r>
      <w:proofErr w:type="spellStart"/>
      <w:r w:rsidRPr="00533A97">
        <w:t>Euratom</w:t>
      </w:r>
      <w:proofErr w:type="spellEnd"/>
      <w:r w:rsidRPr="00533A97">
        <w:t xml:space="preserve">) 2018/1046 z 18. júla 2018 o rozpočtových pravidlách, ktoré sa vzťahujú na všeobecný rozpočet Únie, o zmene nariadení (EÚ) č. 1296/2013, (EÚ) č. 1301/2013, (EÚ) č. 1303/2013, (EÚ) č. 1304/2013, (EÚ) č. 1309/2013, (EÚ) č. 1316/2013, (EÚ) č. 223/2014, (EÚ) č. 283/2014 a rozhodnutia č. 541/2014/EÚ a o zrušení nariadenia (EÚ, </w:t>
      </w:r>
      <w:proofErr w:type="spellStart"/>
      <w:r w:rsidRPr="00533A97">
        <w:t>Euratom</w:t>
      </w:r>
      <w:proofErr w:type="spellEnd"/>
      <w:r w:rsidRPr="00533A97">
        <w:t xml:space="preserve">) č. </w:t>
      </w:r>
      <w:r w:rsidRPr="00533A97">
        <w:lastRenderedPageBreak/>
        <w:t>966/2012</w:t>
      </w:r>
      <w:r w:rsidRPr="00533A97">
        <w:rPr>
          <w:rStyle w:val="FootnoteReference"/>
        </w:rPr>
        <w:footnoteReference w:id="5"/>
      </w:r>
      <w:r w:rsidRPr="00533A97">
        <w:t>, a najmä na jeho články 59, 118, 260, 261 a 262,</w:t>
      </w:r>
    </w:p>
    <w:p w14:paraId="0F7AD3B4" w14:textId="57C23DC9" w:rsidR="00A52205" w:rsidRPr="00533A97" w:rsidRDefault="00A52205" w:rsidP="00A52205">
      <w:pPr>
        <w:pStyle w:val="NormalHanging12a"/>
      </w:pPr>
      <w:r w:rsidRPr="00533A97">
        <w:t>–</w:t>
      </w:r>
      <w:r w:rsidRPr="00533A97">
        <w:tab/>
        <w:t xml:space="preserve">so zreteľom na nariadenie Európskeho parlamentu a Rady (EÚ, </w:t>
      </w:r>
      <w:proofErr w:type="spellStart"/>
      <w:r w:rsidRPr="00533A97">
        <w:t>Euratom</w:t>
      </w:r>
      <w:proofErr w:type="spellEnd"/>
      <w:r w:rsidRPr="00533A97">
        <w:t>) 2024/2509 z 23. septembra 2024 o rozpočtových pravidlách, ktoré sa vzťahujú na všeobecný rozpočet Únie</w:t>
      </w:r>
      <w:r w:rsidRPr="00533A97">
        <w:rPr>
          <w:rStyle w:val="FootnoteReference"/>
        </w:rPr>
        <w:footnoteReference w:id="6"/>
      </w:r>
      <w:r w:rsidRPr="00533A97">
        <w:t>, a najmä na jeho články 59, 118, 266, 267 a 268,</w:t>
      </w:r>
    </w:p>
    <w:p w14:paraId="761862D9" w14:textId="77777777" w:rsidR="00A52205" w:rsidRPr="00533A97" w:rsidRDefault="00A52205" w:rsidP="00A52205">
      <w:pPr>
        <w:pStyle w:val="NormalHanging12a"/>
      </w:pPr>
      <w:r w:rsidRPr="00533A97">
        <w:t>–</w:t>
      </w:r>
      <w:r w:rsidRPr="00533A97">
        <w:tab/>
        <w:t>so zreteľom na nariadenie Európskeho parlamentu a Rady (EÚ) 2018/1725 z 23. októbra 2018 o ochrane fyzických osôb pri spracúvaní osobných údajov inštitúciami, orgánmi, úradmi a agentúrami Únie a o voľnom pohybe takýchto údajov, ktorým sa zrušuje nariadenie (ES) č. 45/2001 a rozhodnutie č. 1247/2002/ES</w:t>
      </w:r>
      <w:r w:rsidRPr="00533A97">
        <w:rPr>
          <w:rStyle w:val="FootnoteReference"/>
        </w:rPr>
        <w:footnoteReference w:id="7"/>
      </w:r>
      <w:r w:rsidRPr="00533A97">
        <w:t>, a najmä na jeho článok 54,</w:t>
      </w:r>
    </w:p>
    <w:p w14:paraId="20952375" w14:textId="4A5D6381" w:rsidR="00A52205" w:rsidRPr="00533A97" w:rsidRDefault="00A52205" w:rsidP="00A52205">
      <w:pPr>
        <w:pStyle w:val="NormalHanging12a"/>
      </w:pPr>
      <w:r w:rsidRPr="00533A97">
        <w:t>–</w:t>
      </w:r>
      <w:r w:rsidRPr="00533A97">
        <w:tab/>
        <w:t>so zreteľom na článok 102 a prílohu V k rokovaciemu poriadku,</w:t>
      </w:r>
    </w:p>
    <w:p w14:paraId="147E0677" w14:textId="77777777" w:rsidR="00A52205" w:rsidRPr="00533A97" w:rsidRDefault="00A52205" w:rsidP="00A52205">
      <w:pPr>
        <w:pStyle w:val="NormalHanging12a"/>
      </w:pPr>
      <w:r w:rsidRPr="00533A97">
        <w:t>–</w:t>
      </w:r>
      <w:r w:rsidRPr="00533A97">
        <w:tab/>
        <w:t>so zreteľom na stanovisko Výboru pre občianske slobody, spravodlivosť a vnútorné veci,</w:t>
      </w:r>
    </w:p>
    <w:p w14:paraId="41CAB73B" w14:textId="77777777" w:rsidR="00A52205" w:rsidRPr="00533A97" w:rsidRDefault="00A52205" w:rsidP="00A52205">
      <w:pPr>
        <w:pStyle w:val="NormalHanging12a"/>
      </w:pPr>
      <w:r w:rsidRPr="00533A97">
        <w:t>–</w:t>
      </w:r>
      <w:r w:rsidRPr="00533A97">
        <w:tab/>
        <w:t>so zreteľom na správu Výboru pre kontrolu rozpočtu (A10-0057/2026),</w:t>
      </w:r>
    </w:p>
    <w:p w14:paraId="18E42E86" w14:textId="77777777" w:rsidR="00A52205" w:rsidRPr="00533A97" w:rsidRDefault="00A52205" w:rsidP="00A52205">
      <w:pPr>
        <w:pStyle w:val="NormalHanging12a"/>
      </w:pPr>
      <w:r w:rsidRPr="00533A97">
        <w:t>1.</w:t>
      </w:r>
      <w:r w:rsidRPr="00533A97">
        <w:tab/>
        <w:t>udeľuje európskemu dozornému úradníkovi pre ochranu údajov absolutórium za plnenie rozpočtu za rozpočtový rok 2024;</w:t>
      </w:r>
    </w:p>
    <w:p w14:paraId="04D9873A" w14:textId="77777777" w:rsidR="00A52205" w:rsidRPr="00533A97" w:rsidRDefault="00A52205" w:rsidP="00A52205">
      <w:pPr>
        <w:pStyle w:val="NormalHanging12a"/>
      </w:pPr>
      <w:r w:rsidRPr="00533A97">
        <w:t>2.</w:t>
      </w:r>
      <w:r w:rsidRPr="00533A97">
        <w:tab/>
        <w:t>uvádza svoje poznámky v priloženom uznesení;</w:t>
      </w:r>
    </w:p>
    <w:p w14:paraId="2825668E" w14:textId="77777777" w:rsidR="00A52205" w:rsidRPr="00533A97" w:rsidRDefault="00A52205" w:rsidP="00A52205">
      <w:pPr>
        <w:pStyle w:val="NormalHanging12a"/>
      </w:pPr>
      <w:r w:rsidRPr="00533A97">
        <w:t>3.</w:t>
      </w:r>
      <w:r w:rsidRPr="00533A97">
        <w:tab/>
        <w:t>poveruje svoju predsedníčku, aby postúpila toto rozhodnutie a uznesenie, ktoré je jeho neoddeliteľnou súčasťou, európskemu dozornému úradníkovi pre ochranu údajov, Európskej rade, Rade, Komisii, Dvoru audítorov, Súdnemu dvoru Európskej únie, európskej ombudsmanke a Európskej službe pre vonkajšiu činnosť a aby zabezpečila ich uverejnenie v </w:t>
      </w:r>
      <w:r w:rsidRPr="00533A97">
        <w:rPr>
          <w:i/>
          <w:iCs/>
        </w:rPr>
        <w:t>Úradnom vestníku Európskej únie</w:t>
      </w:r>
      <w:r w:rsidRPr="00533A97">
        <w:t xml:space="preserve"> (v sérii L).</w:t>
      </w:r>
    </w:p>
    <w:p w14:paraId="3DDC2F0D" w14:textId="77777777" w:rsidR="00A52205" w:rsidRPr="00533A97" w:rsidRDefault="00A52205" w:rsidP="00A52205">
      <w:pPr>
        <w:pStyle w:val="PageHeading"/>
        <w:sectPr w:rsidR="00A52205" w:rsidRPr="00533A97" w:rsidSect="00A0120B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6059CB9" w14:textId="013A9E2B" w:rsidR="008E7793" w:rsidRPr="00533A97" w:rsidRDefault="008E7793" w:rsidP="008E7793">
      <w:pPr>
        <w:pStyle w:val="ATHeading3"/>
      </w:pPr>
      <w:r w:rsidRPr="00533A97">
        <w:lastRenderedPageBreak/>
        <w:t xml:space="preserve">2. Uznesenie Európskeho parlamentu z </w:t>
      </w:r>
      <w:r w:rsidR="00D606C2" w:rsidRPr="00533A97">
        <w:t>29</w:t>
      </w:r>
      <w:r w:rsidRPr="00533A97">
        <w:t xml:space="preserve">. </w:t>
      </w:r>
      <w:r w:rsidR="00EE7A17" w:rsidRPr="00533A97">
        <w:t xml:space="preserve">apríla </w:t>
      </w:r>
      <w:r w:rsidRPr="00533A97">
        <w:t xml:space="preserve">2026 s poznámkami, ktoré </w:t>
      </w:r>
      <w:r w:rsidR="00EE7A17" w:rsidRPr="00533A97">
        <w:t xml:space="preserve">je </w:t>
      </w:r>
      <w:r w:rsidRPr="00533A97">
        <w:t>neoddeliteľnou súčasťou rozhodnutia o absolutóriu za plnenie všeobecného rozpočtu Európskej únie za rozpočtový rok 2024, oddiel IX – Európsky dozorný úradník pre ochranu údajov (2025/2154(DEC))</w:t>
      </w:r>
    </w:p>
    <w:p w14:paraId="7327ACD7" w14:textId="77777777" w:rsidR="00A52205" w:rsidRPr="00533A97" w:rsidRDefault="00A52205" w:rsidP="00A52205">
      <w:pPr>
        <w:pStyle w:val="EPComma"/>
      </w:pPr>
      <w:r w:rsidRPr="00533A97">
        <w:rPr>
          <w:i/>
          <w:iCs/>
        </w:rPr>
        <w:t>Európsky parlament,</w:t>
      </w:r>
    </w:p>
    <w:p w14:paraId="541E9A62" w14:textId="77777777" w:rsidR="00A52205" w:rsidRPr="00533A97" w:rsidRDefault="00A52205" w:rsidP="00A52205">
      <w:pPr>
        <w:pStyle w:val="NormalHanging12a"/>
      </w:pPr>
      <w:r w:rsidRPr="00533A97">
        <w:t>–</w:t>
      </w:r>
      <w:r w:rsidRPr="00533A97">
        <w:tab/>
        <w:t>so zreteľom na svoje rozhodnutie o absolutóriu za plnenie všeobecného rozpočtu Európskej únie za rozpočtový rok 2024, oddiel IX – Európsky dozorný úradník pre ochranu údajov,</w:t>
      </w:r>
    </w:p>
    <w:p w14:paraId="35157932" w14:textId="40D27FA2" w:rsidR="00A52205" w:rsidRPr="00533A97" w:rsidRDefault="00A52205" w:rsidP="00A52205">
      <w:pPr>
        <w:pStyle w:val="NormalHanging12a"/>
      </w:pPr>
      <w:r w:rsidRPr="00533A97">
        <w:t>–</w:t>
      </w:r>
      <w:r w:rsidRPr="00533A97">
        <w:tab/>
        <w:t>so zreteľom na článok 102 a prílohu V k rokovaciemu poriadku,</w:t>
      </w:r>
    </w:p>
    <w:p w14:paraId="13D7339B" w14:textId="77777777" w:rsidR="00A52205" w:rsidRPr="00533A97" w:rsidRDefault="00A52205" w:rsidP="00A52205">
      <w:pPr>
        <w:pStyle w:val="NormalHanging12a"/>
      </w:pPr>
      <w:r w:rsidRPr="00533A97">
        <w:t>–</w:t>
      </w:r>
      <w:r w:rsidRPr="00533A97">
        <w:tab/>
        <w:t>so zreteľom na stanovisko Výboru pre občianske slobody, spravodlivosť a vnútorné veci,</w:t>
      </w:r>
    </w:p>
    <w:p w14:paraId="41E37CE0" w14:textId="77777777" w:rsidR="00A52205" w:rsidRPr="00533A97" w:rsidRDefault="00A52205" w:rsidP="00A52205">
      <w:pPr>
        <w:pStyle w:val="NormalHanging12a"/>
      </w:pPr>
      <w:r w:rsidRPr="00533A97">
        <w:t>–</w:t>
      </w:r>
      <w:r w:rsidRPr="00533A97">
        <w:tab/>
        <w:t>so zreteľom na správu Výboru pre kontrolu rozpočtu (A10-0057/2026),</w:t>
      </w:r>
    </w:p>
    <w:p w14:paraId="4F3A86B9" w14:textId="77777777" w:rsidR="00A52205" w:rsidRPr="00533A97" w:rsidRDefault="00A52205" w:rsidP="00A52205">
      <w:pPr>
        <w:pStyle w:val="NormalHanging12a"/>
        <w:rPr>
          <w:szCs w:val="24"/>
        </w:rPr>
      </w:pPr>
      <w:r w:rsidRPr="00533A97">
        <w:t>A.</w:t>
      </w:r>
      <w:r w:rsidRPr="00533A97">
        <w:tab/>
        <w:t>keďže v súvislosti s postupom udelenia absolutória chce orgán udeľujúci absolutórium zdôrazniť mimoriadny význam ďalšieho posilňovania demokratickej legitimity inštitúcií Únie zvyšovaním transparentnosti a zodpovednosti a zavedením koncepcie zostavovania rozpočtu na základe výkonnosti a dobrého riadenia ľudských zdrojov;</w:t>
      </w:r>
    </w:p>
    <w:p w14:paraId="134F4FE3" w14:textId="77777777" w:rsidR="00A52205" w:rsidRPr="00533A97" w:rsidRDefault="00A52205" w:rsidP="00A52205">
      <w:pPr>
        <w:pStyle w:val="NormalHanging12a"/>
        <w:rPr>
          <w:szCs w:val="24"/>
        </w:rPr>
      </w:pPr>
      <w:r w:rsidRPr="00533A97">
        <w:t>B.</w:t>
      </w:r>
      <w:r w:rsidRPr="00533A97">
        <w:tab/>
        <w:t>keďže ochrana údajov je základné právo chránené v právnych predpisoch EÚ a zakotvené v článku 8 Charty základných práv Európskej únie;</w:t>
      </w:r>
    </w:p>
    <w:p w14:paraId="64B8616C" w14:textId="77777777" w:rsidR="00A52205" w:rsidRPr="00533A97" w:rsidRDefault="00A52205" w:rsidP="00A52205">
      <w:pPr>
        <w:pStyle w:val="NormalHanging12a"/>
        <w:rPr>
          <w:szCs w:val="24"/>
        </w:rPr>
      </w:pPr>
      <w:r w:rsidRPr="00533A97">
        <w:t>C.</w:t>
      </w:r>
      <w:r w:rsidRPr="00533A97">
        <w:tab/>
        <w:t>keďže v článku 16 Zmluvy o fungovaní Európskej únie sa stanovuje, že dodržiavanie pravidiel týkajúcich sa ochrany fyzických osôb, pokiaľ ide o spracúvanie osobných údajov, ktoré sa ich týkajú, podlieha kontrole nezávislého orgánu;</w:t>
      </w:r>
    </w:p>
    <w:p w14:paraId="107E61A6" w14:textId="77777777" w:rsidR="00A52205" w:rsidRPr="00533A97" w:rsidRDefault="00A52205" w:rsidP="00A52205">
      <w:pPr>
        <w:pStyle w:val="NormalHanging12a"/>
        <w:rPr>
          <w:szCs w:val="24"/>
        </w:rPr>
      </w:pPr>
      <w:r w:rsidRPr="00533A97">
        <w:t>D.</w:t>
      </w:r>
      <w:r w:rsidRPr="00533A97">
        <w:tab/>
        <w:t>keďže v nariadení (EÚ) 2018/1725 sa stanovuje vytvorenie nezávislého orgánu – európskeho dozorného úradníka pre ochranu údajov (ďalej len „EDPS“), ktorý je zodpovedný za ochranu a zaručenie práva na ochranu údajov a súkromie a ktorého úlohou je zabezpečiť, aby sa v inštitúciách, orgánoch, úradoch a agentúrach Únie uplatňovala kultúra prísnej ochrany údajov;</w:t>
      </w:r>
    </w:p>
    <w:p w14:paraId="5B74E8FB" w14:textId="77777777" w:rsidR="00A52205" w:rsidRPr="00533A97" w:rsidRDefault="00A52205" w:rsidP="00A52205">
      <w:pPr>
        <w:pStyle w:val="NormalHanging12a"/>
        <w:rPr>
          <w:szCs w:val="24"/>
        </w:rPr>
      </w:pPr>
      <w:r w:rsidRPr="00533A97">
        <w:t>E.</w:t>
      </w:r>
      <w:r w:rsidRPr="00533A97">
        <w:tab/>
        <w:t>keďže EDPS vykonáva svoje funkcie v úzkej spolupráci s ďalšími orgánmi pre ochranu osobných údajov v rámci Európskeho výboru pre ochranu údajov (EDPB) a slúži verejnému záujmu, pričom sa riadi zásadami nestrannosti, integrity, transparentnosti, vecnosti a dodržiavania právnych predpisov EÚ;</w:t>
      </w:r>
    </w:p>
    <w:p w14:paraId="2F1AD08F" w14:textId="77777777" w:rsidR="00A52205" w:rsidRPr="00533A97" w:rsidRDefault="00A52205" w:rsidP="00A52205">
      <w:pPr>
        <w:pStyle w:val="NormalHanging12a"/>
        <w:rPr>
          <w:szCs w:val="24"/>
        </w:rPr>
      </w:pPr>
      <w:r w:rsidRPr="00533A97">
        <w:t>F.</w:t>
      </w:r>
      <w:r w:rsidRPr="00533A97">
        <w:tab/>
        <w:t>keďže občania Únie potrebujú digitálne prostredie, ktoré nie je kontrolované netransparentnými záujmami, a iniciatívy, ktoré podporujú digitálnu suverenitu a zabezpečujú, aby v centre správy údajov v Únii boli jednotlivci, a nie spoločnosti alebo nezodpovedné systémy;</w:t>
      </w:r>
    </w:p>
    <w:p w14:paraId="32BFBC97" w14:textId="77777777" w:rsidR="00A52205" w:rsidRPr="00533A97" w:rsidRDefault="00A52205" w:rsidP="00A52205">
      <w:pPr>
        <w:pStyle w:val="NormalHanging12a"/>
        <w:rPr>
          <w:szCs w:val="24"/>
        </w:rPr>
      </w:pPr>
      <w:r w:rsidRPr="00533A97">
        <w:t>1.</w:t>
      </w:r>
      <w:r w:rsidRPr="00533A97">
        <w:tab/>
        <w:t>konštatuje, že rozpočet EDPS patrí do okruhu 7 VFR Európska verejná správa, ktorý v roku 2024 predstavoval celkovo 13,3 miliardy EUR, t. j. 6,9 % rozpočtových výdavkov Únie; konštatuje, že rozpočet EDPS predstavoval 0,18 % rozpočtových prostriedkov okruhu 7 VFR;</w:t>
      </w:r>
    </w:p>
    <w:p w14:paraId="00B2C101" w14:textId="77777777" w:rsidR="00A52205" w:rsidRPr="00533A97" w:rsidRDefault="00A52205" w:rsidP="00A52205">
      <w:pPr>
        <w:pStyle w:val="NormalHanging12a"/>
      </w:pPr>
      <w:r w:rsidRPr="00533A97">
        <w:lastRenderedPageBreak/>
        <w:t>2.</w:t>
      </w:r>
      <w:r w:rsidRPr="00533A97">
        <w:tab/>
        <w:t>konštatuje, že Európsky dvor audítorov (ďalej len „Dvor audítorov“) vo svojej výročnej správe za rozpočtový rok 2024 (ďalej len „správa Dvora audítorov“) preskúmal vzorku 70 transakcií v oddiele Administratíva, čo je rovnaký počet ako v roku 2023; keďže Dvor audítorov ďalej uvádza, že administratívne výdavky zahŕňajú výdavky na ľudské zdroje vrátane výdavkov na dôchodky, ktoré v roku 2024 predstavovali približne 69 % celkových administratívnych výdavkov, a výdavky na budovy, zariadenie, energie, komunikáciu a informačné technológie a že z jeho dlhoročnej práce vyplýva, že tieto administratívne výdavky sú celkovo nízkorizikové;</w:t>
      </w:r>
    </w:p>
    <w:p w14:paraId="64A2F62A" w14:textId="77777777" w:rsidR="00A52205" w:rsidRPr="00533A97" w:rsidRDefault="00A52205" w:rsidP="00A52205">
      <w:pPr>
        <w:pStyle w:val="NormalHanging12a"/>
      </w:pPr>
      <w:r w:rsidRPr="00533A97">
        <w:t>3.</w:t>
      </w:r>
      <w:r w:rsidRPr="00533A97">
        <w:tab/>
        <w:t>konštatuje, že 16 zo 70 (23 %) operácií obsahovalo chyby, ale že Dvor audítorov na základe troch vyčíslených chýb odhaduje, že chybovosť bola pod prahom významnosti; konštatuje, že v správe Dvora audítorov nie sú uvedené žiadne konkrétne problémy týkajúce sa EDPS;</w:t>
      </w:r>
    </w:p>
    <w:p w14:paraId="5ACA88F1" w14:textId="77777777" w:rsidR="00A52205" w:rsidRPr="00533A97" w:rsidRDefault="00A52205" w:rsidP="00A52205">
      <w:pPr>
        <w:pStyle w:val="NormalHanging12a"/>
      </w:pPr>
      <w:r w:rsidRPr="00533A97">
        <w:rPr>
          <w:b/>
          <w:i/>
        </w:rPr>
        <w:t>Rozpočtové a finančné riadenie</w:t>
      </w:r>
    </w:p>
    <w:p w14:paraId="26F46922" w14:textId="77777777" w:rsidR="00A52205" w:rsidRPr="00533A97" w:rsidRDefault="00A52205" w:rsidP="00A52205">
      <w:pPr>
        <w:pStyle w:val="NormalHanging12a"/>
        <w:rPr>
          <w:b/>
          <w:i/>
          <w:szCs w:val="24"/>
        </w:rPr>
      </w:pPr>
      <w:r w:rsidRPr="00533A97">
        <w:t>4.</w:t>
      </w:r>
      <w:r w:rsidRPr="00533A97">
        <w:tab/>
        <w:t>konštatuje, že konečný schválený rozpočet EDPS v roku 2024 bol 24 329 460 EUR, čo v porovnaní s rokom 2023 predstavovalo zvýšenie o 7,12 % (22 711 559 EUR); poznamenáva, že rozpočet EDPS sa vzťahuje aj na činnosť nezávislého sekretariátu výboru EDPB; na základe výročnej správy EDPS za rok 2024 (ďalej len „výročná správa“) konštatuje, že prijatý rozpočet výboru EDPB na rok 2024 bol 8,36 milióna EUR (v porovnaní so 7,67 milióna EUR v roku 2023);</w:t>
      </w:r>
    </w:p>
    <w:p w14:paraId="09720031" w14:textId="77777777" w:rsidR="00A52205" w:rsidRPr="00533A97" w:rsidRDefault="00A52205" w:rsidP="00A52205">
      <w:pPr>
        <w:pStyle w:val="NormalHanging12a"/>
        <w:rPr>
          <w:szCs w:val="24"/>
        </w:rPr>
      </w:pPr>
      <w:r w:rsidRPr="00533A97">
        <w:t>5.</w:t>
      </w:r>
      <w:r w:rsidRPr="00533A97">
        <w:tab/>
        <w:t xml:space="preserve">s uspokojením konštatuje, že úsilie o monitorovanie a plánovanie rozpočtu EDPS za rozpočtový rok 2024 prinieslo mieru plnenia rozpočtu v prípade viazaných rozpočtových prostriedkov v bežnom roku 2024 na úrovni 96 % (rovnako ako v roku 2023); na základe správy o ročnej účtovnej závierke EDPS za rok 2024 ďalej poznamenáva, že miera plnenia platobných rozpočtových prostriedkov v bežnom roku bola 84 % (rovnako ako v roku 2023); okrem toho na základe odpovedí EDPS v dotazníku týkajúcom sa rozpočtového absolutória za rok 2023 (ďalej len „dotazník“), ktorý predložil Výbor pre kontrolu rozpočtu, konštatuje, že miera plnenia platobných rozpočtových prostriedkov bola v roku 2024 celkovo 91,88 %, čo je viac ako 91,33 % v roku 2023; </w:t>
      </w:r>
    </w:p>
    <w:p w14:paraId="757E0C2C" w14:textId="77777777" w:rsidR="00A52205" w:rsidRPr="00533A97" w:rsidRDefault="00A52205" w:rsidP="00A52205">
      <w:pPr>
        <w:pStyle w:val="NormalHanging12a"/>
        <w:rPr>
          <w:szCs w:val="24"/>
        </w:rPr>
      </w:pPr>
      <w:r w:rsidRPr="00533A97">
        <w:t>6.</w:t>
      </w:r>
      <w:r w:rsidRPr="00533A97">
        <w:tab/>
        <w:t xml:space="preserve">ďalej konštatuje, že suma prenesených rozpočtových prostriedkov (C8) z roku 2024 do roku 2025 predstavovala 2 649 943 EUR (t. j. 10,89 % celkového rozpočtu na rok 2024) v porovnaní so sumou 2 517 942 EUR v roku 2023 (t. j. 11,08 % celkového rozpočtu na rok 2023); konštatuje, že miera plnenia rozpočtu C8 v roku 2024 bola 77,37 % (v porovnaní so 76,65 % v roku 2023); </w:t>
      </w:r>
    </w:p>
    <w:p w14:paraId="7FA5F2E9" w14:textId="77777777" w:rsidR="00A52205" w:rsidRPr="00533A97" w:rsidRDefault="00A52205" w:rsidP="00A52205">
      <w:pPr>
        <w:pStyle w:val="NormalHanging12a"/>
        <w:rPr>
          <w:szCs w:val="24"/>
        </w:rPr>
      </w:pPr>
      <w:r w:rsidRPr="00533A97">
        <w:t>7.</w:t>
      </w:r>
      <w:r w:rsidRPr="00533A97">
        <w:tab/>
        <w:t>konštatuje, že v roku 2024 dosahoval priemerný čas potrebný na platbu 20 dní v porovnaní s 19 dňami v roku 2023, pričom načas bolo spracovaných 96,87 % platieb (oproti 92,73 % v roku 2023); ďalej berie na vedomie, že došlo k zvýšeniu počtu platieb z 1 335 v roku 2023 na 1 440 v roku 2024; konštatuje, že EDPS sa v roku 2024 stretol s určitými technickými ťažkosťami v dôsledku paralelného fungovania dvoch rôznych informačných systémov (systém SUMMA Komisie a systém ABAC európskeho dozorného úradníka pre ochranu údajov), čo si vyžiadalo ručné prekódovanie a iné manuálne zásahy; konštatuje, že systém SUMMA sa má u EDPS zaviesť v roku 2026;</w:t>
      </w:r>
    </w:p>
    <w:p w14:paraId="1C64C976" w14:textId="77777777" w:rsidR="00A52205" w:rsidRPr="00533A97" w:rsidRDefault="00A52205" w:rsidP="00A52205">
      <w:pPr>
        <w:pStyle w:val="NormalHanging12a"/>
      </w:pPr>
      <w:r w:rsidRPr="00533A97">
        <w:t>8.</w:t>
      </w:r>
      <w:r w:rsidRPr="00533A97">
        <w:tab/>
        <w:t xml:space="preserve">na základe dotazníka konštatuje, že celkový rozpočet EDPS na služobné cesty sa znížil o 17,86 % z 323 421 EUR v roku 2023 na 265 630 EUR v roku 2024 z dôvodu zníženia </w:t>
      </w:r>
      <w:r w:rsidRPr="00533A97">
        <w:lastRenderedPageBreak/>
        <w:t>cestovných a súvisiacich nákladov v dôsledku zvýšenej účasti na zasadnutiach na diaľku/hybridných zasadnutiach; na základe výročnej správy poznamenáva, že počet služobných ciest zamestnancov sa takisto znížil z 246 v roku 2023 na 218 v roku 2024; konštatuje, že v rámci tohto rozpočtu bola na 23 služobných ciest dozorného úradníka v roku 2024 vyčlenená suma 38 418 EUR, ktorá sa zvýšila z 33 000 EUR na 24 služobných ciest v roku 2023, a to najmä z dôvodu miesta konania dôležitých zasadnutí a podujatí, na ktorých sa dozorný úradník musel zúčastniť, vrátane niekoľkých služobných ciest v Spojených štátoch a Mexiku v roku 2024; so znepokojením konštatuje, že pokiaľ ide o služobné cesty do krajiny pôvodu vysokopostavených úradníkov, dozorný úradník uskutočnil v roku 2024 len 3 služobné cesty do Poľska (z celkového počtu 23), zatiaľ čo generálny tajomník EDPS uskutočnil 9 služobných ciest do Španielska (z celkového počtu 15); zdôrazňuje, že EDPS naďalej neposkytuje informácie o počte služobných ciest financovaných organizátormi alebo inými tretími stranami, čím sa znižuje transparentnosť výdavkov EDPS na služobné cesty;</w:t>
      </w:r>
    </w:p>
    <w:p w14:paraId="61916E3C" w14:textId="77777777" w:rsidR="00A52205" w:rsidRPr="00533A97" w:rsidRDefault="00A52205" w:rsidP="00A52205">
      <w:pPr>
        <w:pStyle w:val="NormalHanging12a"/>
      </w:pPr>
      <w:r w:rsidRPr="00533A97">
        <w:t>9.</w:t>
      </w:r>
      <w:r w:rsidRPr="00533A97">
        <w:tab/>
        <w:t>na základe dotazníka konštatuje, že v súvislosti s nezákonnou ruskou útočnou vojnou proti Ukrajine riešil EDPS inflačné tlaky na zákazky a služby tým, že v priebehu roka revidoval odhady nákladov a prerozdeľoval zdroje prostredníctvom presunov vykonaných v súlade s článkom 29 ods. 1 a 4 nariadenia o rozpočtových pravidlách, stanovil rezervy na nepredvídané udalosti a prehodnotil priority s cieľom zabezpečiť obsluhu hlavných procesov EDPS; vyzýva EDPS, aby pokračoval v pravidelných preskúmaniach s cieľom identifikovať oblasti s nedostatočným čerpaním a v prípade potreby v priebehu roka prerozdeliť finančné prostriedky; uznáva, že je potrebné, aby všetky inštitúcie Únie zlepšili svoje rozpočtové riadenie tým, že pri uzatváraní zmlúv s poskytovateľmi služieb zohľadnia aj cenovú volatilitu, najmä v odvetví energetiky;</w:t>
      </w:r>
    </w:p>
    <w:p w14:paraId="233EE0BF" w14:textId="77777777" w:rsidR="00A52205" w:rsidRPr="00533A97" w:rsidRDefault="00A52205" w:rsidP="00A52205">
      <w:pPr>
        <w:pStyle w:val="NormalHanging12a"/>
        <w:rPr>
          <w:szCs w:val="24"/>
        </w:rPr>
      </w:pPr>
      <w:r w:rsidRPr="00533A97">
        <w:t>10.</w:t>
      </w:r>
      <w:r w:rsidRPr="00533A97">
        <w:tab/>
        <w:t xml:space="preserve">konštatuje, že EDPS začal a zadal 66 postupov verejného obstarávania, z ktorých 45 malo veľmi nízku hodnotu, dva boli rokovacie konania bez predchádzajúceho zverejnenia, deväť bolo osobitných zákaziek na vytvorenie zoznamu jednotlivých expertov a jedna bola rámcová zmluva vo výške 200 000 EUR so spoločnosťou </w:t>
      </w:r>
      <w:proofErr w:type="spellStart"/>
      <w:r w:rsidRPr="00533A97">
        <w:t>PricewaterhouseCoopers</w:t>
      </w:r>
      <w:proofErr w:type="spellEnd"/>
      <w:r w:rsidRPr="00533A97">
        <w:t>; konštatuje, že EDPS podpísal väčšinu zmlúv s malými a strednými podnikmi prostredníctvom postupov s veľmi nízkou alebo nízkou hodnotou;</w:t>
      </w:r>
    </w:p>
    <w:p w14:paraId="3E40B6E9" w14:textId="77777777" w:rsidR="00A52205" w:rsidRPr="00533A97" w:rsidRDefault="00A52205" w:rsidP="00A52205">
      <w:pPr>
        <w:pStyle w:val="NormalHanging12a"/>
        <w:rPr>
          <w:szCs w:val="24"/>
        </w:rPr>
      </w:pPr>
      <w:r w:rsidRPr="00533A97">
        <w:rPr>
          <w:b/>
          <w:i/>
        </w:rPr>
        <w:t>Vnútorné riadenie, výkonnosť a vnútorná kontrola</w:t>
      </w:r>
    </w:p>
    <w:p w14:paraId="53B5D2F9" w14:textId="77777777" w:rsidR="00A52205" w:rsidRPr="00533A97" w:rsidRDefault="00A52205" w:rsidP="00A52205">
      <w:pPr>
        <w:pStyle w:val="NormalHanging12a"/>
        <w:rPr>
          <w:szCs w:val="24"/>
        </w:rPr>
      </w:pPr>
      <w:r w:rsidRPr="00533A97">
        <w:t>11.</w:t>
      </w:r>
      <w:r w:rsidRPr="00533A97">
        <w:tab/>
        <w:t xml:space="preserve">konštatuje, že EDPS použil na monitorovanie svojej výkonnosti v roku 2024 deväť kľúčových ukazovateľov výkonnosti (KPI), čo je v súlade s hlavnými cieľmi stratégie EDPS na roky 2020 – 2024, ktorá sa vykonáva prostredníctvom ročného plánu riadenia; na základe výročnej správy poznamenáva, že EDPS splnil alebo prekročil ciele stanovené vo všetkých kľúčových ukazovateľoch výkonnosti s výnimkou jedného kľúčového ukazovateľa výkonnosti (počet </w:t>
      </w:r>
      <w:proofErr w:type="spellStart"/>
      <w:r w:rsidRPr="00533A97">
        <w:t>sledovateľov</w:t>
      </w:r>
      <w:proofErr w:type="spellEnd"/>
      <w:r w:rsidRPr="00533A97">
        <w:t xml:space="preserve"> EDPS na niektorých účtoch na sociálnych sieťach);</w:t>
      </w:r>
    </w:p>
    <w:p w14:paraId="016B7B7E" w14:textId="77777777" w:rsidR="00A52205" w:rsidRPr="00533A97" w:rsidRDefault="00A52205" w:rsidP="00A52205">
      <w:pPr>
        <w:pStyle w:val="NormalHanging12a"/>
        <w:rPr>
          <w:szCs w:val="24"/>
        </w:rPr>
      </w:pPr>
      <w:r w:rsidRPr="00533A97">
        <w:t>12.</w:t>
      </w:r>
      <w:r w:rsidRPr="00533A97">
        <w:tab/>
        <w:t xml:space="preserve">berie na vedomie, že EDPS vykonáva rôzne úlohy, a to napríklad ako orgán pre ochranu údajov a od 1. augusta 2024 aj ako notifikovaná osoba, notifikujúci orgán a orgán dohľadu nad trhom zodpovedný za dohľad nad nariadením Európskeho parlamentu </w:t>
      </w:r>
      <w:r w:rsidRPr="00533A97">
        <w:lastRenderedPageBreak/>
        <w:t>a Rady (EÚ) 2024/1689</w:t>
      </w:r>
      <w:r w:rsidRPr="00533A97">
        <w:rPr>
          <w:rStyle w:val="FootnoteReference"/>
          <w:szCs w:val="24"/>
        </w:rPr>
        <w:footnoteReference w:id="8"/>
      </w:r>
      <w:r w:rsidRPr="00533A97">
        <w:t xml:space="preserve"> a jeho presadzovanie vo vzťahu k inštitúciám, orgánom, úradom a agentúra Únie, pričom v prípade poslednej uvedenej úlohy bude mať EDPS právomoci v oblasti presadzovania až od 2. augusta 2026; v tejto súvislosti s uznaním konštatuje, že EDPS pracoval na riadiacich štruktúrach a procesných rámcoch potrebných na vykonávanie svojich nových úloh a právomocí ako orgán dohľadu nad trhom podľa nariadenia (EÚ) 2024/1689, a to aj tým, že v roku 2024 spustil sieť korešpondentov pre akt o umelej inteligencii, do ktorej sa napriek dobrovoľnému charakteru zapojili všetky inštitúcie, orgány, úrady a agentúry Únie;</w:t>
      </w:r>
    </w:p>
    <w:p w14:paraId="136D4CDE" w14:textId="0866FAB3" w:rsidR="00A52205" w:rsidRPr="00533A97" w:rsidRDefault="00A52205" w:rsidP="00A52205">
      <w:pPr>
        <w:pStyle w:val="NormalHanging12a"/>
        <w:rPr>
          <w:szCs w:val="24"/>
        </w:rPr>
      </w:pPr>
      <w:r w:rsidRPr="00533A97">
        <w:t>13.</w:t>
      </w:r>
      <w:r w:rsidRPr="00533A97">
        <w:tab/>
        <w:t xml:space="preserve">berie na vedomie posilnenú úlohu EDPS v nových legislatívnych aktoch vrátane nariadenia (EÚ) 2024/1689, na základe ktorého sa EDPS stáva príslušným orgánom pre inštitúcie, agentúry, úrady a orgány Únie a na základe ktorého boli na EDPS delegované ďalšie úlohy; konštatuje, že 1. októbra 2024 EDPS na riešenie svojich nových úloh v oblasti dohľadu zriadil oddelenie umelej inteligencie, ktoré v roku 2024 tvorili dvaja interne preradení zamestnanci; na základe dotazníka konštatuje, že od roku 2025 má EDPS pre toto oddelenie rozpočet, ktorý pokrýva dve trvalé pracovné miesta a päť pracovných miest pre zmluvných zamestnancov, na ktoré sa uskutočnili výberové konania; na základe dotazníka však berie na vedomie názor EDPS, že tieto zdroje naďalej nepostačujú na pokrytie týchto nových úloh, najmä dohľadu nad systémami umelej inteligencie v oblasti kontroly hraníc, migrácie, spravodlivosti a presadzovania práva alebo zriadenia regulačného experimentálneho prostredia pre AI pre inštitúcie, orgány, úrady a agentúry Únie, ako sa stanovuje v článku 57 ods. 3 nariadenia (EÚ) 2024/1689; ďalej konštatuje, že zo správy EDPS o následných opatreniach k uzneseniu </w:t>
      </w:r>
      <w:r w:rsidR="00EE7A17" w:rsidRPr="00533A97">
        <w:t>Európskeho p</w:t>
      </w:r>
      <w:r w:rsidRPr="00533A97">
        <w:t xml:space="preserve">arlamentu o plnení rozpočtu EDPS za rok 2023 (ďalej len „správa o následných opatreniach“) vyplýva, že aj z dôvodu rozpočtových obmedzení nemohol EDPS v roku 2024 začať vypracúvať štúdiu uskutočniteľnosti o umelej inteligencii;  pripomína, že v snahe vyhnúť sa nákladným právnym postupom by sa mal EDPS držať právomocí vyplývajúcich z jeho mandátu na základe prístupu založeného na spolupráci s inštitúciami a agentúrami Únie; pripomína, že </w:t>
      </w:r>
      <w:r w:rsidR="00EE7A17" w:rsidRPr="00533A97">
        <w:t>Európsky p</w:t>
      </w:r>
      <w:r w:rsidRPr="00533A97">
        <w:t>arlament už vo svojom uznesení o absolutóriu za rok 2023 varoval, že postupné rozširovanie mandátu EDPS predstavuje riziko prekročenia jeho dostupných zdrojov; zdôrazňuje, že je dôležité poskytnúť EDPS primerané finančné a ľudské zdroje, aby mohol účinne dohliadať na systémy umelej inteligencie v dôležitých oblastiach;</w:t>
      </w:r>
    </w:p>
    <w:p w14:paraId="632AAE0C" w14:textId="77777777" w:rsidR="00A52205" w:rsidRPr="00533A97" w:rsidRDefault="00A52205" w:rsidP="00A52205">
      <w:pPr>
        <w:pStyle w:val="NormalHanging12a"/>
        <w:rPr>
          <w:szCs w:val="24"/>
        </w:rPr>
      </w:pPr>
      <w:r w:rsidRPr="00533A97">
        <w:t>14.</w:t>
      </w:r>
      <w:r w:rsidRPr="00533A97">
        <w:tab/>
        <w:t xml:space="preserve">konštatuje, že pokiaľ ide o monitorovanie a prognózovanie technológií, EDPS sa v roku 2024 zameral na umelú inteligenciu, a to prostredníctvom svojho oddelenia pre technológie a ochranu súkromia; v tejto súvislosti berie na vedomie niektoré témy, ktorými sa EDPS zaoberá, ako napríklad: – spracúvanie </w:t>
      </w:r>
      <w:proofErr w:type="spellStart"/>
      <w:r w:rsidRPr="00533A97">
        <w:t>neurodát</w:t>
      </w:r>
      <w:proofErr w:type="spellEnd"/>
      <w:r w:rsidRPr="00533A97">
        <w:t xml:space="preserve"> prostredníctvom </w:t>
      </w:r>
      <w:proofErr w:type="spellStart"/>
      <w:r w:rsidRPr="00533A97">
        <w:t>neurotechnológií</w:t>
      </w:r>
      <w:proofErr w:type="spellEnd"/>
      <w:r w:rsidRPr="00533A97">
        <w:t xml:space="preserve">, ktoré sa spomínajú v publikácii </w:t>
      </w:r>
      <w:proofErr w:type="spellStart"/>
      <w:r w:rsidRPr="00533A97">
        <w:t>TechDispatch</w:t>
      </w:r>
      <w:proofErr w:type="spellEnd"/>
      <w:r w:rsidRPr="00533A97">
        <w:t xml:space="preserve"> on </w:t>
      </w:r>
      <w:proofErr w:type="spellStart"/>
      <w:r w:rsidRPr="00533A97">
        <w:t>neurodata</w:t>
      </w:r>
      <w:proofErr w:type="spellEnd"/>
      <w:r w:rsidRPr="00533A97">
        <w:t xml:space="preserve"> (</w:t>
      </w:r>
      <w:proofErr w:type="spellStart"/>
      <w:r w:rsidRPr="00533A97">
        <w:t>TechDispatch</w:t>
      </w:r>
      <w:proofErr w:type="spellEnd"/>
      <w:r w:rsidRPr="00533A97">
        <w:t xml:space="preserve"> o </w:t>
      </w:r>
      <w:proofErr w:type="spellStart"/>
      <w:r w:rsidRPr="00533A97">
        <w:t>neurodátach</w:t>
      </w:r>
      <w:proofErr w:type="spellEnd"/>
      <w:r w:rsidRPr="00533A97">
        <w:t>), ktorú vydal EDPS spolu so španielskym orgánom pre ochranu údajov v júni 2024, a – automatizované rozhodovanie a ľudský dohľad, ktorému sa venoval tematický seminár organizovaný spoločne s Agentúrou Európskej únie pre kybernetickú bezpečnosť (ENISA) a Univerzitou v </w:t>
      </w:r>
      <w:proofErr w:type="spellStart"/>
      <w:r w:rsidRPr="00533A97">
        <w:t>Karlstade</w:t>
      </w:r>
      <w:proofErr w:type="spellEnd"/>
      <w:r w:rsidRPr="00533A97">
        <w:t xml:space="preserve"> v septembri 2024; s uznaním konštatuje, že EDPS v novembri 2024 uverejnil štvrté vydanie svojej </w:t>
      </w:r>
      <w:r w:rsidRPr="00533A97">
        <w:lastRenderedPageBreak/>
        <w:t xml:space="preserve">iniciatívy </w:t>
      </w:r>
      <w:proofErr w:type="spellStart"/>
      <w:r w:rsidRPr="00533A97">
        <w:t>Techsonar</w:t>
      </w:r>
      <w:proofErr w:type="spellEnd"/>
      <w:r w:rsidRPr="00533A97">
        <w:t xml:space="preserve">, ktorá bola zameraná na šesť trendov v oblasti umelej inteligencie, ako napríklad: generovanie s rozšíreným vyhľadávaním, umelá inteligencia v zariadení, strojové </w:t>
      </w:r>
      <w:proofErr w:type="spellStart"/>
      <w:r w:rsidRPr="00533A97">
        <w:t>odnaučovanie</w:t>
      </w:r>
      <w:proofErr w:type="spellEnd"/>
      <w:r w:rsidRPr="00533A97">
        <w:t xml:space="preserve">, </w:t>
      </w:r>
      <w:proofErr w:type="spellStart"/>
      <w:r w:rsidRPr="00533A97">
        <w:t>multimodálna</w:t>
      </w:r>
      <w:proofErr w:type="spellEnd"/>
      <w:r w:rsidRPr="00533A97">
        <w:t xml:space="preserve"> umelá inteligencia, škálovateľný dohľad a </w:t>
      </w:r>
      <w:proofErr w:type="spellStart"/>
      <w:r w:rsidRPr="00533A97">
        <w:t>neurosymbolická</w:t>
      </w:r>
      <w:proofErr w:type="spellEnd"/>
      <w:r w:rsidRPr="00533A97">
        <w:t xml:space="preserve"> umelá inteligencia; zdôrazňuje, že je dôležité, aby EDPS zhromaždil poznatky potrebné na presadzovanie svojich právomocí podľa nariadenia (EÚ) 2024/1689, hneď ako inštitúcie, orgány, úrady a agentúry Únie začnú používať vznikajúce technológie na spracovanie osobných údajov; okrem toho konštatuje, že v roku 2024 vydal EDPS prvé usmernenia pre inštitúcie, orgány, úrady a agentúry Únie na zabezpečenie dodržiavania ochrany údajov pri používaní generatívnych systémov umelej inteligencie, ako aj tri stanoviská v oblasti dohľadu týkajúce sa používania nástrojov umelej inteligencie </w:t>
      </w:r>
      <w:proofErr w:type="spellStart"/>
      <w:r w:rsidRPr="00533A97">
        <w:t>Europolom</w:t>
      </w:r>
      <w:proofErr w:type="spellEnd"/>
      <w:r w:rsidRPr="00533A97">
        <w:t xml:space="preserve"> a </w:t>
      </w:r>
      <w:proofErr w:type="spellStart"/>
      <w:r w:rsidRPr="00533A97">
        <w:t>Eurojustom</w:t>
      </w:r>
      <w:proofErr w:type="spellEnd"/>
      <w:r w:rsidRPr="00533A97">
        <w:t>;</w:t>
      </w:r>
    </w:p>
    <w:p w14:paraId="7764000C" w14:textId="77777777" w:rsidR="00A52205" w:rsidRPr="00533A97" w:rsidRDefault="00A52205" w:rsidP="00A52205">
      <w:pPr>
        <w:pStyle w:val="NormalHanging12a"/>
        <w:rPr>
          <w:szCs w:val="24"/>
        </w:rPr>
      </w:pPr>
      <w:r w:rsidRPr="00533A97">
        <w:t>15.</w:t>
      </w:r>
      <w:r w:rsidRPr="00533A97">
        <w:tab/>
        <w:t>konštatuje, že počet sťažností sa z roka na rok stále zvyšuje, pričom väčšina sťažností sa týka Komisie a predkladajú ich zamestnanci inštitúcií, orgánov, úradov a agentúr Únie; berie na vedomie, že v roku 2024 dostal EDPS 663 sťažností, t. j. o 202 viac ako v roku 2023, pričom 108 bolo prípustných a 555 neprípustných; konštatuje, že EDPS vydal konečné rozhodnutie, stanovisko alebo odpoveď v 77 prípadoch (t. j. nárast o 33 % v porovnaní s rokom 2023) zo 108 sťažností prijatých v roku 2024 a odpovedal na všetky prijaté neprípustné sťažnosti; konštatuje, že zo všetkých prípustných sťažností prijatých v roku 2024 bolo v roku 2024 ukončených 48 prípadov, čo predstavuje pokles oproti 55 prípadom v roku 2023; konštatuje, že na konci roka 2024 bolo v štádiu riešenia 104 prípustných sťažností (nárast zo 71 prípadov v roku 2023) vrátane sťažností podaných pred rokom 2024; oceňuje úsilie, ktoré EDPS vynaložil na zníženie vysokého počtu sťažností, a nabáda ho, aby vybavovanie sťažností ešte viac zefektívnil, napr. hľadaním spoločného chápania postupu vybavovania sťažností s vnútroštátnymi orgánmi pre ochranu údajov, najmä v oblasti slobody, bezpečnosti a spravodlivosti, kde vyšetrovania bývajú zložité a zdĺhavé; konštatuje, že v roku 2024 dostal EDPS 125 oznámení o porušení ochrany osobných údajov, pričom v roku 2023 ich bolo 77;</w:t>
      </w:r>
    </w:p>
    <w:p w14:paraId="5262D447" w14:textId="77777777" w:rsidR="00A52205" w:rsidRPr="00533A97" w:rsidRDefault="00A52205" w:rsidP="00A52205">
      <w:pPr>
        <w:pStyle w:val="NormalHanging12a"/>
        <w:rPr>
          <w:szCs w:val="24"/>
        </w:rPr>
      </w:pPr>
      <w:r w:rsidRPr="00533A97">
        <w:t>16.</w:t>
      </w:r>
      <w:r w:rsidRPr="00533A97">
        <w:tab/>
        <w:t>naliehavo vyzýva EDPS, aby sa zamyslel nad svojimi kľúčovými ukazovateľmi výkonnosti a zabezpečil, aby sa uplatňovali na vybavovanie sťažností, ako aj na stanovovanie cieľov týkajúcich sa vybavovania sťažností a vyšetrovaní, podobne ako je to v praxi európskej ombudsmanky;</w:t>
      </w:r>
    </w:p>
    <w:p w14:paraId="347694D1" w14:textId="71AC5847" w:rsidR="00A52205" w:rsidRPr="00533A97" w:rsidRDefault="00A52205" w:rsidP="00A52205">
      <w:pPr>
        <w:pStyle w:val="NormalHanging12a"/>
        <w:rPr>
          <w:szCs w:val="24"/>
        </w:rPr>
      </w:pPr>
      <w:r w:rsidRPr="00533A97">
        <w:t>17.</w:t>
      </w:r>
      <w:r w:rsidRPr="00533A97">
        <w:tab/>
        <w:t xml:space="preserve">zdôrazňuje, že konzultácie a poradenstvo EDPS zohrávajú dôležitú úlohu v legislatívnom procese Únie, a to nielen v počiatočnom štádiu prípravy legislatívnych návrhov Komisie, ale aj prostredníctvom poskytovania pripomienok alebo stanovísk ku kompromisným pozmeňujúcim návrhom v rámci trojstranných rokovaní na základe žiadostí </w:t>
      </w:r>
      <w:r w:rsidR="00EE7A17" w:rsidRPr="00533A97">
        <w:t>Európskeho p</w:t>
      </w:r>
      <w:r w:rsidRPr="00533A97">
        <w:t>arlamentu a jeho výborov; konštatuje, že v reakcii na žiadosti o legislatívne konzultácie v roku 2024 EDPS reagoval podľa článku 42 ods. 1 nariadenia (EÚ) 2018/1725 na 97 formálnych legislatívnych konzultácií (80 v roku 2023) a Komisii a </w:t>
      </w:r>
      <w:proofErr w:type="spellStart"/>
      <w:r w:rsidRPr="00533A97">
        <w:t>spoluzákonodarcom</w:t>
      </w:r>
      <w:proofErr w:type="spellEnd"/>
      <w:r w:rsidRPr="00533A97">
        <w:t xml:space="preserve"> poskytol poradenstvo vo forme 25 stanovísk (54 v roku 2023), 45 formálnych pripomienok (26 v roku 2023) a 27 neformálnych pripomienok (34 v roku 2023);</w:t>
      </w:r>
    </w:p>
    <w:p w14:paraId="4437D46B" w14:textId="77777777" w:rsidR="00A52205" w:rsidRPr="00533A97" w:rsidRDefault="00A52205" w:rsidP="00A52205">
      <w:pPr>
        <w:pStyle w:val="NormalHanging12a"/>
        <w:rPr>
          <w:szCs w:val="24"/>
        </w:rPr>
      </w:pPr>
      <w:r w:rsidRPr="00533A97">
        <w:t>18.</w:t>
      </w:r>
      <w:r w:rsidRPr="00533A97">
        <w:tab/>
        <w:t xml:space="preserve">berie na vedomie kľúčovú úlohu výboru EDPB pri harmonizácii usmernení, postupov, procesov presadzovania a praxe orgánov dohľadu v členských štátoch; v tejto súvislosti konštatuje, že výbor EDPB v roku 2024 neprijal žiadne záväzné rozhodnutie, vydal 28 stanovísk ku konzistentnosti, prijal dve nové usmernenia, vydal štyri vyhlásenia o legislatívnom vývoji a zrealizoval a skoordinoval niekoľko programov týkajúcich sa spolupráce v oblasti presadzovania práva; ďalej konštatuje, že výbor EDPB zabezpečuje </w:t>
      </w:r>
      <w:r w:rsidRPr="00533A97">
        <w:lastRenderedPageBreak/>
        <w:t>sekretariát výboru pre koordinovaný dozor, ktorý je skupinou národných orgánov dohľadu a EDPS a ktorý zabezpečuje koordinovaný dohľad nad rozsiahlymi informačnými systémami Únie, pričom v roku 2024 bol tento dohľad rozšírený na vízový informačný systém, a to v nadväznosti na prípravné práce vykonané na účely dohľadu nad Európskym systémom pre cestovné informácie a povolenia (ETIAS);</w:t>
      </w:r>
    </w:p>
    <w:p w14:paraId="2CDCD315" w14:textId="77777777" w:rsidR="00A52205" w:rsidRPr="00533A97" w:rsidRDefault="00A52205" w:rsidP="00A52205">
      <w:pPr>
        <w:pStyle w:val="NormalHanging12a"/>
        <w:rPr>
          <w:szCs w:val="24"/>
        </w:rPr>
      </w:pPr>
      <w:r w:rsidRPr="00533A97">
        <w:t>19.</w:t>
      </w:r>
      <w:r w:rsidRPr="00533A97">
        <w:tab/>
        <w:t>s uspokojením konštatuje, že EDPS v roku 2024 vypracoval rôzne procesné nástroje a politiky na zlepšenie svojich vyšetrovacích postupov; v tejto súvislosti oceňuje, že EDPS v roku 2024 zmenil svoj rokovací poriadok, pričom „postup preskúmavania“ bol nahradený „predbežným posúdením“, aby sa zabezpečilo právo na vypočutie všetkých zúčastnených strán; konštatuje, že od júla 2024 sa môžu inštitúcie, orgány, úrady a agentúry Únie podeliť o svoje názory na predbežné posúdenie skôr, ako EDPS prijme rozhodnutie, ktoré by ich mohlo nepriaznivo ovplyvniť; konštatuje, že tieto procesné záruky prispievajú k spravodlivému a včasnému vybavovaniu sťažností a vyšetrovaní; konštatuje, že EDPS v roku 2024 preskúmal aj metodiky vyšetrovania, vypracoval príručku o prístupe k spisu, zlepšil pripravenosť na súdne spory, aktualizoval internú príručku o sťažnostiach a zlepšil procesy nahrávania a prepisovania vypočutí;</w:t>
      </w:r>
    </w:p>
    <w:p w14:paraId="2E9A87AC" w14:textId="77777777" w:rsidR="00A52205" w:rsidRPr="00533A97" w:rsidRDefault="00A52205" w:rsidP="00A52205">
      <w:pPr>
        <w:pStyle w:val="NormalHanging12a"/>
      </w:pPr>
      <w:r w:rsidRPr="00533A97">
        <w:t>20.</w:t>
      </w:r>
      <w:r w:rsidRPr="00533A97">
        <w:tab/>
        <w:t xml:space="preserve">na základe výročnej správy a správy o následných opatreniach konštatuje, že EDPS venuje osobitnú pozornosť spracúvaniu údajov detí, najmä v kontexte presadzovania práva; konštatuje, že jeden z auditov, ktoré EDPS vykonal v roku 2024, sa týkal spracovania osobných údajov detí vo výskumných projektoch riadených Spoločným výskumným centrom Komisie v Španielsku, najmä pokiaľ ide o interakciu medzi deťmi a robotmi; s uspokojením konštatuje, že v októbri 2024 sa EDPS zúčastnil na rokovaní orgánov pre ochranu údajov G7 za okrúhlym stolom v Ríme, pri príležitosti ktorého orgány pre ochranu údajov vydali </w:t>
      </w:r>
      <w:proofErr w:type="spellStart"/>
      <w:r w:rsidRPr="00533A97">
        <w:t>Statement</w:t>
      </w:r>
      <w:proofErr w:type="spellEnd"/>
      <w:r w:rsidRPr="00533A97">
        <w:t xml:space="preserve"> on AI and </w:t>
      </w:r>
      <w:proofErr w:type="spellStart"/>
      <w:r w:rsidRPr="00533A97">
        <w:t>Children</w:t>
      </w:r>
      <w:proofErr w:type="spellEnd"/>
      <w:r w:rsidRPr="00533A97">
        <w:t xml:space="preserve"> (Vyhlásenie o umelej inteligencii a deťoch), v ktorom naliehavo vyzvali na prijatie opatrení na ochranu súkromia detí a zabezpečenie toho, aby umelá inteligencia podporovala dôveru a zároveň chránila najzraniteľnejšie osoby; pripomína, že EDPS vykonal osobitnú kontrolu spracovania údajov </w:t>
      </w:r>
      <w:proofErr w:type="spellStart"/>
      <w:r w:rsidRPr="00533A97">
        <w:t>Europolom</w:t>
      </w:r>
      <w:proofErr w:type="spellEnd"/>
      <w:r w:rsidRPr="00533A97">
        <w:t xml:space="preserve"> v súvislosti s maloletými osobami mladšími ako 15 rokov, ktoré boli označené za podozrivé osoby; oceňuje, že EDPS zistil, že všeobecný proces posudzovania informácií, ktoré poskytujú partneri o maloletých osobách (vrátane maloletých do 15 rokov), je jasný a dobre rozvinutý; konštatuje, že v inšpekčnej správe EDPS sa od </w:t>
      </w:r>
      <w:proofErr w:type="spellStart"/>
      <w:r w:rsidRPr="00533A97">
        <w:t>Europolu</w:t>
      </w:r>
      <w:proofErr w:type="spellEnd"/>
      <w:r w:rsidRPr="00533A97">
        <w:t xml:space="preserve"> žiada, aby naďalej vykonával vlastné posudzovanie zákonnosti získaných údajov, pričom sa zdôrazňuje, že </w:t>
      </w:r>
      <w:proofErr w:type="spellStart"/>
      <w:r w:rsidRPr="00533A97">
        <w:t>Europol</w:t>
      </w:r>
      <w:proofErr w:type="spellEnd"/>
      <w:r w:rsidRPr="00533A97">
        <w:t xml:space="preserve"> musí posudzovať „striktnú nevyhnutnosť“ pri spracúvaní údajov o maloletých osobách podozrivých z trestných činov;</w:t>
      </w:r>
    </w:p>
    <w:p w14:paraId="7953B06A" w14:textId="7BC37EEB" w:rsidR="00A52205" w:rsidRPr="00533A97" w:rsidRDefault="00A52205" w:rsidP="00A52205">
      <w:pPr>
        <w:pStyle w:val="NormalHanging12a"/>
        <w:rPr>
          <w:szCs w:val="24"/>
        </w:rPr>
      </w:pPr>
      <w:r w:rsidRPr="00533A97">
        <w:t>21.</w:t>
      </w:r>
      <w:r w:rsidRPr="00533A97">
        <w:tab/>
        <w:t xml:space="preserve">konštatuje, že inštitúcie, orgány, úrady a agentúry Únie sa môžu poradiť s EDPS o plánovaných spracovateľských operáciách a ochrane údajov; konštatuje, že EDPS poskytol poradenstvo v rámci 26 konzultácií a vydal 26 stanovísk v oblasti dohľadu na rôzne témy; berie na vedomie najmä skutočnosť, že EDPS v decembri 2024 uverejnil stanovisko v oblasti dohľadu týkajúce sa plánu </w:t>
      </w:r>
      <w:r w:rsidR="00EE7A17" w:rsidRPr="00533A97">
        <w:t>Európskeho p</w:t>
      </w:r>
      <w:r w:rsidRPr="00533A97">
        <w:t>arlamentu používať biometrické údaje na potvrdzovanie prítomnosti poslancov pri vyplácaní denných príspevkov;</w:t>
      </w:r>
    </w:p>
    <w:p w14:paraId="1AA3D808" w14:textId="77777777" w:rsidR="00A52205" w:rsidRPr="00533A97" w:rsidRDefault="00A52205" w:rsidP="00A52205">
      <w:pPr>
        <w:pStyle w:val="NormalHanging12a"/>
        <w:rPr>
          <w:szCs w:val="24"/>
        </w:rPr>
      </w:pPr>
      <w:r w:rsidRPr="00533A97">
        <w:t>22.</w:t>
      </w:r>
      <w:r w:rsidRPr="00533A97">
        <w:tab/>
        <w:t xml:space="preserve">konštatuje, že EDPS vykonal v roku 2024 štyri vyšetrovania a dve predbežné vyšetrovania, čo predstavuje v porovnaní s rokom 2023 pokles; medzi najvýznamnejšie prípady zaraďuje predbežné vyšetrovanie automatizovaného rozhodovania pri výbere stážistov, vyšetrovanie používania služby Microsoft 365 Komisiou a jedno predbežné vyšetrovanie profilovania v aplikáciách pre prístup verejnosti; v súvislosti s používaním </w:t>
      </w:r>
      <w:r w:rsidRPr="00533A97">
        <w:lastRenderedPageBreak/>
        <w:t>služby Microsoft 365 zo strany Komisie konštatuje, že pri vyšetrovaní sa zistilo viacnásobné porušenie nariadenia (EÚ) 2018/1725, na základe ktorého EDPS nariadil Komisii, aby do 9. decembra 2024 pozastavila všetky toky údajov do spoločnosti Microsoft a jej pridružených spoločností mimo Únie/Európskeho hospodárskeho priestoru (EHP); vyzýva EDPS, aby informoval orgán udeľujúci absolutórium o výsledku následných opatrení týkajúcich sa dodržiavania odporúčaní EDPS zo strany Komisie v tomto prípade; ďalej konštatuje, že EDPS v roku 2024 pokračoval v piatich vyšetrovaniach postupov inštitúcií, orgánov, úradov a agentúr Únie na webových sídlach zameraných na komponenty tretích strán a žiadosti o súhlas; konštatuje, že EDPS vykonal v roku 2024 tri audity s návštevami na mieste, ktoré sa týkali napríklad spracovania zdravotných údajov, doby uchovávania údajov a výskumu s účasťou maloletých;</w:t>
      </w:r>
    </w:p>
    <w:p w14:paraId="1AA378C2" w14:textId="15E90991" w:rsidR="00A52205" w:rsidRPr="00533A97" w:rsidRDefault="00A52205" w:rsidP="00A52205">
      <w:pPr>
        <w:pStyle w:val="NormalHanging12a"/>
      </w:pPr>
      <w:r w:rsidRPr="00533A97">
        <w:t>23.</w:t>
      </w:r>
      <w:r w:rsidRPr="00533A97">
        <w:tab/>
        <w:t>pripomína, že EDPS podal v roku 2022 na Súdny dvor Európskej únie (SDEÚ) žalobu o neplatnosť dvoch ustanovení zmeneného nariadenia Európskeho parlamentu a Rady (EÚ) 2016/794</w:t>
      </w:r>
      <w:r w:rsidRPr="00533A97">
        <w:rPr>
          <w:vertAlign w:val="superscript"/>
        </w:rPr>
        <w:footnoteReference w:id="9"/>
      </w:r>
      <w:r w:rsidRPr="00533A97">
        <w:t>, ktorú SDEÚ neskôr zamietol, ale EDPS sa následne odvolal na Všeobecný súd vo veci T-578/22</w:t>
      </w:r>
      <w:r w:rsidRPr="00533A97">
        <w:rPr>
          <w:vertAlign w:val="superscript"/>
        </w:rPr>
        <w:footnoteReference w:id="10"/>
      </w:r>
      <w:r w:rsidRPr="00533A97">
        <w:t xml:space="preserve">, keďže sa domnieval, že nastolené otázky by sa mali riešiť na najvyššej úrovni; zo správy o následných opatreniach vyplýva, že EDPS sa zdržiava vyjadrenia k tomuto odvolaniu, pretože prebieha; pripomína, že to, že sa EDPS v rámci svojej funkcie dohľadu obracia v právnych otázkach na SDEÚ, by sa nemalo považovať za skutočnosť, ktorá ovplyvňuje lojálnu spoluprácu a dobré vzťahy medzi EDPS a subjektmi, nad ktorými vykonáva dohľad; konštatuje však, že to vyvoláva pochybnosti o postoji EDPS k úlohe </w:t>
      </w:r>
      <w:r w:rsidR="00EE7A17" w:rsidRPr="00533A97">
        <w:t>Európskeho p</w:t>
      </w:r>
      <w:r w:rsidRPr="00533A97">
        <w:t>arlamentu a Rady ako zákonodarcov;</w:t>
      </w:r>
    </w:p>
    <w:p w14:paraId="0C5C79C1" w14:textId="77777777" w:rsidR="00A52205" w:rsidRPr="00533A97" w:rsidRDefault="00A52205" w:rsidP="00A52205">
      <w:pPr>
        <w:pStyle w:val="NormalHanging12a"/>
        <w:rPr>
          <w:szCs w:val="24"/>
        </w:rPr>
      </w:pPr>
      <w:r w:rsidRPr="00533A97">
        <w:t>24.</w:t>
      </w:r>
      <w:r w:rsidRPr="00533A97">
        <w:tab/>
        <w:t>berie na vedomie, že hodnotenie štandardov vnútornej kontroly EDPS v roku 2024 potvrdilo uspokojivú úroveň vnútornej kontroly, pričom všetkých 14 štandardov je prítomných a funkčných; konštatuje, že bola vytvorená pracovná skupina, ktorej úlohou je analyzovať výsledky a navrhnúť zlepšenia, napríklad zlepšenie v oblasti odbornej prípravy, rozvoja a riadenia znalostí a dokumentov; na základe dotazníka konštatuje, že aktualizovaným rámcom riadenia rizík EDPS sa zaviedli štruktúrované následné opatrenia, ktoré organizácii umožnili zabezpečiť, aby úsilie o zmiernenie rizík zostalo účinné a dôsledne monitorované; ďalej konštatuje, že EDPS aktualizoval svoj postup následných kontrol, ktoré sú teraz založené na rizikách, a posilnil kontinuitu činností a audítorský záznam prostredníctvom integrácie systému ARES, odbornej prípravy a zlepšenia procesov riadenia znalostí;</w:t>
      </w:r>
    </w:p>
    <w:p w14:paraId="52B79B55" w14:textId="77777777" w:rsidR="00A52205" w:rsidRPr="00533A97" w:rsidRDefault="00A52205" w:rsidP="00A52205">
      <w:pPr>
        <w:pStyle w:val="NormalHanging12a"/>
      </w:pPr>
      <w:r w:rsidRPr="00533A97">
        <w:t>25.</w:t>
      </w:r>
      <w:r w:rsidRPr="00533A97">
        <w:tab/>
        <w:t xml:space="preserve">na základe dotazníka konštatuje, že Útvar pre vnútorný audit Komisie začal v roku 2024 jeden audit týkajúci sa riadenia IT služieb poskytovaných Európskym parlamentom európskemu dozornému úradníkovi pre ochranu údajov, ktorého výsledkom boli dve odporúčania, ktoré EDPS v súčasnosti vykonáva; v súvislosti s auditom z roku 2023 týkajúcim sa „metodiky plánovania auditov EDPS“ konštatuje, že jedno z dvoch odporúčaní, ktoré vydal Útvar pre vnútorný audit, bolo vyriešené, zatiaľ čo implementácia druhého odporúčania (týkajúceho sa návrhu metodiky na vypracovanie </w:t>
      </w:r>
      <w:r w:rsidRPr="00533A97">
        <w:lastRenderedPageBreak/>
        <w:t>plánu auditu EDPS) bola odložená na obdobie, keď bude vymenovaný nový dozorný úradník; vyzýva EDPS, aby informoval orgán udeľujúci absolutórium o pokroku dosiahnutom v tejto veci, pričom poznamenáva, že EDPS by mal so subjektmi, ktoré kontroluje, konzultovať uskutočniteľnosť a vhodnosť plánovaných odporúčaní, aby sa zabezpečilo, že kontrolovaný subjekt následne vykoná odporúčania rýchlo, účinne a nápadito;</w:t>
      </w:r>
    </w:p>
    <w:p w14:paraId="68CEEAE3" w14:textId="77777777" w:rsidR="00A52205" w:rsidRPr="00533A97" w:rsidRDefault="00A52205" w:rsidP="00A52205">
      <w:pPr>
        <w:pStyle w:val="NormalHanging12a"/>
        <w:rPr>
          <w:b/>
          <w:i/>
          <w:szCs w:val="24"/>
        </w:rPr>
      </w:pPr>
      <w:r w:rsidRPr="00533A97">
        <w:rPr>
          <w:b/>
          <w:i/>
        </w:rPr>
        <w:t>Ľudské zdroje, rovnosť a dobré pracovné podmienky zamestnancov</w:t>
      </w:r>
    </w:p>
    <w:p w14:paraId="6515EC97" w14:textId="77777777" w:rsidR="00A52205" w:rsidRPr="00533A97" w:rsidRDefault="00A52205" w:rsidP="00A52205">
      <w:pPr>
        <w:pStyle w:val="NormalHanging12a"/>
        <w:rPr>
          <w:szCs w:val="24"/>
        </w:rPr>
      </w:pPr>
      <w:r w:rsidRPr="00533A97">
        <w:t>26.</w:t>
      </w:r>
      <w:r w:rsidRPr="00533A97">
        <w:tab/>
        <w:t>konštatuje, že na konci roka 2024 mal EDPS 137 zamestnancov v porovnaní so 129 zamestnancami v roku 2023; konštatuje, že EDPS v roku 2023 zamestnával 55 zmluvných zamestnancov podľa článku 3 písm. b) Podmienok zamestnávania ostatných zamestnancov Európskej únie (50 zmluvných zamestnancov v roku 2023), 9 dočasných zamestnancov podľa článku 2 písm. b) a c)(7 dočasných zamestnancov v roku 2023) a využíval služby 10 externých poskytovateľov služieb, ktorí pracovali interne (12 externých poskytovateľov služieb v roku 2022); vyzýva EDPS, aby pouvažoval nad tým, ako znížiť počet zmluvných zamestnancov v prospech trvalých pracovných zmlúv s cieľom zaručiť udržanie talentov a kontinuitu činnosti; konštatuje, že v roku 2024 bolo medzi zamestnancami EDPS zastúpených 23 štátnych príslušností z členských štátov (rovnako ako v roku 2023), čo je na takúto malú inštitúciu napriek nadmernému zastúpeniu piatich štátnych príslušností a nedostatočnému zastúpeniu iných vynikajúci výsledok; vyzýva EDPS, aby pokračoval vo svojom úsilí o vyvážené geografické zastúpenie štátnych príslušníkov zo všetkých členských štátov, najmä pokiaľ ide o riadiacu úroveň, a to aj prostredníctvom svojej politiky prijímania zamestnancov;</w:t>
      </w:r>
    </w:p>
    <w:p w14:paraId="15224CCD" w14:textId="77777777" w:rsidR="00A52205" w:rsidRPr="00533A97" w:rsidRDefault="00A52205" w:rsidP="00A52205">
      <w:pPr>
        <w:pStyle w:val="NormalHanging12a"/>
      </w:pPr>
      <w:r w:rsidRPr="00533A97">
        <w:t>27.</w:t>
      </w:r>
      <w:r w:rsidRPr="00533A97">
        <w:tab/>
        <w:t>konštatuje vysokú mieru obsadenosti v rámci plánu pracovných miest na úrovni 98,80 % (v porovnaní s 95,65 % v roku 2023), ale aj vysokú mieru fluktuácie na úrovni 12 % v roku 2024 (v porovnaní s 13 % v roku 2023); konštatuje, že väčšina neobsadených miest bola výsledkom toho, že sa nenašli vhodní kandidáti;</w:t>
      </w:r>
      <w:r w:rsidRPr="00533A97">
        <w:rPr>
          <w:b/>
          <w:i/>
        </w:rPr>
        <w:t xml:space="preserve"> </w:t>
      </w:r>
      <w:r w:rsidRPr="00533A97">
        <w:t>berie na vedomie problémy zistené v rámci postupov prijímania a výberu zamestnancov; na základe správy o následných opatreniach s uspokojením konštatuje, že EDPS riešil tieto výzvy vypracovaním komplexnej stratégie na udržanie zamestnancov a prilákanie talentov, ktorá bola prijatá začiatkom roka 2025 a ktorá obsahuje krátkodobé, strednodobé a dlhodobé opatrenia na udržanie skúsených zamestnancov, zmiernenie rizík fluktuácie a zvýšenie atraktívnosti EDPS ako zamestnávateľa; nabáda EDPS, aby pokračoval v zlepšovaní postupov prijímania zamestnancov a aby pritom dodržiaval zásady zásluh, transparentnosti a rovnakého zaobchádzania;</w:t>
      </w:r>
    </w:p>
    <w:p w14:paraId="5FE9162F" w14:textId="77777777" w:rsidR="00A52205" w:rsidRPr="00533A97" w:rsidRDefault="00A52205" w:rsidP="00A52205">
      <w:pPr>
        <w:pStyle w:val="NormalHanging12a"/>
        <w:rPr>
          <w:szCs w:val="24"/>
        </w:rPr>
      </w:pPr>
      <w:r w:rsidRPr="00533A97">
        <w:t>28.</w:t>
      </w:r>
      <w:r w:rsidRPr="00533A97">
        <w:tab/>
        <w:t>pokiaľ ide o rozdelenie zamestnancov EDPS podľa pohlavia, v roku 2024 63 % z nich tvorili ženy a 37 % muži, čo je rovnaký trend ako v predchádzajúcom roku, keď ženy tvorili 65 % a muži 35 % zamestnancov; konštatuje rodovú vyváženosť medzi strednými manažérmi, kde sú traja muži a tri ženy, ale vyjadruje poľutovanie, že ženy sú stále nedostatočne zastúpené na vyšších manažérskych pozíciách; vyzýva EDPS, aby pokračoval vo svojom úsilí dosiahnuť rodovo vyvážené zastúpenie zamestnancov;</w:t>
      </w:r>
    </w:p>
    <w:p w14:paraId="0C04EE61" w14:textId="2820AD75" w:rsidR="00A52205" w:rsidRPr="00533A97" w:rsidRDefault="00A52205" w:rsidP="00533A97">
      <w:pPr>
        <w:pStyle w:val="NormalHanging12a"/>
      </w:pPr>
      <w:r w:rsidRPr="00533A97">
        <w:t>29.</w:t>
      </w:r>
      <w:r w:rsidRPr="00533A97">
        <w:tab/>
        <w:t xml:space="preserve">berie na vedomie, že EDPS zamestnal 20 stážistov z komisného programu stáží </w:t>
      </w:r>
      <w:proofErr w:type="spellStart"/>
      <w:r w:rsidRPr="00533A97">
        <w:t>Blue</w:t>
      </w:r>
      <w:proofErr w:type="spellEnd"/>
      <w:r w:rsidRPr="00533A97">
        <w:t xml:space="preserve"> </w:t>
      </w:r>
      <w:proofErr w:type="spellStart"/>
      <w:r w:rsidRPr="00533A97">
        <w:t>Book</w:t>
      </w:r>
      <w:proofErr w:type="spellEnd"/>
      <w:r w:rsidRPr="00533A97">
        <w:t xml:space="preserve">, ktorým vyplácal mesačný príspevok vo výške približne 1 500 EUR, a jedného neplateného stážistu na základe dohody o akademickej stáži; </w:t>
      </w:r>
      <w:bookmarkStart w:id="8" w:name="_Hlk215140632"/>
      <w:r w:rsidRPr="00533A97">
        <w:t>znovu zdôrazňuje, že stáže by mali byť platené v súlade s uznesením Európskeho parlamentu zo 14. júna 2023 s odporúčaniami pre Komisiu o kvalitných stážach v Únii (2020/2005</w:t>
      </w:r>
      <w:r w:rsidR="005978B5" w:rsidRPr="00533A97">
        <w:t>(</w:t>
      </w:r>
      <w:r w:rsidRPr="00533A97">
        <w:t>INL)), v ktorom sa požaduje, aby boli všetky stáže v Únii platené;</w:t>
      </w:r>
      <w:bookmarkEnd w:id="8"/>
    </w:p>
    <w:p w14:paraId="27DCC1E0" w14:textId="77777777" w:rsidR="00A52205" w:rsidRPr="00533A97" w:rsidRDefault="00A52205" w:rsidP="00A52205">
      <w:pPr>
        <w:pStyle w:val="NormalHanging12a"/>
        <w:rPr>
          <w:szCs w:val="24"/>
        </w:rPr>
      </w:pPr>
      <w:r w:rsidRPr="00533A97">
        <w:lastRenderedPageBreak/>
        <w:t>30.</w:t>
      </w:r>
      <w:r w:rsidRPr="00533A97">
        <w:tab/>
        <w:t xml:space="preserve">berie na vedomie činnosti, ktoré v roku 2024 vykonával EDPS v záujme rozvoja svojich ľudských zdrojov; berie na vedomie, že EDPS prijal novú politiku týkajúcu sa online vzdelávacích platforiem, zapojil sa do nového </w:t>
      </w:r>
      <w:proofErr w:type="spellStart"/>
      <w:r w:rsidRPr="00533A97">
        <w:t>medziinštitucionálneho</w:t>
      </w:r>
      <w:proofErr w:type="spellEnd"/>
      <w:r w:rsidRPr="00533A97">
        <w:t xml:space="preserve"> programu pozorovania pri práci, v rámci ktorého piati zamestnanci EDPS pozorovali pri práci zamestnancov Komisie, a zorganizoval výjazdový deň pre zamestnancov venovaný pripravenosti na umelú inteligenciu a iným činnostiam zameraným na budovanie súdržnosti; berie na vedomie začatie činnosti medziodborovej pracovnej skupiny, ktorej cieľom je rozvíjať iniciatívy na podporu rovnosti, začlenenia a rozmanitosti;</w:t>
      </w:r>
    </w:p>
    <w:p w14:paraId="5B066931" w14:textId="77777777" w:rsidR="00A52205" w:rsidRPr="00533A97" w:rsidRDefault="00A52205" w:rsidP="00A52205">
      <w:pPr>
        <w:pStyle w:val="NormalHanging12a"/>
      </w:pPr>
      <w:r w:rsidRPr="00533A97">
        <w:t>31.</w:t>
      </w:r>
      <w:r w:rsidRPr="00533A97">
        <w:tab/>
        <w:t>na základe dotazníka konštatuje, že EDPS ponúka pružné a hybridné formy organizácie práce, ktoré zamestnanci vítajú, pričom môžu využívať okrem iného aj rodičovskú dovolenku, časové kredity, prácu na čiastočný úväzok alebo na obmedzený počet dní v roku prácu zo zahraničia; konštatuje, že ďalší prieskum spokojnosti zamestnancov, ktorý sa bude týkať práce na diaľku, bol naplánovaný na rok 2025; domnieva sa, že infraštruktúra budov by sa mohla vo vhodných prípadoch optimalizovať tak, aby odrážala prácu na diaľku a hybridné pracovné podmienky, s cieľom znížiť prevádzkové náklady a zabezpečiť efektívnejšie využívanie kancelárskych priestorov;</w:t>
      </w:r>
    </w:p>
    <w:p w14:paraId="1FFE6D32" w14:textId="77777777" w:rsidR="00A52205" w:rsidRPr="00533A97" w:rsidRDefault="00A52205" w:rsidP="00A52205">
      <w:pPr>
        <w:pStyle w:val="NormalHanging12a"/>
        <w:rPr>
          <w:szCs w:val="24"/>
        </w:rPr>
      </w:pPr>
      <w:r w:rsidRPr="00533A97">
        <w:t>32.</w:t>
      </w:r>
      <w:r w:rsidRPr="00533A97">
        <w:tab/>
        <w:t>konštatuje, že EDPS v súčasnosti nezamestnáva osoby so zdravotným postihnutím, ale vo všetkých svojich oznámeniach o voľných pracovných miestach má doložku o rovnosti príležitostí a aktívne podporuje uchádzačov so zdravotným postihnutím; konštatuje, že webové sídlo EDPS je postavené na systéme riadenia obsahu, ktorý je v súlade so základnými normami pre prístupný webový dizajn, a všetky ďalšie funkcie vyvinuté pre toto webové sídlo sú vytvorené so zohľadnením prístupnosti ako kľúčovej požiadavky;</w:t>
      </w:r>
    </w:p>
    <w:p w14:paraId="7EAFDC52" w14:textId="77777777" w:rsidR="00A52205" w:rsidRPr="00533A97" w:rsidRDefault="00A52205" w:rsidP="00A52205">
      <w:pPr>
        <w:pStyle w:val="NormalHanging12a"/>
      </w:pPr>
      <w:r w:rsidRPr="00533A97">
        <w:t>33.</w:t>
      </w:r>
      <w:r w:rsidRPr="00533A97">
        <w:tab/>
        <w:t>na základe dotazníka berie na vedomie odpoveď EDPS, podľa ktorej EDPS nemá prístup k zdravotnej dokumentácii svojich zamestnancov a nemôže poznať hlavnú príčinu absencií, keďže ich potvrdzuje Lekárska služba Komisie; konštatuje, že EDPS má prístup len k súhrnným údajom, ako je počet dní práceneschopnosti a či je k nim priložené lekárske potvrdenie; konštatuje, že nárast počtu dní práceneschopnosti od roku 2023 do roku 2024, t. j. z 1 680,50 na 1 946 (+15,80 %), predstihol nárast počtu zamestnancov zo 129 na 137 (t. j. +6,20 %); konštatuje, že priemerná dĺžka práceneschopnosti na osobu sa tiež zvýšila, a to zo 14,7 dňa v roku 2023 na 18,30 dňa v roku 2024, a že miera práceneschopnosti sa zvýšila z 3,60 % v roku 2023 na 3,9 % v roku 2024; je znepokojený súčasnou situáciou a naďalej požaduje jasnejšie posudzovanie dobrých pracovných podmienok zamestnancov s cieľom identifikovať možné opakujúce sa príčiny vyhorenia, prípady ktorého by sa mali každoročne hlásiť orgánu udeľujúcemu absolutórium tak ako v prípade každej inej inštitúcie; žiada EDPS, aby v spolupráci s Lekárskou službou Komisie vykonal cielené posúdenie základných príčin tohto nárastu s osobitným zameraním na prevenciu vyhorenia;</w:t>
      </w:r>
    </w:p>
    <w:p w14:paraId="3BA428BB" w14:textId="77777777" w:rsidR="00A52205" w:rsidRPr="00533A97" w:rsidRDefault="00A52205" w:rsidP="00A52205">
      <w:pPr>
        <w:pStyle w:val="NormalHanging12a"/>
        <w:rPr>
          <w:szCs w:val="24"/>
        </w:rPr>
      </w:pPr>
      <w:r w:rsidRPr="00533A97">
        <w:t>34.</w:t>
      </w:r>
      <w:r w:rsidRPr="00533A97">
        <w:tab/>
        <w:t>na základe dotazníka konštatuje, že v roku 2024 neboli EDPS nahlásené žiadne prípady obťažovania; oceňuje, že v roku 2024 EDPS naďalej poskytoval prezentáciu o boji proti obťažovaniu, ktorú počas nástupu nových zamestnancov predniesol jeden z dôverných poradcov EDPS; oceňuje uverejnenie rozhodnutia o boji proti obťažovaniu a úlohy dôverných poradcov na intranete EDPS;</w:t>
      </w:r>
    </w:p>
    <w:p w14:paraId="23BB59FD" w14:textId="77777777" w:rsidR="00A52205" w:rsidRPr="00533A97" w:rsidRDefault="00A52205" w:rsidP="00A52205">
      <w:pPr>
        <w:pStyle w:val="NormalHanging12a"/>
        <w:rPr>
          <w:szCs w:val="24"/>
        </w:rPr>
      </w:pPr>
      <w:r w:rsidRPr="00533A97">
        <w:rPr>
          <w:b/>
          <w:i/>
        </w:rPr>
        <w:t>Etický rámec a transparentnosť</w:t>
      </w:r>
    </w:p>
    <w:p w14:paraId="65780065" w14:textId="77777777" w:rsidR="00A52205" w:rsidRPr="00533A97" w:rsidRDefault="00A52205" w:rsidP="00A52205">
      <w:pPr>
        <w:pStyle w:val="NormalHanging12a"/>
      </w:pPr>
      <w:r w:rsidRPr="00533A97">
        <w:t>35.</w:t>
      </w:r>
      <w:r w:rsidRPr="00533A97">
        <w:tab/>
        <w:t xml:space="preserve">konštatuje, že EDPS zaviedol rámec na predchádzanie konfliktom záujmov na úrovni </w:t>
      </w:r>
      <w:r w:rsidRPr="00533A97">
        <w:lastRenderedPageBreak/>
        <w:t>vyššieho manažmentu a zamestnancov založený na kódexoch správania, zvyšovaní informovanosti a poskytovaní vyhlásení o absencii konfliktov záujmov a o dôvernosti; berie na vedomie, že všetci zamestnanci, ktorí nastúpia k EDPS, musia podpísať vyhlásenie o absencii konfliktov záujmov a o dôvernosti; konštatuje, že EDPS v roku 2024 nezaznamenal žiadne prípady konfliktu záujmov ani oznamovania protispoločenskej činnosti; so znepokojením konštatuje, že v roku 2024 bol EDPS nahlásený jeden prípad údajného podvodu, ktorý vyšetroval Vyšetrovací a disciplinárny úrad Komisie (IDOC); v tomto prípade poznamenáva, že Vyšetrovací a disciplinárny úrad Komisie ukončil vyšetrovanie v roku 2025 s odporúčaním pre EDPS začať disciplinárne konanie v súlade so služobným poriadkom; vyzýva EDPS, aby priebežne informoval orgán udeľujúci absolutórium o konečnom výsledku dosiahnutom v tejto záležitosti, ako aj o všetkých prípadných opatreniach prijatých na sprísnenie vnútorných kontrol zameraných na boj proti podvodom;</w:t>
      </w:r>
    </w:p>
    <w:p w14:paraId="47B41974" w14:textId="77777777" w:rsidR="00A52205" w:rsidRPr="00533A97" w:rsidRDefault="00A52205" w:rsidP="00A52205">
      <w:pPr>
        <w:pStyle w:val="NormalHanging12a"/>
        <w:rPr>
          <w:szCs w:val="24"/>
        </w:rPr>
      </w:pPr>
      <w:r w:rsidRPr="00533A97">
        <w:t>36.</w:t>
      </w:r>
      <w:r w:rsidRPr="00533A97">
        <w:tab/>
        <w:t xml:space="preserve">konštatuje, že EDPS v roku 2024 pokračoval v organizovaní úvodných školení, ktoré sa týkali jeho etického rámca (obťažovanie, oznamovanie protispoločenskej činnosti, konflikty záujmov) a stratégie boja proti podvodom pre nových zamestnancov EDPS/EDPB; konštatuje, že úradník pre etiku EDPS každoročne predkladá vedeniu EDPS/EDPB správu o etike a zúčastňuje sa na činnosti pracovnej skupiny pre etiku </w:t>
      </w:r>
      <w:proofErr w:type="spellStart"/>
      <w:r w:rsidRPr="00533A97">
        <w:t>Comité</w:t>
      </w:r>
      <w:proofErr w:type="spellEnd"/>
      <w:r w:rsidRPr="00533A97">
        <w:t xml:space="preserve"> </w:t>
      </w:r>
      <w:proofErr w:type="spellStart"/>
      <w:r w:rsidRPr="00533A97">
        <w:t>Paritaire</w:t>
      </w:r>
      <w:proofErr w:type="spellEnd"/>
      <w:r w:rsidRPr="00533A97">
        <w:t xml:space="preserve"> des </w:t>
      </w:r>
      <w:proofErr w:type="spellStart"/>
      <w:r w:rsidRPr="00533A97">
        <w:t>Questions</w:t>
      </w:r>
      <w:proofErr w:type="spellEnd"/>
      <w:r w:rsidRPr="00533A97">
        <w:t xml:space="preserve"> </w:t>
      </w:r>
      <w:proofErr w:type="spellStart"/>
      <w:r w:rsidRPr="00533A97">
        <w:t>Statuaries</w:t>
      </w:r>
      <w:proofErr w:type="spellEnd"/>
      <w:r w:rsidRPr="00533A97">
        <w:t>; s uspokojením konštatuje, že EDPS zriadil schránku, do ktorej môžu zamestnanci posielať svoje žiadosti týkajúce sa akýchkoľvek otázok súvisiacich s etikou; nabáda EDPS, aby naďalej zvyšoval informovanosť a organizoval prieskumy s cieľom posúdiť úroveň informovanosti zamestnancov o etickom rámci EDPS/EDPB;</w:t>
      </w:r>
    </w:p>
    <w:p w14:paraId="63414D28" w14:textId="77777777" w:rsidR="00A52205" w:rsidRPr="00533A97" w:rsidRDefault="00A52205" w:rsidP="00A52205">
      <w:pPr>
        <w:pStyle w:val="NormalHanging12a"/>
      </w:pPr>
      <w:r w:rsidRPr="00533A97">
        <w:t>37.</w:t>
      </w:r>
      <w:r w:rsidRPr="00533A97">
        <w:tab/>
        <w:t>víta celkovú vysokú úroveň transparentnosti, ktorú EDPS dosiahol v súvislosti so svojimi činnosťami, a to aj pokiaľ ide o zverejnenie programu a vyhlásenia o záujmoch dozorného úradníka a generálneho tajomníka; na základe dotazníka s uspokojením konštatuje, že podľa interného posúdenia opatrení v oblasti transparentnosti vykonaného v rokoch 2023 – 2024 prijal EDPS v roku 2025 rozhodnutie, podľa ktorého sa dozorný úradník, generálny tajomník a zamestnanci EDPS, ktorí majú riadiace právomoci, budú stretávať so zástupcami záujmových skupín len vtedy, ak sú zaregistrovaní v registri transparentnosti Únie; víta, že týmto rozhodnutím sa EDPS stal súčasťou registra transparentnosti Únie, ktorého správna rada bola riadne informovaná; odporúča EDPS, aby na svojom webovom sídle zverejnil zoznam všetkých stretnutí so zástupcami záujmových skupín s cieľom ešte viac posilniť zodpovednosť a transparentnosť voči verejnosti;</w:t>
      </w:r>
    </w:p>
    <w:p w14:paraId="5B39E573" w14:textId="77777777" w:rsidR="00A52205" w:rsidRPr="00533A97" w:rsidRDefault="00A52205" w:rsidP="00A52205">
      <w:pPr>
        <w:pStyle w:val="NormalHanging12a"/>
        <w:rPr>
          <w:szCs w:val="24"/>
        </w:rPr>
      </w:pPr>
      <w:r w:rsidRPr="00533A97">
        <w:t>38.</w:t>
      </w:r>
      <w:r w:rsidRPr="00533A97">
        <w:tab/>
        <w:t>berie na vedomie, že európska ombudsmanka začala v roku 2023 vyšetrovanie EDPS, ktoré bolo ukončené v roku 2024 so zistením nesprávneho úradného postupu; konštatuje, že zistenie sa týkalo času, ktorý EDPS potreboval na dokončenie posúdenia sťažnosti v primeranej lehote, a toho, že sťažovateľa aktívne neinformoval o vývoji prípadu; oceňuje, že EDPS prijal opatrenia na zlepšenie svojich postupov, na základe ktorých sú teraz zamestnanci povinní aktívne aktualizovať sťažnosti a pozastaviť vyšetrovanie, ak sa čaká na súdne rozhodnutia alebo rozhodnutia iných orgánov v tej istej veci; na základe dotazníka konštatuje, že EDPS bol v roku 2024 zapojený do troch vyšetrovaní Európskeho úradu pre boj proti podvodom (OLAF), ktoré stále prebiehajú; vyzýva EDPS, aby o týchto otázkach priebežne informoval orgán udeľujúci absolutórium;</w:t>
      </w:r>
    </w:p>
    <w:p w14:paraId="57245886" w14:textId="77777777" w:rsidR="00A52205" w:rsidRPr="00533A97" w:rsidRDefault="00A52205" w:rsidP="00A52205">
      <w:pPr>
        <w:pStyle w:val="NormalHanging12a"/>
      </w:pPr>
      <w:r w:rsidRPr="00533A97">
        <w:t>39.</w:t>
      </w:r>
      <w:r w:rsidRPr="00533A97">
        <w:tab/>
        <w:t xml:space="preserve">podčiarkuje úlohu EDPS, pokiaľ ide o dohľad nad operáciami spracovania osobných </w:t>
      </w:r>
      <w:r w:rsidRPr="00533A97">
        <w:lastRenderedPageBreak/>
        <w:t>údajov v inštitúciách, orgánoch, úradoch a agentúrach Únie; vyjadruje znepokojenie nad tým, koľko času potrebuje EDPS na vybavenie sťažností; pripomína rozhodnutie európskej ombudsmanky zo 7. novembra 2024 vo veci 1888/2023/TM, v ktorom európska ombudsmanka konštatovala, že skutočnosť, že EDPS trvalo šesť rokov, kým dokončil posúdenie sťažnosti, nepredstavuje primeraný časový rámec, a že prístup EDPS bol v tomto prípade nesprávnym úradným postupom; berie na vedomie zistenie európskej ombudsmanky, že EDPS zároveň neinformoval sťažovateľa o vývoji uvedeného prípadu;</w:t>
      </w:r>
    </w:p>
    <w:p w14:paraId="2864EE2A" w14:textId="77777777" w:rsidR="00A52205" w:rsidRPr="00533A97" w:rsidRDefault="00A52205" w:rsidP="00A52205">
      <w:pPr>
        <w:pStyle w:val="NormalHanging12a"/>
        <w:rPr>
          <w:szCs w:val="24"/>
        </w:rPr>
      </w:pPr>
      <w:r w:rsidRPr="00533A97">
        <w:t>40.</w:t>
      </w:r>
      <w:r w:rsidRPr="00533A97">
        <w:tab/>
        <w:t>berie na vedomie, že v súlade s článkom 9 kódexu správania EDPS sú dozorný úradník a generálny tajomník viazaní povinnosťou zachovávať bezúhonnosť, diskrétnosť a dôvernosť tri roky po skončení výkonu svojej funkcie; konštatuje, že v roku 2024 od EDPS neodišiel ani sa k nemu nepripojil žiadny vyšší úradník;</w:t>
      </w:r>
    </w:p>
    <w:p w14:paraId="431180CC" w14:textId="77777777" w:rsidR="00A52205" w:rsidRPr="00533A97" w:rsidRDefault="00A52205" w:rsidP="00A52205">
      <w:pPr>
        <w:pStyle w:val="NormalHanging12a"/>
        <w:rPr>
          <w:szCs w:val="24"/>
        </w:rPr>
      </w:pPr>
      <w:r w:rsidRPr="00533A97">
        <w:rPr>
          <w:b/>
          <w:i/>
        </w:rPr>
        <w:t>Digitalizácia, kybernetická bezpečnosť a ochrana údajov</w:t>
      </w:r>
    </w:p>
    <w:p w14:paraId="1186ED27" w14:textId="77777777" w:rsidR="00A52205" w:rsidRPr="00533A97" w:rsidRDefault="00A52205" w:rsidP="00A52205">
      <w:pPr>
        <w:pStyle w:val="NormalHanging12a"/>
        <w:rPr>
          <w:szCs w:val="24"/>
        </w:rPr>
      </w:pPr>
      <w:r w:rsidRPr="00533A97">
        <w:t>41.</w:t>
      </w:r>
      <w:r w:rsidRPr="00533A97">
        <w:tab/>
        <w:t>na základe dotazníka konštatuje, že výdavky na IT vybavenie a projekty v roku 2024 boli v porovnaní s rokom 2023 vyššie o 10 % z dôvodu dodatočných konzultácií v oblasti kybernetickej bezpečnosti; ďalej konštatuje, že ostatné nákladové položky vrátane všeobecných IT služieb a údržby boli medzi uvedenými dvomi rokmi naďalej relatívne stabilné;</w:t>
      </w:r>
    </w:p>
    <w:p w14:paraId="004498E2" w14:textId="08AB3AAC" w:rsidR="00A52205" w:rsidRPr="00533A97" w:rsidRDefault="00A52205" w:rsidP="00A52205">
      <w:pPr>
        <w:pStyle w:val="NormalHanging12a"/>
        <w:rPr>
          <w:szCs w:val="24"/>
        </w:rPr>
      </w:pPr>
      <w:r w:rsidRPr="00533A97">
        <w:t>42.</w:t>
      </w:r>
      <w:r w:rsidRPr="00533A97">
        <w:tab/>
        <w:t xml:space="preserve">berie na vedomie pokrok, ktorý EDPS dosiahol na ceste k digitálnej transformácii v roku 2024; konštatuje najmä, že EDPS integroval službu EU </w:t>
      </w:r>
      <w:proofErr w:type="spellStart"/>
      <w:r w:rsidRPr="00533A97">
        <w:t>Send</w:t>
      </w:r>
      <w:proofErr w:type="spellEnd"/>
      <w:r w:rsidRPr="00533A97">
        <w:t xml:space="preserve"> (služba/kanál na výmenu citlivých neutajovaných informácií s inými inštitúciami, orgánmi, úradmi a agentúrami Únie), zaviedol službu </w:t>
      </w:r>
      <w:proofErr w:type="spellStart"/>
      <w:r w:rsidRPr="00533A97">
        <w:t>ServiceNow</w:t>
      </w:r>
      <w:proofErr w:type="spellEnd"/>
      <w:r w:rsidRPr="00533A97">
        <w:t xml:space="preserve"> na podporu IT (vytvorenie jednotného portálu asistenčnej služby pre zamestnancov), zaviedol rámec SECABC (</w:t>
      </w:r>
      <w:proofErr w:type="spellStart"/>
      <w:r w:rsidRPr="00533A97">
        <w:t>medziinštitucionálny</w:t>
      </w:r>
      <w:proofErr w:type="spellEnd"/>
      <w:r w:rsidRPr="00533A97">
        <w:t xml:space="preserve"> rámec na bezpečnú výmenu informácií) a prešiel na lokálnu službu Komisie </w:t>
      </w:r>
      <w:proofErr w:type="spellStart"/>
      <w:r w:rsidRPr="00533A97">
        <w:t>Container</w:t>
      </w:r>
      <w:proofErr w:type="spellEnd"/>
      <w:r w:rsidRPr="00533A97">
        <w:t xml:space="preserve">-as-a-Service; konštatuje, že digitálnej transformácii EDPS sa venuje jeden stály úradník a jeden zmluvný zamestnanec; na základe dotazníka a správy o následných opatreniach uznáva rozpočtové obmedzenia EDPS, ktoré bránia vytvoreniu tímu aspoň piatich IT špecialistov pokrývajúcich 7 rôznych oblastí IT, ktorí by mohli pokrývať špecifické aplikácie spojené s prevádzkovými procesmi EDPS, ktoré presahujú základnú IT infraštruktúru a služby poskytované </w:t>
      </w:r>
      <w:r w:rsidR="00EE7A17" w:rsidRPr="00533A97">
        <w:t>Európskym p</w:t>
      </w:r>
      <w:r w:rsidRPr="00533A97">
        <w:t>arlamentom a Komisiou na základe dohôd o úrovni poskytovaných služieb;</w:t>
      </w:r>
    </w:p>
    <w:p w14:paraId="62A9D3EA" w14:textId="2D4463F4" w:rsidR="00A52205" w:rsidRPr="00533A97" w:rsidRDefault="00A52205" w:rsidP="00A52205">
      <w:pPr>
        <w:pStyle w:val="NormalHanging12a"/>
        <w:rPr>
          <w:bCs/>
          <w:iCs/>
        </w:rPr>
      </w:pPr>
      <w:r w:rsidRPr="00533A97">
        <w:t>43.</w:t>
      </w:r>
      <w:r w:rsidRPr="00533A97">
        <w:tab/>
        <w:t xml:space="preserve">konštatuje, že obmedzený počet interných pracovníkov v oblasti IT v EDPS čiastočne kompenzujú IT služby, ktoré poskytuje </w:t>
      </w:r>
      <w:r w:rsidR="00EE7A17" w:rsidRPr="00533A97">
        <w:t>Európsky p</w:t>
      </w:r>
      <w:r w:rsidRPr="00533A97">
        <w:t xml:space="preserve">arlament a Komisia na základe dohôd o úrovni poskytovaných služieb, a mechanizmus spätnej úhrady; pripomína, že </w:t>
      </w:r>
      <w:r w:rsidR="00EE7A17" w:rsidRPr="00533A97">
        <w:t>Európsky p</w:t>
      </w:r>
      <w:r w:rsidRPr="00533A97">
        <w:t xml:space="preserve">arlament už vo svojom uznesení o absolutóriu za rok 2023 identifikoval štrukturálne rozdiely medzi týmito </w:t>
      </w:r>
      <w:proofErr w:type="spellStart"/>
      <w:r w:rsidRPr="00533A97">
        <w:t>medziinštitucionálnymi</w:t>
      </w:r>
      <w:proofErr w:type="spellEnd"/>
      <w:r w:rsidRPr="00533A97">
        <w:t xml:space="preserve"> IT službami a osobitnými operačnými potrebami EDPS; zdôrazňuje, že tento model síce môže priniesť úspory z rozsahu, ale zároveň môže obmedziť predvídateľnosť nákladov a priamu kontrolu malých inštitúcií nad vývojom výdavkov súvisiacich s IT, pričom vyzdvihuje, že je dôležité zohľadniť tieto štrukturálne tlaky na náklady v budúcom rozpočtovom plánovaní;</w:t>
      </w:r>
    </w:p>
    <w:p w14:paraId="2833B298" w14:textId="77777777" w:rsidR="00A52205" w:rsidRPr="00533A97" w:rsidRDefault="00A52205" w:rsidP="00A52205">
      <w:pPr>
        <w:pStyle w:val="NormalHanging12a"/>
        <w:rPr>
          <w:bCs/>
          <w:iCs/>
        </w:rPr>
      </w:pPr>
      <w:r w:rsidRPr="00533A97">
        <w:t>44.</w:t>
      </w:r>
      <w:r w:rsidRPr="00533A97">
        <w:tab/>
        <w:t xml:space="preserve">vyzdvihuje prácu EDPS na </w:t>
      </w:r>
      <w:proofErr w:type="spellStart"/>
      <w:r w:rsidRPr="00533A97">
        <w:t>kolaboratívnych</w:t>
      </w:r>
      <w:proofErr w:type="spellEnd"/>
      <w:r w:rsidRPr="00533A97">
        <w:t xml:space="preserve"> cloudových riešeniach s otvoreným zdrojovým kódom v Únii, najmä na projekte </w:t>
      </w:r>
      <w:proofErr w:type="spellStart"/>
      <w:r w:rsidRPr="00533A97">
        <w:t>Nextcloud</w:t>
      </w:r>
      <w:proofErr w:type="spellEnd"/>
      <w:r w:rsidRPr="00533A97">
        <w:t xml:space="preserve"> a jeho migrácii na dátové centrum spravované Komisiou, s cieľom posilniť dátovú suverenitu a znížiť závislosť od poskytovateľov z krajín mimo Únie; vyzýva EDPS, aby orgánu udeľujúcemu </w:t>
      </w:r>
      <w:r w:rsidRPr="00533A97">
        <w:lastRenderedPageBreak/>
        <w:t>absolutórium poskytol posúdenie celkových nákladov na vlastníctvo projektu, jeho bezpečnostných prínosov a rozšíriteľnosti, pokiaľ ide o ostatné inštitúcie Únie;</w:t>
      </w:r>
    </w:p>
    <w:p w14:paraId="6257395F" w14:textId="33BB527F" w:rsidR="00A52205" w:rsidRPr="00533A97" w:rsidRDefault="00A52205" w:rsidP="00A52205">
      <w:pPr>
        <w:pStyle w:val="NormalHanging12a"/>
      </w:pPr>
      <w:r w:rsidRPr="00533A97">
        <w:t>45.</w:t>
      </w:r>
      <w:r w:rsidRPr="00533A97">
        <w:tab/>
        <w:t xml:space="preserve">uznáva, že EDPS úspešne využíva mnohé administratívne systémy používané v Komisii, najmä v oblasti ľudských zdrojov a procesov administratívnej činnosti, ako aj niektoré služby </w:t>
      </w:r>
      <w:r w:rsidR="00EE7A17" w:rsidRPr="00533A97">
        <w:t>Európskeho p</w:t>
      </w:r>
      <w:r w:rsidRPr="00533A97">
        <w:t>arlamentu, okrem iného vrátane poskytovania laptopov, sieťovej infraštruktúry a zariadenia na videokonferencie; poznamenáva, že v prípade administratívnych a finančných dokumentov EDPS používa kvalifikovaný elektronický podpis na podpisovanie elektronických dokumentov v rámci systému ARES aj mimo neho; vyjadruje EDPS uznanie za pokrok dosiahnutý pri zavádzaní nástrojov elektronického obstarávania, ktorého spustenie sa predpokladá v roku 2026, keď bude u EDPS zavedený aj nový finančný softvér SUMMA;</w:t>
      </w:r>
    </w:p>
    <w:p w14:paraId="4740EEA4" w14:textId="77777777" w:rsidR="00A52205" w:rsidRPr="00533A97" w:rsidRDefault="00A52205" w:rsidP="00A52205">
      <w:pPr>
        <w:pStyle w:val="NormalHanging12a"/>
      </w:pPr>
      <w:r w:rsidRPr="00533A97">
        <w:t>46.</w:t>
      </w:r>
      <w:r w:rsidRPr="00533A97">
        <w:tab/>
        <w:t>na základe dotazníka konštatuje, že EDPS v roku 2025 schválil interné usmernenia o používaní systémov generatívnej umelej inteligencie svojimi zamestnancami, ktorým poskytuje aj povinnú odbornú prípravu týkajúcu sa umelej inteligencie; víta prípravné práce EDPS na prípadnom vydaní usmernení na zabezpečenie zodpovedného používania nástrojov umelej inteligencie inštitúciami, orgánmi, úradmi a agentúrami Únie, ktoré by dopĺňali usmernenia, ktoré už poskytla Komisia, so zameraním na špecifiká verejnej správy Únie alebo prípady použitia v konkrétnych oblastiach, ako sú napríklad ľudské zdroje/nábor zamestnancov;</w:t>
      </w:r>
    </w:p>
    <w:p w14:paraId="210FF075" w14:textId="77777777" w:rsidR="00A52205" w:rsidRPr="00533A97" w:rsidRDefault="00A52205" w:rsidP="00A52205">
      <w:pPr>
        <w:pStyle w:val="NormalHanging12a"/>
        <w:rPr>
          <w:szCs w:val="24"/>
        </w:rPr>
      </w:pPr>
      <w:r w:rsidRPr="00533A97">
        <w:t>47.</w:t>
      </w:r>
      <w:r w:rsidRPr="00533A97">
        <w:tab/>
        <w:t>uznáva vedúcu úlohu EDPS pri zvyšovaní pripravenosti inštitúcií, orgánov, úradov a agentúr Únie v oblasti kybernetickej bezpečnosti, pričom úzko spolupracuje s orgánmi, ako je agentúra ENISA, a centrami kybernetickej bezpečnosti, ako je CERT-EU;</w:t>
      </w:r>
    </w:p>
    <w:p w14:paraId="7B887B09" w14:textId="77777777" w:rsidR="00A52205" w:rsidRPr="00533A97" w:rsidRDefault="00A52205" w:rsidP="00A52205">
      <w:pPr>
        <w:pStyle w:val="NormalHanging12a"/>
      </w:pPr>
      <w:r w:rsidRPr="00533A97">
        <w:t>48.</w:t>
      </w:r>
      <w:r w:rsidRPr="00533A97">
        <w:tab/>
        <w:t xml:space="preserve">na základe dotazníka konštatuje, že EDPS spustil dve kľúčové iniciatívy na posilnenie riadenia prípadov porušenia ochrany osobných údajov v inštitúciách Únie, t. j. kampaň na zvýšenie povedomia o porušeniach ochrany osobných údajov, ktorá sa zamerala na subjekty, ktoré predtým neoznámili porušenie ochrany osobných údajov, pričom poskytla nástroje na samohodnotenie, dvojstranné konzultácie, odporúčania šité na mieru a cvičenie v oblasti kybernetickej bezpečnosti (s názvom PATRICIA), ktorého cieľom bolo zlepšiť riešenie incidentov v oblasti kybernetickej bezpečnosti zahŕňajúcich porušenia ochrany osobných údajov a posilniť </w:t>
      </w:r>
      <w:proofErr w:type="spellStart"/>
      <w:r w:rsidRPr="00533A97">
        <w:t>medziinštitucionálnu</w:t>
      </w:r>
      <w:proofErr w:type="spellEnd"/>
      <w:r w:rsidRPr="00533A97">
        <w:t xml:space="preserve"> spoluprácu; s uznaním konštatuje, že obe iniciatívy boli v roku 2025 ocenené Globálnym zhromaždením pre ochranu súkromia za ich prínos k zodpovednosti; konštatuje, že EDPS posilnil svoj rámec kybernetickej bezpečnosti zavedením zisťovania zraniteľností a hrozieb v reálnom čase v prípade aktív pripojených na internet, a to prostredníctvom posilnenej spolupráce v rámci svojich dohôd o úrovni poskytovaných služieb s CERT-EU; blahoželá EDPS k usporiadaniu konferencie v Bruseli v júni 2024, na ktorej sa stretli odborníci na ochranu údajov, tvorcovia politík a odborníci na technológie, aby sa zamysleli nad vyvíjajúcou sa úlohou ochrany údajov v moderných demokraciách, najmä vzhľadom na nárast dezinformácií a manipulácie online a výzvy, ktoré predstavujú sociálne siete;</w:t>
      </w:r>
    </w:p>
    <w:p w14:paraId="3DE513DD" w14:textId="77777777" w:rsidR="00A52205" w:rsidRPr="00533A97" w:rsidRDefault="00A52205" w:rsidP="00A52205">
      <w:pPr>
        <w:pStyle w:val="NormalHanging12a"/>
        <w:rPr>
          <w:b/>
          <w:i/>
          <w:szCs w:val="24"/>
        </w:rPr>
      </w:pPr>
      <w:r w:rsidRPr="00533A97">
        <w:rPr>
          <w:b/>
          <w:i/>
        </w:rPr>
        <w:t>Budovy</w:t>
      </w:r>
    </w:p>
    <w:p w14:paraId="1837C80D" w14:textId="34589739" w:rsidR="00A52205" w:rsidRPr="00533A97" w:rsidRDefault="00A52205" w:rsidP="00A52205">
      <w:pPr>
        <w:pStyle w:val="NormalHanging12a"/>
        <w:rPr>
          <w:szCs w:val="24"/>
        </w:rPr>
      </w:pPr>
      <w:r w:rsidRPr="00533A97">
        <w:t>49.</w:t>
      </w:r>
      <w:r w:rsidRPr="00533A97">
        <w:tab/>
        <w:t xml:space="preserve">konštatuje, že v roku 2024 bol potrebný prevod približne 55 000 EUR na pokrytie nákladov na bezpečnosť budovy a nájomné, keďže náklady na nájomné potvrdené na rok 2024 </w:t>
      </w:r>
      <w:r w:rsidR="00EE7A17" w:rsidRPr="00533A97">
        <w:t>Európskym p</w:t>
      </w:r>
      <w:r w:rsidRPr="00533A97">
        <w:t xml:space="preserve">arlamentom, ktorého budovu EDPS využíva, boli vyššie než </w:t>
      </w:r>
      <w:r w:rsidRPr="00533A97">
        <w:lastRenderedPageBreak/>
        <w:t>kredity pridelené na daný rok;</w:t>
      </w:r>
    </w:p>
    <w:p w14:paraId="2F024821" w14:textId="45AE2B51" w:rsidR="00A52205" w:rsidRPr="00533A97" w:rsidRDefault="00A52205" w:rsidP="00A52205">
      <w:pPr>
        <w:pStyle w:val="NormalHanging12a"/>
        <w:rPr>
          <w:szCs w:val="24"/>
        </w:rPr>
      </w:pPr>
      <w:r w:rsidRPr="00533A97">
        <w:t>50.</w:t>
      </w:r>
      <w:r w:rsidRPr="00533A97">
        <w:tab/>
        <w:t xml:space="preserve">konštatuje, že pokiaľ ide o prístupnosť budovy EDPS, uplatňujú sa rozhodnutia, ktoré prijal a vykonáva </w:t>
      </w:r>
      <w:r w:rsidR="00EE7A17" w:rsidRPr="00533A97">
        <w:t>Európsky p</w:t>
      </w:r>
      <w:r w:rsidRPr="00533A97">
        <w:t>arlament v rámci svojej politiky týkajúcej sa budov; vyzýva EDPS, aby informoval orgán udeľujúci absolutórium, či plánuje zamestnať aj stážistov so zníženou pohyblivosťou alebo zdravotným postihnutím;</w:t>
      </w:r>
    </w:p>
    <w:p w14:paraId="0595F6AE" w14:textId="77777777" w:rsidR="00A52205" w:rsidRPr="00533A97" w:rsidRDefault="00A52205" w:rsidP="00A52205">
      <w:pPr>
        <w:pStyle w:val="NormalHanging12a"/>
        <w:rPr>
          <w:b/>
          <w:iCs/>
          <w:szCs w:val="24"/>
        </w:rPr>
      </w:pPr>
      <w:r w:rsidRPr="00533A97">
        <w:rPr>
          <w:b/>
          <w:i/>
        </w:rPr>
        <w:t>Životné prostredie a udržateľnosť</w:t>
      </w:r>
    </w:p>
    <w:p w14:paraId="652518C5" w14:textId="45C09273" w:rsidR="00A52205" w:rsidRPr="00533A97" w:rsidRDefault="00A52205" w:rsidP="00A52205">
      <w:pPr>
        <w:pStyle w:val="NormalHanging12a"/>
        <w:rPr>
          <w:bCs/>
          <w:iCs/>
          <w:szCs w:val="24"/>
        </w:rPr>
      </w:pPr>
      <w:r w:rsidRPr="00533A97">
        <w:t>51.</w:t>
      </w:r>
      <w:r w:rsidRPr="00533A97">
        <w:tab/>
        <w:t xml:space="preserve">konštatuje, že EDPS si prenajíma inteligentnú budovu </w:t>
      </w:r>
      <w:r w:rsidR="00EE7A17" w:rsidRPr="00533A97">
        <w:t>Európskeho p</w:t>
      </w:r>
      <w:r w:rsidRPr="00533A97">
        <w:t xml:space="preserve">arlamentu, ktorej environmentálna stopa sa znižuje prostredníctvom viacerých opatrení, ako je okrem iného automatická a centrálna regulácia teploty; poznamenáva, že táto budova je takisto vybavená </w:t>
      </w:r>
      <w:proofErr w:type="spellStart"/>
      <w:r w:rsidRPr="00533A97">
        <w:t>fotovoltickými</w:t>
      </w:r>
      <w:proofErr w:type="spellEnd"/>
      <w:r w:rsidRPr="00533A97">
        <w:t xml:space="preserve"> panelmi, ktoré vyrobia približne 20 kWh elektrickej energie, čo v roku 2024 pokrylo 6,04 % celkovej spotreby EDPS;</w:t>
      </w:r>
    </w:p>
    <w:p w14:paraId="5B343A2C" w14:textId="07BF1F52" w:rsidR="00A52205" w:rsidRPr="00533A97" w:rsidRDefault="00A52205" w:rsidP="00A52205">
      <w:pPr>
        <w:pStyle w:val="NormalHanging12a"/>
      </w:pPr>
      <w:r w:rsidRPr="00533A97">
        <w:t>52.</w:t>
      </w:r>
      <w:r w:rsidRPr="00533A97">
        <w:tab/>
        <w:t xml:space="preserve">konštatuje, že EDPS sa nezapojil do schémy pre environmentálne manažérstvo a audit (EMAS); konštatuje, že s cieľom získať certifikát EMAS zriadil EDPS v roku 2024 medziodborovú pracovnú skupinu, ktorej cieľom je zmapovať existujúce opatrenia, ktoré už </w:t>
      </w:r>
      <w:r w:rsidR="00EE7A17" w:rsidRPr="00533A97">
        <w:t>Európsky p</w:t>
      </w:r>
      <w:r w:rsidRPr="00533A97">
        <w:t>arlament zaviedol, vypracovať stratégie na zníženie emisií uhlíka a navrhnúť inovatívne riešenia; vyzýva EDPS, aby stanovil jasný harmonogram na získanie certifikácie EMAS a priebežne informoval orgán udeľujúci absolutórium o pokroku dosiahnutom v tejto veci;</w:t>
      </w:r>
    </w:p>
    <w:p w14:paraId="7DA88671" w14:textId="77777777" w:rsidR="00A52205" w:rsidRPr="00533A97" w:rsidRDefault="00A52205" w:rsidP="00A52205">
      <w:pPr>
        <w:spacing w:after="240"/>
        <w:ind w:left="567" w:hanging="567"/>
      </w:pPr>
      <w:r w:rsidRPr="00533A97">
        <w:t>53.</w:t>
      </w:r>
      <w:r w:rsidRPr="00533A97">
        <w:tab/>
        <w:t xml:space="preserve">na základe dotazníka konštatuje, že EDPS vykonáva prevažnú väčšinu svojich obstarávaní prostredníctvom </w:t>
      </w:r>
      <w:proofErr w:type="spellStart"/>
      <w:r w:rsidRPr="00533A97">
        <w:t>medziinštitucionálnych</w:t>
      </w:r>
      <w:proofErr w:type="spellEnd"/>
      <w:r w:rsidRPr="00533A97">
        <w:t xml:space="preserve"> rámcových zmlúv a ako zúčastnený verejný obstarávateľ uplatňuje kritériá udržateľnosti stanovené hlavným verejným obstarávateľom;</w:t>
      </w:r>
    </w:p>
    <w:p w14:paraId="453AA2CC" w14:textId="77777777" w:rsidR="00A52205" w:rsidRPr="00533A97" w:rsidRDefault="00A52205" w:rsidP="00A52205">
      <w:pPr>
        <w:spacing w:after="240"/>
        <w:ind w:left="567" w:hanging="567"/>
      </w:pPr>
      <w:r w:rsidRPr="00533A97">
        <w:t>54.</w:t>
      </w:r>
      <w:r w:rsidRPr="00533A97">
        <w:tab/>
        <w:t>na základe dotazníka konštatuje, že všetky služobné cesty EDPS musia byť v súlade s pravidlami stanovenými v príručke pre služobné cesty; poznamenáva, že zamestnanci EDPS cestujú predovšetkým v ekonomickej triede a že väčšina ciest sa uskutočňuje v rámci Únie; víta úsilie EDPS o zníženie jeho uhlíkovej stopy tým, že podporuje zamestnancov, aby využívali videokonferencie, aby na krátke vzdialenosti cestovali vlakom a aby pri cestách na letisko, z letiska alebo na mieste služobnej cesty využívali verejnú dopravu;</w:t>
      </w:r>
    </w:p>
    <w:p w14:paraId="75844EC9" w14:textId="77777777" w:rsidR="00A52205" w:rsidRPr="00533A97" w:rsidRDefault="00A52205" w:rsidP="00A52205">
      <w:pPr>
        <w:spacing w:after="240"/>
        <w:ind w:left="567" w:hanging="567"/>
      </w:pPr>
      <w:r w:rsidRPr="00533A97">
        <w:t>55.</w:t>
      </w:r>
      <w:r w:rsidRPr="00533A97">
        <w:tab/>
        <w:t>na základe dotazníka konštatuje, že EDPS vykonáva stratégiu udržateľnej mobility, ktorá zamestnancom umožňuje požiadať o náhradu 50 % ceny svojich mesačných alebo ročných predplatených cestovných lístkov alebo lístkov na viacero ciest na verejnú dopravu a poskytuje zariadenia prispôsobené potrebám zamestnancov, ktorí používajú bicykle;</w:t>
      </w:r>
    </w:p>
    <w:p w14:paraId="6FCF7DB0" w14:textId="77777777" w:rsidR="00A52205" w:rsidRPr="00533A97" w:rsidRDefault="00A52205" w:rsidP="00A52205">
      <w:pPr>
        <w:pStyle w:val="NormalHanging12a"/>
        <w:rPr>
          <w:b/>
          <w:i/>
          <w:szCs w:val="24"/>
        </w:rPr>
      </w:pPr>
      <w:proofErr w:type="spellStart"/>
      <w:r w:rsidRPr="00533A97">
        <w:rPr>
          <w:b/>
          <w:i/>
        </w:rPr>
        <w:t>Medziinštitucionálna</w:t>
      </w:r>
      <w:proofErr w:type="spellEnd"/>
      <w:r w:rsidRPr="00533A97">
        <w:rPr>
          <w:b/>
          <w:i/>
        </w:rPr>
        <w:t xml:space="preserve"> spolupráca</w:t>
      </w:r>
    </w:p>
    <w:p w14:paraId="0615AEC5" w14:textId="79045E5D" w:rsidR="00A52205" w:rsidRPr="00533A97" w:rsidRDefault="00A52205" w:rsidP="00A52205">
      <w:pPr>
        <w:pStyle w:val="NormalHanging12a"/>
        <w:rPr>
          <w:szCs w:val="24"/>
        </w:rPr>
      </w:pPr>
      <w:r w:rsidRPr="00533A97">
        <w:t>56.</w:t>
      </w:r>
      <w:r w:rsidRPr="00533A97">
        <w:tab/>
        <w:t xml:space="preserve">víta rozpočtové a administratívne úspory, ktoré EDPS dosiahol prostredníctvom </w:t>
      </w:r>
      <w:proofErr w:type="spellStart"/>
      <w:r w:rsidRPr="00533A97">
        <w:t>medziinštitucionálnej</w:t>
      </w:r>
      <w:proofErr w:type="spellEnd"/>
      <w:r w:rsidRPr="00533A97">
        <w:t xml:space="preserve"> spolupráce, najmä uzatvorením dohôd o úrovni poskytovaných služieb s</w:t>
      </w:r>
      <w:r w:rsidR="00EE7A17" w:rsidRPr="00533A97">
        <w:t> Európskym p</w:t>
      </w:r>
      <w:r w:rsidRPr="00533A97">
        <w:t xml:space="preserve">arlamentom na prenájom jeho priestorov a používanie aplikácií IT systémov, dodávky a údržbu hardvéru, s Komisiou v oblasti procesov týkajúcich sa ľudských zdrojov a administratívnej činnosti, ako aj prostredníctvom zapojenia do rozsiahlych </w:t>
      </w:r>
      <w:proofErr w:type="spellStart"/>
      <w:r w:rsidRPr="00533A97">
        <w:t>medziinštitucionálnych</w:t>
      </w:r>
      <w:proofErr w:type="spellEnd"/>
      <w:r w:rsidRPr="00533A97">
        <w:t xml:space="preserve"> rámcových zmlúv v oblastiach, ako sú napríklad IT poradenstvo, dočasné služby a kancelárske potreby; okrem toho chváli EDPS za to, že </w:t>
      </w:r>
      <w:r w:rsidRPr="00533A97">
        <w:lastRenderedPageBreak/>
        <w:t xml:space="preserve">prostredníctvom memoránd o porozumení udržiava štruktúrovanú spoluprácu s európskou ombudsmankou, Agentúrou Európskej únie pre základné práva a tímom CERT-EU; na základe dotazníka konštatuje, že EDPS sa zúčastňuje aj na </w:t>
      </w:r>
      <w:proofErr w:type="spellStart"/>
      <w:r w:rsidRPr="00533A97">
        <w:t>medziinštitucionálnom</w:t>
      </w:r>
      <w:proofErr w:type="spellEnd"/>
      <w:r w:rsidRPr="00533A97">
        <w:t xml:space="preserve"> projekte transformácie ľudských zdrojov, ktorý vedie Komisia a ktorého cieľom je digitalizácia procesov v oblasti ľudských zdrojov, pričom zavedenie tohto projektu bude dokončené do roku 2029;</w:t>
      </w:r>
    </w:p>
    <w:p w14:paraId="08DE695A" w14:textId="77777777" w:rsidR="00A52205" w:rsidRPr="00533A97" w:rsidRDefault="00A52205" w:rsidP="00A52205">
      <w:pPr>
        <w:pStyle w:val="NormalHanging12a"/>
        <w:rPr>
          <w:szCs w:val="24"/>
        </w:rPr>
      </w:pPr>
      <w:r w:rsidRPr="00533A97">
        <w:t>57.</w:t>
      </w:r>
      <w:r w:rsidRPr="00533A97">
        <w:tab/>
        <w:t xml:space="preserve">konštatuje, že EDPS sa zúčastňuje na schôdzach rôznych </w:t>
      </w:r>
      <w:proofErr w:type="spellStart"/>
      <w:r w:rsidRPr="00533A97">
        <w:t>medziinštitucionálnych</w:t>
      </w:r>
      <w:proofErr w:type="spellEnd"/>
      <w:r w:rsidRPr="00533A97">
        <w:t xml:space="preserve"> orgánov; v tejto súvislosti víta účasť EDPS na schôdzach vedúcich administratívy a </w:t>
      </w:r>
      <w:proofErr w:type="spellStart"/>
      <w:r w:rsidRPr="00533A97">
        <w:t>medziinštitucionálneho</w:t>
      </w:r>
      <w:proofErr w:type="spellEnd"/>
      <w:r w:rsidRPr="00533A97">
        <w:t xml:space="preserve"> výboru pre online komunikáciu pod vedením generálneho riaditeľstva komunikácie Európskeho parlamentu; uznáva, že </w:t>
      </w:r>
      <w:proofErr w:type="spellStart"/>
      <w:r w:rsidRPr="00533A97">
        <w:t>medziinštitucionálna</w:t>
      </w:r>
      <w:proofErr w:type="spellEnd"/>
      <w:r w:rsidRPr="00533A97">
        <w:t xml:space="preserve"> spolupráca s EDPS v rámci jeho dozornej úlohy je kľúčová pre ostatné inštitúcie Únie, aby mohli lepšie dodržiavať právny rámec na ochranu údajov;</w:t>
      </w:r>
    </w:p>
    <w:p w14:paraId="577C547F" w14:textId="77777777" w:rsidR="00A52205" w:rsidRPr="00533A97" w:rsidRDefault="00A52205" w:rsidP="00A52205">
      <w:pPr>
        <w:pStyle w:val="NormalHanging12a"/>
        <w:rPr>
          <w:szCs w:val="24"/>
        </w:rPr>
      </w:pPr>
      <w:r w:rsidRPr="00533A97">
        <w:t>58.</w:t>
      </w:r>
      <w:r w:rsidRPr="00533A97">
        <w:tab/>
        <w:t xml:space="preserve">na základe výročnej správy poznamenáva, že výbor EDPB začal v roku 2024 koordinovanú činnosť v oblasti presadzovania práva jednotlivcov na prístup k svojim osobným údajom, do ktorej je zapojených 30 orgánov pre ochranu údajov v celej Únii a EHP; na základe dotazníka konštatuje, že EDPS sa zúčastnil na tejto činnosti v oblasti presadzovania práva, ale zároveň pokračoval vo svojej práci na koordinovanej činnosti výboru EDPB z roku 2023 v oblasti presadzovania práva v súvislosti s úlohou úradníka pre ochranu údajov; berie na vedomie pokračujúce aktívne zapojenie EPDS do činností výboru pre koordinovaný dozor v roku 2024, a to okrem iného prevzatím koordinačnej úlohy tohto výboru na dva roky, vypracovaním usmernenia o spolupráci pri vybavovaní sťažností </w:t>
      </w:r>
      <w:proofErr w:type="spellStart"/>
      <w:r w:rsidRPr="00533A97">
        <w:t>Europolu</w:t>
      </w:r>
      <w:proofErr w:type="spellEnd"/>
      <w:r w:rsidRPr="00533A97">
        <w:t xml:space="preserve"> a monitorovaním vývoja systému ETIAS; konštatuje, že EDPS ako člen výboru EDPB koordinoval aj pracovnú skupinu pre spoluprácu s orgánmi na ochranu hospodárskej súťaže a orgánmi na ochranu spotrebiteľa, pokiaľ ide o vzájomné pôsobenie medzi aktom o digitálnych trhoch</w:t>
      </w:r>
      <w:r w:rsidRPr="00533A97">
        <w:rPr>
          <w:rStyle w:val="FootnoteReference"/>
          <w:szCs w:val="24"/>
        </w:rPr>
        <w:footnoteReference w:id="11"/>
      </w:r>
      <w:r w:rsidRPr="00533A97">
        <w:t xml:space="preserve"> a nariadením o ochrane údajov</w:t>
      </w:r>
      <w:r w:rsidRPr="00533A97">
        <w:rPr>
          <w:rStyle w:val="FootnoteReference"/>
          <w:szCs w:val="24"/>
        </w:rPr>
        <w:footnoteReference w:id="12"/>
      </w:r>
      <w:r w:rsidRPr="00533A97">
        <w:t>;</w:t>
      </w:r>
    </w:p>
    <w:p w14:paraId="57C26BD2" w14:textId="77777777" w:rsidR="00A52205" w:rsidRPr="00533A97" w:rsidRDefault="00A52205" w:rsidP="00A52205">
      <w:pPr>
        <w:pStyle w:val="NormalHanging12a"/>
        <w:rPr>
          <w:szCs w:val="24"/>
        </w:rPr>
      </w:pPr>
      <w:r w:rsidRPr="00533A97">
        <w:t>59.</w:t>
      </w:r>
      <w:r w:rsidRPr="00533A97">
        <w:tab/>
        <w:t>na základe dotazníka a správy o následných opatreniach konštatuje, že spoločné činnosti s úradom OLAF, Európskou prokuratúrou (EPPO) a Dvorom audítorov a prevzatie iniciatívy v oblasti odhaľovania podvodov nepatria do mandátu EDPS;</w:t>
      </w:r>
    </w:p>
    <w:p w14:paraId="58AF2F67" w14:textId="77777777" w:rsidR="00A52205" w:rsidRPr="00533A97" w:rsidRDefault="00A52205" w:rsidP="00A52205">
      <w:pPr>
        <w:pStyle w:val="NormalHanging12a"/>
        <w:rPr>
          <w:b/>
          <w:i/>
          <w:szCs w:val="24"/>
        </w:rPr>
      </w:pPr>
      <w:r w:rsidRPr="00533A97">
        <w:rPr>
          <w:b/>
          <w:i/>
        </w:rPr>
        <w:t>Komunikácia</w:t>
      </w:r>
    </w:p>
    <w:p w14:paraId="53BA73A2" w14:textId="77777777" w:rsidR="00A52205" w:rsidRPr="00533A97" w:rsidRDefault="00A52205" w:rsidP="00A52205">
      <w:pPr>
        <w:pStyle w:val="NormalHanging12a"/>
        <w:rPr>
          <w:szCs w:val="24"/>
        </w:rPr>
      </w:pPr>
      <w:r w:rsidRPr="00533A97">
        <w:t>60.</w:t>
      </w:r>
      <w:r w:rsidRPr="00533A97">
        <w:tab/>
        <w:t>konštatuje, že rozpočet na komunikáciu s verejnosťou a propagačné činnosti v roku 2024 predstavoval 425 000 EUR, čo v porovnaní s rokom 2023 predstavovalo zvýšenie približne o 9,20 %;</w:t>
      </w:r>
    </w:p>
    <w:p w14:paraId="32F2F94D" w14:textId="77777777" w:rsidR="00A52205" w:rsidRPr="00533A97" w:rsidRDefault="00A52205" w:rsidP="00A52205">
      <w:pPr>
        <w:pStyle w:val="NormalHanging12a"/>
        <w:rPr>
          <w:szCs w:val="24"/>
        </w:rPr>
      </w:pPr>
      <w:r w:rsidRPr="00533A97">
        <w:t>61.</w:t>
      </w:r>
      <w:r w:rsidRPr="00533A97">
        <w:tab/>
        <w:t xml:space="preserve">s uspokojením konštatuje, že EDPS v roku 2024 zorganizoval a zúčastnil sa na niekoľkých komunikačných podujatiach online aj prezenčne, ktoré boli zamerané na zvyšovanie informovanosti širokej verejnosti o úlohe a poslaní EDPS a o význame dodržiavania pravidiel Únie v oblasti ochrany údajov, ako je Deň ochrany údajov, konferencia stážistov EDPS (dvakrát ročne), samit EDPS o občianskej spoločnosti </w:t>
      </w:r>
      <w:r w:rsidRPr="00533A97">
        <w:lastRenderedPageBreak/>
        <w:t>a Globálne zhromaždenie pre ochranu súkromia;</w:t>
      </w:r>
    </w:p>
    <w:p w14:paraId="2E52C495" w14:textId="77777777" w:rsidR="00A52205" w:rsidRPr="00533A97" w:rsidRDefault="00A52205" w:rsidP="00A52205">
      <w:pPr>
        <w:pStyle w:val="NormalHanging12a"/>
        <w:rPr>
          <w:szCs w:val="24"/>
        </w:rPr>
      </w:pPr>
      <w:r w:rsidRPr="00533A97">
        <w:t>62.</w:t>
      </w:r>
      <w:r w:rsidRPr="00533A97">
        <w:tab/>
        <w:t>konštatuje, že EDPS komunikuje online prostredníctvom svojho webového sídla a účtov na sociálnych sieťach X (bývalý Twitter) (28 800 </w:t>
      </w:r>
      <w:proofErr w:type="spellStart"/>
      <w:r w:rsidRPr="00533A97">
        <w:t>sledovateľov</w:t>
      </w:r>
      <w:proofErr w:type="spellEnd"/>
      <w:r w:rsidRPr="00533A97">
        <w:t>), LinkedIn (82 800 </w:t>
      </w:r>
      <w:proofErr w:type="spellStart"/>
      <w:r w:rsidRPr="00533A97">
        <w:t>sledovateľov</w:t>
      </w:r>
      <w:proofErr w:type="spellEnd"/>
      <w:r w:rsidRPr="00533A97">
        <w:t xml:space="preserve">), YouTube (3 400 </w:t>
      </w:r>
      <w:proofErr w:type="spellStart"/>
      <w:r w:rsidRPr="00533A97">
        <w:t>sledovateľov</w:t>
      </w:r>
      <w:proofErr w:type="spellEnd"/>
      <w:r w:rsidRPr="00533A97">
        <w:t>) a Instagram (300 </w:t>
      </w:r>
      <w:proofErr w:type="spellStart"/>
      <w:r w:rsidRPr="00533A97">
        <w:t>sledovateľov</w:t>
      </w:r>
      <w:proofErr w:type="spellEnd"/>
      <w:r w:rsidRPr="00533A97">
        <w:t>);</w:t>
      </w:r>
    </w:p>
    <w:p w14:paraId="0CDFD30C" w14:textId="73E2EDB0" w:rsidR="00E365E1" w:rsidRPr="00533A97" w:rsidRDefault="00A52205" w:rsidP="006F5F1B">
      <w:pPr>
        <w:pStyle w:val="NormalHanging12a"/>
      </w:pPr>
      <w:r w:rsidRPr="00533A97">
        <w:t>63.</w:t>
      </w:r>
      <w:r w:rsidRPr="00533A97">
        <w:tab/>
        <w:t xml:space="preserve">konštatuje, že v roku 2024 sa skončil pilotný projekt platforiem EU </w:t>
      </w:r>
      <w:proofErr w:type="spellStart"/>
      <w:r w:rsidRPr="00533A97">
        <w:t>Voice</w:t>
      </w:r>
      <w:proofErr w:type="spellEnd"/>
      <w:r w:rsidRPr="00533A97">
        <w:t xml:space="preserve"> a EU Video (bezplatné siete sociálnych médií s otvoreným zdrojovým kódom, ktoré sú orientované na ochranu súkromia a založené na softvéroch </w:t>
      </w:r>
      <w:proofErr w:type="spellStart"/>
      <w:r w:rsidRPr="00533A97">
        <w:t>Mastodon</w:t>
      </w:r>
      <w:proofErr w:type="spellEnd"/>
      <w:r w:rsidRPr="00533A97">
        <w:t xml:space="preserve"> a </w:t>
      </w:r>
      <w:proofErr w:type="spellStart"/>
      <w:r w:rsidRPr="00533A97">
        <w:t>PeerTube</w:t>
      </w:r>
      <w:proofErr w:type="spellEnd"/>
      <w:r w:rsidRPr="00533A97">
        <w:t xml:space="preserve">); konštatuje, že EDPS uľahčil hladký prechod pre inštitúcie, orgány, úrady a agentúry Únie, ktoré si želali zachovať svoje účty, čím sa zabezpečila kontinuita pre používateľov; konštatuje, že na základe úspechu pilotného projektu sa v roku 2025 uskutočnili prípravy na obnovenie používania softvéru </w:t>
      </w:r>
      <w:proofErr w:type="spellStart"/>
      <w:r w:rsidRPr="00533A97">
        <w:t>Mastodon</w:t>
      </w:r>
      <w:proofErr w:type="spellEnd"/>
      <w:r w:rsidRPr="00533A97">
        <w:t>; v tejto súvislosti víta príspevok EDPS k stratégii Únie v oblasti údajov a digitálnej suverenity s cieľom podporiť nezávislosť Únie v digitálnom svete a dodržiavanie právneho rámca na ochranu údajov.</w:t>
      </w:r>
    </w:p>
    <w:sectPr w:rsidR="00E365E1" w:rsidRPr="00533A97" w:rsidSect="00A0120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52116" w14:textId="77777777" w:rsidR="00C26D39" w:rsidRPr="00A0120B" w:rsidRDefault="00C26D39">
      <w:r w:rsidRPr="00A0120B">
        <w:separator/>
      </w:r>
    </w:p>
  </w:endnote>
  <w:endnote w:type="continuationSeparator" w:id="0">
    <w:p w14:paraId="7873FE38" w14:textId="77777777" w:rsidR="00C26D39" w:rsidRPr="00A0120B" w:rsidRDefault="00C26D39">
      <w:r w:rsidRPr="00A0120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A0D6E" w14:textId="77777777" w:rsidR="00A52205" w:rsidRPr="00A0120B" w:rsidRDefault="00A52205" w:rsidP="002F26AA">
    <w:pPr>
      <w:pStyle w:val="EPFooter"/>
    </w:pPr>
    <w:r w:rsidRPr="00A0120B">
      <w:t>PE</w:t>
    </w:r>
    <w:r w:rsidRPr="00A0120B">
      <w:rPr>
        <w:rStyle w:val="HideTWBExt"/>
      </w:rPr>
      <w:t>&lt;NoPE&gt;</w:t>
    </w:r>
    <w:r w:rsidRPr="00A0120B">
      <w:t>778.066</w:t>
    </w:r>
    <w:r w:rsidRPr="00A0120B">
      <w:rPr>
        <w:rStyle w:val="HideTWBExt"/>
      </w:rPr>
      <w:t>&lt;/NoPE&gt;&lt;Version&gt;</w:t>
    </w:r>
    <w:r w:rsidRPr="00A0120B">
      <w:t>v02-00</w:t>
    </w:r>
    <w:r w:rsidRPr="00A0120B">
      <w:rPr>
        <w:rStyle w:val="HideTWBExt"/>
      </w:rPr>
      <w:t>&lt;/Version&gt;</w:t>
    </w:r>
    <w:r w:rsidRPr="00A0120B">
      <w:tab/>
    </w:r>
    <w:r w:rsidRPr="00A0120B">
      <w:fldChar w:fldCharType="begin"/>
    </w:r>
    <w:r w:rsidRPr="00A0120B">
      <w:instrText xml:space="preserve"> PAGE  \* MERGEFORMAT </w:instrText>
    </w:r>
    <w:r w:rsidRPr="00A0120B">
      <w:fldChar w:fldCharType="separate"/>
    </w:r>
    <w:r w:rsidRPr="00A0120B">
      <w:rPr>
        <w:noProof/>
      </w:rPr>
      <w:t>1</w:t>
    </w:r>
    <w:r w:rsidRPr="00A0120B">
      <w:fldChar w:fldCharType="end"/>
    </w:r>
    <w:r w:rsidRPr="00A0120B">
      <w:t>/</w:t>
    </w:r>
    <w:fldSimple w:instr=" NUMPAGES  \* MERGEFORMAT ">
      <w:r w:rsidRPr="00A0120B">
        <w:rPr>
          <w:noProof/>
        </w:rPr>
        <w:t>1</w:t>
      </w:r>
    </w:fldSimple>
    <w:r w:rsidRPr="00A0120B">
      <w:tab/>
    </w:r>
    <w:r w:rsidRPr="00A0120B">
      <w:rPr>
        <w:rStyle w:val="HideTWBExt"/>
      </w:rPr>
      <w:t>&lt;PathFdR&gt;</w:t>
    </w:r>
    <w:r w:rsidRPr="00A0120B">
      <w:t>RR\1339480SK.docx</w:t>
    </w:r>
    <w:r w:rsidRPr="00A0120B">
      <w:rPr>
        <w:rStyle w:val="HideTWBExt"/>
      </w:rPr>
      <w:t>&lt;/PathFdR&gt;</w:t>
    </w:r>
  </w:p>
  <w:p w14:paraId="1161EFC8" w14:textId="77777777" w:rsidR="00A52205" w:rsidRPr="00A0120B" w:rsidRDefault="00A52205" w:rsidP="002F26AA">
    <w:pPr>
      <w:pStyle w:val="EPFooter2"/>
    </w:pPr>
    <w:r w:rsidRPr="00A0120B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3D86D" w14:textId="77777777" w:rsidR="00A52205" w:rsidRPr="00A0120B" w:rsidRDefault="00A52205" w:rsidP="002F26AA">
    <w:pPr>
      <w:pStyle w:val="EPFooter"/>
    </w:pPr>
    <w:r w:rsidRPr="00A0120B">
      <w:rPr>
        <w:rStyle w:val="HideTWBExt"/>
      </w:rPr>
      <w:t>&lt;PathFdR&gt;</w:t>
    </w:r>
    <w:r w:rsidRPr="00A0120B">
      <w:t>RR\1339480SK.docx</w:t>
    </w:r>
    <w:r w:rsidRPr="00A0120B">
      <w:rPr>
        <w:rStyle w:val="HideTWBExt"/>
      </w:rPr>
      <w:t>&lt;/PathFdR&gt;</w:t>
    </w:r>
    <w:r w:rsidRPr="00A0120B">
      <w:tab/>
    </w:r>
    <w:r w:rsidRPr="00A0120B">
      <w:tab/>
      <w:t>PE</w:t>
    </w:r>
    <w:r w:rsidRPr="00A0120B">
      <w:rPr>
        <w:rStyle w:val="HideTWBExt"/>
      </w:rPr>
      <w:t>&lt;NoPE&gt;</w:t>
    </w:r>
    <w:r w:rsidRPr="00A0120B">
      <w:t>778.066</w:t>
    </w:r>
    <w:r w:rsidRPr="00A0120B">
      <w:rPr>
        <w:rStyle w:val="HideTWBExt"/>
      </w:rPr>
      <w:t>&lt;/NoPE&gt;&lt;Version&gt;</w:t>
    </w:r>
    <w:r w:rsidRPr="00A0120B">
      <w:t>v02-00</w:t>
    </w:r>
    <w:r w:rsidRPr="00A0120B">
      <w:rPr>
        <w:rStyle w:val="HideTWBExt"/>
      </w:rPr>
      <w:t>&lt;/Version&gt;</w:t>
    </w:r>
  </w:p>
  <w:p w14:paraId="73A2ADF4" w14:textId="77777777" w:rsidR="00A52205" w:rsidRPr="00A0120B" w:rsidRDefault="00A52205" w:rsidP="002F26AA">
    <w:pPr>
      <w:pStyle w:val="EPFooter2"/>
    </w:pPr>
    <w:r w:rsidRPr="00A0120B">
      <w:t>SK</w:t>
    </w:r>
    <w:r w:rsidRPr="00A0120B">
      <w:tab/>
    </w:r>
    <w:r w:rsidRPr="00A0120B">
      <w:rPr>
        <w:b w:val="0"/>
        <w:i/>
        <w:color w:val="C0C0C0"/>
        <w:sz w:val="22"/>
      </w:rPr>
      <w:t>Zjednotení v rozmanitosti</w:t>
    </w:r>
    <w:r w:rsidRPr="00A0120B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44C7C" w14:textId="77777777" w:rsidR="00064002" w:rsidRPr="00A0120B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1B654" w14:textId="77777777" w:rsidR="00064002" w:rsidRPr="00A0120B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165D9" w14:textId="77777777" w:rsidR="00064002" w:rsidRPr="00A0120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1893B" w14:textId="77777777" w:rsidR="00C26D39" w:rsidRPr="00A0120B" w:rsidRDefault="00C26D39">
      <w:r w:rsidRPr="00A0120B">
        <w:separator/>
      </w:r>
    </w:p>
  </w:footnote>
  <w:footnote w:type="continuationSeparator" w:id="0">
    <w:p w14:paraId="366494CA" w14:textId="77777777" w:rsidR="00C26D39" w:rsidRPr="00A0120B" w:rsidRDefault="00C26D39">
      <w:r w:rsidRPr="00A0120B">
        <w:continuationSeparator/>
      </w:r>
    </w:p>
  </w:footnote>
  <w:footnote w:id="1">
    <w:p w14:paraId="4B8FDAE2" w14:textId="0A3C5280" w:rsidR="00A52205" w:rsidRPr="00A0120B" w:rsidRDefault="00A52205" w:rsidP="00A0120B">
      <w:pPr>
        <w:pStyle w:val="FootnoteText"/>
        <w:ind w:left="567" w:hanging="567"/>
        <w:rPr>
          <w:sz w:val="24"/>
          <w:lang w:val="sk-SK"/>
        </w:rPr>
      </w:pPr>
      <w:r w:rsidRPr="00A0120B">
        <w:rPr>
          <w:rStyle w:val="FootnoteReference"/>
          <w:sz w:val="24"/>
          <w:lang w:val="sk-SK"/>
        </w:rPr>
        <w:footnoteRef/>
      </w:r>
      <w:r w:rsidR="00A0120B" w:rsidRPr="00A0120B">
        <w:rPr>
          <w:sz w:val="24"/>
          <w:lang w:val="sk-SK"/>
        </w:rPr>
        <w:t xml:space="preserve"> </w:t>
      </w:r>
      <w:r w:rsidR="00A0120B" w:rsidRPr="00A0120B">
        <w:rPr>
          <w:sz w:val="24"/>
          <w:lang w:val="sk-SK"/>
        </w:rPr>
        <w:tab/>
      </w:r>
      <w:r w:rsidRPr="00A0120B">
        <w:rPr>
          <w:sz w:val="24"/>
          <w:lang w:val="sk-SK"/>
        </w:rPr>
        <w:t>Ú. v. EÚ L</w:t>
      </w:r>
      <w:r w:rsidR="004B2DB5">
        <w:rPr>
          <w:sz w:val="24"/>
          <w:lang w:val="sk-SK"/>
        </w:rPr>
        <w:t>,</w:t>
      </w:r>
      <w:r w:rsidRPr="00A0120B">
        <w:rPr>
          <w:sz w:val="24"/>
          <w:lang w:val="sk-SK"/>
        </w:rPr>
        <w:t xml:space="preserve"> </w:t>
      </w:r>
      <w:r w:rsidR="004B2DB5">
        <w:rPr>
          <w:sz w:val="24"/>
          <w:lang w:val="sk-SK"/>
        </w:rPr>
        <w:t>2024/</w:t>
      </w:r>
      <w:r w:rsidRPr="00A0120B">
        <w:rPr>
          <w:sz w:val="24"/>
          <w:lang w:val="sk-SK"/>
        </w:rPr>
        <w:t xml:space="preserve">207, 22.2.2024, ELI: </w:t>
      </w:r>
      <w:r>
        <w:fldChar w:fldCharType="begin"/>
      </w:r>
      <w:r w:rsidRPr="005E1B7A">
        <w:rPr>
          <w:lang w:val="fi-FI"/>
        </w:rPr>
        <w:instrText>HYPERLINK "http://data.europa.eu/eli/budget/2024/207/oj"</w:instrText>
      </w:r>
      <w:r>
        <w:fldChar w:fldCharType="separate"/>
      </w:r>
      <w:r w:rsidRPr="00A0120B">
        <w:rPr>
          <w:rStyle w:val="Hyperlink"/>
          <w:sz w:val="24"/>
          <w:lang w:val="sk-SK"/>
        </w:rPr>
        <w:t>http://data.europa.eu/eli/budget/2024/207/oj</w:t>
      </w:r>
      <w:r>
        <w:fldChar w:fldCharType="end"/>
      </w:r>
      <w:r w:rsidRPr="00A0120B">
        <w:rPr>
          <w:sz w:val="24"/>
          <w:lang w:val="sk-SK"/>
        </w:rPr>
        <w:t>.</w:t>
      </w:r>
    </w:p>
  </w:footnote>
  <w:footnote w:id="2">
    <w:p w14:paraId="68CCDCE7" w14:textId="736E5DFE" w:rsidR="00A52205" w:rsidRPr="00A0120B" w:rsidRDefault="00A52205" w:rsidP="00A0120B">
      <w:pPr>
        <w:pStyle w:val="FootnoteText"/>
        <w:ind w:left="567" w:hanging="567"/>
        <w:rPr>
          <w:sz w:val="24"/>
          <w:lang w:val="sk-SK"/>
        </w:rPr>
      </w:pPr>
      <w:r w:rsidRPr="00A0120B">
        <w:rPr>
          <w:rStyle w:val="FootnoteReference"/>
          <w:sz w:val="24"/>
          <w:lang w:val="sk-SK"/>
        </w:rPr>
        <w:footnoteRef/>
      </w:r>
      <w:r w:rsidR="00A0120B" w:rsidRPr="00A0120B">
        <w:rPr>
          <w:sz w:val="24"/>
          <w:lang w:val="sk-SK"/>
        </w:rPr>
        <w:t xml:space="preserve"> </w:t>
      </w:r>
      <w:r w:rsidR="00A0120B" w:rsidRPr="00A0120B">
        <w:rPr>
          <w:sz w:val="24"/>
          <w:lang w:val="sk-SK"/>
        </w:rPr>
        <w:tab/>
      </w:r>
      <w:r w:rsidRPr="00A0120B">
        <w:rPr>
          <w:sz w:val="24"/>
          <w:lang w:val="sk-SK"/>
        </w:rPr>
        <w:t>Ú. v. EÚ C, C/2025/4944, 13.10.2025, ELI: </w:t>
      </w:r>
      <w:r>
        <w:fldChar w:fldCharType="begin"/>
      </w:r>
      <w:r w:rsidRPr="005E1B7A">
        <w:rPr>
          <w:lang w:val="es-ES"/>
        </w:rPr>
        <w:instrText>HYPERLINK "http://data.europa.eu/eli/C/2025/4944/oj" \t "_blank" \o "Umožňuje prístup k tomuto dokumentu prostredníctvom identifikátora URI používaného v rámci ELI."</w:instrText>
      </w:r>
      <w:r>
        <w:fldChar w:fldCharType="separate"/>
      </w:r>
      <w:r w:rsidRPr="00A0120B">
        <w:rPr>
          <w:rStyle w:val="Hyperlink"/>
          <w:sz w:val="24"/>
          <w:lang w:val="sk-SK"/>
        </w:rPr>
        <w:t>http://data.europa.eu/eli/C/2025/4944/oj</w:t>
      </w:r>
      <w:r>
        <w:fldChar w:fldCharType="end"/>
      </w:r>
      <w:r w:rsidRPr="00A0120B">
        <w:rPr>
          <w:sz w:val="24"/>
          <w:lang w:val="sk-SK"/>
        </w:rPr>
        <w:t>.</w:t>
      </w:r>
    </w:p>
  </w:footnote>
  <w:footnote w:id="3">
    <w:p w14:paraId="16436ABA" w14:textId="0DC9ACC3" w:rsidR="00A52205" w:rsidRPr="00A0120B" w:rsidRDefault="00A52205" w:rsidP="00A0120B">
      <w:pPr>
        <w:pStyle w:val="FootnoteText"/>
        <w:ind w:left="567" w:hanging="567"/>
        <w:rPr>
          <w:sz w:val="24"/>
          <w:lang w:val="sk-SK"/>
        </w:rPr>
      </w:pPr>
      <w:r w:rsidRPr="00A0120B">
        <w:rPr>
          <w:rStyle w:val="FootnoteReference"/>
          <w:sz w:val="24"/>
          <w:lang w:val="sk-SK"/>
        </w:rPr>
        <w:footnoteRef/>
      </w:r>
      <w:r w:rsidR="00A0120B" w:rsidRPr="00A0120B">
        <w:rPr>
          <w:sz w:val="24"/>
          <w:lang w:val="sk-SK"/>
        </w:rPr>
        <w:t xml:space="preserve"> </w:t>
      </w:r>
      <w:r w:rsidR="00A0120B" w:rsidRPr="00A0120B">
        <w:rPr>
          <w:sz w:val="24"/>
          <w:lang w:val="sk-SK"/>
        </w:rPr>
        <w:tab/>
      </w:r>
      <w:r w:rsidRPr="00A0120B">
        <w:rPr>
          <w:sz w:val="24"/>
          <w:lang w:val="sk-SK"/>
        </w:rPr>
        <w:t xml:space="preserve">Ú. v. EÚ C, C/2025/5409, 8.10.2025, ELI: </w:t>
      </w:r>
      <w:r>
        <w:fldChar w:fldCharType="begin"/>
      </w:r>
      <w:r w:rsidRPr="005E1B7A">
        <w:rPr>
          <w:lang w:val="fi-FI"/>
        </w:rPr>
        <w:instrText>HYPERLINK "http://data.europa.eu/eli/C/2025/5409/oj"</w:instrText>
      </w:r>
      <w:r>
        <w:fldChar w:fldCharType="separate"/>
      </w:r>
      <w:r w:rsidRPr="00A0120B">
        <w:rPr>
          <w:rStyle w:val="Hyperlink"/>
          <w:sz w:val="24"/>
          <w:lang w:val="sk-SK"/>
        </w:rPr>
        <w:t>http://data.europa.eu/eli/C/2025/5409/oj</w:t>
      </w:r>
      <w:r>
        <w:fldChar w:fldCharType="end"/>
      </w:r>
      <w:r w:rsidRPr="00A0120B">
        <w:rPr>
          <w:sz w:val="24"/>
          <w:lang w:val="sk-SK"/>
        </w:rPr>
        <w:t>.</w:t>
      </w:r>
    </w:p>
  </w:footnote>
  <w:footnote w:id="4">
    <w:p w14:paraId="33622F1F" w14:textId="3D6AC034" w:rsidR="00A52205" w:rsidRPr="00A0120B" w:rsidRDefault="00A52205" w:rsidP="00A0120B">
      <w:pPr>
        <w:pStyle w:val="FootnoteText"/>
        <w:ind w:left="567" w:hanging="567"/>
        <w:rPr>
          <w:sz w:val="24"/>
          <w:lang w:val="sk-SK"/>
        </w:rPr>
      </w:pPr>
      <w:r w:rsidRPr="00A0120B">
        <w:rPr>
          <w:rStyle w:val="FootnoteReference"/>
          <w:sz w:val="24"/>
          <w:lang w:val="sk-SK"/>
        </w:rPr>
        <w:footnoteRef/>
      </w:r>
      <w:r w:rsidR="00A0120B" w:rsidRPr="00A0120B">
        <w:rPr>
          <w:sz w:val="24"/>
          <w:lang w:val="sk-SK"/>
        </w:rPr>
        <w:t xml:space="preserve"> </w:t>
      </w:r>
      <w:r w:rsidR="00A0120B" w:rsidRPr="00A0120B">
        <w:rPr>
          <w:sz w:val="24"/>
          <w:lang w:val="sk-SK"/>
        </w:rPr>
        <w:tab/>
      </w:r>
      <w:r w:rsidRPr="00A0120B">
        <w:rPr>
          <w:sz w:val="24"/>
          <w:lang w:val="sk-SK"/>
        </w:rPr>
        <w:t xml:space="preserve">Ú. v. EÚ C, C/2025/5407, 13.10.2025, ELI: </w:t>
      </w:r>
      <w:r>
        <w:fldChar w:fldCharType="begin"/>
      </w:r>
      <w:r w:rsidRPr="005E1B7A">
        <w:rPr>
          <w:lang w:val="fi-FI"/>
        </w:rPr>
        <w:instrText>HYPERLINK "http://data.europa.eu/eli/C/2025/5407/oj"</w:instrText>
      </w:r>
      <w:r>
        <w:fldChar w:fldCharType="separate"/>
      </w:r>
      <w:r w:rsidRPr="00A0120B">
        <w:rPr>
          <w:rStyle w:val="Hyperlink"/>
          <w:sz w:val="24"/>
          <w:lang w:val="sk-SK"/>
        </w:rPr>
        <w:t>http://data.europa.eu/eli/C/2025/5407/oj</w:t>
      </w:r>
      <w:r>
        <w:fldChar w:fldCharType="end"/>
      </w:r>
      <w:r w:rsidRPr="00A0120B">
        <w:rPr>
          <w:sz w:val="24"/>
          <w:lang w:val="sk-SK"/>
        </w:rPr>
        <w:t>.</w:t>
      </w:r>
    </w:p>
  </w:footnote>
  <w:footnote w:id="5">
    <w:p w14:paraId="58B69206" w14:textId="48130851" w:rsidR="00A52205" w:rsidRPr="00A0120B" w:rsidRDefault="00A52205" w:rsidP="00A0120B">
      <w:pPr>
        <w:pStyle w:val="FootnoteText"/>
        <w:ind w:left="567" w:hanging="567"/>
        <w:rPr>
          <w:sz w:val="24"/>
          <w:lang w:val="sk-SK"/>
        </w:rPr>
      </w:pPr>
      <w:r w:rsidRPr="00A0120B">
        <w:rPr>
          <w:rStyle w:val="FootnoteReference"/>
          <w:sz w:val="24"/>
          <w:lang w:val="sk-SK"/>
        </w:rPr>
        <w:footnoteRef/>
      </w:r>
      <w:r w:rsidR="00A0120B" w:rsidRPr="00A0120B">
        <w:rPr>
          <w:sz w:val="24"/>
          <w:lang w:val="sk-SK"/>
        </w:rPr>
        <w:t xml:space="preserve"> </w:t>
      </w:r>
      <w:r w:rsidR="00A0120B" w:rsidRPr="00A0120B">
        <w:rPr>
          <w:sz w:val="24"/>
          <w:lang w:val="sk-SK"/>
        </w:rPr>
        <w:tab/>
      </w:r>
      <w:r w:rsidRPr="00A0120B">
        <w:rPr>
          <w:sz w:val="24"/>
          <w:lang w:val="sk-SK"/>
        </w:rPr>
        <w:t xml:space="preserve">Ú. v. EÚ L 193, 30.7.2018, s. 1, ELI: </w:t>
      </w:r>
      <w:r>
        <w:fldChar w:fldCharType="begin"/>
      </w:r>
      <w:r w:rsidRPr="005E1B7A">
        <w:rPr>
          <w:lang w:val="fi-FI"/>
        </w:rPr>
        <w:instrText>HYPERLINK "http://data.europa.eu/eli/reg/2018/1046/oj"</w:instrText>
      </w:r>
      <w:r>
        <w:fldChar w:fldCharType="separate"/>
      </w:r>
      <w:r w:rsidRPr="00A0120B">
        <w:rPr>
          <w:rStyle w:val="Hyperlink"/>
          <w:sz w:val="24"/>
          <w:lang w:val="sk-SK"/>
        </w:rPr>
        <w:t>http://data.europa.eu/eli/reg/2018/1046/oj</w:t>
      </w:r>
      <w:r>
        <w:fldChar w:fldCharType="end"/>
      </w:r>
      <w:r w:rsidRPr="00A0120B">
        <w:rPr>
          <w:sz w:val="24"/>
          <w:lang w:val="sk-SK"/>
        </w:rPr>
        <w:t>.</w:t>
      </w:r>
    </w:p>
  </w:footnote>
  <w:footnote w:id="6">
    <w:p w14:paraId="6F0CE13E" w14:textId="43A0BE3D" w:rsidR="00A52205" w:rsidRPr="00A0120B" w:rsidRDefault="00A52205" w:rsidP="00A0120B">
      <w:pPr>
        <w:pStyle w:val="FootnoteText"/>
        <w:ind w:left="567" w:hanging="567"/>
        <w:rPr>
          <w:sz w:val="24"/>
          <w:lang w:val="sk-SK"/>
        </w:rPr>
      </w:pPr>
      <w:r w:rsidRPr="00A0120B">
        <w:rPr>
          <w:rStyle w:val="FootnoteReference"/>
          <w:sz w:val="24"/>
          <w:lang w:val="sk-SK"/>
        </w:rPr>
        <w:footnoteRef/>
      </w:r>
      <w:r w:rsidR="00A0120B" w:rsidRPr="00A0120B">
        <w:rPr>
          <w:sz w:val="24"/>
          <w:lang w:val="sk-SK"/>
        </w:rPr>
        <w:t xml:space="preserve"> </w:t>
      </w:r>
      <w:r w:rsidR="00A0120B" w:rsidRPr="00A0120B">
        <w:rPr>
          <w:sz w:val="24"/>
          <w:lang w:val="sk-SK"/>
        </w:rPr>
        <w:tab/>
      </w:r>
      <w:r w:rsidRPr="00A0120B">
        <w:rPr>
          <w:sz w:val="24"/>
          <w:lang w:val="sk-SK"/>
        </w:rPr>
        <w:t xml:space="preserve">Ú. v. EÚ L, 2024/2509, 26.9.2024, ELI: </w:t>
      </w:r>
      <w:r>
        <w:fldChar w:fldCharType="begin"/>
      </w:r>
      <w:r w:rsidRPr="005E1B7A">
        <w:rPr>
          <w:lang w:val="fi-FI"/>
        </w:rPr>
        <w:instrText>HYPERLINK "http://data.europa.eu/eli/reg/2024/2509/oj"</w:instrText>
      </w:r>
      <w:r>
        <w:fldChar w:fldCharType="separate"/>
      </w:r>
      <w:r w:rsidRPr="00A0120B">
        <w:rPr>
          <w:rStyle w:val="Hyperlink"/>
          <w:sz w:val="24"/>
          <w:lang w:val="sk-SK"/>
        </w:rPr>
        <w:t>http://data.europa.eu/eli/reg/2024/2509/oj</w:t>
      </w:r>
      <w:r>
        <w:fldChar w:fldCharType="end"/>
      </w:r>
      <w:r w:rsidRPr="00A0120B">
        <w:rPr>
          <w:sz w:val="24"/>
          <w:lang w:val="sk-SK"/>
        </w:rPr>
        <w:t>.</w:t>
      </w:r>
    </w:p>
  </w:footnote>
  <w:footnote w:id="7">
    <w:p w14:paraId="5C2A0B65" w14:textId="3D4A84E5" w:rsidR="00A52205" w:rsidRPr="00A0120B" w:rsidRDefault="00A52205" w:rsidP="00A0120B">
      <w:pPr>
        <w:pStyle w:val="FootnoteText"/>
        <w:ind w:left="567" w:hanging="567"/>
        <w:rPr>
          <w:sz w:val="24"/>
          <w:lang w:val="sk-SK"/>
        </w:rPr>
      </w:pPr>
      <w:r w:rsidRPr="00A0120B">
        <w:rPr>
          <w:rStyle w:val="FootnoteReference"/>
          <w:sz w:val="24"/>
          <w:lang w:val="sk-SK"/>
        </w:rPr>
        <w:footnoteRef/>
      </w:r>
      <w:r w:rsidR="00A0120B" w:rsidRPr="00A0120B">
        <w:rPr>
          <w:sz w:val="24"/>
          <w:lang w:val="sk-SK"/>
        </w:rPr>
        <w:t xml:space="preserve"> </w:t>
      </w:r>
      <w:r w:rsidR="00A0120B" w:rsidRPr="00A0120B">
        <w:rPr>
          <w:sz w:val="24"/>
          <w:lang w:val="sk-SK"/>
        </w:rPr>
        <w:tab/>
      </w:r>
      <w:r w:rsidRPr="00A0120B">
        <w:rPr>
          <w:sz w:val="24"/>
          <w:lang w:val="sk-SK"/>
        </w:rPr>
        <w:t xml:space="preserve">Ú. v. EÚ L 295, 21.11.2018, s. 39, ELI: </w:t>
      </w:r>
      <w:r>
        <w:fldChar w:fldCharType="begin"/>
      </w:r>
      <w:r w:rsidRPr="005E1B7A">
        <w:rPr>
          <w:lang w:val="fi-FI"/>
        </w:rPr>
        <w:instrText>HYPERLINK "http://data.europa.eu/eli/reg/2018/1725/oj"</w:instrText>
      </w:r>
      <w:r>
        <w:fldChar w:fldCharType="separate"/>
      </w:r>
      <w:r w:rsidRPr="00A0120B">
        <w:rPr>
          <w:rStyle w:val="Hyperlink"/>
          <w:sz w:val="24"/>
          <w:lang w:val="sk-SK"/>
        </w:rPr>
        <w:t>http://data.europa.eu/eli/reg/2018/1725/oj</w:t>
      </w:r>
      <w:r>
        <w:fldChar w:fldCharType="end"/>
      </w:r>
      <w:r w:rsidRPr="00A0120B">
        <w:rPr>
          <w:sz w:val="24"/>
          <w:lang w:val="sk-SK"/>
        </w:rPr>
        <w:t>.</w:t>
      </w:r>
    </w:p>
  </w:footnote>
  <w:footnote w:id="8">
    <w:p w14:paraId="540415E7" w14:textId="1C8230D2" w:rsidR="00A52205" w:rsidRPr="00A0120B" w:rsidRDefault="00A52205" w:rsidP="00A0120B">
      <w:pPr>
        <w:pStyle w:val="FootnoteText"/>
        <w:ind w:left="567" w:hanging="567"/>
        <w:rPr>
          <w:sz w:val="24"/>
          <w:lang w:val="sk-SK"/>
        </w:rPr>
      </w:pPr>
      <w:r w:rsidRPr="00A0120B">
        <w:rPr>
          <w:rStyle w:val="FootnoteReference"/>
          <w:sz w:val="24"/>
          <w:lang w:val="sk-SK"/>
        </w:rPr>
        <w:footnoteRef/>
      </w:r>
      <w:r w:rsidR="00A0120B" w:rsidRPr="00A0120B">
        <w:rPr>
          <w:sz w:val="24"/>
          <w:lang w:val="sk-SK"/>
        </w:rPr>
        <w:t xml:space="preserve"> </w:t>
      </w:r>
      <w:r w:rsidR="00A0120B" w:rsidRPr="00A0120B">
        <w:rPr>
          <w:sz w:val="24"/>
          <w:lang w:val="sk-SK"/>
        </w:rPr>
        <w:tab/>
      </w:r>
      <w:r w:rsidRPr="00A0120B">
        <w:rPr>
          <w:sz w:val="24"/>
          <w:lang w:val="sk-SK"/>
        </w:rPr>
        <w:t xml:space="preserve">Nariadenie Európskeho parlamentu a Rady (EÚ) 2024/1689 z 13. júna 2024, ktorým sa stanovujú harmonizované pravidlá v oblasti umelej inteligencie a ktorým sa menia nariadenia (ES) č. 300/2008, (EÚ) č. 167/2013, (EÚ) č. 168/2013, (EÚ) 2018/858, (EÚ) 2018/1139 a (EÚ) 2019/2144 a smernice 2014/90/EÚ, (EÚ) 2016/797 a (EÚ) 2020/1828 (akt o umelej inteligencii) (Ú. v. EÚ L, 2024/1689, 12.7.2024, ELI: </w:t>
      </w:r>
      <w:r>
        <w:fldChar w:fldCharType="begin"/>
      </w:r>
      <w:r w:rsidRPr="005E1B7A">
        <w:rPr>
          <w:lang w:val="sk-SK"/>
        </w:rPr>
        <w:instrText>HYPERLINK "http://data.europa.eu/eli/reg/2024/1689/oj"</w:instrText>
      </w:r>
      <w:r>
        <w:fldChar w:fldCharType="separate"/>
      </w:r>
      <w:r w:rsidRPr="00A0120B">
        <w:rPr>
          <w:rStyle w:val="Hyperlink"/>
          <w:sz w:val="24"/>
          <w:lang w:val="sk-SK"/>
        </w:rPr>
        <w:t>http://data.europa.eu/eli/reg/2024/1689/oj</w:t>
      </w:r>
      <w:r>
        <w:fldChar w:fldCharType="end"/>
      </w:r>
      <w:r w:rsidRPr="00A0120B">
        <w:rPr>
          <w:sz w:val="24"/>
          <w:lang w:val="sk-SK"/>
        </w:rPr>
        <w:t>).</w:t>
      </w:r>
    </w:p>
  </w:footnote>
  <w:footnote w:id="9">
    <w:p w14:paraId="3BC9348E" w14:textId="58BDFA2F" w:rsidR="00A52205" w:rsidRPr="00A0120B" w:rsidRDefault="00A52205" w:rsidP="00A0120B">
      <w:pPr>
        <w:pStyle w:val="FootnoteText"/>
        <w:ind w:left="567" w:hanging="567"/>
        <w:rPr>
          <w:sz w:val="24"/>
          <w:lang w:val="sk-SK"/>
        </w:rPr>
      </w:pPr>
      <w:r w:rsidRPr="00A0120B">
        <w:rPr>
          <w:rStyle w:val="FootnoteReference"/>
          <w:sz w:val="24"/>
          <w:lang w:val="sk-SK"/>
        </w:rPr>
        <w:footnoteRef/>
      </w:r>
      <w:r w:rsidR="00A0120B" w:rsidRPr="00A0120B">
        <w:rPr>
          <w:sz w:val="24"/>
          <w:lang w:val="sk-SK"/>
        </w:rPr>
        <w:t xml:space="preserve"> </w:t>
      </w:r>
      <w:r w:rsidR="00A0120B" w:rsidRPr="00A0120B">
        <w:rPr>
          <w:sz w:val="24"/>
          <w:lang w:val="sk-SK"/>
        </w:rPr>
        <w:tab/>
      </w:r>
      <w:r w:rsidRPr="00A0120B">
        <w:rPr>
          <w:sz w:val="24"/>
          <w:lang w:val="sk-SK"/>
        </w:rPr>
        <w:t>Nariadenie Európskeho parlamentu a Rady (EÚ) 2016/794 z 11. mája 2016 o Agentúre Európskej únie pre spoluprácu v oblasti presadzovania práva (</w:t>
      </w:r>
      <w:proofErr w:type="spellStart"/>
      <w:r w:rsidRPr="00A0120B">
        <w:rPr>
          <w:sz w:val="24"/>
          <w:lang w:val="sk-SK"/>
        </w:rPr>
        <w:t>Europol</w:t>
      </w:r>
      <w:proofErr w:type="spellEnd"/>
      <w:r w:rsidRPr="00A0120B">
        <w:rPr>
          <w:sz w:val="24"/>
          <w:lang w:val="sk-SK"/>
        </w:rPr>
        <w:t xml:space="preserve">), ktorým sa nahrádzajú a zrušujú rozhodnutia Rady 2009/371/SVV, 2009/934/SVV, 2009/935/SVV, 2009/936/SVV a 2009/968/SVV (Ú. v. EÚ L 135, 24.5.2016, s. 53, ELI: </w:t>
      </w:r>
      <w:r>
        <w:fldChar w:fldCharType="begin"/>
      </w:r>
      <w:r w:rsidRPr="005E1B7A">
        <w:rPr>
          <w:lang w:val="sk-SK"/>
        </w:rPr>
        <w:instrText>HYPERLINK "http://data.europa.eu/eli/reg/2016/794/oj"</w:instrText>
      </w:r>
      <w:r>
        <w:fldChar w:fldCharType="separate"/>
      </w:r>
      <w:r w:rsidRPr="00A0120B">
        <w:rPr>
          <w:rStyle w:val="Hyperlink"/>
          <w:sz w:val="24"/>
          <w:lang w:val="sk-SK"/>
        </w:rPr>
        <w:t>http://data.europa.eu/eli/reg/2016/794/oj</w:t>
      </w:r>
      <w:r>
        <w:fldChar w:fldCharType="end"/>
      </w:r>
      <w:r w:rsidRPr="00A0120B">
        <w:rPr>
          <w:sz w:val="24"/>
          <w:lang w:val="sk-SK"/>
        </w:rPr>
        <w:t>).</w:t>
      </w:r>
    </w:p>
  </w:footnote>
  <w:footnote w:id="10">
    <w:p w14:paraId="30F20C2B" w14:textId="5B7E2F59" w:rsidR="00A52205" w:rsidRPr="00A0120B" w:rsidRDefault="00A52205" w:rsidP="00A0120B">
      <w:pPr>
        <w:pStyle w:val="FootnoteText"/>
        <w:ind w:left="567" w:hanging="567"/>
        <w:rPr>
          <w:sz w:val="24"/>
          <w:lang w:val="sk-SK"/>
        </w:rPr>
      </w:pPr>
      <w:r w:rsidRPr="00A0120B">
        <w:rPr>
          <w:rStyle w:val="FootnoteReference"/>
          <w:sz w:val="24"/>
          <w:lang w:val="sk-SK"/>
        </w:rPr>
        <w:footnoteRef/>
      </w:r>
      <w:r w:rsidR="00A0120B" w:rsidRPr="00A0120B">
        <w:rPr>
          <w:sz w:val="24"/>
          <w:lang w:val="sk-SK"/>
        </w:rPr>
        <w:t xml:space="preserve"> </w:t>
      </w:r>
      <w:r w:rsidR="00A0120B" w:rsidRPr="00A0120B">
        <w:rPr>
          <w:sz w:val="24"/>
          <w:lang w:val="sk-SK"/>
        </w:rPr>
        <w:tab/>
      </w:r>
      <w:r w:rsidRPr="00A0120B">
        <w:rPr>
          <w:sz w:val="24"/>
          <w:lang w:val="sk-SK"/>
        </w:rPr>
        <w:t>Uznesenie Všeobecného súdu zo 6. septembra 2023, EDPS/Parlament a Rada, T-578/22, ECLI:EU:T:2023:522.</w:t>
      </w:r>
    </w:p>
  </w:footnote>
  <w:footnote w:id="11">
    <w:p w14:paraId="50C9ACA1" w14:textId="69E69957" w:rsidR="00A52205" w:rsidRPr="00A0120B" w:rsidRDefault="00A52205" w:rsidP="00A0120B">
      <w:pPr>
        <w:pStyle w:val="FootnoteText"/>
        <w:ind w:left="567" w:hanging="567"/>
        <w:rPr>
          <w:sz w:val="24"/>
          <w:lang w:val="sk-SK"/>
        </w:rPr>
      </w:pPr>
      <w:r w:rsidRPr="00A0120B">
        <w:rPr>
          <w:rStyle w:val="FootnoteReference"/>
          <w:sz w:val="24"/>
          <w:lang w:val="sk-SK"/>
        </w:rPr>
        <w:footnoteRef/>
      </w:r>
      <w:r w:rsidR="00A0120B" w:rsidRPr="00A0120B">
        <w:rPr>
          <w:sz w:val="24"/>
          <w:lang w:val="sk-SK"/>
        </w:rPr>
        <w:t xml:space="preserve"> </w:t>
      </w:r>
      <w:r w:rsidR="00A0120B" w:rsidRPr="00A0120B">
        <w:rPr>
          <w:sz w:val="24"/>
          <w:lang w:val="sk-SK"/>
        </w:rPr>
        <w:tab/>
      </w:r>
      <w:r w:rsidRPr="00A0120B">
        <w:rPr>
          <w:sz w:val="24"/>
          <w:lang w:val="sk-SK"/>
        </w:rPr>
        <w:t xml:space="preserve">Nariadenie Európskeho parlamentu a Rady (EÚ) 2022/1925 zo 14. septembra 2022 o </w:t>
      </w:r>
      <w:proofErr w:type="spellStart"/>
      <w:r w:rsidRPr="00A0120B">
        <w:rPr>
          <w:sz w:val="24"/>
          <w:lang w:val="sk-SK"/>
        </w:rPr>
        <w:t>súťažeschopných</w:t>
      </w:r>
      <w:proofErr w:type="spellEnd"/>
      <w:r w:rsidRPr="00A0120B">
        <w:rPr>
          <w:sz w:val="24"/>
          <w:lang w:val="sk-SK"/>
        </w:rPr>
        <w:t xml:space="preserve"> a spravodlivých trhoch digitálneho sektora a o zmene smerníc (EÚ) 2019/1937 a (EÚ) 2020/1828 (akt o digitálnych trhoch) (Ú. v. EÚ L 265, 12.10.2022, s. 1, ELI: </w:t>
      </w:r>
      <w:r>
        <w:fldChar w:fldCharType="begin"/>
      </w:r>
      <w:r w:rsidRPr="005E1B7A">
        <w:rPr>
          <w:lang w:val="sk-SK"/>
        </w:rPr>
        <w:instrText>HYPERLINK "http://data.europa.eu/eli/reg/2022/1925/oj"</w:instrText>
      </w:r>
      <w:r>
        <w:fldChar w:fldCharType="separate"/>
      </w:r>
      <w:r w:rsidRPr="00A0120B">
        <w:rPr>
          <w:rStyle w:val="Hyperlink"/>
          <w:sz w:val="24"/>
          <w:lang w:val="sk-SK"/>
        </w:rPr>
        <w:t>http://data.europa.eu/eli/reg/2022/1925/oj</w:t>
      </w:r>
      <w:r>
        <w:fldChar w:fldCharType="end"/>
      </w:r>
      <w:r w:rsidRPr="00A0120B">
        <w:rPr>
          <w:sz w:val="24"/>
          <w:lang w:val="sk-SK"/>
        </w:rPr>
        <w:t>).</w:t>
      </w:r>
    </w:p>
  </w:footnote>
  <w:footnote w:id="12">
    <w:p w14:paraId="63F0829D" w14:textId="59232919" w:rsidR="00A52205" w:rsidRPr="00A0120B" w:rsidRDefault="00A52205" w:rsidP="00A0120B">
      <w:pPr>
        <w:pStyle w:val="FootnoteText"/>
        <w:ind w:left="567" w:hanging="567"/>
        <w:rPr>
          <w:sz w:val="24"/>
          <w:lang w:val="sk-SK"/>
        </w:rPr>
      </w:pPr>
      <w:r w:rsidRPr="00A0120B">
        <w:rPr>
          <w:rStyle w:val="FootnoteReference"/>
          <w:sz w:val="24"/>
          <w:lang w:val="sk-SK"/>
        </w:rPr>
        <w:footnoteRef/>
      </w:r>
      <w:r w:rsidR="00A0120B" w:rsidRPr="00A0120B">
        <w:rPr>
          <w:sz w:val="24"/>
          <w:lang w:val="sk-SK"/>
        </w:rPr>
        <w:t xml:space="preserve"> </w:t>
      </w:r>
      <w:r w:rsidR="00A0120B" w:rsidRPr="00A0120B">
        <w:rPr>
          <w:sz w:val="24"/>
          <w:lang w:val="sk-SK"/>
        </w:rPr>
        <w:tab/>
      </w:r>
      <w:r w:rsidRPr="00A0120B">
        <w:rPr>
          <w:sz w:val="24"/>
          <w:lang w:val="sk-SK"/>
        </w:rPr>
        <w:t xml:space="preserve">Nariadenie Európskeho parlamentu a Rady (EÚ) 2016/679 z 27. apríla 2016 o ochrane fyzických osôb pri spracúvaní osobných údajov a o voľnom pohybe takýchto údajov, ktorým sa zrušuje smernica 95/46/ES (všeobecné nariadenie o ochrane údajov) (Ú. v. EÚ L 119, 4.5.2016, s. 1, ELI: </w:t>
      </w:r>
      <w:r>
        <w:fldChar w:fldCharType="begin"/>
      </w:r>
      <w:r w:rsidRPr="005E1B7A">
        <w:rPr>
          <w:lang w:val="sk-SK"/>
        </w:rPr>
        <w:instrText>HYPERLINK "http://data.europa.eu/eli/reg/2016/679/oj"</w:instrText>
      </w:r>
      <w:r>
        <w:fldChar w:fldCharType="separate"/>
      </w:r>
      <w:r w:rsidRPr="00A0120B">
        <w:rPr>
          <w:rStyle w:val="Hyperlink"/>
          <w:sz w:val="24"/>
          <w:lang w:val="sk-SK"/>
        </w:rPr>
        <w:t>http://data.europa.eu/eli/reg/2016/679/oj</w:t>
      </w:r>
      <w:r>
        <w:fldChar w:fldCharType="end"/>
      </w:r>
      <w:r w:rsidRPr="00A0120B">
        <w:rPr>
          <w:sz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E78C4" w14:textId="77777777" w:rsidR="00064002" w:rsidRPr="00A0120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63821" w14:textId="77777777" w:rsidR="00064002" w:rsidRPr="00A0120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72CE0" w14:textId="77777777" w:rsidR="00064002" w:rsidRPr="00A0120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98404910">
    <w:abstractNumId w:val="9"/>
  </w:num>
  <w:num w:numId="2" w16cid:durableId="1933972179">
    <w:abstractNumId w:val="9"/>
  </w:num>
  <w:num w:numId="3" w16cid:durableId="1579051270">
    <w:abstractNumId w:val="7"/>
  </w:num>
  <w:num w:numId="4" w16cid:durableId="668143216">
    <w:abstractNumId w:val="7"/>
  </w:num>
  <w:num w:numId="5" w16cid:durableId="1599677128">
    <w:abstractNumId w:val="6"/>
  </w:num>
  <w:num w:numId="6" w16cid:durableId="1802307601">
    <w:abstractNumId w:val="6"/>
  </w:num>
  <w:num w:numId="7" w16cid:durableId="1195459023">
    <w:abstractNumId w:val="5"/>
  </w:num>
  <w:num w:numId="8" w16cid:durableId="1949466594">
    <w:abstractNumId w:val="5"/>
  </w:num>
  <w:num w:numId="9" w16cid:durableId="1733314275">
    <w:abstractNumId w:val="4"/>
  </w:num>
  <w:num w:numId="10" w16cid:durableId="1643731391">
    <w:abstractNumId w:val="4"/>
  </w:num>
  <w:num w:numId="11" w16cid:durableId="1731805135">
    <w:abstractNumId w:val="8"/>
  </w:num>
  <w:num w:numId="12" w16cid:durableId="1545677869">
    <w:abstractNumId w:val="8"/>
  </w:num>
  <w:num w:numId="13" w16cid:durableId="680396753">
    <w:abstractNumId w:val="3"/>
  </w:num>
  <w:num w:numId="14" w16cid:durableId="414940112">
    <w:abstractNumId w:val="3"/>
  </w:num>
  <w:num w:numId="15" w16cid:durableId="675499612">
    <w:abstractNumId w:val="2"/>
  </w:num>
  <w:num w:numId="16" w16cid:durableId="1944415000">
    <w:abstractNumId w:val="2"/>
  </w:num>
  <w:num w:numId="17" w16cid:durableId="1264997412">
    <w:abstractNumId w:val="1"/>
  </w:num>
  <w:num w:numId="18" w16cid:durableId="1838960570">
    <w:abstractNumId w:val="1"/>
  </w:num>
  <w:num w:numId="19" w16cid:durableId="2012368872">
    <w:abstractNumId w:val="0"/>
  </w:num>
  <w:num w:numId="20" w16cid:durableId="816579872">
    <w:abstractNumId w:val="0"/>
  </w:num>
  <w:num w:numId="21" w16cid:durableId="1751269714">
    <w:abstractNumId w:val="9"/>
  </w:num>
  <w:num w:numId="22" w16cid:durableId="1207334051">
    <w:abstractNumId w:val="7"/>
  </w:num>
  <w:num w:numId="23" w16cid:durableId="89591789">
    <w:abstractNumId w:val="6"/>
  </w:num>
  <w:num w:numId="24" w16cid:durableId="379213805">
    <w:abstractNumId w:val="5"/>
  </w:num>
  <w:num w:numId="25" w16cid:durableId="176236960">
    <w:abstractNumId w:val="4"/>
  </w:num>
  <w:num w:numId="26" w16cid:durableId="306398317">
    <w:abstractNumId w:val="8"/>
  </w:num>
  <w:num w:numId="27" w16cid:durableId="644047434">
    <w:abstractNumId w:val="3"/>
  </w:num>
  <w:num w:numId="28" w16cid:durableId="1265306573">
    <w:abstractNumId w:val="2"/>
  </w:num>
  <w:num w:numId="29" w16cid:durableId="2058237244">
    <w:abstractNumId w:val="1"/>
  </w:num>
  <w:num w:numId="30" w16cid:durableId="928736625">
    <w:abstractNumId w:val="0"/>
  </w:num>
  <w:num w:numId="31" w16cid:durableId="2072536484">
    <w:abstractNumId w:val="9"/>
  </w:num>
  <w:num w:numId="32" w16cid:durableId="1338270764">
    <w:abstractNumId w:val="7"/>
  </w:num>
  <w:num w:numId="33" w16cid:durableId="603922695">
    <w:abstractNumId w:val="6"/>
  </w:num>
  <w:num w:numId="34" w16cid:durableId="627980343">
    <w:abstractNumId w:val="5"/>
  </w:num>
  <w:num w:numId="35" w16cid:durableId="109008730">
    <w:abstractNumId w:val="4"/>
  </w:num>
  <w:num w:numId="36" w16cid:durableId="1792287321">
    <w:abstractNumId w:val="8"/>
  </w:num>
  <w:num w:numId="37" w16cid:durableId="255483177">
    <w:abstractNumId w:val="3"/>
  </w:num>
  <w:num w:numId="38" w16cid:durableId="493110110">
    <w:abstractNumId w:val="2"/>
  </w:num>
  <w:num w:numId="39" w16cid:durableId="377751363">
    <w:abstractNumId w:val="1"/>
  </w:num>
  <w:num w:numId="40" w16cid:durableId="1826584665">
    <w:abstractNumId w:val="0"/>
  </w:num>
  <w:num w:numId="41" w16cid:durableId="1672755862">
    <w:abstractNumId w:val="10"/>
  </w:num>
  <w:num w:numId="42" w16cid:durableId="1706560445">
    <w:abstractNumId w:val="10"/>
  </w:num>
  <w:num w:numId="43" w16cid:durableId="1390689600">
    <w:abstractNumId w:val="10"/>
  </w:num>
  <w:num w:numId="44" w16cid:durableId="11872537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57/2026"/>
    <w:docVar w:name="dvlangue" w:val="SK"/>
    <w:docVar w:name="dvnumam" w:val="0"/>
    <w:docVar w:name="dvpe" w:val="778.066"/>
    <w:docVar w:name="dvrapporteur" w:val="Spravodajca: "/>
    <w:docVar w:name="dvtitre" w:val="Rozhodnutie Európskeho parlamentu z/zo xx. xxx 2026 o absolutóriu za plnenie všeobecného rozpočtu Európskej únie za rozpočtový rok 2024, oddiel IX – Európsky dozorný úradník pre ochranu údajov(2025/2154(DEC))"/>
  </w:docVars>
  <w:rsids>
    <w:rsidRoot w:val="00C26D39"/>
    <w:rsid w:val="00002272"/>
    <w:rsid w:val="00045896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6D6F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2DB5"/>
    <w:rsid w:val="004C0004"/>
    <w:rsid w:val="004C5D52"/>
    <w:rsid w:val="0050519A"/>
    <w:rsid w:val="005072A1"/>
    <w:rsid w:val="00514517"/>
    <w:rsid w:val="00533A97"/>
    <w:rsid w:val="00545827"/>
    <w:rsid w:val="00560270"/>
    <w:rsid w:val="005978B5"/>
    <w:rsid w:val="005C2568"/>
    <w:rsid w:val="005E1B7A"/>
    <w:rsid w:val="005F1B17"/>
    <w:rsid w:val="006037C0"/>
    <w:rsid w:val="006631B6"/>
    <w:rsid w:val="00680577"/>
    <w:rsid w:val="006F5F1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7ABA"/>
    <w:rsid w:val="00881A7B"/>
    <w:rsid w:val="008840E5"/>
    <w:rsid w:val="00887B3E"/>
    <w:rsid w:val="008C2AC6"/>
    <w:rsid w:val="008E7793"/>
    <w:rsid w:val="008F3F02"/>
    <w:rsid w:val="00930C23"/>
    <w:rsid w:val="0093193B"/>
    <w:rsid w:val="009509D8"/>
    <w:rsid w:val="00950B64"/>
    <w:rsid w:val="00981893"/>
    <w:rsid w:val="00A0120B"/>
    <w:rsid w:val="00A1687D"/>
    <w:rsid w:val="00A43E52"/>
    <w:rsid w:val="00A4678D"/>
    <w:rsid w:val="00A47F5D"/>
    <w:rsid w:val="00A52205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6D39"/>
    <w:rsid w:val="00C61C0C"/>
    <w:rsid w:val="00C941CB"/>
    <w:rsid w:val="00CC2357"/>
    <w:rsid w:val="00CF071A"/>
    <w:rsid w:val="00D058B8"/>
    <w:rsid w:val="00D56C11"/>
    <w:rsid w:val="00D606C2"/>
    <w:rsid w:val="00D745AB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7A17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231908"/>
  <w15:chartTrackingRefBased/>
  <w15:docId w15:val="{AC3B2A0D-7771-4512-8370-B80F3D149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5220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52205"/>
    <w:pPr>
      <w:spacing w:before="480" w:after="240"/>
    </w:pPr>
  </w:style>
  <w:style w:type="paragraph" w:customStyle="1" w:styleId="PageHeading">
    <w:name w:val="PageHeading"/>
    <w:basedOn w:val="Normal"/>
    <w:rsid w:val="00A5220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A52205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A52205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A5220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52205"/>
    <w:rPr>
      <w:sz w:val="24"/>
      <w:lang w:val="sk-SK"/>
    </w:rPr>
  </w:style>
  <w:style w:type="paragraph" w:customStyle="1" w:styleId="EPFooter">
    <w:name w:val="EPFooter"/>
    <w:basedOn w:val="Normal"/>
    <w:rsid w:val="00A5220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sid w:val="00A52205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A52205"/>
    <w:rPr>
      <w:sz w:val="24"/>
      <w:lang w:val="sk-SK"/>
    </w:rPr>
  </w:style>
  <w:style w:type="paragraph" w:styleId="Footer">
    <w:name w:val="footer"/>
    <w:basedOn w:val="Normal"/>
    <w:link w:val="FooterChar"/>
    <w:rsid w:val="006F5F1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F5F1B"/>
    <w:rPr>
      <w:sz w:val="24"/>
      <w:lang w:val="sk-SK"/>
    </w:rPr>
  </w:style>
  <w:style w:type="paragraph" w:styleId="Revision">
    <w:name w:val="Revision"/>
    <w:hidden/>
    <w:uiPriority w:val="99"/>
    <w:semiHidden/>
    <w:rsid w:val="00EE7A17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7184</Words>
  <Characters>43387</Characters>
  <Application>Microsoft Office Word</Application>
  <DocSecurity>0</DocSecurity>
  <Lines>361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50471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2026-05-06T09:39:00Z</dcterms:created>
  <dcterms:modified xsi:type="dcterms:W3CDTF">2026-05-06T09:39:00Z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P10_TA(2026)0134_</vt:lpwstr>
  </property>
  <property fmtid="{D5CDD505-2E9C-101B-9397-08002B2CF9AE}" pid="4" name="&lt;Type&gt;">
    <vt:lpwstr>RR</vt:lpwstr>
  </property>
</Properties>
</file>