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A3B9E" w14:paraId="5C0AE1CE" w14:textId="77777777" w:rsidTr="0010095E">
        <w:trPr>
          <w:trHeight w:hRule="exact" w:val="1418"/>
        </w:trPr>
        <w:tc>
          <w:tcPr>
            <w:tcW w:w="6804" w:type="dxa"/>
            <w:shd w:val="clear" w:color="auto" w:fill="auto"/>
            <w:vAlign w:val="center"/>
          </w:tcPr>
          <w:p w14:paraId="6913BDFB" w14:textId="77777777" w:rsidR="00751A4A" w:rsidRPr="004A3B9E" w:rsidRDefault="0071350A" w:rsidP="0010095E">
            <w:pPr>
              <w:pStyle w:val="EPName"/>
            </w:pPr>
            <w:r w:rsidRPr="004A3B9E">
              <w:t>Evropski parlament</w:t>
            </w:r>
          </w:p>
          <w:p w14:paraId="356C40C4" w14:textId="77777777" w:rsidR="00751A4A" w:rsidRPr="004A3B9E" w:rsidRDefault="005F1B17" w:rsidP="005F1B17">
            <w:pPr>
              <w:pStyle w:val="EPTerm"/>
              <w:rPr>
                <w:rStyle w:val="HideTWBExt"/>
                <w:noProof w:val="0"/>
                <w:vanish w:val="0"/>
                <w:color w:val="auto"/>
              </w:rPr>
            </w:pPr>
            <w:r w:rsidRPr="004A3B9E">
              <w:t>2024</w:t>
            </w:r>
            <w:r w:rsidR="00817416" w:rsidRPr="004A3B9E">
              <w:t>-202</w:t>
            </w:r>
            <w:r w:rsidRPr="004A3B9E">
              <w:t>9</w:t>
            </w:r>
          </w:p>
        </w:tc>
        <w:tc>
          <w:tcPr>
            <w:tcW w:w="2268" w:type="dxa"/>
            <w:shd w:val="clear" w:color="auto" w:fill="auto"/>
          </w:tcPr>
          <w:p w14:paraId="14FD7F57" w14:textId="77777777" w:rsidR="00751A4A" w:rsidRPr="004A3B9E" w:rsidRDefault="00187494" w:rsidP="0010095E">
            <w:pPr>
              <w:pStyle w:val="EPLogo"/>
            </w:pPr>
            <w:r w:rsidRPr="004A3B9E">
              <w:rPr>
                <w:noProof/>
                <w:lang w:eastAsia="ja-JP"/>
              </w:rPr>
              <w:drawing>
                <wp:inline distT="0" distB="0" distL="0" distR="0" wp14:anchorId="32BFED13" wp14:editId="07F6C05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857454" w14:textId="77777777" w:rsidR="00D058B8" w:rsidRPr="004A3B9E" w:rsidRDefault="00D058B8" w:rsidP="004C5D52">
      <w:pPr>
        <w:pStyle w:val="LineTop"/>
      </w:pPr>
    </w:p>
    <w:p w14:paraId="22CC81D9" w14:textId="77777777" w:rsidR="00680577" w:rsidRPr="004A3B9E" w:rsidRDefault="0071350A" w:rsidP="00680577">
      <w:pPr>
        <w:pStyle w:val="EPBodyTA1"/>
      </w:pPr>
      <w:r w:rsidRPr="004A3B9E">
        <w:t>SPREJETA BESEDILA</w:t>
      </w:r>
    </w:p>
    <w:p w14:paraId="1A9E38AD" w14:textId="77777777" w:rsidR="00D058B8" w:rsidRPr="004A3B9E" w:rsidRDefault="00D058B8" w:rsidP="00D058B8">
      <w:pPr>
        <w:pStyle w:val="LineBottom"/>
      </w:pPr>
    </w:p>
    <w:p w14:paraId="42F10C54" w14:textId="2BCF2C02" w:rsidR="0071350A" w:rsidRPr="004A3B9E" w:rsidRDefault="0071350A" w:rsidP="0071350A">
      <w:pPr>
        <w:pStyle w:val="ATHeading1"/>
      </w:pPr>
      <w:bookmarkStart w:id="0" w:name="TANumber"/>
      <w:r w:rsidRPr="004A3B9E">
        <w:t>P10_TA(2026)0</w:t>
      </w:r>
      <w:bookmarkEnd w:id="0"/>
      <w:r w:rsidR="00864A7B" w:rsidRPr="004A3B9E">
        <w:t>134</w:t>
      </w:r>
    </w:p>
    <w:p w14:paraId="3472D74C" w14:textId="77777777" w:rsidR="0071350A" w:rsidRPr="004A3B9E" w:rsidRDefault="0071350A" w:rsidP="0071350A">
      <w:pPr>
        <w:pStyle w:val="ATHeading2"/>
      </w:pPr>
      <w:bookmarkStart w:id="1" w:name="title"/>
      <w:r w:rsidRPr="004A3B9E">
        <w:t>Razrešnica za leto 2024: splošni proračun EU – Evropski nadzornik za varstvo podatkov</w:t>
      </w:r>
      <w:bookmarkEnd w:id="1"/>
    </w:p>
    <w:p w14:paraId="34BA3DDA" w14:textId="77777777" w:rsidR="0071350A" w:rsidRPr="004A3B9E" w:rsidRDefault="0071350A" w:rsidP="0071350A">
      <w:pPr>
        <w:rPr>
          <w:i/>
          <w:vanish/>
        </w:rPr>
      </w:pPr>
      <w:r w:rsidRPr="004A3B9E">
        <w:rPr>
          <w:i/>
        </w:rPr>
        <w:fldChar w:fldCharType="begin"/>
      </w:r>
      <w:r w:rsidRPr="004A3B9E">
        <w:rPr>
          <w:i/>
        </w:rPr>
        <w:instrText xml:space="preserve"> TC"(</w:instrText>
      </w:r>
      <w:bookmarkStart w:id="2" w:name="DocNumber"/>
      <w:r w:rsidRPr="004A3B9E">
        <w:rPr>
          <w:i/>
        </w:rPr>
        <w:instrText>A10-0057/2026</w:instrText>
      </w:r>
      <w:bookmarkEnd w:id="2"/>
      <w:r w:rsidRPr="004A3B9E">
        <w:rPr>
          <w:i/>
        </w:rPr>
        <w:instrText xml:space="preserve"> - Poročevalec: Pasquale Tridico)"\l3 \n&gt; \* MERGEFORMAT </w:instrText>
      </w:r>
      <w:r w:rsidRPr="004A3B9E">
        <w:rPr>
          <w:i/>
        </w:rPr>
        <w:fldChar w:fldCharType="end"/>
      </w:r>
    </w:p>
    <w:p w14:paraId="67E3935C" w14:textId="77777777" w:rsidR="0071350A" w:rsidRPr="004A3B9E" w:rsidRDefault="0071350A" w:rsidP="0071350A">
      <w:pPr>
        <w:rPr>
          <w:vanish/>
        </w:rPr>
      </w:pPr>
      <w:bookmarkStart w:id="3" w:name="Commission"/>
      <w:r w:rsidRPr="004A3B9E">
        <w:rPr>
          <w:vanish/>
        </w:rPr>
        <w:t>Odbor za proračunski nadzor</w:t>
      </w:r>
      <w:bookmarkEnd w:id="3"/>
    </w:p>
    <w:p w14:paraId="20990EFC" w14:textId="77777777" w:rsidR="0071350A" w:rsidRPr="004A3B9E" w:rsidRDefault="0071350A" w:rsidP="0071350A">
      <w:pPr>
        <w:rPr>
          <w:vanish/>
        </w:rPr>
      </w:pPr>
      <w:bookmarkStart w:id="4" w:name="PE"/>
      <w:r w:rsidRPr="004A3B9E">
        <w:rPr>
          <w:vanish/>
        </w:rPr>
        <w:t>PE778.066</w:t>
      </w:r>
      <w:bookmarkEnd w:id="4"/>
    </w:p>
    <w:p w14:paraId="2AE095DE" w14:textId="12699200" w:rsidR="0071350A" w:rsidRPr="004A3B9E" w:rsidRDefault="0071350A" w:rsidP="0071350A">
      <w:pPr>
        <w:pStyle w:val="ATHeading3"/>
      </w:pPr>
      <w:bookmarkStart w:id="5" w:name="Sujet"/>
      <w:r w:rsidRPr="004A3B9E">
        <w:t>1. Sklep Evropskega parlamenta z dne 2</w:t>
      </w:r>
      <w:r w:rsidR="00BE3C22" w:rsidRPr="004A3B9E">
        <w:t>9</w:t>
      </w:r>
      <w:r w:rsidRPr="004A3B9E">
        <w:t>. aprila 2026 o razrešnici glede izvrševanja splošnega proračuna Evropske unije za proračunsko leto 2024, oddelek IX – Evropski nadzornik za varstvo podatkov</w:t>
      </w:r>
      <w:bookmarkEnd w:id="5"/>
      <w:r w:rsidRPr="004A3B9E">
        <w:t xml:space="preserve"> </w:t>
      </w:r>
      <w:bookmarkStart w:id="6" w:name="References"/>
      <w:r w:rsidRPr="004A3B9E">
        <w:t>(2025/2154(DEC))</w:t>
      </w:r>
      <w:bookmarkEnd w:id="6"/>
    </w:p>
    <w:p w14:paraId="77294BA2" w14:textId="77777777" w:rsidR="00174EA2" w:rsidRPr="004A3B9E" w:rsidRDefault="00174EA2" w:rsidP="00174EA2">
      <w:pPr>
        <w:pStyle w:val="EPComma"/>
      </w:pPr>
      <w:bookmarkStart w:id="7" w:name="TextBodyBegin"/>
      <w:bookmarkEnd w:id="7"/>
      <w:r w:rsidRPr="004A3B9E">
        <w:rPr>
          <w:i/>
        </w:rPr>
        <w:t>Evropski parlament,</w:t>
      </w:r>
    </w:p>
    <w:p w14:paraId="06478801" w14:textId="77777777" w:rsidR="00174EA2" w:rsidRPr="004A3B9E" w:rsidRDefault="00174EA2" w:rsidP="00174EA2">
      <w:pPr>
        <w:pStyle w:val="NormalHanging12a"/>
      </w:pPr>
      <w:r w:rsidRPr="004A3B9E">
        <w:t>–</w:t>
      </w:r>
      <w:r w:rsidRPr="004A3B9E">
        <w:tab/>
        <w:t>ob upoštevanju splošnega proračuna Evropske unije za proračunsko leto 2024</w:t>
      </w:r>
      <w:r w:rsidRPr="004A3B9E">
        <w:rPr>
          <w:rStyle w:val="FootnoteReference"/>
        </w:rPr>
        <w:footnoteReference w:id="1"/>
      </w:r>
      <w:r w:rsidRPr="004A3B9E">
        <w:t>,</w:t>
      </w:r>
    </w:p>
    <w:p w14:paraId="01395579" w14:textId="77777777" w:rsidR="00174EA2" w:rsidRPr="004A3B9E" w:rsidRDefault="00174EA2" w:rsidP="00174EA2">
      <w:pPr>
        <w:pStyle w:val="NormalHanging12a"/>
      </w:pPr>
      <w:r w:rsidRPr="004A3B9E">
        <w:t>–</w:t>
      </w:r>
      <w:r w:rsidRPr="004A3B9E">
        <w:tab/>
        <w:t>ob upoštevanju konsolidiranega zaključnega računa Evropske unije za proračunsko leto 2024 (COM(2025)0359 – C10</w:t>
      </w:r>
      <w:r w:rsidRPr="004A3B9E">
        <w:noBreakHyphen/>
        <w:t>0154/2025)</w:t>
      </w:r>
      <w:r w:rsidRPr="004A3B9E">
        <w:rPr>
          <w:rStyle w:val="FootnoteReference"/>
        </w:rPr>
        <w:footnoteReference w:id="2"/>
      </w:r>
      <w:r w:rsidRPr="004A3B9E">
        <w:t>,</w:t>
      </w:r>
    </w:p>
    <w:p w14:paraId="0F90C4E6" w14:textId="77777777" w:rsidR="00174EA2" w:rsidRPr="004A3B9E" w:rsidRDefault="00174EA2" w:rsidP="00174EA2">
      <w:pPr>
        <w:pStyle w:val="NormalHanging12a"/>
      </w:pPr>
      <w:r w:rsidRPr="004A3B9E">
        <w:t>–</w:t>
      </w:r>
      <w:r w:rsidRPr="004A3B9E">
        <w:tab/>
        <w:t>ob upoštevanju letnega poročila Evropskega nadzornika za varstvo podatkov za leto 2024,</w:t>
      </w:r>
    </w:p>
    <w:p w14:paraId="3FDE590A" w14:textId="7721A383" w:rsidR="00174EA2" w:rsidRPr="004A3B9E" w:rsidRDefault="00174EA2" w:rsidP="00174EA2">
      <w:pPr>
        <w:pStyle w:val="NormalHanging12a"/>
      </w:pPr>
      <w:r w:rsidRPr="004A3B9E">
        <w:t>–</w:t>
      </w:r>
      <w:r w:rsidRPr="004A3B9E">
        <w:tab/>
        <w:t>ob upoštevanju letnega poročila Računskega sodišča o izvrševanju proračuna za proračunsko leto 2024 z odgovori institucij</w:t>
      </w:r>
      <w:r w:rsidRPr="004A3B9E">
        <w:rPr>
          <w:rStyle w:val="FootnoteReference"/>
        </w:rPr>
        <w:footnoteReference w:id="3"/>
      </w:r>
      <w:r w:rsidRPr="004A3B9E">
        <w:t>,</w:t>
      </w:r>
    </w:p>
    <w:p w14:paraId="500A9D6D" w14:textId="77777777" w:rsidR="00174EA2" w:rsidRPr="004A3B9E" w:rsidRDefault="00174EA2" w:rsidP="00174EA2">
      <w:pPr>
        <w:pStyle w:val="NormalHanging12a"/>
      </w:pPr>
      <w:r w:rsidRPr="004A3B9E">
        <w:t>–</w:t>
      </w:r>
      <w:r w:rsidRPr="004A3B9E">
        <w:tab/>
        <w:t>ob upoštevanju izjave o zanesljivosti</w:t>
      </w:r>
      <w:r w:rsidRPr="004A3B9E">
        <w:rPr>
          <w:rStyle w:val="FootnoteReference"/>
        </w:rPr>
        <w:footnoteReference w:id="4"/>
      </w:r>
      <w:r w:rsidRPr="004A3B9E">
        <w:t xml:space="preserve"> računovodskih izkazov ter o zakonitosti in pravilnosti z njimi povezanih transakcij, ki jo je za proračunsko leto 2024 v skladu s členom 287 Pogodbe o delovanju Evropske unije predložilo Računsko sodišče,</w:t>
      </w:r>
    </w:p>
    <w:p w14:paraId="42463703" w14:textId="77777777" w:rsidR="00174EA2" w:rsidRPr="004A3B9E" w:rsidRDefault="00174EA2" w:rsidP="00174EA2">
      <w:pPr>
        <w:pStyle w:val="NormalHanging12a"/>
      </w:pPr>
      <w:r w:rsidRPr="004A3B9E">
        <w:t>–</w:t>
      </w:r>
      <w:r w:rsidRPr="004A3B9E">
        <w:tab/>
        <w:t>ob upoštevanju členov 314(10), 317, 318 in 319 Pogodbe o delovanju Evropske unije,</w:t>
      </w:r>
    </w:p>
    <w:p w14:paraId="1AB954D2" w14:textId="77777777" w:rsidR="00174EA2" w:rsidRPr="004A3B9E" w:rsidRDefault="00174EA2" w:rsidP="00174EA2">
      <w:pPr>
        <w:pStyle w:val="NormalHanging12a"/>
      </w:pPr>
      <w:r w:rsidRPr="004A3B9E">
        <w:t>–</w:t>
      </w:r>
      <w:r w:rsidRPr="004A3B9E">
        <w:tab/>
        <w:t xml:space="preserve">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w:t>
      </w:r>
      <w:r w:rsidRPr="004A3B9E">
        <w:lastRenderedPageBreak/>
        <w:t>št. 966/2012</w:t>
      </w:r>
      <w:r w:rsidRPr="004A3B9E">
        <w:rPr>
          <w:rStyle w:val="FootnoteReference"/>
        </w:rPr>
        <w:footnoteReference w:id="5"/>
      </w:r>
      <w:r w:rsidRPr="004A3B9E">
        <w:t xml:space="preserve"> in zlasti členov 59, 118, 260, 261 in 262,</w:t>
      </w:r>
    </w:p>
    <w:p w14:paraId="52F7B0E3" w14:textId="77777777" w:rsidR="00174EA2" w:rsidRPr="004A3B9E" w:rsidRDefault="00174EA2" w:rsidP="00174EA2">
      <w:pPr>
        <w:pStyle w:val="NormalHanging12a"/>
      </w:pPr>
      <w:r w:rsidRPr="004A3B9E">
        <w:t>–</w:t>
      </w:r>
      <w:r w:rsidRPr="004A3B9E">
        <w:tab/>
        <w:t>ob upoštevanju Uredbe (EU, Euratom) 2024/2509 Evropskega parlamenta in Sveta z dne 23. septembra 2024 o finančnih pravilih, ki se uporabljajo za splošni proračun Unije</w:t>
      </w:r>
      <w:r w:rsidRPr="004A3B9E">
        <w:rPr>
          <w:rStyle w:val="FootnoteReference"/>
        </w:rPr>
        <w:footnoteReference w:id="6"/>
      </w:r>
      <w:r w:rsidRPr="004A3B9E">
        <w:t xml:space="preserve"> in zlasti členov 59, 118, 266, 267 in 268,</w:t>
      </w:r>
    </w:p>
    <w:p w14:paraId="0349E1F0" w14:textId="77777777" w:rsidR="00174EA2" w:rsidRPr="004A3B9E" w:rsidRDefault="00174EA2" w:rsidP="00174EA2">
      <w:pPr>
        <w:pStyle w:val="NormalHanging12a"/>
      </w:pPr>
      <w:r w:rsidRPr="004A3B9E">
        <w:t>–</w:t>
      </w:r>
      <w:r w:rsidRPr="004A3B9E">
        <w:tab/>
        <w:t>ob upoštevanju Uredbe (EU) 2018/1725 Evropskega parlamenta in Sveta z dne 23. oktobra 2018 o varstvu posameznikov pri obdelavi osebnih podatkov v institucijah, organih, uradih in agencijah Unije in o prostem pretoku takih podatkov ter o razveljavitvi Uredbe (ES) št. 45/2001 in Sklepa št. 1247/2002/ES</w:t>
      </w:r>
      <w:r w:rsidRPr="004A3B9E">
        <w:rPr>
          <w:rStyle w:val="FootnoteReference"/>
        </w:rPr>
        <w:footnoteReference w:id="7"/>
      </w:r>
      <w:r w:rsidRPr="004A3B9E">
        <w:t xml:space="preserve"> in zlasti člena 54,</w:t>
      </w:r>
    </w:p>
    <w:p w14:paraId="446D7620" w14:textId="77777777" w:rsidR="00174EA2" w:rsidRPr="004A3B9E" w:rsidRDefault="00174EA2" w:rsidP="00174EA2">
      <w:pPr>
        <w:pStyle w:val="NormalHanging12a"/>
      </w:pPr>
      <w:r w:rsidRPr="004A3B9E">
        <w:t>–</w:t>
      </w:r>
      <w:r w:rsidRPr="004A3B9E">
        <w:tab/>
        <w:t>ob upoštevanju člena 102 in Priloge V Poslovnika,</w:t>
      </w:r>
    </w:p>
    <w:p w14:paraId="36597D79" w14:textId="77777777" w:rsidR="00174EA2" w:rsidRPr="004A3B9E" w:rsidRDefault="00174EA2" w:rsidP="00174EA2">
      <w:pPr>
        <w:pStyle w:val="NormalHanging12a"/>
      </w:pPr>
      <w:r w:rsidRPr="004A3B9E">
        <w:t>–</w:t>
      </w:r>
      <w:r w:rsidRPr="004A3B9E">
        <w:tab/>
        <w:t>ob upoštevanju mnenja Odbora za državljanske svoboščine, pravosodje in notranje zadeve,</w:t>
      </w:r>
    </w:p>
    <w:p w14:paraId="222F5F41" w14:textId="77777777" w:rsidR="00174EA2" w:rsidRPr="004A3B9E" w:rsidRDefault="00174EA2" w:rsidP="00174EA2">
      <w:pPr>
        <w:pStyle w:val="NormalHanging12a"/>
      </w:pPr>
      <w:r w:rsidRPr="004A3B9E">
        <w:t>–</w:t>
      </w:r>
      <w:r w:rsidRPr="004A3B9E">
        <w:tab/>
        <w:t>ob upoštevanju poročila Odbora za proračunski nadzor (A10</w:t>
      </w:r>
      <w:r w:rsidRPr="004A3B9E">
        <w:noBreakHyphen/>
        <w:t>0057/2026),</w:t>
      </w:r>
    </w:p>
    <w:p w14:paraId="0E66015B" w14:textId="77777777" w:rsidR="00174EA2" w:rsidRPr="004A3B9E" w:rsidRDefault="00174EA2" w:rsidP="00174EA2">
      <w:pPr>
        <w:pStyle w:val="NormalHanging12a"/>
      </w:pPr>
      <w:r w:rsidRPr="004A3B9E">
        <w:t>1.</w:t>
      </w:r>
      <w:r w:rsidRPr="004A3B9E">
        <w:tab/>
        <w:t>podeli razrešnico Evropskemu nadzorniku za varstvo podatkov glede izvrševanja proračuna za proračunsko leto 2024;</w:t>
      </w:r>
    </w:p>
    <w:p w14:paraId="7A4EB122" w14:textId="513C1A6E" w:rsidR="00174EA2" w:rsidRPr="004A3B9E" w:rsidRDefault="00174EA2" w:rsidP="00174EA2">
      <w:pPr>
        <w:pStyle w:val="NormalHanging12a"/>
      </w:pPr>
      <w:r w:rsidRPr="004A3B9E">
        <w:t>2.</w:t>
      </w:r>
      <w:r w:rsidRPr="004A3B9E">
        <w:tab/>
        <w:t>navaja svoje pripombe v spodnji resoluciji;</w:t>
      </w:r>
    </w:p>
    <w:p w14:paraId="37EE6495" w14:textId="77777777" w:rsidR="00174EA2" w:rsidRPr="004A3B9E" w:rsidRDefault="00174EA2" w:rsidP="00174EA2">
      <w:pPr>
        <w:pStyle w:val="NormalHanging12a"/>
      </w:pPr>
      <w:r w:rsidRPr="004A3B9E">
        <w:t>3.</w:t>
      </w:r>
      <w:r w:rsidRPr="004A3B9E">
        <w:tab/>
        <w:t xml:space="preserve">naroči svoji predsednici, naj ta sklep in resolucijo, ki je del sklepa, posreduje Evropskemu nadzorniku za varstvo podatkov, Evropskemu svetu, Svetu, Komisiji, Računskemu sodišču, Sodišču Evropske unije, Evropskemu varuhu človekovih pravic in Evropski službi za zunanje delovanje ter poskrbi za objavo v </w:t>
      </w:r>
      <w:r w:rsidRPr="004A3B9E">
        <w:rPr>
          <w:i/>
        </w:rPr>
        <w:t>Uradnem listu Evropske unije</w:t>
      </w:r>
      <w:r w:rsidRPr="004A3B9E">
        <w:t xml:space="preserve"> (serija L).</w:t>
      </w:r>
    </w:p>
    <w:p w14:paraId="4F956C17" w14:textId="77777777" w:rsidR="00174EA2" w:rsidRPr="004A3B9E" w:rsidRDefault="00174EA2" w:rsidP="00174EA2">
      <w:pPr>
        <w:pStyle w:val="PageHeading"/>
        <w:sectPr w:rsidR="00174EA2" w:rsidRPr="004A3B9E" w:rsidSect="00F106D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5C957E3" w14:textId="287C9AA5" w:rsidR="000235DA" w:rsidRPr="004A3B9E" w:rsidRDefault="000235DA" w:rsidP="000235DA">
      <w:pPr>
        <w:pStyle w:val="ATHeading3"/>
      </w:pPr>
      <w:r w:rsidRPr="004A3B9E">
        <w:lastRenderedPageBreak/>
        <w:t>2. Resolucija Evropskega parlamenta z dne 2</w:t>
      </w:r>
      <w:r w:rsidR="00BE3C22" w:rsidRPr="004A3B9E">
        <w:t>9</w:t>
      </w:r>
      <w:r w:rsidRPr="004A3B9E">
        <w:t>. aprila 2026 s pripombami, ki so del sklepa o razrešnici glede izvrševanja splošnega proračuna Evropske unije za proračunsko leto 2024, oddelek IX – Evropski nadzornik za varstvo podatkov (2025/2154(DEC))</w:t>
      </w:r>
    </w:p>
    <w:p w14:paraId="2C388A6C" w14:textId="77777777" w:rsidR="00174EA2" w:rsidRPr="004A3B9E" w:rsidRDefault="00174EA2" w:rsidP="00174EA2">
      <w:pPr>
        <w:pStyle w:val="EPComma"/>
      </w:pPr>
      <w:r w:rsidRPr="004A3B9E">
        <w:rPr>
          <w:i/>
        </w:rPr>
        <w:t>Evropski parlament,</w:t>
      </w:r>
    </w:p>
    <w:p w14:paraId="102316EC" w14:textId="77777777" w:rsidR="00174EA2" w:rsidRPr="004A3B9E" w:rsidRDefault="00174EA2" w:rsidP="00ED0D78">
      <w:pPr>
        <w:pStyle w:val="NormalHanging12a"/>
      </w:pPr>
      <w:r w:rsidRPr="004A3B9E">
        <w:t>–</w:t>
      </w:r>
      <w:r w:rsidRPr="004A3B9E">
        <w:tab/>
        <w:t>ob upoštevanju sklepa o razrešnici glede izvrševanja splošnega proračuna Evropske unije za proračunsko leto 2024, oddelek IX – Evropski nadzornik za varstvo podatkov,</w:t>
      </w:r>
    </w:p>
    <w:p w14:paraId="2D330C5D" w14:textId="77777777" w:rsidR="00174EA2" w:rsidRPr="004A3B9E" w:rsidRDefault="00174EA2" w:rsidP="00ED0D78">
      <w:pPr>
        <w:pStyle w:val="NormalHanging12a"/>
      </w:pPr>
      <w:r w:rsidRPr="004A3B9E">
        <w:t>–</w:t>
      </w:r>
      <w:r w:rsidRPr="004A3B9E">
        <w:tab/>
        <w:t>ob upoštevanju člena 102 in Priloge V Poslovnika,</w:t>
      </w:r>
    </w:p>
    <w:p w14:paraId="1A6E2135" w14:textId="77777777" w:rsidR="00174EA2" w:rsidRPr="004A3B9E" w:rsidRDefault="00174EA2" w:rsidP="00ED0D78">
      <w:pPr>
        <w:pStyle w:val="NormalHanging12a"/>
      </w:pPr>
      <w:r w:rsidRPr="004A3B9E">
        <w:t>–</w:t>
      </w:r>
      <w:r w:rsidRPr="004A3B9E">
        <w:tab/>
        <w:t>ob upoštevanju mnenja Odbora za državljanske svoboščine, pravosodje in notranje zadeve,</w:t>
      </w:r>
    </w:p>
    <w:p w14:paraId="0DFCA46E" w14:textId="77777777" w:rsidR="00174EA2" w:rsidRPr="004A3B9E" w:rsidRDefault="00174EA2" w:rsidP="00ED0D78">
      <w:pPr>
        <w:pStyle w:val="NormalHanging12a"/>
      </w:pPr>
      <w:r w:rsidRPr="004A3B9E">
        <w:t>–</w:t>
      </w:r>
      <w:r w:rsidRPr="004A3B9E">
        <w:tab/>
        <w:t>ob upoštevanju poročila Odbora za proračunski nadzor (A10</w:t>
      </w:r>
      <w:r w:rsidRPr="004A3B9E">
        <w:noBreakHyphen/>
        <w:t>0057/2026),</w:t>
      </w:r>
    </w:p>
    <w:p w14:paraId="303CCFF3" w14:textId="77777777" w:rsidR="00174EA2" w:rsidRPr="004A3B9E" w:rsidRDefault="00174EA2" w:rsidP="00ED0D78">
      <w:pPr>
        <w:pStyle w:val="NormalHanging12a"/>
        <w:rPr>
          <w:szCs w:val="24"/>
        </w:rPr>
      </w:pPr>
      <w:r w:rsidRPr="004A3B9E">
        <w:t>A.</w:t>
      </w:r>
      <w:r w:rsidRPr="004A3B9E">
        <w:tab/>
        <w:t>ker želi organ za podelitev razrešnice v okviru postopka razrešnice poudariti posebni pomen nadaljnje krepitve demokratične legitimnosti institucij Unije z izboljšanjem preglednosti in odgovornosti ter izvajanjem koncepta smotrnostne priprave proračuna in dobrega upravljanja človeških virov;</w:t>
      </w:r>
    </w:p>
    <w:p w14:paraId="28027BC4" w14:textId="77777777" w:rsidR="00174EA2" w:rsidRPr="004A3B9E" w:rsidRDefault="00174EA2" w:rsidP="00ED0D78">
      <w:pPr>
        <w:pStyle w:val="NormalHanging12a"/>
        <w:rPr>
          <w:szCs w:val="24"/>
        </w:rPr>
      </w:pPr>
      <w:r w:rsidRPr="004A3B9E">
        <w:t>B.</w:t>
      </w:r>
      <w:r w:rsidRPr="004A3B9E">
        <w:tab/>
        <w:t>ker je varstvo osebnih podatkov temeljna pravica, zaščitena s pravom Unije in zapisana v členu 8 Listine Evropske unije o temeljnih pravicah;</w:t>
      </w:r>
    </w:p>
    <w:p w14:paraId="0252C38E" w14:textId="77777777" w:rsidR="00174EA2" w:rsidRPr="004A3B9E" w:rsidRDefault="00174EA2" w:rsidP="00ED0D78">
      <w:pPr>
        <w:pStyle w:val="NormalHanging12a"/>
        <w:rPr>
          <w:szCs w:val="24"/>
        </w:rPr>
      </w:pPr>
      <w:r w:rsidRPr="004A3B9E">
        <w:t>C.</w:t>
      </w:r>
      <w:r w:rsidRPr="004A3B9E">
        <w:tab/>
        <w:t>ker člen 16 Pogodbe o delovanju Evropske unije določa, da upoštevanje pravil o varstvu posameznikov pri obdelavi osebnih podatkov, ki se nanašajo nanje, nadzoruje neodvisen organ;</w:t>
      </w:r>
    </w:p>
    <w:p w14:paraId="3C24DEA6" w14:textId="17C78229" w:rsidR="00174EA2" w:rsidRPr="004A3B9E" w:rsidRDefault="00174EA2" w:rsidP="00ED0D78">
      <w:pPr>
        <w:pStyle w:val="NormalHanging12a"/>
        <w:rPr>
          <w:szCs w:val="24"/>
        </w:rPr>
      </w:pPr>
      <w:r w:rsidRPr="004A3B9E">
        <w:t>D.</w:t>
      </w:r>
      <w:r w:rsidRPr="004A3B9E">
        <w:tab/>
        <w:t>ker Uredba (EU) 2018/1725 določa ustanovitev neodvisnega organa, tj. Evropskega nadzornika za varstvo podatkov (ENVP), ki je odgovoren za varovanje in zagotavljanje pravice do varstva podatkov in zasebnosti ter mora poskrbeti, da institucije, organi, uradi in agencije Unije vzdržujejo kulturo strogega varstva podatkov;</w:t>
      </w:r>
    </w:p>
    <w:p w14:paraId="6D7E6BC2" w14:textId="77777777" w:rsidR="00174EA2" w:rsidRPr="004A3B9E" w:rsidRDefault="00174EA2" w:rsidP="00ED0D78">
      <w:pPr>
        <w:pStyle w:val="NormalHanging12a"/>
        <w:rPr>
          <w:szCs w:val="24"/>
        </w:rPr>
      </w:pPr>
      <w:r w:rsidRPr="004A3B9E">
        <w:t>E.</w:t>
      </w:r>
      <w:r w:rsidRPr="004A3B9E">
        <w:tab/>
        <w:t>ker ENVP opravlja svoje naloge v tesnem sodelovanju z drugimi organi za varstvo podatkov v okviru Evropskega odbora za varstvo podatkov (EOVP) in deluje v javnem interesu, pri čemer ga vodijo načela nepristranskosti, integritete, preglednosti in pragmatičnosti, ter spoštuje zakonodajo Unije;</w:t>
      </w:r>
    </w:p>
    <w:p w14:paraId="25F8E013" w14:textId="77777777" w:rsidR="00174EA2" w:rsidRPr="004A3B9E" w:rsidRDefault="00174EA2" w:rsidP="00ED0D78">
      <w:pPr>
        <w:pStyle w:val="NormalHanging12a"/>
        <w:rPr>
          <w:szCs w:val="24"/>
        </w:rPr>
      </w:pPr>
      <w:r w:rsidRPr="004A3B9E">
        <w:t>F.</w:t>
      </w:r>
      <w:r w:rsidRPr="004A3B9E">
        <w:tab/>
        <w:t>ker državljani Unije potrebujejo digitalno okolje, ki ni pod nadzorom nejasnih interesov, ter pobude, ki spodbujajo digitalno suverenost in skrbijo, da so v središču upravljanja podatkov v Uniji posamezniki, ne pa podjetja ali sistemi, ki niso nikomur odgovorni;</w:t>
      </w:r>
    </w:p>
    <w:p w14:paraId="57B8F046" w14:textId="77777777" w:rsidR="00174EA2" w:rsidRPr="004A3B9E" w:rsidRDefault="00174EA2" w:rsidP="00ED0D78">
      <w:pPr>
        <w:pStyle w:val="NormalHanging12a"/>
        <w:rPr>
          <w:szCs w:val="24"/>
        </w:rPr>
      </w:pPr>
      <w:r w:rsidRPr="004A3B9E">
        <w:t>1.</w:t>
      </w:r>
      <w:r w:rsidRPr="004A3B9E">
        <w:tab/>
        <w:t>ugotavlja, da proračun ENVP spada pod razdelek 7 večletnega finančnega okvira „Evropska javna uprava“, ki je v letu 2024 znašal skupaj 13,3 milijarde EUR, tj. 6,9 % porabe proračuna EU; ugotavlja, da je proračun ENVP tvoril 0,18 % vseh odobrenih sredstev v razdelku 7 večletnega finančnega okvira;</w:t>
      </w:r>
    </w:p>
    <w:p w14:paraId="6CE6902F" w14:textId="77777777" w:rsidR="00174EA2" w:rsidRPr="004A3B9E" w:rsidRDefault="00174EA2" w:rsidP="00ED0D78">
      <w:pPr>
        <w:pStyle w:val="NormalHanging12a"/>
      </w:pPr>
      <w:r w:rsidRPr="004A3B9E">
        <w:t>2.</w:t>
      </w:r>
      <w:r w:rsidRPr="004A3B9E">
        <w:tab/>
        <w:t xml:space="preserve">ugotavlja, da je Računsko sodišče v svojem letnem poročilu za proračunsko leto 2024 (v nadaljnjem besedilu: poročilo Računskega sodišča) pregledalo vzorec 70 transakcij pod razdelkom „Uprava“, kar je enako število kot v letu 2023; ker Računsko sodišče nadalje </w:t>
      </w:r>
      <w:r w:rsidRPr="004A3B9E">
        <w:lastRenderedPageBreak/>
        <w:t>navaja, da upravni odhodki vključujejo odhodke za človeške vire, vključno z odhodki za pokojnine, ki so v letu 2024 znašali približno 69 % vseh upravnih odhodkov, ter odhodke za stavbe, opremo, energijo, komunikacije in informacijsko tehnologijo ter da njegovo dolgoletno delo kaže, da je tveganje pri upravnih odhodkih na splošno nizko;</w:t>
      </w:r>
    </w:p>
    <w:p w14:paraId="64364459" w14:textId="77777777" w:rsidR="00174EA2" w:rsidRPr="004A3B9E" w:rsidRDefault="00174EA2" w:rsidP="00ED0D78">
      <w:pPr>
        <w:pStyle w:val="NormalHanging12a"/>
      </w:pPr>
      <w:r w:rsidRPr="004A3B9E">
        <w:t>3.</w:t>
      </w:r>
      <w:r w:rsidRPr="004A3B9E">
        <w:tab/>
        <w:t>ugotavlja, da so bile pri 16 (23 %) od 70 transakcij odkrite napake, vendar da Računsko sodišče na podlagi treh napak, ki jih je količinsko opredelilo, ocenjuje, da je stopnja napake pod pragom pomembnosti; ugotavlja, da v poročilu Računskega sodišča niso bila opredeljena nobena posebna vprašanja v zvezi z ENVP;</w:t>
      </w:r>
    </w:p>
    <w:p w14:paraId="10E8EC1E" w14:textId="77777777" w:rsidR="00174EA2" w:rsidRPr="004A3B9E" w:rsidRDefault="00174EA2" w:rsidP="00ED0D78">
      <w:pPr>
        <w:pStyle w:val="NormalHanging12a"/>
      </w:pPr>
      <w:r w:rsidRPr="004A3B9E">
        <w:rPr>
          <w:b/>
          <w:i/>
        </w:rPr>
        <w:t>Upravljanje proračuna in finančno poslovodenje</w:t>
      </w:r>
    </w:p>
    <w:p w14:paraId="52B6EFF2" w14:textId="77777777" w:rsidR="00174EA2" w:rsidRPr="004A3B9E" w:rsidRDefault="00174EA2" w:rsidP="00ED0D78">
      <w:pPr>
        <w:pStyle w:val="NormalHanging12a"/>
        <w:rPr>
          <w:b/>
          <w:i/>
          <w:szCs w:val="24"/>
        </w:rPr>
      </w:pPr>
      <w:r w:rsidRPr="004A3B9E">
        <w:t>4.</w:t>
      </w:r>
      <w:r w:rsidRPr="004A3B9E">
        <w:tab/>
        <w:t>ugotavlja, da je končni sprejeti proračun za ENVP v letu 2024 znašal 24 329 460 EUR, kar je 7,12-odstotno povečanje v primerjavi z letom 2023 (22 711 559 EUR); ugotavlja, da proračun ENVP krije tudi delo neodvisnega sekretariata EOVP; na podlagi letnega poročila ENVP za leto 2024 (v nadaljnjem besedilu: letno poročilo) ugotavlja, da je sprejeti proračun EOVP v letu 2024 znašal 8,36 milijona EUR (v primerjavi s 7,67 milijona EUR v letu 2023);</w:t>
      </w:r>
    </w:p>
    <w:p w14:paraId="4F2007D5" w14:textId="77777777" w:rsidR="00174EA2" w:rsidRPr="004A3B9E" w:rsidRDefault="00174EA2" w:rsidP="00ED0D78">
      <w:pPr>
        <w:pStyle w:val="NormalHanging12a"/>
        <w:rPr>
          <w:szCs w:val="24"/>
        </w:rPr>
      </w:pPr>
      <w:r w:rsidRPr="004A3B9E">
        <w:t>5.</w:t>
      </w:r>
      <w:r w:rsidRPr="004A3B9E">
        <w:tab/>
        <w:t>z zadovoljstvom ugotavlja, da so prizadevanja ENVP za spremljanje in načrtovanje proračuna v proračunskem letu 2024 privedla do 96-odstotne stopnje izvrševanja proračuna za odobritve za prevzem obveznosti za tekoče leto v letu 2024 (enako kot v letu 2023); na podlagi poročila o letnih računovodskih izkazih ENVP za leto 2024 nadalje ugotavlja, da je stopnja izvrševanja odobritev plačil v tekočem letu znašala 84 % (enako kot v letu 2023); poleg tega na podlagi odgovorov ENVP na vprašalnik, ki ga je predložil Odbor za proračunski nadzor za razrešnico za proračunsko leto 2023 (v nadaljnjem besedilu: vprašalnik), ugotavlja, da je stopnja izvrševanja odobritev plačil v letu 2024 znašala 91,88 %, kar je več kot 91,33 % v letu 2023;</w:t>
      </w:r>
    </w:p>
    <w:p w14:paraId="1AD945F5" w14:textId="77777777" w:rsidR="00174EA2" w:rsidRPr="004A3B9E" w:rsidRDefault="00174EA2" w:rsidP="00ED0D78">
      <w:pPr>
        <w:pStyle w:val="NormalHanging12a"/>
        <w:rPr>
          <w:szCs w:val="24"/>
        </w:rPr>
      </w:pPr>
      <w:r w:rsidRPr="004A3B9E">
        <w:t>6.</w:t>
      </w:r>
      <w:r w:rsidRPr="004A3B9E">
        <w:tab/>
        <w:t>ugotavlja tudi, da je znesek prenosov (C8) iz leta 2024 v leto 2025 znašal 2 649 943 EUR (tj. 10,89 % skupnega proračuna za leto 2024) v primerjavi z 2 517 942 EUR v letu 2023 (tj. 11,08 % skupnega proračuna za leto 2023); ugotavlja, da je stopnja izvrševanja proračuna C8 v letu 2024 znašala 77,37 % (v primerjavi s 76,65 % v letu 2023);</w:t>
      </w:r>
    </w:p>
    <w:p w14:paraId="1C5D77BC" w14:textId="77777777" w:rsidR="00174EA2" w:rsidRPr="004A3B9E" w:rsidRDefault="00174EA2" w:rsidP="00ED0D78">
      <w:pPr>
        <w:pStyle w:val="NormalHanging12a"/>
        <w:rPr>
          <w:szCs w:val="24"/>
        </w:rPr>
      </w:pPr>
      <w:r w:rsidRPr="004A3B9E">
        <w:t>7.</w:t>
      </w:r>
      <w:r w:rsidRPr="004A3B9E">
        <w:tab/>
        <w:t>ugotavlja, da je bil povprečen čas plačila v letu 2024 20 dni v primerjavi z 19 dnevi v letu 2023, pri čemer je bilo 96,87 % plačil obdelanih pravočasno (v primerjavi z 92,73 % v letu 2023); nadalje ugotavlja, da se je število plačil povečalo s 1 335 v letu 2023 na 1 440 v letu 2024; ugotavlja, da je imel ENVP v letu 2024 nekaj tehničnih težav zaradi vzporednega delovanja dveh različnih informacijskih sistemov (sistema Komisije SUMMA in sistema ENVP ABAC), zaradi česar so bili potrebni ponovno ročno kodiranje in druga ročna posredovanja; poudarja, da naj bi se sistem SUMMA pri ENVP uvedel v letu 2026;</w:t>
      </w:r>
    </w:p>
    <w:p w14:paraId="48C735D2" w14:textId="77777777" w:rsidR="00174EA2" w:rsidRPr="004A3B9E" w:rsidRDefault="00174EA2" w:rsidP="00ED0D78">
      <w:pPr>
        <w:pStyle w:val="NormalHanging12a"/>
      </w:pPr>
      <w:r w:rsidRPr="004A3B9E">
        <w:t>8.</w:t>
      </w:r>
      <w:r w:rsidRPr="004A3B9E">
        <w:tab/>
        <w:t xml:space="preserve">na podlagi vprašalnika ugotavlja, da se je zaradi znižanja potnih stroškov in z njimi povezanih stroškov, ki je posledica večje udeležbe na sestankih na daljavo/hibridnih sestankih, skupni proračun ENVP za službena potovanja zmanjšal za 17,86 %, in sicer s 323 421 EUR v letu 2023 na 265 630 EUR v letu 2024; na podlagi letnega poročila ugotavlja, da se je zmanjšalo tudi število službenih potovanj osebja, in sicer z 246 v letu 2023 na 218 v letu 2024; ugotavlja, da je bilo v tem proračunu v letu 2024 38 418 EUR namenjenih za 23 službenih potovanj nadzornika, kar je več kot </w:t>
      </w:r>
      <w:r w:rsidRPr="004A3B9E">
        <w:lastRenderedPageBreak/>
        <w:t>33 000 EUR za 24 službenih potovanj v letu 2023, predvsem zaradi lokacije pomembnih sestankov in dogodkov, ki se jih je nadzornik moral udeležiti, vključno z več službenimi potovanji v Združene države Amerike in Mehiko v letu 2024; z zaskrbljenostjo ugotavlja, da je nadzornik v zvezi s službenimi potovanji visokih uradnikov v državo izvora leta 2024 opravil le 3 službena potovanja na Poljsko (od skupno 23), medtem ko je generalni sekretar ENVP opravil 9 službenih potovanj v Španijo (od skupno 15); poudarja, da ENVP še vedno ne posreduje informacij o številu službenih potovanj, ki so jih financirali organizatorji ali druge tretje strani, s čimer se je zmanjšala preglednost v zvezi s stroški službenih potovanj ENVP;</w:t>
      </w:r>
    </w:p>
    <w:p w14:paraId="1D68A0EB" w14:textId="77777777" w:rsidR="00174EA2" w:rsidRPr="004A3B9E" w:rsidRDefault="00174EA2" w:rsidP="00ED0D78">
      <w:pPr>
        <w:pStyle w:val="NormalHanging12a"/>
      </w:pPr>
      <w:r w:rsidRPr="004A3B9E">
        <w:t>9.</w:t>
      </w:r>
      <w:r w:rsidRPr="004A3B9E">
        <w:tab/>
        <w:t>na podlagi vprašalnika ugotavlja, da je glede na nezakonito rusko vojaško agresijo proti Ukrajini ENVP obravnaval inflacijske pritiske na pogodbe in storitve s pregledom ocen stroškov med letom in prerazporeditvijo sredstev s prenosom v skladu s členom 29(1) in (4) finančne uredbe, pri čemer je zagotovil varnostne rezerve in ponovno ocenil prednostne naloge, da bi zagotovil izvajanje ključnih postopkov ENVP; poziva ENVP, naj nadaljuje z rednimi pregledi, da bi opredelil področja, na katerih se proračun ne izvršuje v celoti, in po potrebi med letom prerazporedil sredstva; priznava, da morajo vse institucije Unije izboljšati svoje upravljanje proračuna, pri čemer morajo pri sklepanju pogodb s ponudniki storitev upoštevati tudi nestanovitnost cen, zlasti v energetskem sektorju;</w:t>
      </w:r>
    </w:p>
    <w:p w14:paraId="51F212DD" w14:textId="77777777" w:rsidR="00174EA2" w:rsidRPr="004A3B9E" w:rsidRDefault="00174EA2" w:rsidP="00ED0D78">
      <w:pPr>
        <w:pStyle w:val="NormalHanging12a"/>
        <w:rPr>
          <w:szCs w:val="24"/>
        </w:rPr>
      </w:pPr>
      <w:r w:rsidRPr="004A3B9E">
        <w:t>10.</w:t>
      </w:r>
      <w:r w:rsidRPr="004A3B9E">
        <w:tab/>
        <w:t>ugotavlja, da je ENVP začel in zaključil 66 postopkov da oddajo javnih naročil, od katerih jih je bilo 45 zelo nizke vrednosti, dve sta bila postopka s pogajanji brez predhodne objave, devet je bilo posebnih naročil za pripravo seznama posameznih strokovnjakov in eno je bila okvirna pogodba v vrednosti 200 000 EUR z družbo PricewaterhouseCoopers; ugotavlja, da je ENVP večino pogodb z malimi in srednjimi podjetji podpisal v okviru postopkov z zelo nizko ali nizko vrednostjo;</w:t>
      </w:r>
    </w:p>
    <w:p w14:paraId="4ECA8AAA" w14:textId="77777777" w:rsidR="00174EA2" w:rsidRPr="004A3B9E" w:rsidRDefault="00174EA2" w:rsidP="00ED0D78">
      <w:pPr>
        <w:pStyle w:val="NormalHanging12a"/>
        <w:rPr>
          <w:szCs w:val="24"/>
        </w:rPr>
      </w:pPr>
      <w:r w:rsidRPr="004A3B9E">
        <w:rPr>
          <w:b/>
          <w:i/>
        </w:rPr>
        <w:t>Notranje upravljanje, uspešnost in notranja kontrola</w:t>
      </w:r>
    </w:p>
    <w:p w14:paraId="4B36888E" w14:textId="77777777" w:rsidR="00174EA2" w:rsidRPr="004A3B9E" w:rsidRDefault="00174EA2" w:rsidP="00ED0D78">
      <w:pPr>
        <w:pStyle w:val="NormalHanging12a"/>
        <w:rPr>
          <w:szCs w:val="24"/>
        </w:rPr>
      </w:pPr>
      <w:r w:rsidRPr="004A3B9E">
        <w:t>11.</w:t>
      </w:r>
      <w:r w:rsidRPr="004A3B9E">
        <w:tab/>
        <w:t>ugotavlja, da je ENVP za spremljanje svoje uspešnosti v letu 2024 uporabil devet ključnih kazalnikov uspešnosti, ki so skladni z glavnimi cilji strategije ENVP za obdobje 2020–2024, ki se izvaja z letnim načrtom upravljanja; na podlagi letnega poročila ugotavlja, da je ENVP dosegel ali presegel cilje, določene pri vseh ključnih kazalnikih uspešnosti, razen pri enem (število sledilcev ENVP na nekaterih računih v družbenih medijih);</w:t>
      </w:r>
    </w:p>
    <w:p w14:paraId="06217F8A" w14:textId="77777777" w:rsidR="00174EA2" w:rsidRPr="004A3B9E" w:rsidRDefault="00174EA2" w:rsidP="00ED0D78">
      <w:pPr>
        <w:pStyle w:val="NormalHanging12a"/>
        <w:rPr>
          <w:szCs w:val="24"/>
        </w:rPr>
      </w:pPr>
      <w:r w:rsidRPr="004A3B9E">
        <w:t>12.</w:t>
      </w:r>
      <w:r w:rsidRPr="004A3B9E">
        <w:tab/>
        <w:t>ugotavlja, da obstajajo različne vloge ENVP, kot sta organ za varstvo podatkov in, od 1. avgusta 2024, priglašeni organ, organ za nadzor trga, pristojen za nadzor in izvajanje Uredbe (EU) 2024/1689 Evropskega parlamenta in Sveta</w:t>
      </w:r>
      <w:r w:rsidRPr="004A3B9E">
        <w:rPr>
          <w:rStyle w:val="FootnoteReference"/>
          <w:szCs w:val="24"/>
        </w:rPr>
        <w:footnoteReference w:id="8"/>
      </w:r>
      <w:r w:rsidRPr="004A3B9E">
        <w:t xml:space="preserve"> v institucijah, organih, uradih in agencijah Unije, pri čemer bo imel ENVP za slednjo vlogo izvršilna pooblastila šele od 2. avgusta 2026; z zadovoljstvom ugotavlja, da si ENVP v tem okviru prizadeva izboljšati upravne strukture in postopkovne okvire, potrebne za opravljanje novih nalog in pooblastil, ki jih ima v vlogi organa za nadzor trga v skladu z Uredbo </w:t>
      </w:r>
      <w:r w:rsidRPr="004A3B9E">
        <w:lastRenderedPageBreak/>
        <w:t>(EU) 2024/1689, med drugim z vzpostavitvijo mreže korespondentov za akt o umetni inteligenci v letu 2024, ki je k sodelovanju pritegnila vse institucije, organe, urade in agencije Unije, čeprav je bilo prostovoljno;</w:t>
      </w:r>
    </w:p>
    <w:p w14:paraId="4E267D57" w14:textId="77777777" w:rsidR="00174EA2" w:rsidRPr="004A3B9E" w:rsidRDefault="00174EA2" w:rsidP="00ED0D78">
      <w:pPr>
        <w:pStyle w:val="NormalHanging12a"/>
        <w:rPr>
          <w:szCs w:val="24"/>
        </w:rPr>
      </w:pPr>
      <w:r w:rsidRPr="004A3B9E">
        <w:t>13.</w:t>
      </w:r>
      <w:r w:rsidRPr="004A3B9E">
        <w:tab/>
        <w:t>je seznanjen z večjo vlogo ENVP v novih zakonodajnih aktih, vključno z Uredbo (EU) 2024/1689, v skladu s katero ENVP postane pristojni organ za institucije, agencije, urade in organe Unije ter na podlagi katere so mu bile dodeljene dodatne naloge; ugotavlja, da je ENVP 1. oktobra 2024 za opravljanje svojih novih nadzornih nalog ustanovil enoto za umetno inteligenco, ki je bila leta 2024 sestavljena iz dveh notranje prerazporejenih uslužbencev; na podlagi vprašalnika ugotavlja, da ima ENVP od leta 2025 za to enoto proračun, ki pokriva dve stalni delovni mesti in pet pogodbenih uslužbencev, za katere so bili izvedeni postopki zaposlovanja; vendar na podlagi vprašalnika ugotavlja, da po mnenju ENVP ta sredstva še vedno ne zadoščajo za opravljanje novih nalog, zlasti za izvajanje nadzora nad sistemi umetne inteligence na področju nadzora meja, migracij, pravosodja ter preprečevanja, odkrivanja in preiskovanja kaznivih dejanj ali vzpostavitve regulativnega peskovnika za umetno inteligenco za institucije, organe, urade in agencije Unije, kot je določeno v členu 57(3) Uredbe (EU) 2024/1689; na podlagi poročila ENVP o nadaljnjem ukrepanju v zvezi z resolucijo Parlamenta o izvrševanju proračuna ENVP za leto 2023 (v nadaljnjem besedilu: poročilo o nadaljnjem ukrepanju), nadalje ugotavlja, da ENVP v letu 2024 tudi zaradi proračunskih omejitev ni mogel začeti študije izvedljivosti o umetni inteligenci; opozarja, da bi moral ENVP spoštovati pristojnosti svojega mandata s pristopom sodelovanja z institucijami in agencijami Unije, da bi se izognil dragim pravnim postopkom; opozarja, da je Parlament v resoluciji o razrešnici za leto 2023 že opozoril, da bi lahko postopna širitev mandata ENVP presegla njegova razpoložljiva sredstva; poudarja, da je treba ENVP zagotoviti ustrezne finančne in človeške vire za učinkovit nadzor sistemov umetne inteligence na zelo pomembnih področjih;</w:t>
      </w:r>
    </w:p>
    <w:p w14:paraId="35A352E4" w14:textId="77777777" w:rsidR="00174EA2" w:rsidRPr="004A3B9E" w:rsidRDefault="00174EA2" w:rsidP="00ED0D78">
      <w:pPr>
        <w:pStyle w:val="NormalHanging12a"/>
        <w:rPr>
          <w:szCs w:val="24"/>
        </w:rPr>
      </w:pPr>
      <w:r w:rsidRPr="004A3B9E">
        <w:t>14.</w:t>
      </w:r>
      <w:r w:rsidRPr="004A3B9E">
        <w:tab/>
        <w:t xml:space="preserve">v zvezi s tehnološkim spremljanjem in predvidevanjem ugotavlja, da se je ENVP v okviru svoje enote za tehnologijo in zasebnost v letu 2024 osredotočal na umetno inteligenco; v zvezi s tem opozarja na nekatere teme, ki jih je obravnaval ENVP, kot so: – obdelava nevropodatkov z nevrotehnologijami, ki je obravnavana v dokumentu z naslovom </w:t>
      </w:r>
      <w:r w:rsidRPr="004A3B9E">
        <w:rPr>
          <w:i/>
          <w:iCs/>
        </w:rPr>
        <w:t>TechDispatch on neurodata</w:t>
      </w:r>
      <w:r w:rsidRPr="004A3B9E">
        <w:t>, ki ga je ENVP skupaj s španskim organom za varstvo podatkov izdal junija 2024, ter – avtomatizirano odločanje in človeški nadzor nad njim, ki sta bila obravnavana na tematskem seminarju, ki sta ga septembra 2024 skupaj organizirala Agencija Evropske unije za kibernetsko varnost (ENISA) in Univerza v Karlstadu; z zadovoljstvom ugotavlja, da je ENVP novembra 2024 objavil četrto izdajo pobude Techsonar, ki se je osredotočala na šest trendov na področju umetne inteligence, in sicer s poizvedovanjem obogateno generiranje, umetna inteligenca na napravah, samodejno odučenje, multimodalna umetna inteligenca, prilagodljiv nadzor in nevrosimbolična umetna inteligenca; poudarja, da je pomembno, da ENVP pridobi znanje, potrebno za izvrševanje njegovih pooblastil v skladu z Uredbo (EU) 2024/1689, ko bodo institucije, organi, uradi in agencije Unije začeli uporabljati nastajajoče tehnologije za obdelavo osebnih podatkov; poleg tega poudarja, da je ENVP leta 2024 izdal prve smernice za institucije, organe, urade in agencije Unije, da bi se zagotovila skladnost z določbami o varstvu podatkov pri uporabi generativnih sistemov umetne inteligence, ter tri nadzorna mnenja o uporabi orodij umetne inteligence v Europolu in Eurojustu;</w:t>
      </w:r>
    </w:p>
    <w:p w14:paraId="55AFB7F6" w14:textId="77777777" w:rsidR="00174EA2" w:rsidRPr="004A3B9E" w:rsidRDefault="00174EA2" w:rsidP="00ED0D78">
      <w:pPr>
        <w:pStyle w:val="NormalHanging12a"/>
        <w:rPr>
          <w:szCs w:val="24"/>
        </w:rPr>
      </w:pPr>
      <w:r w:rsidRPr="004A3B9E">
        <w:t>15.</w:t>
      </w:r>
      <w:r w:rsidRPr="004A3B9E">
        <w:tab/>
        <w:t xml:space="preserve">priznava, da se število pritožb iz leta v leto nenehno povečuje, pri čemer se večina pritožb nanaša na Komisijo ter jih vložijo zaposleni v institucijah, organih, uradih in </w:t>
      </w:r>
      <w:r w:rsidRPr="004A3B9E">
        <w:lastRenderedPageBreak/>
        <w:t>agencijah Unije; ugotavlja, da je ENVP v letu 2024 prejel 663 pritožb, tj. 202 več kot v letu 2023, od katerih je bilo 108 dopustnih in 555 nedopustnih; ugotavlja, da je ENVP izdal končno odločbo, mnenje ali odgovor v 77 (tj. 33 % več kot v letu 2023) od 108 pritožb, prejetih v letu 2024, in odgovoril na vse prejete nedopustne pritožbe; ugotavlja, da je bilo od vseh dopustnih pritožb, prejetih v letu 2024, 48 zadev zaključenih v letu 2024, kar pomeni zmanjšanje v primerjavi z letom 2023, ko je bilo takih zadev 55; ugotavlja, da so bile konec leta 2024 v obravnavi 104 dopustne pritožbe (kar je več kot leta 2023, ko jih je bilo 71), vključno s tistimi, ki so bile vložene pred letom 2024; priznava, da si ENVP prizadeva za zmanjšanje velikega števila pritožb in ga spodbuja, naj še bolj racionalizira obravnavanje pritožb, na primer s prizadevanji za skupno razumevanje postopka obravnavanja pritožb z nacionalnimi organi za varstvo podatkov, zlasti na področju svobode, varnosti in pravice, kjer so preiskave zapletene in dolgotrajne; ugotavlja, da je ENVP v letu 2024 prejel 125 obvestil o kršitvah varnosti osebnih podatkov, kar je več kot v letu 2023, ko je prejel 77 obvestil;</w:t>
      </w:r>
    </w:p>
    <w:p w14:paraId="51314EFA" w14:textId="77777777" w:rsidR="00174EA2" w:rsidRPr="004A3B9E" w:rsidRDefault="00174EA2" w:rsidP="00ED0D78">
      <w:pPr>
        <w:pStyle w:val="NormalHanging12a"/>
        <w:rPr>
          <w:szCs w:val="24"/>
        </w:rPr>
      </w:pPr>
      <w:r w:rsidRPr="004A3B9E">
        <w:t>16.</w:t>
      </w:r>
      <w:r w:rsidRPr="004A3B9E">
        <w:tab/>
        <w:t>poziva ENVP, naj razmisli o svojih ključnih kazalnikih uspešnosti in zagotovi, da bodo zajemali obravnavo pritožb ter določali cilje za obravnavo pritožb in preiskav, podobno kot je praksa urada evropskega varuha človekovih pravic;</w:t>
      </w:r>
    </w:p>
    <w:p w14:paraId="6BAFBB43" w14:textId="77777777" w:rsidR="00174EA2" w:rsidRPr="004A3B9E" w:rsidRDefault="00174EA2" w:rsidP="00ED0D78">
      <w:pPr>
        <w:pStyle w:val="NormalHanging12a"/>
        <w:rPr>
          <w:szCs w:val="24"/>
        </w:rPr>
      </w:pPr>
      <w:r w:rsidRPr="004A3B9E">
        <w:t>17.</w:t>
      </w:r>
      <w:r w:rsidRPr="004A3B9E">
        <w:tab/>
        <w:t>poudarja pomembno vlogo posvetovanja in svetovanja, ki jo ima ENVP v zakonodajnem postopku Unije, ne le v zgodnji fazi priprave zakonodajnih predlogov Komisije, temveč tudi z dajanjem pripomb ali mnenj o sporazumnih predlogih sprememb o tristranskih pogajanjih na zahtevo Parlamenta in njegovih odborov; ugotavlja, da je ENVP na podlagi člena 42(1) Uredbe (EU) 2018/1725 odgovoril na 97 uradnih zakonodajnih posvetovanj (80 v letu 2023), njegovo svetovanje pa je bilo v obliki 25 mnenj (54 v letu 2023), 45 uradnih pripomb (26 v letu 2023) in 27 neuradnih pripomb (34 v letu 2023) Komisiji in sozakonodajalcema v odgovor na zahteve po zakonodajnem posvetovanju v letu 2024;</w:t>
      </w:r>
    </w:p>
    <w:p w14:paraId="4FAFEF80" w14:textId="77777777" w:rsidR="00174EA2" w:rsidRPr="004A3B9E" w:rsidRDefault="00174EA2" w:rsidP="00ED0D78">
      <w:pPr>
        <w:pStyle w:val="NormalHanging12a"/>
        <w:rPr>
          <w:szCs w:val="24"/>
        </w:rPr>
      </w:pPr>
      <w:r w:rsidRPr="004A3B9E">
        <w:t>18.</w:t>
      </w:r>
      <w:r w:rsidRPr="004A3B9E">
        <w:tab/>
        <w:t>poudarja, da ima EOVP ključno vlogo pri harmonizaciji smernic, postopkov, izvršilnih procesov in prakse nadzornih organov v državah članicah; v zvezi s tem ugotavlja, da EOVP v letu 2024 ni sprejel nobene zavezujoče odločitve, da je izdal 28 mnenj o skladnosti, sprejel dve novi smernici, objavil štiri izjave o zakonodajnih spremembah ter izvedel in usklajeval več programov v zvezi s sodelovanjem pri izvrševanju; nadalje ugotavlja, da EOVP zagotavlja sekretariat usklajenega nadzornega odbora, ki je skupina nacionalnih nadzornih organov in ENVP, ki zagotavlja usklajen nadzor nad obsežnimi informacijskimi sistemi Unije, pri čemer je bil leta 2024 tak nadzor razširjen na Vizumski informacijski sistem, poleg pripravljalnega dela, opravljenega za nadzor Evropskega sistema za potovalne informacije in odobritve (ETIAS);</w:t>
      </w:r>
    </w:p>
    <w:p w14:paraId="2B83EC93" w14:textId="77777777" w:rsidR="00174EA2" w:rsidRPr="004A3B9E" w:rsidRDefault="00174EA2" w:rsidP="00ED0D78">
      <w:pPr>
        <w:pStyle w:val="NormalHanging12a"/>
        <w:rPr>
          <w:szCs w:val="24"/>
        </w:rPr>
      </w:pPr>
      <w:r w:rsidRPr="004A3B9E">
        <w:t>19.</w:t>
      </w:r>
      <w:r w:rsidRPr="004A3B9E">
        <w:tab/>
        <w:t>z zadovoljstvom ugotavlja, da je ENVP v letu 2024 razvil različna postopkovna orodja in politike za izboljšanje svojih preiskovalnih postopkov; v zvezi s tem izraža pohvalo ENVP, ker je v letu 2024 spremenil svoj poslovnik, s čimer je „postopek pregleda“ nadomestil s „predhodno oceno“, da bi zaščitil pravico vseh vključenih strani, da izrazijo mnenje; ugotavlja, da lahko institucije, organi, uradi in agencije Unije od julija 2024 izrazijo svoja mnenja o predhodni oceni, preden ENVP sprejme odločitev, ki bi lahko negativno vplivala nanje; ugotavlja, da ta postopkovna jamstva prispevajo k poštenemu in pravočasnemu obravnavanju pritožb in preiskav; ugotavlja, da je ENVP v letu 2024 pregledal tudi preiskovalne metodologije, pripravil priročnik o dostopu do spisov, izboljšal pripravljenost na sodne spore, posodobil notranji priročnik za obravnavanje pritožb ter izboljšal postopke snemanja in prepisovanja zaslišanj;</w:t>
      </w:r>
    </w:p>
    <w:p w14:paraId="7F178C87" w14:textId="77777777" w:rsidR="00174EA2" w:rsidRPr="004A3B9E" w:rsidRDefault="00174EA2" w:rsidP="00ED0D78">
      <w:pPr>
        <w:pStyle w:val="NormalHanging12a"/>
      </w:pPr>
      <w:r w:rsidRPr="004A3B9E">
        <w:lastRenderedPageBreak/>
        <w:t>20.</w:t>
      </w:r>
      <w:r w:rsidRPr="004A3B9E">
        <w:tab/>
        <w:t>na podlagi letnega poročila in poročil o nadaljnjem ukrepanju ugotavlja, da je ENVP posebno pozornost namenjal obdelavi podatkov otrok, zlasti v okviru preprečevanja, odkrivanja in preiskovanja kaznivih dejanj; ugotavlja, da je bila ena od revizij, ki jih je ENVP izvedel leta 2024, namenjena obdelavi osebnih podatkov otrok v raziskovalnih projektih, ki jih je vodilo Skupno raziskovalno središče Komisije v Španiji, zlasti v zvezi z interakcijo med otroki in roboti; z zadovoljstvom ugotavlja, da je ENVP oktobra 2024 sodeloval na okrogli mizi organov za varstvo podatkov skupine G7 v Rimu, na kateri so organi za varstvo podatkov izdali izjavo o umetni inteligenci in otrocih, v kateri so pozvali k ukrepanju za zaščito zasebnosti otrok in zagotovitev, da bo umetna inteligenca spodbujala zaupanje in hkrati ščitila najbolj ranljive; želi spomniti, da je ENVP opravil namenski inšpekcijski pregled Europolove obdelave podatkov o mladoletnikih, mlajših od 15 let, ki so označeni kot osumljenci; ceni, da je ENVP ugotovil, da je splošni postopek za ocenjevanje informacij, ki jih partnerji posredujejo o mladoletnikih (vključno z mladoletniki, mlajšimi od 15 let), jasen in dobro razvit; ugotavlja, da je ENVP v poročilu o inšpekcijskem pregledu pozval Europol, naj še naprej izvaja lastno oceno zakonitosti prejetih podatkov, in poudaril, da mora Europol oceniti „nujno potrebo“ po obdelavi podatkov o mladoletnikih, osumljenih kaznivih dejanj;</w:t>
      </w:r>
    </w:p>
    <w:p w14:paraId="45772209" w14:textId="77777777" w:rsidR="00174EA2" w:rsidRPr="004A3B9E" w:rsidRDefault="00174EA2" w:rsidP="00ED0D78">
      <w:pPr>
        <w:pStyle w:val="NormalHanging12a"/>
        <w:rPr>
          <w:szCs w:val="24"/>
        </w:rPr>
      </w:pPr>
      <w:r w:rsidRPr="004A3B9E">
        <w:t>21.</w:t>
      </w:r>
      <w:r w:rsidRPr="004A3B9E">
        <w:tab/>
        <w:t>ugotavlja, da se lahko institucije, organi, uradi in agencije Unije posvetujejo z ENVP glede smernic za načrtovane postopke obdelave in varstvo podatkov; ugotavlja, da je ENVP izdal 26 posvetovalnih in 26 nadzornih mnenj o različnih temah; ugotavlja zlasti, da je ENVP decembra 2024 objavil nadzorno mnenje o načrtu Parlamenta, da bo za potrjevanje prisotnosti poslancev za izplačilo dnevnic uporabljal biometrične podatke;</w:t>
      </w:r>
    </w:p>
    <w:p w14:paraId="06618B04" w14:textId="77777777" w:rsidR="00174EA2" w:rsidRPr="004A3B9E" w:rsidRDefault="00174EA2" w:rsidP="00ED0D78">
      <w:pPr>
        <w:pStyle w:val="NormalHanging12a"/>
        <w:rPr>
          <w:szCs w:val="24"/>
        </w:rPr>
      </w:pPr>
      <w:r w:rsidRPr="004A3B9E">
        <w:t>22.</w:t>
      </w:r>
      <w:r w:rsidRPr="004A3B9E">
        <w:tab/>
        <w:t>ugotavlja, da je ENVP v letu 2024 izvedel štiri preiskave in dve predhodni preiskavi, kar je manj kot v letu 2023; ugotavlja, da so med najbolj opaznimi primeri predhodna preiskava o avtomatiziranem odločanju pri izbiri pripravnikov, preiskava o uporabi paketa Microsoft 365 v Komisiji in ena predhodna preiskava o profiliranju v aplikacijah za dostop javnosti; v zvezi z uporabo paketa Microsoft 365 v Komisiji ugotavlja, da je bilo v preiskavi odkritih več kršitev Uredbe (EU) 2018/1725, zaradi česar je ENVP Komisiji odredil, naj do 9. decembra 2024 začasno ustavi vse prenose podatkov Microsoftu in njegovim povezanim družbam zunaj Unije/Evropskega gospodarskega prostora (EGP); poziva ENVP, naj organ za podelitev razrešnice obvešča o izidu nadaljnjega ukrepanja v zvezi s tem, kako Komisija upošteva priporočila ENVP v tej zadevi; nadalje ugotavlja, da je ENVP v letu 2024 nadaljeval pet preiskav v zvezi s praksami spletnih mest institucij, organov, uradov in agencij Unije, ki so se osredotočale na komponente tretjih oseb in zahteve za soglasje; ugotavlja, da je ENVP v letu 2024 izvedel tri revizije, vključno z obiski na kraju samem, v zvezi s temami, kot so obdelava zdravstvenih podatkov, obdobja hrambe in raziskave, v katere so vključeni mladoletniki;</w:t>
      </w:r>
    </w:p>
    <w:p w14:paraId="671EC076" w14:textId="77777777" w:rsidR="00174EA2" w:rsidRPr="004A3B9E" w:rsidRDefault="00174EA2" w:rsidP="00ED0D78">
      <w:pPr>
        <w:pStyle w:val="NormalHanging12a"/>
      </w:pPr>
      <w:r w:rsidRPr="004A3B9E">
        <w:t>23.</w:t>
      </w:r>
      <w:r w:rsidRPr="004A3B9E">
        <w:tab/>
        <w:t>želi spomniti, da je ENVP leta 2022 pred Sodiščem Evropske unije vložil tožbo za razglasitev ničnosti dveh določb spremenjene Uredbe (EU) 2016/794 Evropskega parlamenta in Sveta</w:t>
      </w:r>
      <w:r w:rsidRPr="004A3B9E">
        <w:rPr>
          <w:vertAlign w:val="superscript"/>
        </w:rPr>
        <w:footnoteReference w:id="9"/>
      </w:r>
      <w:r w:rsidRPr="004A3B9E">
        <w:t xml:space="preserve">, ki jo je Sodišče Evropske unije pozneje zavrnilo, vendar je ENVP </w:t>
      </w:r>
      <w:r w:rsidRPr="004A3B9E">
        <w:lastRenderedPageBreak/>
        <w:t>pri Splošnem sodišču vložil pritožbo v zadevi T-578/22</w:t>
      </w:r>
      <w:r w:rsidRPr="004A3B9E">
        <w:rPr>
          <w:vertAlign w:val="superscript"/>
        </w:rPr>
        <w:footnoteReference w:id="10"/>
      </w:r>
      <w:r w:rsidRPr="004A3B9E">
        <w:t>, saj je menil, da bi bilo treba zadevna vprašanja obravnavati na najvišji ravni; na podlagi poročila o nadaljnjem ukrepanju ugotavlja, da se ENVP vzdržuje podajanja mnenj o navedeni pritožbi, ker se ta še obravnava; opozarja, da predložitev pravnih zadev Sodišču Evropske unije s strani ENVP v njegovi nadzorni vlogi ne bi smelo vplivati na lojalno sodelovanje in dobre odnose med ENVP in subjekti, ki jih nadzira, vendar ugotavlja, da vzbuja dvome o stališču ENVP glede vloge Parlamenta in Sveta kot zakonodajalca;</w:t>
      </w:r>
    </w:p>
    <w:p w14:paraId="21CA6EEC" w14:textId="77777777" w:rsidR="00174EA2" w:rsidRPr="004A3B9E" w:rsidRDefault="00174EA2" w:rsidP="00ED0D78">
      <w:pPr>
        <w:pStyle w:val="NormalHanging12a"/>
        <w:rPr>
          <w:szCs w:val="24"/>
        </w:rPr>
      </w:pPr>
      <w:r w:rsidRPr="004A3B9E">
        <w:t>24.</w:t>
      </w:r>
      <w:r w:rsidRPr="004A3B9E">
        <w:tab/>
        <w:t>ugotavlja, da je ocena standardov notranje kontrole ENVP za leto 2024 potrdila, da je raven notranje kontrole zadovoljiva, saj je vseh 14 standardov vzpostavljenih in v uporabi; ugotavlja, da je bila ustanovljena delovna skupina za analizo rezultatov in predlaganje izboljšav, kot so izboljšave na področju usposabljanja in razvoja ter upravljanja znanja in dokumentov; na podlagi vprašalnika ugotavlja, da je bilo s posodobljenim okvirom ENVP za obvladovanje tveganj uvedeno strukturirano spremljanje, ki organizaciji omogoča, da zagotavlja učinkovitost in dosledno spremljanje prizadevanj za zmanjšanje tveganj; nadalje ugotavlja, da je ENVP posodobil svoj postopek naknadnih kontrol, ki zdaj temeljijo na tveganju, in okrepil neprekinjeno poslovanje ter revizijsko sled z integracijo sistema ARES, usposabljanjem in izboljšanim upravljanjem znanja;</w:t>
      </w:r>
    </w:p>
    <w:p w14:paraId="6E0E1778" w14:textId="77777777" w:rsidR="00174EA2" w:rsidRPr="004A3B9E" w:rsidRDefault="00174EA2" w:rsidP="00ED0D78">
      <w:pPr>
        <w:pStyle w:val="NormalHanging12a"/>
      </w:pPr>
      <w:r w:rsidRPr="004A3B9E">
        <w:t>25.</w:t>
      </w:r>
      <w:r w:rsidRPr="004A3B9E">
        <w:tab/>
        <w:t>na podlagi vprašalnika ugotavlja, da je služba Komisije za notranjo revizijo leta 2024 začela eno revizijo upravljanja storitev informacijske tehnologije, ki jih Parlament zagotavlja ENVP, kar je privedlo do dveh priporočil, ki jih ENVP aktualno izvaja; glede revizije metodologije za načrtovanje revizij ENVP iz leta 2023 ugotavlja, da je bilo eno od dveh priporočil, ki jih je izdala služba za notranjo revizijo, upoštevano, izvajanje drugega priporočila (o oblikovanju metodologije za pripravo revizijskega načrta ENVP) pa je bilo odloženo do imenovanja novega nadzornika; poziva ENVP, naj organ za podelitev razrešnice obvešča o napredku v zvezi s tem, in ugotavlja, da bi se moral ENVP posvetovati s subjekti, ki jih je revidiral, glede izvedljivosti in primernosti načrtovanih priporočil, da bi poskrbel, da jih bo revidirani organ nato hitro, učinkovito in smotrno izvajal;</w:t>
      </w:r>
    </w:p>
    <w:p w14:paraId="2DA7383A" w14:textId="77777777" w:rsidR="00174EA2" w:rsidRPr="004A3B9E" w:rsidRDefault="00174EA2" w:rsidP="00ED0D78">
      <w:pPr>
        <w:pStyle w:val="NormalHanging12a"/>
        <w:rPr>
          <w:b/>
          <w:i/>
          <w:szCs w:val="24"/>
        </w:rPr>
      </w:pPr>
      <w:r w:rsidRPr="004A3B9E">
        <w:rPr>
          <w:b/>
          <w:i/>
        </w:rPr>
        <w:t>Človeški viri, enakost in dobro počutje zaposlenih</w:t>
      </w:r>
    </w:p>
    <w:p w14:paraId="0324D6A0" w14:textId="77777777" w:rsidR="00174EA2" w:rsidRPr="004A3B9E" w:rsidRDefault="00174EA2" w:rsidP="00ED0D78">
      <w:pPr>
        <w:pStyle w:val="NormalHanging12a"/>
        <w:rPr>
          <w:szCs w:val="24"/>
        </w:rPr>
      </w:pPr>
      <w:r w:rsidRPr="004A3B9E">
        <w:t>26.</w:t>
      </w:r>
      <w:r w:rsidRPr="004A3B9E">
        <w:tab/>
        <w:t xml:space="preserve">ugotavlja, da je imel ENVP ob koncu leta 2024 zaposlenih 137 uslužbencev v primerjavi s 129 leta 2023; ugotavlja, da je ENVP v letu 2023 zaposloval 55 pogodbenih uslužbencev v skladu s členom 3b Pogojev za zaposlitev drugih uslužbencev Evropske unije (50 pogodbenih uslužbencev v letu 2023), 9 začasnih uslužbencev v skladu s členom 2, točki (b) in (c), (7 začasnih uslužbencev v letu 2023) in uporabljal storitve 10 zunanjih ponudnikov storitev, ki so delali znotraj institucije (12 zunanjih izvajalcev storitev leta 2022); poziva ENVP, naj razmisli o tem, kako zmanjšati število pogodbenih uslužbencev v korist pogodb za nedoločen čas, da bi poskrbel za zadržanje talentov in neprekinjeno delovanje; ugotavlja, da je imel ENVP v letu 2024 med svojim osebjem državljane iz 23 držav članic (enako kot leta 2023), kar je kljub prekomerni zastopanosti 5 narodnosti in premajhni zastopanosti drugih narodnosti odličen rezultat za tako majhno institucijo; poziva ENVP, naj si še naprej prizadeva za uravnoteženo geografsko porazdelitev državljanov iz vseh držav članic, </w:t>
      </w:r>
      <w:r w:rsidRPr="004A3B9E">
        <w:lastRenderedPageBreak/>
        <w:t>zlasti na vodstveni ravni, tudi s politiko zaposlovanja;</w:t>
      </w:r>
    </w:p>
    <w:p w14:paraId="374A6B87" w14:textId="77777777" w:rsidR="00174EA2" w:rsidRPr="004A3B9E" w:rsidRDefault="00174EA2" w:rsidP="00ED0D78">
      <w:pPr>
        <w:pStyle w:val="NormalHanging12a"/>
      </w:pPr>
      <w:r w:rsidRPr="004A3B9E">
        <w:t>27.</w:t>
      </w:r>
      <w:r w:rsidRPr="004A3B9E">
        <w:tab/>
        <w:t>ugotavlja, da je stopnja zasedenosti delovnih mest v kadrovskem načrtu visoka, saj znaša 98,80 % (v primerjavi z 95,65 % v letu 2023), vendar je visoka tudi stopnja fluktuacije, ki je leta 2024 znašala 12 % (v primerjavi s 13 % leta 2023); ugotavlja, da je bila večina nezasedenih delovnih mest posledica neustreznosti kandidatov;</w:t>
      </w:r>
      <w:r w:rsidRPr="004A3B9E">
        <w:rPr>
          <w:b/>
          <w:i/>
        </w:rPr>
        <w:t xml:space="preserve"> </w:t>
      </w:r>
      <w:r w:rsidRPr="004A3B9E">
        <w:t>je seznanjen z izzivi, ugotovljenimi pri postopkih zaposlovanja in izbirnih postopkih; z zadovoljstvom ugotavlja, da je ENVP v poročilu o nadaljnjem ukrepanju obravnaval te izzive z razvojem celovite strategije za zadržanje osebja in privabljanje talentov, ki je bila sprejeta v začetku leta 2025 ter vključuje kratkoročne, srednjeročne in dolgoročne ukrepe za zadržanje izkušenega osebja, zmanjšanje tveganj fluktuacije in izboljšanje privlačnosti ENVP kot delodajalca; spodbuja ENVP, naj še naprej izboljšuje postopke zaposlovanja, pri tem pa v celoti spoštuje načela zaslug, preglednosti in enake obravnave;</w:t>
      </w:r>
    </w:p>
    <w:p w14:paraId="3D0BE4C0" w14:textId="77777777" w:rsidR="00174EA2" w:rsidRPr="004A3B9E" w:rsidRDefault="00174EA2" w:rsidP="00ED0D78">
      <w:pPr>
        <w:pStyle w:val="NormalHanging12a"/>
        <w:rPr>
          <w:szCs w:val="24"/>
        </w:rPr>
      </w:pPr>
      <w:r w:rsidRPr="004A3B9E">
        <w:t>28.</w:t>
      </w:r>
      <w:r w:rsidRPr="004A3B9E">
        <w:tab/>
        <w:t>v zvezi z razčlenitvijo uslužbencev ENVP po spolu ugotavlja, da je bilo leta 2024 v uradu 63 % žensk in 37 % moških, kar je enako kot v prejšnjem letu, ko je bila porazdelitev med ženskami in moškimi 65 % oziroma 35 %; je seznanjen z uravnoteženo zastopanostjo spolov na srednjih vodstvenih položajih, kjer so trije moški in tri ženske, vendar obžaluje, da so ženske na višjih vodstvenih položajih še vedno premalo zastopane; poziva ENVP, naj si še naprej prizadeva za uravnoteženo zastopanost spolov med zaposlenimi;</w:t>
      </w:r>
    </w:p>
    <w:p w14:paraId="0C5367E7" w14:textId="77777777" w:rsidR="00174EA2" w:rsidRPr="004A3B9E" w:rsidRDefault="00174EA2" w:rsidP="004A3B9E">
      <w:pPr>
        <w:spacing w:after="240"/>
        <w:ind w:left="567" w:hanging="567"/>
      </w:pPr>
      <w:r w:rsidRPr="004A3B9E">
        <w:t>29.</w:t>
      </w:r>
      <w:r w:rsidRPr="004A3B9E">
        <w:tab/>
        <w:t xml:space="preserve">ugotavlja, da je ENVP iz programa pripravništva Komisije „modra knjiga“ zaposlil 20 pripravnikov, ki so prejemali mesečno nadomestilo v višini približno 1 500 EUR, in enega neplačanega pripravnika na podlagi akademskega sporazuma o pripravništvu; </w:t>
      </w:r>
      <w:bookmarkStart w:id="8" w:name="_Hlk215140632"/>
      <w:r w:rsidRPr="004A3B9E">
        <w:t>ponovno poudarja, da bi morala biti plačila za pripravništva v skladu z resolucijo Evropskega parlamenta z dne 14. junija 2023 s priporočili Komisiji o kakovostnih pripravništvih v Uniji (2020/2005(INL)), v kateri je Parlament pozval k plačilu vseh pripravnikov v Uniji;</w:t>
      </w:r>
      <w:bookmarkEnd w:id="8"/>
    </w:p>
    <w:p w14:paraId="1D71427E" w14:textId="77777777" w:rsidR="00174EA2" w:rsidRPr="004A3B9E" w:rsidRDefault="00174EA2" w:rsidP="00ED0D78">
      <w:pPr>
        <w:pStyle w:val="NormalHanging12a"/>
        <w:rPr>
          <w:szCs w:val="24"/>
        </w:rPr>
      </w:pPr>
      <w:r w:rsidRPr="004A3B9E">
        <w:t>30.</w:t>
      </w:r>
      <w:r w:rsidRPr="004A3B9E">
        <w:tab/>
        <w:t>ugotavlja, da je ENVP v letu 2024 izvajal dejavnosti za razvoj svojih kadrov; ugotavlja, da je sprejel novo politiko o spletnih učnih platformah, se pridružil novemu medinstitucionalnemu programu sledenja na delovnem mestu, v okviru katerega pet uslužbencev ENVP sledi osebju Komisije, organiziral dan zunaj službenih prostorov za osebje, ki je bil namenjen pripravljenosti na umetno inteligenco, in druge dejavnosti za krepitev kohezije; ugotavlja, da je bila ustanovljena medoddelčna delovna skupina za oblikovanje pobud v korist enakosti, vključevanja in raznolikosti;</w:t>
      </w:r>
    </w:p>
    <w:p w14:paraId="1D1095FF" w14:textId="77777777" w:rsidR="00174EA2" w:rsidRPr="004A3B9E" w:rsidRDefault="00174EA2" w:rsidP="00ED0D78">
      <w:pPr>
        <w:pStyle w:val="NormalHanging12a"/>
      </w:pPr>
      <w:r w:rsidRPr="004A3B9E">
        <w:t>31.</w:t>
      </w:r>
      <w:r w:rsidRPr="004A3B9E">
        <w:tab/>
        <w:t>na podlagi vprašalnika ugotavlja, da ENVP ponuja prožne in hibridne ureditve delovnega časa, ki so dobro sprejete med osebjem, ki lahko omejeno število dni na leto med drugim porabi za starševski dopust, koriščenje ur, delo s krajšim delovnim časom ali delo iz tujine; ugotavlja, da je naslednja anketa o zadovoljstvu zaposlenih, ki bo zajemala tudi delo na daljavo, načrtovana za leto 2025; meni, da bi bilo mogoče stavbno infrastrukturo po potrebi optimizirati, da bi odražala delo na daljavo in hibridne ureditve dela, da bi zmanjšali operativne stroške in zagotovili učinkovitejšo uporabo pisarniških prostorov;</w:t>
      </w:r>
    </w:p>
    <w:p w14:paraId="20571049" w14:textId="77777777" w:rsidR="00174EA2" w:rsidRPr="004A3B9E" w:rsidRDefault="00174EA2" w:rsidP="00ED0D78">
      <w:pPr>
        <w:pStyle w:val="NormalHanging12a"/>
        <w:rPr>
          <w:szCs w:val="24"/>
        </w:rPr>
      </w:pPr>
      <w:r w:rsidRPr="004A3B9E">
        <w:t>32.</w:t>
      </w:r>
      <w:r w:rsidRPr="004A3B9E">
        <w:tab/>
        <w:t xml:space="preserve">ugotavlja, da ENVP aktualno ne zaposluje invalidov, vendar ima v vse razpise za prosta delovna mesta vključeno klavzulo o enakih možnostih in dejavno spodbuja prijave invalidnih kandidatov; ugotavlja, da je poslovno spletno mesto ENVP zasnovano na </w:t>
      </w:r>
      <w:r w:rsidRPr="004A3B9E">
        <w:lastRenderedPageBreak/>
        <w:t>sistemu za upravljanje vsebin, ki je usklajen z osnovnimi standardi za dostopno spletno oblikovanje, in da so vse dodatne funkcionalnosti, razvite za to spletno mesto, ustvarjene z dostopnostjo kot ključno zahtevo;</w:t>
      </w:r>
    </w:p>
    <w:p w14:paraId="47188049" w14:textId="77777777" w:rsidR="00174EA2" w:rsidRPr="004A3B9E" w:rsidRDefault="00174EA2" w:rsidP="00ED0D78">
      <w:pPr>
        <w:pStyle w:val="NormalHanging12a"/>
      </w:pPr>
      <w:r w:rsidRPr="004A3B9E">
        <w:t>33.</w:t>
      </w:r>
      <w:r w:rsidRPr="004A3B9E">
        <w:tab/>
        <w:t>na podlagi odgovorov ENVP na vprašalnik ugotavlja, da ENVP nima dostopa do zdravstvenih kartotek svojega osebja in ne more vedeti, kaj je glavni razlog za odsotnosti, saj jih potrjuje zdravstvena služba Komisije; ugotavlja, da ima ENVP dostop le do zbirnih podatkov, kot so število dni bolniške odsotnosti in podatki o tem, ali je za te dni predloženo zdravniško potrdilo; ugotavlja, da se je števila dni bolniške odsotnosti med letoma 2023 in 2024 povečalo, in sicer s 1 680,50 na 1 946 (+15,80 %), ter je tako preseglo povečanje števila zaposlenih s 129 na 137 (tj. +6,20 %); ugotavlja, da se je povprečno trajanje bolniške odsotnosti na osebo prav tako povečalo, in sicer s 14,7 dneva leta 2023 na 18,30 dneva leta 2024, ter da se je stopnja bolniške odsotnosti povečala s 3,60 % leta 2023 na 3,9 % leta 2024; izraža zaskrbljenost zaradi aktualnega stanja in še naprej poziva k jasnejši oceni dobrega počutja osebja, da bi se opredelili morebitni ponavljajoči se vzroki izgorelosti, o katerih bi bilo treba organu za podelitev razrešnice vsako leto poročati kot v vseh drugih institucijah; poziva ENVP, naj v sodelovanju z zdravstveno službo Komisije izvede ciljno usmerjeno oceno temeljnih vzrokov za to povečanje, s posebnim poudarkom na preprečevanju izgorelosti;</w:t>
      </w:r>
    </w:p>
    <w:p w14:paraId="11FE3A1A" w14:textId="77777777" w:rsidR="00174EA2" w:rsidRPr="004A3B9E" w:rsidRDefault="00174EA2" w:rsidP="00ED0D78">
      <w:pPr>
        <w:pStyle w:val="NormalHanging12a"/>
        <w:rPr>
          <w:szCs w:val="24"/>
        </w:rPr>
      </w:pPr>
      <w:r w:rsidRPr="004A3B9E">
        <w:t>34.</w:t>
      </w:r>
      <w:r w:rsidRPr="004A3B9E">
        <w:tab/>
        <w:t>na podlagi vprašalnika ugotavlja, da v letu 2024 pri ENVP ni bilo prijavljenih primerov nadlegovanja; pozdravlja dejstvo, da je ENVP v letu 2024 nadaljeval s predstavitvijo o preprečevanju nadlegovanja, ki jo je izvedel eden od zaupnih svetovalcev ENVP med uvajanjem za novozaposlene; pozdravlja objavo sklepa o preprečevanju nadlegovanja in vlogo zaupnih svetovalcev na intranetni strani ENVP;</w:t>
      </w:r>
    </w:p>
    <w:p w14:paraId="6107B928" w14:textId="77777777" w:rsidR="00174EA2" w:rsidRPr="004A3B9E" w:rsidRDefault="00174EA2" w:rsidP="00ED0D78">
      <w:pPr>
        <w:pStyle w:val="NormalHanging12a"/>
        <w:rPr>
          <w:szCs w:val="24"/>
        </w:rPr>
      </w:pPr>
      <w:r w:rsidRPr="004A3B9E">
        <w:rPr>
          <w:b/>
          <w:i/>
        </w:rPr>
        <w:t>Etični okvir in preglednost</w:t>
      </w:r>
    </w:p>
    <w:p w14:paraId="005718D7" w14:textId="77777777" w:rsidR="00174EA2" w:rsidRPr="004A3B9E" w:rsidRDefault="00174EA2" w:rsidP="00ED0D78">
      <w:pPr>
        <w:pStyle w:val="NormalHanging12a"/>
      </w:pPr>
      <w:r w:rsidRPr="004A3B9E">
        <w:t>35.</w:t>
      </w:r>
      <w:r w:rsidRPr="004A3B9E">
        <w:tab/>
        <w:t>ugotavlja, da je ENVP vzpostavil okvir za preprečevanje nasprotij interesov na ravni višjega vodstva in osebja s kodeksi ravnanja, ozaveščanjem in izjavami o odsotnosti nasprotij interesov in zaupnosti; ugotavlja, da morajo vsi, ki se zaposlijo pri ENVP, podpisati izjavo o odsotnosti nasprotij interesov in zaupnosti; ugotavlja, da v letu 2024 pri ENVP ni bilo zabeleženih primerov nasprotij interesov ali prijav nepravilnosti; z zaskrbljenostjo ugotavlja, da je bil v letu 2024 pri ENVP prijavljen en primer domnevne goljufije, ki ga je preiskoval Preiskovalni in disciplinski urad Komisije (IDOC); ugotavlja, da je IDOC v tem primeru preiskavo zaključil v letu 2025 s priporočilom ENVP, naj v skladu s kadrovskimi predpisi začne disciplinski postopek; poziva ENVP, naj organ za podelitev razrešnice obvešča o končnem izidu te zadeve, pa tudi o vseh morebitnih ukrepih, sprejetih za okrepitev notranjih kontrol za boj proti goljufijam;</w:t>
      </w:r>
    </w:p>
    <w:p w14:paraId="28609366" w14:textId="77777777" w:rsidR="00174EA2" w:rsidRPr="004A3B9E" w:rsidRDefault="00174EA2" w:rsidP="00ED0D78">
      <w:pPr>
        <w:pStyle w:val="NormalHanging12a"/>
        <w:rPr>
          <w:szCs w:val="24"/>
        </w:rPr>
      </w:pPr>
      <w:r w:rsidRPr="004A3B9E">
        <w:t>36.</w:t>
      </w:r>
      <w:r w:rsidRPr="004A3B9E">
        <w:tab/>
        <w:t>ugotavlja, da je ENVP v letu 2024 še naprej organiziral uvodna usposabljanja, ki so zajemala njegov etični okvir (o nadlegovanju, prijavljanju nepravilnosti, nasprotju interesov) in strategijo za boj proti goljufijam za novozaposlene pri ENVP/EOVP; ugotavlja, da pooblaščenec ENVP za etiko vodstvu ENVP/EOVP vsako leto predloži poročilo o etiki in sodeluje v delovni skupini za etiko v okviru odbora za statutarna vprašanja; z zadovoljstvom ugotavlja, da je ENVP vzpostavil poštni predal, v katerega lahko osebje pošilja svoje zahteve v zvezi z vsemi vprašanji, povezanimi z etiko; spodbuja ENVP, naj še naprej ozavešča in organizira ankete za oceno ravni ozaveščenosti uslužbencev o etičnem okviru ENVP/EOVP;</w:t>
      </w:r>
    </w:p>
    <w:p w14:paraId="1C0378BD" w14:textId="77777777" w:rsidR="00174EA2" w:rsidRPr="004A3B9E" w:rsidRDefault="00174EA2" w:rsidP="00ED0D78">
      <w:pPr>
        <w:pStyle w:val="NormalHanging12a"/>
      </w:pPr>
      <w:r w:rsidRPr="004A3B9E">
        <w:t>37.</w:t>
      </w:r>
      <w:r w:rsidRPr="004A3B9E">
        <w:tab/>
        <w:t xml:space="preserve">pozdravlja visoko raven preglednosti, ki jo je dosegel ENVP v zvezi s svojimi </w:t>
      </w:r>
      <w:r w:rsidRPr="004A3B9E">
        <w:lastRenderedPageBreak/>
        <w:t>dejavnostmi, tudi v zvezi z objavo dnevnega reda in izjave o interesih nadzornika in generalnega sekretarja; na podlagi vprašalnika z zadovoljstvom ugotavlja, da je po notranji oceni ukrepov za preglednost, izvedeni v obdobju 2023–2024, ENVP leta 2025 sprejel sklep, da se nadzornik, generalni sekretar in osebje ENVP, ki ima vodstvene odgovornosti, sestanejo z zastopniki interesov le, če so ti vpisani v register Unije za preglednost; pozdravlja, da je ENVP z navedenim sklepom vključen v register Unije za preglednost, o čemer je bil ustrezno obveščen upravni odbor; priporoča, naj ENVP na svojem spletnem mestu objavi seznam vseh sestankov z zastopniki interesov, da bi dodatno povečal javno odgovornost in preglednost;</w:t>
      </w:r>
    </w:p>
    <w:p w14:paraId="4C3BB3DD" w14:textId="77777777" w:rsidR="00174EA2" w:rsidRPr="004A3B9E" w:rsidRDefault="00174EA2" w:rsidP="00ED0D78">
      <w:pPr>
        <w:pStyle w:val="NormalHanging12a"/>
        <w:rPr>
          <w:szCs w:val="24"/>
        </w:rPr>
      </w:pPr>
      <w:r w:rsidRPr="004A3B9E">
        <w:t>38.</w:t>
      </w:r>
      <w:r w:rsidRPr="004A3B9E">
        <w:tab/>
        <w:t>ugotavlja, da je bil ENVP predmet preiskave Evropskega varuha človekovih pravic v zvezi z zadevo, začeto leta 2023, ki je bila zaključena leta 2024 z ugotovitvijo nepravilnosti; ugotavlja, da se je ugotovitev nanašala na čas, ki ga je ENVP potreboval za dokončanje ocene pritožbe v razumnem roku, in dejstvo, da pritožnika ni proaktivno obveščal o poteku zadeve; zato ceni, da je ENVP sprejel ukrepe za izboljšanje svojih postopkov, v skladu s katerimi mora osebje zdaj proaktivno posodabljati pritožbe in začasno ustaviti preiskave, ko čaka na sodne odločbe ali odločitve drugih organov v isti zadevi; na podlagi vprašalnika ugotavlja, da je bil ENVP v letu 2024 vključen v tri preiskave Evropskega urada za boj proti goljufijam (OLAF), ki še potekajo; poziva ENVP, naj organ za podelitev razrešnice redno obvešča o teh zadevah;</w:t>
      </w:r>
    </w:p>
    <w:p w14:paraId="297010E2" w14:textId="77777777" w:rsidR="00174EA2" w:rsidRPr="004A3B9E" w:rsidRDefault="00174EA2" w:rsidP="00ED0D78">
      <w:pPr>
        <w:pStyle w:val="NormalHanging12a"/>
      </w:pPr>
      <w:r w:rsidRPr="004A3B9E">
        <w:t>39.</w:t>
      </w:r>
      <w:r w:rsidRPr="004A3B9E">
        <w:tab/>
        <w:t>poudarja vlogo ENVP pri nadzoru postopkov obdelave osebnih podatkov v institucijah, organih, uradih in agencijah Unije; izraža zaskrbljenost zaradi časa, ki ga ENVP potrebuje za obravnavo pritožb; opozarja na sklep evropske varuhinje človekovih pravic z dne 7. novembra 2024 v zadevi 1888/2023/TM, v katerem je ugotovila, da šest let, ki jih je ENVP potreboval za dokončanje ocene pritožbe, ni bil razumen časovni okvir in da je bil pristop ENVP nepravilen; ugotavlja, da je evropska varuhinja človekovih pravic ugotovila, da ENVP pritožnika tudi ni obveščal o napredku zadeve;</w:t>
      </w:r>
    </w:p>
    <w:p w14:paraId="4B4481A5" w14:textId="77777777" w:rsidR="00174EA2" w:rsidRPr="004A3B9E" w:rsidRDefault="00174EA2" w:rsidP="00ED0D78">
      <w:pPr>
        <w:pStyle w:val="NormalHanging12a"/>
        <w:rPr>
          <w:szCs w:val="24"/>
        </w:rPr>
      </w:pPr>
      <w:r w:rsidRPr="004A3B9E">
        <w:t>40.</w:t>
      </w:r>
      <w:r w:rsidRPr="004A3B9E">
        <w:tab/>
        <w:t>ugotavlja, da v skladu s členom 9 kodeksa ravnanja ENVP za nadzornika in generalnega sekretarja še tri leta po prenehanju mandata velja dolžnost integritete, diskretnosti in zaupnosti; ugotavlja, da v letu 2024 noben visoki uradnik ni zapustil ENVP ali se mu pridružil;</w:t>
      </w:r>
    </w:p>
    <w:p w14:paraId="1E2E8517" w14:textId="77777777" w:rsidR="00174EA2" w:rsidRPr="004A3B9E" w:rsidRDefault="00174EA2" w:rsidP="00ED0D78">
      <w:pPr>
        <w:pStyle w:val="NormalHanging12a"/>
        <w:rPr>
          <w:szCs w:val="24"/>
        </w:rPr>
      </w:pPr>
      <w:r w:rsidRPr="004A3B9E">
        <w:rPr>
          <w:b/>
          <w:i/>
        </w:rPr>
        <w:t>Digitalizacija, kibernetska varnost in varstvo podatkov</w:t>
      </w:r>
    </w:p>
    <w:p w14:paraId="79B47747" w14:textId="77777777" w:rsidR="00174EA2" w:rsidRPr="004A3B9E" w:rsidRDefault="00174EA2" w:rsidP="00ED0D78">
      <w:pPr>
        <w:pStyle w:val="NormalHanging12a"/>
        <w:rPr>
          <w:szCs w:val="24"/>
        </w:rPr>
      </w:pPr>
      <w:r w:rsidRPr="004A3B9E">
        <w:t>41.</w:t>
      </w:r>
      <w:r w:rsidRPr="004A3B9E">
        <w:tab/>
        <w:t>na podlagi vprašalnika ugotavlja, da so bili odhodki za opremo in projekte informacijske tehnologije zaradi dodatnega svetovanja na področju kibernetske varnosti v letu 2024 za 10 % višji v primerjavi z letom 2023; nadalje ugotavlja, da so drugi stroškovni elementi med navedenima letoma ostali razmeroma stabilni, vključno s splošnimi storitvami informacijske tehnologije in vzdrževanjem;</w:t>
      </w:r>
    </w:p>
    <w:p w14:paraId="1B50DA47" w14:textId="77777777" w:rsidR="00174EA2" w:rsidRPr="004A3B9E" w:rsidRDefault="00174EA2" w:rsidP="00ED0D78">
      <w:pPr>
        <w:pStyle w:val="NormalHanging12a"/>
        <w:rPr>
          <w:szCs w:val="24"/>
        </w:rPr>
      </w:pPr>
      <w:r w:rsidRPr="004A3B9E">
        <w:t>42.</w:t>
      </w:r>
      <w:r w:rsidRPr="004A3B9E">
        <w:tab/>
        <w:t xml:space="preserve">je seznanjen z napredkom, ki ga je ENVP dosegel na poti k digitalni preobrazbi v letu 2024; zlasti ugotavlja, da je ENVP integriral EU Send (storitev/kanal za izmenjavo občutljivih nezaupnih informacij z drugimi institucijami, organi, uradi in agencijami Unije), uvedel ServiceNow za podporo informacijski tehnologiji (vzpostavitev enotnega portala za pomoč osebju) in SECABC (medinstitucionalni okvir za varno izmenjavo informacij) ter prešel na lokalno storitev Komisije Container-as-a-Service; ugotavlja, da sta za digitalno preobrazbo ENVP predvidena en uslužbenec, zaposlen za nedoločen čas, in en pogodbeni uslužbenec; na podlagi vprašalnika in poročila o nadaljnjem ukrepanju priznava proračunske omejitve ENVP, ki preprečujejo ustanovitev skupine </w:t>
      </w:r>
      <w:r w:rsidRPr="004A3B9E">
        <w:lastRenderedPageBreak/>
        <w:t>vsaj petih strokovnjakov za informacijsko tehnologijo, ki bi pokrivali sedem različnih področij informacijske tehnologije in bi lahko nudili podporo za specifične aplikacije, povezane s poslovnimi procesi ENVP, ki presegajo osnovno infrastrukturo informacijske tehnologije in storitve, ki jih ponujata Parlament in Komisija v okviru sporazumov o ravni storitve;</w:t>
      </w:r>
    </w:p>
    <w:p w14:paraId="07D29676" w14:textId="77777777" w:rsidR="00174EA2" w:rsidRPr="004A3B9E" w:rsidRDefault="00174EA2" w:rsidP="00ED0D78">
      <w:pPr>
        <w:pStyle w:val="NormalHanging12a"/>
        <w:rPr>
          <w:bCs/>
          <w:iCs/>
        </w:rPr>
      </w:pPr>
      <w:r w:rsidRPr="004A3B9E">
        <w:t>43.</w:t>
      </w:r>
      <w:r w:rsidRPr="004A3B9E">
        <w:tab/>
        <w:t>ugotavlja, da se omejeno število notranjega osebja ENVP na področju informacijske tehnologije delno nadomešča s storitvami informacijske tehnologije, ki jih Parlament in Komisija nudita v okviru sporazumov o ravni storitve in mehanizma za vračanje stroškov; opozarja, da je Parlament v resoluciji o razrešnici za leto 2023 že opredelil strukturne vrzeli med temi medinstitucionalnimi storitvami informacijske tehnologije in posebnimi operativnimi potrebami ENVP; poudarja, da lahko ta model sicer ustvari ekonomijo obsega, vendar lahko zmanjša predvidljivost stroškov in neposredni nadzor majhnih institucij nad razvojem odhodkov, povezanih z informacijsko tehnologijo, ter poudarja, da je treba te strukturne stroškovne pritiske upoštevati pri prihodnjem proračunskem načrtovanju;</w:t>
      </w:r>
    </w:p>
    <w:p w14:paraId="34E2D6FA" w14:textId="77777777" w:rsidR="00174EA2" w:rsidRPr="004A3B9E" w:rsidRDefault="00174EA2" w:rsidP="00ED0D78">
      <w:pPr>
        <w:pStyle w:val="NormalHanging12a"/>
        <w:rPr>
          <w:bCs/>
          <w:iCs/>
        </w:rPr>
      </w:pPr>
      <w:r w:rsidRPr="004A3B9E">
        <w:t>44.</w:t>
      </w:r>
      <w:r w:rsidRPr="004A3B9E">
        <w:tab/>
        <w:t>poudarja delo ENVP v zvezi z odprtokodnimi sodelovalnimi rešitvami v oblaku, ki temeljijo na Uniji, zlasti projektom Nextcloud in njegovim prehodom na podatkovni center, ki ga upravlja Komisija, da bi okrepili podatkovno suverenost in zmanjšali odvisnost od ponudnikov iz tretjih držav; poziva ENVP, naj organu za podelitev razrešnice predloži oceno skupnih stroškov lastništva projekta, varnostnih koristi in nadgradljivosti za druge institucije Unije;</w:t>
      </w:r>
    </w:p>
    <w:p w14:paraId="7D5E11CE" w14:textId="77777777" w:rsidR="00174EA2" w:rsidRPr="004A3B9E" w:rsidRDefault="00174EA2" w:rsidP="00ED0D78">
      <w:pPr>
        <w:pStyle w:val="NormalHanging12a"/>
      </w:pPr>
      <w:r w:rsidRPr="004A3B9E">
        <w:t>45.</w:t>
      </w:r>
      <w:r w:rsidRPr="004A3B9E">
        <w:tab/>
        <w:t>priznava, da se ENVP uspešno opira na številne upravne sisteme, ki jih uporablja Komisija, zlasti na področju kadrovskih postopkov in postopkov poslovnega upravljanja, ter na nekatere storitve Parlamenta, med drugim na zagotavljanje prenosnih računalnikov, omrežne infrastrukture in videokonferenc; ugotavlja, da ENVP uporablja kvalificirani elektronski podpis za podpisovanje elektronskih dokumentov znotraj in zunaj sistema ARES za upravne in finančne dokumente; izraža pohvalo ENVP, ker je dosegel napredek pri sprejemanju orodij za e-javno naročanje, katerih uvedba je predvidena za leto 2026, ko bo pri ENVP uvedena tudi nova finančna programska oprema SUMMA;</w:t>
      </w:r>
    </w:p>
    <w:p w14:paraId="1CDDF5A3" w14:textId="77777777" w:rsidR="00174EA2" w:rsidRPr="004A3B9E" w:rsidRDefault="00174EA2" w:rsidP="00ED0D78">
      <w:pPr>
        <w:pStyle w:val="NormalHanging12a"/>
      </w:pPr>
      <w:r w:rsidRPr="004A3B9E">
        <w:t>46.</w:t>
      </w:r>
      <w:r w:rsidRPr="004A3B9E">
        <w:tab/>
        <w:t>na podlagi vprašalnika ugotavlja, da je ENVP leta 2025 odobril notranje smernice o uporabi generativnih sistemov umetne inteligence za svoje osebje, ki mu je na voljo tudi obvezno usposabljanje na področju umetne inteligence; pozdravlja pripravljalno delo ENVP za morebitno izdajo smernic, ki bi zagotovile odgovorno uporabo orodij umetne inteligence v institucijah, organih, uradih in agencijah Unije ter dopolnile že obstoječe smernice Komisije, saj bi se osredotočale na posebnosti javne uprave Unije ali primere uporabe na specifičnih področjih, kot so kadrovske zadeve/zaposlovanje;</w:t>
      </w:r>
    </w:p>
    <w:p w14:paraId="0A2533FA" w14:textId="77777777" w:rsidR="00174EA2" w:rsidRPr="004A3B9E" w:rsidRDefault="00174EA2" w:rsidP="00ED0D78">
      <w:pPr>
        <w:pStyle w:val="NormalHanging12a"/>
        <w:rPr>
          <w:szCs w:val="24"/>
        </w:rPr>
      </w:pPr>
      <w:r w:rsidRPr="004A3B9E">
        <w:t>47.</w:t>
      </w:r>
      <w:r w:rsidRPr="004A3B9E">
        <w:tab/>
        <w:t>priznava vodilno vlogo ENVP pri izboljševanju pripravljenosti institucij, organov, uradov in agencij Unije na področju kibernetske varnosti, ob tesnem sodelovanju z organi, kot je agencija ENISA, in centri za kibernetsko varnost, kot je služba CERT-EU;</w:t>
      </w:r>
    </w:p>
    <w:p w14:paraId="5047B56B" w14:textId="77777777" w:rsidR="00174EA2" w:rsidRPr="004A3B9E" w:rsidRDefault="00174EA2" w:rsidP="00ED0D78">
      <w:pPr>
        <w:pStyle w:val="NormalHanging12a"/>
      </w:pPr>
      <w:r w:rsidRPr="004A3B9E">
        <w:t>48.</w:t>
      </w:r>
      <w:r w:rsidRPr="004A3B9E">
        <w:tab/>
        <w:t xml:space="preserve">na podlagi vprašalnika ugotavlja, da je ENVP začel izvajati dve ključni pobudi za okrepitev upravljanja kršitev varstva osebnih podatkov v institucijah Unije, in sicer kampanjo za ozaveščanje o kršitvah varstva osebnih podatkov, ki je bila namenjena subjektom, ki prej niso poročali o kršitvah, ter je vključevala orodja za </w:t>
      </w:r>
      <w:r w:rsidRPr="004A3B9E">
        <w:lastRenderedPageBreak/>
        <w:t>samoocenjevanje, dvostranska posvetovanja in prilagojena priporočila, ter vajo na področju kibernetske varnosti (imenovano PATRICIA), katere cilj je bil izboljšati obravnavanje incidentov na področju kibernetske varnosti, povezanih s kršitvami varnosti osebnih podatkov, in okrepiti medinstitucionalno sodelovanje; z zadovoljstvom ugotavlja, da je Svetovna skupščina za zasebnost leta 2025 obe pobudi nagradila za njun prispevek k odgovornosti; ugotavlja, da je ENVP okrepil svoj okvir za kibernetsko varnost z uvedbo zaznavanja ranljivosti in groženj v realnem času za sredstva, povezana z internetom, in sicer z okrepljenim sodelovanjem v okviru svojega sporazuma o ravni storitve s službo CERT-EU; čestita ENVP za organizacijo konference v Bruslju junija 2024, na kateri so se zbrali strokovnjaki za varstvo podatkov, oblikovalci politik in tehnološki strokovnjaki, da bi razmislili o spreminjajoči se vlogi varstva podatkov v sodobnih demokracijah, zlasti glede na porast dezinformacij in spletne manipulacije ter izzive, ki jih pomenijo družbeni mediji;</w:t>
      </w:r>
    </w:p>
    <w:p w14:paraId="6A079B2B" w14:textId="77777777" w:rsidR="00174EA2" w:rsidRPr="004A3B9E" w:rsidRDefault="00174EA2" w:rsidP="00ED0D78">
      <w:pPr>
        <w:pStyle w:val="NormalHanging12a"/>
        <w:rPr>
          <w:b/>
          <w:i/>
          <w:szCs w:val="24"/>
        </w:rPr>
      </w:pPr>
      <w:r w:rsidRPr="004A3B9E">
        <w:rPr>
          <w:b/>
          <w:i/>
        </w:rPr>
        <w:t>Stavbe</w:t>
      </w:r>
    </w:p>
    <w:p w14:paraId="40D89D88" w14:textId="77777777" w:rsidR="00174EA2" w:rsidRPr="004A3B9E" w:rsidRDefault="00174EA2" w:rsidP="00ED0D78">
      <w:pPr>
        <w:pStyle w:val="NormalHanging12a"/>
        <w:rPr>
          <w:szCs w:val="24"/>
        </w:rPr>
      </w:pPr>
      <w:r w:rsidRPr="004A3B9E">
        <w:t>49.</w:t>
      </w:r>
      <w:r w:rsidRPr="004A3B9E">
        <w:tab/>
        <w:t>ugotavlja, da je bilo v letu 2024 potrebno nakazilo v višini približno 55 000 EUR za kritje stroškov zagotavljanja varnosti in najema stavb, saj so bili stroški najema, ki jih je Parlament potrdil za leto 2024, za stavbo, ki jo uporablja ENVP, višji od sredstev, dodeljenih za navedeno leto;</w:t>
      </w:r>
    </w:p>
    <w:p w14:paraId="51204D3C" w14:textId="77777777" w:rsidR="00174EA2" w:rsidRPr="004A3B9E" w:rsidRDefault="00174EA2" w:rsidP="00ED0D78">
      <w:pPr>
        <w:pStyle w:val="NormalHanging12a"/>
        <w:rPr>
          <w:szCs w:val="24"/>
        </w:rPr>
      </w:pPr>
      <w:r w:rsidRPr="004A3B9E">
        <w:t>50.</w:t>
      </w:r>
      <w:r w:rsidRPr="004A3B9E">
        <w:tab/>
        <w:t>ugotavlja, da se ENVP, kar zadeva dostopnost stavbe, zanaša na odločitve, ki jih sprejme in izvaja Parlament v okviru svoje nepremičninske politike; poziva ENVP, naj organ za podelitev razrešnice obvesti, ali namerava zaposliti tudi pripravnike z omejeno mobilnostjo ali invalidnostjo;</w:t>
      </w:r>
    </w:p>
    <w:p w14:paraId="5F3FE70A" w14:textId="77777777" w:rsidR="00174EA2" w:rsidRPr="004A3B9E" w:rsidRDefault="00174EA2" w:rsidP="00ED0D78">
      <w:pPr>
        <w:pStyle w:val="NormalHanging12a"/>
        <w:rPr>
          <w:b/>
          <w:iCs/>
          <w:szCs w:val="24"/>
        </w:rPr>
      </w:pPr>
      <w:r w:rsidRPr="004A3B9E">
        <w:rPr>
          <w:b/>
          <w:i/>
        </w:rPr>
        <w:t>Okolje in trajnostnost</w:t>
      </w:r>
    </w:p>
    <w:p w14:paraId="318F4838" w14:textId="77777777" w:rsidR="00174EA2" w:rsidRPr="004A3B9E" w:rsidRDefault="00174EA2" w:rsidP="00ED0D78">
      <w:pPr>
        <w:pStyle w:val="NormalHanging12a"/>
        <w:rPr>
          <w:bCs/>
          <w:iCs/>
          <w:szCs w:val="24"/>
        </w:rPr>
      </w:pPr>
      <w:r w:rsidRPr="004A3B9E">
        <w:t>51.</w:t>
      </w:r>
      <w:r w:rsidRPr="004A3B9E">
        <w:tab/>
        <w:t>ugotavlja, da ENVP najema pametno stavbo Parlamenta, katere okoljski odtis je zmanjšan z več ukrepi, med drugim s samodejnim in centralnim uravnavanjem temperature; ugotavlja, da je stavba opremljena tudi s fotovoltaičnimi paneli, ki proizvedejo približno 20 kWh električne energije, s katerimi so v letu 2024 pokrili 6,04 % skupne porabe ENVP;</w:t>
      </w:r>
    </w:p>
    <w:p w14:paraId="60D26129" w14:textId="77777777" w:rsidR="00174EA2" w:rsidRPr="004A3B9E" w:rsidRDefault="00174EA2" w:rsidP="00ED0D78">
      <w:pPr>
        <w:pStyle w:val="NormalHanging12a"/>
      </w:pPr>
      <w:r w:rsidRPr="004A3B9E">
        <w:t>52.</w:t>
      </w:r>
      <w:r w:rsidRPr="004A3B9E">
        <w:tab/>
        <w:t>ugotavlja, da se ENVP ni pridružil sistemu za okoljsko ravnanje in presojo (EMAS); ugotavlja, da je ENVP z namenom pridobitve certifikata EMAS leta 2024 ustanovil medoddelčno delovno skupino, katere cilji so evidentiranje obstoječih ukrepov, ki jih je Parlament že izvedel, razvoj strategij za zmanjšanje emisij ogljika in predlaganje inovativnih rešitev; poziva ENVP, naj določi jasen časovni okvir za pridobitev certifikata EMAS in organ za podelitev razrešnice obvešča o napredku v zvezi s tem;</w:t>
      </w:r>
    </w:p>
    <w:p w14:paraId="01E6536A" w14:textId="77777777" w:rsidR="00174EA2" w:rsidRPr="004A3B9E" w:rsidRDefault="00174EA2" w:rsidP="00ED0D78">
      <w:pPr>
        <w:spacing w:after="240"/>
        <w:ind w:left="567" w:hanging="567"/>
      </w:pPr>
      <w:r w:rsidRPr="004A3B9E">
        <w:t>53.</w:t>
      </w:r>
      <w:r w:rsidRPr="004A3B9E">
        <w:tab/>
        <w:t>na podlagi vprašalnika ugotavlja, da ENVP večino svojih javnih naročil izvaja na podlagi medinstitucionalnih okvirnih pogodb in kot sodelujoči javni naročnik uporablja trajnostna merila, ki jih je določil vodilni javni naročnik;</w:t>
      </w:r>
    </w:p>
    <w:p w14:paraId="7C1AC419" w14:textId="77777777" w:rsidR="00174EA2" w:rsidRPr="004A3B9E" w:rsidRDefault="00174EA2" w:rsidP="00ED0D78">
      <w:pPr>
        <w:spacing w:after="240"/>
        <w:ind w:left="567" w:hanging="567"/>
      </w:pPr>
      <w:r w:rsidRPr="004A3B9E">
        <w:t>54.</w:t>
      </w:r>
      <w:r w:rsidRPr="004A3B9E">
        <w:tab/>
        <w:t xml:space="preserve">na podlagi vprašalnika ugotavlja, da morajo vsa službena potovanja v okviru ENVP potekati v skladu s pravili, določenimi v priročniku za službena potovanja; ugotavlja, da osebje ENVP potuje predvsem v ekonomskem razredu in da večina potovanj poteka znotraj Unije; pozdravlja prizadevanja ENVP, da bi zmanjšal ogljični odtis s spodbujanjem osebja k uporabi videokonferenc, potovanj z vlakom na kratke razdalje in javnega prevoza pri potovanjih na letališče ali z njega oziroma v kraj službenega </w:t>
      </w:r>
      <w:r w:rsidRPr="004A3B9E">
        <w:lastRenderedPageBreak/>
        <w:t>potovanja ali iz njega;</w:t>
      </w:r>
    </w:p>
    <w:p w14:paraId="29E1F4F0" w14:textId="77777777" w:rsidR="00174EA2" w:rsidRPr="004A3B9E" w:rsidRDefault="00174EA2" w:rsidP="00ED0D78">
      <w:pPr>
        <w:spacing w:after="240"/>
        <w:ind w:left="567" w:hanging="567"/>
      </w:pPr>
      <w:r w:rsidRPr="004A3B9E">
        <w:t>55.</w:t>
      </w:r>
      <w:r w:rsidRPr="004A3B9E">
        <w:tab/>
        <w:t>na podlagi vprašalnika ugotavlja, da ENVP izvaja strategijo trajnostne mobilnosti, ki osebju omogoča, da zahteva povračilo 50 % cene mesečnih ali letnih vozovnic ali večkratnih vozovnic za javni prevoz, ter ponuja ugodnosti, prilagojene potrebam zaposlenih, ki uporabljajo kolesa;</w:t>
      </w:r>
    </w:p>
    <w:p w14:paraId="5C7E5D59" w14:textId="77777777" w:rsidR="00174EA2" w:rsidRPr="004A3B9E" w:rsidRDefault="00174EA2" w:rsidP="00ED0D78">
      <w:pPr>
        <w:pStyle w:val="NormalHanging12a"/>
        <w:rPr>
          <w:b/>
          <w:i/>
          <w:szCs w:val="24"/>
        </w:rPr>
      </w:pPr>
      <w:r w:rsidRPr="004A3B9E">
        <w:rPr>
          <w:b/>
          <w:i/>
        </w:rPr>
        <w:t>Medinstitucionalno sodelovanje</w:t>
      </w:r>
    </w:p>
    <w:p w14:paraId="76D00814" w14:textId="77777777" w:rsidR="00174EA2" w:rsidRPr="004A3B9E" w:rsidRDefault="00174EA2" w:rsidP="00ED0D78">
      <w:pPr>
        <w:pStyle w:val="NormalHanging12a"/>
        <w:rPr>
          <w:szCs w:val="24"/>
        </w:rPr>
      </w:pPr>
      <w:r w:rsidRPr="004A3B9E">
        <w:t>56.</w:t>
      </w:r>
      <w:r w:rsidRPr="004A3B9E">
        <w:tab/>
        <w:t>pozdravlja proračunske in upravne prihranke, ki jih je ENVP dosegel z medinstitucionalnim sodelovanjem, zlasti s sklenitvijo sporazumov o ravni storitve s Parlamentom za najem njegovih prostorov in uporabo aplikacij sistemov informacijske tehnologije, dobavo in vzdrževanje strojne opreme ter s Komisijo za kadrovske postopke in postopke poslovnega upravljanja, pa tudi z udeležbo v velikih medinstitucionalnih okvirnih pogodbah na področjih, kot so svetovanje na področju informacijske tehnologije, začasne storitve in pisarniške potrebščine; poleg tega izraža pohvalo ENVP, ker ohranja strukturirano sodelovanje z Evropskim varuhom človekovih pravic, Agencijo Evropske unije za temeljne pravice in službo CERT-EU na podlagi memorandumov o soglasju; na podlagi vprašalnika ugotavlja, da ENVP sodeluje tudi v medinstitucionalnem projektu preoblikovanja kadrovskih postopkov, ki ga vodi Komisija in katerega cilj je digitalizacija kadrovskih postopkov, pri čemer bo izvajanje tega projekta zaključeno do leta 2029;</w:t>
      </w:r>
    </w:p>
    <w:p w14:paraId="25D2E4EC" w14:textId="77777777" w:rsidR="00174EA2" w:rsidRPr="004A3B9E" w:rsidRDefault="00174EA2" w:rsidP="00ED0D78">
      <w:pPr>
        <w:pStyle w:val="NormalHanging12a"/>
        <w:rPr>
          <w:szCs w:val="24"/>
        </w:rPr>
      </w:pPr>
      <w:r w:rsidRPr="004A3B9E">
        <w:t>57.</w:t>
      </w:r>
      <w:r w:rsidRPr="004A3B9E">
        <w:tab/>
        <w:t>ugotavlja, da ENVP sodeluje na sestankih različnih medinstitucionalnih organov; v zvezi s tem pozdravlja udeležbo ENVP na sestankih vodij uprav in medinstitucionalnega odbora za spletno komuniciranje, ki ga vodi Generalni direktorat Parlamenta za komuniciranje; priznava, da je medinstitucionalno sodelovanje z ENVP v njegovi nadzorni vlogi ključno za druge institucije Unije, da bi izboljšale svojo skladnost z zakonskim okvirom za varstvo podatkov;</w:t>
      </w:r>
    </w:p>
    <w:p w14:paraId="26A4FCBD" w14:textId="77777777" w:rsidR="00174EA2" w:rsidRPr="004A3B9E" w:rsidRDefault="00174EA2" w:rsidP="00ED0D78">
      <w:pPr>
        <w:pStyle w:val="NormalHanging12a"/>
        <w:rPr>
          <w:szCs w:val="24"/>
        </w:rPr>
      </w:pPr>
      <w:r w:rsidRPr="004A3B9E">
        <w:t>58.</w:t>
      </w:r>
      <w:r w:rsidRPr="004A3B9E">
        <w:tab/>
        <w:t>na podlagi letnega poročila ugotavlja, da je EOVP leta 2024 začel izvajati usklajene izvršilne ukrepe v zvezi s pravico posameznikov do dostopa do njihovih osebnih podatkov, v katerih je sodelovalo 30 organov za varstvo podatkov iz Unije in EGP; na podlagi vprašalnika ugotavlja, da je ENVP sodeloval pri teh izvršilnih ukrepih, hkrati pa nadaljeval svoje delo v okviru usklajenih izvršilnih ukrepov EOVP iz leta 2023 v zvezi z vlogo pooblaščene osebe za varstvo podatkov; ugotavlja, da je ENVP v letu 2024 še naprej dejavno sodeloval pri dejavnostih usklajenega nadzornega odbora, med drugim s prevzemom vloge koordinatorja za dveletno obdobje, pripravo smernic o sodelovanju pri obravnavanju pritožb Europola in spremljanjem razvoja sistema ETIAS; ugotavlja, da je ENVP kot član EOVP koordiniral tudi projektno skupino za sodelovanje z organi za varstvo konkurence in potrošnikov v zvezi z medsebojnim vplivom akta o digitalnih trgih</w:t>
      </w:r>
      <w:r w:rsidRPr="004A3B9E">
        <w:rPr>
          <w:rStyle w:val="FootnoteReference"/>
          <w:szCs w:val="24"/>
        </w:rPr>
        <w:footnoteReference w:id="11"/>
      </w:r>
      <w:r w:rsidRPr="004A3B9E">
        <w:t xml:space="preserve"> in splošne uredbe o varstvu podatkov</w:t>
      </w:r>
      <w:r w:rsidRPr="004A3B9E">
        <w:rPr>
          <w:rStyle w:val="FootnoteReference"/>
          <w:szCs w:val="24"/>
        </w:rPr>
        <w:footnoteReference w:id="12"/>
      </w:r>
      <w:r w:rsidRPr="004A3B9E">
        <w:t>;</w:t>
      </w:r>
    </w:p>
    <w:p w14:paraId="2280B1AF" w14:textId="77777777" w:rsidR="00174EA2" w:rsidRPr="004A3B9E" w:rsidRDefault="00174EA2" w:rsidP="00ED0D78">
      <w:pPr>
        <w:pStyle w:val="NormalHanging12a"/>
        <w:rPr>
          <w:szCs w:val="24"/>
        </w:rPr>
      </w:pPr>
      <w:r w:rsidRPr="004A3B9E">
        <w:lastRenderedPageBreak/>
        <w:t>59.</w:t>
      </w:r>
      <w:r w:rsidRPr="004A3B9E">
        <w:tab/>
        <w:t>na podlagi vprašalnika in poročila o nadaljnjem ukrepanju ugotavlja, da skupne dejavnosti z uradom OLAF, Evropskim javnim tožilstvom (EJT) in Računskim sodiščem ter pobude na področju odkrivanja goljufij ne sodijo v mandat ENVP;</w:t>
      </w:r>
    </w:p>
    <w:p w14:paraId="3E2D43F1" w14:textId="77777777" w:rsidR="00174EA2" w:rsidRPr="004A3B9E" w:rsidRDefault="00174EA2" w:rsidP="00ED0D78">
      <w:pPr>
        <w:pStyle w:val="NormalHanging12a"/>
        <w:rPr>
          <w:b/>
          <w:i/>
          <w:szCs w:val="24"/>
        </w:rPr>
      </w:pPr>
      <w:r w:rsidRPr="004A3B9E">
        <w:rPr>
          <w:b/>
          <w:i/>
        </w:rPr>
        <w:t>Komuniciranje</w:t>
      </w:r>
    </w:p>
    <w:p w14:paraId="69944552" w14:textId="77777777" w:rsidR="00174EA2" w:rsidRPr="004A3B9E" w:rsidRDefault="00174EA2" w:rsidP="00ED0D78">
      <w:pPr>
        <w:pStyle w:val="NormalHanging12a"/>
        <w:rPr>
          <w:szCs w:val="24"/>
        </w:rPr>
      </w:pPr>
      <w:r w:rsidRPr="004A3B9E">
        <w:t>60.</w:t>
      </w:r>
      <w:r w:rsidRPr="004A3B9E">
        <w:tab/>
        <w:t>ugotavlja, da je proračun za javno komuniciranje in promocijske dejavnosti v letu 2024 znašal 425 000 EUR, kar je približno 9,20 % več kot v letu 2023;</w:t>
      </w:r>
    </w:p>
    <w:p w14:paraId="783453A5" w14:textId="77777777" w:rsidR="00174EA2" w:rsidRPr="004A3B9E" w:rsidRDefault="00174EA2" w:rsidP="00ED0D78">
      <w:pPr>
        <w:pStyle w:val="NormalHanging12a"/>
        <w:rPr>
          <w:szCs w:val="24"/>
        </w:rPr>
      </w:pPr>
      <w:r w:rsidRPr="004A3B9E">
        <w:t>61.</w:t>
      </w:r>
      <w:r w:rsidRPr="004A3B9E">
        <w:tab/>
        <w:t>z zadovoljstvom ugotavlja, da je ENVP v letu 2024 organiziral več komunikacijskih dogodkov, tako spletnih kot v živo, na katerih je tudi sodeloval, njihov cilj pa je bil ozaveščanje širše javnosti o vlogi in poslanstvu ENVP ter pomenu spoštovanja pravil Unije o varstvu podatkov, kot so dan varstva podatkov, konferenca pripravnikov ENVP (dvakrat letno), vrh civilne družbe in ENVP ter Svetovna skupščina za zasebnost;</w:t>
      </w:r>
    </w:p>
    <w:p w14:paraId="0A79E09F" w14:textId="77777777" w:rsidR="00174EA2" w:rsidRPr="004A3B9E" w:rsidRDefault="00174EA2" w:rsidP="00ED0D78">
      <w:pPr>
        <w:pStyle w:val="NormalHanging12a"/>
        <w:rPr>
          <w:szCs w:val="24"/>
        </w:rPr>
      </w:pPr>
      <w:r w:rsidRPr="004A3B9E">
        <w:t>62.</w:t>
      </w:r>
      <w:r w:rsidRPr="004A3B9E">
        <w:tab/>
        <w:t>ugotavlja, da ENVP komunicira prek spleta prek svojega spletnega mesta in računov na družbenih medijih, kot so X (nekdanji Twitter) (28 800 sledilcev), LinkedIn (82 800 sledilcev), YouTube (3 400 sledilcev) in Instagram (300 sledilcev);</w:t>
      </w:r>
    </w:p>
    <w:p w14:paraId="23DBA4A5" w14:textId="7368C14B" w:rsidR="00E365E1" w:rsidRPr="004A3B9E" w:rsidRDefault="00174EA2" w:rsidP="00ED0D78">
      <w:pPr>
        <w:spacing w:after="240"/>
        <w:ind w:left="567" w:hanging="567"/>
      </w:pPr>
      <w:r w:rsidRPr="004A3B9E">
        <w:t>63.</w:t>
      </w:r>
      <w:r w:rsidRPr="004A3B9E">
        <w:tab/>
        <w:t>ugotavlja, da se je pilotni projekt platform EU Voice in EU Video (brezplačni in odprtokodni družbeni omrežji, ki sta usmerjeni v varstvo zasebnosti ter temeljita na programski opremi Mastodon in PeerTube) leta 2024 zaključil; ugotavlja, da je ENVP omogočil nemoteno migracijo institucij, organov, uradov in agencij Unije, ki so želeli ohraniti svoje račune, ter s tem zagotovil neprekinjeno delovanje za uporabnike; ugotavlja, da so se na podlagi uspeha pilotnega projekta začele priprave za ponovno uvedbo programske opreme Mastodon v letu 2025; v zvezi s tem pozdravlja prispevek ENVP k strategiji Unije na področju podatkov in digitalne suverenosti, namenjen spodbujanju neodvisnosti Unije v digitalnem svetu ter skladnosti s pravnim okvirom za varstvo podatkov.</w:t>
      </w:r>
    </w:p>
    <w:sectPr w:rsidR="00E365E1" w:rsidRPr="004A3B9E" w:rsidSect="00F106D4">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B3653" w14:textId="77777777" w:rsidR="0071350A" w:rsidRPr="00F106D4" w:rsidRDefault="0071350A">
      <w:r w:rsidRPr="00F106D4">
        <w:separator/>
      </w:r>
    </w:p>
  </w:endnote>
  <w:endnote w:type="continuationSeparator" w:id="0">
    <w:p w14:paraId="0C0EC5A6" w14:textId="77777777" w:rsidR="0071350A" w:rsidRPr="00F106D4" w:rsidRDefault="0071350A">
      <w:r w:rsidRPr="00F106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2508" w14:textId="77777777" w:rsidR="00174EA2" w:rsidRPr="00F106D4" w:rsidRDefault="00174EA2" w:rsidP="00825061">
    <w:pPr>
      <w:pStyle w:val="EPFooter"/>
    </w:pPr>
    <w:r w:rsidRPr="00F106D4">
      <w:t>PE</w:t>
    </w:r>
    <w:r w:rsidRPr="00F106D4">
      <w:rPr>
        <w:rStyle w:val="HideTWBExt"/>
      </w:rPr>
      <w:t>&lt;NoPE&gt;</w:t>
    </w:r>
    <w:r w:rsidRPr="00F106D4">
      <w:t>778.066</w:t>
    </w:r>
    <w:r w:rsidRPr="00F106D4">
      <w:rPr>
        <w:rStyle w:val="HideTWBExt"/>
      </w:rPr>
      <w:t>&lt;/NoPE&gt;&lt;Version&gt;</w:t>
    </w:r>
    <w:r w:rsidRPr="00F106D4">
      <w:t>v02-00</w:t>
    </w:r>
    <w:r w:rsidRPr="00F106D4">
      <w:rPr>
        <w:rStyle w:val="HideTWBExt"/>
      </w:rPr>
      <w:t>&lt;/Version&gt;</w:t>
    </w:r>
    <w:r w:rsidRPr="00F106D4">
      <w:tab/>
    </w:r>
    <w:r w:rsidRPr="00F106D4">
      <w:fldChar w:fldCharType="begin"/>
    </w:r>
    <w:r w:rsidRPr="00F106D4">
      <w:instrText xml:space="preserve"> PAGE  \* MERGEFORMAT </w:instrText>
    </w:r>
    <w:r w:rsidRPr="00F106D4">
      <w:fldChar w:fldCharType="separate"/>
    </w:r>
    <w:r w:rsidRPr="00F106D4">
      <w:rPr>
        <w:noProof/>
      </w:rPr>
      <w:t>2</w:t>
    </w:r>
    <w:r w:rsidRPr="00F106D4">
      <w:fldChar w:fldCharType="end"/>
    </w:r>
    <w:r w:rsidRPr="00F106D4">
      <w:t>/</w:t>
    </w:r>
    <w:fldSimple w:instr=" NUMPAGES  \* MERGEFORMAT ">
      <w:r w:rsidRPr="00F106D4">
        <w:rPr>
          <w:noProof/>
        </w:rPr>
        <w:t>21</w:t>
      </w:r>
    </w:fldSimple>
    <w:r w:rsidRPr="00F106D4">
      <w:tab/>
    </w:r>
    <w:r w:rsidRPr="00F106D4">
      <w:rPr>
        <w:rStyle w:val="HideTWBExt"/>
      </w:rPr>
      <w:t>&lt;PathFdR&gt;</w:t>
    </w:r>
    <w:r w:rsidRPr="00F106D4">
      <w:t>RR\1339480SL.docx</w:t>
    </w:r>
    <w:r w:rsidRPr="00F106D4">
      <w:rPr>
        <w:rStyle w:val="HideTWBExt"/>
      </w:rPr>
      <w:t>&lt;/PathFdR&gt;</w:t>
    </w:r>
  </w:p>
  <w:p w14:paraId="0C12785B" w14:textId="77777777" w:rsidR="00174EA2" w:rsidRPr="00F106D4" w:rsidRDefault="00174EA2" w:rsidP="00825061">
    <w:pPr>
      <w:pStyle w:val="EPFooter2"/>
    </w:pPr>
    <w:r w:rsidRPr="00F106D4">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778E2" w14:textId="77777777" w:rsidR="00ED0D78" w:rsidRDefault="00ED0D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9CC9C" w14:textId="77777777" w:rsidR="00174EA2" w:rsidRPr="00F106D4" w:rsidRDefault="00174EA2" w:rsidP="00825061">
    <w:pPr>
      <w:pStyle w:val="EPFooter"/>
    </w:pPr>
    <w:r w:rsidRPr="00F106D4">
      <w:rPr>
        <w:rStyle w:val="HideTWBExt"/>
      </w:rPr>
      <w:t>&lt;PathFdR&gt;</w:t>
    </w:r>
    <w:r w:rsidRPr="00F106D4">
      <w:t>RR\1339480SL.docx</w:t>
    </w:r>
    <w:r w:rsidRPr="00F106D4">
      <w:rPr>
        <w:rStyle w:val="HideTWBExt"/>
      </w:rPr>
      <w:t>&lt;/PathFdR&gt;</w:t>
    </w:r>
    <w:r w:rsidRPr="00F106D4">
      <w:tab/>
    </w:r>
    <w:r w:rsidRPr="00F106D4">
      <w:tab/>
      <w:t>PE</w:t>
    </w:r>
    <w:r w:rsidRPr="00F106D4">
      <w:rPr>
        <w:rStyle w:val="HideTWBExt"/>
      </w:rPr>
      <w:t>&lt;NoPE&gt;</w:t>
    </w:r>
    <w:r w:rsidRPr="00F106D4">
      <w:t>778.066</w:t>
    </w:r>
    <w:r w:rsidRPr="00F106D4">
      <w:rPr>
        <w:rStyle w:val="HideTWBExt"/>
      </w:rPr>
      <w:t>&lt;/NoPE&gt;&lt;Version&gt;</w:t>
    </w:r>
    <w:r w:rsidRPr="00F106D4">
      <w:t>v02-00</w:t>
    </w:r>
    <w:r w:rsidRPr="00F106D4">
      <w:rPr>
        <w:rStyle w:val="HideTWBExt"/>
      </w:rPr>
      <w:t>&lt;/Version&gt;</w:t>
    </w:r>
  </w:p>
  <w:p w14:paraId="1E0B601B" w14:textId="77777777" w:rsidR="00174EA2" w:rsidRPr="00F106D4" w:rsidRDefault="00174EA2" w:rsidP="00825061">
    <w:pPr>
      <w:pStyle w:val="EPFooter2"/>
    </w:pPr>
    <w:r w:rsidRPr="00F106D4">
      <w:t>SL</w:t>
    </w:r>
    <w:r w:rsidRPr="00F106D4">
      <w:tab/>
    </w:r>
    <w:proofErr w:type="spellStart"/>
    <w:r w:rsidRPr="00F106D4">
      <w:rPr>
        <w:b w:val="0"/>
        <w:i/>
        <w:color w:val="C0C0C0"/>
        <w:sz w:val="22"/>
      </w:rPr>
      <w:t>United</w:t>
    </w:r>
    <w:proofErr w:type="spellEnd"/>
    <w:r w:rsidRPr="00F106D4">
      <w:rPr>
        <w:b w:val="0"/>
        <w:i/>
        <w:color w:val="C0C0C0"/>
        <w:sz w:val="22"/>
      </w:rPr>
      <w:t xml:space="preserve"> in </w:t>
    </w:r>
    <w:proofErr w:type="spellStart"/>
    <w:r w:rsidRPr="00F106D4">
      <w:rPr>
        <w:b w:val="0"/>
        <w:i/>
        <w:color w:val="C0C0C0"/>
        <w:sz w:val="22"/>
      </w:rPr>
      <w:t>diversity</w:t>
    </w:r>
    <w:proofErr w:type="spellEnd"/>
    <w:r w:rsidRPr="00F106D4">
      <w:tab/>
      <w:t>SL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392EF" w14:textId="77777777" w:rsidR="00064002" w:rsidRPr="00F106D4"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DDCE6" w14:textId="77777777" w:rsidR="00064002" w:rsidRPr="00ED0D78" w:rsidRDefault="00064002" w:rsidP="00ED0D7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D816F" w14:textId="77777777" w:rsidR="00064002" w:rsidRPr="00F106D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8EBAD" w14:textId="77777777" w:rsidR="0071350A" w:rsidRPr="00F106D4" w:rsidRDefault="0071350A">
      <w:r w:rsidRPr="00F106D4">
        <w:separator/>
      </w:r>
    </w:p>
  </w:footnote>
  <w:footnote w:type="continuationSeparator" w:id="0">
    <w:p w14:paraId="240A36BB" w14:textId="77777777" w:rsidR="0071350A" w:rsidRPr="00F106D4" w:rsidRDefault="0071350A">
      <w:r w:rsidRPr="00F106D4">
        <w:continuationSeparator/>
      </w:r>
    </w:p>
  </w:footnote>
  <w:footnote w:id="1">
    <w:p w14:paraId="3A6CBEB1" w14:textId="314C5C11" w:rsidR="00174EA2" w:rsidRPr="00F106D4" w:rsidRDefault="00174EA2" w:rsidP="00F106D4">
      <w:pPr>
        <w:pStyle w:val="FootnoteText"/>
        <w:ind w:left="567" w:hanging="567"/>
        <w:rPr>
          <w:sz w:val="24"/>
          <w:lang w:val="sl-SI"/>
        </w:rPr>
      </w:pPr>
      <w:r w:rsidRPr="00F106D4">
        <w:rPr>
          <w:rStyle w:val="FootnoteReference"/>
          <w:sz w:val="24"/>
          <w:lang w:val="sl-SI"/>
        </w:rPr>
        <w:footnoteRef/>
      </w:r>
      <w:r w:rsidR="00F106D4" w:rsidRPr="00F106D4">
        <w:rPr>
          <w:sz w:val="24"/>
          <w:lang w:val="sl-SI"/>
        </w:rPr>
        <w:t xml:space="preserve"> </w:t>
      </w:r>
      <w:r w:rsidR="00F106D4" w:rsidRPr="00F106D4">
        <w:rPr>
          <w:sz w:val="24"/>
          <w:lang w:val="sl-SI"/>
        </w:rPr>
        <w:tab/>
      </w:r>
      <w:r w:rsidRPr="00F106D4">
        <w:rPr>
          <w:sz w:val="24"/>
          <w:lang w:val="sl-SI"/>
        </w:rPr>
        <w:t>UL L</w:t>
      </w:r>
      <w:r w:rsidR="0010538A">
        <w:rPr>
          <w:sz w:val="24"/>
          <w:lang w:val="sl-SI"/>
        </w:rPr>
        <w:t>, 2024/</w:t>
      </w:r>
      <w:r w:rsidRPr="00F106D4">
        <w:rPr>
          <w:sz w:val="24"/>
          <w:lang w:val="sl-SI"/>
        </w:rPr>
        <w:t xml:space="preserve">207, 22.2.2024, ELI: </w:t>
      </w:r>
      <w:hyperlink r:id="rId1" w:history="1">
        <w:r w:rsidRPr="00F106D4">
          <w:rPr>
            <w:rStyle w:val="Hyperlink"/>
            <w:sz w:val="24"/>
            <w:lang w:val="sl-SI"/>
          </w:rPr>
          <w:t>http://data.europa.eu/eli/budget/2024/207/oj</w:t>
        </w:r>
      </w:hyperlink>
      <w:r w:rsidRPr="00F106D4">
        <w:rPr>
          <w:sz w:val="24"/>
          <w:lang w:val="sl-SI"/>
        </w:rPr>
        <w:t>.</w:t>
      </w:r>
    </w:p>
  </w:footnote>
  <w:footnote w:id="2">
    <w:p w14:paraId="78DC57E7" w14:textId="12A73037" w:rsidR="00174EA2" w:rsidRPr="00F106D4" w:rsidRDefault="00174EA2" w:rsidP="00F106D4">
      <w:pPr>
        <w:pStyle w:val="FootnoteText"/>
        <w:ind w:left="567" w:hanging="567"/>
        <w:rPr>
          <w:sz w:val="24"/>
          <w:lang w:val="sl-SI"/>
        </w:rPr>
      </w:pPr>
      <w:r w:rsidRPr="00F106D4">
        <w:rPr>
          <w:rStyle w:val="FootnoteReference"/>
          <w:sz w:val="24"/>
          <w:lang w:val="sl-SI"/>
        </w:rPr>
        <w:footnoteRef/>
      </w:r>
      <w:r w:rsidR="00F106D4" w:rsidRPr="00F106D4">
        <w:rPr>
          <w:sz w:val="24"/>
          <w:lang w:val="sl-SI"/>
        </w:rPr>
        <w:t xml:space="preserve"> </w:t>
      </w:r>
      <w:r w:rsidR="00F106D4" w:rsidRPr="00F106D4">
        <w:rPr>
          <w:sz w:val="24"/>
          <w:lang w:val="sl-SI"/>
        </w:rPr>
        <w:tab/>
      </w:r>
      <w:r w:rsidRPr="00F106D4">
        <w:rPr>
          <w:sz w:val="24"/>
          <w:lang w:val="sl-SI"/>
        </w:rPr>
        <w:t>UL C, C/2025/4944, 13.10.2025, ELI: </w:t>
      </w:r>
      <w:hyperlink r:id="rId2" w:tgtFrame="_blank" w:tooltip="Omogoča dostop do dokumenta prek označevalnika/predloge ELI URI." w:history="1">
        <w:r w:rsidRPr="00F106D4">
          <w:rPr>
            <w:rStyle w:val="Hyperlink"/>
            <w:sz w:val="24"/>
            <w:lang w:val="sl-SI"/>
          </w:rPr>
          <w:t>http://data.europa.eu/eli/C/2025/4944/oj</w:t>
        </w:r>
      </w:hyperlink>
      <w:r w:rsidRPr="00F106D4">
        <w:rPr>
          <w:sz w:val="24"/>
          <w:lang w:val="sl-SI"/>
        </w:rPr>
        <w:t>.</w:t>
      </w:r>
    </w:p>
  </w:footnote>
  <w:footnote w:id="3">
    <w:p w14:paraId="382528C9" w14:textId="72626998" w:rsidR="00174EA2" w:rsidRPr="00F106D4" w:rsidRDefault="00174EA2" w:rsidP="00F106D4">
      <w:pPr>
        <w:pStyle w:val="FootnoteText"/>
        <w:ind w:left="567" w:hanging="567"/>
        <w:rPr>
          <w:sz w:val="24"/>
          <w:lang w:val="sl-SI"/>
        </w:rPr>
      </w:pPr>
      <w:r w:rsidRPr="00F106D4">
        <w:rPr>
          <w:rStyle w:val="FootnoteReference"/>
          <w:sz w:val="24"/>
          <w:lang w:val="sl-SI"/>
        </w:rPr>
        <w:footnoteRef/>
      </w:r>
      <w:r w:rsidR="00F106D4" w:rsidRPr="00F106D4">
        <w:rPr>
          <w:sz w:val="24"/>
          <w:lang w:val="sl-SI"/>
        </w:rPr>
        <w:t xml:space="preserve"> </w:t>
      </w:r>
      <w:r w:rsidR="00F106D4" w:rsidRPr="00F106D4">
        <w:rPr>
          <w:sz w:val="24"/>
          <w:lang w:val="sl-SI"/>
        </w:rPr>
        <w:tab/>
      </w:r>
      <w:r w:rsidRPr="00F106D4">
        <w:rPr>
          <w:sz w:val="24"/>
          <w:lang w:val="sl-SI"/>
        </w:rPr>
        <w:t xml:space="preserve">UL C, C/2025/5409, 8.10.2025, ELI: </w:t>
      </w:r>
      <w:hyperlink r:id="rId3" w:history="1">
        <w:r w:rsidRPr="00F106D4">
          <w:rPr>
            <w:rStyle w:val="Hyperlink"/>
            <w:sz w:val="24"/>
            <w:lang w:val="sl-SI"/>
          </w:rPr>
          <w:t>http://data.europa.eu/eli/C/2025/5409/oj</w:t>
        </w:r>
      </w:hyperlink>
      <w:r w:rsidRPr="00F106D4">
        <w:rPr>
          <w:sz w:val="24"/>
          <w:lang w:val="sl-SI"/>
        </w:rPr>
        <w:t>.</w:t>
      </w:r>
    </w:p>
  </w:footnote>
  <w:footnote w:id="4">
    <w:p w14:paraId="049A8835" w14:textId="12C37054" w:rsidR="00174EA2" w:rsidRPr="00F106D4" w:rsidRDefault="00174EA2" w:rsidP="00F106D4">
      <w:pPr>
        <w:pStyle w:val="FootnoteText"/>
        <w:ind w:left="567" w:hanging="567"/>
        <w:rPr>
          <w:sz w:val="24"/>
          <w:lang w:val="sl-SI"/>
        </w:rPr>
      </w:pPr>
      <w:r w:rsidRPr="00F106D4">
        <w:rPr>
          <w:rStyle w:val="FootnoteReference"/>
          <w:sz w:val="24"/>
          <w:lang w:val="sl-SI"/>
        </w:rPr>
        <w:footnoteRef/>
      </w:r>
      <w:r w:rsidR="00F106D4" w:rsidRPr="00F106D4">
        <w:rPr>
          <w:sz w:val="24"/>
          <w:lang w:val="sl-SI"/>
        </w:rPr>
        <w:t xml:space="preserve"> </w:t>
      </w:r>
      <w:r w:rsidR="00F106D4" w:rsidRPr="00F106D4">
        <w:rPr>
          <w:sz w:val="24"/>
          <w:lang w:val="sl-SI"/>
        </w:rPr>
        <w:tab/>
      </w:r>
      <w:r w:rsidRPr="00F106D4">
        <w:rPr>
          <w:sz w:val="24"/>
          <w:lang w:val="sl-SI"/>
        </w:rPr>
        <w:t xml:space="preserve">UL C, C/2025/5407, 13.10.2025, ELI: </w:t>
      </w:r>
      <w:hyperlink r:id="rId4" w:history="1">
        <w:r w:rsidRPr="00F106D4">
          <w:rPr>
            <w:rStyle w:val="Hyperlink"/>
            <w:sz w:val="24"/>
            <w:lang w:val="sl-SI"/>
          </w:rPr>
          <w:t>http://data.europa.eu/eli/C/2025/5407/oj</w:t>
        </w:r>
      </w:hyperlink>
      <w:r w:rsidRPr="00F106D4">
        <w:rPr>
          <w:sz w:val="24"/>
          <w:lang w:val="sl-SI"/>
        </w:rPr>
        <w:t>.</w:t>
      </w:r>
    </w:p>
  </w:footnote>
  <w:footnote w:id="5">
    <w:p w14:paraId="3767FCEC" w14:textId="4B695F47" w:rsidR="00174EA2" w:rsidRPr="00F106D4" w:rsidRDefault="00174EA2" w:rsidP="00F106D4">
      <w:pPr>
        <w:pStyle w:val="FootnoteText"/>
        <w:ind w:left="567" w:hanging="567"/>
        <w:rPr>
          <w:sz w:val="24"/>
          <w:lang w:val="sl-SI"/>
        </w:rPr>
      </w:pPr>
      <w:r w:rsidRPr="00F106D4">
        <w:rPr>
          <w:rStyle w:val="FootnoteReference"/>
          <w:sz w:val="24"/>
          <w:lang w:val="sl-SI"/>
        </w:rPr>
        <w:footnoteRef/>
      </w:r>
      <w:r w:rsidR="00F106D4" w:rsidRPr="00F106D4">
        <w:rPr>
          <w:sz w:val="24"/>
          <w:lang w:val="sl-SI"/>
        </w:rPr>
        <w:t xml:space="preserve"> </w:t>
      </w:r>
      <w:r w:rsidR="00F106D4" w:rsidRPr="00F106D4">
        <w:rPr>
          <w:sz w:val="24"/>
          <w:lang w:val="sl-SI"/>
        </w:rPr>
        <w:tab/>
      </w:r>
      <w:r w:rsidRPr="00F106D4">
        <w:rPr>
          <w:sz w:val="24"/>
          <w:lang w:val="sl-SI"/>
        </w:rPr>
        <w:t xml:space="preserve">UL L 193, 30.7.2018, str. 1, ELI: </w:t>
      </w:r>
      <w:hyperlink r:id="rId5" w:history="1">
        <w:r w:rsidRPr="00F106D4">
          <w:rPr>
            <w:rStyle w:val="Hyperlink"/>
            <w:sz w:val="24"/>
            <w:lang w:val="sl-SI"/>
          </w:rPr>
          <w:t>http://data.europa.eu/eli/reg/2018/1046/oj</w:t>
        </w:r>
      </w:hyperlink>
      <w:r w:rsidRPr="00F106D4">
        <w:rPr>
          <w:sz w:val="24"/>
          <w:lang w:val="sl-SI"/>
        </w:rPr>
        <w:t>.</w:t>
      </w:r>
    </w:p>
  </w:footnote>
  <w:footnote w:id="6">
    <w:p w14:paraId="2B5EAEE5" w14:textId="5302C28A" w:rsidR="00174EA2" w:rsidRPr="00F106D4" w:rsidRDefault="00174EA2" w:rsidP="00F106D4">
      <w:pPr>
        <w:pStyle w:val="FootnoteText"/>
        <w:ind w:left="567" w:hanging="567"/>
        <w:rPr>
          <w:sz w:val="24"/>
          <w:lang w:val="sl-SI"/>
        </w:rPr>
      </w:pPr>
      <w:r w:rsidRPr="00F106D4">
        <w:rPr>
          <w:rStyle w:val="FootnoteReference"/>
          <w:sz w:val="24"/>
          <w:lang w:val="sl-SI"/>
        </w:rPr>
        <w:footnoteRef/>
      </w:r>
      <w:r w:rsidR="00F106D4" w:rsidRPr="00F106D4">
        <w:rPr>
          <w:sz w:val="24"/>
          <w:lang w:val="sl-SI"/>
        </w:rPr>
        <w:t xml:space="preserve"> </w:t>
      </w:r>
      <w:r w:rsidR="00F106D4" w:rsidRPr="00F106D4">
        <w:rPr>
          <w:sz w:val="24"/>
          <w:lang w:val="sl-SI"/>
        </w:rPr>
        <w:tab/>
      </w:r>
      <w:r w:rsidRPr="00F106D4">
        <w:rPr>
          <w:sz w:val="24"/>
          <w:lang w:val="sl-SI"/>
        </w:rPr>
        <w:t xml:space="preserve">UL L, 2024/2509, 26.9.2024, ELI: </w:t>
      </w:r>
      <w:hyperlink r:id="rId6" w:history="1">
        <w:r w:rsidRPr="00F106D4">
          <w:rPr>
            <w:rStyle w:val="Hyperlink"/>
            <w:sz w:val="24"/>
            <w:lang w:val="sl-SI"/>
          </w:rPr>
          <w:t>http://data.europa.eu/eli/reg/2024/2509/oj</w:t>
        </w:r>
      </w:hyperlink>
      <w:r w:rsidRPr="00F106D4">
        <w:rPr>
          <w:sz w:val="24"/>
          <w:lang w:val="sl-SI"/>
        </w:rPr>
        <w:t>.</w:t>
      </w:r>
    </w:p>
  </w:footnote>
  <w:footnote w:id="7">
    <w:p w14:paraId="6A6853C4" w14:textId="633C113C" w:rsidR="00174EA2" w:rsidRPr="00F106D4" w:rsidRDefault="00174EA2" w:rsidP="00F106D4">
      <w:pPr>
        <w:pStyle w:val="FootnoteText"/>
        <w:ind w:left="567" w:hanging="567"/>
        <w:rPr>
          <w:sz w:val="24"/>
          <w:lang w:val="sl-SI"/>
        </w:rPr>
      </w:pPr>
      <w:r w:rsidRPr="00F106D4">
        <w:rPr>
          <w:rStyle w:val="FootnoteReference"/>
          <w:sz w:val="24"/>
          <w:lang w:val="sl-SI"/>
        </w:rPr>
        <w:footnoteRef/>
      </w:r>
      <w:r w:rsidR="00F106D4" w:rsidRPr="00F106D4">
        <w:rPr>
          <w:sz w:val="24"/>
          <w:lang w:val="sl-SI"/>
        </w:rPr>
        <w:t xml:space="preserve"> </w:t>
      </w:r>
      <w:r w:rsidR="00F106D4" w:rsidRPr="00F106D4">
        <w:rPr>
          <w:sz w:val="24"/>
          <w:lang w:val="sl-SI"/>
        </w:rPr>
        <w:tab/>
      </w:r>
      <w:r w:rsidRPr="00F106D4">
        <w:rPr>
          <w:sz w:val="24"/>
          <w:lang w:val="sl-SI"/>
        </w:rPr>
        <w:t xml:space="preserve">UL L 295, 21.11.2018, str. 39, ELI: </w:t>
      </w:r>
      <w:hyperlink r:id="rId7" w:history="1">
        <w:r w:rsidRPr="00F106D4">
          <w:rPr>
            <w:rStyle w:val="Hyperlink"/>
            <w:sz w:val="24"/>
            <w:lang w:val="sl-SI"/>
          </w:rPr>
          <w:t>http://data.europa.eu/eli/reg/2018/1725/oj</w:t>
        </w:r>
      </w:hyperlink>
      <w:r w:rsidRPr="00F106D4">
        <w:rPr>
          <w:sz w:val="24"/>
          <w:lang w:val="sl-SI"/>
        </w:rPr>
        <w:t>.</w:t>
      </w:r>
    </w:p>
  </w:footnote>
  <w:footnote w:id="8">
    <w:p w14:paraId="3F627878" w14:textId="21DCF114" w:rsidR="00174EA2" w:rsidRPr="00F106D4" w:rsidRDefault="00174EA2" w:rsidP="00F106D4">
      <w:pPr>
        <w:pStyle w:val="FootnoteText"/>
        <w:ind w:left="567" w:hanging="567"/>
        <w:rPr>
          <w:sz w:val="24"/>
          <w:lang w:val="sl-SI"/>
        </w:rPr>
      </w:pPr>
      <w:r w:rsidRPr="00F106D4">
        <w:rPr>
          <w:rStyle w:val="FootnoteReference"/>
          <w:sz w:val="24"/>
          <w:lang w:val="sl-SI"/>
        </w:rPr>
        <w:footnoteRef/>
      </w:r>
      <w:r w:rsidR="00F106D4" w:rsidRPr="00F106D4">
        <w:rPr>
          <w:sz w:val="24"/>
          <w:lang w:val="sl-SI"/>
        </w:rPr>
        <w:t xml:space="preserve"> </w:t>
      </w:r>
      <w:r w:rsidR="00F106D4" w:rsidRPr="00F106D4">
        <w:rPr>
          <w:sz w:val="24"/>
          <w:lang w:val="sl-SI"/>
        </w:rPr>
        <w:tab/>
      </w:r>
      <w:r w:rsidRPr="00F106D4">
        <w:rPr>
          <w:sz w:val="24"/>
          <w:lang w:val="sl-SI"/>
        </w:rPr>
        <w:t xml:space="preserve">Uredba (EU) 2024/1689 Evropskega parlamenta in Sveta z dne 13. junija 2024 o določitvi </w:t>
      </w:r>
      <w:proofErr w:type="spellStart"/>
      <w:r w:rsidRPr="00F106D4">
        <w:rPr>
          <w:sz w:val="24"/>
          <w:lang w:val="sl-SI"/>
        </w:rPr>
        <w:t>harmoniziranih</w:t>
      </w:r>
      <w:proofErr w:type="spellEnd"/>
      <w:r w:rsidRPr="00F106D4">
        <w:rPr>
          <w:sz w:val="24"/>
          <w:lang w:val="sl-SI"/>
        </w:rPr>
        <w:t xml:space="preserve"> pravil o umetni inteligenci in spremembi uredb (ES) št. 300/2008, (EU) št. 167/2013, (EU) št. 168/2013, (EU) 2018/858, (EU) 2018/1139 in (EU) 2019/2144 ter direktiv 2014/90/EU, (EU) 2016/797 in (EU) 2020/1828, (Akt o umetni inteligenci) (UL L, 2024/1689, 12.7.2024, ELI: </w:t>
      </w:r>
      <w:hyperlink r:id="rId8" w:history="1">
        <w:r w:rsidRPr="00F106D4">
          <w:rPr>
            <w:rStyle w:val="Hyperlink"/>
            <w:sz w:val="24"/>
            <w:lang w:val="sl-SI"/>
          </w:rPr>
          <w:t>http://data.europa.eu/eli/reg/2024/1689/oj</w:t>
        </w:r>
      </w:hyperlink>
      <w:r w:rsidRPr="00F106D4">
        <w:rPr>
          <w:sz w:val="24"/>
          <w:lang w:val="sl-SI"/>
        </w:rPr>
        <w:t>).</w:t>
      </w:r>
    </w:p>
  </w:footnote>
  <w:footnote w:id="9">
    <w:p w14:paraId="3FB46D82" w14:textId="4A780D9F" w:rsidR="00174EA2" w:rsidRPr="00F106D4" w:rsidRDefault="00174EA2" w:rsidP="00F106D4">
      <w:pPr>
        <w:pStyle w:val="FootnoteText"/>
        <w:ind w:left="567" w:hanging="567"/>
        <w:rPr>
          <w:sz w:val="24"/>
          <w:lang w:val="sl-SI"/>
        </w:rPr>
      </w:pPr>
      <w:r w:rsidRPr="00F106D4">
        <w:rPr>
          <w:rStyle w:val="FootnoteReference"/>
          <w:sz w:val="24"/>
          <w:lang w:val="sl-SI"/>
        </w:rPr>
        <w:footnoteRef/>
      </w:r>
      <w:r w:rsidR="00F106D4" w:rsidRPr="00F106D4">
        <w:rPr>
          <w:sz w:val="24"/>
          <w:lang w:val="sl-SI"/>
        </w:rPr>
        <w:t xml:space="preserve"> </w:t>
      </w:r>
      <w:r w:rsidR="00F106D4" w:rsidRPr="00F106D4">
        <w:rPr>
          <w:sz w:val="24"/>
          <w:lang w:val="sl-SI"/>
        </w:rPr>
        <w:tab/>
      </w:r>
      <w:r w:rsidRPr="00F106D4">
        <w:rPr>
          <w:sz w:val="24"/>
          <w:lang w:val="sl-SI"/>
        </w:rPr>
        <w:t xml:space="preserve">Uredba (EU) 2016/794 Evropskega parlamenta in Sveta z dne 11. maja 2016 o Agenciji Evropske unije za sodelovanje na področju preprečevanja, odkrivanja in preiskovanja kaznivih dejanj (Europol) ter nadomestitvi in razveljavitvi sklepov Sveta 2009/371/PNZ, 2009/934/PNZ, 2009/935/PNZ, 2009/936/PNZ in 2009/968/PNZ (UL L 135, 24.5.2016, str. 53, ELI: </w:t>
      </w:r>
      <w:hyperlink r:id="rId9" w:history="1">
        <w:r w:rsidRPr="00F106D4">
          <w:rPr>
            <w:rStyle w:val="Hyperlink"/>
            <w:sz w:val="24"/>
            <w:lang w:val="sl-SI"/>
          </w:rPr>
          <w:t>http://data.europa.eu/eli/reg/2016/794/oj</w:t>
        </w:r>
      </w:hyperlink>
      <w:r w:rsidRPr="00F106D4">
        <w:rPr>
          <w:sz w:val="24"/>
          <w:lang w:val="sl-SI"/>
        </w:rPr>
        <w:t>).</w:t>
      </w:r>
    </w:p>
  </w:footnote>
  <w:footnote w:id="10">
    <w:p w14:paraId="07D9ECDF" w14:textId="37FF9C99" w:rsidR="00174EA2" w:rsidRPr="00F106D4" w:rsidRDefault="00174EA2" w:rsidP="00F106D4">
      <w:pPr>
        <w:pStyle w:val="FootnoteText"/>
        <w:ind w:left="567" w:hanging="567"/>
        <w:rPr>
          <w:sz w:val="24"/>
          <w:lang w:val="sl-SI"/>
        </w:rPr>
      </w:pPr>
      <w:r w:rsidRPr="00F106D4">
        <w:rPr>
          <w:rStyle w:val="FootnoteReference"/>
          <w:sz w:val="24"/>
          <w:lang w:val="sl-SI"/>
        </w:rPr>
        <w:footnoteRef/>
      </w:r>
      <w:r w:rsidR="00F106D4" w:rsidRPr="00F106D4">
        <w:rPr>
          <w:sz w:val="24"/>
          <w:lang w:val="sl-SI"/>
        </w:rPr>
        <w:t xml:space="preserve"> </w:t>
      </w:r>
      <w:r w:rsidR="00F106D4" w:rsidRPr="00F106D4">
        <w:rPr>
          <w:sz w:val="24"/>
          <w:lang w:val="sl-SI"/>
        </w:rPr>
        <w:tab/>
      </w:r>
      <w:r w:rsidRPr="00F106D4">
        <w:rPr>
          <w:sz w:val="24"/>
          <w:lang w:val="sl-SI"/>
        </w:rPr>
        <w:t>Sklep Splošnega sodišča z dne 6. septembra 2023, ENVP/Parlament in Svet, T-578/22, ECLI:EU:C:2023:522.</w:t>
      </w:r>
    </w:p>
  </w:footnote>
  <w:footnote w:id="11">
    <w:p w14:paraId="4E60D5EB" w14:textId="57C050B3" w:rsidR="00174EA2" w:rsidRPr="00F106D4" w:rsidRDefault="00174EA2" w:rsidP="00F106D4">
      <w:pPr>
        <w:pStyle w:val="FootnoteText"/>
        <w:ind w:left="567" w:hanging="567"/>
        <w:rPr>
          <w:sz w:val="24"/>
          <w:lang w:val="sl-SI"/>
        </w:rPr>
      </w:pPr>
      <w:r w:rsidRPr="00F106D4">
        <w:rPr>
          <w:rStyle w:val="FootnoteReference"/>
          <w:sz w:val="24"/>
          <w:lang w:val="sl-SI"/>
        </w:rPr>
        <w:footnoteRef/>
      </w:r>
      <w:r w:rsidR="00F106D4" w:rsidRPr="00F106D4">
        <w:rPr>
          <w:sz w:val="24"/>
          <w:lang w:val="sl-SI"/>
        </w:rPr>
        <w:t xml:space="preserve"> </w:t>
      </w:r>
      <w:r w:rsidR="00F106D4" w:rsidRPr="00F106D4">
        <w:rPr>
          <w:sz w:val="24"/>
          <w:lang w:val="sl-SI"/>
        </w:rPr>
        <w:tab/>
      </w:r>
      <w:r w:rsidRPr="00F106D4">
        <w:rPr>
          <w:sz w:val="24"/>
          <w:lang w:val="sl-SI"/>
        </w:rPr>
        <w:t xml:space="preserve">Uredba (EU) 2022/1925 Evropskega parlamenta in Sveta z dne 14. septembra 2022 o tekmovalnih in pravičnih trgih v digitalnem sektorju in spremembi direktiv (EU) 2019/1937 in (EU) 2020/1828 (akt o digitalnih trgih) (UL L 265, 12.10.2022, str. 1, ELI: </w:t>
      </w:r>
      <w:hyperlink r:id="rId10" w:history="1">
        <w:r w:rsidRPr="00F106D4">
          <w:rPr>
            <w:rStyle w:val="Hyperlink"/>
            <w:sz w:val="24"/>
            <w:lang w:val="sl-SI"/>
          </w:rPr>
          <w:t>http://data.europa.eu/eli/reg/2022/1925/oj</w:t>
        </w:r>
      </w:hyperlink>
      <w:r w:rsidRPr="00F106D4">
        <w:rPr>
          <w:sz w:val="24"/>
          <w:lang w:val="sl-SI"/>
        </w:rPr>
        <w:t>).</w:t>
      </w:r>
    </w:p>
  </w:footnote>
  <w:footnote w:id="12">
    <w:p w14:paraId="73FB66F8" w14:textId="6EDD8EEB" w:rsidR="00174EA2" w:rsidRPr="00F106D4" w:rsidRDefault="00174EA2" w:rsidP="00F106D4">
      <w:pPr>
        <w:pStyle w:val="FootnoteText"/>
        <w:ind w:left="567" w:hanging="567"/>
        <w:rPr>
          <w:sz w:val="24"/>
          <w:lang w:val="sl-SI"/>
        </w:rPr>
      </w:pPr>
      <w:r w:rsidRPr="00F106D4">
        <w:rPr>
          <w:rStyle w:val="FootnoteReference"/>
          <w:sz w:val="24"/>
          <w:lang w:val="sl-SI"/>
        </w:rPr>
        <w:footnoteRef/>
      </w:r>
      <w:r w:rsidR="00F106D4" w:rsidRPr="00F106D4">
        <w:rPr>
          <w:sz w:val="24"/>
          <w:lang w:val="sl-SI"/>
        </w:rPr>
        <w:t xml:space="preserve"> </w:t>
      </w:r>
      <w:r w:rsidR="00F106D4" w:rsidRPr="00F106D4">
        <w:rPr>
          <w:sz w:val="24"/>
          <w:lang w:val="sl-SI"/>
        </w:rPr>
        <w:tab/>
      </w:r>
      <w:r w:rsidRPr="00F106D4">
        <w:rPr>
          <w:sz w:val="24"/>
          <w:lang w:val="sl-SI"/>
        </w:rPr>
        <w:t xml:space="preserve">Uredba (EU) 2016/679 Evropskega parlamenta in Sveta z dne 27. aprila 2016 o varstvu posameznikov pri obdelavi osebnih podatkov in o prostem pretoku takih podatkov ter o razveljavitvi Direktive 95/46/ES (Splošna uredba o varstvu podatkov) (UL L 119, 4.5.2016, str. 1, ELI: </w:t>
      </w:r>
      <w:hyperlink r:id="rId11" w:history="1">
        <w:r w:rsidRPr="00F106D4">
          <w:rPr>
            <w:rStyle w:val="Hyperlink"/>
            <w:sz w:val="24"/>
            <w:lang w:val="sl-SI"/>
          </w:rPr>
          <w:t>http://data.europa.eu/eli/reg/2016/679/oj</w:t>
        </w:r>
      </w:hyperlink>
      <w:r w:rsidRPr="00F106D4">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1C64C" w14:textId="77777777" w:rsidR="00ED0D78" w:rsidRDefault="00ED0D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38C35" w14:textId="77777777" w:rsidR="00ED0D78" w:rsidRDefault="00ED0D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4C998" w14:textId="77777777" w:rsidR="00ED0D78" w:rsidRDefault="00ED0D7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55CD5" w14:textId="77777777" w:rsidR="00064002" w:rsidRPr="00F106D4"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C5806" w14:textId="77777777" w:rsidR="00064002" w:rsidRPr="00F106D4"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BE977" w14:textId="77777777" w:rsidR="00064002" w:rsidRPr="00F106D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91115578">
    <w:abstractNumId w:val="9"/>
  </w:num>
  <w:num w:numId="2" w16cid:durableId="1001857790">
    <w:abstractNumId w:val="9"/>
  </w:num>
  <w:num w:numId="3" w16cid:durableId="2102096840">
    <w:abstractNumId w:val="7"/>
  </w:num>
  <w:num w:numId="4" w16cid:durableId="1977487720">
    <w:abstractNumId w:val="7"/>
  </w:num>
  <w:num w:numId="5" w16cid:durableId="1770931133">
    <w:abstractNumId w:val="6"/>
  </w:num>
  <w:num w:numId="6" w16cid:durableId="1060666770">
    <w:abstractNumId w:val="6"/>
  </w:num>
  <w:num w:numId="7" w16cid:durableId="595673964">
    <w:abstractNumId w:val="5"/>
  </w:num>
  <w:num w:numId="8" w16cid:durableId="1431009421">
    <w:abstractNumId w:val="5"/>
  </w:num>
  <w:num w:numId="9" w16cid:durableId="1880900159">
    <w:abstractNumId w:val="4"/>
  </w:num>
  <w:num w:numId="10" w16cid:durableId="931399476">
    <w:abstractNumId w:val="4"/>
  </w:num>
  <w:num w:numId="11" w16cid:durableId="1572934163">
    <w:abstractNumId w:val="8"/>
  </w:num>
  <w:num w:numId="12" w16cid:durableId="633369621">
    <w:abstractNumId w:val="8"/>
  </w:num>
  <w:num w:numId="13" w16cid:durableId="1832981474">
    <w:abstractNumId w:val="3"/>
  </w:num>
  <w:num w:numId="14" w16cid:durableId="586765132">
    <w:abstractNumId w:val="3"/>
  </w:num>
  <w:num w:numId="15" w16cid:durableId="1603566895">
    <w:abstractNumId w:val="2"/>
  </w:num>
  <w:num w:numId="16" w16cid:durableId="1803158913">
    <w:abstractNumId w:val="2"/>
  </w:num>
  <w:num w:numId="17" w16cid:durableId="755975465">
    <w:abstractNumId w:val="1"/>
  </w:num>
  <w:num w:numId="18" w16cid:durableId="866599995">
    <w:abstractNumId w:val="1"/>
  </w:num>
  <w:num w:numId="19" w16cid:durableId="1448894252">
    <w:abstractNumId w:val="0"/>
  </w:num>
  <w:num w:numId="20" w16cid:durableId="1930965531">
    <w:abstractNumId w:val="0"/>
  </w:num>
  <w:num w:numId="21" w16cid:durableId="1731802955">
    <w:abstractNumId w:val="9"/>
  </w:num>
  <w:num w:numId="22" w16cid:durableId="1517422925">
    <w:abstractNumId w:val="7"/>
  </w:num>
  <w:num w:numId="23" w16cid:durableId="1395273339">
    <w:abstractNumId w:val="6"/>
  </w:num>
  <w:num w:numId="24" w16cid:durableId="153882272">
    <w:abstractNumId w:val="5"/>
  </w:num>
  <w:num w:numId="25" w16cid:durableId="637152030">
    <w:abstractNumId w:val="4"/>
  </w:num>
  <w:num w:numId="26" w16cid:durableId="1924415211">
    <w:abstractNumId w:val="8"/>
  </w:num>
  <w:num w:numId="27" w16cid:durableId="916864157">
    <w:abstractNumId w:val="3"/>
  </w:num>
  <w:num w:numId="28" w16cid:durableId="1949501651">
    <w:abstractNumId w:val="2"/>
  </w:num>
  <w:num w:numId="29" w16cid:durableId="2011368974">
    <w:abstractNumId w:val="1"/>
  </w:num>
  <w:num w:numId="30" w16cid:durableId="1954901717">
    <w:abstractNumId w:val="0"/>
  </w:num>
  <w:num w:numId="31" w16cid:durableId="296885946">
    <w:abstractNumId w:val="9"/>
  </w:num>
  <w:num w:numId="32" w16cid:durableId="905603879">
    <w:abstractNumId w:val="7"/>
  </w:num>
  <w:num w:numId="33" w16cid:durableId="861894925">
    <w:abstractNumId w:val="6"/>
  </w:num>
  <w:num w:numId="34" w16cid:durableId="134837460">
    <w:abstractNumId w:val="5"/>
  </w:num>
  <w:num w:numId="35" w16cid:durableId="446048273">
    <w:abstractNumId w:val="4"/>
  </w:num>
  <w:num w:numId="36" w16cid:durableId="2115324287">
    <w:abstractNumId w:val="8"/>
  </w:num>
  <w:num w:numId="37" w16cid:durableId="812599622">
    <w:abstractNumId w:val="3"/>
  </w:num>
  <w:num w:numId="38" w16cid:durableId="31997411">
    <w:abstractNumId w:val="2"/>
  </w:num>
  <w:num w:numId="39" w16cid:durableId="1328439779">
    <w:abstractNumId w:val="1"/>
  </w:num>
  <w:num w:numId="40" w16cid:durableId="1263758104">
    <w:abstractNumId w:val="0"/>
  </w:num>
  <w:num w:numId="41" w16cid:durableId="868183947">
    <w:abstractNumId w:val="10"/>
  </w:num>
  <w:num w:numId="42" w16cid:durableId="47725150">
    <w:abstractNumId w:val="10"/>
  </w:num>
  <w:num w:numId="43" w16cid:durableId="1633093177">
    <w:abstractNumId w:val="10"/>
  </w:num>
  <w:num w:numId="44" w16cid:durableId="11579641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7/2026"/>
    <w:docVar w:name="dvlangue" w:val="SL"/>
    <w:docVar w:name="dvnumam" w:val="0"/>
    <w:docVar w:name="dvpe" w:val="778.066"/>
    <w:docVar w:name="dvrapporteur" w:val="Poročevalec: "/>
    <w:docVar w:name="dvtitre" w:val="1. Sklep Evropskega parlamenta z dne 26. aprila 2026 o razrešnici glede izvrševanja splošnega proračuna Evropske unije za proračunsko leto 2024, oddelek IX – Evropski nadzornik za varstvo podatkov(2025/2154(DEC))"/>
  </w:docVars>
  <w:rsids>
    <w:rsidRoot w:val="0071350A"/>
    <w:rsid w:val="00002272"/>
    <w:rsid w:val="000235DA"/>
    <w:rsid w:val="00064002"/>
    <w:rsid w:val="000677B9"/>
    <w:rsid w:val="000831BA"/>
    <w:rsid w:val="000A42CC"/>
    <w:rsid w:val="000E7DD9"/>
    <w:rsid w:val="0010095E"/>
    <w:rsid w:val="0010538A"/>
    <w:rsid w:val="00125B37"/>
    <w:rsid w:val="00145573"/>
    <w:rsid w:val="00174EA2"/>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3B9E"/>
    <w:rsid w:val="004C0004"/>
    <w:rsid w:val="004C5D52"/>
    <w:rsid w:val="0050519A"/>
    <w:rsid w:val="005072A1"/>
    <w:rsid w:val="00514517"/>
    <w:rsid w:val="00545827"/>
    <w:rsid w:val="005472C4"/>
    <w:rsid w:val="00560270"/>
    <w:rsid w:val="005C2568"/>
    <w:rsid w:val="005F1B17"/>
    <w:rsid w:val="006037C0"/>
    <w:rsid w:val="006631B6"/>
    <w:rsid w:val="00680577"/>
    <w:rsid w:val="006F74FA"/>
    <w:rsid w:val="0071350A"/>
    <w:rsid w:val="00731ADD"/>
    <w:rsid w:val="00734777"/>
    <w:rsid w:val="00747932"/>
    <w:rsid w:val="00751A4A"/>
    <w:rsid w:val="00756632"/>
    <w:rsid w:val="00757083"/>
    <w:rsid w:val="00762C74"/>
    <w:rsid w:val="00786EC0"/>
    <w:rsid w:val="007D1690"/>
    <w:rsid w:val="007D2147"/>
    <w:rsid w:val="007E22AD"/>
    <w:rsid w:val="00817416"/>
    <w:rsid w:val="00842779"/>
    <w:rsid w:val="00864A7B"/>
    <w:rsid w:val="00865F67"/>
    <w:rsid w:val="00881A7B"/>
    <w:rsid w:val="008840E5"/>
    <w:rsid w:val="00887B3E"/>
    <w:rsid w:val="008C2AC6"/>
    <w:rsid w:val="00930C23"/>
    <w:rsid w:val="0093193B"/>
    <w:rsid w:val="009509D8"/>
    <w:rsid w:val="00950B64"/>
    <w:rsid w:val="00981893"/>
    <w:rsid w:val="00A1687D"/>
    <w:rsid w:val="00A43E52"/>
    <w:rsid w:val="00A457F5"/>
    <w:rsid w:val="00A4678D"/>
    <w:rsid w:val="00A544A0"/>
    <w:rsid w:val="00A66EB2"/>
    <w:rsid w:val="00A778C7"/>
    <w:rsid w:val="00AB441E"/>
    <w:rsid w:val="00AB6293"/>
    <w:rsid w:val="00AD63D3"/>
    <w:rsid w:val="00AE0928"/>
    <w:rsid w:val="00AF3B82"/>
    <w:rsid w:val="00B12E95"/>
    <w:rsid w:val="00B22876"/>
    <w:rsid w:val="00B558F0"/>
    <w:rsid w:val="00BD48FE"/>
    <w:rsid w:val="00BD7BD8"/>
    <w:rsid w:val="00BE3C22"/>
    <w:rsid w:val="00BE6ADC"/>
    <w:rsid w:val="00C05BFE"/>
    <w:rsid w:val="00C23CD4"/>
    <w:rsid w:val="00C61C0C"/>
    <w:rsid w:val="00C941CB"/>
    <w:rsid w:val="00CC2357"/>
    <w:rsid w:val="00CE0900"/>
    <w:rsid w:val="00CF071A"/>
    <w:rsid w:val="00D058B8"/>
    <w:rsid w:val="00D56C11"/>
    <w:rsid w:val="00D834A0"/>
    <w:rsid w:val="00D872DF"/>
    <w:rsid w:val="00D91E21"/>
    <w:rsid w:val="00DA7FCD"/>
    <w:rsid w:val="00E365E1"/>
    <w:rsid w:val="00E820A4"/>
    <w:rsid w:val="00EB006A"/>
    <w:rsid w:val="00EB4772"/>
    <w:rsid w:val="00EC5915"/>
    <w:rsid w:val="00ED0D78"/>
    <w:rsid w:val="00ED169E"/>
    <w:rsid w:val="00ED4235"/>
    <w:rsid w:val="00F04346"/>
    <w:rsid w:val="00F075DC"/>
    <w:rsid w:val="00F106D4"/>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9B2B08"/>
  <w15:chartTrackingRefBased/>
  <w15:docId w15:val="{D380BB47-26C5-40D1-B0E9-17529F0E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74EA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74EA2"/>
    <w:pPr>
      <w:spacing w:before="480" w:after="240"/>
    </w:pPr>
  </w:style>
  <w:style w:type="paragraph" w:customStyle="1" w:styleId="PageHeading">
    <w:name w:val="PageHeading"/>
    <w:basedOn w:val="Normal"/>
    <w:rsid w:val="00174EA2"/>
    <w:pPr>
      <w:keepNext/>
      <w:spacing w:after="480"/>
      <w:jc w:val="center"/>
    </w:pPr>
    <w:rPr>
      <w:rFonts w:ascii="Arial" w:hAnsi="Arial" w:cs="Arial"/>
      <w:b/>
    </w:rPr>
  </w:style>
  <w:style w:type="paragraph" w:customStyle="1" w:styleId="NormalBold">
    <w:name w:val="NormalBold"/>
    <w:basedOn w:val="Normal"/>
    <w:rsid w:val="00174EA2"/>
    <w:rPr>
      <w:b/>
    </w:rPr>
  </w:style>
  <w:style w:type="paragraph" w:customStyle="1" w:styleId="NormalHanging12a">
    <w:name w:val="NormalHanging12a"/>
    <w:basedOn w:val="Normal"/>
    <w:link w:val="NormalHanging12aChar"/>
    <w:qFormat/>
    <w:rsid w:val="00174EA2"/>
    <w:pPr>
      <w:spacing w:after="240"/>
      <w:ind w:left="567" w:hanging="567"/>
    </w:pPr>
  </w:style>
  <w:style w:type="paragraph" w:styleId="Header">
    <w:name w:val="header"/>
    <w:basedOn w:val="Normal"/>
    <w:link w:val="HeaderChar"/>
    <w:rsid w:val="00174EA2"/>
    <w:pPr>
      <w:tabs>
        <w:tab w:val="center" w:pos="4513"/>
        <w:tab w:val="right" w:pos="9026"/>
      </w:tabs>
    </w:pPr>
  </w:style>
  <w:style w:type="character" w:customStyle="1" w:styleId="HeaderChar">
    <w:name w:val="Header Char"/>
    <w:basedOn w:val="DefaultParagraphFont"/>
    <w:link w:val="Header"/>
    <w:rsid w:val="00174EA2"/>
    <w:rPr>
      <w:sz w:val="24"/>
      <w:lang w:val="sl-SI"/>
    </w:rPr>
  </w:style>
  <w:style w:type="paragraph" w:customStyle="1" w:styleId="EPFooter">
    <w:name w:val="EPFooter"/>
    <w:basedOn w:val="Normal"/>
    <w:rsid w:val="00174EA2"/>
    <w:pPr>
      <w:tabs>
        <w:tab w:val="center" w:pos="4535"/>
        <w:tab w:val="right" w:pos="9071"/>
      </w:tabs>
      <w:spacing w:before="240" w:after="240"/>
    </w:pPr>
    <w:rPr>
      <w:color w:val="010000"/>
      <w:sz w:val="22"/>
    </w:rPr>
  </w:style>
  <w:style w:type="character" w:styleId="Hyperlink">
    <w:name w:val="Hyperlink"/>
    <w:basedOn w:val="DefaultParagraphFont"/>
    <w:rsid w:val="00174EA2"/>
    <w:rPr>
      <w:color w:val="0563C1" w:themeColor="hyperlink"/>
      <w:u w:val="single"/>
    </w:rPr>
  </w:style>
  <w:style w:type="character" w:customStyle="1" w:styleId="NormalHanging12aChar">
    <w:name w:val="NormalHanging12a Char"/>
    <w:basedOn w:val="DefaultParagraphFont"/>
    <w:link w:val="NormalHanging12a"/>
    <w:locked/>
    <w:rsid w:val="00174EA2"/>
    <w:rPr>
      <w:sz w:val="24"/>
      <w:lang w:val="sl-SI"/>
    </w:rPr>
  </w:style>
  <w:style w:type="paragraph" w:styleId="Footer">
    <w:name w:val="footer"/>
    <w:basedOn w:val="Normal"/>
    <w:link w:val="FooterChar"/>
    <w:rsid w:val="005472C4"/>
    <w:pPr>
      <w:tabs>
        <w:tab w:val="center" w:pos="4513"/>
        <w:tab w:val="right" w:pos="9026"/>
      </w:tabs>
    </w:pPr>
  </w:style>
  <w:style w:type="character" w:customStyle="1" w:styleId="FooterChar">
    <w:name w:val="Footer Char"/>
    <w:basedOn w:val="DefaultParagraphFont"/>
    <w:link w:val="Footer"/>
    <w:rsid w:val="005472C4"/>
    <w:rPr>
      <w:sz w:val="24"/>
      <w:lang w:val="sl-SI"/>
    </w:rPr>
  </w:style>
  <w:style w:type="paragraph" w:styleId="Revision">
    <w:name w:val="Revision"/>
    <w:hidden/>
    <w:uiPriority w:val="99"/>
    <w:semiHidden/>
    <w:rsid w:val="007D2147"/>
    <w:rPr>
      <w:sz w:val="24"/>
      <w:lang w:val="sl-SI"/>
    </w:rPr>
  </w:style>
  <w:style w:type="character" w:styleId="FollowedHyperlink">
    <w:name w:val="FollowedHyperlink"/>
    <w:basedOn w:val="DefaultParagraphFont"/>
    <w:rsid w:val="0010538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689/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18/1725/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16/67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2/1925/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reg/2016/7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7231</Words>
  <Characters>41687</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2026-04-29T12:13:00Z</dcterms:created>
  <dcterms:modified xsi:type="dcterms:W3CDTF">2026-04-29T12:13:00Z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A10-0057/2026</vt:lpwstr>
  </property>
  <property fmtid="{D5CDD505-2E9C-101B-9397-08002B2CF9AE}" pid="4" name="&lt;Type&gt;">
    <vt:lpwstr>RR</vt:lpwstr>
  </property>
</Properties>
</file>