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0DF" w14:paraId="541A9903" w14:textId="77777777" w:rsidTr="0010095E">
        <w:trPr>
          <w:trHeight w:hRule="exact" w:val="1418"/>
        </w:trPr>
        <w:tc>
          <w:tcPr>
            <w:tcW w:w="6804" w:type="dxa"/>
            <w:shd w:val="clear" w:color="auto" w:fill="auto"/>
            <w:vAlign w:val="center"/>
          </w:tcPr>
          <w:p w14:paraId="2D06560C" w14:textId="36834A4A" w:rsidR="00751A4A" w:rsidRPr="00C900DF" w:rsidRDefault="00933A61" w:rsidP="0010095E">
            <w:pPr>
              <w:pStyle w:val="EPName"/>
            </w:pPr>
            <w:r w:rsidRPr="00C900DF">
              <w:t>Europaparlamentet</w:t>
            </w:r>
          </w:p>
          <w:p w14:paraId="671FCC25" w14:textId="77777777" w:rsidR="00751A4A" w:rsidRPr="00C900DF" w:rsidRDefault="005F1B17" w:rsidP="005F1B17">
            <w:pPr>
              <w:pStyle w:val="EPTerm"/>
              <w:rPr>
                <w:rStyle w:val="HideTWBExt"/>
                <w:noProof w:val="0"/>
                <w:vanish w:val="0"/>
                <w:color w:val="auto"/>
              </w:rPr>
            </w:pPr>
            <w:r w:rsidRPr="00C900DF">
              <w:t>2024</w:t>
            </w:r>
            <w:r w:rsidR="00817416" w:rsidRPr="00C900DF">
              <w:t>-202</w:t>
            </w:r>
            <w:r w:rsidRPr="00C900DF">
              <w:t>9</w:t>
            </w:r>
          </w:p>
        </w:tc>
        <w:tc>
          <w:tcPr>
            <w:tcW w:w="2268" w:type="dxa"/>
            <w:shd w:val="clear" w:color="auto" w:fill="auto"/>
          </w:tcPr>
          <w:p w14:paraId="49E793B6" w14:textId="77777777" w:rsidR="00751A4A" w:rsidRPr="00C900DF" w:rsidRDefault="00187494" w:rsidP="0010095E">
            <w:pPr>
              <w:pStyle w:val="EPLogo"/>
            </w:pPr>
            <w:r w:rsidRPr="00C900DF">
              <w:rPr>
                <w:noProof/>
                <w:lang w:eastAsia="ja-JP"/>
              </w:rPr>
              <w:drawing>
                <wp:inline distT="0" distB="0" distL="0" distR="0" wp14:anchorId="704E60FB" wp14:editId="09EB6D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CF783" w14:textId="77777777" w:rsidR="00D058B8" w:rsidRPr="00C900DF" w:rsidRDefault="00D058B8" w:rsidP="004C5D52">
      <w:pPr>
        <w:pStyle w:val="LineTop"/>
      </w:pPr>
    </w:p>
    <w:p w14:paraId="3E6013E3" w14:textId="6D55015D" w:rsidR="00680577" w:rsidRPr="00C900DF" w:rsidRDefault="00933A61" w:rsidP="00680577">
      <w:pPr>
        <w:pStyle w:val="EPBodyTA1"/>
      </w:pPr>
      <w:r w:rsidRPr="00C900DF">
        <w:t>ANTAGNA TEXTER</w:t>
      </w:r>
    </w:p>
    <w:p w14:paraId="06E7C741" w14:textId="77777777" w:rsidR="00D058B8" w:rsidRPr="00C900DF" w:rsidRDefault="00D058B8" w:rsidP="00D058B8">
      <w:pPr>
        <w:pStyle w:val="LineBottom"/>
      </w:pPr>
    </w:p>
    <w:p w14:paraId="03FFBA97" w14:textId="3D83B2CF" w:rsidR="00933A61" w:rsidRPr="00C900DF" w:rsidRDefault="00933A61" w:rsidP="00933A61">
      <w:pPr>
        <w:pStyle w:val="ATHeading1"/>
      </w:pPr>
      <w:bookmarkStart w:id="0" w:name="TANumber"/>
      <w:r w:rsidRPr="00C900DF">
        <w:t>P10_TA(2026)0</w:t>
      </w:r>
      <w:bookmarkEnd w:id="0"/>
      <w:r w:rsidR="00521092">
        <w:t>134</w:t>
      </w:r>
    </w:p>
    <w:p w14:paraId="5773BAE9" w14:textId="77777777" w:rsidR="00933A61" w:rsidRPr="00C900DF" w:rsidRDefault="00933A61" w:rsidP="00933A61">
      <w:pPr>
        <w:pStyle w:val="ATHeading2"/>
      </w:pPr>
      <w:bookmarkStart w:id="1" w:name="title"/>
      <w:r w:rsidRPr="00C900DF">
        <w:t>Ansvarsfrihet 2024: EU:s allmänna budget – Europeiska datatillsynsmannen</w:t>
      </w:r>
    </w:p>
    <w:p w14:paraId="2B375215" w14:textId="77777777" w:rsidR="00933A61" w:rsidRPr="00C900DF" w:rsidRDefault="00933A61" w:rsidP="00933A61">
      <w:pPr>
        <w:rPr>
          <w:i/>
          <w:vanish/>
        </w:rPr>
      </w:pPr>
      <w:r w:rsidRPr="00C900DF">
        <w:rPr>
          <w:i/>
        </w:rPr>
        <w:fldChar w:fldCharType="begin"/>
      </w:r>
      <w:r w:rsidRPr="00C900DF">
        <w:rPr>
          <w:i/>
        </w:rPr>
        <w:instrText xml:space="preserve"> TC"(</w:instrText>
      </w:r>
      <w:bookmarkStart w:id="2" w:name="DocNumber"/>
      <w:r w:rsidRPr="00C900DF">
        <w:rPr>
          <w:i/>
        </w:rPr>
        <w:instrText>A10-0057/2026</w:instrText>
      </w:r>
      <w:bookmarkEnd w:id="2"/>
      <w:r w:rsidRPr="00C900DF">
        <w:rPr>
          <w:i/>
        </w:rPr>
        <w:instrText xml:space="preserve"> - Föredragande: Pasquale </w:instrText>
      </w:r>
      <w:proofErr w:type="spellStart"/>
      <w:r w:rsidRPr="00C900DF">
        <w:rPr>
          <w:i/>
        </w:rPr>
        <w:instrText>Tridico</w:instrText>
      </w:r>
      <w:proofErr w:type="spellEnd"/>
      <w:r w:rsidRPr="00C900DF">
        <w:rPr>
          <w:i/>
        </w:rPr>
        <w:instrText xml:space="preserve">)"\l3 \n&gt; \* MERGEFORMAT </w:instrText>
      </w:r>
      <w:r w:rsidRPr="00C900DF">
        <w:rPr>
          <w:i/>
        </w:rPr>
        <w:fldChar w:fldCharType="end"/>
      </w:r>
    </w:p>
    <w:p w14:paraId="47535C58" w14:textId="77777777" w:rsidR="00933A61" w:rsidRPr="00C900DF" w:rsidRDefault="00933A61" w:rsidP="00933A61">
      <w:pPr>
        <w:rPr>
          <w:vanish/>
        </w:rPr>
      </w:pPr>
      <w:bookmarkStart w:id="3" w:name="Commission"/>
      <w:r w:rsidRPr="00C900DF">
        <w:rPr>
          <w:vanish/>
        </w:rPr>
        <w:t>Budgetkontrollutskottet</w:t>
      </w:r>
      <w:bookmarkEnd w:id="3"/>
    </w:p>
    <w:p w14:paraId="6A660BAC" w14:textId="77777777" w:rsidR="00933A61" w:rsidRPr="00C900DF" w:rsidRDefault="00933A61" w:rsidP="00933A61">
      <w:pPr>
        <w:rPr>
          <w:vanish/>
        </w:rPr>
      </w:pPr>
      <w:bookmarkStart w:id="4" w:name="PE"/>
      <w:r w:rsidRPr="00C900DF">
        <w:rPr>
          <w:vanish/>
        </w:rPr>
        <w:t>PE778.066</w:t>
      </w:r>
      <w:bookmarkEnd w:id="4"/>
    </w:p>
    <w:p w14:paraId="46AF9AD4" w14:textId="6DF19B8B" w:rsidR="00933A61" w:rsidRPr="00C900DF" w:rsidRDefault="00D524A4" w:rsidP="00933A61">
      <w:pPr>
        <w:pStyle w:val="ATHeading3"/>
      </w:pPr>
      <w:bookmarkStart w:id="5" w:name="Sujet"/>
      <w:r>
        <w:t xml:space="preserve">1. </w:t>
      </w:r>
      <w:r w:rsidR="00933A61" w:rsidRPr="00C900DF">
        <w:t xml:space="preserve">Europaparlamentets beslut av den </w:t>
      </w:r>
      <w:r w:rsidR="003054BC">
        <w:t>29</w:t>
      </w:r>
      <w:r w:rsidR="00933A61" w:rsidRPr="00C900DF">
        <w:t xml:space="preserve"> </w:t>
      </w:r>
      <w:r w:rsidR="003054BC">
        <w:t>april</w:t>
      </w:r>
      <w:r w:rsidR="00933A61" w:rsidRPr="00C900DF">
        <w:t xml:space="preserve"> 2026 om ansvarsfrihet för genomförandet av Europeiska unionens allmänna budget för budgetåret 2024, avsnitt IX – Europeiska datatillsynsmannen</w:t>
      </w:r>
      <w:bookmarkEnd w:id="5"/>
      <w:r w:rsidR="00933A61" w:rsidRPr="00C900DF">
        <w:t xml:space="preserve"> </w:t>
      </w:r>
      <w:bookmarkStart w:id="6" w:name="References"/>
      <w:r w:rsidR="00933A61" w:rsidRPr="00C900DF">
        <w:t>(2025/2154(DEC))</w:t>
      </w:r>
      <w:bookmarkEnd w:id="6"/>
    </w:p>
    <w:p w14:paraId="401B3457" w14:textId="77777777" w:rsidR="00096834" w:rsidRPr="00C900DF" w:rsidRDefault="00096834" w:rsidP="00096834">
      <w:pPr>
        <w:pStyle w:val="EPComma"/>
      </w:pPr>
      <w:bookmarkStart w:id="7" w:name="TextBodyBegin"/>
      <w:bookmarkEnd w:id="1"/>
      <w:bookmarkEnd w:id="7"/>
      <w:r w:rsidRPr="00C900DF">
        <w:rPr>
          <w:i/>
          <w:iCs/>
        </w:rPr>
        <w:t>Europaparlamentet fattar detta beslut</w:t>
      </w:r>
    </w:p>
    <w:p w14:paraId="6EB3D4A1" w14:textId="77777777" w:rsidR="00096834" w:rsidRPr="00C900DF" w:rsidRDefault="00096834" w:rsidP="00096834">
      <w:pPr>
        <w:pStyle w:val="NormalHanging12a"/>
      </w:pPr>
      <w:r w:rsidRPr="00C900DF">
        <w:t>–</w:t>
      </w:r>
      <w:r w:rsidRPr="00C900DF">
        <w:tab/>
        <w:t>med beaktande av Europeiska unionens allmänna budget för budgetåret 2024</w:t>
      </w:r>
      <w:r w:rsidRPr="00C900DF">
        <w:rPr>
          <w:rStyle w:val="FootnoteReference"/>
        </w:rPr>
        <w:footnoteReference w:id="1"/>
      </w:r>
      <w:r w:rsidRPr="00C900DF">
        <w:t>,</w:t>
      </w:r>
    </w:p>
    <w:p w14:paraId="03F11B54" w14:textId="77777777" w:rsidR="00096834" w:rsidRPr="00C900DF" w:rsidRDefault="00096834" w:rsidP="00096834">
      <w:pPr>
        <w:pStyle w:val="NormalHanging12a"/>
      </w:pPr>
      <w:r w:rsidRPr="00C900DF">
        <w:t>–</w:t>
      </w:r>
      <w:r w:rsidRPr="00C900DF">
        <w:tab/>
        <w:t>med beaktande av Europeiska unionens konsoliderade årsredovisning för budgetåret 2024 (COM(2025)0359 – C10</w:t>
      </w:r>
      <w:r w:rsidRPr="00C900DF">
        <w:noBreakHyphen/>
        <w:t>0154/2025)</w:t>
      </w:r>
      <w:r w:rsidRPr="00C900DF">
        <w:rPr>
          <w:rStyle w:val="FootnoteReference"/>
        </w:rPr>
        <w:footnoteReference w:id="2"/>
      </w:r>
      <w:r w:rsidRPr="00C900DF">
        <w:t>,</w:t>
      </w:r>
    </w:p>
    <w:p w14:paraId="53B21C4A" w14:textId="77777777" w:rsidR="00096834" w:rsidRPr="00C900DF" w:rsidRDefault="00096834" w:rsidP="00096834">
      <w:pPr>
        <w:pStyle w:val="NormalHanging12a"/>
      </w:pPr>
      <w:r w:rsidRPr="00C900DF">
        <w:t>–</w:t>
      </w:r>
      <w:r w:rsidRPr="00C900DF">
        <w:tab/>
        <w:t>med beaktande av Europeiska datatillsynsmannens årsrapport för 2024,</w:t>
      </w:r>
    </w:p>
    <w:p w14:paraId="72F41441" w14:textId="77777777" w:rsidR="00096834" w:rsidRPr="00C900DF" w:rsidRDefault="00096834" w:rsidP="00096834">
      <w:pPr>
        <w:pStyle w:val="NormalHanging12a"/>
      </w:pPr>
      <w:r w:rsidRPr="00C900DF">
        <w:t>–</w:t>
      </w:r>
      <w:r w:rsidRPr="00C900DF">
        <w:tab/>
        <w:t>med beaktande av revisionsrättens årsrapport om genomförandet av budgeten för budgetåret 2024, med institutionernas svar</w:t>
      </w:r>
      <w:r w:rsidRPr="00C900DF">
        <w:rPr>
          <w:rStyle w:val="FootnoteReference"/>
        </w:rPr>
        <w:footnoteReference w:id="3"/>
      </w:r>
      <w:r w:rsidRPr="00C900DF">
        <w:t>,</w:t>
      </w:r>
    </w:p>
    <w:p w14:paraId="18B9E57F" w14:textId="77777777" w:rsidR="00096834" w:rsidRPr="00C900DF" w:rsidRDefault="00096834" w:rsidP="00096834">
      <w:pPr>
        <w:pStyle w:val="NormalHanging12a"/>
      </w:pPr>
      <w:r w:rsidRPr="00C900DF">
        <w:t>–</w:t>
      </w:r>
      <w:r w:rsidRPr="00C900DF">
        <w:tab/>
        <w:t>med beaktande av förklaringen om räkenskapernas tillförlitlighet</w:t>
      </w:r>
      <w:r w:rsidRPr="00C900DF">
        <w:rPr>
          <w:rStyle w:val="FootnoteReference"/>
        </w:rPr>
        <w:footnoteReference w:id="4"/>
      </w:r>
      <w:r w:rsidRPr="00C900DF">
        <w:t xml:space="preserve"> och de underliggande transaktionernas laglighet och korrekthet, som avgetts av revisionsrätten för budgetåret 2024 i enlighet med artikel 287 i fördraget om Europeiska unionens funktionssätt,</w:t>
      </w:r>
    </w:p>
    <w:p w14:paraId="2EA5F18F" w14:textId="77777777" w:rsidR="00096834" w:rsidRPr="00C900DF" w:rsidRDefault="00096834" w:rsidP="00096834">
      <w:pPr>
        <w:pStyle w:val="NormalHanging12a"/>
      </w:pPr>
      <w:r w:rsidRPr="00C900DF">
        <w:t>–</w:t>
      </w:r>
      <w:r w:rsidRPr="00C900DF">
        <w:tab/>
        <w:t>med beaktande av artikel 314.10 och artiklarna 317, 318 och 319 i fördraget om Europeiska unionens funktionssätt,</w:t>
      </w:r>
    </w:p>
    <w:p w14:paraId="2F30CC2C" w14:textId="77777777" w:rsidR="00096834" w:rsidRPr="00C900DF" w:rsidRDefault="00096834" w:rsidP="00096834">
      <w:pPr>
        <w:pStyle w:val="NormalHanging12a"/>
      </w:pPr>
      <w:r w:rsidRPr="00C900DF">
        <w:t>–</w:t>
      </w:r>
      <w:r w:rsidRPr="00C900DF">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C900DF">
        <w:lastRenderedPageBreak/>
        <w:t>Euratom) nr 966/2012</w:t>
      </w:r>
      <w:r w:rsidRPr="00C900DF">
        <w:rPr>
          <w:rStyle w:val="FootnoteReference"/>
        </w:rPr>
        <w:footnoteReference w:id="5"/>
      </w:r>
      <w:r w:rsidRPr="00C900DF">
        <w:t>, särskilt artiklarna 59, 118, 260, 261 och 262,</w:t>
      </w:r>
    </w:p>
    <w:p w14:paraId="7E1589EC" w14:textId="77777777" w:rsidR="00096834" w:rsidRPr="00C900DF" w:rsidRDefault="00096834" w:rsidP="00096834">
      <w:pPr>
        <w:pStyle w:val="NormalHanging12a"/>
      </w:pPr>
      <w:r w:rsidRPr="00C900DF">
        <w:t>–</w:t>
      </w:r>
      <w:r w:rsidRPr="00C900DF">
        <w:tab/>
        <w:t>med beaktande av Europaparlamentets och rådets förordning (EU, Euratom) 2024/2509 av den 23 september 2024 om finansiella regler för unionens allmänna budget</w:t>
      </w:r>
      <w:r w:rsidRPr="00C900DF">
        <w:rPr>
          <w:rStyle w:val="FootnoteReference"/>
        </w:rPr>
        <w:footnoteReference w:id="6"/>
      </w:r>
      <w:r w:rsidRPr="00C900DF">
        <w:t>, särskilt artiklarna 59, 118, 266, 267 och 268,</w:t>
      </w:r>
    </w:p>
    <w:p w14:paraId="1B59300D" w14:textId="77777777" w:rsidR="00096834" w:rsidRPr="00C900DF" w:rsidRDefault="00096834" w:rsidP="00096834">
      <w:pPr>
        <w:pStyle w:val="NormalHanging12a"/>
      </w:pPr>
      <w:r w:rsidRPr="00C900DF">
        <w:t>–</w:t>
      </w:r>
      <w:r w:rsidRPr="00C900DF">
        <w:tab/>
        <w:t>med beaktande av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rsidRPr="00C900DF">
        <w:rPr>
          <w:rStyle w:val="FootnoteReference"/>
        </w:rPr>
        <w:footnoteReference w:id="7"/>
      </w:r>
      <w:r w:rsidRPr="00C900DF">
        <w:t>, särskilt artikel 54,</w:t>
      </w:r>
    </w:p>
    <w:p w14:paraId="47952C61" w14:textId="77777777" w:rsidR="00096834" w:rsidRPr="00C900DF" w:rsidRDefault="00096834" w:rsidP="00096834">
      <w:pPr>
        <w:pStyle w:val="NormalHanging12a"/>
      </w:pPr>
      <w:r w:rsidRPr="00C900DF">
        <w:t>–</w:t>
      </w:r>
      <w:r w:rsidRPr="00C900DF">
        <w:tab/>
        <w:t>med beaktande av artikel 102 och bilaga V i arbetsordningen,</w:t>
      </w:r>
    </w:p>
    <w:p w14:paraId="40D44DEB" w14:textId="77777777" w:rsidR="00096834" w:rsidRPr="00C900DF" w:rsidRDefault="00096834" w:rsidP="00096834">
      <w:pPr>
        <w:pStyle w:val="NormalHanging12a"/>
      </w:pPr>
      <w:r w:rsidRPr="00C900DF">
        <w:t>–</w:t>
      </w:r>
      <w:r w:rsidRPr="00C900DF">
        <w:tab/>
        <w:t>med beaktande av yttrandet från utskottet för medborgerliga fri- och rättigheter samt rättsliga och inrikes frågor,</w:t>
      </w:r>
    </w:p>
    <w:p w14:paraId="2BBE118E" w14:textId="77777777" w:rsidR="00096834" w:rsidRPr="00C900DF" w:rsidRDefault="00096834" w:rsidP="00096834">
      <w:pPr>
        <w:pStyle w:val="NormalHanging12a"/>
      </w:pPr>
      <w:r w:rsidRPr="00C900DF">
        <w:t>–</w:t>
      </w:r>
      <w:r w:rsidRPr="00C900DF">
        <w:tab/>
        <w:t>med beaktande av betänkandet från budgetkontrollutskottet (A10-0057/2026).</w:t>
      </w:r>
    </w:p>
    <w:p w14:paraId="35B43E9E" w14:textId="77777777" w:rsidR="00096834" w:rsidRPr="00C900DF" w:rsidRDefault="00096834" w:rsidP="00096834">
      <w:pPr>
        <w:pStyle w:val="NormalHanging12a"/>
      </w:pPr>
      <w:r w:rsidRPr="00C900DF">
        <w:t>1.</w:t>
      </w:r>
      <w:r w:rsidRPr="00C900DF">
        <w:tab/>
        <w:t>Europaparlamentet beviljar Europeiska datatillsynsmannen ansvarsfrihet för genomförandet av budgeten för budgetåret 2024.</w:t>
      </w:r>
    </w:p>
    <w:p w14:paraId="5ED2F88E" w14:textId="77777777" w:rsidR="00096834" w:rsidRPr="00C900DF" w:rsidRDefault="00096834" w:rsidP="00096834">
      <w:pPr>
        <w:pStyle w:val="NormalHanging12a"/>
      </w:pPr>
      <w:r w:rsidRPr="00C900DF">
        <w:t>2.</w:t>
      </w:r>
      <w:r w:rsidRPr="00C900DF">
        <w:tab/>
        <w:t>Europaparlamentet redovisar sina iakttagelser i resolutionen nedan.</w:t>
      </w:r>
    </w:p>
    <w:p w14:paraId="5E965286" w14:textId="77777777" w:rsidR="00096834" w:rsidRPr="00C900DF" w:rsidRDefault="00096834" w:rsidP="00096834">
      <w:pPr>
        <w:pStyle w:val="NormalHanging12a"/>
      </w:pPr>
      <w:r w:rsidRPr="00C900DF">
        <w:t>3.</w:t>
      </w:r>
      <w:r w:rsidRPr="00C900DF">
        <w:tab/>
        <w:t xml:space="preserve">Europaparlamentet uppdrar åt talmannen att översända detta beslut och den resolution som utgör en del av beslutet till Europeiska datatillsynsmannen, Europeiska rådet, rådet, kommissionen, revisionsrätten, Europeiska unionens domstol, Europeiska ombudsmannen och Europeiska utrikestjänsten, och att se till att de offentliggörs i </w:t>
      </w:r>
      <w:r w:rsidRPr="00C900DF">
        <w:rPr>
          <w:i/>
          <w:iCs/>
        </w:rPr>
        <w:t>Europeiska unionens officiella tidning</w:t>
      </w:r>
      <w:r w:rsidRPr="00C900DF">
        <w:t xml:space="preserve"> (L-serien).</w:t>
      </w:r>
    </w:p>
    <w:p w14:paraId="47E8D0F2" w14:textId="77777777" w:rsidR="00096834" w:rsidRPr="00C900DF" w:rsidRDefault="00096834" w:rsidP="00096834">
      <w:pPr>
        <w:pStyle w:val="PageHeading"/>
        <w:sectPr w:rsidR="00096834" w:rsidRPr="00C900DF" w:rsidSect="00C900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6D16BE" w14:textId="77777777" w:rsidR="00D524A4" w:rsidRDefault="00D524A4" w:rsidP="00D524A4">
      <w:pPr>
        <w:pStyle w:val="ATHeading3"/>
      </w:pPr>
      <w:r>
        <w:lastRenderedPageBreak/>
        <w:t xml:space="preserve">2. Europaparlamentets resolution av den 29 april </w:t>
      </w:r>
      <w:r w:rsidRPr="00E008E7">
        <w:t>2026 med de iakttagelser som utgör</w:t>
      </w:r>
      <w:r>
        <w:t xml:space="preserve"> en del av beslutet om ansvarsfrihet för genomförandet av Europeiska unionens allmänna budget för budgetåret 2024, avsnitt IX – Europeiska datatillsynsmannen (2025/2154(DEC))</w:t>
      </w:r>
    </w:p>
    <w:p w14:paraId="3382B893" w14:textId="77777777" w:rsidR="00096834" w:rsidRPr="00C900DF" w:rsidRDefault="00096834" w:rsidP="00096834">
      <w:pPr>
        <w:pStyle w:val="EPComma"/>
      </w:pPr>
      <w:r w:rsidRPr="00C900DF">
        <w:rPr>
          <w:i/>
          <w:iCs/>
        </w:rPr>
        <w:t>Europaparlamentet utfärdar denna resolution</w:t>
      </w:r>
    </w:p>
    <w:p w14:paraId="38EFA7A2" w14:textId="77777777" w:rsidR="00096834" w:rsidRPr="00C900DF" w:rsidRDefault="00096834" w:rsidP="00096834">
      <w:pPr>
        <w:pStyle w:val="NormalHanging12a"/>
      </w:pPr>
      <w:r w:rsidRPr="00C900DF">
        <w:t>–</w:t>
      </w:r>
      <w:r w:rsidRPr="00C900DF">
        <w:tab/>
        <w:t>med beaktande av sitt beslut om ansvarsfrihet för genomförandet av Europeiska unionens allmänna budget för budgetåret 2024, avsnitt IX – Europeiska datatillsynsmannen,</w:t>
      </w:r>
    </w:p>
    <w:p w14:paraId="5CFECF96" w14:textId="77777777" w:rsidR="00096834" w:rsidRPr="00C900DF" w:rsidRDefault="00096834" w:rsidP="00096834">
      <w:pPr>
        <w:pStyle w:val="NormalHanging12a"/>
      </w:pPr>
      <w:r w:rsidRPr="00C900DF">
        <w:t>–</w:t>
      </w:r>
      <w:r w:rsidRPr="00C900DF">
        <w:tab/>
        <w:t>med beaktande av artikel 102 och bilaga V i arbetsordningen,</w:t>
      </w:r>
    </w:p>
    <w:p w14:paraId="366E9040" w14:textId="77777777" w:rsidR="00096834" w:rsidRPr="00C900DF" w:rsidRDefault="00096834" w:rsidP="00096834">
      <w:pPr>
        <w:pStyle w:val="NormalHanging12a"/>
      </w:pPr>
      <w:r w:rsidRPr="00C900DF">
        <w:t>–</w:t>
      </w:r>
      <w:r w:rsidRPr="00C900DF">
        <w:tab/>
        <w:t>med beaktande av yttrandet från utskottet för medborgerliga fri- och rättigheter samt rättsliga och inrikes frågor,</w:t>
      </w:r>
    </w:p>
    <w:p w14:paraId="4AA0AA29" w14:textId="77777777" w:rsidR="00096834" w:rsidRPr="00C900DF" w:rsidRDefault="00096834" w:rsidP="00096834">
      <w:pPr>
        <w:pStyle w:val="NormalHanging12a"/>
      </w:pPr>
      <w:r w:rsidRPr="00C900DF">
        <w:t>–</w:t>
      </w:r>
      <w:r w:rsidRPr="00C900DF">
        <w:tab/>
        <w:t>med beaktande av betänkandet från budgetkontrollutskottet (A10-0057/2026), och av följande skäl:</w:t>
      </w:r>
    </w:p>
    <w:p w14:paraId="10ACC89B" w14:textId="77777777" w:rsidR="00096834" w:rsidRPr="00C900DF" w:rsidRDefault="00096834" w:rsidP="00096834">
      <w:pPr>
        <w:pStyle w:val="NormalHanging12a"/>
        <w:rPr>
          <w:szCs w:val="24"/>
        </w:rPr>
      </w:pPr>
      <w:r w:rsidRPr="00C900DF">
        <w:t>A.</w:t>
      </w:r>
      <w:r w:rsidRPr="00C900DF">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14:paraId="4F989064" w14:textId="77777777" w:rsidR="00096834" w:rsidRPr="00C900DF" w:rsidRDefault="00096834" w:rsidP="00096834">
      <w:pPr>
        <w:pStyle w:val="NormalHanging12a"/>
        <w:rPr>
          <w:szCs w:val="24"/>
        </w:rPr>
      </w:pPr>
      <w:r w:rsidRPr="00C900DF">
        <w:t>B.</w:t>
      </w:r>
      <w:r w:rsidRPr="00C900DF">
        <w:tab/>
        <w:t>Skydd av personuppgifter är en grundläggande rättighet som skyddas av unionslagstiftningen och fastställs i artikel 8 i Europeiska unionens stadga om de grundläggande rättigheterna.</w:t>
      </w:r>
    </w:p>
    <w:p w14:paraId="2AE81B01" w14:textId="77777777" w:rsidR="00096834" w:rsidRPr="00C900DF" w:rsidRDefault="00096834" w:rsidP="00096834">
      <w:pPr>
        <w:pStyle w:val="NormalHanging12a"/>
        <w:rPr>
          <w:szCs w:val="24"/>
        </w:rPr>
      </w:pPr>
      <w:r w:rsidRPr="00C900DF">
        <w:t>C.</w:t>
      </w:r>
      <w:r w:rsidRPr="00C900DF">
        <w:tab/>
        <w:t>I artikel 16 i fördraget om Europeiska unionens funktionssätt föreskrivs att oberoende myndigheter ska kontrollera efterlevnaden av bestämmelserna om skydd för enskilda vid behandling av personuppgifter som rör dem.</w:t>
      </w:r>
    </w:p>
    <w:p w14:paraId="2560C490" w14:textId="77777777" w:rsidR="00096834" w:rsidRPr="00C900DF" w:rsidRDefault="00096834" w:rsidP="00096834">
      <w:pPr>
        <w:pStyle w:val="NormalHanging12a"/>
        <w:rPr>
          <w:szCs w:val="24"/>
        </w:rPr>
      </w:pPr>
      <w:r w:rsidRPr="00C900DF">
        <w:t>D.</w:t>
      </w:r>
      <w:r w:rsidRPr="00C900DF">
        <w:tab/>
        <w:t>I förordning (EU) 2018/1725 föreskrivs inrättandet av en oberoende myndighet, Europeiska datatillsynsmannen (</w:t>
      </w:r>
      <w:r w:rsidRPr="00C900DF">
        <w:rPr>
          <w:i/>
          <w:iCs/>
        </w:rPr>
        <w:t>datatillsynsmannen</w:t>
      </w:r>
      <w:r w:rsidRPr="00C900DF">
        <w:t>), med ansvar för att skydda och garantera rätten till dataskydd och integritet, och med uppgift att se till att unionens institutioner, organ och byråer anammar en stark dataskyddskultur.</w:t>
      </w:r>
    </w:p>
    <w:p w14:paraId="0C61A1EE" w14:textId="77777777" w:rsidR="00096834" w:rsidRPr="00C900DF" w:rsidRDefault="00096834" w:rsidP="00096834">
      <w:pPr>
        <w:pStyle w:val="NormalHanging12a"/>
        <w:rPr>
          <w:szCs w:val="24"/>
        </w:rPr>
      </w:pPr>
      <w:r w:rsidRPr="00C900DF">
        <w:t>E.</w:t>
      </w:r>
      <w:r w:rsidRPr="00C900DF">
        <w:tab/>
        <w:t>Datatillsynsmannen utför sina uppgifter i nära samarbete med andra dataskyddsmyndigheter som en del av Europeiska dataskyddsstyrelsen (EDPB), och datatillsynsmannen tjänar allmänintresset samtidigt som myndigheten vägleds av principerna om opartiskhet, integritet, transparens och pragmatism och beaktar unionens lagstiftning.</w:t>
      </w:r>
    </w:p>
    <w:p w14:paraId="188DE43B" w14:textId="77777777" w:rsidR="00096834" w:rsidRPr="00C900DF" w:rsidRDefault="00096834" w:rsidP="00096834">
      <w:pPr>
        <w:pStyle w:val="NormalHanging12a"/>
        <w:rPr>
          <w:szCs w:val="24"/>
        </w:rPr>
      </w:pPr>
      <w:r w:rsidRPr="00C900DF">
        <w:t>F.</w:t>
      </w:r>
      <w:r w:rsidRPr="00C900DF">
        <w:tab/>
        <w:t>Unionsmedborgarna behöver en digital miljö som inte kontrolleras av otydliga intressen, och initiativ som främjar digital suveränitet som säkerställer att enskilda personer, inte företag eller system utan ansvarsskyldighet, står i centrum för dataförvaltningen i unionen.</w:t>
      </w:r>
    </w:p>
    <w:p w14:paraId="16796AD3" w14:textId="77777777" w:rsidR="00096834" w:rsidRPr="00C900DF" w:rsidRDefault="00096834" w:rsidP="00096834">
      <w:pPr>
        <w:pStyle w:val="NormalHanging12a"/>
        <w:rPr>
          <w:szCs w:val="24"/>
        </w:rPr>
      </w:pPr>
      <w:r w:rsidRPr="00C900DF">
        <w:t>1.</w:t>
      </w:r>
      <w:r w:rsidRPr="00C900DF">
        <w:tab/>
        <w:t xml:space="preserve">Europaparlamentet noterar att datatillsynsmannens budget sorterar under rubrik 7 i den fleråriga budgetramen, ”Europeisk offentlig förvaltning”, vars anslag uppgick till totalt </w:t>
      </w:r>
      <w:r w:rsidRPr="00C900DF">
        <w:lastRenderedPageBreak/>
        <w:t>13,3 miljarder EUR, dvs. 6,9 % av unionens budgetutgifter 2024. Parlamentet noterar att datatillsynsmannens budget utgjorde 0,18 % av anslagen under rubrik 7 i den fleråriga budgetramen.</w:t>
      </w:r>
    </w:p>
    <w:p w14:paraId="4B03EDC1" w14:textId="77777777" w:rsidR="00096834" w:rsidRPr="00C900DF" w:rsidRDefault="00096834" w:rsidP="00096834">
      <w:pPr>
        <w:pStyle w:val="NormalHanging12a"/>
      </w:pPr>
      <w:r w:rsidRPr="00C900DF">
        <w:t>2.</w:t>
      </w:r>
      <w:r w:rsidRPr="00C900DF">
        <w:tab/>
        <w:t>Europaparlamentet noterar att revisionsrätten i sin årsrapport för budgetåret 2024 granskade ett urval av 70 transaktioner under rubriken ”Administration”, dvs. samma antal som 2023. Revisionsrätten uppger vidare att de administrativa kostnaderna omfattar personalkostnader, inklusive pensioner, som 2024 stod för omkring 69 % av de totala administrativa utgifterna, och kostnader för byggnader, utrustning, energi, kommunikation och it, och att revisionsrättens arbete under många år visat att dessa kostnader totalt sett är förknippade med låg risk.</w:t>
      </w:r>
    </w:p>
    <w:p w14:paraId="70C4DB6E" w14:textId="77777777" w:rsidR="00096834" w:rsidRPr="00C900DF" w:rsidRDefault="00096834" w:rsidP="00096834">
      <w:pPr>
        <w:pStyle w:val="NormalHanging12a"/>
      </w:pPr>
      <w:r w:rsidRPr="00C900DF">
        <w:t>3.</w:t>
      </w:r>
      <w:r w:rsidRPr="00C900DF">
        <w:tab/>
        <w:t>Europaparlamentet noterar att 16 (23 %) av de 70 transaktionerna innehöll fel, men att revisionsrätten, på grundval av de tre fel som kvantifierats, uppskattar att felnivån ligger under väsentlighetströskeln. Parlamentet noterar att revisionsrätten i sin rapport inte identifierar några specifika problem avseende datatillsynsmannen.</w:t>
      </w:r>
    </w:p>
    <w:p w14:paraId="4B22EE64" w14:textId="77777777" w:rsidR="00096834" w:rsidRPr="00C900DF" w:rsidRDefault="00096834" w:rsidP="00096834">
      <w:pPr>
        <w:pStyle w:val="NormalHanging12a"/>
      </w:pPr>
      <w:r w:rsidRPr="00C900DF">
        <w:rPr>
          <w:b/>
          <w:i/>
        </w:rPr>
        <w:t>Budgetförvaltningen och den ekonomiska förvaltningen</w:t>
      </w:r>
    </w:p>
    <w:p w14:paraId="16204DAB" w14:textId="77777777" w:rsidR="00096834" w:rsidRPr="00C900DF" w:rsidRDefault="00096834" w:rsidP="00096834">
      <w:pPr>
        <w:pStyle w:val="NormalHanging12a"/>
        <w:rPr>
          <w:b/>
          <w:i/>
          <w:szCs w:val="24"/>
        </w:rPr>
      </w:pPr>
      <w:r w:rsidRPr="00C900DF">
        <w:t>4.</w:t>
      </w:r>
      <w:r w:rsidRPr="00C900DF">
        <w:tab/>
        <w:t xml:space="preserve">Europaparlamentet noterar att datatillsynsmannens slutliga antagna budget uppgick till 24 329 460 EUR år 2024, vilket är en ökning med 7,12 % jämfört med 2023 (22 711 559 EUR). Parlamentet noterar att datatillsynsmannens budget även omfattar arbetet i </w:t>
      </w:r>
      <w:proofErr w:type="spellStart"/>
      <w:r w:rsidRPr="00C900DF">
        <w:t>EDPB:s</w:t>
      </w:r>
      <w:proofErr w:type="spellEnd"/>
      <w:r w:rsidRPr="00C900DF">
        <w:t xml:space="preserve"> oberoende sekretariat. Parlamentet noterar utifrån datatillsynsmannens årsrapport för 2024 att </w:t>
      </w:r>
      <w:proofErr w:type="spellStart"/>
      <w:r w:rsidRPr="00C900DF">
        <w:t>EDPB:s</w:t>
      </w:r>
      <w:proofErr w:type="spellEnd"/>
      <w:r w:rsidRPr="00C900DF">
        <w:t xml:space="preserve"> antagna budget uppgick till 8,36 miljoner EUR 2024 (jämfört med 7,67 miljoner EUR 2023).</w:t>
      </w:r>
    </w:p>
    <w:p w14:paraId="70505CB4" w14:textId="77777777" w:rsidR="00096834" w:rsidRPr="00C900DF" w:rsidRDefault="00096834" w:rsidP="00096834">
      <w:pPr>
        <w:pStyle w:val="NormalHanging12a"/>
        <w:rPr>
          <w:szCs w:val="24"/>
        </w:rPr>
      </w:pPr>
      <w:r w:rsidRPr="00C900DF">
        <w:t>5.</w:t>
      </w:r>
      <w:r w:rsidRPr="00C900DF">
        <w:tab/>
        <w:t xml:space="preserve">Europaparlamentet noterar med tillfredsställelse att datatillsynsmannens insatser för budgetövervakning och budgetplanering under budgetåret 2024 resulterade i ett budgetgenomförande av åtagandebemyndigandena för det innevarande året på 96 % (samma som 2023). Parlamentet noterar vidare från rapporten om datatillsynsmannens årsredovisning för 2024 att genomförandegraden för betalningsbemyndigandena för det innevarande året var 84 % (samma som 2023). Parlamentet noterar dessutom utifrån datatillsynsmannens svar på budgetkontrollutskottets frågeformulär för ansvarsfriheten för 2023 att genomförandegraden för betalningsbemyndigandena totalt sett var 91,88 % 2024 (vilket var högre än 91,33 % 2023). </w:t>
      </w:r>
    </w:p>
    <w:p w14:paraId="56015F73" w14:textId="77777777" w:rsidR="00096834" w:rsidRPr="00C900DF" w:rsidRDefault="00096834" w:rsidP="00096834">
      <w:pPr>
        <w:pStyle w:val="NormalHanging12a"/>
        <w:rPr>
          <w:szCs w:val="24"/>
        </w:rPr>
      </w:pPr>
      <w:r w:rsidRPr="00C900DF">
        <w:t>6.</w:t>
      </w:r>
      <w:r w:rsidRPr="00C900DF">
        <w:tab/>
        <w:t xml:space="preserve">Europaparlamentet noterar vidare att överföringarna (C8) från 2024 till 2025 uppgick till 2 649 943 EUR (dvs. 10,89 % av den totala budgeten för 2024), jämfört med 2 517 942 EUR 2023 (dvs. 11,08 % av den totala budgeten för 2023). Parlamentet noterar att genomförandegraden för C8-budgeten för 2024 var 77,37 % (jämfört med 76,65 % 2023). </w:t>
      </w:r>
    </w:p>
    <w:p w14:paraId="0DB79493" w14:textId="77777777" w:rsidR="00096834" w:rsidRPr="00C900DF" w:rsidRDefault="00096834" w:rsidP="00096834">
      <w:pPr>
        <w:pStyle w:val="NormalHanging12a"/>
        <w:widowControl/>
        <w:rPr>
          <w:szCs w:val="24"/>
        </w:rPr>
      </w:pPr>
      <w:r w:rsidRPr="00C900DF">
        <w:t>7.</w:t>
      </w:r>
      <w:r w:rsidRPr="00C900DF">
        <w:tab/>
        <w:t xml:space="preserve">Europaparlamentet konstaterar att den genomsnittliga betalningstiden var 20 dagar 2024, jämfört med 19 dagar 2023, och 96,87 % av betalningarna hanterades i tid (en ökning från 92,73 % 2023). Parlamentet noterar vidare en ökning av antalet betalningar från 1 335 under 2023 till 1 440 under 2024. Parlamentet noterar att datatillsynsmannen stötte på vissa tekniska svårigheter under 2024 på grund av att två olika </w:t>
      </w:r>
      <w:proofErr w:type="spellStart"/>
      <w:r w:rsidRPr="00C900DF">
        <w:t>it-system</w:t>
      </w:r>
      <w:proofErr w:type="spellEnd"/>
      <w:r w:rsidRPr="00C900DF">
        <w:t xml:space="preserve"> drevs parallellt (kommissionens SUMMA och datatillsynsmannens ABAC), vilket krävde manuell </w:t>
      </w:r>
      <w:proofErr w:type="spellStart"/>
      <w:r w:rsidRPr="00C900DF">
        <w:t>omkodning</w:t>
      </w:r>
      <w:proofErr w:type="spellEnd"/>
      <w:r w:rsidRPr="00C900DF">
        <w:t xml:space="preserve"> och annat manuellt arbete. Parlamentet noterar att SUMMA förväntas införas hos datatillsynsmannen under 2026.</w:t>
      </w:r>
    </w:p>
    <w:p w14:paraId="56CB7E0E" w14:textId="77777777" w:rsidR="00096834" w:rsidRPr="00C900DF" w:rsidRDefault="00096834" w:rsidP="00096834">
      <w:pPr>
        <w:pStyle w:val="NormalHanging12a"/>
      </w:pPr>
      <w:r w:rsidRPr="00C900DF">
        <w:lastRenderedPageBreak/>
        <w:t>8.</w:t>
      </w:r>
      <w:r w:rsidRPr="00C900DF">
        <w:tab/>
        <w:t>Europaparlamentet noterar utifrån frågeformuläret att datatillsynsmannens totala budget för tjänsteresor minskade med 17,86 % från 323 421 EUR 2023 till 265 630 EUR 2024 på grund av minskade resekostnader och därmed sammanhängande kostnader till följd av ökat deltagande i distans- och hybridsammanträden. Parlamentet noterar från årsrapporten att personalens tjänsteresor också minskade i antal från 246 under 2023 till 218 under 2024. Parlamentet noterar att som en del av denna budget avsattes ett belopp på 38 418 EUR för 23 tjänsteresor för datatillsynsmannen under 2024, vilket var en ökning från 33 000 EUR för 24 tjänsteresor under 2023, främst på grund av lokaliseringen av viktiga möten och evenemang som datatillsynsmannen var tvungen att delta i, däribland flera tjänsteresor i Förenta staterna och Mexiko under 2024. När det gäller tjänsteresor till ursprungslandet för högt uppsatta tjänstemän konstaterar parlamentet med oro att datatillsynsmannen under 2024 endast genomförde 3 tjänsteresor till Polen (av totalt 23), medan datatillsynsmannens generalsekreterare genomförde 9 tjänsteresor till Spanien (av totalt 15). Parlamentet betonar att datatillsynsmannen fortfarande inte tillhandahåller information om antalet tjänsteresor som finansieras av arrangörer eller andra tredje parter, vilket minskar transparensen när det gäller EDPS utgifter för tjänsteresor.</w:t>
      </w:r>
    </w:p>
    <w:p w14:paraId="57AFB0D5" w14:textId="77777777" w:rsidR="00096834" w:rsidRPr="00C900DF" w:rsidRDefault="00096834" w:rsidP="00096834">
      <w:pPr>
        <w:pStyle w:val="NormalHanging12a"/>
      </w:pPr>
      <w:r w:rsidRPr="00C900DF">
        <w:t>9.</w:t>
      </w:r>
      <w:r w:rsidRPr="00C900DF">
        <w:tab/>
        <w:t>Europaparlamentet noterar utifrån frågeformuläret att datatillsynsmannen i samband med Rysslands olagliga anfallskrig mot Ukraina vidtog åtgärder avseende inflationstrycket på kontrakt och tjänster genom att se över kostnadsberäkningarna under året och omfördela resurser genom överföringar i enlighet med artikel 29.1 och 29.4 i budgetförordningen, tillhandahålla marginaler för oförutsedda utgifter och ompröva prioriteringarna för att säkerställa att datatillsynsmannens centrala processer upprätthålls. Parlamentet uppmanar datatillsynsmannen att fortsätta att genomföra regelbundna översyner för att identifiera områden med underutnyttjande och vid behov omfördela medel under året. Parlamentet uppmärksammar behovet av att alla EU-institutioner förbättrar sin budgetförvaltning genom att även ta hänsyn till prisvolatilitet, särskilt inom energisektorn, när de ingår avtal med tjänsteleverantörer.</w:t>
      </w:r>
    </w:p>
    <w:p w14:paraId="0A1FBBBE" w14:textId="77777777" w:rsidR="00096834" w:rsidRPr="00C900DF" w:rsidRDefault="00096834" w:rsidP="00096834">
      <w:pPr>
        <w:pStyle w:val="NormalHanging12a"/>
        <w:rPr>
          <w:szCs w:val="24"/>
        </w:rPr>
      </w:pPr>
      <w:r w:rsidRPr="00C900DF">
        <w:t>10.</w:t>
      </w:r>
      <w:r w:rsidRPr="00C900DF">
        <w:tab/>
        <w:t xml:space="preserve">Europaparlamentet noterar att datatillsynsmannen inledde och tilldelade 66 upphandlingsförfaranden, varav 45 till ett mycket lågt värde, två var förhandlade förfaranden utan föregående offentliggörande, nio var specifika kontrakt för upprättandet av en förteckning över enskilda experter och ett var ett ramavtal på 200 000 EUR med </w:t>
      </w:r>
      <w:proofErr w:type="spellStart"/>
      <w:r w:rsidRPr="00C900DF">
        <w:t>PricewaterhouseCoopers</w:t>
      </w:r>
      <w:proofErr w:type="spellEnd"/>
      <w:r w:rsidRPr="00C900DF">
        <w:t>. Parlamentet noterar att de flesta kontrakt undertecknas av datatillsynsmannen med små och medelstora företag genom förfaranden med mycket lågt värde eller lågt värde.</w:t>
      </w:r>
    </w:p>
    <w:p w14:paraId="7E720BC3" w14:textId="77777777" w:rsidR="00096834" w:rsidRPr="00C900DF" w:rsidRDefault="00096834" w:rsidP="00096834">
      <w:pPr>
        <w:pStyle w:val="NormalHanging12a"/>
        <w:rPr>
          <w:szCs w:val="24"/>
        </w:rPr>
      </w:pPr>
      <w:r w:rsidRPr="00C900DF">
        <w:rPr>
          <w:b/>
          <w:i/>
        </w:rPr>
        <w:t>Intern förvaltning, prestation och intern kontroll</w:t>
      </w:r>
    </w:p>
    <w:p w14:paraId="783A2A54" w14:textId="77777777" w:rsidR="00096834" w:rsidRPr="00C900DF" w:rsidRDefault="00096834" w:rsidP="00096834">
      <w:pPr>
        <w:pStyle w:val="NormalHanging12a"/>
        <w:rPr>
          <w:szCs w:val="24"/>
        </w:rPr>
      </w:pPr>
      <w:r w:rsidRPr="00C900DF">
        <w:t>11.</w:t>
      </w:r>
      <w:r w:rsidRPr="00C900DF">
        <w:tab/>
        <w:t>Europaparlamentet noterar att datatillsynsmannen använde nio nyckelprestationsindikatorer för att övervaka sina resultat under 2024, i linje med huvudmålen i datatillsynsmannens strategi för 2020–2024, som genomförs genom den årliga förvaltningsplanen. Parlamentet noterar utifrån årsrapporten att datatillsynsmannen uppnådde eller överträffade de mål som fastställts i alla nyckelprestationsindikatorer, med undantag för en nyckelprestationsindikator (antalet följare som datatillsynsmannen har på vissa konton på sociala medier).</w:t>
      </w:r>
    </w:p>
    <w:p w14:paraId="6A76C755" w14:textId="77777777" w:rsidR="00096834" w:rsidRPr="00C900DF" w:rsidRDefault="00096834" w:rsidP="00096834">
      <w:pPr>
        <w:pStyle w:val="NormalHanging12a"/>
        <w:rPr>
          <w:szCs w:val="24"/>
        </w:rPr>
      </w:pPr>
      <w:r w:rsidRPr="00C900DF">
        <w:t>12.</w:t>
      </w:r>
      <w:r w:rsidRPr="00C900DF">
        <w:tab/>
        <w:t xml:space="preserve">Europaparlamentet noterar datatillsynsmannens olika roller såsom dataskyddsmyndighet och, från och med den 1 augusti 2024, som anmält organ, anmäld myndighet och marknadskontrollmyndighet med ansvar för att övervaka och verkställa </w:t>
      </w:r>
      <w:r w:rsidRPr="00C900DF">
        <w:lastRenderedPageBreak/>
        <w:t>Europaparlamentets och rådets förordning (EU) 2024/1689</w:t>
      </w:r>
      <w:r w:rsidRPr="00C900DF">
        <w:rPr>
          <w:rStyle w:val="FootnoteReference"/>
          <w:szCs w:val="24"/>
        </w:rPr>
        <w:footnoteReference w:id="8"/>
      </w:r>
      <w:r w:rsidRPr="00C900DF">
        <w:t xml:space="preserve"> gentemot unionens institutioner, organ och byråer, medan datatillsynsmannen för den sistnämnda rollen kommer att ha verkställighetsbefogenheter först från och med den 2 augusti 2026. Parlamentet noterar med tillfredsställelse att datatillsynsmannen i detta sammanhang har arbetat med de styrningsstrukturer och förfaranderamar som krävs för att utöva sina nya uppgifter och befogenheter som marknadskontrollmyndighet enligt förordning (EU) 2024/1689, bland annat genom att lansera nätverket för AI-korrespondenter 2024, som trots att det var frivilligt lockade till sig deltagande av alla EU:s institutioner, organ och byråer.</w:t>
      </w:r>
    </w:p>
    <w:p w14:paraId="69C9FA98" w14:textId="77777777" w:rsidR="00096834" w:rsidRPr="00C900DF" w:rsidRDefault="00096834" w:rsidP="00096834">
      <w:pPr>
        <w:pStyle w:val="NormalHanging12a"/>
        <w:rPr>
          <w:szCs w:val="24"/>
        </w:rPr>
      </w:pPr>
      <w:r w:rsidRPr="00C900DF">
        <w:t>13.</w:t>
      </w:r>
      <w:r w:rsidRPr="00C900DF">
        <w:tab/>
        <w:t>Europaparlamentet noterar datatillsynsmannens ökade roll i nya lagstiftningsakter, inbegripet förordning (EU) 2024/1689, enligt vilken datatillsynsmannen blir den behöriga myndigheten för unionens institutioner, byråer och organ, och enligt vilken datatillsynsmannen har delegerats ytterligare uppgifter. Parlamentet noterar att datatillsynsmannen, för att hantera sina nya tillsynsuppgifter, inrättade en AI-enhet den 1 oktober 2024 som 2024 bestod av två anställda som hade omplacerats internt. Parlamentet noterar från frågeformuläret att datatillsynsmannen från och med 2025 har en budget för denna enhet som omfattar två fasta tjänster och fem kontraktsanställda för vilka rekryteringsförfaranden har ägt rum. Parlamentet noterar dock utifrån frågeformuläret att datatillsynsmannen anser att dessa resurser fortfarande är otillräckliga för att täcka de nya uppgifterna, särskilt tillsynen över AI-system på området gränskontroll, migration, rättvisa och brottsbekämpning eller inrättandet av en regulatorisk sandlåda för AI för EU:s institutioner, organ och byråer, i enlighet med artikel 57.3 i förordning (EU) 2024/1689. Parlamentet noterar vidare från datatillsynsmannens uppföljningsrapport till parlamentets resolution om genomförandet av datatillsynsmannens budget för 2023 att datatillsynsmannen, även på grund av budgetbegränsningar, inte kunde inleda genomförbarhetsstudien om artificiell intelligens under 2024. Parlamentet påminner om att datatillsynsmannens bör respektera befogenheterna i sitt mandat genom att samarbeta med unionens institutioner och byråer för att undvika kostsamma rättsliga förfaranden. Parlamentet påminner om att det redan i sin resolution om ansvarsfrihet för 2023 varnade för att den gradvisa utvidgningen av datatillsynsmannens mandat riskerade att leda till ett överskridande av datatillsynsmannens tillgängliga resurser. Parlamentet understryker vikten av att förse datatillsynsmannen med tillräckliga ekonomiska resurser och personalresurser för att effektivt övervaka AI-system på viktiga områden.</w:t>
      </w:r>
    </w:p>
    <w:p w14:paraId="049F7695" w14:textId="77777777" w:rsidR="00096834" w:rsidRPr="00C900DF" w:rsidRDefault="00096834" w:rsidP="00096834">
      <w:pPr>
        <w:pStyle w:val="NormalHanging12a"/>
        <w:rPr>
          <w:szCs w:val="24"/>
        </w:rPr>
      </w:pPr>
      <w:r w:rsidRPr="00C900DF">
        <w:t>14.</w:t>
      </w:r>
      <w:r w:rsidRPr="00C900DF">
        <w:tab/>
        <w:t xml:space="preserve">Europaparlamentet noterar när det gäller teknisk övervakning och prognoser att datatillsynsmannen, genom sin enhet för teknik och integritet, fokuserade på artificiell intelligens under 2024. Parlamentet noterar i detta sammanhang några av de frågor som datatillsynsmannen tagit upp, såsom behandlingen av </w:t>
      </w:r>
      <w:proofErr w:type="spellStart"/>
      <w:r w:rsidRPr="00C900DF">
        <w:t>neurodata</w:t>
      </w:r>
      <w:proofErr w:type="spellEnd"/>
      <w:r w:rsidRPr="00C900DF">
        <w:t xml:space="preserve"> med hjälp av </w:t>
      </w:r>
      <w:proofErr w:type="spellStart"/>
      <w:r w:rsidRPr="00C900DF">
        <w:t>neuroteknik</w:t>
      </w:r>
      <w:proofErr w:type="spellEnd"/>
      <w:r w:rsidRPr="00C900DF">
        <w:t xml:space="preserve">, som omfattas av </w:t>
      </w:r>
      <w:proofErr w:type="spellStart"/>
      <w:r w:rsidRPr="00C900DF">
        <w:rPr>
          <w:i/>
          <w:iCs/>
        </w:rPr>
        <w:t>TechDispatch</w:t>
      </w:r>
      <w:proofErr w:type="spellEnd"/>
      <w:r w:rsidRPr="00C900DF">
        <w:rPr>
          <w:i/>
          <w:iCs/>
        </w:rPr>
        <w:t xml:space="preserve"> on </w:t>
      </w:r>
      <w:proofErr w:type="spellStart"/>
      <w:r w:rsidRPr="00C900DF">
        <w:rPr>
          <w:i/>
          <w:iCs/>
        </w:rPr>
        <w:t>neurodata</w:t>
      </w:r>
      <w:proofErr w:type="spellEnd"/>
      <w:r w:rsidRPr="00C900DF">
        <w:t xml:space="preserve"> som utfärdades av datatillsynsmannen tillsammans med den spanska dataskyddsmyndigheten i juni 2024, och det automatiserade beslutsfattandet och dess mänskliga tillsyn, som togs upp vid ett tematiskt seminarium som anordnades gemensamt med Europeiska unionens </w:t>
      </w:r>
      <w:r w:rsidRPr="00C900DF">
        <w:lastRenderedPageBreak/>
        <w:t>cybersäkerhetsbyrå (</w:t>
      </w:r>
      <w:proofErr w:type="spellStart"/>
      <w:r w:rsidRPr="00C900DF">
        <w:t>Enisa</w:t>
      </w:r>
      <w:proofErr w:type="spellEnd"/>
      <w:r w:rsidRPr="00C900DF">
        <w:t xml:space="preserve">) och Karlstads universitet i september 2024. Parlamentet noterar med tillfredsställelse att datatillsynsmannen i november 2024 offentliggjorde den fjärde utgåvan av sitt </w:t>
      </w:r>
      <w:proofErr w:type="spellStart"/>
      <w:r w:rsidRPr="00C900DF">
        <w:t>TechSonar</w:t>
      </w:r>
      <w:proofErr w:type="spellEnd"/>
      <w:r w:rsidRPr="00C900DF">
        <w:t xml:space="preserve">-initiativ, som var inriktat på sex AI-trender, såsom inhämtningsförstärkt generation, AI direkt på enheten, </w:t>
      </w:r>
      <w:proofErr w:type="spellStart"/>
      <w:r w:rsidRPr="00C900DF">
        <w:t>maskinavlärning</w:t>
      </w:r>
      <w:proofErr w:type="spellEnd"/>
      <w:r w:rsidRPr="00C900DF">
        <w:t xml:space="preserve">, multimodal AI, skalbar tillsyn och </w:t>
      </w:r>
      <w:proofErr w:type="spellStart"/>
      <w:r w:rsidRPr="00C900DF">
        <w:t>neurosymbolisk</w:t>
      </w:r>
      <w:proofErr w:type="spellEnd"/>
      <w:r w:rsidRPr="00C900DF">
        <w:t xml:space="preserve"> AI. Parlamentet understryker att det är viktigt för datatillsynsmannen att samla in den kunskap som krävs för att utöva sina befogenheter enligt förordning (EU) 2024/1689 när EU:s institutioner, organ och byråer börjar använda ny teknik för att behandla personuppgifter. Parlamentet noterar dessutom att datatillsynsmannen under 2024 utfärdade de första riktlinjerna för EU:s institutioner, organ och byråer för att säkerställa efterlevnad av dataskyddet vid användning av generativa AI-system, samt tre tillsynsyttranden om Europols och Eurojusts användning av AI-verktyg.</w:t>
      </w:r>
    </w:p>
    <w:p w14:paraId="7494F20A" w14:textId="77777777" w:rsidR="00096834" w:rsidRPr="00C900DF" w:rsidRDefault="00096834" w:rsidP="00096834">
      <w:pPr>
        <w:pStyle w:val="NormalHanging12a"/>
        <w:rPr>
          <w:szCs w:val="24"/>
        </w:rPr>
      </w:pPr>
      <w:r w:rsidRPr="00C900DF">
        <w:t>15.</w:t>
      </w:r>
      <w:r w:rsidRPr="00C900DF">
        <w:tab/>
        <w:t>Europaparlamentet noterar ett ständigt ökande antal klagomål från år till år, och att de flesta av klagomålen rör kommissionen och lämnas in av personal vid EU:s institutioner, organ och byråer. Parlamentet noterar att datatillsynsmannen under 2024 mottog 663 klagomål, dvs. 202 fler än under 2023, varav 108 var tillåtliga och 555 otillåtliga. Parlamentet noterar att datatillsynsmannen utfärdade ett slutligt beslut, yttrande eller svar i 77 (dvs. en ökning på 33 % jämfört med 2023) av de 108 klagomålsärenden som mottogs under 2024 och besvarade samtliga otillåtliga klagomål. Parlamentet noterar att av alla tillåtliga klagomål som mottogs 2024 avslutades 48 ärenden under 2024, vilket innebär en minskning från 55 ärenden 2023. Parlamentet noterar att behandlingen av 104 tillåtliga klagomål (en ökning från 71 ärenden 2023), inklusive de som lämnats in före 2024, pågick i slutet av 2024. Parlamentet erkänner datatillsynsmannens insatser för att minska det stora antalet klagomål och uppmuntrar datatillsynsmannen att ytterligare effektivisera sin hantering av klagomål genom att t.ex. försöka nå en samsyn om förfarandet för hantering av klagomål med de nationella dataskyddsmyndigheterna, särskilt på området frihet, säkerhet och rättvisa, där utredningarna är komplexa och tidskrävande. Parlamentet noterar att datatillsynsmannen mottog 125 anmälningar om personuppgiftsincidenter under 2024, vilket är en ökning från 77 anmälningar under 2023.</w:t>
      </w:r>
    </w:p>
    <w:p w14:paraId="11166784" w14:textId="77777777" w:rsidR="00096834" w:rsidRPr="00C900DF" w:rsidRDefault="00096834" w:rsidP="00096834">
      <w:pPr>
        <w:pStyle w:val="NormalHanging12a"/>
        <w:rPr>
          <w:szCs w:val="24"/>
        </w:rPr>
      </w:pPr>
      <w:r w:rsidRPr="00C900DF">
        <w:t>16.</w:t>
      </w:r>
      <w:r w:rsidRPr="00C900DF">
        <w:tab/>
        <w:t>Parlamentet uppmanar med kraft datatillsynsmannen att reflektera över sina nyckelprestationsindikatorer och se till att de omfattar hantering av klagomål samt fastställer mål för hantering av klagomål och undersökningar, vilket skulle likna Europeiska ombudsmannens praxis.</w:t>
      </w:r>
    </w:p>
    <w:p w14:paraId="238DEC6D" w14:textId="77777777" w:rsidR="00096834" w:rsidRPr="00C900DF" w:rsidRDefault="00096834" w:rsidP="00096834">
      <w:pPr>
        <w:pStyle w:val="NormalHanging12a"/>
        <w:rPr>
          <w:szCs w:val="24"/>
        </w:rPr>
      </w:pPr>
      <w:r w:rsidRPr="00C900DF">
        <w:t>17.</w:t>
      </w:r>
      <w:r w:rsidRPr="00C900DF">
        <w:tab/>
        <w:t>Europaparlamentet understryker den viktiga roll som samråd med och råd från datatillsynsmannen spelar i unionens lagstiftningsprocess, inte bara i ett tidigt skede av utarbetandet av kommissionens lagstiftningsförslag, utan även genom att datatillsynsmannen på begäran av parlamentet och dess utskott lämnar kommentarer eller yttranden om kompromissändringsförslag om trepartsförhandlingar. Parlamentet noterar att datatillsynsmannen, i enlighet med artikel 42.1 i förordning (EU) 2018/1725, svarade på 97 formella lagstiftningssamråd (80 under 2023) och att dess råd tog formen av 25 yttranden (54 under 2023), 45 formella kommentarer (26 under 2023) och 27 informella kommentarer (34 under 2023) till kommissionen och medlagstiftarna som svar på begäranden om lagstiftningssamråd under 2024.</w:t>
      </w:r>
    </w:p>
    <w:p w14:paraId="16B3D14A" w14:textId="77777777" w:rsidR="00096834" w:rsidRPr="00C900DF" w:rsidRDefault="00096834" w:rsidP="00096834">
      <w:pPr>
        <w:pStyle w:val="NormalHanging12a"/>
        <w:rPr>
          <w:szCs w:val="24"/>
        </w:rPr>
      </w:pPr>
      <w:r w:rsidRPr="00C900DF">
        <w:t>18.</w:t>
      </w:r>
      <w:r w:rsidRPr="00C900DF">
        <w:tab/>
        <w:t xml:space="preserve">Europaparlamentet noterar </w:t>
      </w:r>
      <w:proofErr w:type="spellStart"/>
      <w:r w:rsidRPr="00C900DF">
        <w:t>EDPB:s</w:t>
      </w:r>
      <w:proofErr w:type="spellEnd"/>
      <w:r w:rsidRPr="00C900DF">
        <w:t xml:space="preserve"> nyckelroll när det gäller att harmonisera vägledning, förfaranden, verkställighetsprocesser och tillsynsmyndigheternas praxis i medlemsstaterna. Parlamentet noterar i detta sammanhang att EDPB under 2024 inte </w:t>
      </w:r>
      <w:r w:rsidRPr="00C900DF">
        <w:lastRenderedPageBreak/>
        <w:t xml:space="preserve">fattade några bindande beslut, utfärdade 28 yttranden om enhetlighet, antog två nya riktlinjer, utfärdade fyra uttalanden om lagstiftningsutvecklingen samt genomförde och samordnade flera program när det gäller tillsynssamarbete. Parlamentet noterar vidare att EDPB tillhandahåller sekretariatet för den samordnade tillsynskommittén, som är en grupp nationella tillsynsmyndigheter och datatillsynsmannen som säkerställer en samordnad tillsyn över unionens stora </w:t>
      </w:r>
      <w:proofErr w:type="spellStart"/>
      <w:r w:rsidRPr="00C900DF">
        <w:t>it-system</w:t>
      </w:r>
      <w:proofErr w:type="spellEnd"/>
      <w:r w:rsidRPr="00C900DF">
        <w:t>, medan denna tillsyn 2024 utvidgades till informationssystemet för viseringar, utöver det förberedande arbete som utförts för tillsynen över EU-systemet för reseuppgifter och resetillstånd (</w:t>
      </w:r>
      <w:proofErr w:type="spellStart"/>
      <w:r w:rsidRPr="00C900DF">
        <w:t>Etias</w:t>
      </w:r>
      <w:proofErr w:type="spellEnd"/>
      <w:r w:rsidRPr="00C900DF">
        <w:t>).</w:t>
      </w:r>
    </w:p>
    <w:p w14:paraId="0B70C67F" w14:textId="77777777" w:rsidR="00096834" w:rsidRPr="00C900DF" w:rsidRDefault="00096834" w:rsidP="00096834">
      <w:pPr>
        <w:pStyle w:val="NormalHanging12a"/>
        <w:rPr>
          <w:szCs w:val="24"/>
        </w:rPr>
      </w:pPr>
      <w:r w:rsidRPr="00C900DF">
        <w:t>19.</w:t>
      </w:r>
      <w:r w:rsidRPr="00C900DF">
        <w:tab/>
        <w:t>Europaparlamentet noterar med tillfredsställelse att datatillsynsmannen under 2024 utvecklade olika verktyg och strategier för att förbättra sina utredningsprocesser. Parlamentet lovordar i detta sammanhang datatillsynsmannen för att ha ändrat sin arbetsordning 2024, vilket innebär att omprövningsförfarandet ersätts med en preliminär bedömning för att skydda alla berörda parters rätt att bli hörda. Parlamentet noterar att EU:s institutioner, organ och byråer från och med juli 2024 kan dela med sig av sina synpunkter på den preliminära bedömningen innan datatillsynsmannen fattar ett beslut som skulle kunna påverka dem negativt. Parlamentet noterar att dessa rättssäkerhetsgarantier bidrar till en rättvis och snabb hantering av klagomål och utredningar. Parlamentet noterar att datatillsynsmannen under 2024 också såg över utredningsmetoderna, utarbetade en handbok om tillgång till ärendeakten, förbättrade beredskapen inför rättstvister, uppdaterade den interna handboken för klagomålsärenden och förbättrade förhörsinspelningar och transkriberingsprocesser.</w:t>
      </w:r>
    </w:p>
    <w:p w14:paraId="007BBBF9" w14:textId="77777777" w:rsidR="00096834" w:rsidRPr="00C900DF" w:rsidRDefault="00096834" w:rsidP="00096834">
      <w:pPr>
        <w:pStyle w:val="NormalHanging12a"/>
      </w:pPr>
      <w:r w:rsidRPr="00C900DF">
        <w:t>20.</w:t>
      </w:r>
      <w:r w:rsidRPr="00C900DF">
        <w:tab/>
        <w:t>Europaparlamentet noterar utifrån årsrapporten och uppföljningsrapporten att datatillsynsmannen ägnar särskild uppmärksamhet åt behandling av uppgifter som rör barn, särskilt i brottsbekämpningssammanhang. Parlamentet noterar att en av de revisioner som datatillsynsmannen genomförde 2024 gällde behandling av personuppgifter rörande barn i forskningsprojekt som förvaltas av kommissionens gemensamma forskningscentrum i Spanien, särskilt när det gäller barns interaktion med robotar. Parlamentet noterar med tillfredsställelse att datatillsynsmannen i oktober 2024 deltog i G7:s rundabordssamtal med dataskyddsmyndigheter i Rom, där dataskyddsmyndigheterna utfärdade ett uttalande om AI och barn i vilket de uppmanade till åtgärder för att skydda barns integritet och säkerställa att AI främjar förtroende samtidigt som de mest utsatta skyddas. Parlamentet påminner om att datatillsynsmannen genomförde en särskild inspektion av Europols behandling av uppgifter om minderåriga under 15 år som betecknas som misstänkta. Parlamentet uppskattar att datatillsynsmannen fann att den allmänna processen för bedömning av information från partner om minderåriga (inklusive minderåriga under 15 år) är tydlig och välutvecklad. Parlamentet noterar att datatillsynsmannen i sin inspektionsrapport uppmanar Europol att fortsätta att göra sin egen bedömning av behandlingens laglighet när det gäller de mottagna uppgifterna och understryker att Europol måste bedöma ”strikt nödvändighet” för behandling av uppgifter om minderåriga som misstänks för brott.</w:t>
      </w:r>
    </w:p>
    <w:p w14:paraId="25E6FE06" w14:textId="77777777" w:rsidR="00096834" w:rsidRPr="00C900DF" w:rsidRDefault="00096834" w:rsidP="00096834">
      <w:pPr>
        <w:pStyle w:val="NormalHanging12a"/>
        <w:rPr>
          <w:szCs w:val="24"/>
        </w:rPr>
      </w:pPr>
      <w:r w:rsidRPr="00C900DF">
        <w:t>21.</w:t>
      </w:r>
      <w:r w:rsidRPr="00C900DF">
        <w:tab/>
        <w:t>Europaparlamentet noterar att EU:s institutioner, organ och byråer får samråda med datatillsynsmannen för vägledning om planerad behandling och dataskydd. Parlamentet konstaterar att datatillsynsmannen utfärdade råd i samband med 26 samråd och 26 tillsynsyttranden om olika ämnen. Parlamentet noterar särskilt att datatillsynsmannen i december 2024 offentliggjorde ett tillsynsyttrande om parlamentets plan att använda biometriska uppgifter för att intyga ledamöternas närvaro vid utbetalning av dagtraktamenten.</w:t>
      </w:r>
    </w:p>
    <w:p w14:paraId="29ABF95C" w14:textId="77777777" w:rsidR="00096834" w:rsidRPr="00C900DF" w:rsidRDefault="00096834" w:rsidP="00096834">
      <w:pPr>
        <w:pStyle w:val="NormalHanging12a"/>
        <w:rPr>
          <w:szCs w:val="24"/>
        </w:rPr>
      </w:pPr>
      <w:r w:rsidRPr="00C900DF">
        <w:lastRenderedPageBreak/>
        <w:t>22.</w:t>
      </w:r>
      <w:r w:rsidRPr="00C900DF">
        <w:tab/>
        <w:t>Europaparlamentet noterar att datatillsynsmannen under 2024 genomförde fyra utredningar och två förhandsutredningar, vilket är en minskning jämfört med 2023. Parlamentet noterar bland de mest anmärkningsvärda fallen en förutredning om automatiserat beslutsfattande vid urval av praktikanter, en utredning av kommissionens användning av Microsoft 365 och en förutredning om profilering i applikationer för allmän tillgång. Parlamentet konstaterar när det gäller kommissionens användning av Microsoft 365 att utredningen visade på flera överträdelser av förordning (EU) 2018/1725, vilket fick datatillsynsmannen att beordra kommissionen att avbryta alla dataflöden till Microsoft och dess dotterbolag utanför unionen/Europeiska ekonomiska samarbetsområdet (EES) senast den 9 december 2024. Parlamentet uppmanar datatillsynsmannen att hålla den ansvarsfrihetsbeviljande myndigheten informerad om resultatet av uppföljningen av kommissionens efterlevnad av datatillsynsmannens rekommendationer i detta fall. Parlamentet noterar vidare att datatillsynsmannen fortsatte fem utredningar av webbplatspraxis för EU:s institutioner, organ och byråer med fokus på tredjepartskomponenter och begäranden om samtycke under 2024. Parlamentet noterar att datatillsynsmannen genomförde tre revisioner under 2024, med besök på plats, om ämnen såsom behandling av hälsouppgifter, lagringsperioder och forskning som involverar minderåriga.</w:t>
      </w:r>
    </w:p>
    <w:p w14:paraId="458A00D9" w14:textId="77777777" w:rsidR="00096834" w:rsidRPr="00C900DF" w:rsidRDefault="00096834" w:rsidP="00096834">
      <w:pPr>
        <w:pStyle w:val="NormalHanging12a"/>
      </w:pPr>
      <w:r w:rsidRPr="00C900DF">
        <w:t>23.</w:t>
      </w:r>
      <w:r w:rsidRPr="00C900DF">
        <w:tab/>
        <w:t>Europaparlamentet påminner om att datatillsynsmannen under 2022 väckte talan om ogiltigförklaring av två bestämmelser i Europaparlamentets och rådets ändrade förordning (EU) 2016/794</w:t>
      </w:r>
      <w:r w:rsidRPr="00C900DF">
        <w:rPr>
          <w:vertAlign w:val="superscript"/>
        </w:rPr>
        <w:footnoteReference w:id="9"/>
      </w:r>
      <w:r w:rsidRPr="00C900DF">
        <w:t xml:space="preserve"> vid Europeiska unionens domstol (domstolen), som senare avslogs av domstolen, men sedan överklagades av datatillsynsmannen vid tribunalen i mål T-578/22</w:t>
      </w:r>
      <w:r w:rsidRPr="00C900DF">
        <w:rPr>
          <w:vertAlign w:val="superscript"/>
        </w:rPr>
        <w:footnoteReference w:id="10"/>
      </w:r>
      <w:r w:rsidRPr="00C900DF">
        <w:t>, eftersom datatillsynsmannen ansåg att de frågor som tagits upp bör hanteras på högsta nivå. Parlamentet noterar från uppföljningsrapporten att datatillsynsmannen avstår från att kommentera denna överklagan, eftersom den pågår. Parlamentet påminner om att det faktum att datatillsynsmannen i sin tillsynsroll hänskjuter rättsliga frågor till domstolen inte bör anses påverka det lojala samarbetet och de goda förbindelserna mellan datatillsynsmannen och de enheter som datatillsynsmannen utövar tillsyn över, men noterar att det väcker tvivel om datatillsynsmannens ståndpunkt när det gäller parlamentets och rådets roll som lagstiftare.</w:t>
      </w:r>
    </w:p>
    <w:p w14:paraId="5A4F4C6D" w14:textId="77777777" w:rsidR="00096834" w:rsidRPr="00C900DF" w:rsidRDefault="00096834" w:rsidP="00096834">
      <w:pPr>
        <w:pStyle w:val="NormalHanging12a"/>
        <w:rPr>
          <w:szCs w:val="24"/>
        </w:rPr>
      </w:pPr>
      <w:r w:rsidRPr="00C900DF">
        <w:t>24.</w:t>
      </w:r>
      <w:r w:rsidRPr="00C900DF">
        <w:tab/>
        <w:t xml:space="preserve">Europaparlamentet noterar att 2024 års bedömning av datatillsynsmannens normer för internkontroll bekräftade en tillfredsställande nivå av internkontroll och att alla 14 normer hade införts och fungerade. Parlamentet noterar att en arbetsgrupp inrättades för att analysera resultat och föreslå förbättringar, såsom förbättringar inom utbildning och utveckling samt inom kunskaps- och dokumenthantering. Parlamentet noterar utifrån frågeformuläret att datatillsynsmannens uppdaterade riskhanteringsram införde en strukturerad uppföljning som har gjort det möjligt för organisationen att säkerställa att begränsningsinsatserna förblir effektiva och övervakas konsekvent. Parlamentet noterar vidare att datatillsynsmannen uppdaterade sitt förfarande för efterhandskontroller, som nu är riskbaserade och stärker driftskontinuiteten och verifieringskedjan genom </w:t>
      </w:r>
      <w:r w:rsidRPr="00C900DF">
        <w:lastRenderedPageBreak/>
        <w:t>integrering av ARES-systemet, utbildning och förbättrade processer för kunskapshantering.</w:t>
      </w:r>
    </w:p>
    <w:p w14:paraId="2F33CD9C" w14:textId="77777777" w:rsidR="00096834" w:rsidRPr="00C900DF" w:rsidRDefault="00096834" w:rsidP="00096834">
      <w:pPr>
        <w:pStyle w:val="NormalHanging12a"/>
      </w:pPr>
      <w:r w:rsidRPr="00C900DF">
        <w:t>25.</w:t>
      </w:r>
      <w:r w:rsidRPr="00C900DF">
        <w:tab/>
        <w:t xml:space="preserve">Europaparlamentet noterar utifrån frågeformuläret att kommissionens tjänst för internrevision (IAS) inledde en revision 2024 av styrningen av de </w:t>
      </w:r>
      <w:proofErr w:type="spellStart"/>
      <w:r w:rsidRPr="00C900DF">
        <w:t>it-tjänster</w:t>
      </w:r>
      <w:proofErr w:type="spellEnd"/>
      <w:r w:rsidRPr="00C900DF">
        <w:t xml:space="preserve"> som parlamentet tillhandahåller datatillsynsmannen, vilket resulterade i två rekommendationer som för närvarande genomförs av datatillsynsmannen. Parlamentet konstaterar när det gäller en revision från 2023 av metoden för planering av datatillsynsmannens revisioner att en av de två rekommendationer som utfärdats av IAS har åtgärdats, medan genomförandet av den andra rekommendationen (om utformningen av metoden för att fastställa datatillsynsmannens revisionsplan) har skjutits upp till den tidpunkt då den nya datatillsynsmannen kommer att utses. Parlamentet uppmanar datatillsynsmannen att hålla den ansvarsfrihetsbeviljande myndigheten informerad om framstegen i detta avseende, och noterar att datatillsynsmannen bör samråda med de enheter som granskas om genomförbarheten och lämpligheten när det gäller de rekommendationer som planeras att utfärdas, för att säkerställa att det granskade organet därefter snabbt, effektivt och beslutsamt genomför rekommendationerna.</w:t>
      </w:r>
    </w:p>
    <w:p w14:paraId="7163B59B" w14:textId="77777777" w:rsidR="00096834" w:rsidRPr="00C900DF" w:rsidRDefault="00096834" w:rsidP="00096834">
      <w:pPr>
        <w:pStyle w:val="NormalHanging12a"/>
        <w:rPr>
          <w:b/>
          <w:i/>
          <w:szCs w:val="24"/>
        </w:rPr>
      </w:pPr>
      <w:r w:rsidRPr="00C900DF">
        <w:rPr>
          <w:b/>
          <w:i/>
        </w:rPr>
        <w:t>Personalresurser, jämställdhet och personalens välbefinnande</w:t>
      </w:r>
    </w:p>
    <w:p w14:paraId="193AF6A5" w14:textId="77777777" w:rsidR="00096834" w:rsidRPr="00C900DF" w:rsidRDefault="00096834" w:rsidP="00096834">
      <w:pPr>
        <w:pStyle w:val="NormalHanging12a"/>
        <w:rPr>
          <w:szCs w:val="24"/>
        </w:rPr>
      </w:pPr>
      <w:r w:rsidRPr="00C900DF">
        <w:t>26.</w:t>
      </w:r>
      <w:r w:rsidRPr="00C900DF">
        <w:tab/>
        <w:t>Europaparlamentet noterar att datatillsynsmannen i slutet av 2024 hade totalt 137 anställda, jämfört med 129 under 2023. Parlamentet noterar att datatillsynsmannen hade 55 kontraktsanställda enligt artikel 3 b i anställningsvillkoren för övriga anställda i Europeiska unionen (50 kontraktsanställda 2023), 9 tillfälligt anställda enligt artikel 2 b och 2 c (7 tillfälligt anställda 2023) och utnyttjade tjänster från 10 externa tjänsteleverantörer som arbetade internt under 2023 (12 externa tjänsteleverantörer 2022). Parlamentet uppmanar datatillsynsmannen att reflektera över hur man kan minska antalet kontraktsanställda till förmån för fasta kontrakt för att säkerställa att talanger stannar kvar och för att säkra driftskontinuitet. Parlamentet noterar att 23 nationaliteter från medlemsstaterna fanns representerade bland datatillsynsmannens personal 2024 (samma som 2023), vilket trots överrepresentationen av 5 nationaliteter och underrepresentation av andra nationaliteter är ett utmärkt resultat för en så liten institution. Parlamentet uppmanar datatillsynsmannen att fortsätta sina ansträngningar för att uppnå en balanserad geografisk fördelning av medborgare från alla medlemsstater, med särskild hänsyn till ledningsnivån, bland annat genom sin rekryteringspolitik.</w:t>
      </w:r>
    </w:p>
    <w:p w14:paraId="0614CAD2" w14:textId="77777777" w:rsidR="00096834" w:rsidRPr="00C900DF" w:rsidRDefault="00096834" w:rsidP="00096834">
      <w:pPr>
        <w:pStyle w:val="NormalHanging12a"/>
      </w:pPr>
      <w:r w:rsidRPr="00C900DF">
        <w:t>27.</w:t>
      </w:r>
      <w:r w:rsidRPr="00C900DF">
        <w:tab/>
        <w:t>Europaparlamentet noterar en hög tillsättningsgrad i tjänsteförteckningen på 98,80 % (jämfört med 95,65 % under 2023), men även en hög omsättning på 12 % under 2024 (jämfört med 13 % under 2023). Parlamentet konstaterar att den främsta orsaken till de otillsatta tjänsterna var att kandidaterna var olämpliga.</w:t>
      </w:r>
      <w:r w:rsidRPr="00C900DF">
        <w:rPr>
          <w:b/>
          <w:i/>
        </w:rPr>
        <w:t xml:space="preserve"> </w:t>
      </w:r>
      <w:r w:rsidRPr="00C900DF">
        <w:t>Parlamentet uppmärksammar de utmaningar som identifierats i rekryterings- och urvalsförfarandena. Parlamentet noterar med tillfredsställelse utifrån uppföljningsrapporten att datatillsynsmannen hanterade dessa utmaningar genom att utveckla en omfattande strategi för att behålla personal och locka talanger, vilken antogs i början av 2025, med åtgärder på kort, medellång och lång sikt för att behålla erfaren personal, minska omsättningsriskerna och förbättra datatillsynsmannens attraktionskraft som arbetsgivare. Parlamentet uppmuntrar datatillsynsmannen att fortsätta att förbättra rekryteringsförfarandena, samtidigt som principerna om meriter, transparens och likabehandling respekteras fullt ut.</w:t>
      </w:r>
    </w:p>
    <w:p w14:paraId="66B59A93" w14:textId="77777777" w:rsidR="00096834" w:rsidRPr="00C900DF" w:rsidRDefault="00096834" w:rsidP="00096834">
      <w:pPr>
        <w:pStyle w:val="NormalHanging12a"/>
        <w:rPr>
          <w:szCs w:val="24"/>
        </w:rPr>
      </w:pPr>
      <w:r w:rsidRPr="00C900DF">
        <w:lastRenderedPageBreak/>
        <w:t>28.</w:t>
      </w:r>
      <w:r w:rsidRPr="00C900DF">
        <w:tab/>
        <w:t>Europaparlamentet noterar när det gäller könsfördelningen bland datatillsynsmannens personal att 63 % var kvinnor och 37 % män 2024, vilket är samma trend som under tidigare år, då fördelningen mellan kvinnor och män var 65 % respektive 35 %. Parlamentet noterar en jämn könsfördelning bland chefer på mellannivå, med tre män och tre kvinnor, men beklagar att kvinnor fortfarande är underrepresenterade på högre chefsposter. Parlamentet uppmanar datatillsynsmannen att fortsätta sina ansträngningar för att uppnå en jämn könsfördelning bland personalen.</w:t>
      </w:r>
    </w:p>
    <w:p w14:paraId="5FF7F3C2" w14:textId="77777777" w:rsidR="00096834" w:rsidRPr="00C900DF" w:rsidRDefault="00096834" w:rsidP="00096834">
      <w:pPr>
        <w:ind w:left="567" w:hanging="567"/>
      </w:pPr>
      <w:r w:rsidRPr="00C900DF">
        <w:t>29.</w:t>
      </w:r>
      <w:r w:rsidRPr="00C900DF">
        <w:tab/>
        <w:t xml:space="preserve">Europaparlamentet noterar att datatillsynsmannen anställde 20 praktikanter från kommissionens praktikprogram, som fick en månatlig ersättning på cirka 1 500 EUR och en oavlönad praktikant på grundval av ett avtal om högskolepraktik. </w:t>
      </w:r>
      <w:bookmarkStart w:id="8" w:name="_Hlk215140632"/>
      <w:r w:rsidRPr="00C900DF">
        <w:t>Parlamentet betonar på nytt att praktiktjänstgöring bör vara avlönad i enlighet med Europaparlamentets resolution av den 14 juni 2023 med rekommendationer till kommissionen om kvalitetspraktik i unionen (2020/2005(INL)), där man förespråkar att alla praktikplatser i Europa bör vara avlönade.</w:t>
      </w:r>
      <w:bookmarkEnd w:id="8"/>
    </w:p>
    <w:p w14:paraId="464F4B11" w14:textId="77777777" w:rsidR="00096834" w:rsidRPr="00C900DF" w:rsidRDefault="00096834" w:rsidP="00096834">
      <w:pPr>
        <w:ind w:left="567"/>
      </w:pPr>
    </w:p>
    <w:p w14:paraId="6AFFB319" w14:textId="77777777" w:rsidR="00096834" w:rsidRPr="00C900DF" w:rsidRDefault="00096834" w:rsidP="00096834">
      <w:pPr>
        <w:pStyle w:val="NormalHanging12a"/>
        <w:rPr>
          <w:szCs w:val="24"/>
        </w:rPr>
      </w:pPr>
      <w:r w:rsidRPr="00C900DF">
        <w:t>30.</w:t>
      </w:r>
      <w:r w:rsidRPr="00C900DF">
        <w:tab/>
        <w:t xml:space="preserve">Europaparlamentet noterar datatillsynsmannens personalutvecklingsverksamhet under 2024. Parlamentet noterar att datatillsynsmannen antog en ny policy för </w:t>
      </w:r>
      <w:proofErr w:type="spellStart"/>
      <w:r w:rsidRPr="00C900DF">
        <w:t>onlineplattformar</w:t>
      </w:r>
      <w:proofErr w:type="spellEnd"/>
      <w:r w:rsidRPr="00C900DF">
        <w:t xml:space="preserve"> för lärande, anslöt sig till det nya interinstitutionella jobbskuggningsprogrammet med fem anställda hos datatillsynsmannen som skuggade kommissionens personal, anordnade en </w:t>
      </w:r>
      <w:proofErr w:type="spellStart"/>
      <w:r w:rsidRPr="00C900DF">
        <w:t>bortadag</w:t>
      </w:r>
      <w:proofErr w:type="spellEnd"/>
      <w:r w:rsidRPr="00C900DF">
        <w:t xml:space="preserve"> för personal som arbetar med AI-beredskap och annan sammanhållningsbyggande verksamhet. Parlamentet noterar inrättandet av en enhetsövergripande arbetsgrupp för att utveckla initiativ till förmån för jämställdhet, inkludering och mångfald.</w:t>
      </w:r>
    </w:p>
    <w:p w14:paraId="6E86C3CF" w14:textId="77777777" w:rsidR="00096834" w:rsidRPr="00C900DF" w:rsidRDefault="00096834" w:rsidP="00096834">
      <w:pPr>
        <w:pStyle w:val="NormalHanging12a"/>
      </w:pPr>
      <w:r w:rsidRPr="00C900DF">
        <w:t>31.</w:t>
      </w:r>
      <w:r w:rsidRPr="00C900DF">
        <w:tab/>
        <w:t>Europaparlamentet noterar utifrån frågeformuläret att datatillsynsmannen erbjuder flexibel arbetstid och hybridarbetsformer som tagits emot väl av de anställda, som bland annat kan utnyttja föräldraledighet, arbetstidskonton, deltidsarbete samt arbete från utlandet under ett begränsat antal dagar per år. Parlamentet konstaterar att nästa undersökning av personalens tillfredsställelse, som omfattar distansarbete, planerades till 2025. Parlamentet anser att fastighetsinfrastrukturen skulle kunna optimeras, när så är lämpligt, för att återspegla upplägg med distansarbete och hybridarbete och därmed minska driftskostnaderna och säkerställa en effektivare användning av kontorslokalerna.</w:t>
      </w:r>
    </w:p>
    <w:p w14:paraId="4312D49C" w14:textId="77777777" w:rsidR="00096834" w:rsidRPr="00C900DF" w:rsidRDefault="00096834" w:rsidP="00096834">
      <w:pPr>
        <w:pStyle w:val="NormalHanging12a"/>
        <w:rPr>
          <w:szCs w:val="24"/>
        </w:rPr>
      </w:pPr>
      <w:r w:rsidRPr="00C900DF">
        <w:t>32.</w:t>
      </w:r>
      <w:r w:rsidRPr="00C900DF">
        <w:tab/>
        <w:t>Europaparlamentet konstaterar att datatillsynsmannen för närvarande inte har anställda med funktionsnedsättning men inkluderar en klausul om lika möjligheter i alla meddelanden om lediga tjänster hos datatillsynsmannen och uppmuntrar aktivt till ansökningar från kandidater med funktionsnedsättning. Parlamentet noterar att datatillsynsmannens webbplats bygger på ett innehållshanteringssystem som är anpassat till grundläggande standarder för tillgänglig webbdesign och att eventuella ytterligare funktioner som utvecklats för den webbplatsen skapas med tillgänglighet som ett centralt krav.</w:t>
      </w:r>
    </w:p>
    <w:p w14:paraId="44733A9D" w14:textId="77777777" w:rsidR="00096834" w:rsidRPr="00C900DF" w:rsidRDefault="00096834" w:rsidP="00096834">
      <w:pPr>
        <w:pStyle w:val="NormalHanging12a"/>
      </w:pPr>
      <w:r w:rsidRPr="00C900DF">
        <w:t>33.</w:t>
      </w:r>
      <w:r w:rsidRPr="00C900DF">
        <w:tab/>
        <w:t xml:space="preserve">Europaparlamentet noterar utifrån frågeformuläret datatillsynsmannens svar, enligt vilket datatillsynsmannen inte har tillgång till personalens patientjournaler och inte kan känna till grundorsaken till frånvaro, eftersom den valideras av kommissionens läkarmottagning. Parlamentet noterar att datatillsynsmannen endast har tillgång till aggregerade uppgifter såsom antalet sjukdagar och huruvida de åtföljs av ett läkarintyg. Parlamentet noterar att ökningen från 2023 till 2024 av antalet sjukdagar, dvs. från 1 680,50 till 1 946 (+ 15,80 %), var större än ökningen av antalet anställda från 129 till 137 (dvs. + 6,20 %). Parlamentet noterar att den genomsnittliga sjukledigheten per </w:t>
      </w:r>
      <w:r w:rsidRPr="00C900DF">
        <w:lastRenderedPageBreak/>
        <w:t>person också ökade, från 14,7 dagar 2023 till 18,30 dagar 2024, och att sjukledigheten ökade från 3,60 % 2023 till 3,9 % 2024. Parlamentet är oroat över den nuvarande situationen och fortsätter att begära en tydligare utvärdering av personalens välbefinnande för att identifiera möjliga återkommande orsaker till utbrändhet, och anser att fall av utbrändhet bör rapporteras årligen till den ansvarsfrihetsbeviljande myndigheten som för alla andra institutioner. Parlamentet begär att datatillsynsmannen, i samarbete med kommissionens läkarmottagning, gör en riktad bedömning av de bakomliggande orsakerna till denna ökning, med särskilt fokus på att förebygga utbrändhet.</w:t>
      </w:r>
    </w:p>
    <w:p w14:paraId="139C7FFD" w14:textId="77777777" w:rsidR="00096834" w:rsidRPr="00C900DF" w:rsidRDefault="00096834" w:rsidP="00096834">
      <w:pPr>
        <w:pStyle w:val="NormalHanging12a"/>
        <w:rPr>
          <w:szCs w:val="24"/>
        </w:rPr>
      </w:pPr>
      <w:r w:rsidRPr="00C900DF">
        <w:t>34.</w:t>
      </w:r>
      <w:r w:rsidRPr="00C900DF">
        <w:tab/>
        <w:t>Europaparlamentet konstaterar utifrån frågeformuläret att inga fall av trakasserier rapporterades hos datatillsynsmannen under 2024. Parlamentet uppskattar att datatillsynsmannen under 2024 fortsatte att tillhandahålla en föreläsning om bekämpning av trakasserier som hölls av en av datatillsynsmannens konfidentiella rådgivare, inom ramen för introduktionen för nyanställda. Parlamentet lovordar offentliggörandet av beslutet om bekämpning av trakasserier och de konfidentiella rådgivarnas roll på datatillsynsmannens intranät.</w:t>
      </w:r>
    </w:p>
    <w:p w14:paraId="75E6D669" w14:textId="77777777" w:rsidR="00096834" w:rsidRPr="00C900DF" w:rsidRDefault="00096834" w:rsidP="00096834">
      <w:pPr>
        <w:pStyle w:val="NormalHanging12a"/>
        <w:rPr>
          <w:szCs w:val="24"/>
        </w:rPr>
      </w:pPr>
      <w:r w:rsidRPr="00C900DF">
        <w:rPr>
          <w:b/>
          <w:i/>
        </w:rPr>
        <w:t>Etisk ram och transparens</w:t>
      </w:r>
    </w:p>
    <w:p w14:paraId="33BC819E" w14:textId="77777777" w:rsidR="00096834" w:rsidRPr="00C900DF" w:rsidRDefault="00096834" w:rsidP="00096834">
      <w:pPr>
        <w:pStyle w:val="NormalHanging12a"/>
      </w:pPr>
      <w:r w:rsidRPr="00C900DF">
        <w:t>35.</w:t>
      </w:r>
      <w:r w:rsidRPr="00C900DF">
        <w:tab/>
        <w:t>Europaparlamentet noterar att datatillsynsmannen har inrättat en ram för att förebygga intressekonflikter på högsta ledningsnivå och personalnivå genom uppförandekoder, informationskampanjer och försäkringar om frånvaro av intressekonflikter och om sekretess. Parlamentet konstaterar att all personal som tar anställning hos datatillsynsmanen måste underteckna en försäkran om frånvaro av intressekonflikter och om sekretess. Parlamentet noterar att datatillsynsmannen inte registrerade några fall av intressekonflikter eller visselblåsning under 2024. Parlamentet noterar med oro att ett fall av påstått bedrägeri rapporterades hos datatillsynsmannen 2024, vilket utreddes av kommissionens utrednings- och disciplinbyrå. Parlamentet noterar i detta fall att kommissionens utrednings- och disciplinbyrå avslutade utredningen 2025 med rekommendationen till datatillsynsmannen att inleda disciplinära förfaranden i enlighet med tjänsteföreskrifterna. Parlamentet uppmanar datatillsynsmannen att hålla den ansvarsfrihetsbeviljande myndigheten informerad om slutresultatet i detta ärende, samt om eventuella åtgärder som vidtagits för att stärka de interna bedrägeribekämpningskontrollerna.</w:t>
      </w:r>
    </w:p>
    <w:p w14:paraId="61C54D75" w14:textId="77777777" w:rsidR="00096834" w:rsidRPr="00C900DF" w:rsidRDefault="00096834" w:rsidP="00096834">
      <w:pPr>
        <w:pStyle w:val="NormalHanging12a"/>
        <w:rPr>
          <w:szCs w:val="24"/>
        </w:rPr>
      </w:pPr>
      <w:r w:rsidRPr="00C900DF">
        <w:t>36.</w:t>
      </w:r>
      <w:r w:rsidRPr="00C900DF">
        <w:tab/>
        <w:t xml:space="preserve">Europaparlamentet noterar att datatillsynsmannen under 2024 fortsatte att anordna introduktionsutbildningar om sin etiska ram (om trakasserier, visselblåsning, intressekonflikter) och strategi för bedrägeribekämpning för nyanställda hos datatillsynsmannen och EDPB. Parlamentet noterar att datatillsynsmannen etikansvariga varje år lämnar in en etisk rapport till datatillsynsmannens och </w:t>
      </w:r>
      <w:proofErr w:type="spellStart"/>
      <w:r w:rsidRPr="00C900DF">
        <w:t>EDPB:s</w:t>
      </w:r>
      <w:proofErr w:type="spellEnd"/>
      <w:r w:rsidRPr="00C900DF">
        <w:t xml:space="preserve"> ledning och deltar i arbetsgruppen för etik kallad </w:t>
      </w:r>
      <w:proofErr w:type="spellStart"/>
      <w:r w:rsidRPr="00C900DF">
        <w:rPr>
          <w:i/>
          <w:iCs/>
        </w:rPr>
        <w:t>Comité</w:t>
      </w:r>
      <w:proofErr w:type="spellEnd"/>
      <w:r w:rsidRPr="00C900DF">
        <w:rPr>
          <w:i/>
          <w:iCs/>
        </w:rPr>
        <w:t xml:space="preserve"> </w:t>
      </w:r>
      <w:proofErr w:type="spellStart"/>
      <w:r w:rsidRPr="00C900DF">
        <w:rPr>
          <w:i/>
          <w:iCs/>
        </w:rPr>
        <w:t>Paritaire</w:t>
      </w:r>
      <w:proofErr w:type="spellEnd"/>
      <w:r w:rsidRPr="00C900DF">
        <w:rPr>
          <w:i/>
          <w:iCs/>
        </w:rPr>
        <w:t xml:space="preserve"> des </w:t>
      </w:r>
      <w:proofErr w:type="spellStart"/>
      <w:r w:rsidRPr="00C900DF">
        <w:rPr>
          <w:i/>
          <w:iCs/>
        </w:rPr>
        <w:t>Questions</w:t>
      </w:r>
      <w:proofErr w:type="spellEnd"/>
      <w:r w:rsidRPr="00C900DF">
        <w:rPr>
          <w:i/>
          <w:iCs/>
        </w:rPr>
        <w:t xml:space="preserve"> </w:t>
      </w:r>
      <w:proofErr w:type="spellStart"/>
      <w:r w:rsidRPr="00C900DF">
        <w:rPr>
          <w:i/>
          <w:iCs/>
        </w:rPr>
        <w:t>Statuaries</w:t>
      </w:r>
      <w:proofErr w:type="spellEnd"/>
      <w:r w:rsidRPr="00C900DF">
        <w:t>. Parlamentet noterar med tillfredsställelse att datatillsynsmannen har inrättat en brevlåda där personalen kan lämna in sina begäranden om etiska utredningar. Parlamentet uppmuntrar datatillsynsmannen att fortsätta att öka medvetenheten och anordna undersökningar för att bedöma personalens medvetenhet om datatillsynsmannens/</w:t>
      </w:r>
      <w:proofErr w:type="spellStart"/>
      <w:r w:rsidRPr="00C900DF">
        <w:t>EDPB:s</w:t>
      </w:r>
      <w:proofErr w:type="spellEnd"/>
      <w:r w:rsidRPr="00C900DF">
        <w:t xml:space="preserve"> etiska ram.</w:t>
      </w:r>
    </w:p>
    <w:p w14:paraId="69397125" w14:textId="77777777" w:rsidR="00096834" w:rsidRPr="00C900DF" w:rsidRDefault="00096834" w:rsidP="00096834">
      <w:pPr>
        <w:pStyle w:val="NormalHanging12a"/>
      </w:pPr>
      <w:r w:rsidRPr="00C900DF">
        <w:t>37.</w:t>
      </w:r>
      <w:r w:rsidRPr="00C900DF">
        <w:tab/>
        <w:t xml:space="preserve">Europaparlamentet välkomnar den övergripande höga grad av transparens som datatillsynsmannen uppnått när det gäller verksamheten, även när det gäller offentliggörandet av datatillsynsmannens och generalsekreterarens dagordning och </w:t>
      </w:r>
      <w:r w:rsidRPr="00C900DF">
        <w:lastRenderedPageBreak/>
        <w:t>intresseförklaring. Parlamentet noterar med tillfredsställelse utifrån frågeformuläret att datatillsynsmannen, efter en intern bedömning av transparensåtgärder som genomfördes 2023–2024, antog ett beslut 2025 genom vilket datatillsynsmannen, generalsekreteraren och datatillsynsmannens personal med ledningsansvar endast kommer att träffa företrädare för intressegrupper om de är registrerade i unionens öppenhetsregister. Parlamentet välkomnar att datatillsynsmannen genom detta beslut ingår i unionens öppenhetsregister, något som styrelsen vederbörligen underrättats om. Parlamentet rekommenderar datatillsynsmannen att på sin webbplats offentliggöra en förteckning över alla möten som hålls med företrädare för intressegrupper för att ytterligare stärka den offentliga ansvarsskyldigheten och transparensen.</w:t>
      </w:r>
    </w:p>
    <w:p w14:paraId="5BB68B01" w14:textId="77777777" w:rsidR="00096834" w:rsidRPr="00C900DF" w:rsidRDefault="00096834" w:rsidP="00096834">
      <w:pPr>
        <w:pStyle w:val="NormalHanging12a"/>
        <w:rPr>
          <w:szCs w:val="24"/>
        </w:rPr>
      </w:pPr>
      <w:r w:rsidRPr="00C900DF">
        <w:t>38.</w:t>
      </w:r>
      <w:r w:rsidRPr="00C900DF">
        <w:tab/>
        <w:t>Europaparlamentet noterar att datatillsynsmannen var föremål för en undersökning av Europeiska ombudsmannen om ett ärende som inleddes 2023 och avslutades 2024 med ett konstaterande av administrativa missförhållanden. Parlamentet noterar att iakttagelsen gällde den tid det tog för datatillsynsmannen att slutföra sin bedömning av ett klagomål inom en rimlig tidsram och det faktum att datatillsynsmannen inte proaktivt hade informerat den klagande om hur ärendet fortskred. Parlamentet uppskattar därför att datatillsynsmannen vidtog åtgärder för att förbättra sina förfaranden, varigenom personalen nu är skyldig att proaktivt uppdatera klagomål och avbryta utredningar i avvaktan på domstolsbeslut eller beslut från andra organ i samma fråga. Parlamentet noterar utifrån frågeformuläret att datatillsynsmannen var involverad i tre utredningar som Europeiska byrån för bedrägeribekämpning (Olaf) genomförde under 2024 och som pågår. Parlamentet uppmanar datatillsynsmannen att hålla den ansvarsbefrielsebeviljande myndigheten uppdaterad i dessa frågor.</w:t>
      </w:r>
    </w:p>
    <w:p w14:paraId="04FF9B28" w14:textId="77777777" w:rsidR="00096834" w:rsidRPr="00C900DF" w:rsidRDefault="00096834" w:rsidP="00096834">
      <w:pPr>
        <w:pStyle w:val="NormalHanging12a"/>
      </w:pPr>
      <w:r w:rsidRPr="00C900DF">
        <w:t>39.</w:t>
      </w:r>
      <w:r w:rsidRPr="00C900DF">
        <w:tab/>
        <w:t>Europaparlamentet betonar datatillsynsmannens roll när det gäller att övervaka behandlingen av personuppgifter vid EU:s institutioner, organ och byråer. Parlamentet uttrycker oro över den tid det tar för EDPS att hantera klagomål. Parlamentet påminner om Europeiska ombudsmannens beslut av den 7 november 2024 i ärende 1888/2023/TM, där ombudsmannen konstaterade att sex år för att slutföra en bedömning av ett klagomål inte utgör en rimlig tidsram och att datatillsynsmannens tillvägagångssätt utgjorde ett administrativt missförhållande. Parlamentet noterar att Europeiska ombudsmannen fann att datatillsynsmannen inte heller höll den klagande informerad om hur ärendet fortskred.</w:t>
      </w:r>
    </w:p>
    <w:p w14:paraId="5CEFEF53" w14:textId="77777777" w:rsidR="00096834" w:rsidRPr="00C900DF" w:rsidRDefault="00096834" w:rsidP="00096834">
      <w:pPr>
        <w:pStyle w:val="NormalHanging12a"/>
        <w:rPr>
          <w:szCs w:val="24"/>
        </w:rPr>
      </w:pPr>
      <w:r w:rsidRPr="00C900DF">
        <w:t>40.</w:t>
      </w:r>
      <w:r w:rsidRPr="00C900DF">
        <w:tab/>
        <w:t xml:space="preserve">Europaparlamentet noterar att datatillsynsmannen och generalsekreteraren, i enlighet med artikel 9 i datatillsynsmannens uppförandekod, är bundna av skyldigheten att iaktta skyldighet att iaktta integritet, diskretion och </w:t>
      </w:r>
      <w:proofErr w:type="spellStart"/>
      <w:r w:rsidRPr="00C900DF">
        <w:t>konfidentialitet</w:t>
      </w:r>
      <w:proofErr w:type="spellEnd"/>
      <w:r w:rsidRPr="00C900DF">
        <w:t>, i tre år efter det att de har lämnat sina uppdrag. Parlamentet noterar att ingen högre tjänsteman lämnade eller anslöt sig till datatillsynsmannen 2024.</w:t>
      </w:r>
    </w:p>
    <w:p w14:paraId="7BBD19EA" w14:textId="77777777" w:rsidR="00096834" w:rsidRPr="00C900DF" w:rsidRDefault="00096834" w:rsidP="00096834">
      <w:pPr>
        <w:pStyle w:val="NormalHanging12a"/>
        <w:keepNext/>
        <w:widowControl/>
        <w:rPr>
          <w:szCs w:val="24"/>
        </w:rPr>
      </w:pPr>
      <w:r w:rsidRPr="00C900DF">
        <w:rPr>
          <w:b/>
          <w:i/>
        </w:rPr>
        <w:t>Digitalisering, cybersäkerhet och skydd av personuppgifter</w:t>
      </w:r>
    </w:p>
    <w:p w14:paraId="20983340" w14:textId="77777777" w:rsidR="00096834" w:rsidRPr="00C900DF" w:rsidRDefault="00096834" w:rsidP="00096834">
      <w:pPr>
        <w:pStyle w:val="NormalHanging12a"/>
        <w:keepNext/>
        <w:widowControl/>
        <w:rPr>
          <w:szCs w:val="24"/>
        </w:rPr>
      </w:pPr>
      <w:r w:rsidRPr="00C900DF">
        <w:t>41.</w:t>
      </w:r>
      <w:r w:rsidRPr="00C900DF">
        <w:tab/>
        <w:t xml:space="preserve">Europaparlamentet noterar utifrån frågeformuläret att 2024 års budget för </w:t>
      </w:r>
      <w:proofErr w:type="spellStart"/>
      <w:r w:rsidRPr="00C900DF">
        <w:t>it-utrustning</w:t>
      </w:r>
      <w:proofErr w:type="spellEnd"/>
      <w:r w:rsidRPr="00C900DF">
        <w:t xml:space="preserve"> och </w:t>
      </w:r>
      <w:proofErr w:type="spellStart"/>
      <w:r w:rsidRPr="00C900DF">
        <w:t>it-projekt</w:t>
      </w:r>
      <w:proofErr w:type="spellEnd"/>
      <w:r w:rsidRPr="00C900DF">
        <w:t xml:space="preserve"> var 10 % högre jämfört med 2023 på grund av ytterligare konsulttjänster avseende cybersäkerhet. Parlamentet noterar vidare att andra kostnadsfaktorer förblev relativt stabila mellan de två åren, däribland allmänna </w:t>
      </w:r>
      <w:proofErr w:type="spellStart"/>
      <w:r w:rsidRPr="00C900DF">
        <w:t>it-tjänster</w:t>
      </w:r>
      <w:proofErr w:type="spellEnd"/>
      <w:r w:rsidRPr="00C900DF">
        <w:t xml:space="preserve"> och underhåll.</w:t>
      </w:r>
    </w:p>
    <w:p w14:paraId="09F2E0DD" w14:textId="77777777" w:rsidR="00096834" w:rsidRPr="00C900DF" w:rsidRDefault="00096834" w:rsidP="00096834">
      <w:pPr>
        <w:pStyle w:val="NormalHanging12a"/>
        <w:rPr>
          <w:szCs w:val="24"/>
        </w:rPr>
      </w:pPr>
      <w:r w:rsidRPr="00C900DF">
        <w:t>42.</w:t>
      </w:r>
      <w:r w:rsidRPr="00C900DF">
        <w:tab/>
        <w:t xml:space="preserve">Europaparlamentet noterar de framsteg som datatillsynsmannen gjort på sin väg mot digital omställning under 2024. Parlamentet noterar särskilt att datatillsynsmannen integrerade EU </w:t>
      </w:r>
      <w:proofErr w:type="spellStart"/>
      <w:r w:rsidRPr="00C900DF">
        <w:t>Send</w:t>
      </w:r>
      <w:proofErr w:type="spellEnd"/>
      <w:r w:rsidRPr="00C900DF">
        <w:t xml:space="preserve"> (tjänst/kanal för utbyte av känsliga icke-</w:t>
      </w:r>
      <w:r w:rsidRPr="00C900DF">
        <w:lastRenderedPageBreak/>
        <w:t xml:space="preserve">säkerhetsskyddsklassificerade uppgifter med andra EU-institutioner, EU-organ och EU-byråer), antog ServiceNow för </w:t>
      </w:r>
      <w:proofErr w:type="spellStart"/>
      <w:r w:rsidRPr="00C900DF">
        <w:t>it-stöd</w:t>
      </w:r>
      <w:proofErr w:type="spellEnd"/>
      <w:r w:rsidRPr="00C900DF">
        <w:t xml:space="preserve"> (inrättande av en enhetlig helpdeskportal för personalen), genomförde SECABC (en interinstitutionell ram för säkert informationsutbyte) och migrerade till kommissionens lokala </w:t>
      </w:r>
      <w:r w:rsidRPr="00C900DF">
        <w:rPr>
          <w:i/>
          <w:iCs/>
        </w:rPr>
        <w:t>Container-as-a-Service</w:t>
      </w:r>
      <w:r w:rsidRPr="00C900DF">
        <w:t xml:space="preserve">. Parlamentet konstaterar att en fast anställd tjänsteman och en kontraktsanställd arbetar med datatillsynsmannens digitala omställning. Parlamentet noterar utifrån frågeformuläret och uppföljningsrapporten datatillsynsmannens budgetbegränsningar som förhindrar inrättandet av en grupp på minst fem </w:t>
      </w:r>
      <w:proofErr w:type="spellStart"/>
      <w:r w:rsidRPr="00C900DF">
        <w:t>it-specialister</w:t>
      </w:r>
      <w:proofErr w:type="spellEnd"/>
      <w:r w:rsidRPr="00C900DF">
        <w:t xml:space="preserve"> som skulle täcka sju olika </w:t>
      </w:r>
      <w:proofErr w:type="spellStart"/>
      <w:r w:rsidRPr="00C900DF">
        <w:t>it-områden</w:t>
      </w:r>
      <w:proofErr w:type="spellEnd"/>
      <w:r w:rsidRPr="00C900DF">
        <w:t xml:space="preserve"> och som skulle kunna omfatta särskilda tillämpningar i samband med datatillsynsmannens verksamhetsprocesser som går utöver den grundläggande </w:t>
      </w:r>
      <w:proofErr w:type="spellStart"/>
      <w:r w:rsidRPr="00C900DF">
        <w:t>it-infrastruktur</w:t>
      </w:r>
      <w:proofErr w:type="spellEnd"/>
      <w:r w:rsidRPr="00C900DF">
        <w:t xml:space="preserve"> och de grundläggande </w:t>
      </w:r>
      <w:proofErr w:type="spellStart"/>
      <w:r w:rsidRPr="00C900DF">
        <w:t>it-tjänster</w:t>
      </w:r>
      <w:proofErr w:type="spellEnd"/>
      <w:r w:rsidRPr="00C900DF">
        <w:t xml:space="preserve"> som parlamentet och kommissionen erbjuder enligt servicenivåavtalen.</w:t>
      </w:r>
    </w:p>
    <w:p w14:paraId="45A9441E" w14:textId="77777777" w:rsidR="00096834" w:rsidRPr="00C900DF" w:rsidRDefault="00096834" w:rsidP="00096834">
      <w:pPr>
        <w:pStyle w:val="NormalHanging12a"/>
        <w:rPr>
          <w:bCs/>
          <w:iCs/>
        </w:rPr>
      </w:pPr>
      <w:r w:rsidRPr="00C900DF">
        <w:t>43.</w:t>
      </w:r>
      <w:r w:rsidRPr="00C900DF">
        <w:tab/>
        <w:t xml:space="preserve">Europaparlamentet noterar att datatillsynsmannens begränsade interna </w:t>
      </w:r>
      <w:proofErr w:type="spellStart"/>
      <w:r w:rsidRPr="00C900DF">
        <w:t>it-personal</w:t>
      </w:r>
      <w:proofErr w:type="spellEnd"/>
      <w:r w:rsidRPr="00C900DF">
        <w:t xml:space="preserve"> delvis kompenseras av </w:t>
      </w:r>
      <w:proofErr w:type="spellStart"/>
      <w:r w:rsidRPr="00C900DF">
        <w:t>it-tjänster</w:t>
      </w:r>
      <w:proofErr w:type="spellEnd"/>
      <w:r w:rsidRPr="00C900DF">
        <w:t xml:space="preserve"> som tillhandahålls av parlamentet och kommissionen inom ramen för servicenivåavtal och en återbetalningsmekanism. Parlamentet påminner om att det redan i sin resolution om ansvarsfrihet för 2023 identifierade strukturella klyftor mellan sådana interinstitutionella </w:t>
      </w:r>
      <w:proofErr w:type="spellStart"/>
      <w:r w:rsidRPr="00C900DF">
        <w:t>it-tjänster</w:t>
      </w:r>
      <w:proofErr w:type="spellEnd"/>
      <w:r w:rsidRPr="00C900DF">
        <w:t xml:space="preserve"> och datatillsynsmannens särskilda operativa behov. Parlamentet betonar att även om denna modell kan skapa stordriftsfördelar kan den minska kostnadsförutsägbarheten och de små institutionernas direkta kontroll över utvecklingen av </w:t>
      </w:r>
      <w:proofErr w:type="spellStart"/>
      <w:r w:rsidRPr="00C900DF">
        <w:t>it-relaterade</w:t>
      </w:r>
      <w:proofErr w:type="spellEnd"/>
      <w:r w:rsidRPr="00C900DF">
        <w:t xml:space="preserve"> utgifter, och understryker vikten av att ta hänsyn till detta strukturella kostnadstryck i den framtida budgetplaneringen.</w:t>
      </w:r>
    </w:p>
    <w:p w14:paraId="09A717D5" w14:textId="77777777" w:rsidR="00096834" w:rsidRPr="00C900DF" w:rsidRDefault="00096834" w:rsidP="00096834">
      <w:pPr>
        <w:pStyle w:val="NormalHanging12a"/>
        <w:rPr>
          <w:bCs/>
          <w:iCs/>
        </w:rPr>
      </w:pPr>
      <w:r w:rsidRPr="00C900DF">
        <w:t>44.</w:t>
      </w:r>
      <w:r w:rsidRPr="00C900DF">
        <w:tab/>
        <w:t xml:space="preserve">Europaparlamentet uppmärksammar datatillsynsmannens arbete med unionsbaserade samverkande molnlösningar med öppen källkod, särskilt </w:t>
      </w:r>
      <w:proofErr w:type="spellStart"/>
      <w:r w:rsidRPr="00C900DF">
        <w:t>NextCloud</w:t>
      </w:r>
      <w:proofErr w:type="spellEnd"/>
      <w:r w:rsidRPr="00C900DF">
        <w:t>-projektet och dess migration till ett datacentrum som förvaltas av kommissionen, i syfte att stärka datasuveräniteten och minska beroendet av leverantörer utanför unionen. Parlamentet uppmanar datatillsynsmannen att förse den ansvarsfrihetsbeviljande myndigheten med en bedömning av projektets totala ägandekostnad, säkerhetsfördelar och skalbarhet för andra unionsinstitutioner.</w:t>
      </w:r>
    </w:p>
    <w:p w14:paraId="6A49ED31" w14:textId="77777777" w:rsidR="00096834" w:rsidRPr="00C900DF" w:rsidRDefault="00096834" w:rsidP="00096834">
      <w:pPr>
        <w:pStyle w:val="NormalHanging12a"/>
        <w:widowControl/>
      </w:pPr>
      <w:r w:rsidRPr="00C900DF">
        <w:t>45.</w:t>
      </w:r>
      <w:r w:rsidRPr="00C900DF">
        <w:tab/>
        <w:t>Europaparlamentet konstaterar att datatillsynsmannen framgångsrikt förlitar sig på många av de administrativa system som används av kommissionen, särskilt när det gäller personal- och affärsförvaltningsprocesser, samt på vissa av parlamentets tjänster, inbegripet bland annat tillhandahållande av bärbara datorer, nätverksinfrastruktur och videokonferenser. Parlamentet noterar att datatillsynsmannen använder den kvalificerade elektroniska underskriften för att underteckna elektroniska dokument inom och utanför ARES-systemet för administrativa och finansiella dokument. Parlamentet lovordar datatillsynsmannen för de framsteg som gjorts med att anta e-upphandlingsverktyg, som planeras till 2026 när SUMMA, den nya finansiella programvaran, också kommer att införas hos datatillsynsmannen.</w:t>
      </w:r>
    </w:p>
    <w:p w14:paraId="311D4E16" w14:textId="77777777" w:rsidR="00096834" w:rsidRPr="00C900DF" w:rsidRDefault="00096834" w:rsidP="00096834">
      <w:pPr>
        <w:pStyle w:val="NormalHanging12a"/>
      </w:pPr>
      <w:r w:rsidRPr="00C900DF">
        <w:t>46.</w:t>
      </w:r>
      <w:r w:rsidRPr="00C900DF">
        <w:tab/>
        <w:t>Europaparlamentet noterar utifrån frågeformuläret att datatillsynsmannen 2025 godkände interna riktlinjer för användningen av generativa AI-system av sin personal, som också erbjuds obligatorisk AI-utbildning. Parlamentet välkomnar datatillsynsmannens förberedande arbete för att eventuellt utfärda riktlinjer för att säkerställa att AI-verktyg används på ett ansvarsfullt sätt av EU:s institutioner, organ och byråer, vilket skulle komplettera den vägledning som redan tillhandahålls av kommissionen genom fokusering på särdragen i unionens offentliga förvaltning eller användningsfall på specifika områden såsom personal/rekrytering.</w:t>
      </w:r>
    </w:p>
    <w:p w14:paraId="4C49814D" w14:textId="77777777" w:rsidR="00096834" w:rsidRPr="00C900DF" w:rsidRDefault="00096834" w:rsidP="00096834">
      <w:pPr>
        <w:pStyle w:val="NormalHanging12a"/>
        <w:rPr>
          <w:szCs w:val="24"/>
        </w:rPr>
      </w:pPr>
      <w:r w:rsidRPr="00C900DF">
        <w:lastRenderedPageBreak/>
        <w:t>47.</w:t>
      </w:r>
      <w:r w:rsidRPr="00C900DF">
        <w:tab/>
        <w:t xml:space="preserve">Europaparlamentet erkänner datatillsynsmannens ledande roll när det gäller att förbättra EU-institutionernas cybersäkerhetsberedskap, samtidigt som man har ett nära samarbete med organ såsom </w:t>
      </w:r>
      <w:proofErr w:type="spellStart"/>
      <w:r w:rsidRPr="00C900DF">
        <w:t>Enisa</w:t>
      </w:r>
      <w:proofErr w:type="spellEnd"/>
      <w:r w:rsidRPr="00C900DF">
        <w:t xml:space="preserve"> och cybersäkerhetsnav såsom CERT-EU.</w:t>
      </w:r>
    </w:p>
    <w:p w14:paraId="3AF2429C" w14:textId="77777777" w:rsidR="00096834" w:rsidRPr="00C900DF" w:rsidRDefault="00096834" w:rsidP="00096834">
      <w:pPr>
        <w:pStyle w:val="NormalHanging12a"/>
      </w:pPr>
      <w:r w:rsidRPr="00C900DF">
        <w:t>48.</w:t>
      </w:r>
      <w:r w:rsidRPr="00C900DF">
        <w:tab/>
        <w:t xml:space="preserve">Europaparlamentet noterar utifrån frågeformuläret att datatillsynsmannen lanserade två viktiga initiativ för att stärka hanteringen av personuppgiftsincidenter inom unionens institutioner, närmare bestämt kampanjen för ökad medvetenhet om personuppgiftsincidenter, som riktade sig till enheter som inte tidigare hade rapporterat överträdelser, genom att tillhandahålla självbedömningsverktyg, bilaterala samråd och skräddarsydda rekommendationer, och en cybersäkerhetsövning (kallad PATRICIA), som syftade till att förbättra hanteringen av cybersäkerhetsincidenter som inbegriper personuppgiftsincidenter och stärka det interinstitutionella samarbetet. Parlamentet noterar med tillfredsställelse att båda initiativen tilldelades Global </w:t>
      </w:r>
      <w:proofErr w:type="spellStart"/>
      <w:r w:rsidRPr="00C900DF">
        <w:t>Privacy</w:t>
      </w:r>
      <w:proofErr w:type="spellEnd"/>
      <w:r w:rsidRPr="00C900DF">
        <w:t xml:space="preserve"> </w:t>
      </w:r>
      <w:proofErr w:type="spellStart"/>
      <w:r w:rsidRPr="00C900DF">
        <w:t>Assemblys</w:t>
      </w:r>
      <w:proofErr w:type="spellEnd"/>
      <w:r w:rsidRPr="00C900DF">
        <w:t xml:space="preserve"> pris 2025 för deras bidrag till ansvarsskyldigheten. Parlamentet konstaterar att datatillsynsmannen stärkte sin cybersäkerhetsram genom att införa sårbarhets- och hotspårning i realtid för internetbaserade tillgångar, genom ökat samarbete inom ramen för sitt servicenivåavtal med CERT-EU. Parlamentet lovordar datatillsynsmannen för att ha stått värd för en konferens i Bryssel i juni 2024, som sammanförde dataskyddsexperter, beslutsfattare och teknikspecialister för att reflektera över dataskyddsskyddets föränderliga roll i moderna demokratier, särskilt med tanke på ökningen av desinformation och </w:t>
      </w:r>
      <w:proofErr w:type="spellStart"/>
      <w:r w:rsidRPr="00C900DF">
        <w:t>onlinemanipulation</w:t>
      </w:r>
      <w:proofErr w:type="spellEnd"/>
      <w:r w:rsidRPr="00C900DF">
        <w:t>, och de utmaningar som sociala medier medför.</w:t>
      </w:r>
    </w:p>
    <w:p w14:paraId="7AF23A21" w14:textId="77777777" w:rsidR="00096834" w:rsidRPr="00C900DF" w:rsidRDefault="00096834" w:rsidP="00096834">
      <w:pPr>
        <w:pStyle w:val="NormalHanging12a"/>
        <w:rPr>
          <w:b/>
          <w:i/>
          <w:szCs w:val="24"/>
        </w:rPr>
      </w:pPr>
      <w:r w:rsidRPr="00C900DF">
        <w:rPr>
          <w:b/>
          <w:i/>
        </w:rPr>
        <w:t>Byggnader</w:t>
      </w:r>
    </w:p>
    <w:p w14:paraId="39ACED90" w14:textId="77777777" w:rsidR="00096834" w:rsidRPr="00C900DF" w:rsidRDefault="00096834" w:rsidP="00096834">
      <w:pPr>
        <w:pStyle w:val="NormalHanging12a"/>
        <w:rPr>
          <w:szCs w:val="24"/>
        </w:rPr>
      </w:pPr>
      <w:r w:rsidRPr="00C900DF">
        <w:t>49.</w:t>
      </w:r>
      <w:r w:rsidRPr="00C900DF">
        <w:tab/>
        <w:t>Europaparlamentet noterar att det under 2024 krävdes en överföring på cirka 55 000 EUR för att täcka byggnadssäkerhet och hyreskostnader, eftersom den hyreskostnad som bekräftades för 2024 av parlamentet, vars byggnad datatillsynsmannen använder, var högre än anslagen för det året.</w:t>
      </w:r>
    </w:p>
    <w:p w14:paraId="3A22849B" w14:textId="77777777" w:rsidR="00096834" w:rsidRPr="00C900DF" w:rsidRDefault="00096834" w:rsidP="00096834">
      <w:pPr>
        <w:pStyle w:val="NormalHanging12a"/>
        <w:rPr>
          <w:szCs w:val="24"/>
        </w:rPr>
      </w:pPr>
      <w:r w:rsidRPr="00C900DF">
        <w:t>50.</w:t>
      </w:r>
      <w:r w:rsidRPr="00C900DF">
        <w:tab/>
        <w:t>Europaparlamentet noterar att datatillsynsmannen, när det gäller tillgängligheten till byggnaden, förlitar sig på de beslut som parlamentet fattar och genomför inom ramen för sin fastighetspolitik. Parlamentet uppmanar datatillsynsmannen att informera den ansvarsfrihetsbeviljande myndigheten om huruvida den också planerar att anställa praktikanter med nedsatt rörlighet eller funktionsnedsättning.</w:t>
      </w:r>
    </w:p>
    <w:p w14:paraId="5945F93C" w14:textId="77777777" w:rsidR="00096834" w:rsidRPr="00C900DF" w:rsidRDefault="00096834" w:rsidP="00096834">
      <w:pPr>
        <w:pStyle w:val="NormalHanging12a"/>
        <w:keepNext/>
        <w:rPr>
          <w:b/>
          <w:iCs/>
          <w:szCs w:val="24"/>
        </w:rPr>
      </w:pPr>
      <w:r w:rsidRPr="00C900DF">
        <w:rPr>
          <w:b/>
          <w:i/>
        </w:rPr>
        <w:t>Miljö och hållbarhet</w:t>
      </w:r>
    </w:p>
    <w:p w14:paraId="6C776536" w14:textId="77777777" w:rsidR="00096834" w:rsidRPr="00C900DF" w:rsidRDefault="00096834" w:rsidP="00096834">
      <w:pPr>
        <w:pStyle w:val="NormalHanging12a"/>
        <w:keepNext/>
        <w:widowControl/>
        <w:rPr>
          <w:bCs/>
          <w:iCs/>
          <w:szCs w:val="24"/>
        </w:rPr>
      </w:pPr>
      <w:r w:rsidRPr="00C900DF">
        <w:t>51.</w:t>
      </w:r>
      <w:r w:rsidRPr="00C900DF">
        <w:tab/>
        <w:t>Europaparlamentet noterar att datatillsynsmannen hyr en smart byggnad av parlamentet, vars miljöavtryck minskas genom flera åtgärder, bland annat en reglering av temperaturen som görs automatiskt och centralt. Parlamentet noterar att denna byggnad också är utrustad med solcellspaneler som genererar omkring 20 kWh el, vilket täckte 6,04 % av datatillsynsmannens totala förbrukning 2024.</w:t>
      </w:r>
    </w:p>
    <w:p w14:paraId="3B72B078" w14:textId="77777777" w:rsidR="00096834" w:rsidRPr="00C900DF" w:rsidRDefault="00096834" w:rsidP="00096834">
      <w:pPr>
        <w:pStyle w:val="NormalHanging12a"/>
      </w:pPr>
      <w:r w:rsidRPr="00C900DF">
        <w:t>52.</w:t>
      </w:r>
      <w:r w:rsidRPr="00C900DF">
        <w:tab/>
        <w:t xml:space="preserve">Europaparlamentet konstaterar att datatillsynsmannen inte har antagit miljölednings- och miljörevisionsordningen (Emas). Parlamentet noterar att datatillsynsmannen, i syfte att bli Emas-certifierad, inrättade en enhetsövergripande arbetsgrupp 2024 vars mål var att kartlägga befintliga åtgärder som redan genomförts av parlamentet, utveckla strategier för att minska koldioxidutsläppen och föreslå innovativa lösningar. Parlamentet uppmanar datatillsynsmannen att fastställa en tydlig tidsplan för att erhålla Emas-certifiering och att hålla den ansvarsfrihetsbeviljande myndigheten uppdaterad </w:t>
      </w:r>
      <w:r w:rsidRPr="00C900DF">
        <w:lastRenderedPageBreak/>
        <w:t>om de framsteg som görs i detta avseende.</w:t>
      </w:r>
    </w:p>
    <w:p w14:paraId="39E8BC24" w14:textId="77777777" w:rsidR="00096834" w:rsidRPr="00C900DF" w:rsidRDefault="00096834" w:rsidP="00096834">
      <w:pPr>
        <w:spacing w:after="240"/>
        <w:ind w:left="567" w:hanging="567"/>
      </w:pPr>
      <w:r w:rsidRPr="00C900DF">
        <w:t>53.</w:t>
      </w:r>
      <w:r w:rsidRPr="00C900DF">
        <w:tab/>
        <w:t>Europaparlamentet noterar utifrån frågeformuläret att datatillsynsmannen genomför den allra största delen av sin upphandling genom interinstitutionella ramavtal och, i egenskap av deltagande upphandlande myndighet, tillämpar de hållbarhetskriterier som fastställts av den ledande upphandlande myndigheten.</w:t>
      </w:r>
    </w:p>
    <w:p w14:paraId="30869509" w14:textId="77777777" w:rsidR="00096834" w:rsidRPr="00C900DF" w:rsidRDefault="00096834" w:rsidP="00096834">
      <w:pPr>
        <w:spacing w:after="240"/>
        <w:ind w:left="567" w:hanging="567"/>
      </w:pPr>
      <w:r w:rsidRPr="00C900DF">
        <w:t>54.</w:t>
      </w:r>
      <w:r w:rsidRPr="00C900DF">
        <w:tab/>
        <w:t>Europaparlamentet noterar utifrån frågeformuläret att reglerna i uppdragsbeskrivningen måste följas för alla affärsresor som görs av datatillsynsmannen. Parlamentet konstaterar att datatillsynsmannens personal främst reser i ekonomiklass och att de flesta resor äger rum inom unionen. Parlamentet välkomnar datatillsynsmannens insatser för att minska sitt koldioxidavtryck genom att uppmuntra personalen att utnyttja videokonferenser, tågresor för korta avstånd och kollektivtrafik när de reser till eller från flygplatsen eller på uppdragsplatsen.</w:t>
      </w:r>
    </w:p>
    <w:p w14:paraId="36103996" w14:textId="77777777" w:rsidR="00096834" w:rsidRPr="00C900DF" w:rsidRDefault="00096834" w:rsidP="00096834">
      <w:pPr>
        <w:spacing w:after="240"/>
        <w:ind w:left="567" w:hanging="567"/>
      </w:pPr>
      <w:r w:rsidRPr="00C900DF">
        <w:t>55.</w:t>
      </w:r>
      <w:r w:rsidRPr="00C900DF">
        <w:tab/>
        <w:t>Europaparlamentet noterar utifrån frågeformuläret att datatillsynsmannen håller på att genomföra en strategi för hållbar mobilitet som gör det möjligt för personalen att begära ersättning för 50 % av sina års- eller månadsbiljetter eller biljetter som gäller för flera resor för kollektivtrafik och tillhandahåller faciliteter som är anpassade till behoven hos den personal som använder cyklar.</w:t>
      </w:r>
    </w:p>
    <w:p w14:paraId="277DF5A0" w14:textId="77777777" w:rsidR="00096834" w:rsidRPr="00C900DF" w:rsidRDefault="00096834" w:rsidP="00096834">
      <w:pPr>
        <w:pStyle w:val="NormalHanging12a"/>
        <w:rPr>
          <w:b/>
          <w:i/>
          <w:szCs w:val="24"/>
        </w:rPr>
      </w:pPr>
      <w:r w:rsidRPr="00C900DF">
        <w:rPr>
          <w:b/>
          <w:i/>
        </w:rPr>
        <w:t>Interinstitutionellt samarbete</w:t>
      </w:r>
    </w:p>
    <w:p w14:paraId="2644D591" w14:textId="77777777" w:rsidR="00096834" w:rsidRPr="00C900DF" w:rsidRDefault="00096834" w:rsidP="00096834">
      <w:pPr>
        <w:pStyle w:val="NormalHanging12a"/>
        <w:rPr>
          <w:szCs w:val="24"/>
        </w:rPr>
      </w:pPr>
      <w:r w:rsidRPr="00C900DF">
        <w:t>56.</w:t>
      </w:r>
      <w:r w:rsidRPr="00C900DF">
        <w:tab/>
        <w:t>Europaparlamentet välkomnar de budgetmässiga och administrativa besparingar som datatillsynsmannen har uppnått genom interinstitutionellt samarbete, särskilt genom att ingå servicenivåavtal med parlamentet för hyra av lokaler och användning av it-systemapplikationer, maskinvara och underhåll, och med kommissionen för personal- och affärsförvaltningsprocesser, samt genom att delta i stora interinstitutionella ramavtal på områden som it-rådgivning, tillfälliga tjänster och kontorsmateriel. Parlamentet lovordar dessutom datatillsynsmannen för att ha upprätthållit ett strukturerat samarbete med Europeiska ombudsmannen, Europeiska byrån för grundläggande rättigheter och CERT-EU genom samförståndsavtal. Parlamentet noterar utifrån frågeformuläret att datatillsynsmannen också deltar i det interinstitutionella projektet för omvandling av personalresurser, som leds av kommissionen och som syftar till att digitalisera personalprocesserna, och noterar att genomförandet av detta projekt kommer att slutföras senast 2029.</w:t>
      </w:r>
    </w:p>
    <w:p w14:paraId="39C1D85E" w14:textId="77777777" w:rsidR="00096834" w:rsidRPr="00C900DF" w:rsidRDefault="00096834" w:rsidP="00096834">
      <w:pPr>
        <w:pStyle w:val="NormalHanging12a"/>
        <w:rPr>
          <w:szCs w:val="24"/>
        </w:rPr>
      </w:pPr>
      <w:r w:rsidRPr="00C900DF">
        <w:t>57.</w:t>
      </w:r>
      <w:r w:rsidRPr="00C900DF">
        <w:tab/>
        <w:t>Europaparlamentet noterar att datatillsynsmannen deltar i möten i olika interinstitutionella organ. Parlamentet välkomnar i detta sammanhang datatillsynsmannens deltagande i möten mellan förvaltningscheferna och den interinstitutionella kommittén för onlinekommunikation, under ledning av parlamentets generaldirektorat för kommunikation. Parlamentet erkänner att interinstitutionellt samarbete med datatillsynsmannen, inom ramen för dennes tillsynsroll, är av avgörande betydelse för att de andra unionsinstitutionerna ska kunna förbättra sin efterlevnad av den rättsliga ramen för dataskydd.</w:t>
      </w:r>
    </w:p>
    <w:p w14:paraId="5C966CEE" w14:textId="77777777" w:rsidR="00096834" w:rsidRPr="00C900DF" w:rsidRDefault="00096834" w:rsidP="00096834">
      <w:pPr>
        <w:pStyle w:val="NormalHanging12a"/>
        <w:rPr>
          <w:szCs w:val="24"/>
        </w:rPr>
      </w:pPr>
      <w:r w:rsidRPr="00C900DF">
        <w:t>58.</w:t>
      </w:r>
      <w:r w:rsidRPr="00C900DF">
        <w:tab/>
        <w:t xml:space="preserve">Europaparlamentet noterar från årsrapporten att EDPB under 2024 inledde sina samordnade verkställighetsåtgärder när det gäller enskilda personers rätt till tillgång till sina personuppgifter, med 30 deltagande dataskyddsmyndigheter i hela unionen och EES. Parlamentet noterar utifrån frågeformuläret att datatillsynsmannen deltog i denna verkställighetsåtgärd, men också fortsatte sitt arbete med </w:t>
      </w:r>
      <w:proofErr w:type="spellStart"/>
      <w:r w:rsidRPr="00C900DF">
        <w:t>EDPB:s</w:t>
      </w:r>
      <w:proofErr w:type="spellEnd"/>
      <w:r w:rsidRPr="00C900DF">
        <w:t xml:space="preserve"> samordnade </w:t>
      </w:r>
      <w:r w:rsidRPr="00C900DF">
        <w:lastRenderedPageBreak/>
        <w:t xml:space="preserve">verkställighetsåtgärder från 2023 om dataskyddsombudets roll. Parlamentet noterar datatillsynsmannens fortsatta aktiva deltagande i den samordnade tillsynskommitténs verksamhet under 2024 genom att bland annat ta på sig den samordnade tillsynskommitténs samordnande roll i två år, utarbeta en vägledning om samarbete vid hantering av Europols klagomål och övervaka utvecklingen av </w:t>
      </w:r>
      <w:proofErr w:type="spellStart"/>
      <w:r w:rsidRPr="00C900DF">
        <w:t>Etias</w:t>
      </w:r>
      <w:proofErr w:type="spellEnd"/>
      <w:r w:rsidRPr="00C900DF">
        <w:t>. Parlamentet noterar att datatillsynsmannen, i egenskap av medlem av EDPB, också samordnade en arbetsgrupp om samarbetet med konkurrens- och konsumentskyddsmyndigheter när det gäller samspelet mellan förordningen om digitala marknader</w:t>
      </w:r>
      <w:r w:rsidRPr="00C900DF">
        <w:rPr>
          <w:rStyle w:val="FootnoteReference"/>
          <w:szCs w:val="24"/>
        </w:rPr>
        <w:footnoteReference w:id="11"/>
      </w:r>
      <w:r w:rsidRPr="00C900DF">
        <w:t xml:space="preserve"> och den allmänna dataskyddsförordningen</w:t>
      </w:r>
      <w:r w:rsidRPr="00C900DF">
        <w:rPr>
          <w:rStyle w:val="FootnoteReference"/>
          <w:szCs w:val="24"/>
        </w:rPr>
        <w:footnoteReference w:id="12"/>
      </w:r>
      <w:r w:rsidRPr="00C900DF">
        <w:t>.</w:t>
      </w:r>
    </w:p>
    <w:p w14:paraId="11DDDE0D" w14:textId="77777777" w:rsidR="00096834" w:rsidRPr="00C900DF" w:rsidRDefault="00096834" w:rsidP="00096834">
      <w:pPr>
        <w:pStyle w:val="NormalHanging12a"/>
        <w:rPr>
          <w:szCs w:val="24"/>
        </w:rPr>
      </w:pPr>
      <w:r w:rsidRPr="00C900DF">
        <w:t>59.</w:t>
      </w:r>
      <w:r w:rsidRPr="00C900DF">
        <w:tab/>
        <w:t>Europaparlamentet noterar från frågeformuläret och uppföljningsrapporten att gemensam verksamhet med Olaf, Europeiska åklagarmyndigheten (</w:t>
      </w:r>
      <w:proofErr w:type="spellStart"/>
      <w:r w:rsidRPr="00C900DF">
        <w:t>Eppo</w:t>
      </w:r>
      <w:proofErr w:type="spellEnd"/>
      <w:r w:rsidRPr="00C900DF">
        <w:t>) och revisionsrätten, och initiativ på området upptäckt av bedrägerier, inte omfattas av datatillsynsmannens mandat.</w:t>
      </w:r>
    </w:p>
    <w:p w14:paraId="079C484E" w14:textId="77777777" w:rsidR="00096834" w:rsidRPr="00C900DF" w:rsidRDefault="00096834" w:rsidP="00096834">
      <w:pPr>
        <w:pStyle w:val="NormalHanging12a"/>
        <w:rPr>
          <w:b/>
          <w:i/>
          <w:szCs w:val="24"/>
        </w:rPr>
      </w:pPr>
      <w:r w:rsidRPr="00C900DF">
        <w:rPr>
          <w:b/>
          <w:i/>
        </w:rPr>
        <w:t>Kommunikation</w:t>
      </w:r>
    </w:p>
    <w:p w14:paraId="118E98ED" w14:textId="77777777" w:rsidR="00096834" w:rsidRPr="00C900DF" w:rsidRDefault="00096834" w:rsidP="00096834">
      <w:pPr>
        <w:pStyle w:val="NormalHanging12a"/>
        <w:rPr>
          <w:szCs w:val="24"/>
        </w:rPr>
      </w:pPr>
      <w:r w:rsidRPr="00C900DF">
        <w:t>60.</w:t>
      </w:r>
      <w:r w:rsidRPr="00C900DF">
        <w:tab/>
        <w:t>Europaparlamentet noterar att budgeten för offentlig kommunikation och PR-verksamhet under 2024 uppgick till 425 000 EUR, vilket var en ökning med omkring 9,20 % jämfört med 2023.</w:t>
      </w:r>
    </w:p>
    <w:p w14:paraId="268D859B" w14:textId="77777777" w:rsidR="00096834" w:rsidRPr="00C900DF" w:rsidRDefault="00096834" w:rsidP="00096834">
      <w:pPr>
        <w:pStyle w:val="NormalHanging12a"/>
        <w:rPr>
          <w:szCs w:val="24"/>
        </w:rPr>
      </w:pPr>
      <w:r w:rsidRPr="00C900DF">
        <w:t>61.</w:t>
      </w:r>
      <w:r w:rsidRPr="00C900DF">
        <w:tab/>
        <w:t xml:space="preserve">Europaparlamentet noterar med tillfredsställelse att datatillsynsmannen anordnade och deltog i flera kommunikationsevenemang både online och på plats under 2024 i syfte att öka kunskaperna om datatillsynsmannens roll och uppdrag bland en bredare allmänhet och vikten av att respektera unionens dataskyddsregler, såsom dataskyddsdagen, datatillsynsmannens praktikantkonferens (två gånger om året), toppmötet mellan datatillsynsmannen och det civila samhället och Global </w:t>
      </w:r>
      <w:proofErr w:type="spellStart"/>
      <w:r w:rsidRPr="00C900DF">
        <w:t>Privacy</w:t>
      </w:r>
      <w:proofErr w:type="spellEnd"/>
      <w:r w:rsidRPr="00C900DF">
        <w:t xml:space="preserve"> </w:t>
      </w:r>
      <w:proofErr w:type="spellStart"/>
      <w:r w:rsidRPr="00C900DF">
        <w:t>Assembly</w:t>
      </w:r>
      <w:proofErr w:type="spellEnd"/>
      <w:r w:rsidRPr="00C900DF">
        <w:t>.</w:t>
      </w:r>
    </w:p>
    <w:p w14:paraId="1E4B460E" w14:textId="77777777" w:rsidR="00096834" w:rsidRPr="00C900DF" w:rsidRDefault="00096834" w:rsidP="00096834">
      <w:pPr>
        <w:pStyle w:val="NormalHanging12a"/>
        <w:widowControl/>
        <w:rPr>
          <w:szCs w:val="24"/>
        </w:rPr>
      </w:pPr>
      <w:r w:rsidRPr="00C900DF">
        <w:t>62.</w:t>
      </w:r>
      <w:r w:rsidRPr="00C900DF">
        <w:tab/>
        <w:t xml:space="preserve">Europaparlamentet noterar att datatillsynsmannen kommunicerar online via sin webbplats och sina konton på sociala medier på X (f.d. Twitter) (28 800 följare), LinkedIn (82 800 följare), YouTube (3 400 följare) och </w:t>
      </w:r>
      <w:proofErr w:type="spellStart"/>
      <w:r w:rsidRPr="00C900DF">
        <w:t>Instagram</w:t>
      </w:r>
      <w:proofErr w:type="spellEnd"/>
      <w:r w:rsidRPr="00C900DF">
        <w:t xml:space="preserve"> (300 följare).</w:t>
      </w:r>
    </w:p>
    <w:p w14:paraId="48CB4A26" w14:textId="1FCFCF61" w:rsidR="00C900DF" w:rsidRPr="00C900DF" w:rsidRDefault="00096834" w:rsidP="00C900DF">
      <w:pPr>
        <w:pStyle w:val="NormalHanging12a"/>
        <w:rPr>
          <w:sz w:val="28"/>
          <w:lang w:eastAsia="fr-FR"/>
        </w:rPr>
      </w:pPr>
      <w:r w:rsidRPr="00C900DF">
        <w:t>63.</w:t>
      </w:r>
      <w:r w:rsidRPr="00C900DF">
        <w:tab/>
        <w:t xml:space="preserve">Europaparlamentet noterar att pilotprojektet med plattformarna EU-Voice och EU-Video (fria sociala medier med öppen källkod, integritetsorienterade och baserade på programvarorna </w:t>
      </w:r>
      <w:proofErr w:type="spellStart"/>
      <w:r w:rsidRPr="00C900DF">
        <w:t>Mastodon</w:t>
      </w:r>
      <w:proofErr w:type="spellEnd"/>
      <w:r w:rsidRPr="00C900DF">
        <w:t xml:space="preserve"> och </w:t>
      </w:r>
      <w:proofErr w:type="spellStart"/>
      <w:r w:rsidRPr="00C900DF">
        <w:t>PeerTube</w:t>
      </w:r>
      <w:proofErr w:type="spellEnd"/>
      <w:r w:rsidRPr="00C900DF">
        <w:t xml:space="preserve">) avslutades under 2024. Parlamentet noterar att datatillsynsmannen underlättade en smidig migration för de EU-institutioner, EU-organ och EU-byråer som ville behålla sina konton, vilket säkerställde kontinuitet för användarna. Parlamentet noterar att man på grundval av pilotprojektets framgång förberedde sig för att återuppta </w:t>
      </w:r>
      <w:proofErr w:type="spellStart"/>
      <w:r w:rsidRPr="00C900DF">
        <w:t>Mastodon</w:t>
      </w:r>
      <w:proofErr w:type="spellEnd"/>
      <w:r w:rsidRPr="00C900DF">
        <w:t xml:space="preserve"> 2025. Parlamentet välkomnar i detta sammanhang datatillsynsmannens bidrag till unionens strategi för datamässig och digital suveränitet för att främja unionens oberoende i den digitala världen och </w:t>
      </w:r>
      <w:r w:rsidRPr="00C900DF">
        <w:lastRenderedPageBreak/>
        <w:t>efterlevnaden av den rättsliga ramen för dataskydd.</w:t>
      </w:r>
    </w:p>
    <w:p w14:paraId="088628A3" w14:textId="0D5699EA" w:rsidR="00E365E1" w:rsidRPr="00C900DF" w:rsidRDefault="00E365E1" w:rsidP="00096834">
      <w:pPr>
        <w:rPr>
          <w:sz w:val="28"/>
          <w:lang w:eastAsia="fr-FR"/>
        </w:rPr>
      </w:pPr>
    </w:p>
    <w:sectPr w:rsidR="00E365E1" w:rsidRPr="00C900DF" w:rsidSect="00C900DF">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55A01" w14:textId="77777777" w:rsidR="00933A61" w:rsidRPr="00C900DF" w:rsidRDefault="00933A61">
      <w:r w:rsidRPr="00C900DF">
        <w:separator/>
      </w:r>
    </w:p>
  </w:endnote>
  <w:endnote w:type="continuationSeparator" w:id="0">
    <w:p w14:paraId="21A9EA42" w14:textId="77777777" w:rsidR="00933A61" w:rsidRPr="00C900DF" w:rsidRDefault="00933A61">
      <w:r w:rsidRPr="00C90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C2F8" w14:textId="77777777" w:rsidR="00096834" w:rsidRPr="00C900DF" w:rsidRDefault="00096834" w:rsidP="00323583">
    <w:pPr>
      <w:pStyle w:val="EPFooter"/>
    </w:pPr>
    <w:r w:rsidRPr="00C900DF">
      <w:t>PE</w:t>
    </w:r>
    <w:r w:rsidRPr="00C900DF">
      <w:rPr>
        <w:rStyle w:val="HideTWBExt"/>
      </w:rPr>
      <w:t>&lt;</w:t>
    </w:r>
    <w:proofErr w:type="spellStart"/>
    <w:r w:rsidRPr="00C900DF">
      <w:rPr>
        <w:rStyle w:val="HideTWBExt"/>
      </w:rPr>
      <w:t>NoPE</w:t>
    </w:r>
    <w:proofErr w:type="spellEnd"/>
    <w:r w:rsidRPr="00C900DF">
      <w:rPr>
        <w:rStyle w:val="HideTWBExt"/>
      </w:rPr>
      <w:t>&gt;</w:t>
    </w:r>
    <w:r w:rsidRPr="00C900DF">
      <w:t>778.066</w:t>
    </w:r>
    <w:r w:rsidRPr="00C900DF">
      <w:rPr>
        <w:rStyle w:val="HideTWBExt"/>
      </w:rPr>
      <w:t>&lt;/</w:t>
    </w:r>
    <w:proofErr w:type="spellStart"/>
    <w:r w:rsidRPr="00C900DF">
      <w:rPr>
        <w:rStyle w:val="HideTWBExt"/>
      </w:rPr>
      <w:t>NoPE</w:t>
    </w:r>
    <w:proofErr w:type="spellEnd"/>
    <w:r w:rsidRPr="00C900DF">
      <w:rPr>
        <w:rStyle w:val="HideTWBExt"/>
      </w:rPr>
      <w:t>&gt;&lt;Version&gt;</w:t>
    </w:r>
    <w:r w:rsidRPr="00C900DF">
      <w:t>v02-00</w:t>
    </w:r>
    <w:r w:rsidRPr="00C900DF">
      <w:rPr>
        <w:rStyle w:val="HideTWBExt"/>
      </w:rPr>
      <w:t>&lt;/Version&gt;</w:t>
    </w:r>
    <w:r w:rsidRPr="00C900DF">
      <w:tab/>
    </w:r>
    <w:r w:rsidRPr="00C900DF">
      <w:fldChar w:fldCharType="begin"/>
    </w:r>
    <w:r w:rsidRPr="00C900DF">
      <w:instrText xml:space="preserve"> PAGE  \* MERGEFORMAT </w:instrText>
    </w:r>
    <w:r w:rsidRPr="00C900DF">
      <w:fldChar w:fldCharType="separate"/>
    </w:r>
    <w:r w:rsidRPr="00C900DF">
      <w:rPr>
        <w:noProof/>
      </w:rPr>
      <w:t>2</w:t>
    </w:r>
    <w:r w:rsidRPr="00C900DF">
      <w:fldChar w:fldCharType="end"/>
    </w:r>
    <w:r w:rsidRPr="00C900DF">
      <w:t>/</w:t>
    </w:r>
    <w:r w:rsidR="00FF065B">
      <w:fldChar w:fldCharType="begin"/>
    </w:r>
    <w:r w:rsidR="00FF065B">
      <w:instrText xml:space="preserve"> NUMPAGES  \* MERGEFORMAT </w:instrText>
    </w:r>
    <w:r w:rsidR="00FF065B">
      <w:fldChar w:fldCharType="separate"/>
    </w:r>
    <w:r w:rsidRPr="00C900DF">
      <w:rPr>
        <w:noProof/>
      </w:rPr>
      <w:t>26</w:t>
    </w:r>
    <w:r w:rsidR="00FF065B">
      <w:rPr>
        <w:noProof/>
      </w:rPr>
      <w:fldChar w:fldCharType="end"/>
    </w:r>
    <w:r w:rsidRPr="00C900DF">
      <w:tab/>
    </w:r>
    <w:r w:rsidRPr="00C900DF">
      <w:rPr>
        <w:rStyle w:val="HideTWBExt"/>
      </w:rPr>
      <w:t>&lt;PathFdR&gt;</w:t>
    </w:r>
    <w:r w:rsidRPr="00C900DF">
      <w:t>RR\1339480SV.docx</w:t>
    </w:r>
    <w:r w:rsidRPr="00C900DF">
      <w:rPr>
        <w:rStyle w:val="HideTWBExt"/>
      </w:rPr>
      <w:t>&lt;/</w:t>
    </w:r>
    <w:proofErr w:type="spellStart"/>
    <w:r w:rsidRPr="00C900DF">
      <w:rPr>
        <w:rStyle w:val="HideTWBExt"/>
      </w:rPr>
      <w:t>PathFdR</w:t>
    </w:r>
    <w:proofErr w:type="spellEnd"/>
    <w:r w:rsidRPr="00C900DF">
      <w:rPr>
        <w:rStyle w:val="HideTWBExt"/>
      </w:rPr>
      <w:t>&gt;</w:t>
    </w:r>
  </w:p>
  <w:p w14:paraId="501E5240" w14:textId="77777777" w:rsidR="00096834" w:rsidRPr="00C900DF" w:rsidRDefault="00096834" w:rsidP="00323583">
    <w:pPr>
      <w:pStyle w:val="EPFooter2"/>
    </w:pPr>
    <w:r w:rsidRPr="00C900D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C30E" w14:textId="17C5BCFF" w:rsidR="00096834" w:rsidRPr="00C900DF" w:rsidRDefault="00096834" w:rsidP="0032358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74D8" w14:textId="77777777" w:rsidR="00096834" w:rsidRPr="00C900DF" w:rsidRDefault="00096834" w:rsidP="00323583">
    <w:pPr>
      <w:pStyle w:val="EPFooter"/>
    </w:pPr>
    <w:r w:rsidRPr="00C900DF">
      <w:rPr>
        <w:rStyle w:val="HideTWBExt"/>
      </w:rPr>
      <w:t>&lt;PathFdR&gt;</w:t>
    </w:r>
    <w:r w:rsidRPr="00C900DF">
      <w:t>RR\1339480SV.docx</w:t>
    </w:r>
    <w:r w:rsidRPr="00C900DF">
      <w:rPr>
        <w:rStyle w:val="HideTWBExt"/>
      </w:rPr>
      <w:t>&lt;/</w:t>
    </w:r>
    <w:proofErr w:type="spellStart"/>
    <w:r w:rsidRPr="00C900DF">
      <w:rPr>
        <w:rStyle w:val="HideTWBExt"/>
      </w:rPr>
      <w:t>PathFdR</w:t>
    </w:r>
    <w:proofErr w:type="spellEnd"/>
    <w:r w:rsidRPr="00C900DF">
      <w:rPr>
        <w:rStyle w:val="HideTWBExt"/>
      </w:rPr>
      <w:t>&gt;</w:t>
    </w:r>
    <w:r w:rsidRPr="00C900DF">
      <w:tab/>
    </w:r>
    <w:r w:rsidRPr="00C900DF">
      <w:tab/>
      <w:t>PE</w:t>
    </w:r>
    <w:r w:rsidRPr="00C900DF">
      <w:rPr>
        <w:rStyle w:val="HideTWBExt"/>
      </w:rPr>
      <w:t>&lt;</w:t>
    </w:r>
    <w:proofErr w:type="spellStart"/>
    <w:r w:rsidRPr="00C900DF">
      <w:rPr>
        <w:rStyle w:val="HideTWBExt"/>
      </w:rPr>
      <w:t>NoPE</w:t>
    </w:r>
    <w:proofErr w:type="spellEnd"/>
    <w:r w:rsidRPr="00C900DF">
      <w:rPr>
        <w:rStyle w:val="HideTWBExt"/>
      </w:rPr>
      <w:t>&gt;</w:t>
    </w:r>
    <w:r w:rsidRPr="00C900DF">
      <w:t>778.066</w:t>
    </w:r>
    <w:r w:rsidRPr="00C900DF">
      <w:rPr>
        <w:rStyle w:val="HideTWBExt"/>
      </w:rPr>
      <w:t>&lt;/</w:t>
    </w:r>
    <w:proofErr w:type="spellStart"/>
    <w:r w:rsidRPr="00C900DF">
      <w:rPr>
        <w:rStyle w:val="HideTWBExt"/>
      </w:rPr>
      <w:t>NoPE</w:t>
    </w:r>
    <w:proofErr w:type="spellEnd"/>
    <w:r w:rsidRPr="00C900DF">
      <w:rPr>
        <w:rStyle w:val="HideTWBExt"/>
      </w:rPr>
      <w:t>&gt;&lt;Version&gt;</w:t>
    </w:r>
    <w:r w:rsidRPr="00C900DF">
      <w:t>v02-00</w:t>
    </w:r>
    <w:r w:rsidRPr="00C900DF">
      <w:rPr>
        <w:rStyle w:val="HideTWBExt"/>
      </w:rPr>
      <w:t>&lt;/Version&gt;</w:t>
    </w:r>
  </w:p>
  <w:p w14:paraId="49014B99" w14:textId="77777777" w:rsidR="00096834" w:rsidRPr="00C900DF" w:rsidRDefault="00096834" w:rsidP="00323583">
    <w:pPr>
      <w:pStyle w:val="EPFooter2"/>
    </w:pPr>
    <w:r w:rsidRPr="00C900DF">
      <w:t>SV</w:t>
    </w:r>
    <w:r w:rsidRPr="00C900DF">
      <w:tab/>
    </w:r>
    <w:r w:rsidRPr="00C900DF">
      <w:rPr>
        <w:b w:val="0"/>
        <w:i/>
        <w:color w:val="C0C0C0"/>
        <w:sz w:val="22"/>
      </w:rPr>
      <w:t>Förenade i mångfalden</w:t>
    </w:r>
    <w:r w:rsidRPr="00C900DF">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EEB6" w14:textId="77777777" w:rsidR="00064002" w:rsidRPr="00C900D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1EB2" w14:textId="77777777" w:rsidR="00064002" w:rsidRPr="00C900D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8D2F" w14:textId="77777777" w:rsidR="00064002" w:rsidRPr="00C900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2C100" w14:textId="77777777" w:rsidR="00933A61" w:rsidRPr="00C900DF" w:rsidRDefault="00933A61">
      <w:r w:rsidRPr="00C900DF">
        <w:separator/>
      </w:r>
    </w:p>
  </w:footnote>
  <w:footnote w:type="continuationSeparator" w:id="0">
    <w:p w14:paraId="4CC783B6" w14:textId="77777777" w:rsidR="00933A61" w:rsidRPr="00C900DF" w:rsidRDefault="00933A61">
      <w:r w:rsidRPr="00C900DF">
        <w:continuationSeparator/>
      </w:r>
    </w:p>
  </w:footnote>
  <w:footnote w:id="1">
    <w:p w14:paraId="3A970A97" w14:textId="21D7BB4A"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EUT L</w:t>
      </w:r>
      <w:r w:rsidR="00FF065B">
        <w:rPr>
          <w:sz w:val="24"/>
          <w:lang w:val="fi-FI"/>
        </w:rPr>
        <w:t>,</w:t>
      </w:r>
      <w:r w:rsidRPr="00AD20FE">
        <w:rPr>
          <w:sz w:val="24"/>
          <w:lang w:val="fi-FI"/>
        </w:rPr>
        <w:t xml:space="preserve"> </w:t>
      </w:r>
      <w:r w:rsidR="00E91662">
        <w:rPr>
          <w:sz w:val="24"/>
          <w:lang w:val="fi-FI"/>
        </w:rPr>
        <w:t>2024/</w:t>
      </w:r>
      <w:r w:rsidRPr="00AD20FE">
        <w:rPr>
          <w:sz w:val="24"/>
          <w:lang w:val="fi-FI"/>
        </w:rPr>
        <w:t xml:space="preserve">207, 22.2.2024, ELI: </w:t>
      </w:r>
      <w:hyperlink r:id="rId1" w:history="1">
        <w:r w:rsidRPr="00AD20FE">
          <w:rPr>
            <w:rStyle w:val="Hyperlink"/>
            <w:sz w:val="24"/>
            <w:lang w:val="fi-FI"/>
          </w:rPr>
          <w:t>http://data.europa.eu/eli/budget/2024/207/oj</w:t>
        </w:r>
      </w:hyperlink>
      <w:r w:rsidRPr="00AD20FE">
        <w:rPr>
          <w:sz w:val="24"/>
          <w:lang w:val="fi-FI"/>
        </w:rPr>
        <w:t>.</w:t>
      </w:r>
    </w:p>
  </w:footnote>
  <w:footnote w:id="2">
    <w:p w14:paraId="4F7E0B03" w14:textId="700A9DEA" w:rsidR="00096834" w:rsidRPr="00AD20FE" w:rsidRDefault="00096834" w:rsidP="00C900DF">
      <w:pPr>
        <w:pStyle w:val="FootnoteText"/>
        <w:ind w:left="567" w:hanging="567"/>
        <w:rPr>
          <w:sz w:val="24"/>
          <w:lang w:val="fr-BE"/>
        </w:rPr>
      </w:pPr>
      <w:r w:rsidRPr="00C900DF">
        <w:rPr>
          <w:rStyle w:val="FootnoteReference"/>
          <w:sz w:val="24"/>
          <w:lang w:val="sv-SE"/>
        </w:rPr>
        <w:footnoteRef/>
      </w:r>
      <w:r w:rsidR="00C900DF" w:rsidRPr="00AD20FE">
        <w:rPr>
          <w:sz w:val="24"/>
          <w:lang w:val="fr-BE"/>
        </w:rPr>
        <w:t xml:space="preserve"> </w:t>
      </w:r>
      <w:r w:rsidR="00C900DF" w:rsidRPr="00AD20FE">
        <w:rPr>
          <w:sz w:val="24"/>
          <w:lang w:val="fr-BE"/>
        </w:rPr>
        <w:tab/>
      </w:r>
      <w:r w:rsidRPr="00AD20FE">
        <w:rPr>
          <w:sz w:val="24"/>
          <w:lang w:val="fr-BE"/>
        </w:rPr>
        <w:t>EUT C, C/2025/4944, 13.10.2025, ELI: </w:t>
      </w:r>
      <w:hyperlink r:id="rId2" w:tgtFrame="_blank" w:tooltip="Ger tillgång till detta dokument via dess ELI URI." w:history="1">
        <w:r w:rsidRPr="00AD20FE">
          <w:rPr>
            <w:rStyle w:val="Hyperlink"/>
            <w:sz w:val="24"/>
            <w:lang w:val="fr-BE"/>
          </w:rPr>
          <w:t>http://data.europa.eu/eli/C/2025/4944/oj</w:t>
        </w:r>
      </w:hyperlink>
      <w:r w:rsidRPr="00AD20FE">
        <w:rPr>
          <w:sz w:val="24"/>
          <w:lang w:val="fr-BE"/>
        </w:rPr>
        <w:t>.</w:t>
      </w:r>
    </w:p>
  </w:footnote>
  <w:footnote w:id="3">
    <w:p w14:paraId="317948DC" w14:textId="0B86A706"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 xml:space="preserve">EUT C, C/2025/5409, 8.10.2025, ELI: </w:t>
      </w:r>
      <w:hyperlink r:id="rId3" w:history="1">
        <w:r w:rsidRPr="00AD20FE">
          <w:rPr>
            <w:rStyle w:val="Hyperlink"/>
            <w:sz w:val="24"/>
            <w:lang w:val="fi-FI"/>
          </w:rPr>
          <w:t>http://data.europa.eu/eli/C/2025/5409/oj</w:t>
        </w:r>
      </w:hyperlink>
      <w:r w:rsidRPr="00AD20FE">
        <w:rPr>
          <w:sz w:val="24"/>
          <w:lang w:val="fi-FI"/>
        </w:rPr>
        <w:t>.</w:t>
      </w:r>
    </w:p>
  </w:footnote>
  <w:footnote w:id="4">
    <w:p w14:paraId="14ECE070" w14:textId="05FE2E1C"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 xml:space="preserve">EUT C, C/2025/5407, 13.10.2025, ELI: </w:t>
      </w:r>
      <w:hyperlink r:id="rId4" w:history="1">
        <w:r w:rsidRPr="00AD20FE">
          <w:rPr>
            <w:rStyle w:val="Hyperlink"/>
            <w:sz w:val="24"/>
            <w:lang w:val="fi-FI"/>
          </w:rPr>
          <w:t>http://data.europa.eu/eli/C/2025/5407/oj</w:t>
        </w:r>
      </w:hyperlink>
      <w:r w:rsidRPr="00AD20FE">
        <w:rPr>
          <w:sz w:val="24"/>
          <w:lang w:val="fi-FI"/>
        </w:rPr>
        <w:t>.</w:t>
      </w:r>
    </w:p>
  </w:footnote>
  <w:footnote w:id="5">
    <w:p w14:paraId="5E6AEB39" w14:textId="599B9407"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 xml:space="preserve">EUT L 193, 30.7.2018, </w:t>
      </w:r>
      <w:r w:rsidR="00FF065B">
        <w:rPr>
          <w:sz w:val="24"/>
          <w:lang w:val="fi-FI"/>
        </w:rPr>
        <w:t>s</w:t>
      </w:r>
      <w:r w:rsidRPr="00AD20FE">
        <w:rPr>
          <w:sz w:val="24"/>
          <w:lang w:val="fi-FI"/>
        </w:rPr>
        <w:t xml:space="preserve">. 1, ELI: </w:t>
      </w:r>
      <w:hyperlink r:id="rId5" w:history="1">
        <w:r w:rsidRPr="00AD20FE">
          <w:rPr>
            <w:rStyle w:val="Hyperlink"/>
            <w:sz w:val="24"/>
            <w:lang w:val="fi-FI"/>
          </w:rPr>
          <w:t>http://data.europa.eu/eli/reg/2018/1046/oj</w:t>
        </w:r>
      </w:hyperlink>
      <w:r w:rsidRPr="00AD20FE">
        <w:rPr>
          <w:sz w:val="24"/>
          <w:lang w:val="fi-FI"/>
        </w:rPr>
        <w:t>.</w:t>
      </w:r>
    </w:p>
  </w:footnote>
  <w:footnote w:id="6">
    <w:p w14:paraId="46CECEEF" w14:textId="51DCF210"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 xml:space="preserve">EUT L, 2024/2509, 26.9.2024, ELI: </w:t>
      </w:r>
      <w:hyperlink r:id="rId6" w:history="1">
        <w:r w:rsidRPr="00AD20FE">
          <w:rPr>
            <w:rStyle w:val="Hyperlink"/>
            <w:sz w:val="24"/>
            <w:lang w:val="fi-FI"/>
          </w:rPr>
          <w:t>http://data.europa.eu/eli/reg/2024/2509/oj</w:t>
        </w:r>
      </w:hyperlink>
      <w:r w:rsidRPr="00AD20FE">
        <w:rPr>
          <w:sz w:val="24"/>
          <w:lang w:val="fi-FI"/>
        </w:rPr>
        <w:t>.</w:t>
      </w:r>
    </w:p>
  </w:footnote>
  <w:footnote w:id="7">
    <w:p w14:paraId="06E58FE1" w14:textId="24D4CCDC" w:rsidR="00096834" w:rsidRPr="00AD20FE" w:rsidRDefault="00096834" w:rsidP="00C900DF">
      <w:pPr>
        <w:pStyle w:val="FootnoteText"/>
        <w:ind w:left="567" w:hanging="567"/>
        <w:rPr>
          <w:sz w:val="24"/>
          <w:lang w:val="fi-FI"/>
        </w:rPr>
      </w:pPr>
      <w:r w:rsidRPr="00C900DF">
        <w:rPr>
          <w:rStyle w:val="FootnoteReference"/>
          <w:sz w:val="24"/>
          <w:lang w:val="sv-SE"/>
        </w:rPr>
        <w:footnoteRef/>
      </w:r>
      <w:r w:rsidR="00C900DF" w:rsidRPr="00AD20FE">
        <w:rPr>
          <w:sz w:val="24"/>
          <w:lang w:val="fi-FI"/>
        </w:rPr>
        <w:t xml:space="preserve"> </w:t>
      </w:r>
      <w:r w:rsidR="00C900DF" w:rsidRPr="00AD20FE">
        <w:rPr>
          <w:sz w:val="24"/>
          <w:lang w:val="fi-FI"/>
        </w:rPr>
        <w:tab/>
      </w:r>
      <w:r w:rsidRPr="00AD20FE">
        <w:rPr>
          <w:sz w:val="24"/>
          <w:lang w:val="fi-FI"/>
        </w:rPr>
        <w:t xml:space="preserve">EUT L 295, 21.11.2018, s. 39, ELI: </w:t>
      </w:r>
      <w:hyperlink r:id="rId7" w:history="1">
        <w:r w:rsidRPr="00AD20FE">
          <w:rPr>
            <w:rStyle w:val="Hyperlink"/>
            <w:sz w:val="24"/>
            <w:lang w:val="fi-FI"/>
          </w:rPr>
          <w:t>http://data.europa.eu/eli/reg/2018/1725/oj</w:t>
        </w:r>
      </w:hyperlink>
      <w:r w:rsidRPr="00AD20FE">
        <w:rPr>
          <w:sz w:val="24"/>
          <w:lang w:val="fi-FI"/>
        </w:rPr>
        <w:t>.</w:t>
      </w:r>
    </w:p>
  </w:footnote>
  <w:footnote w:id="8">
    <w:p w14:paraId="2FCD512E" w14:textId="00D2EB89" w:rsidR="00096834" w:rsidRPr="00C900DF" w:rsidRDefault="00096834" w:rsidP="00C900DF">
      <w:pPr>
        <w:pStyle w:val="FootnoteText"/>
        <w:ind w:left="567" w:hanging="567"/>
        <w:rPr>
          <w:sz w:val="24"/>
          <w:lang w:val="sv-SE"/>
        </w:rPr>
      </w:pPr>
      <w:r w:rsidRPr="00C900DF">
        <w:rPr>
          <w:rStyle w:val="FootnoteReference"/>
          <w:sz w:val="24"/>
          <w:lang w:val="sv-SE"/>
        </w:rPr>
        <w:footnoteRef/>
      </w:r>
      <w:r w:rsidR="00C900DF" w:rsidRPr="00C900DF">
        <w:rPr>
          <w:sz w:val="24"/>
          <w:lang w:val="sv-SE"/>
        </w:rPr>
        <w:t xml:space="preserve"> </w:t>
      </w:r>
      <w:r w:rsidR="00C900DF" w:rsidRPr="00C900DF">
        <w:rPr>
          <w:sz w:val="24"/>
          <w:lang w:val="sv-SE"/>
        </w:rPr>
        <w:tab/>
      </w:r>
      <w:r w:rsidRPr="00C900DF">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8" w:history="1">
        <w:r w:rsidRPr="00C900DF">
          <w:rPr>
            <w:rStyle w:val="Hyperlink"/>
            <w:sz w:val="24"/>
            <w:lang w:val="sv-SE"/>
          </w:rPr>
          <w:t>http://data.europa.eu/eli/reg/2024/1689/oj</w:t>
        </w:r>
      </w:hyperlink>
      <w:r w:rsidRPr="00C900DF">
        <w:rPr>
          <w:sz w:val="24"/>
          <w:lang w:val="sv-SE"/>
        </w:rPr>
        <w:t>).</w:t>
      </w:r>
    </w:p>
  </w:footnote>
  <w:footnote w:id="9">
    <w:p w14:paraId="72B00C27" w14:textId="14FECBD7" w:rsidR="00096834" w:rsidRPr="00C900DF" w:rsidRDefault="00096834" w:rsidP="00C900DF">
      <w:pPr>
        <w:pStyle w:val="FootnoteText"/>
        <w:ind w:left="567" w:hanging="567"/>
        <w:rPr>
          <w:sz w:val="24"/>
          <w:lang w:val="sv-SE"/>
        </w:rPr>
      </w:pPr>
      <w:r w:rsidRPr="00C900DF">
        <w:rPr>
          <w:rStyle w:val="FootnoteReference"/>
          <w:sz w:val="24"/>
          <w:lang w:val="sv-SE"/>
        </w:rPr>
        <w:footnoteRef/>
      </w:r>
      <w:r w:rsidR="00C900DF" w:rsidRPr="00C900DF">
        <w:rPr>
          <w:sz w:val="24"/>
          <w:lang w:val="sv-SE"/>
        </w:rPr>
        <w:t xml:space="preserve"> </w:t>
      </w:r>
      <w:r w:rsidR="00C900DF" w:rsidRPr="00C900DF">
        <w:rPr>
          <w:sz w:val="24"/>
          <w:lang w:val="sv-SE"/>
        </w:rPr>
        <w:tab/>
      </w:r>
      <w:r w:rsidRPr="00C900DF">
        <w:rPr>
          <w:sz w:val="24"/>
          <w:lang w:val="sv-SE"/>
        </w:rPr>
        <w:t xml:space="preserve">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 ELI: </w:t>
      </w:r>
      <w:hyperlink r:id="rId9" w:history="1">
        <w:r w:rsidRPr="00C900DF">
          <w:rPr>
            <w:rStyle w:val="Hyperlink"/>
            <w:sz w:val="24"/>
            <w:lang w:val="sv-SE"/>
          </w:rPr>
          <w:t>http://data.europa.eu/eli/reg/2016/794/oj</w:t>
        </w:r>
      </w:hyperlink>
      <w:r w:rsidRPr="00C900DF">
        <w:rPr>
          <w:sz w:val="24"/>
          <w:lang w:val="sv-SE"/>
        </w:rPr>
        <w:t>).</w:t>
      </w:r>
    </w:p>
  </w:footnote>
  <w:footnote w:id="10">
    <w:p w14:paraId="66CF2814" w14:textId="35D7DE8C" w:rsidR="00096834" w:rsidRPr="00C900DF" w:rsidRDefault="00096834" w:rsidP="00C900DF">
      <w:pPr>
        <w:pStyle w:val="FootnoteText"/>
        <w:ind w:left="567" w:hanging="567"/>
        <w:rPr>
          <w:sz w:val="24"/>
          <w:lang w:val="sv-SE"/>
        </w:rPr>
      </w:pPr>
      <w:r w:rsidRPr="00C900DF">
        <w:rPr>
          <w:rStyle w:val="FootnoteReference"/>
          <w:sz w:val="24"/>
          <w:lang w:val="sv-SE"/>
        </w:rPr>
        <w:footnoteRef/>
      </w:r>
      <w:r w:rsidR="00C900DF" w:rsidRPr="00C900DF">
        <w:rPr>
          <w:sz w:val="24"/>
          <w:lang w:val="sv-SE"/>
        </w:rPr>
        <w:t xml:space="preserve"> </w:t>
      </w:r>
      <w:r w:rsidR="00C900DF" w:rsidRPr="00C900DF">
        <w:rPr>
          <w:sz w:val="24"/>
          <w:lang w:val="sv-SE"/>
        </w:rPr>
        <w:tab/>
      </w:r>
      <w:r w:rsidRPr="00C900DF">
        <w:rPr>
          <w:sz w:val="24"/>
          <w:lang w:val="sv-SE"/>
        </w:rPr>
        <w:t>Tribunalens beslut av den 6 september 2023, datatillsynsmannen mot parlamentet och rådet, T-578/22, ECLI:EU:T:2023:522.</w:t>
      </w:r>
    </w:p>
  </w:footnote>
  <w:footnote w:id="11">
    <w:p w14:paraId="34418778" w14:textId="41B1E931" w:rsidR="00096834" w:rsidRPr="00C900DF" w:rsidRDefault="00096834" w:rsidP="00C900DF">
      <w:pPr>
        <w:pStyle w:val="FootnoteText"/>
        <w:ind w:left="567" w:hanging="567"/>
        <w:rPr>
          <w:sz w:val="24"/>
          <w:lang w:val="sv-SE"/>
        </w:rPr>
      </w:pPr>
      <w:r w:rsidRPr="00C900DF">
        <w:rPr>
          <w:rStyle w:val="FootnoteReference"/>
          <w:sz w:val="24"/>
          <w:lang w:val="sv-SE"/>
        </w:rPr>
        <w:footnoteRef/>
      </w:r>
      <w:r w:rsidR="00C900DF" w:rsidRPr="00C900DF">
        <w:rPr>
          <w:sz w:val="24"/>
          <w:lang w:val="sv-SE"/>
        </w:rPr>
        <w:t xml:space="preserve"> </w:t>
      </w:r>
      <w:r w:rsidR="00C900DF" w:rsidRPr="00C900DF">
        <w:rPr>
          <w:sz w:val="24"/>
          <w:lang w:val="sv-SE"/>
        </w:rPr>
        <w:tab/>
      </w:r>
      <w:r w:rsidRPr="00C900DF">
        <w:rPr>
          <w:sz w:val="24"/>
          <w:lang w:val="sv-SE"/>
        </w:rPr>
        <w:t xml:space="preserve">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10" w:history="1">
        <w:r w:rsidRPr="00C900DF">
          <w:rPr>
            <w:rStyle w:val="Hyperlink"/>
            <w:sz w:val="24"/>
            <w:lang w:val="sv-SE"/>
          </w:rPr>
          <w:t>http://data.europa.eu/eli/reg/2022/1925/oj</w:t>
        </w:r>
      </w:hyperlink>
      <w:r w:rsidRPr="00C900DF">
        <w:rPr>
          <w:sz w:val="24"/>
          <w:lang w:val="sv-SE"/>
        </w:rPr>
        <w:t>).</w:t>
      </w:r>
    </w:p>
  </w:footnote>
  <w:footnote w:id="12">
    <w:p w14:paraId="50F6D844" w14:textId="3778AC1A" w:rsidR="00096834" w:rsidRPr="00C900DF" w:rsidRDefault="00096834" w:rsidP="00C900DF">
      <w:pPr>
        <w:pStyle w:val="FootnoteText"/>
        <w:ind w:left="567" w:hanging="567"/>
        <w:rPr>
          <w:sz w:val="24"/>
          <w:lang w:val="sv-SE"/>
        </w:rPr>
      </w:pPr>
      <w:r w:rsidRPr="00C900DF">
        <w:rPr>
          <w:rStyle w:val="FootnoteReference"/>
          <w:sz w:val="24"/>
          <w:lang w:val="sv-SE"/>
        </w:rPr>
        <w:footnoteRef/>
      </w:r>
      <w:r w:rsidR="00C900DF" w:rsidRPr="00C900DF">
        <w:rPr>
          <w:sz w:val="24"/>
          <w:lang w:val="sv-SE"/>
        </w:rPr>
        <w:t xml:space="preserve"> </w:t>
      </w:r>
      <w:r w:rsidR="00C900DF" w:rsidRPr="00C900DF">
        <w:rPr>
          <w:sz w:val="24"/>
          <w:lang w:val="sv-SE"/>
        </w:rPr>
        <w:tab/>
      </w:r>
      <w:r w:rsidRPr="00C900DF">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11" w:history="1">
        <w:r w:rsidRPr="00C900DF">
          <w:rPr>
            <w:rStyle w:val="Hyperlink"/>
            <w:sz w:val="24"/>
            <w:lang w:val="sv-SE"/>
          </w:rPr>
          <w:t>http://data.europa.eu/eli/reg/2016/679/oj</w:t>
        </w:r>
      </w:hyperlink>
      <w:r w:rsidRPr="00C900D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38218" w14:textId="77777777" w:rsidR="00096834" w:rsidRPr="00C900DF" w:rsidRDefault="00096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2FAB" w14:textId="77777777" w:rsidR="00096834" w:rsidRPr="00C900DF" w:rsidRDefault="000968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1B0CF" w14:textId="77777777" w:rsidR="00096834" w:rsidRPr="00C900DF" w:rsidRDefault="000968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9E65" w14:textId="77777777" w:rsidR="00064002" w:rsidRPr="00C900D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9D60" w14:textId="77777777" w:rsidR="00064002" w:rsidRPr="00C900D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1E40" w14:textId="77777777" w:rsidR="00064002" w:rsidRPr="00C900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9675436">
    <w:abstractNumId w:val="9"/>
  </w:num>
  <w:num w:numId="2" w16cid:durableId="895971804">
    <w:abstractNumId w:val="9"/>
  </w:num>
  <w:num w:numId="3" w16cid:durableId="41369965">
    <w:abstractNumId w:val="7"/>
  </w:num>
  <w:num w:numId="4" w16cid:durableId="1186092563">
    <w:abstractNumId w:val="7"/>
  </w:num>
  <w:num w:numId="5" w16cid:durableId="1677657889">
    <w:abstractNumId w:val="6"/>
  </w:num>
  <w:num w:numId="6" w16cid:durableId="929120663">
    <w:abstractNumId w:val="6"/>
  </w:num>
  <w:num w:numId="7" w16cid:durableId="1001355105">
    <w:abstractNumId w:val="5"/>
  </w:num>
  <w:num w:numId="8" w16cid:durableId="836116060">
    <w:abstractNumId w:val="5"/>
  </w:num>
  <w:num w:numId="9" w16cid:durableId="1308507089">
    <w:abstractNumId w:val="4"/>
  </w:num>
  <w:num w:numId="10" w16cid:durableId="694574081">
    <w:abstractNumId w:val="4"/>
  </w:num>
  <w:num w:numId="11" w16cid:durableId="615218937">
    <w:abstractNumId w:val="8"/>
  </w:num>
  <w:num w:numId="12" w16cid:durableId="975182395">
    <w:abstractNumId w:val="8"/>
  </w:num>
  <w:num w:numId="13" w16cid:durableId="1496914241">
    <w:abstractNumId w:val="3"/>
  </w:num>
  <w:num w:numId="14" w16cid:durableId="63649694">
    <w:abstractNumId w:val="3"/>
  </w:num>
  <w:num w:numId="15" w16cid:durableId="1888105168">
    <w:abstractNumId w:val="2"/>
  </w:num>
  <w:num w:numId="16" w16cid:durableId="241647585">
    <w:abstractNumId w:val="2"/>
  </w:num>
  <w:num w:numId="17" w16cid:durableId="1263494880">
    <w:abstractNumId w:val="1"/>
  </w:num>
  <w:num w:numId="18" w16cid:durableId="1343163518">
    <w:abstractNumId w:val="1"/>
  </w:num>
  <w:num w:numId="19" w16cid:durableId="766846078">
    <w:abstractNumId w:val="0"/>
  </w:num>
  <w:num w:numId="20" w16cid:durableId="1259674302">
    <w:abstractNumId w:val="0"/>
  </w:num>
  <w:num w:numId="21" w16cid:durableId="386730458">
    <w:abstractNumId w:val="9"/>
  </w:num>
  <w:num w:numId="22" w16cid:durableId="1381323425">
    <w:abstractNumId w:val="7"/>
  </w:num>
  <w:num w:numId="23" w16cid:durableId="1882279470">
    <w:abstractNumId w:val="6"/>
  </w:num>
  <w:num w:numId="24" w16cid:durableId="366877136">
    <w:abstractNumId w:val="5"/>
  </w:num>
  <w:num w:numId="25" w16cid:durableId="379289291">
    <w:abstractNumId w:val="4"/>
  </w:num>
  <w:num w:numId="26" w16cid:durableId="387265137">
    <w:abstractNumId w:val="8"/>
  </w:num>
  <w:num w:numId="27" w16cid:durableId="1807161816">
    <w:abstractNumId w:val="3"/>
  </w:num>
  <w:num w:numId="28" w16cid:durableId="1151167420">
    <w:abstractNumId w:val="2"/>
  </w:num>
  <w:num w:numId="29" w16cid:durableId="120852613">
    <w:abstractNumId w:val="1"/>
  </w:num>
  <w:num w:numId="30" w16cid:durableId="1713848270">
    <w:abstractNumId w:val="0"/>
  </w:num>
  <w:num w:numId="31" w16cid:durableId="1654095758">
    <w:abstractNumId w:val="9"/>
  </w:num>
  <w:num w:numId="32" w16cid:durableId="736585862">
    <w:abstractNumId w:val="7"/>
  </w:num>
  <w:num w:numId="33" w16cid:durableId="1165629519">
    <w:abstractNumId w:val="6"/>
  </w:num>
  <w:num w:numId="34" w16cid:durableId="1402369191">
    <w:abstractNumId w:val="5"/>
  </w:num>
  <w:num w:numId="35" w16cid:durableId="598104267">
    <w:abstractNumId w:val="4"/>
  </w:num>
  <w:num w:numId="36" w16cid:durableId="229392133">
    <w:abstractNumId w:val="8"/>
  </w:num>
  <w:num w:numId="37" w16cid:durableId="1019895702">
    <w:abstractNumId w:val="3"/>
  </w:num>
  <w:num w:numId="38" w16cid:durableId="1880432042">
    <w:abstractNumId w:val="2"/>
  </w:num>
  <w:num w:numId="39" w16cid:durableId="867181394">
    <w:abstractNumId w:val="1"/>
  </w:num>
  <w:num w:numId="40" w16cid:durableId="5906346">
    <w:abstractNumId w:val="0"/>
  </w:num>
  <w:num w:numId="41" w16cid:durableId="318657530">
    <w:abstractNumId w:val="10"/>
  </w:num>
  <w:num w:numId="42" w16cid:durableId="2053724822">
    <w:abstractNumId w:val="10"/>
  </w:num>
  <w:num w:numId="43" w16cid:durableId="36512460">
    <w:abstractNumId w:val="10"/>
  </w:num>
  <w:num w:numId="44" w16cid:durableId="911085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SV"/>
    <w:docVar w:name="dvnumam" w:val="0"/>
    <w:docVar w:name="dvpe" w:val="778.066"/>
    <w:docVar w:name="dvrapporteur" w:val="Föredragande: "/>
    <w:docVar w:name="dvtitre" w:val="Europaparlamentets beslut av den xx xx 2026 om ansvarsfrihet för genomförandet av Europeiska unionens allmänna budget för budgetåret 2024, avsnitt IX – Europeiska datatillsynsmannen(2025/2154(DEC))"/>
  </w:docVars>
  <w:rsids>
    <w:rsidRoot w:val="00933A61"/>
    <w:rsid w:val="00002272"/>
    <w:rsid w:val="00064002"/>
    <w:rsid w:val="000677B9"/>
    <w:rsid w:val="000831BA"/>
    <w:rsid w:val="00096834"/>
    <w:rsid w:val="000A42CC"/>
    <w:rsid w:val="000E7DD9"/>
    <w:rsid w:val="0010095E"/>
    <w:rsid w:val="00125B37"/>
    <w:rsid w:val="00187494"/>
    <w:rsid w:val="001F32AE"/>
    <w:rsid w:val="00266853"/>
    <w:rsid w:val="002767FF"/>
    <w:rsid w:val="002B18FE"/>
    <w:rsid w:val="002B5493"/>
    <w:rsid w:val="002B5D02"/>
    <w:rsid w:val="003054BC"/>
    <w:rsid w:val="00343214"/>
    <w:rsid w:val="00361C00"/>
    <w:rsid w:val="00395FA1"/>
    <w:rsid w:val="003E15D4"/>
    <w:rsid w:val="004002C0"/>
    <w:rsid w:val="00411CCE"/>
    <w:rsid w:val="0041666E"/>
    <w:rsid w:val="00421060"/>
    <w:rsid w:val="00471C19"/>
    <w:rsid w:val="004867E3"/>
    <w:rsid w:val="00494A28"/>
    <w:rsid w:val="004C0004"/>
    <w:rsid w:val="004C5D52"/>
    <w:rsid w:val="0050519A"/>
    <w:rsid w:val="005072A1"/>
    <w:rsid w:val="00514517"/>
    <w:rsid w:val="0052109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A61"/>
    <w:rsid w:val="00941848"/>
    <w:rsid w:val="009509D8"/>
    <w:rsid w:val="00950B64"/>
    <w:rsid w:val="00981893"/>
    <w:rsid w:val="00A1687D"/>
    <w:rsid w:val="00A43E52"/>
    <w:rsid w:val="00A4678D"/>
    <w:rsid w:val="00A778C7"/>
    <w:rsid w:val="00AB441E"/>
    <w:rsid w:val="00AB6293"/>
    <w:rsid w:val="00AD20FE"/>
    <w:rsid w:val="00AE0928"/>
    <w:rsid w:val="00AF3B82"/>
    <w:rsid w:val="00B12E95"/>
    <w:rsid w:val="00B22876"/>
    <w:rsid w:val="00B558F0"/>
    <w:rsid w:val="00BD48FE"/>
    <w:rsid w:val="00BD7BD8"/>
    <w:rsid w:val="00BE6ADC"/>
    <w:rsid w:val="00C05BFE"/>
    <w:rsid w:val="00C155AF"/>
    <w:rsid w:val="00C23CD4"/>
    <w:rsid w:val="00C61C0C"/>
    <w:rsid w:val="00C900DF"/>
    <w:rsid w:val="00C941CB"/>
    <w:rsid w:val="00CC2357"/>
    <w:rsid w:val="00CF071A"/>
    <w:rsid w:val="00D058B8"/>
    <w:rsid w:val="00D524A4"/>
    <w:rsid w:val="00D56C11"/>
    <w:rsid w:val="00D834A0"/>
    <w:rsid w:val="00D872DF"/>
    <w:rsid w:val="00D91E21"/>
    <w:rsid w:val="00DA7FCD"/>
    <w:rsid w:val="00E008E7"/>
    <w:rsid w:val="00E365E1"/>
    <w:rsid w:val="00E820A4"/>
    <w:rsid w:val="00E91662"/>
    <w:rsid w:val="00EB006A"/>
    <w:rsid w:val="00EB4772"/>
    <w:rsid w:val="00ED169E"/>
    <w:rsid w:val="00ED4235"/>
    <w:rsid w:val="00F04346"/>
    <w:rsid w:val="00F075DC"/>
    <w:rsid w:val="00F149E9"/>
    <w:rsid w:val="00F37D5F"/>
    <w:rsid w:val="00F5134D"/>
    <w:rsid w:val="00F55E0F"/>
    <w:rsid w:val="00F74202"/>
    <w:rsid w:val="00F87713"/>
    <w:rsid w:val="00FB4360"/>
    <w:rsid w:val="00FD0C70"/>
    <w:rsid w:val="00FF065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9CECF"/>
  <w15:chartTrackingRefBased/>
  <w15:docId w15:val="{7D857D85-8646-4FC1-B3F9-48E0FD6E6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68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6834"/>
    <w:pPr>
      <w:spacing w:before="480" w:after="240"/>
    </w:pPr>
  </w:style>
  <w:style w:type="paragraph" w:customStyle="1" w:styleId="PageHeading">
    <w:name w:val="PageHeading"/>
    <w:basedOn w:val="Normal"/>
    <w:rsid w:val="00096834"/>
    <w:pPr>
      <w:keepNext/>
      <w:spacing w:after="480"/>
      <w:jc w:val="center"/>
    </w:pPr>
    <w:rPr>
      <w:rFonts w:ascii="Arial" w:hAnsi="Arial" w:cs="Arial"/>
      <w:b/>
    </w:rPr>
  </w:style>
  <w:style w:type="paragraph" w:customStyle="1" w:styleId="NormalBold">
    <w:name w:val="NormalBold"/>
    <w:basedOn w:val="Normal"/>
    <w:rsid w:val="00096834"/>
    <w:rPr>
      <w:b/>
    </w:rPr>
  </w:style>
  <w:style w:type="paragraph" w:customStyle="1" w:styleId="NormalHanging12a">
    <w:name w:val="NormalHanging12a"/>
    <w:basedOn w:val="Normal"/>
    <w:link w:val="NormalHanging12aChar"/>
    <w:qFormat/>
    <w:rsid w:val="00096834"/>
    <w:pPr>
      <w:spacing w:after="240"/>
      <w:ind w:left="567" w:hanging="567"/>
    </w:pPr>
  </w:style>
  <w:style w:type="paragraph" w:styleId="Header">
    <w:name w:val="header"/>
    <w:basedOn w:val="Normal"/>
    <w:link w:val="HeaderChar"/>
    <w:rsid w:val="00096834"/>
    <w:pPr>
      <w:tabs>
        <w:tab w:val="center" w:pos="4513"/>
        <w:tab w:val="right" w:pos="9026"/>
      </w:tabs>
    </w:pPr>
  </w:style>
  <w:style w:type="character" w:customStyle="1" w:styleId="HeaderChar">
    <w:name w:val="Header Char"/>
    <w:basedOn w:val="DefaultParagraphFont"/>
    <w:link w:val="Header"/>
    <w:rsid w:val="00096834"/>
    <w:rPr>
      <w:sz w:val="24"/>
      <w:lang w:val="sv-SE"/>
    </w:rPr>
  </w:style>
  <w:style w:type="paragraph" w:customStyle="1" w:styleId="EPFooter">
    <w:name w:val="EPFooter"/>
    <w:basedOn w:val="Normal"/>
    <w:rsid w:val="00096834"/>
    <w:pPr>
      <w:tabs>
        <w:tab w:val="center" w:pos="4535"/>
        <w:tab w:val="right" w:pos="9071"/>
      </w:tabs>
      <w:spacing w:before="240" w:after="240"/>
    </w:pPr>
    <w:rPr>
      <w:color w:val="010000"/>
      <w:sz w:val="22"/>
    </w:rPr>
  </w:style>
  <w:style w:type="character" w:styleId="Hyperlink">
    <w:name w:val="Hyperlink"/>
    <w:basedOn w:val="DefaultParagraphFont"/>
    <w:rsid w:val="00096834"/>
    <w:rPr>
      <w:color w:val="0563C1" w:themeColor="hyperlink"/>
      <w:u w:val="single"/>
    </w:rPr>
  </w:style>
  <w:style w:type="character" w:customStyle="1" w:styleId="NormalHanging12aChar">
    <w:name w:val="NormalHanging12a Char"/>
    <w:basedOn w:val="DefaultParagraphFont"/>
    <w:link w:val="NormalHanging12a"/>
    <w:locked/>
    <w:rsid w:val="00096834"/>
    <w:rPr>
      <w:sz w:val="24"/>
      <w:lang w:val="sv-SE"/>
    </w:rPr>
  </w:style>
  <w:style w:type="paragraph" w:styleId="Revision">
    <w:name w:val="Revision"/>
    <w:hidden/>
    <w:uiPriority w:val="99"/>
    <w:semiHidden/>
    <w:rsid w:val="00AD20F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6794</Words>
  <Characters>47501</Characters>
  <Application>Microsoft Office Word</Application>
  <DocSecurity>0</DocSecurity>
  <Lines>395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2026-05-05T08:31:00Z</dcterms:created>
  <dcterms:modified xsi:type="dcterms:W3CDTF">2026-05-05T08:31:00Z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P10_TA(2026)0134_</vt:lpwstr>
  </property>
  <property fmtid="{D5CDD505-2E9C-101B-9397-08002B2CF9AE}" pid="4" name="&lt;Type&gt;">
    <vt:lpwstr>RR</vt:lpwstr>
  </property>
</Properties>
</file>