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70E" w14:paraId="7D125642" w14:textId="77777777" w:rsidTr="0010095E">
        <w:trPr>
          <w:trHeight w:hRule="exact" w:val="1418"/>
        </w:trPr>
        <w:tc>
          <w:tcPr>
            <w:tcW w:w="6804" w:type="dxa"/>
            <w:shd w:val="clear" w:color="auto" w:fill="auto"/>
            <w:vAlign w:val="center"/>
          </w:tcPr>
          <w:p w14:paraId="71CE89B6" w14:textId="203019AE" w:rsidR="00751A4A" w:rsidRPr="00F4070E" w:rsidRDefault="00E94B30" w:rsidP="0010095E">
            <w:pPr>
              <w:pStyle w:val="EPName"/>
            </w:pPr>
            <w:r w:rsidRPr="00F4070E">
              <w:t>Europski parlament</w:t>
            </w:r>
          </w:p>
          <w:p w14:paraId="1B85F405" w14:textId="77777777" w:rsidR="00751A4A" w:rsidRPr="00F4070E" w:rsidRDefault="005F1B17" w:rsidP="005F1B17">
            <w:pPr>
              <w:pStyle w:val="EPTerm"/>
              <w:rPr>
                <w:rStyle w:val="HideTWBExt"/>
                <w:noProof w:val="0"/>
                <w:vanish w:val="0"/>
                <w:color w:val="auto"/>
              </w:rPr>
            </w:pPr>
            <w:r w:rsidRPr="00F4070E">
              <w:t>2024</w:t>
            </w:r>
            <w:r w:rsidR="00817416" w:rsidRPr="00F4070E">
              <w:t>-202</w:t>
            </w:r>
            <w:r w:rsidRPr="00F4070E">
              <w:t>9</w:t>
            </w:r>
          </w:p>
        </w:tc>
        <w:tc>
          <w:tcPr>
            <w:tcW w:w="2268" w:type="dxa"/>
            <w:shd w:val="clear" w:color="auto" w:fill="auto"/>
          </w:tcPr>
          <w:p w14:paraId="7CEF22AE" w14:textId="77777777" w:rsidR="00751A4A" w:rsidRPr="00F4070E" w:rsidRDefault="00187494" w:rsidP="0010095E">
            <w:pPr>
              <w:pStyle w:val="EPLogo"/>
            </w:pPr>
            <w:r w:rsidRPr="00F4070E">
              <w:rPr>
                <w:noProof/>
                <w:lang w:eastAsia="ja-JP"/>
              </w:rPr>
              <w:drawing>
                <wp:inline distT="0" distB="0" distL="0" distR="0" wp14:anchorId="521900D7" wp14:editId="24422A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84154B" w14:textId="77777777" w:rsidR="00D058B8" w:rsidRPr="00F4070E" w:rsidRDefault="00D058B8" w:rsidP="004C5D52">
      <w:pPr>
        <w:pStyle w:val="LineTop"/>
      </w:pPr>
    </w:p>
    <w:p w14:paraId="3D31A6B4" w14:textId="2D93EA2A" w:rsidR="00680577" w:rsidRPr="00F4070E" w:rsidRDefault="00E94B30" w:rsidP="00680577">
      <w:pPr>
        <w:pStyle w:val="EPBodyTA1"/>
      </w:pPr>
      <w:r w:rsidRPr="00F4070E">
        <w:t>USVOJENI TEKSTOVI</w:t>
      </w:r>
    </w:p>
    <w:p w14:paraId="34D513AB" w14:textId="77777777" w:rsidR="00D058B8" w:rsidRPr="00F4070E" w:rsidRDefault="00D058B8" w:rsidP="00D058B8">
      <w:pPr>
        <w:pStyle w:val="LineBottom"/>
      </w:pPr>
    </w:p>
    <w:p w14:paraId="011C2344" w14:textId="469C5C6F" w:rsidR="00E94B30" w:rsidRPr="00F4070E" w:rsidRDefault="00E94B30" w:rsidP="00E94B30">
      <w:pPr>
        <w:pStyle w:val="ATHeading1"/>
      </w:pPr>
      <w:bookmarkStart w:id="0" w:name="TANumber"/>
      <w:r w:rsidRPr="00F4070E">
        <w:t>P10_TA(2026)0</w:t>
      </w:r>
      <w:r w:rsidR="003F5C4C">
        <w:t>135</w:t>
      </w:r>
      <w:bookmarkEnd w:id="0"/>
    </w:p>
    <w:p w14:paraId="6BD9EB51" w14:textId="77777777" w:rsidR="00E94B30" w:rsidRPr="00F4070E" w:rsidRDefault="00E94B30" w:rsidP="00E94B30">
      <w:pPr>
        <w:pStyle w:val="ATHeading2"/>
      </w:pPr>
      <w:bookmarkStart w:id="1" w:name="title"/>
      <w:r w:rsidRPr="00F4070E">
        <w:t>Razrješnica za 2024.: Ured europskog javnog tužitelja</w:t>
      </w:r>
      <w:bookmarkEnd w:id="1"/>
    </w:p>
    <w:p w14:paraId="30A95332" w14:textId="77777777" w:rsidR="00E94B30" w:rsidRPr="00F4070E" w:rsidRDefault="00E94B30" w:rsidP="00E94B30">
      <w:pPr>
        <w:rPr>
          <w:i/>
          <w:vanish/>
        </w:rPr>
      </w:pPr>
      <w:r w:rsidRPr="00F4070E">
        <w:rPr>
          <w:i/>
        </w:rPr>
        <w:fldChar w:fldCharType="begin"/>
      </w:r>
      <w:r w:rsidRPr="00F4070E">
        <w:rPr>
          <w:i/>
        </w:rPr>
        <w:instrText xml:space="preserve"> TC"(</w:instrText>
      </w:r>
      <w:bookmarkStart w:id="2" w:name="DocNumber"/>
      <w:r w:rsidRPr="00F4070E">
        <w:rPr>
          <w:i/>
        </w:rPr>
        <w:instrText>A10-0050/2026</w:instrText>
      </w:r>
      <w:bookmarkEnd w:id="2"/>
      <w:r w:rsidRPr="00F4070E">
        <w:rPr>
          <w:i/>
        </w:rPr>
        <w:instrText xml:space="preserve"> - Izvjestitelj: </w:instrText>
      </w:r>
      <w:proofErr w:type="spellStart"/>
      <w:r w:rsidRPr="00F4070E">
        <w:rPr>
          <w:i/>
        </w:rPr>
        <w:instrText>Pasquale</w:instrText>
      </w:r>
      <w:proofErr w:type="spellEnd"/>
      <w:r w:rsidRPr="00F4070E">
        <w:rPr>
          <w:i/>
        </w:rPr>
        <w:instrText xml:space="preserve"> </w:instrText>
      </w:r>
      <w:proofErr w:type="spellStart"/>
      <w:r w:rsidRPr="00F4070E">
        <w:rPr>
          <w:i/>
        </w:rPr>
        <w:instrText>Tridico</w:instrText>
      </w:r>
      <w:proofErr w:type="spellEnd"/>
      <w:r w:rsidRPr="00F4070E">
        <w:rPr>
          <w:i/>
        </w:rPr>
        <w:instrText xml:space="preserve">)"\l3 \n&gt; \* MERGEFORMAT </w:instrText>
      </w:r>
      <w:r w:rsidRPr="00F4070E">
        <w:rPr>
          <w:i/>
        </w:rPr>
        <w:fldChar w:fldCharType="end"/>
      </w:r>
    </w:p>
    <w:p w14:paraId="4F1FB981" w14:textId="77777777" w:rsidR="00E94B30" w:rsidRPr="00F4070E" w:rsidRDefault="00E94B30" w:rsidP="00E94B30">
      <w:pPr>
        <w:rPr>
          <w:vanish/>
        </w:rPr>
      </w:pPr>
      <w:bookmarkStart w:id="3" w:name="Commission"/>
      <w:r w:rsidRPr="00F4070E">
        <w:rPr>
          <w:vanish/>
        </w:rPr>
        <w:t>Odbor za proračunski nadzor</w:t>
      </w:r>
      <w:bookmarkEnd w:id="3"/>
    </w:p>
    <w:p w14:paraId="23A73361" w14:textId="77777777" w:rsidR="00E94B30" w:rsidRPr="00F4070E" w:rsidRDefault="00E94B30" w:rsidP="00E94B30">
      <w:pPr>
        <w:rPr>
          <w:vanish/>
        </w:rPr>
      </w:pPr>
      <w:bookmarkStart w:id="4" w:name="PE"/>
      <w:r w:rsidRPr="00F4070E">
        <w:rPr>
          <w:vanish/>
        </w:rPr>
        <w:t>PE778.067</w:t>
      </w:r>
      <w:bookmarkEnd w:id="4"/>
    </w:p>
    <w:p w14:paraId="4B306B5A" w14:textId="5635E22F" w:rsidR="00E94B30" w:rsidRPr="00F4070E" w:rsidRDefault="00F4070E" w:rsidP="00E94B30">
      <w:pPr>
        <w:pStyle w:val="ATHeading3"/>
      </w:pPr>
      <w:bookmarkStart w:id="5" w:name="Sujet"/>
      <w:r>
        <w:t xml:space="preserve">1. </w:t>
      </w:r>
      <w:r w:rsidR="00E94B30" w:rsidRPr="00F4070E">
        <w:t xml:space="preserve">Odluka Europskog parlamenta od </w:t>
      </w:r>
      <w:r>
        <w:t>29</w:t>
      </w:r>
      <w:r w:rsidR="00E94B30" w:rsidRPr="00F4070E">
        <w:t xml:space="preserve">. </w:t>
      </w:r>
      <w:r>
        <w:t xml:space="preserve">travnja </w:t>
      </w:r>
      <w:r w:rsidR="00E94B30" w:rsidRPr="00F4070E">
        <w:t>2026. o razrješnici za izvršenje proračuna Ureda europskog javnog tužitelja za financijsku godinu 2024.</w:t>
      </w:r>
      <w:bookmarkEnd w:id="5"/>
      <w:r w:rsidR="00E94B30" w:rsidRPr="00F4070E">
        <w:t xml:space="preserve"> </w:t>
      </w:r>
      <w:bookmarkStart w:id="6" w:name="References"/>
      <w:r w:rsidR="00E94B30" w:rsidRPr="00F4070E">
        <w:t>(2025/2155(DEC))</w:t>
      </w:r>
      <w:bookmarkEnd w:id="6"/>
    </w:p>
    <w:p w14:paraId="3993AEEC" w14:textId="77777777" w:rsidR="00C56192" w:rsidRPr="00F4070E" w:rsidRDefault="00C56192" w:rsidP="00C56192">
      <w:pPr>
        <w:pStyle w:val="EPComma"/>
      </w:pPr>
      <w:bookmarkStart w:id="7" w:name="TextBodyBegin"/>
      <w:bookmarkEnd w:id="7"/>
      <w:r w:rsidRPr="00F4070E">
        <w:rPr>
          <w:i/>
        </w:rPr>
        <w:t>Europski parlament</w:t>
      </w:r>
      <w:r w:rsidRPr="00F4070E">
        <w:t>,</w:t>
      </w:r>
    </w:p>
    <w:p w14:paraId="71AA737D" w14:textId="77777777" w:rsidR="00C56192" w:rsidRPr="00F4070E" w:rsidRDefault="00C56192" w:rsidP="00C56192">
      <w:pPr>
        <w:pStyle w:val="NormalHanging12a"/>
      </w:pPr>
      <w:r w:rsidRPr="00F4070E">
        <w:t>–</w:t>
      </w:r>
      <w:r w:rsidRPr="00F4070E">
        <w:tab/>
        <w:t>uzimajući u obzir završnu godišnju računovodstvenu dokumentaciju Ureda europskog javnog tužitelja za financijsku godinu 2024.,</w:t>
      </w:r>
    </w:p>
    <w:p w14:paraId="331D87DC" w14:textId="77777777" w:rsidR="00C56192" w:rsidRPr="00F4070E" w:rsidRDefault="00C56192" w:rsidP="00C56192">
      <w:pPr>
        <w:pStyle w:val="NormalHanging12a"/>
      </w:pPr>
      <w:r w:rsidRPr="00F4070E">
        <w:t>–</w:t>
      </w:r>
      <w:r w:rsidRPr="00F4070E">
        <w:tab/>
        <w:t>uzimajući u obzir godišnje izvješće Revizorskog suda o agencijama EU-a za financijsku godinu 2024., kojemu su priloženi odgovori agencija</w:t>
      </w:r>
      <w:r w:rsidRPr="00F4070E">
        <w:rPr>
          <w:rStyle w:val="FootnoteReference"/>
        </w:rPr>
        <w:footnoteReference w:id="1"/>
      </w:r>
      <w:r w:rsidRPr="00F4070E">
        <w:t>,</w:t>
      </w:r>
    </w:p>
    <w:p w14:paraId="0EF1C9BC" w14:textId="67295828" w:rsidR="00C56192" w:rsidRPr="00F4070E" w:rsidRDefault="00C56192" w:rsidP="00C56192">
      <w:pPr>
        <w:pStyle w:val="NormalHanging12a"/>
      </w:pPr>
      <w:r w:rsidRPr="00F4070E">
        <w:t>–</w:t>
      </w:r>
      <w:r w:rsidRPr="00F4070E">
        <w:tab/>
        <w:t>uzimajući u obzir izjavu o jamstvu</w:t>
      </w:r>
      <w:r w:rsidRPr="00F4070E">
        <w:rPr>
          <w:rStyle w:val="FootnoteReference"/>
        </w:rPr>
        <w:footnoteReference w:id="2"/>
      </w:r>
      <w:r w:rsidRPr="00F4070E">
        <w:t xml:space="preserve"> u pogledu pouzdanosti računovodstvene dokumentacije te zakonitosti i pravilnosti </w:t>
      </w:r>
      <w:r w:rsidR="002B608D">
        <w:t>temeljnih</w:t>
      </w:r>
      <w:r w:rsidRPr="00F4070E">
        <w:t xml:space="preserve"> transakcija, koju je u skladu s člankom 287. Ugovora o funkcioniranju Europske unije Revizorski sud podnio za financijsku godinu 2024.,</w:t>
      </w:r>
    </w:p>
    <w:p w14:paraId="6CD4D75C" w14:textId="3827E56D" w:rsidR="00C56192" w:rsidRPr="00F4070E" w:rsidRDefault="00C56192" w:rsidP="00C56192">
      <w:pPr>
        <w:pStyle w:val="NormalHanging12a"/>
      </w:pPr>
      <w:r w:rsidRPr="00F4070E">
        <w:t>–</w:t>
      </w:r>
      <w:r w:rsidRPr="00F4070E">
        <w:tab/>
        <w:t>uzimajući u obzir preporuku Vijeća od 2. ožujka 2026. o razrješnici koju treba dobiti Ured europskog javnog tužitelja za izvršenje proračuna za financijsku godinu 2024. (05749/2026 – C10</w:t>
      </w:r>
      <w:r w:rsidRPr="00F4070E">
        <w:noBreakHyphen/>
        <w:t>0047/2026),</w:t>
      </w:r>
    </w:p>
    <w:p w14:paraId="3C56C8C0" w14:textId="77777777" w:rsidR="00C56192" w:rsidRPr="00F4070E" w:rsidRDefault="00C56192" w:rsidP="00C56192">
      <w:pPr>
        <w:pStyle w:val="NormalHanging12a"/>
      </w:pPr>
      <w:r w:rsidRPr="00F4070E">
        <w:t>–</w:t>
      </w:r>
      <w:r w:rsidRPr="00F4070E">
        <w:tab/>
        <w:t>uzimajući u obzir članak 319. Ugovora o funkcioniranju Europske unije,</w:t>
      </w:r>
    </w:p>
    <w:p w14:paraId="68604FFB" w14:textId="77777777" w:rsidR="00C56192" w:rsidRPr="00F4070E" w:rsidRDefault="00C56192" w:rsidP="00C56192">
      <w:pPr>
        <w:pStyle w:val="NormalHanging12a"/>
      </w:pPr>
      <w:r w:rsidRPr="00F4070E">
        <w:t>–</w:t>
      </w:r>
      <w:r w:rsidRPr="00F4070E">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4070E">
        <w:rPr>
          <w:rStyle w:val="FootnoteReference"/>
        </w:rPr>
        <w:footnoteReference w:id="3"/>
      </w:r>
      <w:r w:rsidRPr="00F4070E">
        <w:t>, a posebno njezin članak 70.,</w:t>
      </w:r>
    </w:p>
    <w:p w14:paraId="51E92F0B" w14:textId="77777777" w:rsidR="00C56192" w:rsidRPr="00F4070E" w:rsidRDefault="00C56192" w:rsidP="00C56192">
      <w:pPr>
        <w:pStyle w:val="NormalHanging12a"/>
      </w:pPr>
      <w:r w:rsidRPr="00F4070E">
        <w:t>–</w:t>
      </w:r>
      <w:r w:rsidRPr="00F4070E">
        <w:tab/>
        <w:t xml:space="preserve">uzimajući u obzir Uredbu (EU, Euratom) 2024/2509 Europskog parlamenta i Vijeća od </w:t>
      </w:r>
      <w:r w:rsidRPr="00F4070E">
        <w:lastRenderedPageBreak/>
        <w:t>23. rujna 2024. o financijskim pravilima koja se primjenjuju na opći proračun Unije</w:t>
      </w:r>
      <w:r w:rsidRPr="00F4070E">
        <w:rPr>
          <w:rStyle w:val="FootnoteReference"/>
        </w:rPr>
        <w:footnoteReference w:id="4"/>
      </w:r>
      <w:r w:rsidRPr="00F4070E">
        <w:t>, a posebno njezin članak 70.,</w:t>
      </w:r>
    </w:p>
    <w:p w14:paraId="79BE912F" w14:textId="77777777" w:rsidR="00C56192" w:rsidRPr="00F4070E" w:rsidRDefault="00C56192" w:rsidP="00C56192">
      <w:pPr>
        <w:pStyle w:val="NormalHanging12a"/>
      </w:pPr>
      <w:r w:rsidRPr="00F4070E">
        <w:t>–</w:t>
      </w:r>
      <w:r w:rsidRPr="00F4070E">
        <w:tab/>
        <w:t>uzimajući u obzir Uredbu Vijeća (EU) 2017/1939 od 12. listopada 2017. o provedbi pojačane suradnje u vezi s osnivanjem Ureda europskog javnog tužitelja</w:t>
      </w:r>
      <w:r w:rsidRPr="00F4070E">
        <w:rPr>
          <w:rStyle w:val="FootnoteReference"/>
        </w:rPr>
        <w:footnoteReference w:id="5"/>
      </w:r>
      <w:r w:rsidRPr="00F4070E">
        <w:t>, a posebno njezin članak 94.,</w:t>
      </w:r>
    </w:p>
    <w:p w14:paraId="1ED4B043" w14:textId="2F1885BE" w:rsidR="00C56192" w:rsidRPr="00F4070E" w:rsidRDefault="00C56192" w:rsidP="00C56192">
      <w:pPr>
        <w:pStyle w:val="NormalHanging12a"/>
      </w:pPr>
      <w:r w:rsidRPr="00F4070E">
        <w:t>–</w:t>
      </w:r>
      <w:r w:rsidRPr="00F4070E">
        <w:tab/>
        <w:t xml:space="preserve">uzimajući u obzir Delegiranu uredbu Komisije (EU) 2019/715 od 18. prosinca 2018. o okvirnoj financijskoj uredbi za tijela osnovana na temelju </w:t>
      </w:r>
      <w:r w:rsidRPr="00D149ED">
        <w:t>U</w:t>
      </w:r>
      <w:r w:rsidR="00D149ED">
        <w:t>govora o funkcioniranju Europske unije</w:t>
      </w:r>
      <w:r w:rsidRPr="00F4070E">
        <w:t xml:space="preserve"> i Ugovora o </w:t>
      </w:r>
      <w:proofErr w:type="spellStart"/>
      <w:r w:rsidRPr="00F4070E">
        <w:t>Euratomu</w:t>
      </w:r>
      <w:proofErr w:type="spellEnd"/>
      <w:r w:rsidRPr="00F4070E">
        <w:t xml:space="preserve"> na koja se upućuje u članku 70. Uredbe (EU, Euratom) 2018/1046 Europskog parlamenta i Vijeća</w:t>
      </w:r>
      <w:r w:rsidRPr="00F4070E">
        <w:rPr>
          <w:rStyle w:val="FootnoteReference"/>
        </w:rPr>
        <w:footnoteReference w:id="6"/>
      </w:r>
      <w:r w:rsidRPr="00F4070E">
        <w:t>, a posebno njezin članak 105.,</w:t>
      </w:r>
    </w:p>
    <w:p w14:paraId="607ABB4D" w14:textId="77777777" w:rsidR="00C56192" w:rsidRPr="00F4070E" w:rsidRDefault="00C56192" w:rsidP="00C56192">
      <w:pPr>
        <w:pStyle w:val="NormalHanging12a"/>
      </w:pPr>
      <w:r w:rsidRPr="00F4070E">
        <w:t>–</w:t>
      </w:r>
      <w:r w:rsidRPr="00F4070E">
        <w:tab/>
        <w:t>uzimajući u obzir članak 102. Poslovnika i Prilog V. Poslovniku,</w:t>
      </w:r>
    </w:p>
    <w:p w14:paraId="5F706551" w14:textId="77777777" w:rsidR="00C56192" w:rsidRPr="00F4070E" w:rsidRDefault="00C56192" w:rsidP="00C56192">
      <w:pPr>
        <w:pStyle w:val="NormalHanging12a"/>
      </w:pPr>
      <w:r w:rsidRPr="00F4070E">
        <w:t>–</w:t>
      </w:r>
      <w:r w:rsidRPr="00F4070E">
        <w:tab/>
        <w:t>uzimajući u obzir mišljenje Odbora za građanske slobode, pravosuđe i unutarnje poslove,</w:t>
      </w:r>
    </w:p>
    <w:p w14:paraId="75EBC74A" w14:textId="77777777" w:rsidR="00C56192" w:rsidRPr="00F4070E" w:rsidRDefault="00C56192" w:rsidP="00C56192">
      <w:pPr>
        <w:pStyle w:val="NormalHanging12a"/>
      </w:pPr>
      <w:r w:rsidRPr="00F4070E">
        <w:t>–</w:t>
      </w:r>
      <w:r w:rsidRPr="00F4070E">
        <w:tab/>
        <w:t>uzimajući u obzir izvješće Odbora za proračunski nadzor (A10-0050/2026),</w:t>
      </w:r>
    </w:p>
    <w:p w14:paraId="71494D2D" w14:textId="77777777" w:rsidR="00C56192" w:rsidRPr="00F4070E" w:rsidRDefault="00C56192" w:rsidP="00C56192">
      <w:pPr>
        <w:pStyle w:val="NormalHanging12a"/>
      </w:pPr>
      <w:r w:rsidRPr="00F4070E">
        <w:t>1.</w:t>
      </w:r>
      <w:r w:rsidRPr="00F4070E">
        <w:tab/>
        <w:t>daje razrješnicu upravnoj direktorici Ureda europskog javnog tužitelja za izvršenje proračuna Ureda europskog javnog tužitelja za financijsku godinu 2024.;</w:t>
      </w:r>
    </w:p>
    <w:p w14:paraId="2422BBBF" w14:textId="77777777" w:rsidR="00C56192" w:rsidRPr="00F4070E" w:rsidRDefault="00C56192" w:rsidP="00C56192">
      <w:pPr>
        <w:pStyle w:val="NormalHanging12a"/>
      </w:pPr>
      <w:r w:rsidRPr="00F4070E">
        <w:t>2.</w:t>
      </w:r>
      <w:r w:rsidRPr="00F4070E">
        <w:tab/>
        <w:t>iznosi svoje primjedbe u Rezoluciji u nastavku;</w:t>
      </w:r>
    </w:p>
    <w:p w14:paraId="638966BA" w14:textId="1C78030B" w:rsidR="00C56192" w:rsidRPr="00F4070E" w:rsidRDefault="00C56192" w:rsidP="00C56192">
      <w:pPr>
        <w:pStyle w:val="NormalHanging12a"/>
      </w:pPr>
      <w:r w:rsidRPr="00F4070E">
        <w:t>3.</w:t>
      </w:r>
      <w:r w:rsidRPr="00F4070E">
        <w:tab/>
        <w:t xml:space="preserve">nalaže svojoj predsjednici da ovu Odluku i Rezoluciju, koja je njezin sastavni dio, proslijedi upravnoj direktorici Ureda europskog javnog tužitelja, </w:t>
      </w:r>
      <w:r w:rsidR="00E2026B">
        <w:t xml:space="preserve">Europskom vijeću, </w:t>
      </w:r>
      <w:r w:rsidRPr="00F4070E">
        <w:t xml:space="preserve">Vijeću, Komisiji i Revizorskom sudu te da ih da na objavu u </w:t>
      </w:r>
      <w:r w:rsidRPr="00F4070E">
        <w:rPr>
          <w:i/>
        </w:rPr>
        <w:t>Službenom listu Europske unije</w:t>
      </w:r>
      <w:r w:rsidRPr="00F4070E">
        <w:t xml:space="preserve"> (serija L).</w:t>
      </w:r>
    </w:p>
    <w:p w14:paraId="2936CD55" w14:textId="77777777" w:rsidR="00C56192" w:rsidRPr="00F4070E" w:rsidRDefault="00C56192" w:rsidP="00C56192"/>
    <w:p w14:paraId="366FEE9A" w14:textId="77777777" w:rsidR="00C56192" w:rsidRPr="00F4070E" w:rsidRDefault="00C56192" w:rsidP="00C56192">
      <w:pPr>
        <w:pStyle w:val="PageHeading"/>
        <w:sectPr w:rsidR="00C56192" w:rsidRPr="00F4070E" w:rsidSect="007F4FE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8AD0A5" w14:textId="508F8F46" w:rsidR="00C56192" w:rsidRPr="00F4070E" w:rsidRDefault="00C56192" w:rsidP="00F4070E">
      <w:pPr>
        <w:pStyle w:val="PageHeading"/>
        <w:jc w:val="left"/>
        <w:rPr>
          <w:rFonts w:ascii="Times New Roman" w:hAnsi="Times New Roman" w:cs="Times New Roman"/>
        </w:rPr>
      </w:pPr>
      <w:bookmarkStart w:id="9" w:name="_Toc227249433"/>
      <w:r w:rsidRPr="00F4070E">
        <w:rPr>
          <w:rFonts w:ascii="Times New Roman" w:hAnsi="Times New Roman" w:cs="Times New Roman"/>
        </w:rPr>
        <w:lastRenderedPageBreak/>
        <w:t xml:space="preserve">2. </w:t>
      </w:r>
      <w:r w:rsidR="00F4070E">
        <w:rPr>
          <w:rFonts w:ascii="Times New Roman" w:hAnsi="Times New Roman" w:cs="Times New Roman"/>
        </w:rPr>
        <w:t>O</w:t>
      </w:r>
      <w:r w:rsidR="00F4070E" w:rsidRPr="00F4070E">
        <w:rPr>
          <w:rFonts w:ascii="Times New Roman" w:hAnsi="Times New Roman" w:cs="Times New Roman"/>
        </w:rPr>
        <w:t xml:space="preserve">dluka </w:t>
      </w:r>
      <w:r w:rsidR="00F4070E">
        <w:rPr>
          <w:rFonts w:ascii="Times New Roman" w:hAnsi="Times New Roman" w:cs="Times New Roman"/>
        </w:rPr>
        <w:t>E</w:t>
      </w:r>
      <w:r w:rsidR="00F4070E" w:rsidRPr="00F4070E">
        <w:rPr>
          <w:rFonts w:ascii="Times New Roman" w:hAnsi="Times New Roman" w:cs="Times New Roman"/>
        </w:rPr>
        <w:t>uropskog parlamenta</w:t>
      </w:r>
      <w:bookmarkEnd w:id="9"/>
      <w:r w:rsidR="00F4070E" w:rsidRPr="00F4070E">
        <w:rPr>
          <w:rFonts w:ascii="Times New Roman" w:hAnsi="Times New Roman" w:cs="Times New Roman"/>
        </w:rPr>
        <w:t xml:space="preserve"> </w:t>
      </w:r>
      <w:r w:rsidR="00F4070E">
        <w:rPr>
          <w:rFonts w:ascii="Times New Roman" w:hAnsi="Times New Roman" w:cs="Times New Roman"/>
        </w:rPr>
        <w:t xml:space="preserve">od 29. travnja 2026. </w:t>
      </w:r>
      <w:r w:rsidRPr="00F4070E">
        <w:rPr>
          <w:rFonts w:ascii="Times New Roman" w:hAnsi="Times New Roman" w:cs="Times New Roman"/>
        </w:rPr>
        <w:t>o zaključenju poslovnih knjiga Ureda europskog javnog tužitelja za financijsku godinu 2024.</w:t>
      </w:r>
      <w:r w:rsidR="00F4070E" w:rsidRPr="00F4070E">
        <w:rPr>
          <w:rFonts w:ascii="Times New Roman" w:hAnsi="Times New Roman" w:cs="Times New Roman"/>
        </w:rPr>
        <w:t xml:space="preserve"> </w:t>
      </w:r>
      <w:r w:rsidR="009640B5">
        <w:rPr>
          <w:rFonts w:ascii="Times New Roman" w:hAnsi="Times New Roman" w:cs="Times New Roman"/>
        </w:rPr>
        <w:t>(</w:t>
      </w:r>
      <w:r w:rsidRPr="00F4070E">
        <w:rPr>
          <w:rFonts w:ascii="Times New Roman" w:hAnsi="Times New Roman" w:cs="Times New Roman"/>
        </w:rPr>
        <w:t>2025/2155(DEC)</w:t>
      </w:r>
      <w:r w:rsidR="009640B5">
        <w:rPr>
          <w:rFonts w:ascii="Times New Roman" w:hAnsi="Times New Roman" w:cs="Times New Roman"/>
        </w:rPr>
        <w:t>)</w:t>
      </w:r>
    </w:p>
    <w:p w14:paraId="497332B1" w14:textId="77777777" w:rsidR="00C56192" w:rsidRPr="00F4070E" w:rsidRDefault="00C56192" w:rsidP="00C56192">
      <w:pPr>
        <w:pStyle w:val="EPComma"/>
      </w:pPr>
      <w:r w:rsidRPr="00F4070E">
        <w:rPr>
          <w:i/>
        </w:rPr>
        <w:t>Europski parlament</w:t>
      </w:r>
      <w:r w:rsidRPr="00F4070E">
        <w:t>,</w:t>
      </w:r>
    </w:p>
    <w:p w14:paraId="636C8797" w14:textId="77777777" w:rsidR="00C56192" w:rsidRPr="00F4070E" w:rsidRDefault="00C56192" w:rsidP="00C56192">
      <w:pPr>
        <w:pStyle w:val="NormalHanging12a"/>
      </w:pPr>
      <w:r w:rsidRPr="00F4070E">
        <w:t>–</w:t>
      </w:r>
      <w:r w:rsidRPr="00F4070E">
        <w:tab/>
        <w:t>uzimajući u obzir završnu godišnju računovodstvenu dokumentaciju Ureda europskog javnog tužitelja za financijsku godinu 2024.,</w:t>
      </w:r>
    </w:p>
    <w:p w14:paraId="559A9D25" w14:textId="77777777" w:rsidR="00C56192" w:rsidRPr="00F4070E" w:rsidRDefault="00C56192" w:rsidP="00C56192">
      <w:pPr>
        <w:pStyle w:val="NormalHanging12a"/>
      </w:pPr>
      <w:r w:rsidRPr="00F4070E">
        <w:t>–</w:t>
      </w:r>
      <w:r w:rsidRPr="00F4070E">
        <w:tab/>
        <w:t>uzimajući u obzir godišnje izvješće Revizorskog suda o agencijama EU-a za financijsku godinu 2024., kojemu su priloženi odgovori agencija</w:t>
      </w:r>
      <w:r w:rsidRPr="00F4070E">
        <w:rPr>
          <w:rStyle w:val="FootnoteReference"/>
        </w:rPr>
        <w:footnoteReference w:id="7"/>
      </w:r>
      <w:r w:rsidRPr="00F4070E">
        <w:t>,</w:t>
      </w:r>
    </w:p>
    <w:p w14:paraId="278B86DC" w14:textId="5ACF8E95" w:rsidR="00C56192" w:rsidRPr="00F4070E" w:rsidRDefault="00C56192" w:rsidP="00C56192">
      <w:pPr>
        <w:pStyle w:val="NormalHanging12a"/>
      </w:pPr>
      <w:r w:rsidRPr="00F4070E">
        <w:t>–</w:t>
      </w:r>
      <w:r w:rsidRPr="00F4070E">
        <w:tab/>
        <w:t>uzimajući u obzir izjavu o jamstvu</w:t>
      </w:r>
      <w:r w:rsidRPr="00F4070E">
        <w:rPr>
          <w:rStyle w:val="FootnoteReference"/>
        </w:rPr>
        <w:footnoteReference w:id="8"/>
      </w:r>
      <w:r w:rsidRPr="00F4070E">
        <w:t xml:space="preserve"> u pogledu pouzdanosti računovodstvene dokumentacije te zakonitosti i pravilnosti </w:t>
      </w:r>
      <w:r w:rsidR="002B608D">
        <w:t>temeljnih</w:t>
      </w:r>
      <w:r w:rsidRPr="00F4070E">
        <w:t xml:space="preserve"> transakcija, koju je u skladu s člankom 287. Ugovora o funkcioniranju Europske unije Revizorski sud podnio za financijsku godinu 2024.,</w:t>
      </w:r>
    </w:p>
    <w:p w14:paraId="2EC16769" w14:textId="77777777" w:rsidR="00C56192" w:rsidRPr="00F4070E" w:rsidRDefault="00C56192" w:rsidP="00C56192">
      <w:pPr>
        <w:pStyle w:val="NormalHanging12a"/>
      </w:pPr>
      <w:r w:rsidRPr="00F4070E">
        <w:t>–</w:t>
      </w:r>
      <w:r w:rsidRPr="00F4070E">
        <w:tab/>
        <w:t>uzimajući u obzir preporuku Vijeća od 2. ožujka 2026. o razrješnici koja se dodjeljuje Uredu europskog javnog tužitelja za izvršenje proračuna za financijsku godinu 2024. (05749/2026 – C10</w:t>
      </w:r>
      <w:r w:rsidRPr="00F4070E">
        <w:noBreakHyphen/>
        <w:t>0047/2026),</w:t>
      </w:r>
    </w:p>
    <w:p w14:paraId="4CA8F78B" w14:textId="77777777" w:rsidR="00C56192" w:rsidRPr="00F4070E" w:rsidRDefault="00C56192" w:rsidP="00C56192">
      <w:pPr>
        <w:pStyle w:val="NormalHanging12a"/>
      </w:pPr>
      <w:r w:rsidRPr="00F4070E">
        <w:t>–</w:t>
      </w:r>
      <w:r w:rsidRPr="00F4070E">
        <w:tab/>
        <w:t>uzimajući u obzir članak 319. Ugovora o funkcioniranju Europske unije,</w:t>
      </w:r>
    </w:p>
    <w:p w14:paraId="092D6584" w14:textId="77777777" w:rsidR="00C56192" w:rsidRPr="00F4070E" w:rsidRDefault="00C56192" w:rsidP="00C56192">
      <w:pPr>
        <w:pStyle w:val="NormalHanging12a"/>
      </w:pPr>
      <w:r w:rsidRPr="00F4070E">
        <w:t>–</w:t>
      </w:r>
      <w:r w:rsidRPr="00F4070E">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4070E">
        <w:rPr>
          <w:rStyle w:val="FootnoteReference"/>
        </w:rPr>
        <w:footnoteReference w:id="9"/>
      </w:r>
      <w:r w:rsidRPr="00F4070E">
        <w:t>, a posebno njezin članak 70.,</w:t>
      </w:r>
    </w:p>
    <w:p w14:paraId="2D9C4083" w14:textId="77777777" w:rsidR="00C56192" w:rsidRPr="00F4070E" w:rsidRDefault="00C56192" w:rsidP="00C56192">
      <w:pPr>
        <w:pStyle w:val="NormalHanging12a"/>
      </w:pPr>
      <w:r w:rsidRPr="00F4070E">
        <w:t>–</w:t>
      </w:r>
      <w:r w:rsidRPr="00F4070E">
        <w:tab/>
        <w:t>uzimajući u obzir Uredbu (EU, Euratom) 2024/2509 Europskog parlamenta i Vijeća od 23. rujna 2024. o financijskim pravilima koja se primjenjuju na opći proračun Unije</w:t>
      </w:r>
      <w:r w:rsidRPr="00F4070E">
        <w:rPr>
          <w:rStyle w:val="FootnoteReference"/>
        </w:rPr>
        <w:footnoteReference w:id="10"/>
      </w:r>
      <w:r w:rsidRPr="00F4070E">
        <w:t>, a posebno njezin članak 70.,</w:t>
      </w:r>
    </w:p>
    <w:p w14:paraId="5E63A6F9" w14:textId="77777777" w:rsidR="00C56192" w:rsidRPr="00F4070E" w:rsidRDefault="00C56192" w:rsidP="00C56192">
      <w:pPr>
        <w:pStyle w:val="NormalHanging12a"/>
      </w:pPr>
      <w:r w:rsidRPr="00F4070E">
        <w:t>–</w:t>
      </w:r>
      <w:r w:rsidRPr="00F4070E">
        <w:tab/>
        <w:t>uzimajući u obzir Uredbu Vijeća (EU) 2017/1939 od 12. listopada 2017. o provedbi pojačane suradnje u vezi s osnivanjem Ureda europskog javnog tužitelja</w:t>
      </w:r>
      <w:r w:rsidRPr="00F4070E">
        <w:rPr>
          <w:rStyle w:val="FootnoteReference"/>
        </w:rPr>
        <w:footnoteReference w:id="11"/>
      </w:r>
      <w:r w:rsidRPr="00F4070E">
        <w:t>, a posebno njezin članak 94.,</w:t>
      </w:r>
    </w:p>
    <w:p w14:paraId="30097FF1" w14:textId="2B9BE572" w:rsidR="00C56192" w:rsidRPr="00F4070E" w:rsidRDefault="00C56192" w:rsidP="00C56192">
      <w:pPr>
        <w:pStyle w:val="NormalHanging12a"/>
      </w:pPr>
      <w:r w:rsidRPr="00F4070E">
        <w:t>–</w:t>
      </w:r>
      <w:r w:rsidRPr="00F4070E">
        <w:tab/>
        <w:t xml:space="preserve">uzimajući u obzir Delegiranu uredbu Komisije (EU) 2019/715 od 18. prosinca 2018. o okvirnoj financijskoj uredbi za tijela osnovana na temelju </w:t>
      </w:r>
      <w:r w:rsidRPr="00D149ED">
        <w:t>U</w:t>
      </w:r>
      <w:r w:rsidR="00D149ED">
        <w:t>govora o funkcioniranju Europske unije</w:t>
      </w:r>
      <w:r w:rsidRPr="00F4070E">
        <w:t xml:space="preserve"> i Ugovora o </w:t>
      </w:r>
      <w:proofErr w:type="spellStart"/>
      <w:r w:rsidRPr="00F4070E">
        <w:t>Euratomu</w:t>
      </w:r>
      <w:proofErr w:type="spellEnd"/>
      <w:r w:rsidRPr="00F4070E">
        <w:t xml:space="preserve"> na koja se upućuje u članku 70. Uredbe (EU, Euratom) 2018/1046 Europskog parlamenta i Vijeća</w:t>
      </w:r>
      <w:r w:rsidRPr="00F4070E">
        <w:rPr>
          <w:rStyle w:val="FootnoteReference"/>
        </w:rPr>
        <w:footnoteReference w:id="12"/>
      </w:r>
      <w:r w:rsidRPr="00F4070E">
        <w:t>, a posebno njezin članak 105.,</w:t>
      </w:r>
    </w:p>
    <w:p w14:paraId="777E0016" w14:textId="77777777" w:rsidR="00C56192" w:rsidRPr="00F4070E" w:rsidRDefault="00C56192" w:rsidP="00C56192">
      <w:pPr>
        <w:pStyle w:val="NormalHanging12a"/>
      </w:pPr>
      <w:r w:rsidRPr="00F4070E">
        <w:t>–</w:t>
      </w:r>
      <w:r w:rsidRPr="00F4070E">
        <w:tab/>
        <w:t>uzimajući u obzir članak 102. Poslovnika i Prilog V. Poslovniku,</w:t>
      </w:r>
    </w:p>
    <w:p w14:paraId="37D64D65" w14:textId="77777777" w:rsidR="00C56192" w:rsidRPr="00F4070E" w:rsidRDefault="00C56192" w:rsidP="00C56192">
      <w:pPr>
        <w:pStyle w:val="NormalHanging12a"/>
      </w:pPr>
      <w:r w:rsidRPr="00F4070E">
        <w:t>–</w:t>
      </w:r>
      <w:r w:rsidRPr="00F4070E">
        <w:tab/>
        <w:t xml:space="preserve">uzimajući u obzir mišljenje Odbora za građanske slobode, pravosuđe i unutarnje </w:t>
      </w:r>
      <w:r w:rsidRPr="00F4070E">
        <w:lastRenderedPageBreak/>
        <w:t>poslove,</w:t>
      </w:r>
    </w:p>
    <w:p w14:paraId="3363E9D8" w14:textId="77777777" w:rsidR="00C56192" w:rsidRPr="00F4070E" w:rsidRDefault="00C56192" w:rsidP="00C56192">
      <w:pPr>
        <w:pStyle w:val="NormalHanging12a"/>
      </w:pPr>
      <w:r w:rsidRPr="00F4070E">
        <w:t>–</w:t>
      </w:r>
      <w:r w:rsidRPr="00F4070E">
        <w:tab/>
        <w:t>uzimajući u obzir izvješće Odbora za proračunski nadzor (A10-0050/2026),</w:t>
      </w:r>
    </w:p>
    <w:p w14:paraId="1B0EC841" w14:textId="77777777" w:rsidR="00C56192" w:rsidRPr="00F4070E" w:rsidRDefault="00C56192" w:rsidP="00C56192">
      <w:pPr>
        <w:pStyle w:val="NormalHanging12a"/>
        <w:ind w:hanging="570"/>
      </w:pPr>
      <w:r w:rsidRPr="00F4070E">
        <w:t>1.</w:t>
      </w:r>
      <w:r w:rsidRPr="00F4070E">
        <w:tab/>
        <w:t>odobrava zaključenje poslovnih knjiga Ureda europskog javnog tužitelja za financijsku godinu 2024.;</w:t>
      </w:r>
    </w:p>
    <w:p w14:paraId="212535B7" w14:textId="16781455" w:rsidR="00C56192" w:rsidRPr="00F4070E" w:rsidRDefault="00C56192" w:rsidP="00C56192">
      <w:pPr>
        <w:pStyle w:val="NormalHanging12a"/>
        <w:ind w:hanging="570"/>
      </w:pPr>
      <w:r w:rsidRPr="00F4070E">
        <w:t>2.</w:t>
      </w:r>
      <w:r w:rsidRPr="00F4070E">
        <w:tab/>
        <w:t>nalaže svojoj predsjednici da ovu Odluku proslijedi upravno</w:t>
      </w:r>
      <w:r w:rsidR="002B608D">
        <w:t>j</w:t>
      </w:r>
      <w:r w:rsidRPr="00F4070E">
        <w:t xml:space="preserve"> direktor</w:t>
      </w:r>
      <w:r w:rsidR="002B608D">
        <w:t>ici</w:t>
      </w:r>
      <w:r w:rsidRPr="00F4070E">
        <w:t xml:space="preserve"> Ureda europskog javnog tužitelja, Europskom vijeću, Vijeću, Komisiji i Revizorskom sudu te da je da na objavu u </w:t>
      </w:r>
      <w:r w:rsidRPr="00F4070E">
        <w:rPr>
          <w:i/>
        </w:rPr>
        <w:t>Službenom listu Europske unije</w:t>
      </w:r>
      <w:r w:rsidRPr="00F4070E">
        <w:t xml:space="preserve"> (serija L).</w:t>
      </w:r>
    </w:p>
    <w:p w14:paraId="2B8A67A0" w14:textId="77777777" w:rsidR="00C56192" w:rsidRPr="00F4070E" w:rsidRDefault="00C56192" w:rsidP="00C56192">
      <w:pPr>
        <w:pStyle w:val="PageHeading"/>
        <w:ind w:left="567"/>
        <w:sectPr w:rsidR="00C56192" w:rsidRPr="00F4070E" w:rsidSect="007F4FE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176A95" w14:textId="4099AB88" w:rsidR="00C56192" w:rsidRPr="00F4070E" w:rsidRDefault="00C56192" w:rsidP="00F4070E">
      <w:pPr>
        <w:pStyle w:val="PageHeading"/>
        <w:jc w:val="left"/>
        <w:rPr>
          <w:rFonts w:ascii="Times New Roman" w:hAnsi="Times New Roman" w:cs="Times New Roman"/>
        </w:rPr>
      </w:pPr>
      <w:bookmarkStart w:id="10" w:name="_Toc227249434"/>
      <w:r w:rsidRPr="00F4070E">
        <w:rPr>
          <w:rFonts w:ascii="Times New Roman" w:hAnsi="Times New Roman" w:cs="Times New Roman"/>
        </w:rPr>
        <w:lastRenderedPageBreak/>
        <w:t xml:space="preserve">3. </w:t>
      </w:r>
      <w:r w:rsidR="00F4070E">
        <w:rPr>
          <w:rFonts w:ascii="Times New Roman" w:hAnsi="Times New Roman" w:cs="Times New Roman"/>
        </w:rPr>
        <w:t>R</w:t>
      </w:r>
      <w:r w:rsidR="00F4070E" w:rsidRPr="00F4070E">
        <w:rPr>
          <w:rFonts w:ascii="Times New Roman" w:hAnsi="Times New Roman" w:cs="Times New Roman"/>
        </w:rPr>
        <w:t xml:space="preserve">ezolucija </w:t>
      </w:r>
      <w:r w:rsidR="00F4070E">
        <w:rPr>
          <w:rFonts w:ascii="Times New Roman" w:hAnsi="Times New Roman" w:cs="Times New Roman"/>
        </w:rPr>
        <w:t>E</w:t>
      </w:r>
      <w:r w:rsidR="00F4070E" w:rsidRPr="00F4070E">
        <w:rPr>
          <w:rFonts w:ascii="Times New Roman" w:hAnsi="Times New Roman" w:cs="Times New Roman"/>
        </w:rPr>
        <w:t>uropskog parlamenta</w:t>
      </w:r>
      <w:bookmarkEnd w:id="10"/>
      <w:r w:rsidR="00F4070E" w:rsidRPr="00F4070E">
        <w:rPr>
          <w:rFonts w:ascii="Times New Roman" w:hAnsi="Times New Roman" w:cs="Times New Roman"/>
        </w:rPr>
        <w:t xml:space="preserve"> </w:t>
      </w:r>
      <w:r w:rsidR="00F4070E">
        <w:rPr>
          <w:rFonts w:ascii="Times New Roman" w:hAnsi="Times New Roman" w:cs="Times New Roman"/>
        </w:rPr>
        <w:t xml:space="preserve">od 29. travnja 2026. </w:t>
      </w:r>
      <w:r w:rsidRPr="00F4070E">
        <w:rPr>
          <w:rFonts w:ascii="Times New Roman" w:hAnsi="Times New Roman" w:cs="Times New Roman"/>
        </w:rPr>
        <w:t>s primjedbama koje su sastavni dio Odluke o razrješnici za izvršenje proračuna Ureda europskog javnog tužitelja za financijsku godinu 2024.</w:t>
      </w:r>
      <w:r w:rsidR="00F4070E" w:rsidRPr="00F4070E">
        <w:rPr>
          <w:rFonts w:ascii="Times New Roman" w:hAnsi="Times New Roman" w:cs="Times New Roman"/>
        </w:rPr>
        <w:t xml:space="preserve"> </w:t>
      </w:r>
      <w:r w:rsidRPr="00F4070E">
        <w:rPr>
          <w:rFonts w:ascii="Times New Roman" w:hAnsi="Times New Roman" w:cs="Times New Roman"/>
        </w:rPr>
        <w:t>(2025/2155(DEC))</w:t>
      </w:r>
    </w:p>
    <w:p w14:paraId="3860A94D" w14:textId="77777777" w:rsidR="00C56192" w:rsidRPr="00F4070E" w:rsidRDefault="00C56192" w:rsidP="00C56192">
      <w:pPr>
        <w:pStyle w:val="EPComma"/>
      </w:pPr>
      <w:r w:rsidRPr="00F4070E">
        <w:rPr>
          <w:i/>
        </w:rPr>
        <w:t>Europski parlament</w:t>
      </w:r>
      <w:r w:rsidRPr="00F4070E">
        <w:t>,</w:t>
      </w:r>
    </w:p>
    <w:p w14:paraId="6F4BBA46" w14:textId="77777777" w:rsidR="00C56192" w:rsidRPr="00F4070E" w:rsidRDefault="00C56192" w:rsidP="00C56192">
      <w:pPr>
        <w:pStyle w:val="NormalHanging12a"/>
      </w:pPr>
      <w:r w:rsidRPr="00F4070E">
        <w:t>–</w:t>
      </w:r>
      <w:r w:rsidRPr="00F4070E">
        <w:tab/>
        <w:t>uzimajući u obzir svoju Odluku o razrješnici za izvršenje proračuna Ureda europskog javnog tužitelja za financijsku godinu 2024.,</w:t>
      </w:r>
    </w:p>
    <w:p w14:paraId="4735FE53" w14:textId="77777777" w:rsidR="00C56192" w:rsidRPr="00F4070E" w:rsidRDefault="00C56192" w:rsidP="00C56192">
      <w:pPr>
        <w:pStyle w:val="NormalHanging12a"/>
      </w:pPr>
      <w:r w:rsidRPr="00F4070E">
        <w:t>–</w:t>
      </w:r>
      <w:r w:rsidRPr="00F4070E">
        <w:tab/>
        <w:t>uzimajući u obzir članak 102. Poslovnika i Prilog V. Poslovniku,</w:t>
      </w:r>
    </w:p>
    <w:p w14:paraId="7D6A8965" w14:textId="77777777" w:rsidR="00C56192" w:rsidRPr="00F4070E" w:rsidRDefault="00C56192" w:rsidP="00C56192">
      <w:pPr>
        <w:pStyle w:val="NormalHanging12a"/>
      </w:pPr>
      <w:r w:rsidRPr="00F4070E">
        <w:t>–</w:t>
      </w:r>
      <w:r w:rsidRPr="00F4070E">
        <w:tab/>
        <w:t>uzimajući u obzir mišljenje Odbora za građanske slobode, pravosuđe i unutarnje poslove,</w:t>
      </w:r>
    </w:p>
    <w:p w14:paraId="7B25E053" w14:textId="77777777" w:rsidR="00C56192" w:rsidRPr="00F4070E" w:rsidRDefault="00C56192" w:rsidP="00C56192">
      <w:pPr>
        <w:pStyle w:val="NormalHanging12a"/>
      </w:pPr>
      <w:r w:rsidRPr="00F4070E">
        <w:t>–</w:t>
      </w:r>
      <w:r w:rsidRPr="00F4070E">
        <w:tab/>
        <w:t>uzimajući u obzir izvješće Odbora za proračunski nadzor (A10-0050/2026),</w:t>
      </w:r>
    </w:p>
    <w:p w14:paraId="771BBB12" w14:textId="77777777" w:rsidR="00C56192" w:rsidRPr="00F4070E" w:rsidRDefault="00C56192" w:rsidP="00C56192">
      <w:pPr>
        <w:pStyle w:val="NormalHanging12a"/>
        <w:rPr>
          <w:szCs w:val="24"/>
        </w:rPr>
      </w:pPr>
      <w:r w:rsidRPr="00F4070E">
        <w:t>A.</w:t>
      </w:r>
      <w:r w:rsidRPr="00F4070E">
        <w:tab/>
        <w:t>budući da je Ured europskog javnog tužitelja (EPPO) neovisan ured javnog tužitelja Unije, odgovoran za istragu i progon kaznenih djela protiv financijskih interesa Unije i za podizanje optužnica protiv počinitelja i sudionika kaznenih djela predviđenih u Direktivi (EU) 2017/1371 Europskog parlamenta i Vijeća</w:t>
      </w:r>
      <w:r w:rsidRPr="00F4070E">
        <w:rPr>
          <w:rStyle w:val="FootnoteReference"/>
          <w:szCs w:val="24"/>
        </w:rPr>
        <w:footnoteReference w:id="13"/>
      </w:r>
      <w:r w:rsidRPr="00F4070E">
        <w:t xml:space="preserve"> (kaznena djela povezana sa zaštitom financijskih interesa EU-a) i navedenih u Uredbi Vijeća (EU) 2017/1939</w:t>
      </w:r>
      <w:r w:rsidRPr="00F4070E">
        <w:rPr>
          <w:rStyle w:val="FootnoteReference"/>
          <w:szCs w:val="24"/>
        </w:rPr>
        <w:footnoteReference w:id="14"/>
      </w:r>
      <w:r w:rsidRPr="00F4070E">
        <w:t>;</w:t>
      </w:r>
    </w:p>
    <w:p w14:paraId="7DE4A988" w14:textId="2B107CDC" w:rsidR="00C56192" w:rsidRPr="00F4070E" w:rsidRDefault="00C56192" w:rsidP="00C56192">
      <w:pPr>
        <w:pStyle w:val="NormalHanging12a"/>
        <w:rPr>
          <w:szCs w:val="24"/>
        </w:rPr>
      </w:pPr>
      <w:r w:rsidRPr="00F4070E">
        <w:t>B.</w:t>
      </w:r>
      <w:r w:rsidRPr="00F4070E">
        <w:tab/>
        <w:t>budući da nadležnost EPPO-a obuhvaća nekoliko vrsta prevara te uključuje prekogranične prevare u vezi s PDV-om sa štetom većom od 10 milijuna EUR, pranje novca, korupciju i druga kaznena djela u pogledu kojih EPPO obavlja funkcije tužitelja pred nadležnim sudovima država članica sudionica do zaključenja predmeta;</w:t>
      </w:r>
    </w:p>
    <w:p w14:paraId="4848BA52" w14:textId="3292C38A" w:rsidR="00C56192" w:rsidRPr="00F4070E" w:rsidRDefault="00C56192" w:rsidP="00C56192">
      <w:pPr>
        <w:pStyle w:val="NormalHanging12a"/>
        <w:rPr>
          <w:szCs w:val="24"/>
        </w:rPr>
      </w:pPr>
      <w:r w:rsidRPr="00F4070E">
        <w:t>C.</w:t>
      </w:r>
      <w:r w:rsidRPr="00F4070E">
        <w:tab/>
        <w:t>budući da je EPPO jedna od komponenti arhitekture Unije za borbu protiv prijevara pa su, kao takve, njegove radnje usklađene s radnjama drugih komponenti arhitekture te ih nadopunjuju kako bi se na taj način postigla pojednostavljena, učinkovita koordinacija koja povećava ukupnu učinkovitost spomenute arhitekture;</w:t>
      </w:r>
    </w:p>
    <w:p w14:paraId="2920B5A1" w14:textId="436440C7" w:rsidR="00C56192" w:rsidRPr="00F4070E" w:rsidRDefault="00C56192" w:rsidP="00C56192">
      <w:pPr>
        <w:pStyle w:val="NormalHanging12a"/>
        <w:rPr>
          <w:szCs w:val="24"/>
        </w:rPr>
      </w:pPr>
      <w:r w:rsidRPr="00F4070E">
        <w:t>D.</w:t>
      </w:r>
      <w:r w:rsidRPr="00F4070E">
        <w:tab/>
        <w:t>budući da je EPPO integriran u nacionalne pravosudne sustave država članica sudionica te ima primarnu nadležnost za istragu i kazneni progon kaznenih djela koja utječu na financijske interese Unije, dok druge organizacije kao što su Agencija Europske unije za suradnju u kaznenom pravosuđu (</w:t>
      </w:r>
      <w:proofErr w:type="spellStart"/>
      <w:r w:rsidRPr="00F4070E">
        <w:t>Eurojust</w:t>
      </w:r>
      <w:proofErr w:type="spellEnd"/>
      <w:r w:rsidRPr="00F4070E">
        <w:t>), Europski ured za borbu protiv prijevara (OLAF) i Agencija Europske unije za suradnju tijela za izvršavanje zakonodavstva (</w:t>
      </w:r>
      <w:proofErr w:type="spellStart"/>
      <w:r w:rsidRPr="00F4070E">
        <w:t>Europol</w:t>
      </w:r>
      <w:proofErr w:type="spellEnd"/>
      <w:r w:rsidRPr="00F4070E">
        <w:t>), nemaju potrebne ovlasti za provedbu relevantnih kaznenih istraga i progona;</w:t>
      </w:r>
    </w:p>
    <w:p w14:paraId="66E4B328" w14:textId="7815DC3E" w:rsidR="00C56192" w:rsidRPr="00F4070E" w:rsidRDefault="00C56192" w:rsidP="00C56192">
      <w:pPr>
        <w:pStyle w:val="NormalHanging12a"/>
        <w:widowControl/>
        <w:rPr>
          <w:szCs w:val="24"/>
        </w:rPr>
      </w:pPr>
      <w:r w:rsidRPr="00F4070E">
        <w:t>E.</w:t>
      </w:r>
      <w:r w:rsidRPr="00F4070E">
        <w:tab/>
        <w:t xml:space="preserve">budući da </w:t>
      </w:r>
      <w:proofErr w:type="spellStart"/>
      <w:r w:rsidRPr="00F4070E">
        <w:t>postupovni</w:t>
      </w:r>
      <w:proofErr w:type="spellEnd"/>
      <w:r w:rsidRPr="00F4070E">
        <w:t xml:space="preserve"> akti EPPO-a podliježu sudskom preispitivanju koje provode nacionalni sudovi u skladu s nacionalnim pravom i da Sud Europske unije („Sud”) u vidu prethodnih odluka ili sudskih preispitivanja tih akata osigurava dosljednu primjenu </w:t>
      </w:r>
      <w:r w:rsidRPr="00F4070E">
        <w:lastRenderedPageBreak/>
        <w:t>prava Unije, a posebno ujednačeno tumačenje Uredbe (EU) 2017/1939 i Direktive (EU) 2017/1371;</w:t>
      </w:r>
    </w:p>
    <w:p w14:paraId="6EBA0548" w14:textId="79AF4170" w:rsidR="00C56192" w:rsidRPr="00F4070E" w:rsidRDefault="00C56192" w:rsidP="00C56192">
      <w:pPr>
        <w:pStyle w:val="NormalHanging12a"/>
        <w:rPr>
          <w:szCs w:val="24"/>
        </w:rPr>
      </w:pPr>
      <w:r w:rsidRPr="00F4070E">
        <w:t>F.</w:t>
      </w:r>
      <w:r w:rsidRPr="00F4070E">
        <w:tab/>
        <w:t>budući da se EPPO sastoji od središnje razine, sa sjedištem u Luksemburgu, koju čine glavni europski tužitelj, 24 europska tužitelja (po jedan iz svake države članice koja u njemu sudjeluje nakon što su se EPP-u pridružile Poljska i Švedska 20. ožujka odnosno 19. srpnja 2024.) i upravni direktor, te od decentralizirane, nacionalne razine, koju čine delegirani europski tužitelji u 24 države članice sudionice;</w:t>
      </w:r>
    </w:p>
    <w:p w14:paraId="71698FBE" w14:textId="536E5CE6" w:rsidR="00C56192" w:rsidRPr="00F4070E" w:rsidRDefault="00C56192" w:rsidP="00C56192">
      <w:pPr>
        <w:spacing w:after="240"/>
        <w:ind w:left="567" w:hanging="567"/>
        <w:rPr>
          <w:szCs w:val="24"/>
        </w:rPr>
      </w:pPr>
      <w:r w:rsidRPr="00F4070E">
        <w:t>G.</w:t>
      </w:r>
      <w:r w:rsidRPr="00F4070E">
        <w:tab/>
        <w:t>budući da na središnjoj razini glavni europski tužitelj i 24 europska tužitelja čine kolegij EPPO-a (dalje u tekstu „kolegij”) te su raspoređeni u 15 stalnih vijeća čija je zadaća nadzirati istrage i kazneni progon koje provode delegirani europski tužitelji na nacionalnoj razini, koji djeluju potpuno neovisno o svojim nacionalnim tijelima;</w:t>
      </w:r>
    </w:p>
    <w:p w14:paraId="79BC5E23" w14:textId="4BEEBD18" w:rsidR="00C56192" w:rsidRPr="00F4070E" w:rsidRDefault="00C56192" w:rsidP="00C56192">
      <w:pPr>
        <w:pStyle w:val="NormalHanging12a"/>
        <w:rPr>
          <w:szCs w:val="24"/>
        </w:rPr>
      </w:pPr>
      <w:r w:rsidRPr="00F4070E">
        <w:t>H.</w:t>
      </w:r>
      <w:r w:rsidRPr="00F4070E">
        <w:tab/>
        <w:t>budući da u skladu s člankom 93. Uredbe (EU) 2017/1939 upravni direktor EPPO-a, koji djeluje kao dužnosnik EPPO-a za ovjeravanje, izvršava proračun EPPO-a za koji je odgovoran, i to u okviru granica odobrenih u proračunu te svake godine šalje proračunskom tijelu Unije sve informacije relevantne za rezultate svih postupaka evaluacije;</w:t>
      </w:r>
    </w:p>
    <w:p w14:paraId="4A745721" w14:textId="20D91DE2" w:rsidR="00C56192" w:rsidRPr="00F4070E" w:rsidRDefault="00C56192" w:rsidP="00C56192">
      <w:pPr>
        <w:pStyle w:val="NormalHanging12a"/>
        <w:rPr>
          <w:szCs w:val="24"/>
        </w:rPr>
      </w:pPr>
      <w:r w:rsidRPr="00F4070E">
        <w:t>I.</w:t>
      </w:r>
      <w:r w:rsidRPr="00F4070E">
        <w:tab/>
        <w:t>budući da, u skladu s člankom 50. stavkom 2. financijskih pravila EPPO-a, računovodstveni službenik Komisije djeluje i kao računovodstveni službenik EPPO-a i odgovoran je za pripremu godišnje računovodstvene dokumentacije, koja se konsolidira s godišnjom računovodstvenom dokumentacijom Unije;</w:t>
      </w:r>
    </w:p>
    <w:p w14:paraId="6C3F74E9" w14:textId="445C2A9D" w:rsidR="00C56192" w:rsidRPr="00F4070E" w:rsidRDefault="00C56192" w:rsidP="00C56192">
      <w:pPr>
        <w:pStyle w:val="NormalHanging12a"/>
        <w:rPr>
          <w:szCs w:val="24"/>
        </w:rPr>
      </w:pPr>
      <w:r w:rsidRPr="00F4070E">
        <w:t>J.</w:t>
      </w:r>
      <w:r w:rsidRPr="00F4070E">
        <w:tab/>
        <w:t>budući da u skladu s aktualnim okvirom Revizorski sud preispituje završnu godišnju računovodstvenu dokumentaciju i da Vijeće preporučuje, a Europski parlament odlučuje hoće li dati razrješnicu upravnom direktoru EPPO-a u vezi s izvršenjem proračuna za određenu financijsku godinu;</w:t>
      </w:r>
    </w:p>
    <w:p w14:paraId="59750C5F" w14:textId="1EDB95C4" w:rsidR="00C56192" w:rsidRPr="00F4070E" w:rsidRDefault="00C56192" w:rsidP="00C56192">
      <w:pPr>
        <w:pStyle w:val="NormalHanging12a"/>
        <w:rPr>
          <w:szCs w:val="24"/>
        </w:rPr>
      </w:pPr>
      <w:r w:rsidRPr="00F4070E">
        <w:t>K.</w:t>
      </w:r>
      <w:r w:rsidRPr="00F4070E">
        <w:tab/>
        <w:t>budući da se pri nadzoru nad upravljanjem resursima EPPO-a i povezanim rashodima ne može zanemariti ispitivanje operativnih aktivnosti, uključujući metode njihova izvršenja te njihovih posljedica i učinka, kao i da se očekuje da se kontinuiranom evaluacijom u obzir uzimaju posebnosti radnji istraga i kaznenog progona kako bi se osiguralo da resursi ostanu dostatni te da se učinkovito troše kako bi se osigurao operativni uspjeh;</w:t>
      </w:r>
    </w:p>
    <w:p w14:paraId="7A6890EB" w14:textId="690D33AD" w:rsidR="00C56192" w:rsidRPr="00F4070E" w:rsidRDefault="00C56192" w:rsidP="00C56192">
      <w:pPr>
        <w:pStyle w:val="NormalHanging12a"/>
        <w:rPr>
          <w:szCs w:val="24"/>
        </w:rPr>
      </w:pPr>
      <w:r w:rsidRPr="00F4070E">
        <w:t>L.</w:t>
      </w:r>
      <w:r w:rsidRPr="00F4070E">
        <w:tab/>
        <w:t>budući da EPPO djeluje autonomno u izvršavanju svog proračuna tek od 24. lipnja 2021., a da je svoje operativne aktivnosti započeo 1. lipnja 2021., dana koji je ujedno i početak petogodišnjeg mandata navedenog u članku 119. Uredbe (EU) 2017/1939, nakon čijeg će isteka Komisija Parlamentu i Vijeću te nacionalnim parlamentima morati podnijeti evaluacijsko izvješće o provedbi i učinku takve uredbe te o djelotvornosti i učinkovitosti EPPO-a i njegovih radnih praksi, zajedno sa zaključcima;</w:t>
      </w:r>
    </w:p>
    <w:p w14:paraId="188C839B" w14:textId="3A846BE2" w:rsidR="00C56192" w:rsidRPr="00F4070E" w:rsidRDefault="00C56192" w:rsidP="00C56192">
      <w:pPr>
        <w:pStyle w:val="NormalHanging12a"/>
        <w:rPr>
          <w:szCs w:val="24"/>
        </w:rPr>
      </w:pPr>
      <w:r w:rsidRPr="00F4070E">
        <w:t>M.</w:t>
      </w:r>
      <w:r w:rsidRPr="00F4070E">
        <w:tab/>
        <w:t>budući da u skladu s člankom 119. stavkom 2. Uredbe (EU) 2017/1939 Komisija treba podnijeti zakonodavne prijedloge Parlamentu i Vijeću ako zaključi da su potrebna dodatna ili detaljnija pravila o osnivanju EPPO-a, njegovim funkcijama ili postupku koji se primjenjuje na njegove aktivnosti, uključujući njegove prekogranične istrage;</w:t>
      </w:r>
    </w:p>
    <w:p w14:paraId="61A18B14" w14:textId="052B967F" w:rsidR="00C56192" w:rsidRPr="00F4070E" w:rsidRDefault="00C56192" w:rsidP="00C56192">
      <w:pPr>
        <w:pStyle w:val="NormalHanging12a"/>
        <w:rPr>
          <w:szCs w:val="24"/>
        </w:rPr>
      </w:pPr>
      <w:r w:rsidRPr="00F4070E">
        <w:t>N.</w:t>
      </w:r>
      <w:r w:rsidRPr="00F4070E">
        <w:tab/>
        <w:t xml:space="preserve">budući da se eventualni prijedlozi Komisije za reviziju regulatornog okvira EPPO-a </w:t>
      </w:r>
      <w:r w:rsidRPr="00F4070E">
        <w:lastRenderedPageBreak/>
        <w:t>mogu podnijeti tek nakon razmatranja rezolucija koje je usvojio Parlament nakon datuma početka operativnih aktivnosti EPPO-a i uzimajući u obzir ulogu EPPO-a u arhitekturi Unije za borbu protiv prijevara, čiju je reviziju Komisija započela u rujnu 2025. nakon što je na to pozvao Parlament;</w:t>
      </w:r>
    </w:p>
    <w:p w14:paraId="0D6159D5" w14:textId="77777777" w:rsidR="00C56192" w:rsidRPr="00F4070E" w:rsidRDefault="00C56192" w:rsidP="00C56192">
      <w:pPr>
        <w:pStyle w:val="NormalHanging12a"/>
      </w:pPr>
      <w:r w:rsidRPr="00F4070E">
        <w:t>1.</w:t>
      </w:r>
      <w:r w:rsidRPr="00F4070E">
        <w:tab/>
        <w:t>pozdravlja pozitivno mišljenje Revizorskog suda o pouzdanosti računovodstvene dokumentacije EPPO-a za godinu koja je završila 31. prosinca 2024. te o zakonitosti i pravilnosti prihoda i plaćanja na kojima se temelji računovodstvena dokumentacija;</w:t>
      </w:r>
    </w:p>
    <w:p w14:paraId="6ABFF281" w14:textId="77777777" w:rsidR="00C56192" w:rsidRPr="00F4070E" w:rsidRDefault="00C56192" w:rsidP="00C56192">
      <w:pPr>
        <w:pStyle w:val="NormalHanging12a"/>
      </w:pPr>
      <w:r w:rsidRPr="00F4070E">
        <w:t>2.</w:t>
      </w:r>
      <w:r w:rsidRPr="00F4070E">
        <w:tab/>
        <w:t>priznaje važnu ulogu EPPO-a u zaštiti financijskih interesa Unije, a posebno proračuna Unije; podsjeća na snažnu potporu Parlamenta uspostavi EPPO-a i cijeni rad EPPO-a na istragama i progonu kaznenih djela kao što su prijevare, korupcija i ozbiljne prekogranične prijevare povezane s PDV-om; ponovno ističe središnju ulogu EPPO-a u zaštiti financijskih interesa Unije i naglašava da je on jedan od temelja okvira Unije za borbu protiv prijevara kao i šireg sustava upravljanja koji se temelji na integritetu, odgovornosti, transparentnosti i dobrom financijskom upravljanju;</w:t>
      </w:r>
    </w:p>
    <w:p w14:paraId="60C72C8E" w14:textId="77777777" w:rsidR="00C56192" w:rsidRPr="00F4070E" w:rsidRDefault="00C56192" w:rsidP="00C56192">
      <w:pPr>
        <w:pStyle w:val="NormalHanging12a"/>
      </w:pPr>
      <w:r w:rsidRPr="00F4070E">
        <w:t>3.</w:t>
      </w:r>
      <w:r w:rsidRPr="00F4070E">
        <w:tab/>
        <w:t>ističe jedinstvenu ulogu EPPO-a kao tužiteljstva u području izvršavanja zakonodavstva Unije i naglašava da je po svojoj prirodi EPPO obvezan istraživati sva pitanja u svojoj nadležnosti, kada o njima bude obaviješten; podsjeća da u godišnjem izvješću EPPO-a stoji da je EPPO do kraja 2024. obradio 6 547 prijava kaznenih djela (56 % više nego 2023.) i 2 666 aktivnih istraga (oko 38 % više nego 2023.) s procijenjenom štetom od 24,8 milijardi EUR (19,27 milijardi EUR 2023. i 14,1 milijardi EUR 2022.) te da su suci odobrili naloge za zamrzavanje imovine u vrijednosti od 2,42 milijarde EUR (u usporedbi s 1,5 milijardi EUR 2023.); naglašava da uzlazne brojke potvrđuju da bi resursi trebali biti usklađeni s operativnim potrebama kako bi se ojačala neovisnost EPPO-a; poziva Komisiju da brzo dodijeli potrebna sredstva kako bi EPPO mogao ispunjavati svoju zadaću te kako bi se osigurao napredak i pravodoban dovršetak istraga, uključujući istragu o nabavi cjepiva protiv bolesti COVID-19 u Uniji, koja je započela 2022. i koja je i dalje u tijeku, u skladu s pravilima o povjerljivosti i bez javnog otkrivanja pojedinosti u cilju zaštite integriteta postupaka; podsjeća da mora postojati ravnoteža između transparentnosti s jedne strane i pretpostavke nedužnosti i poštovanja tekućih sudskih postupka s druge strane; potiče EPPO da jasno obavještava javnost, ako je to zakonski dopušteno; naglašava da se ljudskim i financijskim resursima dodijeljenima EPPO-u za vrlo složene slučajeve koji imaju velik učinak na proračun i ugled mora osigurati ustrajan napredak u istragama i odgovorno obavještavanje o njihovu statusu i zaključku, uz potpuno poštovanje pravnih ograničenja;</w:t>
      </w:r>
    </w:p>
    <w:p w14:paraId="540540CA" w14:textId="77777777" w:rsidR="00C56192" w:rsidRPr="00F4070E" w:rsidRDefault="00C56192" w:rsidP="00C56192">
      <w:pPr>
        <w:widowControl/>
        <w:spacing w:after="240"/>
        <w:ind w:left="567" w:hanging="567"/>
        <w:rPr>
          <w:b/>
          <w:i/>
          <w:szCs w:val="24"/>
        </w:rPr>
      </w:pPr>
      <w:r w:rsidRPr="00F4070E">
        <w:rPr>
          <w:b/>
          <w:i/>
        </w:rPr>
        <w:t>Proračunsko i financijsko upravljanje</w:t>
      </w:r>
    </w:p>
    <w:p w14:paraId="6893733A" w14:textId="74392DFF" w:rsidR="00C56192" w:rsidRPr="00F4070E" w:rsidRDefault="00C56192" w:rsidP="00C56192">
      <w:pPr>
        <w:pStyle w:val="NormalHanging12a"/>
        <w:rPr>
          <w:bCs/>
          <w:szCs w:val="24"/>
        </w:rPr>
      </w:pPr>
      <w:r w:rsidRPr="00F4070E">
        <w:t>4.</w:t>
      </w:r>
      <w:r w:rsidRPr="00F4070E">
        <w:tab/>
        <w:t>prima na znanje da je sveukupan konačni proračun dodijeljen EPPO-u 2024. iznosio 76 382 368 EUR, što je znatno povećanje u odnosu na 65,9 milijuna EUR dodijeljenih 2023. i 51,2 milijuna EUR dodijeljenih 2022.;</w:t>
      </w:r>
    </w:p>
    <w:p w14:paraId="7BB85CD8" w14:textId="77777777" w:rsidR="00C56192" w:rsidRPr="00F4070E" w:rsidRDefault="00C56192" w:rsidP="00C56192">
      <w:pPr>
        <w:pStyle w:val="NormalHanging12a"/>
        <w:rPr>
          <w:bCs/>
          <w:iCs/>
        </w:rPr>
      </w:pPr>
      <w:r w:rsidRPr="00F4070E">
        <w:t>5.</w:t>
      </w:r>
      <w:r w:rsidRPr="00F4070E">
        <w:tab/>
        <w:t xml:space="preserve">ističe da je početni proračun za 2024. (u iznosu od 71 888 321 EUR) koji je odobrilo proračunsko tijelo Unije bio 24 % manji od onog koji je zatražio EPPO na temelju svojih procjena procjene prihoda i rashoda za 2024., ali 9 % veći u usporedbi s prethodnom godinom; primjećuje da su 2024. donesene dvije izmjene proračuna te da je na zahtjev EPPO-a, koji je upućen u veljači 2024., proračun u lipnju 2024. povećan za 3 600 000 EUR za financijske i ljudske resurse kako bi se pokrili dodatni troškovi povezani sa sudjelovanjem Poljske i Švedske u EPPO-u; ističe činjenicu da je to </w:t>
      </w:r>
      <w:r w:rsidRPr="00F4070E">
        <w:lastRenderedPageBreak/>
        <w:t xml:space="preserve">povećanje trebalo obuhvatiti plaće dodatnih delegiranih europskih tužitelja imenovanih za Poljsku i Švedsku, osoblje koje je bilo potrebno zaposliti i povezane operativne rashode, ali je dio tih dodatnih sredstava dodijeljen osoblju središnjeg ureda kako bi se pripremili za projekt informatičke autonomije koji je uveden zbog prestanka usluga Komisije u području IT-a; napominje da je drugom izmjenom proračuna u studenome 2024. visina odobrenih sredstava povećana za 894 047 EUR na prijedlog proračunskog tijela Unije kako bi se riješilo pitanje visoke razine </w:t>
      </w:r>
      <w:proofErr w:type="spellStart"/>
      <w:r w:rsidRPr="00F4070E">
        <w:t>indeksacije</w:t>
      </w:r>
      <w:proofErr w:type="spellEnd"/>
      <w:r w:rsidRPr="00F4070E">
        <w:t xml:space="preserve"> plaća 2024. te da je zbog činjenice da je EPPO već dodijelio dio prve izmjene proračuna za potrebe nadolazeće </w:t>
      </w:r>
      <w:proofErr w:type="spellStart"/>
      <w:r w:rsidRPr="00F4070E">
        <w:t>indeksacije</w:t>
      </w:r>
      <w:proofErr w:type="spellEnd"/>
      <w:r w:rsidRPr="00F4070E">
        <w:t xml:space="preserve"> plaća koja je bila viša no što se očekivalo, drugi dio dodatno odobrenih sredstava preraspodijeljen na rashode povezane sa sigurnošću; smatra da se tim opetovanim oslanjanjem na izmjene proračuna naglašava potreba za realističnijim pristupom ex </w:t>
      </w:r>
      <w:proofErr w:type="spellStart"/>
      <w:r w:rsidRPr="00F4070E">
        <w:t>ante</w:t>
      </w:r>
      <w:proofErr w:type="spellEnd"/>
      <w:r w:rsidRPr="00F4070E">
        <w:t xml:space="preserve"> planiranju proračuna te za ranijom i </w:t>
      </w:r>
      <w:proofErr w:type="spellStart"/>
      <w:r w:rsidRPr="00F4070E">
        <w:t>strukturiranijom</w:t>
      </w:r>
      <w:proofErr w:type="spellEnd"/>
      <w:r w:rsidRPr="00F4070E">
        <w:t xml:space="preserve"> suradnjom s EPPO-om tijekom godišnjeg proračunskog postupka;</w:t>
      </w:r>
    </w:p>
    <w:p w14:paraId="6ACED66F" w14:textId="50A681C0" w:rsidR="00C56192" w:rsidRPr="00F4070E" w:rsidRDefault="00C56192" w:rsidP="00C56192">
      <w:pPr>
        <w:pStyle w:val="NormalHanging12a"/>
        <w:rPr>
          <w:bCs/>
          <w:szCs w:val="24"/>
        </w:rPr>
      </w:pPr>
      <w:r w:rsidRPr="00F4070E">
        <w:t>6.</w:t>
      </w:r>
      <w:r w:rsidRPr="00F4070E">
        <w:tab/>
        <w:t xml:space="preserve">napominje da su 2024. usvojena tri proračunska prijenosa u skladu s člankom 26. financijskih pravila EPPO-a, što je glavnom europskom tužitelju omogućilo da na prijedlog upravnog direktora prenese sredstva iz jedne glave u drugu do iznosa od najviše 10 % sredstava dodijeljenih za financijsku godinu te neograničeno iz jednog poglavlja u drugo ili unutar svakog poglavlja; primjećuje </w:t>
      </w:r>
      <w:r w:rsidRPr="00F4070E">
        <w:rPr>
          <w:sz w:val="23"/>
        </w:rPr>
        <w:t>da je ukupna neto vrijednost tih prijenosa bila 3,2 milijuna EUR, u usporedbi s 1,2 milijuna EUR u 2023. te</w:t>
      </w:r>
      <w:r w:rsidRPr="00F4070E">
        <w:t xml:space="preserve"> da su ti prijenosi bili potrebni za razvoj programa informatičke autonomije, zatraženo reguliranje usluge neposredne tjelesne zaštite u okviru sporazuma na razini službi s Glavnom upravom Komisije za ljudske resurse i sigurnost te promjene u ažuriranju naknada kako bi se uzela u obzir </w:t>
      </w:r>
      <w:proofErr w:type="spellStart"/>
      <w:r w:rsidRPr="00F4070E">
        <w:t>indeksacija</w:t>
      </w:r>
      <w:proofErr w:type="spellEnd"/>
      <w:r w:rsidRPr="00F4070E">
        <w:t xml:space="preserve"> plaća viša od očekivanog koja je dosegla 7,2 % u usporedbi s iznosom od 3,4 % početno predviđenim u proračunu;</w:t>
      </w:r>
    </w:p>
    <w:p w14:paraId="1C0545DB" w14:textId="77777777" w:rsidR="00C56192" w:rsidRPr="00F4070E" w:rsidRDefault="00C56192" w:rsidP="00C56192">
      <w:pPr>
        <w:pStyle w:val="NormalHanging12a"/>
        <w:rPr>
          <w:bCs/>
          <w:szCs w:val="24"/>
        </w:rPr>
      </w:pPr>
      <w:r w:rsidRPr="00F4070E">
        <w:t>7.</w:t>
      </w:r>
      <w:r w:rsidRPr="00F4070E">
        <w:tab/>
        <w:t xml:space="preserve">uviđa da je i dalje teško procijeniti proračunske potrebe povezane s aktivnostima EPPO-a zbog posebnosti aktivnosti EPPO-a, uključujući nepredvidivu razinu otkrivanja prijevara i širok raspon predmeta; svjestan je toga da EPPO nema diskrecijske ovlasti u pogledu kaznenog progona, kao ni utjecaj na resurse i </w:t>
      </w:r>
      <w:proofErr w:type="spellStart"/>
      <w:r w:rsidRPr="00F4070E">
        <w:t>postupovna</w:t>
      </w:r>
      <w:proofErr w:type="spellEnd"/>
      <w:r w:rsidRPr="00F4070E">
        <w:t xml:space="preserve"> ograničenja nacionalnih sustava o kojima ovisi u provedbi istražnih radnji; primjećuje da nedostatak fiksne korelacije između broja i troškova istraga također ometa predviđanje rashoda, ali podsjeća da je potrebno zaštititi sve više sredstava Unije te da je zbog složenosti regulatornog okvira za upravljanje njihovom uporabom još teže provoditi istrage, ne samo u pogledu Mehanizma za oporavak i otpornost i njegove jedinstvene metode provedbe, već i velikog opsega rashoda; smatra da u tom kontekstu postoji potreba za dodjelom dodatnih sredstava za financiranje aktivnosti EPPO-a i ponavlja potrebu za time da se EPPO-u osiguraju dostatna sredstva kako bi mogao ispunjavati svoj mandat na odgovarajući način; smatra da bi takva nepredvidivost mogla poslužiti kao opravdanje za uspostavu namjenskog proračunskog mehanizma za izvanredne situacije, što ne znači da ne bi bilo potreban realističan ex </w:t>
      </w:r>
      <w:proofErr w:type="spellStart"/>
      <w:r w:rsidRPr="00F4070E">
        <w:t>ante</w:t>
      </w:r>
      <w:proofErr w:type="spellEnd"/>
      <w:r w:rsidRPr="00F4070E">
        <w:t xml:space="preserve"> proračun koji bi odražavao trendove radnog opterećenja, kako bi se EPPO-u omogućilo da učinkovito odgovori na iznenadna povećanja radnog opterećenja;</w:t>
      </w:r>
    </w:p>
    <w:p w14:paraId="11559AD5" w14:textId="77777777" w:rsidR="00C56192" w:rsidRPr="00F4070E" w:rsidRDefault="00C56192" w:rsidP="00C56192">
      <w:pPr>
        <w:pStyle w:val="NormalHanging12a"/>
        <w:rPr>
          <w:bCs/>
          <w:szCs w:val="24"/>
        </w:rPr>
      </w:pPr>
      <w:r w:rsidRPr="00F4070E">
        <w:t>8.</w:t>
      </w:r>
      <w:r w:rsidRPr="00F4070E">
        <w:tab/>
        <w:t xml:space="preserve">svjestan je da je 2024. bila zahtjevna godina za EPPO jer je morao računati s povećanjem radnog opterećenja u 22 države članice sudionice, upravljati pristupanjem Poljske i Švedske te istodobno uspostaviti informatičku autonomiju kako ne bi morao više ovisiti o Komisiji; napominje da je 2024. EPPO zatražio 45 radnih mjesta u planu radnih mjesta za potrebe informatičke autonomije, a kasnije 37 radnih mjesta u izmjeni proračuna, no oba su zahtjeva odbijena; posebno primjećuje da je nedostatak dodatnih sredstava za postizanje informatičke autonomije doveo do potrebe za preusmjeravanjem </w:t>
      </w:r>
      <w:r w:rsidRPr="00F4070E">
        <w:lastRenderedPageBreak/>
        <w:t>u informatički sektor članova osoblja koji su najprije trebali pružati podršku operacijama i angažiranjem izvođača koji rade u poslovnim prostorima EPPO-a; smatra da je i dalje od ključne važnosti dodijeliti financijska sredstva kako bi se osigurala potpuna informatička autonomija i snažna kibernetička sigurnost EPPO-a radi sprječavanja operativnih poremećaja; naglašava da bi se kontinuiranim oslanjanjem na vanjske izvođače i preraspodjelom operativnog osoblja na zadatke u području informacijske tehnologije, koje je posljedica nedostatka radnih mjesta u planu radnih mjesta potrebnih za postizanje informatičke autonomije, moglo ugroziti istražne kapacitete i dugoročnu institucijsku otpornost EPPO-a; poziva proračunsko tijelo da osigura namjensko i održivo osoblje za postizanje digitalne autonomije EPPO-a radi zaštite učinkovitosti istraga i kibernetičke sigurnosti;</w:t>
      </w:r>
    </w:p>
    <w:p w14:paraId="1C21A0AB" w14:textId="1ECC952B" w:rsidR="00C56192" w:rsidRPr="00F4070E" w:rsidRDefault="00C56192" w:rsidP="00C56192">
      <w:pPr>
        <w:pStyle w:val="NormalHanging12a"/>
        <w:rPr>
          <w:bCs/>
          <w:szCs w:val="24"/>
        </w:rPr>
      </w:pPr>
      <w:r w:rsidRPr="00F4070E">
        <w:t>9.</w:t>
      </w:r>
      <w:r w:rsidRPr="00F4070E">
        <w:tab/>
        <w:t>ističe da je stopa izvršenja proračuna za financijsku godinu 2024. iznosila 98,5 %, što je iznad očekivanog pokazatelja uspješnosti od 95 % i u skladu s prethodnim godinama (99,6 % u 2023. i 98,1 % u 2022.); cijeni činjenicu da drugu godinu zaredom EPPO nije vratio nijedan dio sredstava proračunskom tijelu Unije, što pokazuje stabilan apsorpcijski kapacitet za dodijeljeni proračun; ističe da je 2024. ukupna stopa izvršenja plaćanja dosegnula 86,4 % konačnog proračuna EPPO-a, uz prosječno vrijeme plaćanja od 16,7 dana zahvaljujući poboljšanoj uporabi e-fakturiranja, što je poboljšanje u odnosu na prethodne godine (2023. stopa izvršenja iznosila je 85,3 % s prosječnim vremenom plaćanja od 17 dana, a 2022. stopa izvršenja iznosila je 76,6 % s prosječnim vremenom plaćanja od 23,8 dana); primjećuje da je udio zakašnjelih plaćanja i dalje stabilan i vrlo nizak (0,85 % od ukupnog broja plaćanja 2024. u usporedbi s 0,86 % u 2023.; odnosno 1,09 % od ukupnog iznosa plaćanja 2024. u usporedbi s 1,08 % u 2023.);</w:t>
      </w:r>
    </w:p>
    <w:p w14:paraId="511D77F1" w14:textId="2983541C" w:rsidR="00C56192" w:rsidRPr="00F4070E" w:rsidRDefault="00C56192" w:rsidP="00C56192">
      <w:pPr>
        <w:pStyle w:val="NormalHanging12a"/>
        <w:rPr>
          <w:bCs/>
          <w:szCs w:val="24"/>
        </w:rPr>
      </w:pPr>
      <w:r w:rsidRPr="00F4070E">
        <w:t>10.</w:t>
      </w:r>
      <w:r w:rsidRPr="00F4070E">
        <w:tab/>
        <w:t>primjećuje da je, u skladu s prethodnim godinama i strategijom davanja prednosti operativnim rashodima povezanima s istragama, progonom i sigurnosnim mjerama, EPPO 2024. dodijelio 44,6 % svojeg proračuna operativnim aktivnostima (u usporedbi s 43 % u 2023. i 41 % u 2022.), pri čemu su glavni troškovi bili plaće delegiranih europskih tužitelja, koje su slijedile operativne aktivnosti IKT-a (19 %), kao što su održavanje i razvoj sustava vođenja predmeta EPPO-a i jezične usluge (10 %); napominje da je proračun EPPO-a uglavnom iskorišten za rashode povezane s privremenim osobljem (33,6 %, 25 671 160 EUR, u usporedbi s 32,2 % u 2023.) i plaće delegiranih europskih tužitelja (23,9 %, 18 252 391 EUR, u usporedbi s 22,1 % u 2023.), nakon čega su slijedile jezične usluge (4,6 %, 3 491 000 EUR, u usporedbi s 6,2 % u 2023.) te hardver i softver za operativne aktivnosti IKT-a (4,5 %, 3 426 711 EUR, u usporedbi s 5,5 % u 2023.);</w:t>
      </w:r>
    </w:p>
    <w:p w14:paraId="728F3EC0" w14:textId="2E3E8692" w:rsidR="00C56192" w:rsidRPr="00F4070E" w:rsidRDefault="00C56192" w:rsidP="00C56192">
      <w:pPr>
        <w:pStyle w:val="NormalHanging12a"/>
        <w:rPr>
          <w:bCs/>
          <w:szCs w:val="24"/>
        </w:rPr>
      </w:pPr>
      <w:r w:rsidRPr="00F4070E">
        <w:t>11.</w:t>
      </w:r>
      <w:r w:rsidRPr="00F4070E">
        <w:tab/>
        <w:t>napominje da je 2024. najavljeno sudjelovanje Poljske i Švedske te da je proračun za 2024. time pogođen tek djelomično, zbog postupnog imenovanja dvaju europskih tužitelja i nekoliko delegiranih europskih tužitelja; primjećuje da je povećanje za 2024. koje je odobrilo proračunsko tijelo Unije uključivalo dodatnih 20 radnih mjesta u središnjem uredu i dodatne delegirane europske tužitelje u očekivanju sudjelovanja Poljske i Švedske u EPPO-u;</w:t>
      </w:r>
    </w:p>
    <w:p w14:paraId="7C6742A8" w14:textId="77777777" w:rsidR="00C56192" w:rsidRPr="00F4070E" w:rsidRDefault="00C56192" w:rsidP="00C56192">
      <w:pPr>
        <w:pStyle w:val="NormalHanging12a"/>
      </w:pPr>
      <w:r w:rsidRPr="00F4070E">
        <w:t>12.</w:t>
      </w:r>
      <w:r w:rsidRPr="00F4070E">
        <w:tab/>
        <w:t xml:space="preserve">primjećuje da su se troškovi operativnih misija dodatno neznatno povećali 2024. te dosegli 1 292 000 EUR (u usporedbi s 1 175 000 EUR u 2023. i 980 000 EUR u 2022.) i apsorbirali oko 3,7 % ukupnih sredstava za poslovanje (34,1 milijun EUR), ali uglavnom u skladu s povećanom razinom intenziteta istraga i stabilno u smislu vrijednosti; svjestan je da je došlo do smanjenja ukupnih putnih troškova, da EPPO </w:t>
      </w:r>
      <w:r w:rsidRPr="00F4070E">
        <w:lastRenderedPageBreak/>
        <w:t>promiče upotrebu objekata za videokonferencije kao troškovno učinkovite i sigurne alternative misijama osoblja te da je sudjelovanje na elektroničkim sastancima standardna praksa za unutarnju koordinaciju i razmjene s tijelima država članica i partnerima Unije, ali da su misije i dalje nužne u operativnom i pravosudnom kontekstu za osiguravanje dosljednog pristupa u cijelom EPPO-u te za obuku ili podizanje svijesti dionika;</w:t>
      </w:r>
    </w:p>
    <w:p w14:paraId="2075316D" w14:textId="2FBD650F" w:rsidR="00C56192" w:rsidRPr="00F4070E" w:rsidRDefault="00C56192" w:rsidP="00C56192">
      <w:pPr>
        <w:pStyle w:val="NormalHanging12a"/>
        <w:rPr>
          <w:bCs/>
        </w:rPr>
      </w:pPr>
      <w:r w:rsidRPr="00F4070E">
        <w:t>13.</w:t>
      </w:r>
      <w:r w:rsidRPr="00F4070E">
        <w:tab/>
        <w:t>podsjeća da u skladu s člankom 107. Uredbe (EU) 2017/1939 usluge prevođenja za potrebe administrativnog funkcioniranja EPPO-a na središnjoj razini pruža Prevoditeljski centar za tijela Europske unije, ali se za hitna pitanja i za potrebe istraga dopušta da delegirani europski tužitelji sami odlučuju o načinima prijevoda, u skladu s primjenjivim nacionalnim pravom; primjećuje da su se 2024. troškovi usluga prevođenja i usmenog prevođenja smanjile na 3 491 000 EUR, što odgovara udjelu od 10 % u sredstvima za poslovanje (u usporedbi s 4 086 500 EUR, odnosno 14 %, u 2023.); napominje da je 88,8 % dokumenata u sustavu vođenja predmeta strojno prevedeno (8,8 % iznad pokazatelja uspješnosti) i cijeni napore koje EPPO ulaže u poboljšanje troškovne učinkovitosti usluga prevođenja;</w:t>
      </w:r>
    </w:p>
    <w:p w14:paraId="4AF5E8F4" w14:textId="0FDAB802" w:rsidR="00C56192" w:rsidRPr="00F4070E" w:rsidRDefault="00C56192" w:rsidP="00C56192">
      <w:pPr>
        <w:pStyle w:val="NormalHanging12a"/>
        <w:rPr>
          <w:bCs/>
        </w:rPr>
      </w:pPr>
      <w:r w:rsidRPr="00F4070E">
        <w:t>14.</w:t>
      </w:r>
      <w:r w:rsidRPr="00F4070E">
        <w:tab/>
        <w:t xml:space="preserve">primjećuje da je EPPO 2024. objavio 15 poziva za podnošenje ponuda i dodijelio devet ugovora (četiri postupka su otkazana) te da su dva bila otvoreni postupci, a 12 pregovarački postupci; prima na znanje intenzivnu upotrebu okvirnih ugovora EPPO-a, zahvaljujući kojoj je EPPO 2024. potpisao 288 posebnih ugovora u okviru postojećih okvirnih ugovora (u usporedbi s njih 234 u 2023.) u ukupnom iznosu većem od 13 milijuna EUR (u usporedbi s 11 milijuna EUR u 2023.), a nijedan ugovor u okviru pregovaračkog postupka nije sklopljen bez prethodne objave obavijesti o nadmetanju; napominje da je 2024. oko 65 % ugovora koje je izravno dodijelio EPPO dodijeljeno MSP-ovima, pri čemu su svi osim njih tri bili iz iste države članice; svjestan je da je EPPO razvio vlastitu kupovnu moć te da upravlja vlastitim posebnim ugovorima u okviru provedbe postojećih okvirnih ugovora te istodobno nastavlja djelovati na temelju sporazuma o razini usluga s drugim institucijama, tijelima, uredima i agencijama Unije te pristupanjem </w:t>
      </w:r>
      <w:proofErr w:type="spellStart"/>
      <w:r w:rsidRPr="00F4070E">
        <w:t>međuinstitucijskim</w:t>
      </w:r>
      <w:proofErr w:type="spellEnd"/>
      <w:r w:rsidRPr="00F4070E">
        <w:t xml:space="preserve"> ugovorima s različitim tržišnim subjektima; cijeni činjenicu da su 2024. svi postupci nabave i aktivnosti upravljanja ugovorima EPPO-a provedeni pomoću digitalnih IT alata, što je u skladu s ciljnim pokazateljem uspješnosti; podsjeća da upotreba </w:t>
      </w:r>
      <w:proofErr w:type="spellStart"/>
      <w:r w:rsidRPr="00F4070E">
        <w:t>međuinstitucijskih</w:t>
      </w:r>
      <w:proofErr w:type="spellEnd"/>
      <w:r w:rsidRPr="00F4070E">
        <w:t xml:space="preserve"> okvirnih ugovora omogućuje maksimalno iskorištavanje ekonomija razmjera, osiguravajući dobro financijsko upravljanje i nadoknađujući nedostatne ljudske resurse;</w:t>
      </w:r>
    </w:p>
    <w:p w14:paraId="56F6C7FC" w14:textId="54D1EA1C" w:rsidR="00C56192" w:rsidRPr="00F4070E" w:rsidRDefault="00C56192" w:rsidP="00C56192">
      <w:pPr>
        <w:pStyle w:val="NormalHanging12a"/>
        <w:rPr>
          <w:bCs/>
          <w:szCs w:val="24"/>
        </w:rPr>
      </w:pPr>
      <w:r w:rsidRPr="00F4070E">
        <w:t>15.</w:t>
      </w:r>
      <w:r w:rsidRPr="00F4070E">
        <w:tab/>
        <w:t>cijeni pozitivan trend u prijenosu sredstava iz prethodne godine (2023.) u iznosu od 9 392 990 EUR ili 14,2 % (u usporedbi s 10 969 680 EUR ili 24,4 % u 2022.), od čega je 96,9 % potrošeno (u usporedbi s 84,8 % u 2023. i 90,8 % u 2022.), a samo 3,1 % ukinuto (u usporedbi s 15,2 % u 2023. i 9,2 % u 2022); napominje da je prijenos odobrenih sredstava za plaćanje iz 2024. u 2025. iznosio 9 200 802 EUR, što je relativno stabilno u usporedbi s prijenosom tih sredstava iz 2023. u 2024.; primjećuje da je do prijenosa došlo uglavnom zbog sredstava dodijeljenih krajem godine za operativna digitalna ulaganja i nepodmirenih iznosa u okviru ugovora s vanjskim pružateljima usluga;</w:t>
      </w:r>
    </w:p>
    <w:p w14:paraId="5462E53D" w14:textId="140F15A8" w:rsidR="00C56192" w:rsidRPr="00F4070E" w:rsidRDefault="00C56192" w:rsidP="00C56192">
      <w:pPr>
        <w:pStyle w:val="NormalHanging12a"/>
        <w:rPr>
          <w:bCs/>
        </w:rPr>
      </w:pPr>
      <w:r w:rsidRPr="00F4070E">
        <w:t>16.</w:t>
      </w:r>
      <w:r w:rsidRPr="00F4070E">
        <w:tab/>
        <w:t xml:space="preserve">ponavlja da zakonodavni financijski izvještaj iz 2017. više nije svrsishodan; ističe da trenutačni zakonodavni financijski izvještaj sprečava EPPO u provedbi revizije proračuna u sredini razdoblja pa mora čekati do samog kraja postupka donošenja proračuna kako bi imao jasan pregled razine resursa koju može provesti u sljedećoj </w:t>
      </w:r>
      <w:r w:rsidRPr="00F4070E">
        <w:lastRenderedPageBreak/>
        <w:t>godini; naglašava da to EPPO-u ograničava sposobnost za predviđanje pripremnih aktivnosti za izvršenje proračuna, a posebno utječe na rani početak zapošljavanja, usporavajući zapošljavanje punog broja osoblja i postizanje ukupnog apsorpcijskog kapaciteta EPPO-a, čime se u praksi onemogućuje izrada sveobuhvatne strategije zapošljavanja koja ne bi bila rezultat godišnjih pregovora o proračunu; ističe</w:t>
      </w:r>
      <w:r w:rsidRPr="00F4070E">
        <w:rPr>
          <w:i/>
        </w:rPr>
        <w:t xml:space="preserve"> </w:t>
      </w:r>
      <w:r w:rsidRPr="00F4070E">
        <w:t>da je u razvoju inovativnog organizacijskog modela kao što je EPPO ključno postizanje maksimalne fleksibilnosti; smatra da je revizija zakonodavnog financijskog izvješća potrebna neovisno o promjeni mandata EPPO-a, a najkasnije u okviru revizije Uredbe (EU) 2017/1939 čiju je evaluaciju pokrenula Komisija;</w:t>
      </w:r>
    </w:p>
    <w:p w14:paraId="71013511" w14:textId="21BE8D93" w:rsidR="00C56192" w:rsidRPr="00F4070E" w:rsidRDefault="00C56192" w:rsidP="00C56192">
      <w:pPr>
        <w:pStyle w:val="NormalHanging12a"/>
        <w:rPr>
          <w:szCs w:val="24"/>
        </w:rPr>
      </w:pPr>
      <w:r w:rsidRPr="00F4070E">
        <w:t>17.</w:t>
      </w:r>
      <w:r w:rsidRPr="00F4070E">
        <w:tab/>
        <w:t>cijeni kontinuirano jačanje administrativnih kapaciteta EPPO-a, čime se postupno uklanjaju početni nedostaci proizišli iz pristupa EPPO-a da neoperativne rashode ograniči na osnovne usluge potpore; ustraje u tome da proračunski i ljudski resursi koji se dodjeljuju EPPO-u trebaju biti primjereni kako bi omogućili učinkovito i uspješno izvršenje njegova mandata te nesmetano provođenje povezanih administrativnih postupaka; podsjeća da su dodatno financiranje i povećanje broja osoblja EPPO-a ključni da bi se EPPO mogao učinkovito boriti protiv kaznenih djela povezanih s PDV-om, štititi financijske interese Unije i braniti vladavinu prava, što su ključni prioriteti Unije; ponavlja svoj poziv Komisiji da preispita proračunski okvir EPPO-a, u bliskoj suradnji s EPPO-om, kako bi se pronašli odgovarajući načini potpore njegovu radu; podsjeća da se u pismu izmjene br. 1/2022 Komisija obvezala dostaviti Parlamentu procjenu osoblja do kraja 2023. te da je to naglašeno u stavku 5. Rezolucije Europskog parlamenta od 25. travnja 2024. o nacrtu izmjene proračuna br. 3 za opći proračun za 2024. radi povećanja sredstava za Ured europskog javnog tužitelja zbog pristupanja Poljske i očekivanog sudjelovanja Švedske; žali zbog toga što Komisija nije dostavila tu procjenu niti se savjetovala ili stupila u kontakt s EPPO-om u pogledu procjene osoblja, a nije ni podržala zahtjeve EPPO-a niti stupila u dijalog radi ažuriranja procjene stvarnih potreba; poziva Komisiju da dodijeli dodatna sredstva opravdana sve većim brojem složenih predmeta te ističe da ona ne bi trebala ovisiti o reviziji Uredbe (EU) 2017/1939 ili mandata EPPO-a, nego o važnosti borbe protiv organiziranoga kriminala i zaštite financijskih interesa Unije u sljedećem višegodišnjem financijskom okviru (VFO);</w:t>
      </w:r>
    </w:p>
    <w:p w14:paraId="565DBA32" w14:textId="77777777" w:rsidR="00C56192" w:rsidRPr="00F4070E" w:rsidRDefault="00C56192" w:rsidP="00C56192">
      <w:pPr>
        <w:pStyle w:val="NormalHanging12a"/>
        <w:rPr>
          <w:iCs/>
        </w:rPr>
      </w:pPr>
      <w:r w:rsidRPr="00F4070E">
        <w:t>18.</w:t>
      </w:r>
      <w:r w:rsidRPr="00F4070E">
        <w:tab/>
        <w:t>ponavlja da su proračunski i ljudski resursi dodijeljeni EPPO-u i dalje strukturno nedovoljni s obzirom na njegovo brzo povećanje radnog opterećenja, posebno u pogledu predmeta povezanih s Mehanizmom za oporavak i otpornost i prekograničnih prijevara povezanih s PDV-om, koji štete unutarnjem tržištu i poštenom tržišnom natjecanju; potiče Komisiju da se uključi u dijalog s EPPO-om kako bi se provela procjena osoblja najavljena u pismu izmjene br. 1/2022 o potrebama za resursima koji su usklađeni s operativnim zahtjevima; naglašava da je revizija zastarjelog zakonodavnog financijskog izvještaja za 2017. nužna kako bi se uzeli u obzir pokazatelji stvarnog radnog opterećenja te da se ona ne može uvjetovati promjenom mandata s obzirom na širenje relevantnih financijskih interesa Unije; poziva Komisiju da bez odgode predstavi ažuriranu procjenu broja osoblja i financiranja, pripremljenu u bliskoj suradnji s EPPO-om i utemeljenu na mjerljivim pokazateljima radnog opterećenja i predmetima; poziva Komisiju da osigura da se budući prijedlozi proračuna temelje na ažuriranim pokazateljima radnog opterećenja, a ne na zastarjelim pretpostavkama;</w:t>
      </w:r>
    </w:p>
    <w:p w14:paraId="64BCF517" w14:textId="77777777" w:rsidR="00C56192" w:rsidRPr="00F4070E" w:rsidRDefault="00C56192" w:rsidP="00C56192">
      <w:pPr>
        <w:pStyle w:val="NormalHanging12a"/>
      </w:pPr>
      <w:r w:rsidRPr="00F4070E">
        <w:t>19.</w:t>
      </w:r>
      <w:r w:rsidRPr="00F4070E">
        <w:tab/>
        <w:t xml:space="preserve">ističe da način rada zločinačkih organizacija sve više poprima transnacionalnu dimenziju koja se temelji na opetovanom uključivanju složenih korporativnih struktura </w:t>
      </w:r>
      <w:r w:rsidRPr="00F4070E">
        <w:lastRenderedPageBreak/>
        <w:t xml:space="preserve">koje se koriste kao paravan i netransparentnih pravnih oblika uspostavljenih u različitim nadležnostima s nejednakim razinama provedbe prava Unije; naglašava činjenicu da je strategija organiziranog kriminala prijevarom preusmjeriti sredstava Unije i prikriti imovinsku korist od kaznenih djela putem operacija pranja novca koje utječu na legalno gospodarstvo te se očituju u obliku prekograničnih prijevara velikih razmjera povezanih s PDV-om; ističe da te kriminalne sheme sustavno iskorištavaju regulatornu </w:t>
      </w:r>
      <w:proofErr w:type="spellStart"/>
      <w:r w:rsidRPr="00F4070E">
        <w:t>fragmentiranost</w:t>
      </w:r>
      <w:proofErr w:type="spellEnd"/>
      <w:r w:rsidRPr="00F4070E">
        <w:t xml:space="preserve"> i </w:t>
      </w:r>
      <w:proofErr w:type="spellStart"/>
      <w:r w:rsidRPr="00F4070E">
        <w:t>postupovne</w:t>
      </w:r>
      <w:proofErr w:type="spellEnd"/>
      <w:r w:rsidRPr="00F4070E">
        <w:t xml:space="preserve"> razlike među državama članicama, kao i ograničenja koja proizlaze nacionalne dimenzije aktivnosti tijela za izvršavanje zakonodavstva i pravosudnih tijela; u tom posebnom pogledu naglašava dodanu vrijednost aktivnosti EPPO-a, koje omogućuju rješavanje nedostataka nekoordiniranih nacionalnih inicijativa, a najučinkovitiji su instrument za ometanje transnacionalnih kriminalnih aktivnosti i doprinose zaštiti financijskih interesa i unutarnjeg tržišta Unije; poziva na konkretne mjere za jačanje operativne učinkovitosti istraga EPPO-a, posebno rješavanjem strukturnih prepreka koje i dalje ometaju prekogranične istrage; naglašava potrebu za minimalnom razinom </w:t>
      </w:r>
      <w:proofErr w:type="spellStart"/>
      <w:r w:rsidRPr="00F4070E">
        <w:t>postupovne</w:t>
      </w:r>
      <w:proofErr w:type="spellEnd"/>
      <w:r w:rsidRPr="00F4070E">
        <w:t xml:space="preserve"> usklađenosti među državama članicama sudionicama u područjima koja izravno utječu na rad delegiranih europskih tužitelja, uključujući pristup dokazima, rokove za sudska odobrenja i pravila kojima se uređuju istražne mjere; potiče države članice da EPPO-u odobre izravan i siguran pristup ključnim nacionalnim bazama podataka kao što su carinski sustavi, porezni registri i registri stvarnog vlasništva, uz istodobno osiguravanje potpune usklađenosti sa zahtjevom za zaštitu podataka;</w:t>
      </w:r>
    </w:p>
    <w:p w14:paraId="401366E5" w14:textId="77777777" w:rsidR="00C56192" w:rsidRPr="00F4070E" w:rsidRDefault="00C56192" w:rsidP="00C56192">
      <w:pPr>
        <w:pStyle w:val="NormalHanging12a"/>
      </w:pPr>
      <w:r w:rsidRPr="00F4070E">
        <w:t>20.</w:t>
      </w:r>
      <w:r w:rsidRPr="00F4070E">
        <w:tab/>
        <w:t>prima na znanje zaključke i preporuke koje je Revizorski sud iznio u svojem Pregledu 02/2025 naslovljenom „Odgovornost, transparentnost i usmjerenost na uspješnost – pouke koje treba izvući iz nedostataka Mehanizma za oporavak i otpornost”</w:t>
      </w:r>
      <w:r w:rsidRPr="00F4070E">
        <w:rPr>
          <w:vertAlign w:val="superscript"/>
        </w:rPr>
        <w:footnoteReference w:id="15"/>
      </w:r>
      <w:r w:rsidRPr="00F4070E">
        <w:t>; poziva na namjensko povećanje financiranja u sljedećem VFO-u kako bi se osiguralo da EPPO može i dalje ostvarivati svoje ciljeve i ispunjavati svoje obveze usprkos sve složenijim instrumentima financiranja, zbog čega bi se sredstva Unije mogla izložiti većem riziku od prijevara i lošeg upravljanja;</w:t>
      </w:r>
    </w:p>
    <w:p w14:paraId="435F3C7A" w14:textId="77777777" w:rsidR="00C56192" w:rsidRPr="00F4070E" w:rsidRDefault="00C56192" w:rsidP="00C56192">
      <w:pPr>
        <w:pStyle w:val="NormalHanging12a"/>
      </w:pPr>
      <w:r w:rsidRPr="00F4070E">
        <w:t>21.</w:t>
      </w:r>
      <w:r w:rsidRPr="00F4070E">
        <w:tab/>
        <w:t>napominje da su 2024. troškovi povezani s odredbama članka 91. stavka 6. Uredbe (EU) 2017/1939 (iznimno skupe mjere koje provode nacionalna tijela, a troškove snosi EPPO) ostali neznatni (0,1 % operativnog proračuna, u usporedbi s 0,4 % u 2023.); svjestan je da je 2023. sklopljen prvi sporazum o financiranju u okviru pilot-projekta za nadoknadu zahtjeva podnesenih na temelju članka 91. stavka 6. Uredbe (EU) 2017/1939 kako bi pokrili troškovi mjera provedenih na nacionalnoj razini u ime EPPO-a te da je Revizorski sud proveo reviziju te stavke 2023. i ocijenio je zakonitom i pravilnom; smatra da ta odredba EPPO-u omogućuje da učinkovito intervenira u transnacionalnim istragama u situacijama u kojima određena država članica nije spremna iskoristiti vlastita sredstva, imajući na umu neuravnotežene rezultate analize troškova i koristi; poziva Komisiju da istraži kako države članice mogu iskoristiti tu opciju te kako EPPO može postati strateški učinkovitiji i da u tu svrhu EPPO-u osigura potrebne resurse;</w:t>
      </w:r>
    </w:p>
    <w:p w14:paraId="379FF3A1" w14:textId="77777777" w:rsidR="00C56192" w:rsidRPr="00F4070E" w:rsidRDefault="00C56192" w:rsidP="00C56192">
      <w:pPr>
        <w:widowControl/>
        <w:spacing w:after="240"/>
        <w:ind w:left="567" w:hanging="567"/>
        <w:rPr>
          <w:b/>
          <w:i/>
          <w:szCs w:val="24"/>
        </w:rPr>
      </w:pPr>
      <w:r w:rsidRPr="00F4070E">
        <w:rPr>
          <w:b/>
          <w:i/>
        </w:rPr>
        <w:t>Unutarnje upravljanje i unutarnja kontrola – uspješnost</w:t>
      </w:r>
    </w:p>
    <w:p w14:paraId="0E524321" w14:textId="77777777" w:rsidR="00C56192" w:rsidRPr="00F4070E" w:rsidRDefault="00C56192" w:rsidP="00C56192">
      <w:pPr>
        <w:pStyle w:val="NormalHanging12a"/>
      </w:pPr>
      <w:r w:rsidRPr="00F4070E">
        <w:t>22.</w:t>
      </w:r>
      <w:r w:rsidRPr="00F4070E">
        <w:tab/>
        <w:t xml:space="preserve">svjestan je da je za opći nadzor aktivnosti EPPO-a i donošenje odluka o strateškim pitanjima odgovoran kolegij, koji se 2024. sastao 20 puta i donio 70 odluka; smatra da odluke kolegija osiguravaju usklađenost, učinkovitost i dosljednost politike kaznenog progona koju EPPO provodi u državama članicama sudionicama; pozdravlja odluke </w:t>
      </w:r>
      <w:r w:rsidRPr="00F4070E">
        <w:lastRenderedPageBreak/>
        <w:t xml:space="preserve">koje je kolegij donio 2024. u pogledu radnih dogovora o uspostavi metoda suradnje s Parlamentom, Europskom službom za vanjsko djelovanje (ESVD) i revidiranih priloga sporazumu s Komisijom; primjećuje da je kolegij izmijenio i pravila o drugom osoblju koji su stavljeni na raspolaganje Uredu europskog javnog tužitelja, ali ih on ne zapošljava (pomoćnici nacionalnog delegiranog europskog tužitelja (NEDPA)) te da je uspostavio naknadu za stanovanje za određene kategorije osoblja koje je smješteno u Luksemburgu; napominje da je kolegij, kao tijelo za imenovanje, imenovao delegirane europske tužitelje u Austriji, Belgiji, Bugarskoj, Francuskoj, Njemačkoj, Grčkoj, Italiji, Nizozemskoj, Poljskoj i Švedskoj, odabrao članove etičkog povjerenstva i članove stegovnog povjerenstva za delegirane europske tužitelje, kao i privremenog upravnog </w:t>
      </w:r>
      <w:r w:rsidRPr="003862FF">
        <w:t>direktora;</w:t>
      </w:r>
      <w:r w:rsidRPr="00F4070E">
        <w:rPr>
          <w:i/>
        </w:rPr>
        <w:t xml:space="preserve"> </w:t>
      </w:r>
      <w:r w:rsidRPr="00F4070E">
        <w:t>prima na znanje odluke koje je kolegij donio 2024. u pogledu pitanja povezanih s proračunom, kao što je donošenje jedinstvenog programskog dokumenta EPPO-a za razdoblje 2024. – 2026., završna računovodstvena dokumentacija za financijsku godinu 2023., konsolidirano godišnje izvješće o radu EPPO-a za 2023., jedinstveni programski dokument za razdoblje 2025. – 2027., proračun za 2025. i odgovarajuće odluke o financiranju za 2025. te izmjena proračuna i jedinstvenog programskog dokumenta; kolegij je donio i sigurnosna pravila koja se primjenjuju za digitalne komunikacijske i informacijske sustave EPPO-a te sigurnosnu strategiju za razdoblje 2024. – 2028.;</w:t>
      </w:r>
    </w:p>
    <w:p w14:paraId="04E60216" w14:textId="77777777" w:rsidR="00C56192" w:rsidRPr="00F4070E" w:rsidRDefault="00C56192" w:rsidP="00C56192">
      <w:pPr>
        <w:pStyle w:val="NormalHanging12a"/>
      </w:pPr>
      <w:r w:rsidRPr="00F4070E">
        <w:t>23.</w:t>
      </w:r>
      <w:r w:rsidRPr="00F4070E">
        <w:tab/>
        <w:t>napominje da su stalna vijeća 2024. održala 491 sastanak radi praćenja i usmjeravanja istraga i kaznenih progona koje provode delegirani europski tužitelji, a koje im se dodjeljuju nasumično odmah nakon evidentiranja, te radi osiguravanja koordinacije istraga i kaznenih progona u prekograničnim predmetima, usklađenosti, učinkovitosti i dosljednosti politike kaznenog progona koju provodi EPPO u državama članicama sudionicama izvršavanjem odluka koje donosi kolegij;</w:t>
      </w:r>
    </w:p>
    <w:p w14:paraId="06EAC935" w14:textId="4717AD07" w:rsidR="00C56192" w:rsidRPr="00F4070E" w:rsidRDefault="00C56192" w:rsidP="00C56192">
      <w:pPr>
        <w:pStyle w:val="NormalHanging12a"/>
      </w:pPr>
      <w:r w:rsidRPr="00F4070E">
        <w:t>24.</w:t>
      </w:r>
      <w:r w:rsidRPr="00F4070E">
        <w:tab/>
        <w:t>smatra da su sustavi unutarnje kontrole koji su na snazi općenito učinkoviti; napominje da su ključni pokazatelji uspješnosti uspostavljeni radi praćenja provedbe godišnjih i višegodišnjih programa rada na tromjesečnoj osnovi; primjećuje da je u procjeni okvira unutarnje kontrole 2024. potvrđen mjerljivi napredak u provedbi unutarnje kontrole te da je procjena rizika za 2025. provedena uz namjenske radionice na operativnoj i upravnoj razini, što je popraćeno ažuriranom politikom upravljanja rizicima koju je kolegij odobrio 26. veljače 2025.;</w:t>
      </w:r>
    </w:p>
    <w:p w14:paraId="7835A71B" w14:textId="2649F514" w:rsidR="00C56192" w:rsidRPr="00F4070E" w:rsidRDefault="00C56192" w:rsidP="00C56192">
      <w:pPr>
        <w:pStyle w:val="NormalHanging12a"/>
      </w:pPr>
      <w:r w:rsidRPr="00F4070E">
        <w:t>25.</w:t>
      </w:r>
      <w:r w:rsidRPr="00F4070E">
        <w:tab/>
        <w:t>i dalje</w:t>
      </w:r>
      <w:r w:rsidRPr="00F4070E">
        <w:rPr>
          <w:i/>
        </w:rPr>
        <w:t xml:space="preserve"> </w:t>
      </w:r>
      <w:r w:rsidRPr="00F4070E">
        <w:t>smatra</w:t>
      </w:r>
      <w:r w:rsidRPr="00F4070E">
        <w:rPr>
          <w:i/>
        </w:rPr>
        <w:t xml:space="preserve"> </w:t>
      </w:r>
      <w:r w:rsidRPr="00F4070E">
        <w:t>da bi Služba za unutarnju reviziju (IAS) Komisije i Odjel za unutarnju reviziju (IAC) EPPO-a trebali koordinirati svoje aktivnosti u cilju pružanja savjeta i pomoći EPPO-u u uspostavi njegovih glavnih procesa i postizanju njegovih ciljeva; primjećuje da IAS i IAC nisu provodili zajedničke savjetodavne inicijative 2024.; pozdravlja</w:t>
      </w:r>
      <w:r w:rsidRPr="00F4070E">
        <w:rPr>
          <w:i/>
        </w:rPr>
        <w:t xml:space="preserve"> </w:t>
      </w:r>
      <w:r w:rsidRPr="00F4070E">
        <w:t>činjenicu da su nakon imenovanja novog voditelja IAC-a u rujnu 2024. aktivnosti usmjerene na praćenje prethodnih preporuka iz revizija, izradu nacrta stalnih operativnih postupaka IAC-a te izradu strateškog plana revizije za razdoblje 2025. – 2027. i njegovo podnošenje na odobrenje kolegiju;</w:t>
      </w:r>
    </w:p>
    <w:p w14:paraId="3D58A122" w14:textId="7E4BCE56" w:rsidR="00C56192" w:rsidRPr="00F4070E" w:rsidRDefault="00C56192" w:rsidP="00C56192">
      <w:pPr>
        <w:pStyle w:val="NormalHanging12a"/>
      </w:pPr>
      <w:r w:rsidRPr="00F4070E">
        <w:t>26.</w:t>
      </w:r>
      <w:r w:rsidRPr="00F4070E">
        <w:tab/>
        <w:t xml:space="preserve">podsjeća da je 2023. IAS pokrenuo ograničenu reviziju sastavnica jamstva EPPO-a koja je dovršena 2024.; napominje da su u obzir uzete sve preporuke, što je dovelo do dodatnog poboljšanja jamstvenog okvira i postupaka upravljanja, uključujući </w:t>
      </w:r>
      <w:proofErr w:type="spellStart"/>
      <w:r w:rsidRPr="00F4070E">
        <w:t>formalizaciju</w:t>
      </w:r>
      <w:proofErr w:type="spellEnd"/>
      <w:r w:rsidRPr="00F4070E">
        <w:t xml:space="preserve"> postupaka, bolju dokumentaciju i digitalizaciju postupaka planiranja i programiranja, unaprjeđenje okvira unutarnje kontrole i ojačani pristup upravljanju rizicima; primjećuje da je od studenoga 2024. do kraja siječnja 2025. IAS proveo savjetovanje o IT-u s obzirom na informatičku autonomiju EPPO-a te da je konačno </w:t>
      </w:r>
      <w:r w:rsidRPr="00F4070E">
        <w:lastRenderedPageBreak/>
        <w:t>izvješće o savjetovanju objavljeno krajem 2024.; napominje da su se 2024. i dalje redovito pratile preporuke dane u okviru unutarnje i vanjske revizije te zahtjevi povezani s davanjem razrješnice;</w:t>
      </w:r>
    </w:p>
    <w:p w14:paraId="0C2A659A" w14:textId="77777777" w:rsidR="00C56192" w:rsidRPr="00F4070E" w:rsidRDefault="00C56192" w:rsidP="00C56192">
      <w:pPr>
        <w:pStyle w:val="NormalHanging12a"/>
      </w:pPr>
      <w:r w:rsidRPr="00F4070E">
        <w:t>27.</w:t>
      </w:r>
      <w:r w:rsidRPr="00F4070E">
        <w:tab/>
        <w:t>napominje da je EPPO nastavio svoje radnje na uspostavi sustava za praćenje povećanja učinkovitosti i uštede troškova te da je 2024. pokrenuo reviziju postupaka strateškog i operativnog planiranja i praćenja (radi povećanja mogućnosti doprinosa strateškom fokusu aktivnosti EPPO-a i postizanju stalno visoke stope provedbe ili apsorpcije dostupnih sredstava) i uspostavio srednjoročno strateško planiranje ljudskih resursa kako bi se omogućilo veće ostvarivanje plana radnih mjesta i riješili nedostaci osoblja zapošljavanjem ili profesionalnim razvojem; primjećuje da je u tom pogledu EPPO započeo raditi na konkretnijim okvirima opisa radnih mjesta kako bi se osoblje uskladilo sa strategijom i doprinijelo održavanju visokog stupnja sudjelovanja osoblja;</w:t>
      </w:r>
    </w:p>
    <w:p w14:paraId="51888D07" w14:textId="3D37C3C9" w:rsidR="00C56192" w:rsidRPr="00F4070E" w:rsidRDefault="00C56192" w:rsidP="00C56192">
      <w:pPr>
        <w:pStyle w:val="Default"/>
        <w:spacing w:after="240"/>
        <w:ind w:left="567" w:hanging="567"/>
        <w:rPr>
          <w:rFonts w:ascii="Times New Roman" w:hAnsi="Times New Roman" w:cs="Times New Roman"/>
          <w:color w:val="auto"/>
        </w:rPr>
      </w:pPr>
      <w:r w:rsidRPr="00F4070E">
        <w:rPr>
          <w:rFonts w:ascii="Times New Roman" w:hAnsi="Times New Roman"/>
          <w:color w:val="auto"/>
        </w:rPr>
        <w:t>28.</w:t>
      </w:r>
      <w:r w:rsidRPr="00F4070E">
        <w:rPr>
          <w:rFonts w:ascii="Times New Roman" w:hAnsi="Times New Roman"/>
          <w:color w:val="auto"/>
        </w:rPr>
        <w:tab/>
        <w:t>napominje da je komparativna analiza koju je Odjel za unutarnju reviziju proveo o ljudskim resursima EPPO-a pokazala da je osoblje EPPO-a usvojilo ista načela kao i osoblje u drugim organizacijama; primjećuje da je uspoređujući ljudske resurse EPPO-a i druge subjekte Unije i nacionalna tužiteljstva sa standardiziranim skupom pravila utvrđeno da postoje nedostaci u raspoređivanju osoblja u usporedbi s drugim institucijama Unije; svjestan je da se taj model koristi kao referenca u proračunskim zahtjevima EPPO-a, ali samo kad je riječ o upravnim i potpornim funkcijama jer se zbog jedinstvene prirode glavnih aktivnosti EPPO-a on ne može koristiti kao konkretna referenca za operativno područje EPPO-a;</w:t>
      </w:r>
    </w:p>
    <w:p w14:paraId="7E971557" w14:textId="77777777" w:rsidR="00C56192" w:rsidRPr="00F4070E" w:rsidRDefault="00C56192" w:rsidP="00C56192">
      <w:pPr>
        <w:pStyle w:val="Default"/>
        <w:spacing w:after="240"/>
        <w:ind w:left="567" w:hanging="567"/>
        <w:rPr>
          <w:rFonts w:ascii="Times New Roman" w:hAnsi="Times New Roman" w:cs="Times New Roman"/>
          <w:color w:val="auto"/>
        </w:rPr>
      </w:pPr>
      <w:r w:rsidRPr="00F4070E">
        <w:rPr>
          <w:rFonts w:ascii="Times New Roman" w:hAnsi="Times New Roman"/>
          <w:color w:val="auto"/>
        </w:rPr>
        <w:t>29.</w:t>
      </w:r>
      <w:r w:rsidRPr="00F4070E">
        <w:rPr>
          <w:rFonts w:ascii="Times New Roman" w:hAnsi="Times New Roman"/>
          <w:color w:val="auto"/>
        </w:rPr>
        <w:tab/>
        <w:t>cijeni rad EPPO-a na unapređenju unutarnje kontrole; napominje da je 2024. utvrđen niz normi ponašanja, postupaka i struktura; poziva EPPO da što prije riješi pitanja koja su i dalje otvorena, u pogledu politike o sukobu interesa, politike za učenje i razvoj, politike unutarnje mobilnosti, politike upravljanja ranjivostima i zakrpama, kadrovskog planiranja i postupke pri odlasku zaposlenika;</w:t>
      </w:r>
    </w:p>
    <w:p w14:paraId="051A959B" w14:textId="77777777" w:rsidR="00C56192" w:rsidRPr="00F4070E" w:rsidRDefault="00C56192" w:rsidP="00C56192">
      <w:pPr>
        <w:pStyle w:val="Default"/>
        <w:spacing w:after="240"/>
        <w:ind w:left="567" w:hanging="567"/>
        <w:rPr>
          <w:rFonts w:ascii="Times New Roman" w:hAnsi="Times New Roman" w:cs="Times New Roman"/>
          <w:color w:val="auto"/>
        </w:rPr>
      </w:pPr>
      <w:r w:rsidRPr="00F4070E">
        <w:rPr>
          <w:rFonts w:ascii="Times New Roman" w:hAnsi="Times New Roman"/>
          <w:color w:val="auto"/>
        </w:rPr>
        <w:t>30.</w:t>
      </w:r>
      <w:r w:rsidRPr="00F4070E">
        <w:rPr>
          <w:rFonts w:ascii="Times New Roman" w:hAnsi="Times New Roman"/>
          <w:color w:val="auto"/>
        </w:rPr>
        <w:tab/>
        <w:t>napominje da se ocjena vlastitog rada koju je 2024. provela unutarnja kontrola temeljila na procjeni pokazatelja unutarnje kontrole i pokretanju strategije EPPO-a za borbu protiv prijevara za razdoblje 2023. – 2025., rezultatima politike EPPO-a za upravljanje rizikom i na ex post kontrolama; cijeni činjenicu da je, kad je riječ o procjeni sastavnica unutarnje kontrole, od 71 kriterija usklađenosti, njih 55 (77 %) u potpunosti provedeno, dok je njih 15 (22 %) djelomično provedeno i zahtijeva daljnji razvoj, a za samo jedan kriterij (1 %) još nije zabilježena znatna razina provedbe; primjećuje da od 11 otvorenih pitanja, njih 10 čine stavke iz prethodnih procjena u fazi praćenja, jedno je novo pitanje utvrđeno 2024., dok su četiri nedostatka iz procjene provedene 2023. u potpunosti uklonjena;</w:t>
      </w:r>
    </w:p>
    <w:p w14:paraId="67EA1D78" w14:textId="77777777" w:rsidR="00C56192" w:rsidRPr="00F4070E" w:rsidRDefault="00C56192" w:rsidP="00C56192">
      <w:pPr>
        <w:pStyle w:val="Default"/>
        <w:spacing w:after="240"/>
        <w:ind w:left="567" w:hanging="567"/>
        <w:rPr>
          <w:rFonts w:ascii="Times New Roman" w:hAnsi="Times New Roman" w:cs="Times New Roman"/>
          <w:color w:val="auto"/>
        </w:rPr>
      </w:pPr>
      <w:r w:rsidRPr="00F4070E">
        <w:rPr>
          <w:rFonts w:ascii="Times New Roman" w:hAnsi="Times New Roman"/>
          <w:color w:val="auto"/>
        </w:rPr>
        <w:t>31.</w:t>
      </w:r>
      <w:r w:rsidRPr="00F4070E">
        <w:rPr>
          <w:rFonts w:ascii="Times New Roman" w:hAnsi="Times New Roman"/>
          <w:color w:val="auto"/>
        </w:rPr>
        <w:tab/>
        <w:t>podržava nastavak rada EPPO-a na poboljšanju kontrole rizika te proaktivnom rješavanju postojećih i novih rizika; smatra da kontrolne aktivnosti EPPO-a pružaju dostatnu razinu jamstva u pogledu ublažavanja rizika i napominje da je 2024. službenik za unutarnju kontrolu održao niz radionica s odgovarajućim voditeljima u cilju procjene rizika, uključujuću nove rizike i one povezane s prijevarama, što je dovelo do utvrđivanja novih rizika koji se tek pojavljuju, uglavnom u području digitalnih usluga, sigurnosti i operacija, koji održavaju promjenjivu prirodu rizika;</w:t>
      </w:r>
    </w:p>
    <w:p w14:paraId="1B796D59" w14:textId="66A686D3" w:rsidR="00C56192" w:rsidRPr="00F4070E" w:rsidRDefault="00C56192" w:rsidP="00C56192">
      <w:pPr>
        <w:pStyle w:val="NormalHanging12a"/>
      </w:pPr>
      <w:r w:rsidRPr="00F4070E">
        <w:t>32.</w:t>
      </w:r>
      <w:r w:rsidRPr="00F4070E">
        <w:tab/>
        <w:t xml:space="preserve">napominje da je strategija EPPO-a za borbu protiv prijevara za razdoblje 2023. – 2025., ažurirana 2023. u skladu sa zahtjevima Uredbe </w:t>
      </w:r>
      <w:r w:rsidR="00917FAE">
        <w:t>(</w:t>
      </w:r>
      <w:r w:rsidRPr="00F4070E">
        <w:t xml:space="preserve">EU) 2017/1939 i financijskim pravilima </w:t>
      </w:r>
      <w:r w:rsidRPr="00F4070E">
        <w:lastRenderedPageBreak/>
        <w:t>EPPO-a, povezana s planom djelovanja koji je dio unutarnje kontrole EPPO-a te da se prati na godišnjoj razini i revidirana je 2024.; primjećuje da je 2024. provedba bila usmjerena na aktivnosti informiranja, pri čemu je organizirano 17 tečajeva osposobljavanja o etičkom okviru EPPO-a, strategiji za borbu protiv prijevara i kodeksu dobrog upravnog ponašanja, pri čemu je osigurano sudjelovanje velikog broja različitih zaposlenika; pozdravlja donošenje postupka za zviždače, što je postignuto početkom 2025.; napominje da su, do donošenja sveobuhvatne politike o sukobu interesa, i dalje na snazi obveze i postupci podnošenja izjava za osoblje na višim rukovodećim položajima i osoblje uključeno u financijske postupke, nabavu i zapošljavanje; poziva na brzo donošenje sveobuhvatne politike o sukobima interesa kako bi se osiguralo povjerenje javnosti u integritet EPPO-a;</w:t>
      </w:r>
    </w:p>
    <w:p w14:paraId="1C64A043" w14:textId="77777777" w:rsidR="00C56192" w:rsidRPr="00F4070E" w:rsidRDefault="00C56192" w:rsidP="00C56192">
      <w:pPr>
        <w:pStyle w:val="BodyText"/>
        <w:kinsoku w:val="0"/>
        <w:overflowPunct w:val="0"/>
        <w:spacing w:after="240" w:line="240" w:lineRule="auto"/>
        <w:ind w:left="567" w:hanging="567"/>
        <w:rPr>
          <w:rFonts w:ascii="Times New Roman" w:hAnsi="Times New Roman" w:cs="Times New Roman"/>
          <w:b w:val="0"/>
          <w:bCs w:val="0"/>
          <w:sz w:val="24"/>
          <w:szCs w:val="24"/>
        </w:rPr>
      </w:pPr>
      <w:r w:rsidRPr="00F4070E">
        <w:rPr>
          <w:rFonts w:ascii="Times New Roman" w:hAnsi="Times New Roman"/>
          <w:b w:val="0"/>
          <w:sz w:val="24"/>
        </w:rPr>
        <w:t>33.</w:t>
      </w:r>
      <w:r w:rsidRPr="00F4070E">
        <w:rPr>
          <w:rFonts w:ascii="Times New Roman" w:hAnsi="Times New Roman"/>
          <w:b w:val="0"/>
          <w:sz w:val="24"/>
        </w:rPr>
        <w:tab/>
        <w:t>napominje da je EPPO, u vezi sa svojim istražnim i tužiteljskim funkcijama, redizajnirao unutarnje procese koji podupiru njegove istrage, među ostalim razvojem alata za poboljšanje učinkovitosti obrade informacija i povezivanja s većim brojem partnera, razvojem namjenskog softvera, poboljšanjem kvalitete usluga prevođenja i smanjenjem potreba za ljudskim prevoditeljima i s tim povezanih troškova, istraživanjem načina na koji se umjetna inteligencija može iskoristiti za bolje upravljanje golemim količinama informacija za obradu, procjenjujući ih s tehničkog, pravnog i etičkog stajališta; u tom pogledu cijeni rad EPPO-a na uspostavi ključnih pokazatelja uspješnosti povezanih s njegovim jedinstvenim poslovnim modelom; pozdravlja inicijative za poboljšanje izvješćivanja o rezultatima i naglašava važnost pravodobnog, točnog i transparentnog izvješćivanja Parlamenta kako bi se pokazao učinak djelovanja EPPO-a na zaštitu financijskih interesa Unije; ustraje na tome da i dalje postoji potreba za izvješćivanjem o iznosima koji su zaplijenjeni, oduzeti i na kraju vraćeni u proračun Unije, čija je zaštita u konačnici razlog postojanja strukture Unije za borbu protiv prijevara, u kojoj je EPPO važna sastavnica;</w:t>
      </w:r>
    </w:p>
    <w:p w14:paraId="5B64F544" w14:textId="77777777" w:rsidR="00C56192" w:rsidRPr="00F4070E" w:rsidRDefault="00C56192" w:rsidP="00C56192">
      <w:pPr>
        <w:pStyle w:val="BodyText"/>
        <w:kinsoku w:val="0"/>
        <w:overflowPunct w:val="0"/>
        <w:spacing w:after="240" w:line="240" w:lineRule="auto"/>
        <w:ind w:left="567" w:hanging="567"/>
        <w:rPr>
          <w:rFonts w:ascii="Times New Roman" w:hAnsi="Times New Roman" w:cs="Times New Roman"/>
          <w:b w:val="0"/>
          <w:bCs w:val="0"/>
          <w:sz w:val="24"/>
          <w:szCs w:val="24"/>
        </w:rPr>
      </w:pPr>
      <w:r w:rsidRPr="00F4070E">
        <w:rPr>
          <w:rFonts w:ascii="Times New Roman" w:hAnsi="Times New Roman"/>
          <w:b w:val="0"/>
          <w:sz w:val="24"/>
        </w:rPr>
        <w:t>34.</w:t>
      </w:r>
      <w:r w:rsidRPr="00F4070E">
        <w:rPr>
          <w:rFonts w:ascii="Times New Roman" w:hAnsi="Times New Roman"/>
          <w:b w:val="0"/>
          <w:sz w:val="24"/>
        </w:rPr>
        <w:tab/>
        <w:t>svjestan je da praćenje i mjere daljnjeg postupanja, uključujući izvješćivanje o rezultatima povrata iznosa u proračun, nisu u nadležnosti EPPO-a te da su za njih potrebni resursi i posebne ovlasti; ponavlja poziv upućen Komisiji da u okviru revizije strukture za borbu protiv prijevara utvrdi najprikladnije funkcije kojima će se osigurati kontinuirani protok podataka i informacija kako bi se omogućila temeljita analiza; naglašava da su poboljšani sustav praćenja i detaljniji podaci, navedeni po povredi dužnosti, interesnom sektoru ili zemljopisnom području, potrebni kako bi se utvrdili obrasci prijevara te kako bi učinak istraga EPPO-a postao vidljiviji;</w:t>
      </w:r>
    </w:p>
    <w:p w14:paraId="4B22241E" w14:textId="77777777" w:rsidR="00C56192" w:rsidRPr="00F4070E" w:rsidRDefault="00C56192" w:rsidP="00C56192">
      <w:pPr>
        <w:widowControl/>
        <w:autoSpaceDE w:val="0"/>
        <w:autoSpaceDN w:val="0"/>
        <w:adjustRightInd w:val="0"/>
        <w:spacing w:after="240"/>
        <w:ind w:left="567" w:hanging="567"/>
        <w:rPr>
          <w:rFonts w:ascii="Segoe UI" w:hAnsi="Segoe UI" w:cs="Segoe UI"/>
          <w:sz w:val="23"/>
          <w:szCs w:val="23"/>
        </w:rPr>
      </w:pPr>
      <w:r w:rsidRPr="00F4070E">
        <w:t>35.</w:t>
      </w:r>
      <w:r w:rsidRPr="00F4070E">
        <w:tab/>
        <w:t>napominje da je EPPO donio svoj plan kontinuiteta poslovanja; potiče EPPO da donese i digitalnu strategiju i politiku upravljanja ranjivostima i korekcijama (obje su trenutačno u izradi);</w:t>
      </w:r>
      <w:r w:rsidRPr="00F4070E">
        <w:rPr>
          <w:i/>
        </w:rPr>
        <w:t xml:space="preserve"> </w:t>
      </w:r>
      <w:r w:rsidRPr="00F4070E">
        <w:t>primjećuje da EPPO i dalje radi na razvoju ključnih pokazatelja uspješnosti, koji još nisu uspostavljeni za određeno područje, kao i na strukturiranoj evaluaciji razina tolerancije na rizik;</w:t>
      </w:r>
    </w:p>
    <w:p w14:paraId="77D07ABF" w14:textId="77777777" w:rsidR="00C56192" w:rsidRPr="00F4070E" w:rsidRDefault="00C56192" w:rsidP="00C56192">
      <w:pPr>
        <w:spacing w:after="240"/>
        <w:ind w:left="567" w:hanging="567"/>
        <w:rPr>
          <w:szCs w:val="24"/>
        </w:rPr>
      </w:pPr>
      <w:r w:rsidRPr="00F4070E">
        <w:t>36.</w:t>
      </w:r>
      <w:r w:rsidRPr="00F4070E">
        <w:tab/>
        <w:t>naglašava oštro i kontinuirano povećanje broja prijava kaznenih djela podnesenih EPPO-u koji je dosegao 6547 do 31. prosinca 2024. (56 % više nego 2023., kad ih je bilo 4187), što je dovelo do pokretanja 1504 istrage (gotovo 10 % više nego 2023., kad je EPPO pokrenuo 1371 istragu, što je 58 % više nego 2022.);</w:t>
      </w:r>
      <w:r w:rsidRPr="00F4070E">
        <w:rPr>
          <w:i/>
        </w:rPr>
        <w:t xml:space="preserve"> </w:t>
      </w:r>
      <w:r w:rsidRPr="00F4070E">
        <w:t xml:space="preserve">primjećuje da je to povećanje bilo potaknuto uglavnom prijavama koje su podnijele privatne strane (4623, što je 85 % više nego 2023. i znatno iznad raspona pokazatelja uspješnosti), kao i onima koje su podnijela nacionalna tijela (1760, što je 12 % više nego 2023.); žali zbog toga što su institucije, tijela, uredi i agencije Unije 2024. podnijele samo 113 prijava </w:t>
      </w:r>
      <w:r w:rsidRPr="00F4070E">
        <w:lastRenderedPageBreak/>
        <w:t>kaznenih djela EPPO-u (108 u 2023.), pri čemu je najviše njih (59) podnio OLAF (72 u 2023.); smatra da, u usporedbi s rastućim trendom nepravilnosti i prijevara, razina otkrivanja i dalje nije optimalna, što pokazuje da nije ostvareno znatno poboljšanje u smislu otkrivanja i prijavljivanja;</w:t>
      </w:r>
    </w:p>
    <w:p w14:paraId="1401E827" w14:textId="77777777" w:rsidR="00C56192" w:rsidRPr="00F4070E" w:rsidRDefault="00C56192" w:rsidP="00C56192">
      <w:pPr>
        <w:spacing w:after="240"/>
        <w:ind w:left="567" w:hanging="567"/>
      </w:pPr>
      <w:r w:rsidRPr="00F4070E">
        <w:t>37.</w:t>
      </w:r>
      <w:r w:rsidRPr="00F4070E">
        <w:tab/>
        <w:t>naglašava da je 31. prosinca 2024. EPPO vodio 2666 aktivnih istraga (oko 38 % više nego 2023. kad je taj broj iznosio 1927) te da je postotak prekograničnih predmeta, u koje je bilo uključeno nekoliko zemalja, bio stabilan (29 % u 2024. i 28 % u 2023.);</w:t>
      </w:r>
    </w:p>
    <w:p w14:paraId="2833CFE6" w14:textId="77777777" w:rsidR="00C56192" w:rsidRPr="00F4070E" w:rsidRDefault="00C56192" w:rsidP="00C56192">
      <w:pPr>
        <w:spacing w:after="240"/>
        <w:ind w:left="567" w:hanging="567"/>
      </w:pPr>
      <w:r w:rsidRPr="00F4070E">
        <w:t>38.</w:t>
      </w:r>
      <w:r w:rsidRPr="00F4070E">
        <w:tab/>
        <w:t>ističe povećanje procjena štete, za koju EPPO na kraju 2024. navodi da iznosi 24,8 milijardi EUR (19,27 milijardi EUR u 2023. u usporedbi s 14,1 milijardom EUR u 2022. i 5,4 milijarde EUR u 2021.), od čega se 53 % odnosi na prijevare povezane s PDV-om (13,15 milijardi EUR);</w:t>
      </w:r>
    </w:p>
    <w:p w14:paraId="66BB7914" w14:textId="77777777" w:rsidR="00C56192" w:rsidRPr="00F4070E" w:rsidRDefault="00C56192" w:rsidP="00C56192">
      <w:pPr>
        <w:pStyle w:val="NormalHanging12a"/>
      </w:pPr>
      <w:r w:rsidRPr="00F4070E">
        <w:t>39.</w:t>
      </w:r>
      <w:r w:rsidRPr="00F4070E">
        <w:tab/>
        <w:t>naglašava sve veću razinu uspješnosti EPPO-a, što dokazuje sve veći broj optužnica (205 u 2024. u usporedbi sa 139 u 2023., 87 u 2022. i 5 u 2021.) u naloga za zamrzavanje koje je dobio (u 2024. za 2,42 milijarde EUR u usporedbi s 1,5 milijardi EUR u 2023., 359,1 milijunom EUR u 2022. i 147 milijuna EUR u 2021.); žali zbog toga što nepostojanje jasnog i provedivog okvira za praćenje zaplijenjenih i vraćenih iznosa te izvješćivanje o njima i dalje sprečavaju potpunu procjenu proračunskog učinka istraga EPPO-a; ponavlja svoj poziv na donošenje zakonodavnih i proračunskih rješenja kako bi se osiguralo da se iznosi vraćeni nakon istraga pod vodstvom EPPO-a učinkovito prate, prijavljuju i vraćaju u proračun Unije; primjećuje da su 102 kaznena predmeta zaključena sudskom presudom 2024. (48 predmeta u 2023. u usporedbi s njih 20 u 2022.); žali zbog toga što je nedostatak jasnog regulatornog okvira spriječio da EPPO dostavi ažurirane i pouzdane podatke o oduzimanjima za 2024. (60 milijuna EUR oduzeto je 2023., u usporedbi s 2022. kad su oduzeta 2 milijuna EUR);</w:t>
      </w:r>
    </w:p>
    <w:p w14:paraId="4120DBE4" w14:textId="1D8F2778" w:rsidR="00C56192" w:rsidRPr="00F4070E" w:rsidRDefault="00C56192" w:rsidP="00C56192">
      <w:pPr>
        <w:spacing w:after="240"/>
        <w:ind w:left="567" w:hanging="567"/>
        <w:rPr>
          <w:bCs/>
        </w:rPr>
      </w:pPr>
      <w:r w:rsidRPr="00F4070E">
        <w:t>40.</w:t>
      </w:r>
      <w:r w:rsidRPr="00F4070E">
        <w:tab/>
        <w:t xml:space="preserve">izražava zabrinutost zbog broja otvorenih istraga u pogledu provedbe Mehanizma za oporavak i otpornost; naglašava da je do kraja 2024. EPPO vodio 311 aktivni predmet povezan s instrumentom </w:t>
      </w:r>
      <w:proofErr w:type="spellStart"/>
      <w:r w:rsidRPr="00F4070E">
        <w:t>NextGenerationEU</w:t>
      </w:r>
      <w:proofErr w:type="spellEnd"/>
      <w:r w:rsidRPr="00F4070E">
        <w:t>, od čega je njih 307 bilo povezano s Mehanizmom za oporavak i otpornost (233 na kraju 2023.), što čini oko 17 % svih aktivnih istraga prijevara u vezi s rashodima i procijenjenu štetu za financijske interese Unije u visini od 2,8 milijardi EUR (što odgovara 30 % ukupno procijenjene štete od prijevara u vezi s rashodima, u usporedbi s 25 % u 2023.); primjećuje da istrage EPPO-a o prijevarama u vezi s Mehanizmom za oporavak i otpornost otkrivaju znatne razlike među državama članicama koje su posljedica razlika u dodijeljenim sredstvima, kapacitetima za otkrivanje kaznenih djela i naravi počinjenih prijevara; zabrinut je zbog toga što države članice nisu obvezne prijavljivati predmete u okviru Mehanizma za oporavak i otpornost Komisiji u okviru sustava za upravljanje nepravilnostima, što sprječava strukturirano praćenje i analizu rizika povezanih s Mehanizmom za oporavak i otpornost; naglašava važnost suradnje među nacionalnim tijelima, EPPO-om i Komisijom kako bi se poboljšalo strukturirano izvješćivanje; izražava zabrinutost zbog toga što prijave koje podnose institucije Unije, uključujući Komisiju, iznose manje od 3 %, što uzrokuje dodatne dvojbe u sposobnost Komisije da nadzire Mehanizam za oporavak i otpornosti; poziva Komisiju da hitno ukloni te nedostatke i da u suradnji s EPPO-om poboljša interoperabilnost sustava izvješćivanja i pojasni uloge kako bi se osiguralo pouzdano praćenje nepravilnosti povezanih s Mehanizmom za oporavak i otpornost;</w:t>
      </w:r>
    </w:p>
    <w:p w14:paraId="24A09BB0" w14:textId="77777777" w:rsidR="00C56192" w:rsidRPr="00F4070E" w:rsidRDefault="00C56192" w:rsidP="00C56192">
      <w:pPr>
        <w:spacing w:after="240"/>
        <w:ind w:left="567" w:hanging="567"/>
      </w:pPr>
      <w:r w:rsidRPr="00F4070E">
        <w:lastRenderedPageBreak/>
        <w:t>41.</w:t>
      </w:r>
      <w:r w:rsidRPr="00F4070E">
        <w:tab/>
        <w:t>ponavlja da se opterećenje EPPO-a, koje je isprva bilo podcijenjeno, znatno povećalo te da se očekuje da će i dalje rasti, posebno kad je riječ o predmetima u okviru Mehanizma za oporavak i otpornost; svjestan je da EPPO obavješćuje države članice, Komisiju i Radnu skupinu za oporavak i otpornost o kriminalnim obrascima koje otkrije u svojim istragama, u cilju poboljšanja radnji sprečavanja i otkrivanja te ublažavanja rizika od prijevara; napominje da, iako predmeti u kojima provodi istrage pripadaju različitim sektorima i inicijativama specifičnima za Mehanizam za oporavak i otpornost, imaju zajedničko obilježje, a to je uključenost organiziranog kriminala kad god je riječ o prijevari na visokoj razini koja osigurava nezakonitu dobit velike vrijednosti;</w:t>
      </w:r>
    </w:p>
    <w:p w14:paraId="40816AF5" w14:textId="77777777" w:rsidR="00C56192" w:rsidRPr="00F4070E" w:rsidRDefault="00C56192" w:rsidP="00C56192">
      <w:pPr>
        <w:pStyle w:val="NormalHanging12a"/>
      </w:pPr>
      <w:r w:rsidRPr="00F4070E">
        <w:t>42.</w:t>
      </w:r>
      <w:r w:rsidRPr="00F4070E">
        <w:tab/>
        <w:t>primjećuje da se oko 6 % kaznenih djela koje je EPPO istražio do kraja 2024. odnosilo na sudjelovanje u zločinačkoj organizaciji koja je svoje kriminalne aktivnosti usredotočila na provođenje kaznenih djela iz Direktive (EU) 2017/1371 (kaznena djela povezana sa zaštitom financijskih interesa EU-a); ponavlja da se samo poboljšanom suradnjom unutar strukture za borbu protiv prijevara mogu učinkovito suzbijati takve prijevarne aktivnosti te zaštititi ostvarivanje ciljeva Mehanizma za oporavak i otpornost, kao i općenito politike Unije; smatra da se samo zajednički koordiniranom provedbom pravosudnih i upravnih mjera mogu zaštititi financijski interesi Unije i ponavlja svoj poziv Komisiji da osigura dostatnu potporu EPPO-u za poticanje uvođenja korektivnih mjera koje prate neovisne istrage EPPO-a i njegov kazneni progon kaznenih djela koje utječu na Mehanizam za oporavak i otpornost; poziva na jačanje koordinacijskog okvira u kojemu sudjeluju EPPO, Komisija i države članice, a čiji je cilj jačanje istraga i sprečavanja prijevara povezanih s Mehanizmom za oporavak i otpornost, osiguravanje sustavnog daljnjeg postupanja u vezi s istragama EPPO-a i poboljšanje razmjene relevantnih informacija; potiče Komisiju da obavješćuje proračunsko tijelo Unije o ishodima tog djelovanja;</w:t>
      </w:r>
    </w:p>
    <w:p w14:paraId="3FF0FF70" w14:textId="77777777" w:rsidR="00C56192" w:rsidRPr="00F4070E" w:rsidRDefault="00C56192" w:rsidP="00C56192">
      <w:pPr>
        <w:pStyle w:val="NormalHanging12a"/>
        <w:widowControl/>
        <w:rPr>
          <w:b/>
          <w:i/>
          <w:szCs w:val="24"/>
        </w:rPr>
      </w:pPr>
      <w:r w:rsidRPr="00F4070E">
        <w:rPr>
          <w:b/>
          <w:i/>
        </w:rPr>
        <w:t>Ljudski resursi, dobrobit osoblja i ravnopravnost</w:t>
      </w:r>
    </w:p>
    <w:p w14:paraId="1B843BA3" w14:textId="77777777" w:rsidR="00C56192" w:rsidRPr="00F4070E" w:rsidRDefault="00C56192" w:rsidP="00C56192">
      <w:pPr>
        <w:pStyle w:val="NormalHanging12a"/>
        <w:widowControl/>
      </w:pPr>
      <w:r w:rsidRPr="00F4070E">
        <w:t>43.</w:t>
      </w:r>
      <w:r w:rsidRPr="00F4070E">
        <w:tab/>
        <w:t>prima na znanje da je 2024. zadržan uzlazni trend u broju zaposlenika koji je dosegao ukupno 258 na kraju 2024. (58 u 2020., 122 u 2021., 217 u 2022. i 238. do kraja 2023.), a povećanje je nešto veće od 9,5 %; pohvaljuje visoku stopu popunjenosti radnih mjesta, koja iznosi oko 96 % (krajem 2023. iznosila je oko 93 %) za sve kategorije osim upućenih nacionalnih stručnjaka, u kojoj iznosi 83 %; primjećuje da je 2024. broj vanjskih pružatelja usluga (32) i osoba koje rade u poslovnim prostorima EPPO-a (10) ostao gotovo nepromijenjen (te su brojke 2023. iznosile 34, odnosno 9);</w:t>
      </w:r>
    </w:p>
    <w:p w14:paraId="3AF0AEC9" w14:textId="1F5ECA51" w:rsidR="00C56192" w:rsidRPr="00F4070E" w:rsidRDefault="00C56192" w:rsidP="00C56192">
      <w:pPr>
        <w:pStyle w:val="NormalHanging12a"/>
        <w:widowControl/>
      </w:pPr>
      <w:r w:rsidRPr="00F4070E">
        <w:t>44.</w:t>
      </w:r>
      <w:r w:rsidRPr="00F4070E">
        <w:tab/>
        <w:t>cijeni što su se 2024. upravni kapaciteti EPPO-a u području zapošljavanja poboljšali te da je poveden nadzor 50 postupaka odabira (2023. provedena su 24 odabira), a uz to je zaposleno 47 novih članova osoblja (u usporedbi s 45 zaposlenih 2023.), šest upućenih nacionalnih stručnjaka i šest stažista; uzima u obzir otežane uvjete za zapošljavanje u Luksemburgu povezane s visokim troškovima života, posebno kad je riječ o zapošljavanju osoblja u nižim razredima, pri čemu EPPO ističe mali broj prijava, visoku stopu odbijanja ponuđenih ugovora uspješnim kandidatima i vrlo ograničen broj kandidata s malo specijaliziranih vještina; naglašava da bi manje prilika za rad na daljinu u usporedbi na ono što nude drugi poslodavci također moglo dovesti do manje privlačnosti radnih mjesta; ponavlja svoj poziv EPPO-u i Komisiji da utvrde dodatne mjere kojima se može povećati privlačnost EPPO-a za visokokvalificirane stručnjake s međunarodnim iskustvom;</w:t>
      </w:r>
    </w:p>
    <w:p w14:paraId="3E6E354E" w14:textId="77777777" w:rsidR="00C56192" w:rsidRPr="00F4070E" w:rsidRDefault="00C56192" w:rsidP="00C56192">
      <w:pPr>
        <w:pStyle w:val="NormalHanging12a"/>
      </w:pPr>
      <w:r w:rsidRPr="00F4070E">
        <w:t>45.</w:t>
      </w:r>
      <w:r w:rsidRPr="00F4070E">
        <w:tab/>
        <w:t xml:space="preserve">svjestan je da je EPPO zatražio 419 radnih mjesta u svojem planu radnih mjesta do kraja </w:t>
      </w:r>
      <w:r w:rsidRPr="00F4070E">
        <w:lastRenderedPageBreak/>
        <w:t>2024., a umjesto toga mu je odobreno njih 289; naglašava da je 2025. zatraženo 513 radnih mjesta te da ih je tada odobreno samo 307, što je povećalo razliku između potrebnih i dodijeljenih resursa; slaže se s EPPO-om da će se bez zatraženog povećanja broja zaposlenih znatno smanjiti sposobnost EPPO-a da učinkovito izvršava svoj mandat u skladu s očekivanjima građana Unije te će se nastaviti povećavati broj neriješenih predmeta, kasnit će provedba pravosudnih postupaka u slučajevima prijevara koje utječu na financijske interese Unije, a borba protiv zločinačkih organizacija koje kradu javna financijska sredstva i štete europskim gospodarstvima bit će daleko manje učinkovita; prima na znanje napomene EPPO-a o tome da osoblje sve češće skuplja višak radnih sati zbog ograničenih resursa i povećanog radnog opterećenja pojedinaca, čime se mogu stvoriti rizici za individualnu otpornost i eventualne povećane fluktuacije osoblja; stoga ističe potrebu da Ured europskog javnog tužitelja raspolaže odgovarajućim osobljem i proračunskim sredstvima u skladu sa zadaćama koje su mu povjerene;</w:t>
      </w:r>
    </w:p>
    <w:p w14:paraId="24FFB479" w14:textId="77777777" w:rsidR="00C56192" w:rsidRPr="00F4070E" w:rsidRDefault="00C56192" w:rsidP="00C56192">
      <w:pPr>
        <w:pStyle w:val="NormalHanging12a"/>
      </w:pPr>
      <w:r w:rsidRPr="00F4070E">
        <w:t>46.</w:t>
      </w:r>
      <w:r w:rsidRPr="00F4070E">
        <w:tab/>
        <w:t>shvaća da je raspodjela osoblja unutar EPPO-a usmjerena na maksimalno povećanje učinkovitosti te napominje da je do kraja 2024. od ukupno 412 radnih mjesta, njih 319 bilo posvećeno operativnim aktivnostima, što čini više od 77 % (u usporedbi s 80 % u 2023.) u odnosu na njih 18 % posvećenih upravnim zadaćama (u usporedbi s 14 % u 2023.), u skladu s pristupom EPPO-a u kojem se prednost daje operativnim aktivnostima; ipak, napominje da se povećao postotak zaposlenih koji rade na administrativnim zadaćama i zadaćama potpore; svjestan je da je to uglavnom posljedica neke od nedavnih promjena u politici Komisije, kao što je ukidanje informatičke službe, zbog kojeg je EPPO morao ključne zadaće povjeriti vlastitom osoblju koje je tada raspoređeno na neoperativne položaje;</w:t>
      </w:r>
    </w:p>
    <w:p w14:paraId="00BB5636" w14:textId="1284462B" w:rsidR="00C56192" w:rsidRPr="00F4070E" w:rsidRDefault="00C56192" w:rsidP="00C56192">
      <w:pPr>
        <w:pStyle w:val="NormalHanging12a"/>
        <w:widowControl/>
        <w:rPr>
          <w:szCs w:val="24"/>
        </w:rPr>
      </w:pPr>
      <w:r w:rsidRPr="00F4070E">
        <w:t>47.</w:t>
      </w:r>
      <w:r w:rsidRPr="00F4070E">
        <w:tab/>
        <w:t>i dalje smatra da će za perspektivu radnog opterećenja biti potrebni dodatni resursi; ističe da će zbog sve većeg broja predmeta povezanih s Mehanizmom za oporavak i otpornost te prijevarama s PDV-om i složenosti istraga koje uključuju prekogranične operacije organiziranog kriminala također doći do povećanja radnog opterećenja upravnih i središnjih potpornih funkcije koje su neodvojivo povezane s operacijama EPPO-a;  izražava zabrinutost zbog rizika od podcjenjivanja potreba EPPO-a i precjenjivanja njegovih kapaciteta za učinkovitu reakciju na sve veće zahtjeve;</w:t>
      </w:r>
    </w:p>
    <w:p w14:paraId="2DE6F756" w14:textId="778490B2" w:rsidR="00C56192" w:rsidRPr="00F4070E" w:rsidRDefault="00C56192" w:rsidP="00C56192">
      <w:pPr>
        <w:pStyle w:val="NormalHanging12a"/>
        <w:widowControl/>
        <w:rPr>
          <w:szCs w:val="24"/>
        </w:rPr>
      </w:pPr>
      <w:r w:rsidRPr="00F4070E">
        <w:t>48.</w:t>
      </w:r>
      <w:r w:rsidRPr="00F4070E">
        <w:tab/>
        <w:t>napominje da je do kraja 2024. udio osoblja koje napušta EPPO (od početka godine) iznosio 2,8 %, što je ograničena fluktuacija od šest zaposlenih u 2024. (u usporedbi s njih 11 u 2023., odnosno 4,62 %), a uglavnom je povezana s odlukama određenih zaposlenika da prijeđu u druge institucije Unije, lokalno ili u inozemstvu, koji im nude bolje uvjete zaposlenja; primjećuje da se odgovarajuća pozornost posvećena dobrobiti osoblja očituje i u brojnim inicijativama isplaniranima 2024. (i velikom broju njih izvršenih 2025.) povezanima s uvođenjem naknade za stanovanje, osposobljavanjem i profesionalnim razvojem koji EPPO-u omogućuju da ponudi konkurentniji paket u skladu s ponudama drugih institucija u Luksemburgu; napominje i da je broj dugotrajnih bolovanja također bio vrlo nizak;</w:t>
      </w:r>
    </w:p>
    <w:p w14:paraId="10AB6E0C" w14:textId="33AFFBE5" w:rsidR="00C56192" w:rsidRPr="00F4070E" w:rsidRDefault="00C56192" w:rsidP="00C56192">
      <w:pPr>
        <w:pStyle w:val="NormalHanging12a"/>
        <w:widowControl/>
      </w:pPr>
      <w:r w:rsidRPr="00F4070E">
        <w:t>49.</w:t>
      </w:r>
      <w:r w:rsidRPr="00F4070E">
        <w:tab/>
        <w:t xml:space="preserve">napominje da se 2024. počela razvijati politika za povećanje dobrobiti kako bi se dodatno povećalo zadovoljstvo zaposlenih i promicali čimbenici zaštite zdravlja; u tom smislu pozdravlja sporazum sklopljen s psihosocijalnom službom Komisije kako bi se svim zaposlenicima EPPO-a pružile usluge besplatnog psihosocijalnog savjetovanja sa stručnjacima iz različitih područja; cijeni daljnje inicijative EPPO-a za promicanje dobrobiti osoblja, kao što su unutarnji i vanjski postupci odabira koji su 2024. </w:t>
      </w:r>
      <w:r w:rsidRPr="00F4070E">
        <w:lastRenderedPageBreak/>
        <w:t>omogućili unutarnje napredovanje za 10 članova osoblja i reviziju uvjeta zaposlenja koji su izmijenjeni krajem 2024. kako bi se osoblju EPPO-a omogućilo da sklope ugovor na neodređeno vrijeme prije no što im je to ranije bilo omogućeno;</w:t>
      </w:r>
    </w:p>
    <w:p w14:paraId="1BA96C22" w14:textId="015F4428" w:rsidR="00C56192" w:rsidRPr="00F4070E" w:rsidRDefault="00C56192" w:rsidP="00C56192">
      <w:pPr>
        <w:pStyle w:val="NormalHanging12a"/>
        <w:widowControl/>
      </w:pPr>
      <w:r w:rsidRPr="00F4070E">
        <w:t>50.</w:t>
      </w:r>
      <w:r w:rsidRPr="00F4070E">
        <w:tab/>
        <w:t>ističe da su krajem 2023. u EPPO-u ažurirane nove smjernice o pojmu „mjesto rada na daljinu”, što je osoblju 2024. omogućilo veću autonomiju; primjećuje da se otad provode dijalozi s osobljem, ali 2024. nisu izvršene daljnje prilagodbe; podsjeća da EPPO ima shemu fleksibilnog radnog vremena i standardnu shemu rada od kuće, kojom se predviđa jedan dan rada na daljinu tjedno, a najviše tri dana tjedno, uz produljenja koja se prihvaćaju u slučaju ozbiljnih zdravstvenih problema ili obiteljskih situacija; napominje da trenutačni okvir uključuje i deset dana rada izvan mjesta rada u određenoj godini, koji ne moraju biti povezani s drugim danima dopusta; i dalje smatra da trenutačni radni uvjeti EPPO-a omogućuju osoblju da iskoristi digitalna rješenja jer je u upravljanje rasporedom radnog vremena uvedena visoka razina autonomije, čime se omogućava ravnoteža između poslovnog i privatnog života te potiče raspoloženje i timski duh, što je bilo predmet procjene učinka kroz stalnu interakciju s osobljem i odborom osoblja (uključujući opće praćenje i revizije);</w:t>
      </w:r>
    </w:p>
    <w:p w14:paraId="4DA62529" w14:textId="58BBE827" w:rsidR="00C56192" w:rsidRPr="00F4070E" w:rsidRDefault="00C56192" w:rsidP="00C56192">
      <w:pPr>
        <w:pStyle w:val="NormalHanging12a"/>
        <w:widowControl/>
        <w:rPr>
          <w:szCs w:val="24"/>
        </w:rPr>
      </w:pPr>
      <w:r w:rsidRPr="00F4070E">
        <w:t>51.</w:t>
      </w:r>
      <w:r w:rsidRPr="00F4070E">
        <w:tab/>
        <w:t>sa zadovoljstvom napominje da je prikladna rodna uravnoteženost na rukovodećim položajima postignuta 2024. i 2025. (četiri žene i pet muškaraca) imenovanjem manje zastupljenog roda na položaje srednjeg i višeg rukovodstva; napominje da je, kad je riječ o geografskoj uravnoteženosti, među njegovim osobljem u različitom stupnju zastupljeno 26 država EU-a, pri čemu su neke države zastupljenije od drugih; poziva EPPO da finalizira svoju strategiju za raznolikost i uključivanje, o čijoj je provedbi odluka donesena 2023.;</w:t>
      </w:r>
    </w:p>
    <w:p w14:paraId="79EC7F0E" w14:textId="3EC65C57" w:rsidR="00C56192" w:rsidRPr="00F4070E" w:rsidRDefault="00C56192" w:rsidP="00C56192">
      <w:pPr>
        <w:widowControl/>
        <w:autoSpaceDE w:val="0"/>
        <w:autoSpaceDN w:val="0"/>
        <w:adjustRightInd w:val="0"/>
        <w:spacing w:after="240"/>
        <w:ind w:left="567" w:hanging="567"/>
        <w:rPr>
          <w:szCs w:val="24"/>
        </w:rPr>
      </w:pPr>
      <w:r w:rsidRPr="00F4070E">
        <w:t>52.</w:t>
      </w:r>
      <w:r w:rsidRPr="00F4070E">
        <w:tab/>
        <w:t>uzima u obzir da prvu liniju EPPO-a čine delegirani europski tužitelji koji djeluju na decentraliziranoj razini u 24 države članice; napominje da su se, od 31. prosinca 2024., uredi delegiranih europskih tužitelja nalazili u 44 grada u 22 države članice; primjećuje da je do kraja 2024. EPPO imao 166 imenovanih delegiranih europskih tužitelja, uzimajući u obzir da je deset delegiranih europskih tužitelja iz Švedske (2) i Poljske (8) imenovano u prosincu 2024., ali su s operativnim aktivnostima započeli tek u siječnju 2025.; podsjeća na važnost osiguravanja potpune neovisnosti delegiranih europskih tužitelja koja proizlazi iz objektivnog postupka imenovanja na temelju zasluga u skladu s člankom 17. Uredbe (EU) 2017/1939 i načelom autonomije nacionalnih postupaka;</w:t>
      </w:r>
    </w:p>
    <w:p w14:paraId="00D3267D" w14:textId="77777777" w:rsidR="00C56192" w:rsidRPr="00F4070E" w:rsidRDefault="00C56192" w:rsidP="00C56192">
      <w:pPr>
        <w:pStyle w:val="NormalHanging12a"/>
      </w:pPr>
      <w:r w:rsidRPr="00F4070E">
        <w:t>53.</w:t>
      </w:r>
      <w:r w:rsidRPr="00F4070E">
        <w:tab/>
        <w:t xml:space="preserve">naglašava da je EPPO istaknuo ukupan broj od 172 delegirana europska tužitelja kao cilj za imenovanje do kraja 2024., ne uzimajući u obzir eventualne dodatne potrebe proizišle iz pridruživanja Poljske i Švedske; ističe da je proračunsko tijelo Unije pristalo na povećanje broja delegiranih europskih tužitelja sa 140 na samo 166, uz raspoređivanje 24 delegirana europska tužitelja u Poljsku i dva u Švedsku; ističe da je proračunsko tijelo Unije nastavilo odobravati sredstva za potrebe plaća delegiranih europskih tužitelja u visini koja odgovara 80 % plaće u razredu AD9 umjesto 100 % plaće u razredu AD9, kako je odlučio EPPO da bi položaj bio privlačniji za više tužitelje koji raspolažu dugogodišnjim profesionalnim iskustvom za rješavanje složenih predmeta EPPO-a; shvaća da je zbog financijskog pritiska proizišlog iz te razlike u dodijeljenim sredstvima do kraja 2024. EPPO uspio rasporediti dva delegirana europska tužitelja u Švedsku i samo njih osam u Poljsku (od 24 potrebna) te njih 156 u preostale države članice; primjećuje da usporavanje uvođenja dodatnih delegiranih europskih tužitelja negativno utječe na sposobnost EPPO-a da vodi sve veći broj istraga i slučajeva kaznenog progona; nadalje primjećuje da je zbog manjka financijskih sredstava EPPO </w:t>
      </w:r>
      <w:r w:rsidRPr="00F4070E">
        <w:lastRenderedPageBreak/>
        <w:t>također morao smanjiti ili odgoditi ulaganja u sustav vođenja predmeta, zbog čega je spriječen u tome da poboljša svoju sposobnost za vođenje prekograničnih istraga; poziva Komisiju da ocijeni tu situaciju uzimajući u obzir povećano radno opterećenje i osjetljivost predmeta koji se vode te da izvijesti Parlament o rezultatima i mogućim rješenjima za rješavanje pitanja nedostatka financijskih sredstava;</w:t>
      </w:r>
    </w:p>
    <w:p w14:paraId="3F783A30" w14:textId="77777777" w:rsidR="00C56192" w:rsidRPr="00F4070E" w:rsidRDefault="00C56192" w:rsidP="00C56192">
      <w:pPr>
        <w:pStyle w:val="NormalHanging12a"/>
      </w:pPr>
      <w:r w:rsidRPr="00F4070E">
        <w:t>54.</w:t>
      </w:r>
      <w:r w:rsidRPr="00F4070E">
        <w:tab/>
        <w:t>i dalje smatra da odgovornost za imenovanje delegiranih europskih tužitelja dijele EPPO i države članice jer, dok europske tužitelje nominiraju države članice, a zatim ih imenuje Vijeće, delegirane europske tužitelje nominiraju države članice, a imenuje ih kolegij; potiče države članice da u tom smislu doprinose potpunoj neovisnosti delegiranih europskih tužitelja i EPPO-a; prima na znanje da EPPO nastoji poboljšati radne uvjete delegiranih europskih tužitelja kako bi taj položaj bio privlačniji, primjerice usklađivanjem plaća delegiranih europskih tužitelja s plaćama službenika Unije s istovrijednom razinom odgovornosti (AD9), umjesto 80 % plaće službenika Unije, kako je izvorno odlučila Komisija, uzimajući u obzir činjenicu da je napredovanje u karijeri delegiranih europskih tužitelja u njihovim nacionalnim sustavima i dalje nejasno te da su, u više slučajeva, nacionalne plaće najiskusnijih državnih odvjetnika bile više od plaća ponuđenih za položaj delegiranog europskog tužitelja, zbog čega je EPPO morao intervenirati primjenom članka 16. stavka 1. Uvjeta zaposlenja delegiranih europskih tužitelja, kojim se predviđa da se, ako je ukupna neto plaća niža od nacionalne plaće, osigura dodatni iznos kako bi plaća odgovarala prethodnoj razini; ponavlja svoj poziv za utvrđivanje jasnih karijernih perspektiva delegiranih europskih tužitelja i povoljnijih mehanizama socijalnog i zdravstvenog osiguranja; inzistira na uspostavi posebnog status za delegirane europske tužitelje u skladu s prirodom njihove funkcije u pravosudnom sustavu te poziva Komisiji da predloži odgovarajuće izmjene Uredbe (EU) 2017/1939 u okviru njezine predstojeće revizije, kojima bi se obuhvatilo i pitanje jaza u području socijalnog i zdravstvenog osiguranja delegiranih europskih tužitelja koje još nije riješeno za sve države članice kroz zakonodavne ili upravne aranžmane, čak iako je njihovo donošenje obvezno u skladu s Uredbom (EU) 2017/1939;</w:t>
      </w:r>
    </w:p>
    <w:p w14:paraId="025D26CC" w14:textId="77777777" w:rsidR="00C56192" w:rsidRPr="00F4070E" w:rsidRDefault="00C56192" w:rsidP="00C56192">
      <w:pPr>
        <w:widowControl/>
        <w:autoSpaceDE w:val="0"/>
        <w:autoSpaceDN w:val="0"/>
        <w:adjustRightInd w:val="0"/>
        <w:spacing w:after="240"/>
        <w:ind w:left="567" w:hanging="567"/>
      </w:pPr>
      <w:r w:rsidRPr="00F4070E">
        <w:t>55.</w:t>
      </w:r>
      <w:r w:rsidRPr="00F4070E">
        <w:tab/>
        <w:t xml:space="preserve">razumije da je EPPO 2024. radije provodio unutarnja istraživanja zadovoljstva osoblja umjesto da koristi skupe usluge vanjskog pružatelja u okviru postojećeg okvirnog ugovora, ali žali zbog nedostatka sudjelovanja odbora osoblja koje bi bilo prikladnije; napominje da je osoblje u istraživanju opetovano navodilo određena pitanja, uglavnom ona povezana s ravnotežom poslovnog i privatnog života i tumačenju dostupnosti rada na daljinu iz inozemstva zbog obiteljskih ili osobnih razloga; prima na znanje da EPPO navodi da su njegova stroga pravila o radu na daljinu jedan od mogućih </w:t>
      </w:r>
      <w:proofErr w:type="spellStart"/>
      <w:r w:rsidRPr="00F4070E">
        <w:t>odvraćajućih</w:t>
      </w:r>
      <w:proofErr w:type="spellEnd"/>
      <w:r w:rsidRPr="00F4070E">
        <w:t xml:space="preserve"> čimbenika pri zapošljavanju i potiče EPPO da istraži alternativna rješenja koja bi, bez ugrožavanja učinkovitosti njegovih radnih metoda i dovođenja u pitanje korporativne kulture, mogla dovesti do veće razine autonomije koja bi, pak, osigurala veće zadovoljstvo osoblja;</w:t>
      </w:r>
    </w:p>
    <w:p w14:paraId="4AA61981" w14:textId="77777777" w:rsidR="00C56192" w:rsidRPr="00F4070E" w:rsidRDefault="00C56192" w:rsidP="00C56192">
      <w:pPr>
        <w:widowControl/>
        <w:spacing w:after="240"/>
        <w:ind w:left="567" w:hanging="567"/>
      </w:pPr>
      <w:r w:rsidRPr="00F4070E">
        <w:t>56.</w:t>
      </w:r>
      <w:r w:rsidRPr="00F4070E">
        <w:tab/>
        <w:t>napominje da je 2024. EPPO evidentirao 1504 iskaza interesa za programe osposobljavanja, od čega je njih 851 uspješno dovršeno, u ukupnom broju od 13 984 sati osposobljavanja, što odgovara 1865 dana osposobljavanja na unutarnjim i vanjskim tečajevima; primjećuje da je u slučaju specijaliziranog vanjskog osposobljavanja za pravne i upravne stvari EPPO evidentirao 42 iskaza interesa za programe osposobljavanja, pri čemu je njih 22 u tijeku, a njih 17 uspješno dovršeno, u ukupnom broju od 992 sata osposobljavanja, što odgovara 132 dana osposobljavanja;</w:t>
      </w:r>
    </w:p>
    <w:p w14:paraId="612D48F3" w14:textId="77777777" w:rsidR="00C56192" w:rsidRPr="00F4070E" w:rsidRDefault="00C56192" w:rsidP="00C56192">
      <w:pPr>
        <w:pStyle w:val="Default"/>
        <w:spacing w:after="240"/>
        <w:ind w:left="567" w:hanging="567"/>
        <w:rPr>
          <w:color w:val="auto"/>
        </w:rPr>
      </w:pPr>
      <w:r w:rsidRPr="00F4070E">
        <w:rPr>
          <w:rFonts w:ascii="Times New Roman" w:hAnsi="Times New Roman"/>
          <w:color w:val="auto"/>
        </w:rPr>
        <w:lastRenderedPageBreak/>
        <w:t>57.</w:t>
      </w:r>
      <w:r w:rsidRPr="00F4070E">
        <w:rPr>
          <w:rFonts w:ascii="Times New Roman" w:hAnsi="Times New Roman"/>
          <w:color w:val="auto"/>
        </w:rPr>
        <w:tab/>
        <w:t xml:space="preserve">napominje i da su 2024. strategije EPPO-a za osposobljavanje bile u skladu s njegovom misijom i relevantne za nju jer su bile usmjerene na operativna (operativne radionice i drugo osposobljavanje) i upravna (osposobljavanje u okviru sporazuma na razini službe, u domeni digitalnih usluga, području sigurnosti i brojne druge vrste osposobljavanja) područja, u skladu s potrebama organizacije; svjestan je da je 2024. osposobljavanje bilo usmjereno na područja kao što su sigurnost, zaštita (informacijska sigurnost i opća svijest o sigurnosti IKT-a), etička pitanja, održivost (zelena javna nabava i klimatski rizici) te poboljšanje digitalnih vještina (relevantno i u kontekstu pripreme za projekt informatičke autonomije EPPO-a koji je konačno ostvaren 2025.); pozdravlja pristup EPPO-a u okviru kojeg se sadržaj ponude osposobljavanja strogo prilagođava u skladu s ulogom, odgovornostima, razredu ciljane populacije, uz kratka informativna predavanja namijenjena određenim timovima nakon ad </w:t>
      </w:r>
      <w:proofErr w:type="spellStart"/>
      <w:r w:rsidRPr="00F4070E">
        <w:rPr>
          <w:rFonts w:ascii="Times New Roman" w:hAnsi="Times New Roman"/>
          <w:color w:val="auto"/>
        </w:rPr>
        <w:t>hoc</w:t>
      </w:r>
      <w:proofErr w:type="spellEnd"/>
      <w:r w:rsidRPr="00F4070E">
        <w:rPr>
          <w:rFonts w:ascii="Times New Roman" w:hAnsi="Times New Roman"/>
          <w:color w:val="auto"/>
        </w:rPr>
        <w:t xml:space="preserve"> zahtjeva, s naglaskom na definirane stavke (npr. uloga povjerljivih savjetnika);</w:t>
      </w:r>
    </w:p>
    <w:p w14:paraId="21547004" w14:textId="77777777" w:rsidR="00C56192" w:rsidRPr="00F4070E" w:rsidRDefault="00C56192" w:rsidP="00C56192">
      <w:pPr>
        <w:pStyle w:val="Default"/>
        <w:spacing w:after="240"/>
        <w:ind w:left="567" w:hanging="567"/>
        <w:rPr>
          <w:rFonts w:ascii="Times New Roman" w:hAnsi="Times New Roman" w:cs="Times New Roman"/>
          <w:color w:val="auto"/>
          <w:szCs w:val="22"/>
        </w:rPr>
      </w:pPr>
      <w:r w:rsidRPr="00F4070E">
        <w:rPr>
          <w:rFonts w:ascii="Times New Roman" w:hAnsi="Times New Roman"/>
          <w:color w:val="auto"/>
        </w:rPr>
        <w:t>58.</w:t>
      </w:r>
      <w:r w:rsidRPr="00F4070E">
        <w:rPr>
          <w:rFonts w:ascii="Times New Roman" w:hAnsi="Times New Roman"/>
          <w:color w:val="auto"/>
        </w:rPr>
        <w:tab/>
        <w:t>primjećuje da se osoblje propisno obavješćuje o prilikama za osposobljavanje na intranetu EPPO-a na kojem je dostupan i sadržaj za nove korisnike i drugi resursi jednostavni za korištenje; cijeni činjenicu da je ponuda osposobljavanja za 2024. bila dobro primljena i da je, na primjer, do kraja 2024., 86,2 % osoblja EPPO-a (statutarno osoblje, upućeni nacionalni stručnjaci i izvođači koji rade u poslovnim prostorima EPPO-a) pohađalo osposobljavanje o politici za borbu protiv prijevara, dok su u područjima politike za borbu protiv uznemiravanja i politike o zviždačima 2024. održana dva opća predavanja o povezanom sadržaju namijenjena općem osoblju (34 odnosno 16 sudionika) i jedno za rukovoditelje (devet sudionika) i članove kolegija (šest sudionika);</w:t>
      </w:r>
    </w:p>
    <w:p w14:paraId="3F5A05D8" w14:textId="77777777" w:rsidR="00C56192" w:rsidRPr="00F4070E" w:rsidRDefault="00C56192" w:rsidP="00C56192">
      <w:pPr>
        <w:widowControl/>
        <w:spacing w:after="240"/>
        <w:ind w:left="567" w:hanging="567"/>
      </w:pPr>
      <w:r w:rsidRPr="00F4070E">
        <w:t>59.</w:t>
      </w:r>
      <w:r w:rsidRPr="00F4070E">
        <w:tab/>
        <w:t>pozdravlja činjenicu da 2024. nije prijavljen nijedan slučaj sindroma izgaranja na poslu; napominje da EPPO potiče mjere kojima se nastoji ublažiti sve veće radno opterećenje u cilju smanjenja rizika od izgaranja na poslu; ipak, primjećuje da 2024. nije izvršena procjena o raspodjeli radnog opterećenja među različitim timovima i članovima osoblja;</w:t>
      </w:r>
    </w:p>
    <w:p w14:paraId="7B9F18BD" w14:textId="77777777" w:rsidR="00C56192" w:rsidRPr="00F4070E" w:rsidRDefault="00C56192" w:rsidP="00C56192">
      <w:pPr>
        <w:widowControl/>
        <w:spacing w:after="240"/>
        <w:ind w:left="567" w:hanging="567"/>
        <w:rPr>
          <w:szCs w:val="24"/>
        </w:rPr>
      </w:pPr>
      <w:r w:rsidRPr="00F4070E">
        <w:t>60.</w:t>
      </w:r>
      <w:r w:rsidRPr="00F4070E">
        <w:tab/>
        <w:t xml:space="preserve">napominje da je EPPO 2024. organizirao informativna predavanja o borbi protiv uznemiravanja namijenjena osoblju, rukovoditeljima i kolegiju te da su takva predavanja na zahtjev organizirana za određene timove i jedinice na ad </w:t>
      </w:r>
      <w:proofErr w:type="spellStart"/>
      <w:r w:rsidRPr="00F4070E">
        <w:t>hoc</w:t>
      </w:r>
      <w:proofErr w:type="spellEnd"/>
      <w:r w:rsidRPr="00F4070E">
        <w:t xml:space="preserve"> osnovi, uz prilagodbu sadržaja potrebama sudionika; cijeni pokretanje postupka iskaza interesa za povjerljive savjetnike 2024. koji je doveo do (u suradnji s odborom osoblja) izbora savjetnika u prvom tromjesečju 2025.; napominje da je 2024. prijavljen prvi slučaj uznemiravanja unutar EPPO-a;</w:t>
      </w:r>
    </w:p>
    <w:p w14:paraId="218512BB" w14:textId="77777777" w:rsidR="00C56192" w:rsidRPr="00F4070E" w:rsidRDefault="00C56192" w:rsidP="00C56192">
      <w:pPr>
        <w:pStyle w:val="NormalHanging12a"/>
      </w:pPr>
      <w:r w:rsidRPr="00F4070E">
        <w:t>61.</w:t>
      </w:r>
      <w:r w:rsidRPr="00F4070E">
        <w:tab/>
        <w:t>primjećuje da je na temelju pozitivnih zaključaka pilot-projekta provedenog 2023. izrađena politika stažiranja koja je odobrena 2024., nakon čega je iste godine započeo prvi ciklus stažiranja; napominje da je osam stažista djelovalo u EPPO-u tijekom 2024., gdje su radili, u skladu s politikom stažiranja, u radnom vremenu koje odgovara onome statutarnog osoblja EPPO-a, u ovom slučaju u skladu s odredbama Odluke Komisije C(2022)1788 od 24. ožujka 2022. o radnom vremenu i hibridnom radu; cijeni činjenicu da svi stažisti u EPPO-u primaju mjesečnu naknadu (u obliku bespovratnih sredstava); naglašava da su visoki troškovi života u Luksemburgu znatna prepreka za potencijalne stažiste;</w:t>
      </w:r>
    </w:p>
    <w:p w14:paraId="092C6462" w14:textId="77777777" w:rsidR="00C56192" w:rsidRPr="00F4070E" w:rsidRDefault="00C56192" w:rsidP="00C56192">
      <w:pPr>
        <w:widowControl/>
        <w:spacing w:after="240"/>
        <w:ind w:left="567" w:hanging="567"/>
        <w:rPr>
          <w:b/>
          <w:i/>
          <w:szCs w:val="24"/>
        </w:rPr>
      </w:pPr>
      <w:r w:rsidRPr="00F4070E">
        <w:rPr>
          <w:b/>
          <w:i/>
        </w:rPr>
        <w:t>Etički okvir i transparentnost</w:t>
      </w:r>
    </w:p>
    <w:p w14:paraId="0713ABEB" w14:textId="77777777" w:rsidR="00C56192" w:rsidRPr="00F4070E" w:rsidRDefault="00C56192" w:rsidP="00C56192">
      <w:pPr>
        <w:widowControl/>
        <w:autoSpaceDE w:val="0"/>
        <w:autoSpaceDN w:val="0"/>
        <w:adjustRightInd w:val="0"/>
        <w:spacing w:after="240"/>
        <w:ind w:left="567" w:hanging="567"/>
        <w:rPr>
          <w:bCs/>
          <w:sz w:val="22"/>
          <w:szCs w:val="22"/>
        </w:rPr>
      </w:pPr>
      <w:r w:rsidRPr="00F4070E">
        <w:lastRenderedPageBreak/>
        <w:t>62.</w:t>
      </w:r>
      <w:r w:rsidRPr="00F4070E">
        <w:rPr>
          <w:b/>
        </w:rPr>
        <w:tab/>
      </w:r>
      <w:r w:rsidRPr="00F4070E">
        <w:t>svjestan je da se etički okvir EPPO-a postupno izgrađuje; shvaća da zbog ograničenih ljudskih resursa nije mogao biti dovršen 2024.; potiče na izvršavanje pripremnih radnji kako bi se donijela sveobuhvatna politika o sukobu interesa potrebna da bi se objedinila i poboljšala postojeća pravila i bolje obuhvatili svi relevantni slučajevi u jednom usklađenom dokumentu;</w:t>
      </w:r>
    </w:p>
    <w:p w14:paraId="18B6FF36" w14:textId="77777777" w:rsidR="00C56192" w:rsidRPr="00F4070E" w:rsidRDefault="00C56192" w:rsidP="00C56192">
      <w:pPr>
        <w:widowControl/>
        <w:autoSpaceDE w:val="0"/>
        <w:autoSpaceDN w:val="0"/>
        <w:adjustRightInd w:val="0"/>
        <w:spacing w:after="240"/>
        <w:ind w:left="567" w:hanging="567"/>
        <w:rPr>
          <w:bCs/>
          <w:szCs w:val="24"/>
        </w:rPr>
      </w:pPr>
      <w:r w:rsidRPr="00F4070E">
        <w:t>63.</w:t>
      </w:r>
      <w:r w:rsidRPr="00F4070E">
        <w:tab/>
        <w:t>cijeni činjenicu da je, nakon zahtjeva Parlamenta, program osposobljavanja posvećen etičkom okviru EPPO-a postao obvezan za sve zaposlenike EPPO-a, uključujući europske tužitelje i delegirane europske tužitelje te je 2024. dosegao očekivano visoku stopu sudjelovanja;</w:t>
      </w:r>
    </w:p>
    <w:p w14:paraId="3F696DDE" w14:textId="77777777" w:rsidR="00C56192" w:rsidRPr="00F4070E" w:rsidRDefault="00C56192" w:rsidP="00C56192">
      <w:pPr>
        <w:widowControl/>
        <w:autoSpaceDE w:val="0"/>
        <w:autoSpaceDN w:val="0"/>
        <w:adjustRightInd w:val="0"/>
        <w:spacing w:after="240"/>
        <w:ind w:left="567" w:hanging="567"/>
        <w:rPr>
          <w:bCs/>
          <w:szCs w:val="24"/>
        </w:rPr>
      </w:pPr>
      <w:r w:rsidRPr="00F4070E">
        <w:t>64.</w:t>
      </w:r>
      <w:r w:rsidRPr="00F4070E">
        <w:tab/>
        <w:t>napominje da je 2024. organizirano ukupno 17 informativnih predavanja o etičkom okviru EPPO-a, strategiji za borbu protiv prijevara i kodeksu dobrog upravnog ponašanja, pri čemu je osigurano sudjelovanje velikog broja različitih zaposlenika, u okviru provedbe strategije za borbu protiv prijevara za razdoblje 2023. – 2025., koja je donesena 1. ožujka 2023. i usmjerena je na borbu protiv prijevara na svim razinama organizacije, čak i interno, a ciljevi su joj povezani s posebnim planom djelovanja i ključnim pokazateljima uspješnosti kao sastavnicama unutarnje kontrole EPPO-a koje na godišnjoj osnovi prati službenik za unutarnju kontrolu; napominje da su pravila o sukobu interesa i postupci podnošenja izjava uspostavljeni za osoblje na višim rukovodećim položajima i osoblje uključeno u financijske postupke, nabavu i zapošljavanje; primjećuje da se na godišnjoj osnovi provodi posebna procjena rizika od prijevara kako bi se utvrdili i uklonili mogući rizici, uključujući sukobe interesa; cijeni činjenicu da se smjernice za osoblje EPPO-a u pogledu vanjskih aktivnosti i zadataka primjenjuju na sve aktivnosti osoblja koje nisu povezane s hobijima i slobodnim aktivnostima, ali su ipak relevantne i izvan nadležnosti EPPO-a;</w:t>
      </w:r>
    </w:p>
    <w:p w14:paraId="4AA8C0C7" w14:textId="77777777" w:rsidR="00C56192" w:rsidRPr="00F4070E" w:rsidRDefault="00C56192" w:rsidP="00C56192">
      <w:pPr>
        <w:pStyle w:val="NormalHanging12a"/>
        <w:widowControl/>
        <w:rPr>
          <w:bCs/>
        </w:rPr>
      </w:pPr>
      <w:r w:rsidRPr="00F4070E">
        <w:t>65.</w:t>
      </w:r>
      <w:r w:rsidRPr="00F4070E">
        <w:tab/>
        <w:t>ponavlja svoj poziv na uvođenje snažnije politike rotirajućih vrata koja bi trebala uključivati produljeno razdoblje mirovanja od najmanje dvije godine za visoke dužnosnike EPPO-a prije no što se mogu zaposliti u privatnom sektoru, posebno na aktivnostima povezanima s područjima istraga EPPO-a; inzistira na tome da EPPO provede godišnje preispitivanje usklađenosti s tim ograničenjima nakon prestanka radnog odnosa; podsjeća na to da se sprečavanje rotirajućih vrata treba uključiti u opći etički okvir EPPO-a;</w:t>
      </w:r>
    </w:p>
    <w:p w14:paraId="46F8780C" w14:textId="77777777" w:rsidR="00C56192" w:rsidRPr="00F4070E" w:rsidRDefault="00C56192" w:rsidP="00C56192">
      <w:pPr>
        <w:pStyle w:val="NormalHanging12a"/>
      </w:pPr>
      <w:r w:rsidRPr="00F4070E">
        <w:t>66.</w:t>
      </w:r>
      <w:r w:rsidRPr="00F4070E">
        <w:tab/>
        <w:t>pozdravlja mjere koje je EPPO poduzeo nakon najnovije rezolucije Parlamenta o razrješnici u kojoj je zatraženo donošenje postupaka za zviždače i borbu protiv osvete kako bi se provedbena pravila uključila u Pravilnik o osoblju koji je donio kolegij (Odluka kolegija 077/2021 o utvrđivanju smjernica za zviždače primjenjivih u okviru EPPO-a) i kako bi se popratio članak 45. stavak 12. financijskih pravila EPPO-a (o utvrđivanju mjera koje treba poduzeti u danim okolnostima) kako bi se osiguralo sigurno i zaštićeno mjesto rada; svjestan je da je konkretan postupak za zviždače i borbu protiv osvete osmišljen tijekom 2024. i odobren početkom 2025.; potiče EPPO da i dalje održava intenzivne unutarnje dijaloge o zviždačima s povjerljivim savjetnicima te da uključi pomoćnike nacionalnog delegiranog europskog tužitelja u s time povezana pitanja; naglašava da je učinkovita provedba postupaka za zviždače i borbu protiv osvete presudna za zaštitu unutarnjeg integriteta i vjerodostojnosti EPPO-a; poziva EPPO da tijelo nadležno za davanje razrješnice izvijesti o praktičnom funkcioniranju tih zaštitnih mjera, uključujući svjesnost osoblja i povjerenje u sustav;</w:t>
      </w:r>
    </w:p>
    <w:p w14:paraId="45223176" w14:textId="77777777" w:rsidR="00C56192" w:rsidRPr="00F4070E" w:rsidRDefault="00C56192" w:rsidP="00C56192">
      <w:pPr>
        <w:widowControl/>
        <w:autoSpaceDE w:val="0"/>
        <w:autoSpaceDN w:val="0"/>
        <w:adjustRightInd w:val="0"/>
        <w:spacing w:after="240"/>
        <w:ind w:left="567" w:hanging="567"/>
        <w:rPr>
          <w:bCs/>
        </w:rPr>
      </w:pPr>
      <w:r w:rsidRPr="00F4070E">
        <w:lastRenderedPageBreak/>
        <w:t>67.</w:t>
      </w:r>
      <w:r w:rsidRPr="00F4070E">
        <w:tab/>
        <w:t>i dalje smatra da je okvir za unutarnji integritet EPPO-a ključan za vanjski dojam o neovisnosti i autonomiji EPPO-a; smatra da će se zahtijevanjem javnog otkrivanja svih financijskih interesa i vanjskih aktivnosti viših dužnosnika, uključujući članove kolegija, ublažiti rizik od neprimjerenog utjecaja te da će periodična revizija tih izjava omogućiti da se unaprijed utvrde mogući nepredviđeni rizici; cijeni spremnost EPPO-a da istraži učinkovite načine za postizanje tog cilja, propisno uzimajući u obzir osjetljivost i posebnost tužiteljske funkcije;</w:t>
      </w:r>
    </w:p>
    <w:p w14:paraId="4BD0522F" w14:textId="77777777" w:rsidR="00C56192" w:rsidRPr="00F4070E" w:rsidRDefault="00C56192" w:rsidP="00C56192">
      <w:pPr>
        <w:widowControl/>
        <w:autoSpaceDE w:val="0"/>
        <w:autoSpaceDN w:val="0"/>
        <w:adjustRightInd w:val="0"/>
        <w:spacing w:after="240"/>
        <w:ind w:left="567" w:hanging="567"/>
        <w:rPr>
          <w:bCs/>
          <w:szCs w:val="24"/>
        </w:rPr>
      </w:pPr>
      <w:r w:rsidRPr="00F4070E">
        <w:t>68.</w:t>
      </w:r>
      <w:r w:rsidRPr="00F4070E">
        <w:tab/>
        <w:t>napominje da je ključno osigurati transparentnost u interakcijama EPPO-a s vanjskim akterima; cijeni spremnost EPPO-a da istraži načine na koje se može dodatno poboljšati transparentnost njegovih interakcija s vanjskim akterima, uzimajući u obzir osjetljivost i posebnost tužiteljske funkcije, uključujući nadzor koji provode sudovi, te imperativ zaštite neovisnosti EPPO-a; i dalje smatra da bi se uspostavom obveznog javnog registra svih sastanaka održanih između dužnosnika EPPO-a i predstavnika trećih strana, uključujući lobiste, čak i kad su uključeni u aktivnosti zagovaranja povezane s političkim prioritetima, i predstavnike nacionalnih vlada, doprinijelo jačanju povjerenja javnosti u neovisnost EPPO-a i njegov kapacitet za pokretanje hitnih istraga o svim slučajevima zlouporabe javnih sredstava, na način kojim bi se spriječio svaki dojam neprimjerenog utjecaja;</w:t>
      </w:r>
    </w:p>
    <w:p w14:paraId="11EDB882" w14:textId="77777777" w:rsidR="00C56192" w:rsidRPr="00F4070E" w:rsidRDefault="00C56192" w:rsidP="00C56192">
      <w:pPr>
        <w:pStyle w:val="NormalHanging12a"/>
        <w:widowControl/>
        <w:rPr>
          <w:szCs w:val="24"/>
        </w:rPr>
      </w:pPr>
      <w:r w:rsidRPr="00F4070E">
        <w:rPr>
          <w:b/>
          <w:i/>
        </w:rPr>
        <w:t>Digitalizacija, kibernetička sigurnost i zaštita podataka</w:t>
      </w:r>
    </w:p>
    <w:p w14:paraId="67CC0820" w14:textId="77777777" w:rsidR="00C56192" w:rsidRPr="00F4070E" w:rsidRDefault="00C56192" w:rsidP="00C56192">
      <w:pPr>
        <w:widowControl/>
        <w:spacing w:after="240"/>
        <w:ind w:left="567" w:hanging="567"/>
        <w:rPr>
          <w:bCs/>
        </w:rPr>
      </w:pPr>
      <w:r w:rsidRPr="00F4070E">
        <w:t>69</w:t>
      </w:r>
      <w:r w:rsidRPr="009640B5">
        <w:rPr>
          <w:bCs/>
        </w:rPr>
        <w:t>.</w:t>
      </w:r>
      <w:r w:rsidRPr="00F4070E">
        <w:rPr>
          <w:b/>
        </w:rPr>
        <w:tab/>
      </w:r>
      <w:r w:rsidRPr="00F4070E">
        <w:t>žali zbog toga što nije bilo postupanja po pozivima koje je Parlament uputio Komisiji o ponovnom razmatranju odluke Glavne uprave Komisije za digitalne usluge („GU za digitalne usluge”, bivši DIGIT) o prekidu pružanja digitalnih usluga na radnom mjestu EPPO-u; cijeni odluku Komisije da privremeno produlji pružanje IT usluga do lipnja 2025. kako bi se olakšao prelazak, ali žali zbog toga što je krajnji rezultat situacija u najmanju ruku upitne financijske održivosti i neoptimalne uspješnosti; ponavlja svoja razmatranja u pogledu sigurnosti i povjerljivosti te o isključivo financijskim aspektima jer bi eksternalizacija bila mnogo skuplja od internog rješenja kad se zbroje resursi potrebni za rješavanje složenih upravnih pitanja i prilagodbu decentraliziranom ustroju EPPO-a s delegiranim europskim tužiteljima i pomoćnicima nacionalnih delegiranih europskih tužitelja raspoređenima na nekoliko lokacija diljem Unije;</w:t>
      </w:r>
    </w:p>
    <w:p w14:paraId="1960969C" w14:textId="77777777" w:rsidR="00C56192" w:rsidRPr="00F4070E" w:rsidRDefault="00C56192" w:rsidP="00C56192">
      <w:pPr>
        <w:spacing w:after="240"/>
        <w:ind w:left="567" w:hanging="567"/>
        <w:rPr>
          <w:bCs/>
        </w:rPr>
      </w:pPr>
      <w:r w:rsidRPr="00F4070E">
        <w:t>70.</w:t>
      </w:r>
      <w:r w:rsidRPr="00F4070E">
        <w:tab/>
        <w:t>ističe da, iako je EPPO tek 2025. postigao odgovarajuću informatičku autonomiju, pripremne radnje izvršene 2024. učinio je vidljivima najznačajnija ulaganja u digitalizaciju u povijesti EPPO-a i činjenicu da je EPPO radi postizanja informatičke autonomije i sprečavanja štetnog učinka na operativne aktivnosti morao provesti brojne radnje; podsjeća da je EPPO, iz proračunske perspektive i unatoč tehničkoj podršci koju mu je osigurala Komisija tijekom prelaska na informatičku autonomiju, u svakom slučaju morao preusmjeriti resurse s operativnih aktivnosti na IT te da Komisija nije pristala nadoknaditi ih; u tom pogledu podsjeća da je krajem veljače 2024. zahtjev EPPO-a za izmjenu proračuna za 2024. (u iznosu od oko 3 milijuna EUR i 37 radnih mjesta) odbijen te da je to odbijanje u skladu s prethodnim Komisijinim odbijanjem zahtjeva podnesenog u siječnju 2023. za dodjelu 45 dodatnih radnih mjesta kako bi se nadoknadio nedostatak proizišao iz prekida pružanja usluga GU-a za digitalne usluge;</w:t>
      </w:r>
    </w:p>
    <w:p w14:paraId="297E9020" w14:textId="77777777" w:rsidR="00C56192" w:rsidRPr="00F4070E" w:rsidRDefault="00C56192" w:rsidP="00C56192">
      <w:pPr>
        <w:spacing w:after="240"/>
        <w:ind w:left="567" w:hanging="567"/>
        <w:rPr>
          <w:bCs/>
        </w:rPr>
      </w:pPr>
      <w:r w:rsidRPr="00F4070E">
        <w:t>71.</w:t>
      </w:r>
      <w:r w:rsidRPr="00F4070E">
        <w:tab/>
        <w:t xml:space="preserve">ističe da je 2024. operativni proračun EPPO-a za IKT iznosio 6,61 milijun EUR, što čini 19 % ukupnog operativnog proračuna (u usporedbi s 4,7 milijuna EUR u 2023. i 5,6 milijuna EUR u 2022.); primjećuje da to povećanje u apsolutnom smislu odražava </w:t>
      </w:r>
      <w:r w:rsidRPr="00F4070E">
        <w:lastRenderedPageBreak/>
        <w:t>znatne pripremne radnje provedene u cilju postizanja informatičke autonomije, uključujući jačanje internih kapaciteta za kibernetičku sigurnost, upravljanje IT uslugama i praćenje infrastrukture, kao i tehnički prelazak na usluge koje je prije pružao GU za digitalne usluge; napominje da su ta ulaganja bila strateški osmišljena za osiguravanje kontinuiteta, neovisnosti i sigurnosti digitalnog okruženja EPPO-a i razvoj potrebnih temelja za uspješno postizanje informatičke autonomije u lipnju 2025.; ističe da je udio rashoda za IT ostao stabilan unutar operativnog proračuna, no 2024. obilježila je odlučna usmjerenost napora i resursa na pripremu prelaska EPPO-a na potpunu digitalnu neovisnost;</w:t>
      </w:r>
    </w:p>
    <w:p w14:paraId="776BF0F7" w14:textId="77777777" w:rsidR="00C56192" w:rsidRPr="00F4070E" w:rsidRDefault="00C56192" w:rsidP="00C56192">
      <w:pPr>
        <w:widowControl/>
        <w:spacing w:after="240"/>
        <w:ind w:left="567" w:hanging="567"/>
        <w:rPr>
          <w:bCs/>
        </w:rPr>
      </w:pPr>
      <w:r w:rsidRPr="00F4070E">
        <w:t>72.</w:t>
      </w:r>
      <w:r w:rsidRPr="00F4070E">
        <w:tab/>
        <w:t>svjestan je da čak i nakon postizanja informatičke autonomije 2025. EPPO naglašava da su za njezinu podršku potrebni dodatni ljudski i financijski resursi koji dosad nisu odobreni zbog ograničenja proizišlog iz ukupno dostupnih proračunskih sredstava za predmetne linije; poziva Komisiju da ponovno razmotri svoju odluku i dodijeli dodatna sredstva kako bi se osiguralo da se ne ugrožavaju učinkovitost i pravna stabilnost operacija EPPO-a;</w:t>
      </w:r>
    </w:p>
    <w:p w14:paraId="03082FAA" w14:textId="77777777" w:rsidR="00C56192" w:rsidRPr="00F4070E" w:rsidRDefault="00C56192" w:rsidP="00C56192">
      <w:pPr>
        <w:widowControl/>
        <w:spacing w:after="240"/>
        <w:ind w:left="567" w:hanging="567"/>
        <w:rPr>
          <w:bCs/>
        </w:rPr>
      </w:pPr>
      <w:r w:rsidRPr="00F4070E">
        <w:t>73.</w:t>
      </w:r>
      <w:r w:rsidRPr="00F4070E">
        <w:tab/>
        <w:t>napominje da je 2024. u području IT-a EPPO kontinuirano radio na dva velika projekta u okviru programa za informatičku autonomiju i programa za sustav vođenja predmeta, pri čemu je prvi usmjeren na pružanje cjelovitog kataloga upravnih IT usluga kojim se u potpunosti upravlja interno, a drugi na postizanje napretka u razvoju digitalizacije ključnih područja poslovanja, odnosno istraga i kaznenog progona; smatra da zapošljavanje izvođača koji rade u poslovnim prostorima EPPO-a osigurava trenutačni operativni kontinuiteta, ali da ga ne bi trebalo smatrati konačnim rješenjem za EPPO, uzimajući u obzir iznimno osjetljivu prirodu njegovih aktivnosti i potrebu da se osigura kontinuitet i pouzdanost njegovih digitalnih usluga, kao i najviša razina sigurnosti njegove informatičke infrastrukture, sustava i opreme; ponavlja zabrinutost zbog rizika od toga da Komisija ne shvaća dovoljno osjetljivost tog pitanja, što pokazuje površna procjena problema zbog koje bi moglo doći do štetnih učinaka za operativne aktivnosti EPPO-a i mogućeg rizika za ugled Unije ako to dovede do slabljenja operativnog kapaciteta EPPO-a;</w:t>
      </w:r>
    </w:p>
    <w:p w14:paraId="6C195104" w14:textId="77777777" w:rsidR="00C56192" w:rsidRPr="00F4070E" w:rsidRDefault="00C56192" w:rsidP="00C56192">
      <w:pPr>
        <w:widowControl/>
        <w:spacing w:after="240"/>
        <w:ind w:left="567" w:hanging="567"/>
        <w:rPr>
          <w:bCs/>
          <w:szCs w:val="24"/>
        </w:rPr>
      </w:pPr>
      <w:r w:rsidRPr="00F4070E">
        <w:t>74.</w:t>
      </w:r>
      <w:r w:rsidRPr="00F4070E">
        <w:tab/>
        <w:t>podsjeća na to da složenost informatičkih struktura EPPO-a proizlazi iz decentralizirane strukture EPPO-a zbog čega svaki delegirani europski tužitelj mora koristiti i nacionalni sustav i sustav vođenja predmeta EPPO-a, a riječ je o različitim bazama podataka na koje se primjenjuju različita prava pristupa; ističe da se za obradu i razmjenu informacija između središnjih službi delegiranih europskih tužitelja i EPPO-a zahtijeva od delegiranih europskih tužitelja da digitaliziraju spise predmeta koristeći se nacionalnim digitalnim alatima i u skladu s nacionalnim pravom, ali pritom moraju uzeti u obzir i potrebu da ti digitalni dokumenti budu u formatima kompatibilnima sa središnjim sustavom EPPO-a i sustavima koje koriste drugi delegirani europski tužitelji koji su partneri u istragama;</w:t>
      </w:r>
    </w:p>
    <w:p w14:paraId="2245F281" w14:textId="77777777" w:rsidR="00C56192" w:rsidRPr="00F4070E" w:rsidRDefault="00C56192" w:rsidP="00C56192">
      <w:pPr>
        <w:pStyle w:val="NormalHanging12a"/>
      </w:pPr>
      <w:r w:rsidRPr="00F4070E">
        <w:t>75.</w:t>
      </w:r>
      <w:r w:rsidRPr="00F4070E">
        <w:tab/>
        <w:t xml:space="preserve">i dalje smatra da je potrebno integrirati sustav vođenja predmeta EPPO-a i nacionalne sustave kako bi se povećala učinkovitost istraga, a to je potrebno izvršiti u okviru revizije Uredbe (EU) 2017/1939; očekuje da će za takvu integraciju biti potrebna zajednička usklađena razina digitalizacije u svim državama članicama sudionicama kako bi se uspostavilo digitalno radno okruženje s jednakim stupnjem sigurnosti koji ima središnji ured EPPO-a, uz potpuno poštovanje nacionalnih pravnih okvira; podsjeća da bi s time povezane zajedničke troškove za države članice i Uniju trebalo uzeti u obzir pri proračunskoj procjeni i prognozi; cijeni ulogu pomoćnika nacionalnih delegiranih </w:t>
      </w:r>
      <w:r w:rsidRPr="00F4070E">
        <w:lastRenderedPageBreak/>
        <w:t>tužitelja i njihov doprinos učinkovitoj upotrebi i nadopunjavanju sustavâ te predlaže da se razmotri mogućnost da im se dodijeli poseban status pri reviziji Uredbe (EU) 2017/1939; naglašava da bi se svaka buduća integracija trebala temeljiti na uravnoteženoj podjeli odgovornosti između Unije i država članica;</w:t>
      </w:r>
    </w:p>
    <w:p w14:paraId="70750691" w14:textId="77777777" w:rsidR="00C56192" w:rsidRPr="00F4070E" w:rsidRDefault="00C56192" w:rsidP="00C56192">
      <w:pPr>
        <w:pStyle w:val="NormalHanging12a"/>
      </w:pPr>
      <w:r w:rsidRPr="00F4070E">
        <w:t>76.</w:t>
      </w:r>
      <w:r w:rsidRPr="00F4070E">
        <w:tab/>
        <w:t>smatra da je ključno ublažiti rizike za strukturni informatički integritet EPPO-a koji proizlaze iz agresivnih praksi organiziranih kriminalnih grupa nad kojima EPPO provodi istrage i kazneni progon, a koje su sklone agresivnim reakcijama na intervencije EPPO-a usmjerene na ometanje njihovih kriminalnih aktivnosti; cijeni činjenicu da su unaprijeđena sigurnosna strategija i okvir globalne politike informacijske sigurnosti koji su predloženi 2023. službeno odobreni i usvojeni 2024.; ističe da su fizička i digitalna sigurnost te upravljanje njima presudni za omogućavanje operativne neovisnosti i učinkovitosti EPPO-a te da su za njih potrebni resursi, kao što su oni iskorišteni za uspostavu posebne jedinice za kibernetičku i fizičku sigurnost;</w:t>
      </w:r>
    </w:p>
    <w:p w14:paraId="5489E25C" w14:textId="77777777" w:rsidR="00C56192" w:rsidRPr="00F4070E" w:rsidRDefault="00C56192" w:rsidP="00C56192">
      <w:pPr>
        <w:widowControl/>
        <w:spacing w:after="240"/>
        <w:ind w:left="567" w:hanging="567"/>
        <w:rPr>
          <w:bCs/>
        </w:rPr>
      </w:pPr>
      <w:r w:rsidRPr="00F4070E">
        <w:t>77.</w:t>
      </w:r>
      <w:r w:rsidRPr="00F4070E">
        <w:tab/>
        <w:t>naglašava da se od EPPO-a traži da rješava sve veći broj predmeta koji uključuju visokotehnološke komponente i digitalne kriminalističke metodologije, zbog čega je potrebno unaprijediti opremu i informatičke sustave kako bi se u istražne postupke i analize mogle integrirati napredne tehnologije kojima se često koriste napredne kriminalne mreže;</w:t>
      </w:r>
    </w:p>
    <w:p w14:paraId="48BDBCA9" w14:textId="77777777" w:rsidR="00C56192" w:rsidRPr="00F4070E" w:rsidRDefault="00C56192" w:rsidP="00C56192">
      <w:pPr>
        <w:pStyle w:val="NormalHanging12a"/>
      </w:pPr>
      <w:r w:rsidRPr="00F4070E">
        <w:t>78.</w:t>
      </w:r>
      <w:r w:rsidRPr="00F4070E">
        <w:tab/>
        <w:t xml:space="preserve">napominje da u EPPO u operativnim područjima primjenjuje velik oprez pri upotrebi umjetne inteligencije i slaže se da, iako UI može pomoći s obradom podataka, evaluacija dokaza i donošenje </w:t>
      </w:r>
      <w:proofErr w:type="spellStart"/>
      <w:r w:rsidRPr="00F4070E">
        <w:t>postupovnih</w:t>
      </w:r>
      <w:proofErr w:type="spellEnd"/>
      <w:r w:rsidRPr="00F4070E">
        <w:t xml:space="preserve"> odluka moraju ostati u strogoj i potpunoj ljudskoj nadležnosti; pozdravlja taj pristup kao ključan za zaštitu temeljnih prava, pravne sigurnosti i odgovornosti; ističe da EPPO ne smatra UI rješenjem za smanjenje potreba za osobljem, već kao alat za podršku pri suočavanju sa sve većim radnim opterećenjem; potiče ciljana ulaganja u UI alate, pod uvjetom da njihova upotreba ostane razmjerna i pod ljudskim nadzorom, te u osposobljavanje, čije bi učinke na proračun trebalo ublažiti povećanjem učinkovitosti u području prevođenja i drugih sustava potpore; poziva EPPO da pruži smjernice osoblju o korištenju tih instrumenata, posebno za uobičajene postupke svojstvene jedinstvenom mandatu EPPO-a;</w:t>
      </w:r>
    </w:p>
    <w:p w14:paraId="31FB860C" w14:textId="77777777" w:rsidR="00C56192" w:rsidRPr="00F4070E" w:rsidRDefault="00C56192" w:rsidP="00C56192">
      <w:pPr>
        <w:widowControl/>
        <w:spacing w:after="240"/>
        <w:ind w:left="567" w:hanging="567"/>
        <w:rPr>
          <w:bCs/>
          <w:sz w:val="22"/>
          <w:szCs w:val="22"/>
        </w:rPr>
      </w:pPr>
      <w:r w:rsidRPr="00F4070E">
        <w:t>79.</w:t>
      </w:r>
      <w:r w:rsidRPr="00F4070E">
        <w:tab/>
        <w:t xml:space="preserve">svjestan je da se predmeti EPPO-a i s njima povezani spisi predmeta i dokazi upućuju EPPO-u i evidentiraju na bilo kojem od jezika Unije te da za svaki predmet mogu postojati stotine pa čak i tisuće dokumenata, skupno zaprimljenih, koje je potrebno prevesti na radne jezike za potrebe analize predmeta i njegove istrage, dok se izvješća i odluke EPPO-a, objavljeni na engleskom jeziku, moraju prevesti na jezik države članice koja je podnijela prijavu radi upućivanja nacionalnim sudovima; shvaća da se taj postupak provodi uslugom strojnog prevođenja koju pruža CDT – Prevoditeljski centar za tijela Europske unije; primjećuje da su troškovi usluge </w:t>
      </w:r>
      <w:proofErr w:type="spellStart"/>
      <w:r w:rsidRPr="00F4070E">
        <w:t>eTranslation</w:t>
      </w:r>
      <w:proofErr w:type="spellEnd"/>
      <w:r w:rsidRPr="00F4070E">
        <w:t xml:space="preserve"> 2024. iznosili 1 051 000 EUR za alate za strojno prevođenje i 2 308 452 EUR za ljudsko prevođenje</w:t>
      </w:r>
      <w:r w:rsidRPr="00F4070E">
        <w:rPr>
          <w:rStyle w:val="FootnoteReference"/>
          <w:bCs/>
          <w:szCs w:val="24"/>
        </w:rPr>
        <w:footnoteReference w:id="16"/>
      </w:r>
      <w:r w:rsidRPr="00F4070E">
        <w:t xml:space="preserve">; traži od EPPO-a da razmotri mogućnost šire upotrebe usluga strojnog prevođenja, koja </w:t>
      </w:r>
      <w:r w:rsidRPr="00F4070E">
        <w:lastRenderedPageBreak/>
        <w:t xml:space="preserve">se zasad ne temelju na umjetnoj inteligenciji već na skupovima vokabularnih podataka koje osigurava usluga </w:t>
      </w:r>
      <w:proofErr w:type="spellStart"/>
      <w:r w:rsidRPr="00F4070E">
        <w:t>eTranslation</w:t>
      </w:r>
      <w:proofErr w:type="spellEnd"/>
      <w:r w:rsidRPr="00F4070E">
        <w:t xml:space="preserve"> GU-a za digitalne usluge, a ažuriraju se na godišnjoj osnovi;</w:t>
      </w:r>
    </w:p>
    <w:p w14:paraId="19524E5B" w14:textId="77777777" w:rsidR="00C56192" w:rsidRPr="00F4070E" w:rsidRDefault="00C56192" w:rsidP="00C56192">
      <w:pPr>
        <w:widowControl/>
        <w:spacing w:after="240"/>
        <w:ind w:left="567" w:hanging="567"/>
        <w:rPr>
          <w:bCs/>
          <w:szCs w:val="24"/>
        </w:rPr>
      </w:pPr>
      <w:r w:rsidRPr="00F4070E">
        <w:t>80.</w:t>
      </w:r>
      <w:r w:rsidRPr="00F4070E">
        <w:tab/>
        <w:t>ponavlja da podržava EPPO u njegovu zahtjevu za dodjelu sredstava radi zaštite njegove kibernetičke sigurnosti i poziva na brzu provedbu snažne strategije za kibernetičku sigurnost kako bi se zaštitile operacije i cjelovitost podataka EPPO-a;</w:t>
      </w:r>
    </w:p>
    <w:p w14:paraId="0594C44A" w14:textId="77777777" w:rsidR="00C56192" w:rsidRPr="00F4070E" w:rsidRDefault="00C56192" w:rsidP="00C56192">
      <w:pPr>
        <w:widowControl/>
        <w:autoSpaceDE w:val="0"/>
        <w:autoSpaceDN w:val="0"/>
        <w:adjustRightInd w:val="0"/>
        <w:spacing w:after="240"/>
        <w:ind w:left="567" w:hanging="567"/>
        <w:rPr>
          <w:bCs/>
          <w:szCs w:val="24"/>
        </w:rPr>
      </w:pPr>
      <w:r w:rsidRPr="00F4070E">
        <w:t>81.</w:t>
      </w:r>
      <w:r w:rsidRPr="00F4070E">
        <w:tab/>
        <w:t>primjećuje da se trenutačno razvijaju digitalna strategija i politika upravljanja ranjivostima i zakrpama te da se postojećim uslugama osigurava procjena ranjivosti, kao i automatizirani alat za provjeru i obavješćivanje u okviru ključnog okruženja sustava vođenja predmeta; poziva EPPO da prednost da mjerama koje su ključne za osiguravanje sigurnog radnog okruženja, kontinuiranost aktivnosti i zaštitu relevantnih informacija;</w:t>
      </w:r>
    </w:p>
    <w:p w14:paraId="373B0C72" w14:textId="77777777" w:rsidR="00C56192" w:rsidRPr="00F4070E" w:rsidRDefault="00C56192" w:rsidP="00C56192">
      <w:pPr>
        <w:widowControl/>
        <w:spacing w:after="240"/>
        <w:ind w:left="567" w:hanging="567"/>
        <w:rPr>
          <w:bCs/>
        </w:rPr>
      </w:pPr>
      <w:r w:rsidRPr="00F4070E">
        <w:t>82.</w:t>
      </w:r>
      <w:r w:rsidRPr="00F4070E">
        <w:tab/>
        <w:t>pozdravlja kontinuirani dijalog između službenika EPPO-a za zaštitu podataka i kontaktne točke za EPPO Europskog nadzornika za zaštitu podataka, kao i njihove bilateralne sastanke; potiče kolegij, čije odluke upotpunjuju trenutačni pravni okvir</w:t>
      </w:r>
      <w:r w:rsidRPr="00F4070E">
        <w:rPr>
          <w:rStyle w:val="FootnoteReference"/>
          <w:bCs/>
        </w:rPr>
        <w:footnoteReference w:id="17"/>
      </w:r>
      <w:r w:rsidRPr="00F4070E">
        <w:t>, da surađuju s Europskim nadzornikom za zaštitu podataka na periodičnoj reviziji postojećih praksi i postupaka imajući na umu potrebu za osiguravanjem mogućnosti korištenja osobnih podataka za potrebe istraga i kaznenog progona, uz njihovu istodobnu zaštitu;</w:t>
      </w:r>
    </w:p>
    <w:p w14:paraId="6F5948C7" w14:textId="77777777" w:rsidR="00C56192" w:rsidRPr="00F4070E" w:rsidRDefault="00C56192" w:rsidP="00C56192">
      <w:pPr>
        <w:widowControl/>
        <w:spacing w:after="240"/>
        <w:ind w:left="567" w:hanging="567"/>
        <w:rPr>
          <w:b/>
          <w:i/>
          <w:szCs w:val="24"/>
        </w:rPr>
      </w:pPr>
      <w:r w:rsidRPr="00F4070E">
        <w:rPr>
          <w:b/>
          <w:i/>
        </w:rPr>
        <w:t>Zgrade i sigurnost</w:t>
      </w:r>
    </w:p>
    <w:p w14:paraId="4F49F28D" w14:textId="77777777" w:rsidR="00C56192" w:rsidRPr="00F4070E" w:rsidRDefault="00C56192" w:rsidP="00C56192">
      <w:pPr>
        <w:widowControl/>
        <w:spacing w:after="240"/>
        <w:ind w:left="567" w:hanging="567"/>
        <w:rPr>
          <w:bCs/>
          <w:szCs w:val="24"/>
        </w:rPr>
      </w:pPr>
      <w:r w:rsidRPr="00F4070E">
        <w:t>83.</w:t>
      </w:r>
      <w:r w:rsidRPr="00F4070E">
        <w:tab/>
        <w:t>primjećuje da ugovor o najmu kojim luksemburške vlasti osiguravaju besplatnu najamninu za zgradu u kojoj se trenutačno nalazi sjedište EPPO-a nije izmijenjen 2024. te da je EPPO 2024, platio istu godišnju naknadu za usluge u iznosu od 716 724 EUR kao i 2023., bez dodatnih troškova;</w:t>
      </w:r>
    </w:p>
    <w:p w14:paraId="62EAF997" w14:textId="77777777" w:rsidR="00C56192" w:rsidRPr="00F4070E" w:rsidRDefault="00C56192" w:rsidP="00C56192">
      <w:pPr>
        <w:widowControl/>
        <w:spacing w:after="240"/>
        <w:ind w:left="567" w:hanging="567"/>
        <w:rPr>
          <w:bCs/>
          <w:szCs w:val="24"/>
        </w:rPr>
      </w:pPr>
      <w:r w:rsidRPr="00F4070E">
        <w:t>84.</w:t>
      </w:r>
      <w:r w:rsidRPr="00F4070E">
        <w:tab/>
        <w:t>napominje da EPPO trenutačno zauzima deset katova u glavnoj zgradi i četiri kata u sporednoj zgradi (toranj B); svjestan je toga da je zemlja domaćin započela obnovu još sedam katova početkom 2025. te da će se oni postupno davati na raspolaganje EPPO-u tijekom četvrtog tromjesečja 2025.; svjestan je da će novi katovi doprinijeti smanjenju trenutačnog nedostatka prostora i ponuditi priliku za spajanjem i učinkovitim raspoređivanjem usluga EPPO-a u tim prostorima; podsjeća na prirodu aktivnosti EPPO-a i njihovu povjerljivost te stoga pozdravlja dodjelu zasebnih radnih prostora za svakog člana osoblja u uredima za jednu, dvije ili tri osobe; cijeni činjenicu da su već uspostavljene mjere za osiguravanje pristupačnosti ureda osobama smanjene pokretljivosti ili osobama s nekim drugim oblikom invaliditeta;</w:t>
      </w:r>
    </w:p>
    <w:p w14:paraId="6B76050C" w14:textId="77777777" w:rsidR="00C56192" w:rsidRPr="00F4070E" w:rsidRDefault="00C56192" w:rsidP="00C56192">
      <w:pPr>
        <w:pStyle w:val="NormalHanging12a"/>
        <w:widowControl/>
        <w:rPr>
          <w:b/>
          <w:i/>
          <w:szCs w:val="24"/>
        </w:rPr>
      </w:pPr>
      <w:r w:rsidRPr="00F4070E">
        <w:rPr>
          <w:b/>
          <w:i/>
        </w:rPr>
        <w:t>Okoliš i održivost</w:t>
      </w:r>
    </w:p>
    <w:p w14:paraId="29AC8C7B" w14:textId="77777777" w:rsidR="00C56192" w:rsidRPr="00F4070E" w:rsidRDefault="00C56192" w:rsidP="00C56192">
      <w:pPr>
        <w:widowControl/>
        <w:spacing w:after="240"/>
        <w:ind w:left="567" w:hanging="567"/>
        <w:rPr>
          <w:bCs/>
        </w:rPr>
      </w:pPr>
      <w:r w:rsidRPr="00F4070E">
        <w:t>85.</w:t>
      </w:r>
      <w:r w:rsidRPr="00F4070E">
        <w:rPr>
          <w:b/>
        </w:rPr>
        <w:tab/>
      </w:r>
      <w:r w:rsidRPr="00F4070E">
        <w:t xml:space="preserve">svjestan je da EPPO djeluje u dijelu zgrade koji mu zemlja domaćin osigurava besplatno te da okolišnim aspektima upravljaju nacionalna tijela u skladu s lokalnim zahtjevima u </w:t>
      </w:r>
      <w:r w:rsidRPr="00F4070E">
        <w:lastRenderedPageBreak/>
        <w:t>pogledu okoliša; pozdravlja mjere koje su provele luksemburške vlasti u cilju pružanja potpore EPPO-u u promicanju upravljanja okolišem, u okviru kojih je postavljeno 20 postaja za punjenje električna vozila na podzemnom parkiralištu, uz ugradnju štedne rasvjete u zatvorenim prostorima i postavljanje roleta u svim prostorima središnjeg ureda EPPO-a kako bi se unaprijedila energetska učinkovitost zgrade; napominje da su na svim katovima postavljeni uređaji za filtraciju vode, čime se smanjuje korištenje plastičnih boca; primjećuje da je središnji ured EPPO-a integriran u luksemburšku mrežu besplatnog javnog prijevoza te je lako dostupan prijevoznim sredstvima s malim utjecajem na okoliš, bez troškova za osoblje i posjetitelje, te da se na podzemnom parkiralištu nalazi posebna zona za parkiranje bicikala;</w:t>
      </w:r>
    </w:p>
    <w:p w14:paraId="5B960C8B" w14:textId="77777777" w:rsidR="00C56192" w:rsidRPr="00F4070E" w:rsidRDefault="00C56192" w:rsidP="00C56192">
      <w:pPr>
        <w:widowControl/>
        <w:spacing w:after="240"/>
        <w:ind w:left="567" w:hanging="567"/>
        <w:rPr>
          <w:rFonts w:ascii="Segoe UI" w:hAnsi="Segoe UI" w:cs="Segoe UI"/>
          <w:bCs/>
          <w:sz w:val="23"/>
          <w:szCs w:val="23"/>
        </w:rPr>
      </w:pPr>
      <w:r w:rsidRPr="00F4070E">
        <w:t>86.</w:t>
      </w:r>
      <w:r w:rsidRPr="00F4070E">
        <w:tab/>
        <w:t>napominje da je EPPO usklađen s Odlukom Komisije C(2025) 2495 o Vodiču za službena i odobrena putovanja, uključujući ne samo zelena putna rješenja za osoblje na službenim putovanjima, već i sustavnu procjenu potreba za službenim putovanjima u odnosu na izvedivost internetskih sastanaka;</w:t>
      </w:r>
    </w:p>
    <w:p w14:paraId="266C23BD" w14:textId="77777777" w:rsidR="00C56192" w:rsidRPr="00F4070E" w:rsidRDefault="00C56192" w:rsidP="00C56192">
      <w:pPr>
        <w:widowControl/>
        <w:spacing w:after="240"/>
        <w:ind w:left="567" w:hanging="567"/>
        <w:rPr>
          <w:b/>
          <w:i/>
          <w:szCs w:val="24"/>
        </w:rPr>
      </w:pPr>
      <w:proofErr w:type="spellStart"/>
      <w:r w:rsidRPr="00F4070E">
        <w:rPr>
          <w:b/>
          <w:i/>
        </w:rPr>
        <w:t>Međuinstitucijska</w:t>
      </w:r>
      <w:proofErr w:type="spellEnd"/>
      <w:r w:rsidRPr="00F4070E">
        <w:rPr>
          <w:b/>
          <w:i/>
        </w:rPr>
        <w:t xml:space="preserve"> suradnja</w:t>
      </w:r>
    </w:p>
    <w:p w14:paraId="1DA3CB13" w14:textId="77777777" w:rsidR="00C56192" w:rsidRPr="00F4070E" w:rsidRDefault="00C56192" w:rsidP="00C56192">
      <w:pPr>
        <w:widowControl/>
        <w:autoSpaceDE w:val="0"/>
        <w:autoSpaceDN w:val="0"/>
        <w:adjustRightInd w:val="0"/>
        <w:spacing w:after="240"/>
        <w:ind w:left="567" w:hanging="567"/>
        <w:rPr>
          <w:rFonts w:ascii="Segoe UI" w:hAnsi="Segoe UI" w:cs="Segoe UI"/>
          <w:bCs/>
          <w:sz w:val="23"/>
          <w:szCs w:val="23"/>
        </w:rPr>
      </w:pPr>
      <w:r w:rsidRPr="00F4070E">
        <w:t>87.</w:t>
      </w:r>
      <w:r w:rsidRPr="00F4070E">
        <w:rPr>
          <w:b/>
        </w:rPr>
        <w:tab/>
      </w:r>
      <w:r w:rsidRPr="00F4070E">
        <w:t>ponavlja da se unutar strukture osmišljene tako da se zaštite financijski interesi Unije ključna uloga EPPO-a može učinkovito provoditi samo uz intenzivnu suradnju i koordinaciju s drugim subjektima koji izvršavaju komplementarne zadaće; naglašava da EPPO djeluje u složenom i heterogenom okruženju, gdje je njegova neovisnost jednako ključna kao njegova sposobnost stvaranja sinergija s partnerima i spremnost na komunikaciju s relevantnim dionicima;</w:t>
      </w:r>
    </w:p>
    <w:p w14:paraId="2FB26155" w14:textId="77777777" w:rsidR="00C56192" w:rsidRPr="00F4070E" w:rsidRDefault="00C56192" w:rsidP="00C56192">
      <w:pPr>
        <w:pStyle w:val="NormalHanging12a"/>
      </w:pPr>
      <w:r w:rsidRPr="00F4070E">
        <w:t>88.</w:t>
      </w:r>
      <w:r w:rsidRPr="00F4070E">
        <w:tab/>
        <w:t xml:space="preserve">svjestan je napora koje EPPO ulaže u učinkovitu suradnju s </w:t>
      </w:r>
      <w:proofErr w:type="spellStart"/>
      <w:r w:rsidRPr="00F4070E">
        <w:t>Europolom</w:t>
      </w:r>
      <w:proofErr w:type="spellEnd"/>
      <w:r w:rsidRPr="00F4070E">
        <w:t xml:space="preserve">, OLAF-om i </w:t>
      </w:r>
      <w:proofErr w:type="spellStart"/>
      <w:r w:rsidRPr="00F4070E">
        <w:t>Eurojustom</w:t>
      </w:r>
      <w:proofErr w:type="spellEnd"/>
      <w:r w:rsidRPr="00F4070E">
        <w:t xml:space="preserve">, koja se izvršava u skladu s mandatima tih organizacija, putem redovitih sastanaka na rukovodećoj i tehničkoj razini te u okviru postupka „ima/nema pogotka” koji se koristi za dvosmjernu razmjenu informacija i izbjegavanje udvostručavanja aktivnosti; međutim, žali zbog ograničene operativne suradnje između OLAF-a i EPPO-a, što je vidljivo iz dosljedni malog broja predmeta EPPO-a u kojima potporu pruža OLAF (četiri predmeta 2023. i pet predmeta 2024.) u usporedbi s brojem predmeta u kojima je EPPO 2024. primio potporu </w:t>
      </w:r>
      <w:proofErr w:type="spellStart"/>
      <w:r w:rsidRPr="00F4070E">
        <w:t>Eurojusta</w:t>
      </w:r>
      <w:proofErr w:type="spellEnd"/>
      <w:r w:rsidRPr="00F4070E">
        <w:t xml:space="preserve"> (25) i </w:t>
      </w:r>
      <w:proofErr w:type="spellStart"/>
      <w:r w:rsidRPr="00F4070E">
        <w:t>Europola</w:t>
      </w:r>
      <w:proofErr w:type="spellEnd"/>
      <w:r w:rsidRPr="00F4070E">
        <w:t xml:space="preserve"> (83); napominje da se suradnja s </w:t>
      </w:r>
      <w:proofErr w:type="spellStart"/>
      <w:r w:rsidRPr="00F4070E">
        <w:t>Europolom</w:t>
      </w:r>
      <w:proofErr w:type="spellEnd"/>
      <w:r w:rsidRPr="00F4070E">
        <w:t xml:space="preserve"> suočava s ograničenjima koja proizlaze iz nacionalnog </w:t>
      </w:r>
      <w:proofErr w:type="spellStart"/>
      <w:r w:rsidRPr="00F4070E">
        <w:t>postupovnog</w:t>
      </w:r>
      <w:proofErr w:type="spellEnd"/>
      <w:r w:rsidRPr="00F4070E">
        <w:t xml:space="preserve"> kaznenog prava i dostupnosti podataka EPPO-a; smatra da bi dodatno poboljšanje suradnje s </w:t>
      </w:r>
      <w:proofErr w:type="spellStart"/>
      <w:r w:rsidRPr="00F4070E">
        <w:t>Europolom</w:t>
      </w:r>
      <w:proofErr w:type="spellEnd"/>
      <w:r w:rsidRPr="00F4070E">
        <w:t xml:space="preserve"> omogućilo sinergije i optimizaciju resursa, neovisno o hitnoj potrebi za time da EPPO razvije vlastitu internu analitičku platformu, koja je ključna za brzo tumačenje podataka prikupljenih tijekom njegovih istraga i utvrđivanje operativnih strategija u prekograničnim slučajevima za koje je potreban pristup cijelom sustavu vođenja predmeta EPPO-a; poziva sve strane da istraže dodatne načine za stvaranje sinergija, jačanje suradnje na operativnoj razini, izbjegavanje udvostručavanja zadaća i bolje iskorištavanje postojećih analitičkih kapaciteta; pozdravlja uspostavu posebnih radnih skupina za najavljenu Komisijinu reviziju strukture za borbu protiv prijevara i očekuje da će se raspravama, u kojima će sudjelovati sve komponente strukture za borbu protiv prijevara, postići vidljiva poboljšanja načina suradnje i koordinacije aktivnosti, koje će Komisija predstaviti do kraja 2026.;</w:t>
      </w:r>
    </w:p>
    <w:p w14:paraId="694CD404" w14:textId="77777777"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89.</w:t>
      </w:r>
      <w:r w:rsidRPr="00F4070E">
        <w:rPr>
          <w:rFonts w:ascii="Times New Roman" w:hAnsi="Times New Roman"/>
          <w:color w:val="auto"/>
        </w:rPr>
        <w:tab/>
        <w:t xml:space="preserve">prima na znanje dobru suradnju koju je EPPO ostvario 2024. s Revizorskim sudom, Europskim nadzornikom za zaštitu podataka i Europskim </w:t>
      </w:r>
      <w:proofErr w:type="spellStart"/>
      <w:r w:rsidRPr="00F4070E">
        <w:rPr>
          <w:rFonts w:ascii="Times New Roman" w:hAnsi="Times New Roman"/>
          <w:color w:val="auto"/>
        </w:rPr>
        <w:t>ombudsmanom</w:t>
      </w:r>
      <w:proofErr w:type="spellEnd"/>
      <w:r w:rsidRPr="00F4070E">
        <w:rPr>
          <w:rFonts w:ascii="Times New Roman" w:hAnsi="Times New Roman"/>
          <w:color w:val="auto"/>
        </w:rPr>
        <w:t xml:space="preserve">; primjećuje da je Europski </w:t>
      </w:r>
      <w:proofErr w:type="spellStart"/>
      <w:r w:rsidRPr="00F4070E">
        <w:rPr>
          <w:rFonts w:ascii="Times New Roman" w:hAnsi="Times New Roman"/>
          <w:color w:val="auto"/>
        </w:rPr>
        <w:t>ombudsman</w:t>
      </w:r>
      <w:proofErr w:type="spellEnd"/>
      <w:r w:rsidRPr="00F4070E">
        <w:rPr>
          <w:rFonts w:ascii="Times New Roman" w:hAnsi="Times New Roman"/>
          <w:color w:val="auto"/>
        </w:rPr>
        <w:t xml:space="preserve"> pokrenuo jednu istragu nakon pritužbe koju je podnio jedan </w:t>
      </w:r>
      <w:r w:rsidRPr="00F4070E">
        <w:rPr>
          <w:rFonts w:ascii="Times New Roman" w:hAnsi="Times New Roman"/>
          <w:color w:val="auto"/>
        </w:rPr>
        <w:lastRenderedPageBreak/>
        <w:t>građanin koji je sudjelovao u postupku odabira 2024., ali je utvrđeno da ona nije potkrijepljena dokazima i da nije bilo nepravilnosti u postupanju EPPO-a;</w:t>
      </w:r>
    </w:p>
    <w:p w14:paraId="436E8B00" w14:textId="77777777" w:rsidR="00C56192" w:rsidRPr="00F4070E" w:rsidRDefault="00C56192" w:rsidP="00C56192">
      <w:pPr>
        <w:pStyle w:val="NormalHanging12a"/>
      </w:pPr>
      <w:r w:rsidRPr="00F4070E">
        <w:t>90.</w:t>
      </w:r>
      <w:r w:rsidRPr="00F4070E">
        <w:tab/>
        <w:t xml:space="preserve">smatra da revizija regulatornih okvira OLAF-a i EPPO-a omogućuje da se razmotre brojni aspekti njihove suradnje u odnosu na iskustva stečena kroz godine operativnog djelovanja; naglašava da su pouke stečene u provedbi dodatnih istraga (koje predlaže OLAF) i istraga za potporu (koje traži EPPO) omogućile prikupljanje dobrog skupa informacija na koji se mogu osloniti pri osmišljavanju načina svoje suradnje; ističe da je isto operativno iskustvo pokazalo da postoji potreba za većim otkrivanjem prijevara i boljim prijavljivanjem; napominje da je 2024. u Parlamentu održan prvi međunarodni sastanak između tužitelja iz EPPO-a i istražitelja iz OLAF-a; smatra da se on može smatrati pilot-projektom za praksu razmjene koja bi se trebala održavati periodički, pod uvjetom da su dostupna financijska sredstva; ponavlja da se odgovarajući dijalog i suradnja među komponentama strukture Unije za borbu protiv prijevara može postići samo uspostavom obveznog </w:t>
      </w:r>
      <w:proofErr w:type="spellStart"/>
      <w:r w:rsidRPr="00F4070E">
        <w:t>međuinstitucijskog</w:t>
      </w:r>
      <w:proofErr w:type="spellEnd"/>
      <w:r w:rsidRPr="00F4070E">
        <w:t xml:space="preserve"> foruma na kojem se mogu pokrenuti strateška pitanja te se o njima može raspraviti u cilju optimizacije resursa i postizanja veće vidljivosti rezultata;</w:t>
      </w:r>
    </w:p>
    <w:p w14:paraId="02D747E9" w14:textId="5AD15D15" w:rsidR="00C56192" w:rsidRPr="00F4070E" w:rsidRDefault="00C56192" w:rsidP="00C56192">
      <w:pPr>
        <w:widowControl/>
        <w:spacing w:after="240"/>
        <w:ind w:left="567" w:hanging="567"/>
        <w:rPr>
          <w:bCs/>
        </w:rPr>
      </w:pPr>
      <w:r w:rsidRPr="00F4070E">
        <w:t>91.</w:t>
      </w:r>
      <w:r w:rsidRPr="00F4070E">
        <w:tab/>
        <w:t>napominje da su prijevare povezane s PDV-om postale strukturna ranjivost unutarnjeg tržišta i da, unatoč učestaloj pojavi standardiziranih kružnih prijevara, nacionalna porezna tijela mogu otkriti i suzbiti tek mali dio kriminalnih mreža; ističe jedinstvenu vrijednost operacija EPPO-a u okviru kojih se mogu rekonstruirati složene kriminalne transakcije i nezakoniti financijski tokovi te poduzeti radnje zapljene i zamrzavanja povezane imovine; poziva Komisiju da predloži sve regulatorne izmjene potrebne za rješavanje situacija koje narušavaju učinkovitost borbe protiv prijevara povezanih s PDV-om i ograničavaju potencijal sinergija između nacionalnih tijela i tijela EU-a;</w:t>
      </w:r>
    </w:p>
    <w:p w14:paraId="17EE5F02" w14:textId="77777777" w:rsidR="00C56192" w:rsidRPr="00F4070E" w:rsidRDefault="00C56192" w:rsidP="00C56192">
      <w:pPr>
        <w:pStyle w:val="Default"/>
        <w:spacing w:after="240"/>
        <w:ind w:left="567" w:hanging="567"/>
        <w:rPr>
          <w:rFonts w:ascii="Times New Roman" w:hAnsi="Times New Roman" w:cs="Times New Roman"/>
          <w:bCs/>
          <w:color w:val="auto"/>
          <w:szCs w:val="23"/>
        </w:rPr>
      </w:pPr>
      <w:r w:rsidRPr="00F4070E">
        <w:rPr>
          <w:rFonts w:ascii="Times New Roman" w:hAnsi="Times New Roman"/>
          <w:color w:val="auto"/>
        </w:rPr>
        <w:t>92.</w:t>
      </w:r>
      <w:r w:rsidRPr="00F4070E">
        <w:rPr>
          <w:rFonts w:ascii="Times New Roman" w:hAnsi="Times New Roman"/>
          <w:color w:val="auto"/>
        </w:rPr>
        <w:tab/>
        <w:t>naglašava da su pristup podacima i razmjena informacija ključni elementi borbe protiv prijevara te da uspješna zaštita proračuna Unije ovisi o njihovoj uspješnoj provedbi; podsjeća na preporuke koje je Revizorski sud naveo u svojem tematskom izvješću br. 24/2015 o borbi protiv prijevara u području PDV-a i tematskom izvješću br. 08/2025 naslovljenom „Prijevare povezane s porezom na dodanu vrijednost pri uvozu – Financijski interesi EU-a nisu dovoljno zaštićeni u sklopu pojednostavnjenih uvoznih carinskih postupaka” i u tom pogledu pozdravlja Komisijin Prijedlog Uredbe Vijeća o izmjeni Uredbe (EU) br. 904/2010 u pogledu pristupa Ureda europskog javnog tužitelja (EPPO) i Europskog ureda za borbu protiv prijevara (OLAF) informacijama o porezu na dodanu vrijednost na razini Unije od 14. studenoga 2025.</w:t>
      </w:r>
      <w:r w:rsidRPr="00F4070E">
        <w:rPr>
          <w:rStyle w:val="FootnoteReference"/>
          <w:bCs/>
          <w:color w:val="auto"/>
        </w:rPr>
        <w:footnoteReference w:id="18"/>
      </w:r>
      <w:r w:rsidRPr="00F4070E">
        <w:rPr>
          <w:rFonts w:ascii="Times New Roman" w:hAnsi="Times New Roman"/>
          <w:color w:val="auto"/>
        </w:rPr>
        <w:t xml:space="preserve">; u istom smislu ističe važnost sveobuhvatne i učinkovite razmjene podataka između EPPO-a, OLAF-a, </w:t>
      </w:r>
      <w:proofErr w:type="spellStart"/>
      <w:r w:rsidRPr="00F4070E">
        <w:rPr>
          <w:rFonts w:ascii="Times New Roman" w:hAnsi="Times New Roman"/>
          <w:color w:val="auto"/>
        </w:rPr>
        <w:t>Eurojusta</w:t>
      </w:r>
      <w:proofErr w:type="spellEnd"/>
      <w:r w:rsidRPr="00F4070E">
        <w:rPr>
          <w:rFonts w:ascii="Times New Roman" w:hAnsi="Times New Roman"/>
          <w:color w:val="auto"/>
        </w:rPr>
        <w:t xml:space="preserve"> i </w:t>
      </w:r>
      <w:proofErr w:type="spellStart"/>
      <w:r w:rsidRPr="00F4070E">
        <w:rPr>
          <w:rFonts w:ascii="Times New Roman" w:hAnsi="Times New Roman"/>
          <w:color w:val="auto"/>
        </w:rPr>
        <w:t>Europola</w:t>
      </w:r>
      <w:proofErr w:type="spellEnd"/>
      <w:r w:rsidRPr="00F4070E">
        <w:rPr>
          <w:rFonts w:ascii="Times New Roman" w:hAnsi="Times New Roman"/>
          <w:color w:val="auto"/>
        </w:rPr>
        <w:t xml:space="preserve"> te da bi se uspostavom zajedničke radne skupine omogućio nadzor integracije podataka i učinkovitost upravljanja predmetima među tim tijelima;</w:t>
      </w:r>
    </w:p>
    <w:p w14:paraId="2EBF8D65" w14:textId="77777777"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93.</w:t>
      </w:r>
      <w:r w:rsidRPr="00F4070E">
        <w:rPr>
          <w:rFonts w:ascii="Times New Roman" w:hAnsi="Times New Roman"/>
          <w:color w:val="auto"/>
        </w:rPr>
        <w:tab/>
        <w:t xml:space="preserve">podupire poziv EPPO-a na ulaganje većeg napora u osiguravanje mnogo većih i boljih kapaciteta za analizu podataka na razini Unije kako bi se u potpunosti iskoristile goleme količine podataka koje se prikupljaju u istragama EPPO-a i slaže se s time da bi napredak u tom smjeru znatno poboljšala borba protiv organiziranog kriminala u Uniji; napominje da se količina prikupljenih dokaza koji se analiziraju eksponencijalno povećava usporedno sa sve većim brojem predmeta koje istražuje EPPO; ističe da se velika količina tih informacija odnosi na organizirani kriminal i pranje novca, kao i širok raspon s njima povezanih nezakonitih aktivnosti kao temeljna kaznena djela koja </w:t>
      </w:r>
      <w:r w:rsidRPr="00F4070E">
        <w:rPr>
          <w:rFonts w:ascii="Times New Roman" w:hAnsi="Times New Roman"/>
          <w:color w:val="auto"/>
        </w:rPr>
        <w:lastRenderedPageBreak/>
        <w:t xml:space="preserve">nisu u nadležnosti EPPO-a te ih on ne može istraživati; primjećuje da je do slične situacije došlo nakon istrage Admiral, kad je analiza samo jednog dijela prikupljenih digitalnih podataka čija je ukupna količina iznosila najmanje 638 TB pokazala poveznice s krijumčarenjem droge, nezakonitim kockanjem, prostitucijom i drugim kaznenim djelima, na temelju čega su nacionalni uredi tužiteljstva pokrenuli daljnje kaznene postupke u području kaznenih djela koja nisu povezana sa zaštitom financijskih interesa Unije; napominje da je do sličnog ishoda došlo i u istrazi </w:t>
      </w:r>
      <w:proofErr w:type="spellStart"/>
      <w:r w:rsidRPr="00F4070E">
        <w:rPr>
          <w:rFonts w:ascii="Times New Roman" w:hAnsi="Times New Roman"/>
          <w:color w:val="auto"/>
        </w:rPr>
        <w:t>Midas</w:t>
      </w:r>
      <w:proofErr w:type="spellEnd"/>
      <w:r w:rsidRPr="00F4070E">
        <w:rPr>
          <w:rFonts w:ascii="Times New Roman" w:hAnsi="Times New Roman"/>
          <w:color w:val="auto"/>
        </w:rPr>
        <w:t>, u kojoj je došlo do otkrivanja složenog kriminalnog ekosustava, u okviru kojeg su se koristila fiktivna trgovačka društva, marionete, fiktivni identiteti i kripto-komunikacija u cilju organizacije drugih kriminalnih aktivnosti, uključujući krijumčarenje droge i oružja te financiranje terorizma, pri čemu je nakon analize najmanje 418 TB digitalnih podataka podneseno 13 kaznenih prijava nacionalnim tijelima odgovornima za istragu tih kaznenih djela koja nisu povezana sa zaštitom financijskih interesa Unije;</w:t>
      </w:r>
    </w:p>
    <w:p w14:paraId="05A038FB" w14:textId="77777777"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94.</w:t>
      </w:r>
      <w:r w:rsidRPr="00F4070E">
        <w:rPr>
          <w:rFonts w:ascii="Times New Roman" w:hAnsi="Times New Roman"/>
          <w:color w:val="auto"/>
        </w:rPr>
        <w:tab/>
        <w:t>pozdravlja uspostavu unutarnjeg mehanizma za osiguravanje resursno učinkovite, pravodobne i dosljedne dostave obavijesti EPPO-a u skladu s člankom 103. stavkom 2. Uredbe (EU) 2017/1939 koje su ključne za poduzimanje mjera administrativnog povrata i mjera predostrožnosti, kao i reviziju radnog sporazuma s Komisijom u okviru trećeg godišnjeg preispitivanja suradnje između EPPO-a i Komisije provedenog u listopadu 2024.; smatra da će se tim dogovorima postići učinkovitije mjere za zaštitu financijskih interesa Unije; ističe nagli porast broja obavijesti koje su Komisiji dostavljene nakon tih novih dogovora 2024. i 2025. (+147 % odnosno +85 % u usporedbi s 2022.); međutim, naglašava da se u cilju osiguravanja provedbe učinkovitog praćenja predmeta i stalnog dotoka informacija Komisiji za potrebe donošenja administrativnih mjera trebaju unaprijediti sustav vođenja predmeta EPPO-a i njegovi kapaciteti za analizu podataka, što nije moguće bez dostatnog strukturnog financiranja; žali zbog toga što je, unatoč jasnim navodima EPPO-a o potrebama za financiranjem, Komisija u svojem pismu izmjene br. 1/2024 osigurala samo tri radna mjesta i jednog člana ugovornog osoblja, što nije dovoljno; podržava buduće zahtjeve EPPO-a za dodjelu resursa koji su ključni za povrat sredstava koja su bila predmet prijevare u proračun Unije; poziva Komisiju da maksimalno poveća administrativni povrat iznosa u proračun Unije, poštujući pritom povjerljivost i pravilno provođenje istražnih mjera;</w:t>
      </w:r>
    </w:p>
    <w:p w14:paraId="6EB6AE20" w14:textId="77777777" w:rsidR="00C56192" w:rsidRPr="00F4070E" w:rsidRDefault="00C56192" w:rsidP="00C56192">
      <w:pPr>
        <w:widowControl/>
        <w:spacing w:after="240"/>
        <w:ind w:left="567" w:hanging="567"/>
        <w:rPr>
          <w:bCs/>
        </w:rPr>
      </w:pPr>
      <w:r w:rsidRPr="00F4070E">
        <w:t>95.</w:t>
      </w:r>
      <w:r w:rsidRPr="00F4070E">
        <w:tab/>
        <w:t>svjestan je da je povrat sredstava koji provode nacionalna tijela i dalje u nadležnosti Komisije, kako je navedeno u mandatnom pismu povjereniku za proračun, borbu protiv prijevara i javnu upravu te ističe da EPPO zasad nema mandat za daljnje postupanje u vezi s postupkom povrata; ponavlja svoj poziv državama članicama na jačanje suradnje u postupku povrata te pravodobnom informiranju Komisije i EPPO-a o konačnim oduzimanjima imovine; i dalje smatra da je potrebno provesti reviziju relevantnih uredbi kako bi se pojasnila uloga EPPO-a u postupku povrata;</w:t>
      </w:r>
    </w:p>
    <w:p w14:paraId="7143039F" w14:textId="77777777" w:rsidR="00C56192" w:rsidRPr="00F4070E" w:rsidRDefault="00C56192" w:rsidP="00C56192">
      <w:pPr>
        <w:pStyle w:val="NormalHanging12a"/>
      </w:pPr>
      <w:r w:rsidRPr="00F4070E">
        <w:t>96.</w:t>
      </w:r>
      <w:r w:rsidRPr="00F4070E">
        <w:tab/>
        <w:t xml:space="preserve">uzima u obzir da se istrage EPPO-a mogu pokrenuti samo ako informacije dođu do tužitelja te očekuje od država članica da </w:t>
      </w:r>
      <w:proofErr w:type="spellStart"/>
      <w:r w:rsidRPr="00F4070E">
        <w:t>ispunjuju</w:t>
      </w:r>
      <w:proofErr w:type="spellEnd"/>
      <w:r w:rsidRPr="00F4070E">
        <w:t xml:space="preserve"> svoje pravne obveze i prijavljuju sve relevantne predmete EPPO-u; sa zabrinutošću primjećuje da su 2024. i dalje postojali sukobi nadležnosti i sustavne prepreke za istrage EPPO-a, uključujući predmete koji izazivaju zabrinutost u pogledu vladavine prava; u tom pogledu podsjeća na javnu izjavu EPPO-a o odluci o sukobu nadležnosti u Hrvatskoj; poziva Komisiju da sustavno prati takve prepreke u okviru svoje odgovornosti za osiguravanje usklađenosti s pravom Unije i zaštitu financijskih interesa Unije; sa zabrinutošću napominje da su neke države članice kaznena djela koja utječu na financijske interese Unije prijavila kao nacionalne predmete i odbile priznati nadležnost EPPO-a u tim predmetima; izražava zabrinutost </w:t>
      </w:r>
      <w:r w:rsidRPr="00F4070E">
        <w:lastRenderedPageBreak/>
        <w:t>zbog mogućeg negativnog učinka na istragu tih sukoba nadležnosti prouzročenog gubitkom dokaza ili zakašnjelim prikupljanjem dokaza; poziva Komisiju da prikuplja i procjenjuje informacije o slučajevima sukoba nadležnosti kako bi mogla raspolagati relevantnim podacima za reviziju Uredbe (EU) 2017/1939;</w:t>
      </w:r>
    </w:p>
    <w:p w14:paraId="32EEF0A9" w14:textId="2CECCE04" w:rsidR="00C56192" w:rsidRPr="00F4070E" w:rsidRDefault="00C56192" w:rsidP="00C56192">
      <w:pPr>
        <w:pStyle w:val="NormalHanging12a"/>
        <w:rPr>
          <w:bCs/>
        </w:rPr>
      </w:pPr>
      <w:r w:rsidRPr="00F4070E">
        <w:t>97.</w:t>
      </w:r>
      <w:r w:rsidRPr="00F4070E">
        <w:tab/>
        <w:t>napominje da su, unatoč tome što je nadležnost EPPO-a jasno definirana u članku 22. stavcima 1. i 2. te u članku 23. Uredbe (EU) 2017/1939, pitanja u pogledu nadležnosti nacionalnih tijela i delegiranih europskih tužitelja ponovno postavljena 2024.; naglašava da bi u tim slučajevima trebalo postupati u skladu s člankom 25. stavkom 6. Uredbe (EU) 2017/1939 kojim ih se upućuje nacionalnom pravosudnom tijelu nadležnom za odlučivanje o sukobima nadležnosti između nacionalnih tužitelja, pod uvjetom da njegova odluka može biti predmet prethodne odluke Suda Europske unije, kako je utvrđeno u članku 42. stavku 2. točki (c) Uredbe (EU) 2017/1939 u kojem se odražava članak 267. UFEU-a; ponovno ističe da, imajući na umu činjenicu da u brojnim državama članicama odluka nacionalnog tijela o sukobu nadležnosti ne može biti predmet prethodnog postupka pred Sudom Europske unije, trenutačna situacija nije pravno jasna; potiče države članice koje dvoje o nadležnosti EPPO-a da upute prethodno pitanje Sudu Europske Unije za donošenje prethodne odluke u skladu s člankom 267. UFEU-a i člankom 42. stavkom 2. točkom (c) Uredbe (EU) 2017/1939;</w:t>
      </w:r>
    </w:p>
    <w:p w14:paraId="13934DA7" w14:textId="77777777" w:rsidR="00C56192" w:rsidRPr="00F4070E" w:rsidRDefault="00C56192" w:rsidP="00C56192">
      <w:pPr>
        <w:pStyle w:val="NormalHanging12a"/>
      </w:pPr>
      <w:r w:rsidRPr="00F4070E">
        <w:t>98.</w:t>
      </w:r>
      <w:r w:rsidRPr="00F4070E">
        <w:tab/>
        <w:t xml:space="preserve">napominje da je 2024. EPPO proveo „EPPO akademiju” i podmirio s tim povezane troškove, a organizirao ju je u suradnji s tijelom </w:t>
      </w:r>
      <w:proofErr w:type="spellStart"/>
      <w:r w:rsidRPr="00F4070E">
        <w:t>Guardia</w:t>
      </w:r>
      <w:proofErr w:type="spellEnd"/>
      <w:r w:rsidRPr="00F4070E">
        <w:t xml:space="preserve"> di </w:t>
      </w:r>
      <w:proofErr w:type="spellStart"/>
      <w:r w:rsidRPr="00F4070E">
        <w:t>Finanza</w:t>
      </w:r>
      <w:proofErr w:type="spellEnd"/>
      <w:r w:rsidRPr="00F4070E">
        <w:t xml:space="preserve"> u Italiji, pri čemu su održana dva međunarodna tečaja na terenu u trajanju od dva tjedna za 49 istražitelja; primjećuje da je u određenim državama članicama održano posebno osposobljavanje službenika za izvršavanje zakonodavstva o područjima kriminala obuhvaćenima mandatom EPPO-a; poziva Komisiju da podupre taj vrijedni projekt osposobljavanja i osigura njegovo financiranje; napominje da su u nekoliko navrata tijekom 2024. europski tužitelji i delegirani europski tužitelji pokrenuli dodatne aktivnosti informiranja, koje su se odnosile na decentraliziranu i središnju razinu te su bile namijenjene nacionalnim dionicima te su u brojnim prilikama ugostili delegacije iz sudstva, javnog tužiteljstva i tijela za izvršavanje zakonodavstva;</w:t>
      </w:r>
    </w:p>
    <w:p w14:paraId="1516B35F" w14:textId="77777777" w:rsidR="00C56192" w:rsidRPr="00F4070E" w:rsidRDefault="00C56192" w:rsidP="00C56192">
      <w:pPr>
        <w:widowControl/>
        <w:spacing w:after="240"/>
        <w:ind w:left="567" w:hanging="567"/>
        <w:rPr>
          <w:bCs/>
          <w:szCs w:val="24"/>
        </w:rPr>
      </w:pPr>
      <w:r w:rsidRPr="00F4070E">
        <w:t>99.</w:t>
      </w:r>
      <w:r w:rsidRPr="00F4070E">
        <w:tab/>
        <w:t>ponavlja zabrinutost o sve većem broju predmeta povezanih s Mehanizmom za oporavak i otpornost koji nisu ravnomjerno raspoređeni među državama članicama koje su već primile znatna sredstva; ističe da neuravnotežena raspoređenost predmeta može biti posljedica nejednake prikladnosti sustava za upravljanje i kontrolu država članica ili neoptimalne učinkovitosti otkrivanja i netransparentnih praksi prijavljivanja; ističe da se sredstva iz Mehanizma za oporavak i otpornost osiguravaju iz proračuna Unije te da je za njihovu zaštitu nadležan EPPO i stoga poziva Komisiju i druga tijela i službe Unije da povećaju napore koji se ulažu u otkrivanje i prijave EPPO-u svaku relevantnu situaciju u tom pogledu;</w:t>
      </w:r>
    </w:p>
    <w:p w14:paraId="22EC03BA" w14:textId="77777777" w:rsidR="00C56192" w:rsidRPr="00F4070E" w:rsidRDefault="00C56192" w:rsidP="00C56192">
      <w:pPr>
        <w:widowControl/>
        <w:spacing w:after="240"/>
        <w:ind w:left="567" w:hanging="567"/>
        <w:rPr>
          <w:bCs/>
          <w:szCs w:val="24"/>
        </w:rPr>
      </w:pPr>
      <w:r w:rsidRPr="00F4070E">
        <w:t>100.</w:t>
      </w:r>
      <w:r w:rsidRPr="00F4070E">
        <w:tab/>
        <w:t>ističe da će se velik broj aktivnih predmeta povezanih s Mehanizmom za oporavak i otpornost najvjerojatnije povećavati u budućnosti s porastom intenziteta isplata kako se bude približavao završni datum provedbe, te smatra ključnim povećati suradnju i koordinaciju između relevantnih tijela, a posebno s Radnom skupinom za oporavak i otpornost, kako bi se ojačao mehanizam za praćenje i kontrolu analizom predmeta prijevare koje istražuje EPPO, utvrdili mogući nedostaci u kontroli ili obrasci prijevare koji bi mogli proizlaziti iz nadzora ili propusta te ih se riješilo primjenom mjera smanjenja i povrata uvedenih u Prilogu IV. Komisijinim smjernicama o planovima za oporavak i otpornost donesenima 22. srpnja 2024.;</w:t>
      </w:r>
    </w:p>
    <w:p w14:paraId="5357C399" w14:textId="77777777" w:rsidR="00C56192" w:rsidRPr="00F4070E" w:rsidRDefault="00C56192" w:rsidP="00C56192">
      <w:pPr>
        <w:widowControl/>
        <w:spacing w:after="240"/>
        <w:ind w:left="567" w:hanging="567"/>
        <w:rPr>
          <w:bCs/>
        </w:rPr>
      </w:pPr>
      <w:r w:rsidRPr="00F4070E">
        <w:lastRenderedPageBreak/>
        <w:t>101.</w:t>
      </w:r>
      <w:r w:rsidRPr="00F4070E">
        <w:tab/>
        <w:t xml:space="preserve">pozdravlja dogovor kolegija u pogledu radnih sporazuma o suradnji sklopljenih s povjerenstvom za borbu protiv korupcije Sejšela i uredom glavnog tužitelja Kneževine Andore, kao i sklapanje memoranduma o razumijevanju s </w:t>
      </w:r>
      <w:proofErr w:type="spellStart"/>
      <w:r w:rsidRPr="00F4070E">
        <w:t>potpredsjedništvom</w:t>
      </w:r>
      <w:proofErr w:type="spellEnd"/>
      <w:r w:rsidRPr="00F4070E">
        <w:t xml:space="preserve"> za integritet Svjetske banke i </w:t>
      </w:r>
      <w:proofErr w:type="spellStart"/>
      <w:r w:rsidRPr="00F4070E">
        <w:t>ibero</w:t>
      </w:r>
      <w:proofErr w:type="spellEnd"/>
      <w:r w:rsidRPr="00F4070E">
        <w:t>-američkim udruženjem javnih tužitelja; pozdravlja potpisivanje radnog sporazuma s Parlamentom u studenome 2024., čime su utvrđeni jasni aranžmani za suradnju u cilju zaštite financijskih interesa Unije, kao i dogovor kolegija u pogledu radnih sporazuma s ESVD-om i o reviziji prilogâ sporazumu s Komisijom te pregovore o radnom sporazumu s Europskom središnjom bankom, koji su također pokrenuti 2024.;</w:t>
      </w:r>
    </w:p>
    <w:p w14:paraId="68F793EE" w14:textId="77777777" w:rsidR="00C56192" w:rsidRPr="00F4070E" w:rsidRDefault="00C56192" w:rsidP="00C56192">
      <w:pPr>
        <w:pStyle w:val="Default"/>
        <w:spacing w:after="240"/>
        <w:ind w:left="567" w:hanging="567"/>
        <w:rPr>
          <w:rFonts w:ascii="Times New Roman" w:hAnsi="Times New Roman" w:cs="Times New Roman"/>
          <w:bCs/>
          <w:color w:val="auto"/>
          <w:szCs w:val="22"/>
        </w:rPr>
      </w:pPr>
      <w:r w:rsidRPr="00F4070E">
        <w:rPr>
          <w:rFonts w:ascii="Times New Roman" w:hAnsi="Times New Roman"/>
          <w:color w:val="auto"/>
        </w:rPr>
        <w:t>102.</w:t>
      </w:r>
      <w:r w:rsidRPr="00F4070E">
        <w:rPr>
          <w:rFonts w:ascii="Times New Roman" w:hAnsi="Times New Roman"/>
          <w:color w:val="auto"/>
        </w:rPr>
        <w:tab/>
        <w:t xml:space="preserve">prima na znanje intenzivne mjere koje je EPPO proveo u cilju osiguravanja učinkovitosti svojih istraga u međunarodnom okruženju i u vezi s trećim zemljama; svjestan je da je EPPO član ili promatrač u nekoliko međunarodnih mreža ili organizacija kao što su </w:t>
      </w:r>
      <w:proofErr w:type="spellStart"/>
      <w:r w:rsidRPr="00F4070E">
        <w:rPr>
          <w:rFonts w:ascii="Times New Roman" w:hAnsi="Times New Roman"/>
          <w:color w:val="auto"/>
        </w:rPr>
        <w:t>Egmont</w:t>
      </w:r>
      <w:proofErr w:type="spellEnd"/>
      <w:r w:rsidRPr="00F4070E">
        <w:rPr>
          <w:rFonts w:ascii="Times New Roman" w:hAnsi="Times New Roman"/>
          <w:color w:val="auto"/>
        </w:rPr>
        <w:t xml:space="preserve"> grupacija, </w:t>
      </w:r>
      <w:proofErr w:type="spellStart"/>
      <w:r w:rsidRPr="00F4070E">
        <w:rPr>
          <w:rFonts w:ascii="Times New Roman" w:hAnsi="Times New Roman"/>
          <w:color w:val="auto"/>
        </w:rPr>
        <w:t>GlobE</w:t>
      </w:r>
      <w:proofErr w:type="spellEnd"/>
      <w:r w:rsidRPr="00F4070E">
        <w:rPr>
          <w:rFonts w:ascii="Times New Roman" w:hAnsi="Times New Roman"/>
          <w:color w:val="auto"/>
        </w:rPr>
        <w:t xml:space="preserve"> Network, Radna skupina OECD-a o korupciji, mreža CARIN, mreža NADAL, mreža EACN/EPAC, Europska pravosudna mreža, Odbor stručnjaka za primjenu europskih konvencija na području suradnje u kaznenim stvarima (PC-OC) Vijeća Europe itd.; primjećuje da je EPPO sklopio radne sporazume s brojnim partnerima; prima na znanje da se EPPO suočava s poteškoćama pri učinkovitim intervencijama u nedostatku jasne pravne osnove te cijeni što je u kolovozu 2023. Komisiji dostavio popis trećih zemalja koje smatra prioritetima za sklapanje sporazuma koji bi mogli olakšati suradnju; poziva Komisiju da propisno razmotri zahtjeve EPPO-a;</w:t>
      </w:r>
    </w:p>
    <w:p w14:paraId="7CF2F902" w14:textId="77777777" w:rsidR="00C56192" w:rsidRPr="00F4070E" w:rsidRDefault="00C56192" w:rsidP="00C56192">
      <w:pPr>
        <w:widowControl/>
        <w:spacing w:after="240"/>
        <w:ind w:left="567" w:hanging="567"/>
        <w:rPr>
          <w:bCs/>
          <w:szCs w:val="24"/>
        </w:rPr>
      </w:pPr>
      <w:r w:rsidRPr="00F4070E">
        <w:t>103.</w:t>
      </w:r>
      <w:r w:rsidRPr="00F4070E">
        <w:tab/>
        <w:t xml:space="preserve">napominje da se EPPO nastavio oslanjati na </w:t>
      </w:r>
      <w:proofErr w:type="spellStart"/>
      <w:r w:rsidRPr="00F4070E">
        <w:t>međuinstitucijske</w:t>
      </w:r>
      <w:proofErr w:type="spellEnd"/>
      <w:r w:rsidRPr="00F4070E">
        <w:t xml:space="preserve"> ugovore i bilateralne sporazume na razini službe te da je krajem 2024. aktivno sudjelovao u 86 </w:t>
      </w:r>
      <w:proofErr w:type="spellStart"/>
      <w:r w:rsidRPr="00F4070E">
        <w:t>međuinstitucijskih</w:t>
      </w:r>
      <w:proofErr w:type="spellEnd"/>
      <w:r w:rsidRPr="00F4070E">
        <w:t xml:space="preserve"> okvirnih ugovora i 23 sporazuma na razini službe ili drugim sporazumima s javnom upravom Unije, u cilju nabave robe i usluga po nižim troškovima ili maksimalnog povećanja proračunskih ušteda iz postojećih ugovornih instrumenata, u skladu s načelima dobrog financijskog upravljanja;</w:t>
      </w:r>
    </w:p>
    <w:p w14:paraId="1047C2FB" w14:textId="77777777" w:rsidR="00C56192" w:rsidRPr="00F4070E" w:rsidRDefault="00C56192" w:rsidP="00C56192">
      <w:pPr>
        <w:widowControl/>
        <w:autoSpaceDE w:val="0"/>
        <w:autoSpaceDN w:val="0"/>
        <w:adjustRightInd w:val="0"/>
        <w:spacing w:after="240"/>
        <w:ind w:left="567" w:hanging="567"/>
        <w:rPr>
          <w:rFonts w:eastAsia="Calibri"/>
          <w:bCs/>
          <w:szCs w:val="24"/>
        </w:rPr>
      </w:pPr>
      <w:r w:rsidRPr="00F4070E">
        <w:t>104.</w:t>
      </w:r>
      <w:r w:rsidRPr="00F4070E">
        <w:tab/>
        <w:t>naročito pozdravlja sudjelovanje Poljske i Švedske u EPPO-u; napominje da Danska i dalje primjenjuje izuzeće od EPPO-a u skladu s protokolima br. 21. i br. 22. UFEU-a; svjestan je da je nakon početnih naznaka irske vlade o mogućem sudjelovanju u pojačanoj suradnji EPPO uspostavio posebnu radnu skupinu s predstavnicima relevantnih službi EPPO-a kako bi obuhvatio sve aspekte tog sudjelovanja i pratio nacionalna tijela u tom postupku; primjećuje da je na zahtjev te države članice održano nekoliko neformalnih sastanaka kako bi se pojasnio rad EPPO-a; međutim, napominje da 2024. nisu zabilježene nikakve službene razmjene mišljenja s irskom međuagencijskom radnom skupinom osnovanom kako bi se ispitalo moguće buduće sudjelovanje Irske u EPPO-u; potiče Komisiju, EPPO i irske vlasti da se ponovno uključe u konstruktivan dijalog kako bi se postigao učinkovit napredak;</w:t>
      </w:r>
    </w:p>
    <w:p w14:paraId="2C0FD766" w14:textId="77777777" w:rsidR="00C56192" w:rsidRPr="00F4070E" w:rsidRDefault="00C56192" w:rsidP="00C56192">
      <w:pPr>
        <w:pStyle w:val="NormalHanging12a"/>
      </w:pPr>
      <w:r w:rsidRPr="00F4070E">
        <w:t>105.</w:t>
      </w:r>
      <w:r w:rsidRPr="00F4070E">
        <w:tab/>
        <w:t xml:space="preserve">duboko žali zbog toga što je Mađarska jedina preostala država članica koja se još nije pridružila EPPO-u, unatoč tome što ne postoje nikakve pravne ili ustavne prepreke; snažno potiče mađarsku vladu da se bez daljnje odgode pridruži EPPO-u; smatra da se kontinuirano nesudjelovanje može tumačiti samo kao namjeran pokušaj zaštite korupcije i zlouporabe sredstava Unije od neovisnog europskog nadzora; smatra da bi se pristupanjem te zemlje EPPO-u konačno odgovorilo na dugotrajne i legitimne zahtjeve civilnog društva i građana da se poboljša pravna zaštita od prijevare, korupcije i drugih teških povreda dužnosti te da se ponovno uspostavi povjerenje u zaštitu financijskih interesa Unije, koji su trenutačno ugroženi trajnim nedostacima u provedbi i koji </w:t>
      </w:r>
      <w:r w:rsidRPr="00F4070E">
        <w:lastRenderedPageBreak/>
        <w:t>dovode do slabljenja pozitivnih učinaka politika Unije namijenjenih za podupiranje rasta, kohezije i dobrobiti građana Mađarske, MSP-ova te lokalnih i regionalnih vlasti;</w:t>
      </w:r>
    </w:p>
    <w:p w14:paraId="76C73114" w14:textId="77777777" w:rsidR="00C56192" w:rsidRPr="00F4070E" w:rsidRDefault="00C56192" w:rsidP="00C56192">
      <w:pPr>
        <w:pStyle w:val="NormalHanging12a"/>
      </w:pPr>
      <w:r w:rsidRPr="00F4070E">
        <w:t>106.</w:t>
      </w:r>
      <w:r w:rsidRPr="00F4070E">
        <w:tab/>
        <w:t>podsjeća na nekoliko pokušaja mađarske vlade da sustavnu špijunira osoblje Europske komisije i OLAF-a;</w:t>
      </w:r>
    </w:p>
    <w:p w14:paraId="52B2C1FA" w14:textId="28478BC3" w:rsidR="00C56192" w:rsidRPr="00F4070E" w:rsidRDefault="00C56192" w:rsidP="00C56192">
      <w:pPr>
        <w:pStyle w:val="NormalHanging12a"/>
      </w:pPr>
      <w:r w:rsidRPr="00F4070E">
        <w:t>107.</w:t>
      </w:r>
      <w:r w:rsidRPr="00F4070E">
        <w:tab/>
        <w:t>naglašava da svaki nedostatak suradnje bilo koje države članice s EPPO-om dovodi do stvaranja niša imuniteta i povlastica zbog kojih zaštita financijskih interesa Unije postaje neujednačena i neučinkovita, te poziva Komisiju da pokrene postupke zbog povrede protiv svake države članice koja sustavno ometa istrage pod vodstvom EPPO-a; poziva Komisiju da pri primjeni Uredbe (EU, E</w:t>
      </w:r>
      <w:r w:rsidR="00917FAE">
        <w:t>uratom</w:t>
      </w:r>
      <w:r w:rsidRPr="00F4070E">
        <w:t>) 2020/2092 Europskog parlamenta i Vijeća</w:t>
      </w:r>
      <w:r w:rsidRPr="00F4070E">
        <w:rPr>
          <w:rStyle w:val="FootnoteReference"/>
        </w:rPr>
        <w:footnoteReference w:id="19"/>
      </w:r>
      <w:r w:rsidRPr="00F4070E">
        <w:t xml:space="preserve"> razmotri da nesudjelovanje u EPPO-u može predstavljati potencijalnu prijetnju financijskim interesima Unije te poziva Komisiju da pomno prati razine suradnje država članica s EPPO-om; u tom smislu duboko žali zbog predmeta prijavljenih 2024. o prijetnjama vlada država članica kojima su bili izloženi istražitelji OLAF-a i EPPO-a u izvršavanju svojih zadaća na terenu; ističe da takve situacije narušavaju vladavinu prava, predstavljaju tešku povredu uzajamnog povjerenja i lojalne suradnje država članica i institucija Unije i oslabljuju djelovanja Unije, te poziva na uspostavu snažnih preventivnih i zaštitnih mjera za zaštitu osoblja upućenog na rad u rizičnim uvjetima;</w:t>
      </w:r>
    </w:p>
    <w:p w14:paraId="2EC87B73" w14:textId="77777777" w:rsidR="00C56192" w:rsidRPr="00F4070E" w:rsidRDefault="00C56192" w:rsidP="00C56192">
      <w:pPr>
        <w:pStyle w:val="NormalHanging12a"/>
      </w:pPr>
      <w:r w:rsidRPr="00F4070E">
        <w:t>108.</w:t>
      </w:r>
      <w:r w:rsidRPr="00F4070E">
        <w:tab/>
        <w:t>naglašava da aktivnosti EPPO-a moraju doprinositi zaštiti financijskih interesa Unije i da se očekuje da će njihova provedba rezultirati povratom iznosa isplaćenih iz proračuna Unije koji zbog kriminalnih aktivnosti nisu iskorišteni u predviđenu svrhu; primjećuje da je postupak oduzimanja, koji omogućuje povrat takvih iznosa, u nadležnosti nacionalnih tijela te da bi se relevantni oduzeti iznosi, ili vrijednost imovine, koji proizlaze iz mjera koje donose delegirani europski tužitelji u državama članica, trebali vratiti u proračun Unije, nakon odbitka troškova koje su snosila tijela država članica za provedbu predmetnih mjera u skladu s člankom 38. Uredbe (EU) 2017/1939, koji se odnosi na imovinu i imovinske koristi kojima se raspolaže u skladu s primjenjivim nacionalnim pravom, ne dovodeći u pitanje prava Unije ili drugih žrtava na naknadu za štetu koju su pretrpjeli; podsjeća da je Odbor za proračunski nadzor Parlamenta predložio da se potencijalni prihodi koji proizlaze iz mjera zapljene i oduzimanja u proračunu Unije vode kao nenamjenski prihodi iz zasebne proračunske linije uspostavljene izmjenom proračuna; cijeni predanost EPPO-a suradnji s Komisijom u cilju podupiranja radnji usmjerenih na osiguravanje provedbe prethodno navedenog; smatra da je potrebno izmijeniti članak 38. kako bi se omogućila njegova učinkovita provedba i praćenje da bi se osigurala zaštita proračuna Unije te poziva Komisiju da sklopi potrebne dogovore s relevantnim nacionalnim tijelima kako bi se omogućilo da se predmetni iznosi vrate u proračun Unije i da predloži potrebna zakonodavna rješenja za učinkovitu provedbu;</w:t>
      </w:r>
    </w:p>
    <w:p w14:paraId="5C34A645" w14:textId="77777777" w:rsidR="00C56192" w:rsidRPr="00F4070E" w:rsidRDefault="00C56192" w:rsidP="00C56192">
      <w:pPr>
        <w:pStyle w:val="CommentText"/>
        <w:spacing w:after="240"/>
        <w:ind w:left="567" w:hanging="567"/>
        <w:rPr>
          <w:bCs/>
          <w:sz w:val="24"/>
          <w:szCs w:val="24"/>
        </w:rPr>
      </w:pPr>
      <w:r w:rsidRPr="00F4070E">
        <w:rPr>
          <w:sz w:val="24"/>
        </w:rPr>
        <w:t>109.</w:t>
      </w:r>
      <w:r w:rsidRPr="00F4070E">
        <w:rPr>
          <w:sz w:val="24"/>
        </w:rPr>
        <w:tab/>
        <w:t xml:space="preserve">naglašava važnost nadzora i sustavnog izvješćivanja o praćenju nakon istrage i kaznenog progona s posebnim naglaskom na donesene financijske mjere (oduzimanje i povrat) kako bi se jasnije shvatio utjecaj djelovanja EPPO-a; primjećuje da EPPO i Komisija surađuju radi pojednostavnjenja svoje komunikacije i njezina prilagođavanja u odnosu na moguće donošenje mjera za povrat u proračun Unije sredstava povezanih s </w:t>
      </w:r>
      <w:r w:rsidRPr="00F4070E">
        <w:rPr>
          <w:sz w:val="24"/>
        </w:rPr>
        <w:lastRenderedPageBreak/>
        <w:t xml:space="preserve">financijskim kriminalom; i dalje smatra da Komisija treba pomoći EPPO-u u nadzoru i praćenju aktivnosti EPPO-a kako bi se spriječilo preusmjeravanje ograničenih sredstava EPPO-a sa zadaća istrage i kaznenog progona; smatra da je nadzor Parlamenta nad administrativnom praćenju njegovih kaznenih istraga ključan doprinos poboljšanju učinkovitosti </w:t>
      </w:r>
      <w:proofErr w:type="spellStart"/>
      <w:r w:rsidRPr="00F4070E">
        <w:rPr>
          <w:sz w:val="24"/>
        </w:rPr>
        <w:t>Unijine</w:t>
      </w:r>
      <w:proofErr w:type="spellEnd"/>
      <w:r w:rsidRPr="00F4070E">
        <w:rPr>
          <w:sz w:val="24"/>
        </w:rPr>
        <w:t xml:space="preserve"> strukture za borbu protiv prijevara; potiče Komisiju i sve sastavnice strukture za borbu protiv prijevara da pronađu učinkovit i djelotvoran način za praćenje mjera koje se provode i da izvješćuju o njihovim konačnim ishodima;</w:t>
      </w:r>
    </w:p>
    <w:p w14:paraId="6ADB8772" w14:textId="77777777" w:rsidR="00C56192" w:rsidRPr="00F4070E" w:rsidRDefault="00C56192" w:rsidP="00C56192">
      <w:pPr>
        <w:widowControl/>
        <w:autoSpaceDE w:val="0"/>
        <w:autoSpaceDN w:val="0"/>
        <w:adjustRightInd w:val="0"/>
        <w:spacing w:after="240"/>
        <w:ind w:left="567" w:hanging="567"/>
        <w:rPr>
          <w:rFonts w:ascii="Segoe UI" w:hAnsi="Segoe UI" w:cs="Segoe UI"/>
          <w:bCs/>
          <w:szCs w:val="24"/>
        </w:rPr>
      </w:pPr>
      <w:r w:rsidRPr="00F4070E">
        <w:t>110.</w:t>
      </w:r>
      <w:r w:rsidRPr="00F4070E">
        <w:tab/>
        <w:t>naglašava ključnu ulogu povrata imovine i njegov odvraćajući učinak na organizirani kriminal; primjećuje da bi se u okviru sudjelovanja EPPO-a u međunarodnim mrežama trebala poboljšati učinkovitost operacija povrata imovine; ponovno ističe da bi pravodobna i učinkovita istraga i kazneni progon financijskog kriminala trebali dovesti do znatnih ušteda u proračunu Unije i država članica;</w:t>
      </w:r>
    </w:p>
    <w:p w14:paraId="02E80D37" w14:textId="77777777" w:rsidR="00C56192" w:rsidRPr="00F4070E" w:rsidRDefault="00C56192" w:rsidP="00C56192">
      <w:pPr>
        <w:widowControl/>
        <w:spacing w:after="240"/>
        <w:ind w:left="567" w:hanging="567"/>
        <w:rPr>
          <w:b/>
          <w:i/>
          <w:szCs w:val="24"/>
        </w:rPr>
      </w:pPr>
      <w:r w:rsidRPr="00F4070E">
        <w:rPr>
          <w:b/>
          <w:i/>
        </w:rPr>
        <w:t>Komunikacija</w:t>
      </w:r>
    </w:p>
    <w:p w14:paraId="1B4FA091" w14:textId="77777777" w:rsidR="00C56192" w:rsidRPr="00F4070E" w:rsidRDefault="00C56192" w:rsidP="00C56192">
      <w:pPr>
        <w:widowControl/>
        <w:autoSpaceDE w:val="0"/>
        <w:autoSpaceDN w:val="0"/>
        <w:adjustRightInd w:val="0"/>
        <w:spacing w:after="240"/>
        <w:ind w:left="567" w:hanging="567"/>
        <w:rPr>
          <w:bCs/>
          <w:szCs w:val="24"/>
        </w:rPr>
      </w:pPr>
      <w:r w:rsidRPr="00F4070E">
        <w:t>111.</w:t>
      </w:r>
      <w:r w:rsidRPr="00F4070E">
        <w:tab/>
        <w:t>cijeni brojna poboljšanja unutarnje i vanjske komunikacije EPPO-a postignuta 2024., a posebno informativna predavanja o borbi protiv uznemiravanja i zviždačima te druge inicijative za informiranje o etičkom okviru EPPO-a koji se trenutačno razvija; pozdravlja doprinos razmjeni stajališta s Parlamentom ostvaren na raspravama različitih odbora Parlamenta, uglavnom onaj glavnog europskog tužitelja (Odbor za građanske slobode, pravosuđe i unutarnje poslove, Odbor za proračunski nadzor, Odbor za ekonomsku i monetarnu politiku, Pododbor za porezna pitanja);</w:t>
      </w:r>
    </w:p>
    <w:p w14:paraId="58CFAD3F" w14:textId="77777777" w:rsidR="00C56192" w:rsidRPr="00F4070E" w:rsidRDefault="00C56192" w:rsidP="00C56192">
      <w:pPr>
        <w:widowControl/>
        <w:autoSpaceDE w:val="0"/>
        <w:autoSpaceDN w:val="0"/>
        <w:adjustRightInd w:val="0"/>
        <w:spacing w:after="240"/>
        <w:ind w:left="567" w:hanging="567"/>
        <w:rPr>
          <w:bCs/>
        </w:rPr>
      </w:pPr>
      <w:r w:rsidRPr="00F4070E">
        <w:t>112.</w:t>
      </w:r>
      <w:r w:rsidRPr="00F4070E">
        <w:tab/>
        <w:t>primjećuje da je razina resursa EPPO-a namijenjenih komunikaciji ograničena i da je, s obzirom na potrebu za uspostavom digitalne autonomije EPPO-a, vođenje internetskih stranica EPPO-a postalo interno, za što će biti potrebni dodatni resursi, nakon što Glavna uprava za digitalne usluge prestane pružati tu uslugu; napominje da je proračun za javne komunikacijske i promotivne aktivnosti 2024. iznosio 235 382 EUR te da je u potpunosti iskorišten, prije svega za stjecanje dozvola za praćenje medija te za druge komunikacijske inicijative i prijevod publikacija;</w:t>
      </w:r>
    </w:p>
    <w:p w14:paraId="3236412C" w14:textId="77777777" w:rsidR="00C56192" w:rsidRPr="00F4070E" w:rsidRDefault="00C56192" w:rsidP="00C56192">
      <w:pPr>
        <w:widowControl/>
        <w:autoSpaceDE w:val="0"/>
        <w:autoSpaceDN w:val="0"/>
        <w:adjustRightInd w:val="0"/>
        <w:spacing w:after="240"/>
        <w:ind w:left="567" w:hanging="567"/>
        <w:rPr>
          <w:bCs/>
          <w:szCs w:val="24"/>
        </w:rPr>
      </w:pPr>
      <w:r w:rsidRPr="00F4070E">
        <w:t>113.</w:t>
      </w:r>
      <w:r w:rsidRPr="00F4070E">
        <w:tab/>
        <w:t>napominje da je strategija EPPO-a za društvene medije osmišljena tako da se učinkovito dopire do različite publike, uključujući novinare, dionike iz institucija, stručnjake iz područja prava i izvršavanja zakonodavstva, članove akademske zajednice i šire javnosti tako što se poruke prilagođavaju njihovim potrebama; primjećuje da je glavni cilj prisutnosti EPPO-a na društvenim medijima izgradnja povjerenja i poboljšanje vidljivosti; ponovno poziva EPPO da pronađe najbolju moguću ravnotežu između transparentnosti i javnog interesa, s jedne strane, i povjerljivosti i pravilnog provođenja istrage, s druge strane, te da zajamči neutralnost u komunikaciji o svojim aktivnostima; potiče EPPO da pruži ohrabrujuću poruku o operativnoj dimenziji vrijednosti i načela Unije, koji su ugrađeni u neovisnost i usklađenost s pravom te se primjenjuju transparentno i uz poštovanje; primjećuje da učinkovita komunikacija EPPO-a doprinosi jačanju ugleda institucija među građanima te informiranju poreznih obveznika o složenosti financijskih interesa Unije i važnosti njihove zaštite;</w:t>
      </w:r>
    </w:p>
    <w:p w14:paraId="666F156A" w14:textId="77777777" w:rsidR="00C56192" w:rsidRPr="00F4070E" w:rsidRDefault="00C56192" w:rsidP="00C56192">
      <w:pPr>
        <w:widowControl/>
        <w:autoSpaceDE w:val="0"/>
        <w:autoSpaceDN w:val="0"/>
        <w:adjustRightInd w:val="0"/>
        <w:spacing w:after="240"/>
        <w:ind w:left="567" w:hanging="567"/>
        <w:rPr>
          <w:bCs/>
          <w:szCs w:val="24"/>
        </w:rPr>
      </w:pPr>
      <w:r w:rsidRPr="00F4070E">
        <w:t>114.</w:t>
      </w:r>
      <w:r w:rsidRPr="00F4070E">
        <w:tab/>
        <w:t xml:space="preserve">ističe da trud koji EPPO ulaže u prenošenje točnih i razumljivih informacija o složenim predmetima u okviru kojih provodi kazneni progon može biti snažan poticaj za građane Unije da prijavljuju moguće povrede dužnosti EPPO-u i doprinose poticanju bolje uključenosti civilnog društva; cijeni predanost EPPO-a poboljšanju razumijevanja njegova djelovanja među novinarima, građanima i u akademskoj zajednici putem objava </w:t>
      </w:r>
      <w:r w:rsidRPr="00F4070E">
        <w:lastRenderedPageBreak/>
        <w:t>za medije u različitim državama članicama, studijskih posjeta, konferencija te redovitim izvješćima o novostima i postizanju ciljnih etapa kojima sve vrste publike obavješćuje o radu i učinku EPPO-a; shvaća da osjetljivost pitanja koja se istražuju i potreba za poštovanjem pretpostavke nedužnosti strana uključenih u predmete EPPO-a zahtijevaju precizna priopćenja za javnost te širenje informacija isključivo kada ih se prethodno provjeri s tužiteljima i u skladu s pravnim zahtjevima, pri čemu ih se može dijeliti putem e-pošte, na internetskim platformama i društvenim medijima; primjećuje da se izravnom komunikacijom na društvenim medijima eliminira potreba za tumačenjem treće strane te olakšava točno i transparentno prenošenje poruka EPPO-a;</w:t>
      </w:r>
    </w:p>
    <w:p w14:paraId="4E957AF1" w14:textId="77777777"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115.</w:t>
      </w:r>
      <w:r w:rsidRPr="00F4070E">
        <w:rPr>
          <w:rFonts w:ascii="Times New Roman" w:hAnsi="Times New Roman"/>
          <w:color w:val="auto"/>
        </w:rPr>
        <w:tab/>
        <w:t>smatra da bi se poboljšana strateška komunikacija trebala ostvariti putem veće dostupnosti mogućnosti prijavljivanja te pozdravlja činjenicu da EPPO promiče mogućnost prijavljivanja u opisima svojih profila na svim društvenim mrežama, kao i zahtjeve EPPO-a da je se uključi u sve standardizirane prezentacije za vanjsku publiku, posjetitelje te na konferencijama i prilikom održavanja govora, kad je to prikladno;</w:t>
      </w:r>
    </w:p>
    <w:p w14:paraId="579A5DEB" w14:textId="77777777" w:rsidR="00C56192" w:rsidRPr="00F4070E" w:rsidRDefault="00C56192" w:rsidP="00C56192">
      <w:pPr>
        <w:pStyle w:val="NormalHanging12a"/>
        <w:widowControl/>
        <w:rPr>
          <w:b/>
          <w:i/>
          <w:szCs w:val="24"/>
        </w:rPr>
      </w:pPr>
      <w:r w:rsidRPr="00F4070E">
        <w:rPr>
          <w:b/>
          <w:i/>
        </w:rPr>
        <w:t>Posljedice nezakonite ruske agresije na Ukrajinu</w:t>
      </w:r>
    </w:p>
    <w:p w14:paraId="5811EF90" w14:textId="77777777"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116.</w:t>
      </w:r>
      <w:r w:rsidRPr="00F4070E">
        <w:rPr>
          <w:rFonts w:ascii="Times New Roman" w:hAnsi="Times New Roman"/>
          <w:color w:val="auto"/>
        </w:rPr>
        <w:tab/>
        <w:t xml:space="preserve">pozdravlja odluku o </w:t>
      </w:r>
      <w:proofErr w:type="spellStart"/>
      <w:r w:rsidRPr="00F4070E">
        <w:rPr>
          <w:rFonts w:ascii="Times New Roman" w:hAnsi="Times New Roman"/>
          <w:color w:val="auto"/>
        </w:rPr>
        <w:t>nedonošenju</w:t>
      </w:r>
      <w:proofErr w:type="spellEnd"/>
      <w:r w:rsidRPr="00F4070E">
        <w:rPr>
          <w:rFonts w:ascii="Times New Roman" w:hAnsi="Times New Roman"/>
          <w:color w:val="auto"/>
        </w:rPr>
        <w:t xml:space="preserve"> zakonodavstva izglasanog u ukrajinskom parlamentu, Vrhovna Rada, u srpnju 2025. kojim bi se oslabjela učinkovitost djelovanja ukrajinskog Specijaliziranog ureda tužitelja za borbu protiv korupcije (SAPO) i Nacionalnog ureda za borbu protiv korupcije NABU), posebno imajući na umu nedavne slučajeve korupcije na visokoj razini o kojoj su izvijestili mediji, a koja naglašava potrebu za opreznim i razumnim pristupom rješavanju kaznenih djela korupcije i važnost napora koje Ukrajina ulaže u učinkovito postizanje ciljeva u pogledu transparentnosti;</w:t>
      </w:r>
    </w:p>
    <w:p w14:paraId="4320566E" w14:textId="4CF2F678" w:rsidR="00C56192" w:rsidRPr="00F4070E" w:rsidRDefault="00C56192" w:rsidP="00C56192">
      <w:pPr>
        <w:pStyle w:val="Default"/>
        <w:spacing w:after="240"/>
        <w:ind w:left="567" w:hanging="567"/>
        <w:rPr>
          <w:rFonts w:ascii="Times New Roman" w:hAnsi="Times New Roman" w:cs="Times New Roman"/>
          <w:bCs/>
          <w:color w:val="auto"/>
        </w:rPr>
      </w:pPr>
      <w:r w:rsidRPr="00F4070E">
        <w:rPr>
          <w:rFonts w:ascii="Times New Roman" w:hAnsi="Times New Roman"/>
          <w:color w:val="auto"/>
        </w:rPr>
        <w:t>117.</w:t>
      </w:r>
      <w:r w:rsidRPr="00F4070E">
        <w:rPr>
          <w:rFonts w:ascii="Times New Roman" w:hAnsi="Times New Roman"/>
          <w:color w:val="auto"/>
        </w:rPr>
        <w:tab/>
        <w:t>svjestan je činjenice da je EPPO sklopio tri radna sporazuma s Uredom glavnog tužitelja Ukrajine (PGO), Nacionalnim uredom za borbu protiv korupcije (NABU) i Specijaliziranim uredom tužitelja za borbu protiv korupcije, sve u cilju olakšavanja suradnje u odnosnim istragama na temelju postojećeg pravnog okvira; napominje da je 2024. EPPO u svojim prostorima organizirao četiri tečaja za osposobljavanje ukrajinskih tužitelja i istražitelja iz NABU-a; podsjeća da se u određenim okolnostima ovlasti EPPO-a mogu primjenjivati na sredstva Unije čak i kad ih se koristi u trećim zemljama te da mogu obuhvatiti i zaobilaženje sankcija Unije ako su one obuhvaćene trenutačnim mandatom EPPO-a te uključuju moguće dovođenje u pitanje financijskih interesa Unije izbjegavanjem plaćanja carina ili pristojbi; svjestan je da je otkrivanje prijevara i izvješćivanje o njima za koje su odgovorna relevantna tijela i dalje ključan preduvjet za daljnju suradnju te da će razmjena iskustava pokrenuta u okviru ponuđenog osposobljavanja dodatno pomoći ukrajinskim tijelima u otkrivanju mogućih prijevara povezanih s financijskim sredstvima Unije; cijeni spremnost EPPO-a da unaprijedi suradnju uspostavom posebnih radnih skupina s ukrajinskim tijelima u cilju koordiniranja istraga, kad je to potrebno, uzimajući u obzir obujam i opseg prijavljenih kaznenih djela</w:t>
      </w:r>
      <w:r w:rsidR="00F4070E">
        <w:rPr>
          <w:rFonts w:ascii="Times New Roman" w:hAnsi="Times New Roman"/>
          <w:color w:val="auto"/>
        </w:rPr>
        <w:t>;</w:t>
      </w:r>
    </w:p>
    <w:p w14:paraId="09997975" w14:textId="088B28D1" w:rsidR="00E365E1" w:rsidRPr="00F4070E" w:rsidRDefault="00C56192" w:rsidP="00F4070E">
      <w:pPr>
        <w:ind w:left="567" w:hanging="567"/>
      </w:pPr>
      <w:r w:rsidRPr="00F4070E">
        <w:t>118.</w:t>
      </w:r>
      <w:r w:rsidRPr="00F4070E">
        <w:tab/>
        <w:t>napominje da će sve veći iznos financijske potpore Unije Ukrajini, među ostalim u okviru Instrumenta za Ukrajinu, tijekom sljedećih godina vjerojatno stvoriti dodatne istražne zahtjeve za Ured europskog javnog tužitelja; ističe važnost predviđanja tih izazova s pomoću odgovarajućeg osoblja, sigurne digitalne infrastrukture i okvira pojačane suradnje kako bi se zaštitili financijski interesi Unije uz istodobno pružanje učinkovite potpore Ukrajini</w:t>
      </w:r>
      <w:r w:rsidR="00F4070E">
        <w:t>.</w:t>
      </w:r>
    </w:p>
    <w:sectPr w:rsidR="00E365E1" w:rsidRPr="00F4070E" w:rsidSect="007F4FE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9DC01" w14:textId="77777777" w:rsidR="00E94B30" w:rsidRPr="007F4FEA" w:rsidRDefault="00E94B30">
      <w:r w:rsidRPr="007F4FEA">
        <w:separator/>
      </w:r>
    </w:p>
  </w:endnote>
  <w:endnote w:type="continuationSeparator" w:id="0">
    <w:p w14:paraId="05FB5CB4" w14:textId="77777777" w:rsidR="00E94B30" w:rsidRPr="007F4FEA" w:rsidRDefault="00E94B30">
      <w:r w:rsidRPr="007F4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D4E3" w14:textId="77777777" w:rsidR="00C56192" w:rsidRPr="007F4FEA" w:rsidRDefault="00C56192" w:rsidP="00F5570A">
    <w:pPr>
      <w:pStyle w:val="EPFooter"/>
    </w:pPr>
    <w:r w:rsidRPr="007F4FEA">
      <w:t>PE</w:t>
    </w:r>
    <w:r w:rsidRPr="007F4FEA">
      <w:rPr>
        <w:rStyle w:val="HideTWBExt"/>
      </w:rPr>
      <w:t>&lt;</w:t>
    </w:r>
    <w:proofErr w:type="spellStart"/>
    <w:r w:rsidRPr="007F4FEA">
      <w:rPr>
        <w:rStyle w:val="HideTWBExt"/>
      </w:rPr>
      <w:t>NoPE</w:t>
    </w:r>
    <w:proofErr w:type="spellEnd"/>
    <w:r w:rsidRPr="007F4FEA">
      <w:rPr>
        <w:rStyle w:val="HideTWBExt"/>
      </w:rPr>
      <w:t>&gt;</w:t>
    </w:r>
    <w:r w:rsidRPr="007F4FEA">
      <w:t>778.067</w:t>
    </w:r>
    <w:r w:rsidRPr="007F4FEA">
      <w:rPr>
        <w:rStyle w:val="HideTWBExt"/>
      </w:rPr>
      <w:t>&lt;/</w:t>
    </w:r>
    <w:proofErr w:type="spellStart"/>
    <w:r w:rsidRPr="007F4FEA">
      <w:rPr>
        <w:rStyle w:val="HideTWBExt"/>
      </w:rPr>
      <w:t>NoPE</w:t>
    </w:r>
    <w:proofErr w:type="spellEnd"/>
    <w:r w:rsidRPr="007F4FEA">
      <w:rPr>
        <w:rStyle w:val="HideTWBExt"/>
      </w:rPr>
      <w:t>&gt;&lt;Version&gt;</w:t>
    </w:r>
    <w:r w:rsidRPr="007F4FEA">
      <w:t>v03-00</w:t>
    </w:r>
    <w:r w:rsidRPr="007F4FEA">
      <w:rPr>
        <w:rStyle w:val="HideTWBExt"/>
      </w:rPr>
      <w:t>&lt;/</w:t>
    </w:r>
    <w:proofErr w:type="spellStart"/>
    <w:r w:rsidRPr="007F4FEA">
      <w:rPr>
        <w:rStyle w:val="HideTWBExt"/>
      </w:rPr>
      <w:t>Version</w:t>
    </w:r>
    <w:proofErr w:type="spellEnd"/>
    <w:r w:rsidRPr="007F4FEA">
      <w:rPr>
        <w:rStyle w:val="HideTWBExt"/>
      </w:rPr>
      <w:t>&gt;</w:t>
    </w:r>
    <w:r w:rsidRPr="007F4FEA">
      <w:tab/>
    </w:r>
    <w:r w:rsidRPr="007F4FEA">
      <w:fldChar w:fldCharType="begin"/>
    </w:r>
    <w:r w:rsidRPr="007F4FEA">
      <w:instrText xml:space="preserve"> PAGE  \* MERGEFORMAT </w:instrText>
    </w:r>
    <w:r w:rsidRPr="007F4FEA">
      <w:fldChar w:fldCharType="separate"/>
    </w:r>
    <w:r w:rsidRPr="007F4FEA">
      <w:rPr>
        <w:noProof/>
      </w:rPr>
      <w:t>48</w:t>
    </w:r>
    <w:r w:rsidRPr="007F4FEA">
      <w:fldChar w:fldCharType="end"/>
    </w:r>
    <w:r w:rsidRPr="007F4FEA">
      <w:t>/</w:t>
    </w:r>
    <w:fldSimple w:instr=" NUMPAGES  \* MERGEFORMAT ">
      <w:r w:rsidRPr="007F4FEA">
        <w:rPr>
          <w:noProof/>
        </w:rPr>
        <w:t>48</w:t>
      </w:r>
    </w:fldSimple>
    <w:r w:rsidRPr="007F4FEA">
      <w:tab/>
    </w:r>
    <w:r w:rsidRPr="007F4FEA">
      <w:rPr>
        <w:rStyle w:val="HideTWBExt"/>
      </w:rPr>
      <w:t>&lt;PathFdR&gt;</w:t>
    </w:r>
    <w:r w:rsidRPr="007F4FEA">
      <w:t>RR\1340257HR.docx</w:t>
    </w:r>
    <w:r w:rsidRPr="007F4FEA">
      <w:rPr>
        <w:rStyle w:val="HideTWBExt"/>
      </w:rPr>
      <w:t>&lt;/</w:t>
    </w:r>
    <w:proofErr w:type="spellStart"/>
    <w:r w:rsidRPr="007F4FEA">
      <w:rPr>
        <w:rStyle w:val="HideTWBExt"/>
      </w:rPr>
      <w:t>PathFdR</w:t>
    </w:r>
    <w:proofErr w:type="spellEnd"/>
    <w:r w:rsidRPr="007F4FEA">
      <w:rPr>
        <w:rStyle w:val="HideTWBExt"/>
      </w:rPr>
      <w:t>&gt;</w:t>
    </w:r>
  </w:p>
  <w:p w14:paraId="75D7E6A6" w14:textId="77777777" w:rsidR="00C56192" w:rsidRPr="007F4FEA" w:rsidRDefault="00C56192" w:rsidP="00F5570A">
    <w:pPr>
      <w:pStyle w:val="EPFooter2"/>
    </w:pPr>
    <w:r w:rsidRPr="007F4FEA">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CB4A8" w14:textId="77777777" w:rsidR="00C56192" w:rsidRPr="007F4FEA" w:rsidRDefault="00C56192" w:rsidP="00F5570A">
    <w:pPr>
      <w:pStyle w:val="EPFooter"/>
    </w:pPr>
    <w:r w:rsidRPr="007F4FEA">
      <w:rPr>
        <w:rStyle w:val="HideTWBExt"/>
      </w:rPr>
      <w:t>&lt;PathFdR&gt;</w:t>
    </w:r>
    <w:r w:rsidRPr="007F4FEA">
      <w:t>RR\1340257HR.docx</w:t>
    </w:r>
    <w:r w:rsidRPr="007F4FEA">
      <w:rPr>
        <w:rStyle w:val="HideTWBExt"/>
      </w:rPr>
      <w:t>&lt;/</w:t>
    </w:r>
    <w:proofErr w:type="spellStart"/>
    <w:r w:rsidRPr="007F4FEA">
      <w:rPr>
        <w:rStyle w:val="HideTWBExt"/>
      </w:rPr>
      <w:t>PathFdR</w:t>
    </w:r>
    <w:proofErr w:type="spellEnd"/>
    <w:r w:rsidRPr="007F4FEA">
      <w:rPr>
        <w:rStyle w:val="HideTWBExt"/>
      </w:rPr>
      <w:t>&gt;</w:t>
    </w:r>
    <w:r w:rsidRPr="007F4FEA">
      <w:tab/>
    </w:r>
    <w:r w:rsidRPr="007F4FEA">
      <w:tab/>
      <w:t>PE</w:t>
    </w:r>
    <w:r w:rsidRPr="007F4FEA">
      <w:rPr>
        <w:rStyle w:val="HideTWBExt"/>
      </w:rPr>
      <w:t>&lt;</w:t>
    </w:r>
    <w:proofErr w:type="spellStart"/>
    <w:r w:rsidRPr="007F4FEA">
      <w:rPr>
        <w:rStyle w:val="HideTWBExt"/>
      </w:rPr>
      <w:t>NoPE</w:t>
    </w:r>
    <w:proofErr w:type="spellEnd"/>
    <w:r w:rsidRPr="007F4FEA">
      <w:rPr>
        <w:rStyle w:val="HideTWBExt"/>
      </w:rPr>
      <w:t>&gt;</w:t>
    </w:r>
    <w:r w:rsidRPr="007F4FEA">
      <w:t>778.067</w:t>
    </w:r>
    <w:r w:rsidRPr="007F4FEA">
      <w:rPr>
        <w:rStyle w:val="HideTWBExt"/>
      </w:rPr>
      <w:t>&lt;/</w:t>
    </w:r>
    <w:proofErr w:type="spellStart"/>
    <w:r w:rsidRPr="007F4FEA">
      <w:rPr>
        <w:rStyle w:val="HideTWBExt"/>
      </w:rPr>
      <w:t>NoPE</w:t>
    </w:r>
    <w:proofErr w:type="spellEnd"/>
    <w:r w:rsidRPr="007F4FEA">
      <w:rPr>
        <w:rStyle w:val="HideTWBExt"/>
      </w:rPr>
      <w:t>&gt;&lt;Version&gt;</w:t>
    </w:r>
    <w:r w:rsidRPr="007F4FEA">
      <w:t>v03-00</w:t>
    </w:r>
    <w:r w:rsidRPr="007F4FEA">
      <w:rPr>
        <w:rStyle w:val="HideTWBExt"/>
      </w:rPr>
      <w:t>&lt;/</w:t>
    </w:r>
    <w:proofErr w:type="spellStart"/>
    <w:r w:rsidRPr="007F4FEA">
      <w:rPr>
        <w:rStyle w:val="HideTWBExt"/>
      </w:rPr>
      <w:t>Version</w:t>
    </w:r>
    <w:proofErr w:type="spellEnd"/>
    <w:r w:rsidRPr="007F4FEA">
      <w:rPr>
        <w:rStyle w:val="HideTWBExt"/>
      </w:rPr>
      <w:t>&gt;</w:t>
    </w:r>
  </w:p>
  <w:p w14:paraId="0C9B846D" w14:textId="77777777" w:rsidR="00C56192" w:rsidRPr="007F4FEA" w:rsidRDefault="00C56192" w:rsidP="00F5570A">
    <w:pPr>
      <w:pStyle w:val="EPFooter2"/>
    </w:pPr>
    <w:r w:rsidRPr="007F4FEA">
      <w:t>HR</w:t>
    </w:r>
    <w:r w:rsidRPr="007F4FEA">
      <w:tab/>
    </w:r>
    <w:r w:rsidRPr="007F4FEA">
      <w:rPr>
        <w:b w:val="0"/>
        <w:i/>
        <w:color w:val="C0C0C0"/>
        <w:sz w:val="22"/>
      </w:rPr>
      <w:t>Ujedinjena u raznolikosti</w:t>
    </w:r>
    <w:r w:rsidRPr="007F4FEA">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81F2" w14:textId="77777777" w:rsidR="00064002" w:rsidRPr="007F4FE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1471" w14:textId="77777777" w:rsidR="00064002" w:rsidRPr="007F4FE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6D0C" w14:textId="77777777" w:rsidR="00064002" w:rsidRPr="007F4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D37B1" w14:textId="77777777" w:rsidR="00E94B30" w:rsidRPr="007F4FEA" w:rsidRDefault="00E94B30">
      <w:r w:rsidRPr="007F4FEA">
        <w:separator/>
      </w:r>
    </w:p>
  </w:footnote>
  <w:footnote w:type="continuationSeparator" w:id="0">
    <w:p w14:paraId="48B3CA68" w14:textId="77777777" w:rsidR="00E94B30" w:rsidRPr="007F4FEA" w:rsidRDefault="00E94B30">
      <w:r w:rsidRPr="007F4FEA">
        <w:continuationSeparator/>
      </w:r>
    </w:p>
  </w:footnote>
  <w:footnote w:id="1">
    <w:p w14:paraId="0F77F872" w14:textId="5D015131" w:rsidR="00C56192" w:rsidRPr="007F4FEA" w:rsidRDefault="00C56192" w:rsidP="007F4FEA">
      <w:pPr>
        <w:ind w:left="567" w:hanging="567"/>
      </w:pPr>
      <w:r w:rsidRPr="007F4FEA">
        <w:rPr>
          <w:vertAlign w:val="superscript"/>
        </w:rPr>
        <w:footnoteRef/>
      </w:r>
      <w:r w:rsidR="007F4FEA" w:rsidRPr="007F4FEA">
        <w:t xml:space="preserve"> </w:t>
      </w:r>
      <w:r w:rsidR="007F4FEA" w:rsidRPr="007F4FEA">
        <w:tab/>
      </w:r>
      <w:r w:rsidRPr="007F4FEA">
        <w:t xml:space="preserve">SL C, C/2025/5734, 30.10.2025., ELI: </w:t>
      </w:r>
      <w:hyperlink r:id="rId1" w:history="1">
        <w:r w:rsidRPr="007F4FEA">
          <w:rPr>
            <w:rStyle w:val="Hyperlink"/>
          </w:rPr>
          <w:t>http://data.europa.eu/eli/C/2025/5734/oj</w:t>
        </w:r>
      </w:hyperlink>
      <w:r w:rsidRPr="007F4FEA">
        <w:t>.</w:t>
      </w:r>
    </w:p>
  </w:footnote>
  <w:footnote w:id="2">
    <w:p w14:paraId="0882F2F4" w14:textId="1694ABAE"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C, C/2</w:t>
      </w:r>
      <w:r w:rsidRPr="007F4FEA">
        <w:rPr>
          <w:color w:val="0A0A0A"/>
          <w:sz w:val="24"/>
          <w:shd w:val="clear" w:color="auto" w:fill="FFFFFF"/>
          <w:lang w:val="hr-HR"/>
        </w:rPr>
        <w:t>025/5407, 13.10.2025</w:t>
      </w:r>
      <w:r w:rsidRPr="007F4FEA">
        <w:rPr>
          <w:sz w:val="24"/>
          <w:lang w:val="hr-HR"/>
        </w:rPr>
        <w:t xml:space="preserve">., ELI: </w:t>
      </w:r>
      <w:bookmarkStart w:id="8" w:name="_Hlk223691181"/>
      <w:r w:rsidRPr="007F4FEA">
        <w:fldChar w:fldCharType="begin"/>
      </w:r>
      <w:r w:rsidRPr="007F4FEA">
        <w:rPr>
          <w:sz w:val="24"/>
          <w:lang w:val="hr-HR"/>
        </w:rPr>
        <w:instrText>HYPERLINK "http://data.europa.eu/eli/C/2025/5407/oj"</w:instrText>
      </w:r>
      <w:r w:rsidRPr="007F4FEA">
        <w:fldChar w:fldCharType="separate"/>
      </w:r>
      <w:r w:rsidRPr="007F4FEA">
        <w:rPr>
          <w:rStyle w:val="Hyperlink"/>
          <w:sz w:val="24"/>
          <w:lang w:val="hr-HR"/>
        </w:rPr>
        <w:t>http://data.europa.eu/eli/C/2025/5407/oj</w:t>
      </w:r>
      <w:r w:rsidRPr="007F4FEA">
        <w:rPr>
          <w:rStyle w:val="Hyperlink"/>
          <w:sz w:val="24"/>
          <w:lang w:val="hr-HR"/>
        </w:rPr>
        <w:fldChar w:fldCharType="end"/>
      </w:r>
      <w:bookmarkEnd w:id="8"/>
      <w:r w:rsidRPr="007F4FEA">
        <w:rPr>
          <w:sz w:val="24"/>
          <w:lang w:val="hr-HR"/>
        </w:rPr>
        <w:t>.</w:t>
      </w:r>
    </w:p>
  </w:footnote>
  <w:footnote w:id="3">
    <w:p w14:paraId="22AF1D56" w14:textId="4DDC289D"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193, 30.7.2018., str. </w:t>
      </w:r>
      <w:r w:rsidRPr="007F4FEA">
        <w:rPr>
          <w:sz w:val="24"/>
          <w:lang w:val="hr-HR"/>
        </w:rPr>
        <w:t xml:space="preserve">1., ELI: </w:t>
      </w:r>
      <w:hyperlink r:id="rId2" w:history="1">
        <w:r w:rsidRPr="007F4FEA">
          <w:rPr>
            <w:rStyle w:val="Hyperlink"/>
            <w:sz w:val="24"/>
            <w:lang w:val="hr-HR"/>
          </w:rPr>
          <w:t>http://data.europa.eu/eli/reg/2018/1046/oj</w:t>
        </w:r>
      </w:hyperlink>
      <w:r w:rsidRPr="007F4FEA">
        <w:rPr>
          <w:sz w:val="24"/>
          <w:lang w:val="hr-HR"/>
        </w:rPr>
        <w:t>.</w:t>
      </w:r>
    </w:p>
  </w:footnote>
  <w:footnote w:id="4">
    <w:p w14:paraId="3305238A" w14:textId="635030CB"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 xml:space="preserve">SL L, 2024/2509, 26.9.2024., ELI: </w:t>
      </w:r>
      <w:hyperlink r:id="rId3" w:history="1">
        <w:r w:rsidRPr="007F4FEA">
          <w:rPr>
            <w:rStyle w:val="Hyperlink"/>
            <w:sz w:val="24"/>
            <w:lang w:val="hr-HR"/>
          </w:rPr>
          <w:t>http://data.europa.eu/eli/reg/2024/2509/oj</w:t>
        </w:r>
      </w:hyperlink>
      <w:r w:rsidRPr="007F4FEA">
        <w:rPr>
          <w:sz w:val="24"/>
          <w:lang w:val="hr-HR"/>
        </w:rPr>
        <w:t>.</w:t>
      </w:r>
    </w:p>
  </w:footnote>
  <w:footnote w:id="5">
    <w:p w14:paraId="673140EB" w14:textId="648A6123"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283, 31.10.2017., str. </w:t>
      </w:r>
      <w:r w:rsidRPr="007F4FEA">
        <w:rPr>
          <w:sz w:val="24"/>
          <w:lang w:val="hr-HR"/>
        </w:rPr>
        <w:t xml:space="preserve">1., ELI: </w:t>
      </w:r>
      <w:hyperlink r:id="rId4" w:history="1">
        <w:r w:rsidRPr="007F4FEA">
          <w:rPr>
            <w:rStyle w:val="Hyperlink"/>
            <w:sz w:val="24"/>
            <w:lang w:val="hr-HR"/>
          </w:rPr>
          <w:t>http://data.europa.eu/eli/reg/2017/1939/oj</w:t>
        </w:r>
      </w:hyperlink>
      <w:r w:rsidRPr="007F4FEA">
        <w:rPr>
          <w:sz w:val="24"/>
          <w:lang w:val="hr-HR"/>
        </w:rPr>
        <w:t>.</w:t>
      </w:r>
    </w:p>
  </w:footnote>
  <w:footnote w:id="6">
    <w:p w14:paraId="679464C4" w14:textId="19851A64"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122, 10.5.2019., str. </w:t>
      </w:r>
      <w:r w:rsidRPr="007F4FEA">
        <w:rPr>
          <w:sz w:val="24"/>
          <w:lang w:val="hr-HR"/>
        </w:rPr>
        <w:t xml:space="preserve">1., ELI: </w:t>
      </w:r>
      <w:hyperlink r:id="rId5" w:history="1">
        <w:r w:rsidRPr="007F4FEA">
          <w:rPr>
            <w:rStyle w:val="Hyperlink"/>
            <w:sz w:val="24"/>
            <w:lang w:val="hr-HR"/>
          </w:rPr>
          <w:t>http://data.europa.eu/eli/reg_del/2019/715/oj</w:t>
        </w:r>
      </w:hyperlink>
      <w:r w:rsidRPr="007F4FEA">
        <w:rPr>
          <w:sz w:val="24"/>
          <w:lang w:val="hr-HR"/>
        </w:rPr>
        <w:t>.</w:t>
      </w:r>
    </w:p>
  </w:footnote>
  <w:footnote w:id="7">
    <w:p w14:paraId="42EA9489" w14:textId="2252257A" w:rsidR="00C56192" w:rsidRPr="007F4FEA" w:rsidRDefault="00C56192" w:rsidP="007F4FEA">
      <w:pPr>
        <w:ind w:left="567" w:hanging="567"/>
      </w:pPr>
      <w:r w:rsidRPr="007F4FEA">
        <w:rPr>
          <w:vertAlign w:val="superscript"/>
        </w:rPr>
        <w:footnoteRef/>
      </w:r>
      <w:r w:rsidR="007F4FEA" w:rsidRPr="007F4FEA">
        <w:t xml:space="preserve"> </w:t>
      </w:r>
      <w:r w:rsidR="007F4FEA" w:rsidRPr="007F4FEA">
        <w:tab/>
      </w:r>
      <w:r w:rsidRPr="007F4FEA">
        <w:t xml:space="preserve">SL C, C/2025/5734, 30.10.2025., ELI: </w:t>
      </w:r>
      <w:hyperlink r:id="rId6" w:history="1">
        <w:r w:rsidRPr="007F4FEA">
          <w:rPr>
            <w:rStyle w:val="Hyperlink"/>
          </w:rPr>
          <w:t>http://data.europa.eu/eli/C/2025/5734/oj</w:t>
        </w:r>
      </w:hyperlink>
      <w:r w:rsidRPr="007F4FEA">
        <w:t>.</w:t>
      </w:r>
    </w:p>
  </w:footnote>
  <w:footnote w:id="8">
    <w:p w14:paraId="3C5123BC" w14:textId="4474872C"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C, C/2</w:t>
      </w:r>
      <w:r w:rsidRPr="007F4FEA">
        <w:rPr>
          <w:color w:val="0A0A0A"/>
          <w:sz w:val="24"/>
          <w:shd w:val="clear" w:color="auto" w:fill="FFFFFF"/>
          <w:lang w:val="hr-HR"/>
        </w:rPr>
        <w:t>025/5407, 13.10.2025</w:t>
      </w:r>
      <w:r w:rsidRPr="007F4FEA">
        <w:rPr>
          <w:sz w:val="24"/>
          <w:lang w:val="hr-HR"/>
        </w:rPr>
        <w:t xml:space="preserve">., ELI: </w:t>
      </w:r>
      <w:hyperlink r:id="rId7" w:history="1">
        <w:r w:rsidRPr="007F4FEA">
          <w:rPr>
            <w:rStyle w:val="Hyperlink"/>
            <w:sz w:val="24"/>
            <w:lang w:val="hr-HR"/>
          </w:rPr>
          <w:t>http://data.europa.eu/eli/C/2025/5407/oj</w:t>
        </w:r>
      </w:hyperlink>
      <w:r w:rsidRPr="007F4FEA">
        <w:rPr>
          <w:sz w:val="24"/>
          <w:lang w:val="hr-HR"/>
        </w:rPr>
        <w:t>.</w:t>
      </w:r>
    </w:p>
  </w:footnote>
  <w:footnote w:id="9">
    <w:p w14:paraId="0FD4C695" w14:textId="52962E8F"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193, 30.7.2018., str. </w:t>
      </w:r>
      <w:r w:rsidRPr="007F4FEA">
        <w:rPr>
          <w:sz w:val="24"/>
          <w:lang w:val="hr-HR"/>
        </w:rPr>
        <w:t xml:space="preserve">1., ELI: </w:t>
      </w:r>
      <w:hyperlink r:id="rId8" w:history="1">
        <w:r w:rsidRPr="007F4FEA">
          <w:rPr>
            <w:rStyle w:val="Hyperlink"/>
            <w:sz w:val="24"/>
            <w:lang w:val="hr-HR"/>
          </w:rPr>
          <w:t>http://data.europa.eu/eli/reg/2018/1046/oj</w:t>
        </w:r>
      </w:hyperlink>
      <w:r w:rsidRPr="007F4FEA">
        <w:rPr>
          <w:sz w:val="24"/>
          <w:lang w:val="hr-HR"/>
        </w:rPr>
        <w:t>.</w:t>
      </w:r>
    </w:p>
  </w:footnote>
  <w:footnote w:id="10">
    <w:p w14:paraId="70D2E917" w14:textId="17CF5722"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 xml:space="preserve">SL L, 2024/2509, 26.9.2024., ELI: </w:t>
      </w:r>
      <w:hyperlink r:id="rId9" w:history="1">
        <w:r w:rsidRPr="007F4FEA">
          <w:rPr>
            <w:rStyle w:val="Hyperlink"/>
            <w:sz w:val="24"/>
            <w:lang w:val="hr-HR"/>
          </w:rPr>
          <w:t>http://data.europa.eu/eli/reg/2024/2509/oj</w:t>
        </w:r>
      </w:hyperlink>
      <w:r w:rsidRPr="007F4FEA">
        <w:rPr>
          <w:sz w:val="24"/>
          <w:lang w:val="hr-HR"/>
        </w:rPr>
        <w:t>.</w:t>
      </w:r>
    </w:p>
  </w:footnote>
  <w:footnote w:id="11">
    <w:p w14:paraId="66450293" w14:textId="461B9E89"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283, 31.10.2017., str. </w:t>
      </w:r>
      <w:r w:rsidRPr="007F4FEA">
        <w:rPr>
          <w:sz w:val="24"/>
          <w:lang w:val="hr-HR"/>
        </w:rPr>
        <w:t xml:space="preserve">1., ELI: </w:t>
      </w:r>
      <w:hyperlink r:id="rId10" w:history="1">
        <w:r w:rsidRPr="007F4FEA">
          <w:rPr>
            <w:rStyle w:val="Hyperlink"/>
            <w:sz w:val="24"/>
            <w:lang w:val="hr-HR"/>
          </w:rPr>
          <w:t>http://data.europa.eu/eli/reg/2017/1939/oj</w:t>
        </w:r>
      </w:hyperlink>
      <w:r w:rsidRPr="007F4FEA">
        <w:rPr>
          <w:sz w:val="24"/>
          <w:lang w:val="hr-HR"/>
        </w:rPr>
        <w:t>.</w:t>
      </w:r>
    </w:p>
  </w:footnote>
  <w:footnote w:id="12">
    <w:p w14:paraId="0080BEE9" w14:textId="3DB7498F"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SL L 122, 10.5.2019., str. </w:t>
      </w:r>
      <w:r w:rsidRPr="007F4FEA">
        <w:rPr>
          <w:sz w:val="24"/>
          <w:lang w:val="hr-HR"/>
        </w:rPr>
        <w:t xml:space="preserve">1., ELI: </w:t>
      </w:r>
      <w:hyperlink r:id="rId11" w:history="1">
        <w:r w:rsidRPr="007F4FEA">
          <w:rPr>
            <w:rStyle w:val="Hyperlink"/>
            <w:sz w:val="24"/>
            <w:lang w:val="hr-HR"/>
          </w:rPr>
          <w:t>http://data.europa.eu/eli/reg_del/2019/715/oj</w:t>
        </w:r>
      </w:hyperlink>
      <w:r w:rsidRPr="007F4FEA">
        <w:rPr>
          <w:sz w:val="24"/>
          <w:lang w:val="hr-HR"/>
        </w:rPr>
        <w:t>.</w:t>
      </w:r>
    </w:p>
  </w:footnote>
  <w:footnote w:id="13">
    <w:p w14:paraId="6628ADA2" w14:textId="3B8DBBA1"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Direktiva (EU) 2017/1371 Europskog parlamenta i Vijeća od 5. srpnja 2017. o suzbijanju prijevara počinjenih protiv financijskih interesa Unije kaznenopravnim sredstvima (</w:t>
      </w:r>
      <w:r w:rsidRPr="007F4FEA">
        <w:rPr>
          <w:sz w:val="24"/>
          <w:shd w:val="clear" w:color="auto" w:fill="FFFFFF"/>
          <w:lang w:val="hr-HR"/>
        </w:rPr>
        <w:t>SL L 198, 28.7.2017., str. </w:t>
      </w:r>
      <w:r w:rsidRPr="007F4FEA">
        <w:rPr>
          <w:sz w:val="24"/>
          <w:shd w:val="clear" w:color="auto" w:fill="FFFFFF"/>
          <w:lang w:val="hr-HR"/>
        </w:rPr>
        <w:t>29.,</w:t>
      </w:r>
      <w:r w:rsidRPr="007F4FEA">
        <w:rPr>
          <w:sz w:val="24"/>
          <w:lang w:val="hr-HR"/>
        </w:rPr>
        <w:t xml:space="preserve"> </w:t>
      </w:r>
      <w:r w:rsidRPr="007F4FEA">
        <w:rPr>
          <w:sz w:val="24"/>
          <w:shd w:val="clear" w:color="auto" w:fill="FFFFFF"/>
          <w:lang w:val="hr-HR"/>
        </w:rPr>
        <w:t xml:space="preserve">ELI: </w:t>
      </w:r>
      <w:hyperlink r:id="rId12" w:history="1">
        <w:r w:rsidRPr="007F4FEA">
          <w:rPr>
            <w:rStyle w:val="Hyperlink"/>
            <w:sz w:val="24"/>
            <w:shd w:val="clear" w:color="auto" w:fill="FFFFFF"/>
            <w:lang w:val="hr-HR"/>
          </w:rPr>
          <w:t>http://data.europa.eu/eli/dir/2017/1371/oj</w:t>
        </w:r>
      </w:hyperlink>
      <w:r w:rsidRPr="007F4FEA">
        <w:rPr>
          <w:sz w:val="24"/>
          <w:shd w:val="clear" w:color="auto" w:fill="FFFFFF"/>
          <w:lang w:val="hr-HR"/>
        </w:rPr>
        <w:t>).</w:t>
      </w:r>
    </w:p>
  </w:footnote>
  <w:footnote w:id="14">
    <w:p w14:paraId="419A1A83" w14:textId="6014C083"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Uredba Vijeća (EU) 2017/1939 od 12. listopada 2017. o provedbi pojačane suradnje u vezi s osnivanjem Ureda europskog javnog tužitelja („EPPO”) (SL L 283, 31.10.2017., str. </w:t>
      </w:r>
      <w:r w:rsidRPr="007F4FEA">
        <w:rPr>
          <w:sz w:val="24"/>
          <w:lang w:val="hr-HR"/>
        </w:rPr>
        <w:t xml:space="preserve">1., ELI: </w:t>
      </w:r>
      <w:hyperlink r:id="rId13" w:history="1">
        <w:r w:rsidRPr="007F4FEA">
          <w:rPr>
            <w:rStyle w:val="Hyperlink"/>
            <w:sz w:val="24"/>
            <w:lang w:val="hr-HR"/>
          </w:rPr>
          <w:t>http://data.europa.eu/eli/reg/2017/1939/oj</w:t>
        </w:r>
      </w:hyperlink>
      <w:r w:rsidRPr="007F4FEA">
        <w:rPr>
          <w:sz w:val="24"/>
          <w:lang w:val="hr-HR"/>
        </w:rPr>
        <w:t>).</w:t>
      </w:r>
    </w:p>
  </w:footnote>
  <w:footnote w:id="15">
    <w:p w14:paraId="4FF7DFCB" w14:textId="398EABEE" w:rsidR="00C56192" w:rsidRPr="009640B5" w:rsidRDefault="00C56192" w:rsidP="007F4FEA">
      <w:pPr>
        <w:pStyle w:val="FootnoteText"/>
        <w:ind w:left="567" w:hanging="567"/>
        <w:rPr>
          <w:sz w:val="24"/>
          <w:szCs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hyperlink r:id="rId14" w:history="1">
        <w:r w:rsidRPr="009640B5">
          <w:rPr>
            <w:rStyle w:val="Hyperlink"/>
            <w:sz w:val="24"/>
            <w:szCs w:val="24"/>
            <w:lang w:val="hr-HR"/>
          </w:rPr>
          <w:t>https://www.eca.europa.eu/ECAPublications/RV-2025-02/RV-2025-02_HR.pdf</w:t>
        </w:r>
      </w:hyperlink>
    </w:p>
  </w:footnote>
  <w:footnote w:id="16">
    <w:p w14:paraId="73513E2B" w14:textId="76724499"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 xml:space="preserve">Iznos ne uključuje usluge usmenog prevođenja koje se pružaju u okviru sporazuma na razini službi sklopljenog s Glavnom upravom za usmeno prevođenje (GU za usmeno prevođenje) ili, ako GU za usmeno prevođenje odbije ili nije u mogućnosti pružiti zatraženu uslugu, angažiranjem slobodnih suradnika dostupnih na tržištu (ad </w:t>
      </w:r>
      <w:proofErr w:type="spellStart"/>
      <w:r w:rsidRPr="007F4FEA">
        <w:rPr>
          <w:sz w:val="24"/>
          <w:lang w:val="hr-HR"/>
        </w:rPr>
        <w:t>hoc</w:t>
      </w:r>
      <w:proofErr w:type="spellEnd"/>
      <w:r w:rsidRPr="007F4FEA">
        <w:rPr>
          <w:sz w:val="24"/>
          <w:lang w:val="hr-HR"/>
        </w:rPr>
        <w:t xml:space="preserve"> iznimka od financijskih pravila). Troškovi su u 2024. iznosili ukupno 22 536 EUR odnosno 9360 EUR u okviru sporazuma na razini službi s GU-om za usmeno prevođenje odnosno u okviru ad </w:t>
      </w:r>
      <w:proofErr w:type="spellStart"/>
      <w:r w:rsidRPr="007F4FEA">
        <w:rPr>
          <w:sz w:val="24"/>
          <w:lang w:val="hr-HR"/>
        </w:rPr>
        <w:t>hoc</w:t>
      </w:r>
      <w:proofErr w:type="spellEnd"/>
      <w:r w:rsidRPr="007F4FEA">
        <w:rPr>
          <w:sz w:val="24"/>
          <w:lang w:val="hr-HR"/>
        </w:rPr>
        <w:t xml:space="preserve"> nabave usluge.</w:t>
      </w:r>
    </w:p>
  </w:footnote>
  <w:footnote w:id="17">
    <w:p w14:paraId="0ECAE625" w14:textId="64236FD5"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Uredba (EU) 2017/1939 (takozvana Uredba o EPPO-u) i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w:t>
      </w:r>
      <w:r w:rsidRPr="007F4FEA">
        <w:rPr>
          <w:sz w:val="24"/>
          <w:lang w:val="hr-HR"/>
        </w:rPr>
        <w:t xml:space="preserve">39., ELI: </w:t>
      </w:r>
      <w:hyperlink r:id="rId15" w:history="1">
        <w:r w:rsidRPr="007F4FEA">
          <w:rPr>
            <w:rStyle w:val="Hyperlink"/>
            <w:sz w:val="24"/>
            <w:lang w:val="hr-HR"/>
          </w:rPr>
          <w:t>http://data.europa.eu/eli/reg/2018/1725/oj</w:t>
        </w:r>
      </w:hyperlink>
      <w:r w:rsidRPr="007F4FEA">
        <w:rPr>
          <w:sz w:val="24"/>
          <w:lang w:val="hr-HR"/>
        </w:rPr>
        <w:t>).</w:t>
      </w:r>
    </w:p>
  </w:footnote>
  <w:footnote w:id="18">
    <w:p w14:paraId="18EBC9EC" w14:textId="3E77D32C"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hyperlink r:id="rId16" w:history="1">
        <w:r w:rsidRPr="007F4FEA">
          <w:rPr>
            <w:rStyle w:val="Hyperlink"/>
            <w:sz w:val="24"/>
            <w:lang w:val="hr-HR"/>
          </w:rPr>
          <w:t>https://www.eca.europa.eu/ECAPublications/SR-2025-08/SR-2025-08_HR.pdf</w:t>
        </w:r>
      </w:hyperlink>
      <w:r w:rsidRPr="007F4FEA">
        <w:rPr>
          <w:sz w:val="24"/>
          <w:lang w:val="hr-HR"/>
        </w:rPr>
        <w:t xml:space="preserve"> </w:t>
      </w:r>
    </w:p>
  </w:footnote>
  <w:footnote w:id="19">
    <w:p w14:paraId="28AE2A38" w14:textId="448200F4" w:rsidR="00C56192" w:rsidRPr="007F4FEA" w:rsidRDefault="00C56192" w:rsidP="007F4FEA">
      <w:pPr>
        <w:pStyle w:val="FootnoteText"/>
        <w:ind w:left="567" w:hanging="567"/>
        <w:rPr>
          <w:sz w:val="24"/>
          <w:lang w:val="hr-HR"/>
        </w:rPr>
      </w:pPr>
      <w:r w:rsidRPr="007F4FEA">
        <w:rPr>
          <w:rStyle w:val="FootnoteReference"/>
          <w:sz w:val="24"/>
          <w:lang w:val="hr-HR"/>
        </w:rPr>
        <w:footnoteRef/>
      </w:r>
      <w:r w:rsidR="007F4FEA" w:rsidRPr="007F4FEA">
        <w:rPr>
          <w:sz w:val="24"/>
          <w:lang w:val="hr-HR"/>
        </w:rPr>
        <w:t xml:space="preserve"> </w:t>
      </w:r>
      <w:r w:rsidR="007F4FEA" w:rsidRPr="007F4FEA">
        <w:rPr>
          <w:sz w:val="24"/>
          <w:lang w:val="hr-HR"/>
        </w:rPr>
        <w:tab/>
      </w:r>
      <w:r w:rsidRPr="007F4FEA">
        <w:rPr>
          <w:sz w:val="24"/>
          <w:lang w:val="hr-HR"/>
        </w:rPr>
        <w:t>Uredba (EU, Euratom) 2020/2092 Europskog parlamenta i Vijeća od 16. prosinca 2020. o općem režimu uvjetovanosti za zaštitu proračuna Unije</w:t>
      </w:r>
      <w:r w:rsidRPr="007F4FEA">
        <w:rPr>
          <w:color w:val="333333"/>
          <w:sz w:val="24"/>
          <w:shd w:val="clear" w:color="auto" w:fill="FFFFFF"/>
          <w:lang w:val="hr-HR"/>
        </w:rPr>
        <w:t xml:space="preserve"> (</w:t>
      </w:r>
      <w:r w:rsidRPr="007F4FEA">
        <w:rPr>
          <w:sz w:val="24"/>
          <w:lang w:val="hr-HR"/>
        </w:rPr>
        <w:t>SL L 433 I, 22.12.2020., str. </w:t>
      </w:r>
      <w:r w:rsidRPr="007F4FEA">
        <w:rPr>
          <w:sz w:val="24"/>
          <w:lang w:val="hr-HR"/>
        </w:rPr>
        <w:t>1., ELI: </w:t>
      </w:r>
      <w:hyperlink r:id="rId17" w:tooltip="ELI URI za pristup dokumentu." w:history="1">
        <w:r w:rsidRPr="007F4FEA">
          <w:rPr>
            <w:rStyle w:val="Hyperlink"/>
            <w:sz w:val="24"/>
            <w:lang w:val="hr-HR"/>
          </w:rPr>
          <w:t>http://data.europa.eu/eli/reg/2020/2092/oj</w:t>
        </w:r>
      </w:hyperlink>
      <w:r w:rsidRPr="007F4FEA">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31DE" w14:textId="77777777" w:rsidR="00064002" w:rsidRPr="007F4F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148C" w14:textId="77777777" w:rsidR="00064002" w:rsidRPr="007F4F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A213" w14:textId="77777777" w:rsidR="00064002" w:rsidRPr="007F4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9343313">
    <w:abstractNumId w:val="9"/>
  </w:num>
  <w:num w:numId="2" w16cid:durableId="1234240456">
    <w:abstractNumId w:val="9"/>
  </w:num>
  <w:num w:numId="3" w16cid:durableId="1641766780">
    <w:abstractNumId w:val="7"/>
  </w:num>
  <w:num w:numId="4" w16cid:durableId="1407607348">
    <w:abstractNumId w:val="7"/>
  </w:num>
  <w:num w:numId="5" w16cid:durableId="2056392017">
    <w:abstractNumId w:val="6"/>
  </w:num>
  <w:num w:numId="6" w16cid:durableId="962347895">
    <w:abstractNumId w:val="6"/>
  </w:num>
  <w:num w:numId="7" w16cid:durableId="1191605769">
    <w:abstractNumId w:val="5"/>
  </w:num>
  <w:num w:numId="8" w16cid:durableId="469398810">
    <w:abstractNumId w:val="5"/>
  </w:num>
  <w:num w:numId="9" w16cid:durableId="1417748125">
    <w:abstractNumId w:val="4"/>
  </w:num>
  <w:num w:numId="10" w16cid:durableId="1883127943">
    <w:abstractNumId w:val="4"/>
  </w:num>
  <w:num w:numId="11" w16cid:durableId="371348241">
    <w:abstractNumId w:val="8"/>
  </w:num>
  <w:num w:numId="12" w16cid:durableId="1458255022">
    <w:abstractNumId w:val="8"/>
  </w:num>
  <w:num w:numId="13" w16cid:durableId="2119448229">
    <w:abstractNumId w:val="3"/>
  </w:num>
  <w:num w:numId="14" w16cid:durableId="1639534332">
    <w:abstractNumId w:val="3"/>
  </w:num>
  <w:num w:numId="15" w16cid:durableId="1981766695">
    <w:abstractNumId w:val="2"/>
  </w:num>
  <w:num w:numId="16" w16cid:durableId="1018848841">
    <w:abstractNumId w:val="2"/>
  </w:num>
  <w:num w:numId="17" w16cid:durableId="842475401">
    <w:abstractNumId w:val="1"/>
  </w:num>
  <w:num w:numId="18" w16cid:durableId="613831574">
    <w:abstractNumId w:val="1"/>
  </w:num>
  <w:num w:numId="19" w16cid:durableId="437677902">
    <w:abstractNumId w:val="0"/>
  </w:num>
  <w:num w:numId="20" w16cid:durableId="485895524">
    <w:abstractNumId w:val="0"/>
  </w:num>
  <w:num w:numId="21" w16cid:durableId="166528528">
    <w:abstractNumId w:val="9"/>
  </w:num>
  <w:num w:numId="22" w16cid:durableId="1494684939">
    <w:abstractNumId w:val="7"/>
  </w:num>
  <w:num w:numId="23" w16cid:durableId="1940604082">
    <w:abstractNumId w:val="6"/>
  </w:num>
  <w:num w:numId="24" w16cid:durableId="1785032601">
    <w:abstractNumId w:val="5"/>
  </w:num>
  <w:num w:numId="25" w16cid:durableId="660281481">
    <w:abstractNumId w:val="4"/>
  </w:num>
  <w:num w:numId="26" w16cid:durableId="1368024240">
    <w:abstractNumId w:val="8"/>
  </w:num>
  <w:num w:numId="27" w16cid:durableId="339351222">
    <w:abstractNumId w:val="3"/>
  </w:num>
  <w:num w:numId="28" w16cid:durableId="425998972">
    <w:abstractNumId w:val="2"/>
  </w:num>
  <w:num w:numId="29" w16cid:durableId="746194048">
    <w:abstractNumId w:val="1"/>
  </w:num>
  <w:num w:numId="30" w16cid:durableId="795180309">
    <w:abstractNumId w:val="0"/>
  </w:num>
  <w:num w:numId="31" w16cid:durableId="1429352628">
    <w:abstractNumId w:val="9"/>
  </w:num>
  <w:num w:numId="32" w16cid:durableId="26297048">
    <w:abstractNumId w:val="7"/>
  </w:num>
  <w:num w:numId="33" w16cid:durableId="102306457">
    <w:abstractNumId w:val="6"/>
  </w:num>
  <w:num w:numId="34" w16cid:durableId="6370150">
    <w:abstractNumId w:val="5"/>
  </w:num>
  <w:num w:numId="35" w16cid:durableId="2053187985">
    <w:abstractNumId w:val="4"/>
  </w:num>
  <w:num w:numId="36" w16cid:durableId="47193814">
    <w:abstractNumId w:val="8"/>
  </w:num>
  <w:num w:numId="37" w16cid:durableId="559436316">
    <w:abstractNumId w:val="3"/>
  </w:num>
  <w:num w:numId="38" w16cid:durableId="996881431">
    <w:abstractNumId w:val="2"/>
  </w:num>
  <w:num w:numId="39" w16cid:durableId="1956600820">
    <w:abstractNumId w:val="1"/>
  </w:num>
  <w:num w:numId="40" w16cid:durableId="1625886736">
    <w:abstractNumId w:val="0"/>
  </w:num>
  <w:num w:numId="41" w16cid:durableId="1049182128">
    <w:abstractNumId w:val="10"/>
  </w:num>
  <w:num w:numId="42" w16cid:durableId="2059737280">
    <w:abstractNumId w:val="10"/>
  </w:num>
  <w:num w:numId="43" w16cid:durableId="1610046763">
    <w:abstractNumId w:val="10"/>
  </w:num>
  <w:num w:numId="44" w16cid:durableId="1539390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HR"/>
    <w:docVar w:name="dvnumam" w:val="0"/>
    <w:docVar w:name="dvpe" w:val="778.067"/>
    <w:docVar w:name="dvrapporteur" w:val="Izvjestitelj: "/>
    <w:docVar w:name="dvtitre" w:val="Odluka Europskog parlamenta od .... 2026. o razrješnici za izvršenje proračuna Ureda europskog javnog tužitelja za financijsku godinu 2024.(2025/2155(DEC))"/>
  </w:docVars>
  <w:rsids>
    <w:rsidRoot w:val="00E94B30"/>
    <w:rsid w:val="00002272"/>
    <w:rsid w:val="00064002"/>
    <w:rsid w:val="000677B9"/>
    <w:rsid w:val="000831BA"/>
    <w:rsid w:val="000A42CC"/>
    <w:rsid w:val="000C3AC1"/>
    <w:rsid w:val="000E7DD9"/>
    <w:rsid w:val="0010095E"/>
    <w:rsid w:val="00125B37"/>
    <w:rsid w:val="0018562C"/>
    <w:rsid w:val="00187494"/>
    <w:rsid w:val="001F32AE"/>
    <w:rsid w:val="00224C45"/>
    <w:rsid w:val="002767FF"/>
    <w:rsid w:val="002B18FE"/>
    <w:rsid w:val="002B5493"/>
    <w:rsid w:val="002B608D"/>
    <w:rsid w:val="00343214"/>
    <w:rsid w:val="00361C00"/>
    <w:rsid w:val="003862FF"/>
    <w:rsid w:val="00395FA1"/>
    <w:rsid w:val="003E15D4"/>
    <w:rsid w:val="003F5C4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76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FEA"/>
    <w:rsid w:val="00817416"/>
    <w:rsid w:val="00842779"/>
    <w:rsid w:val="00865F67"/>
    <w:rsid w:val="00881A7B"/>
    <w:rsid w:val="008840E5"/>
    <w:rsid w:val="00887B3E"/>
    <w:rsid w:val="008C2AC6"/>
    <w:rsid w:val="00917FAE"/>
    <w:rsid w:val="00930C23"/>
    <w:rsid w:val="0093193B"/>
    <w:rsid w:val="009509D8"/>
    <w:rsid w:val="00950B64"/>
    <w:rsid w:val="009640B5"/>
    <w:rsid w:val="00981893"/>
    <w:rsid w:val="009D62F2"/>
    <w:rsid w:val="00A1687D"/>
    <w:rsid w:val="00A43E52"/>
    <w:rsid w:val="00A4678D"/>
    <w:rsid w:val="00A666A9"/>
    <w:rsid w:val="00A778C7"/>
    <w:rsid w:val="00AB441E"/>
    <w:rsid w:val="00AB6293"/>
    <w:rsid w:val="00AE0928"/>
    <w:rsid w:val="00AF3B82"/>
    <w:rsid w:val="00B12E95"/>
    <w:rsid w:val="00B22876"/>
    <w:rsid w:val="00B558F0"/>
    <w:rsid w:val="00BD48FE"/>
    <w:rsid w:val="00BD7BD8"/>
    <w:rsid w:val="00BE6ADC"/>
    <w:rsid w:val="00C05BFE"/>
    <w:rsid w:val="00C23CD4"/>
    <w:rsid w:val="00C56192"/>
    <w:rsid w:val="00C61C0C"/>
    <w:rsid w:val="00C7628B"/>
    <w:rsid w:val="00C941CB"/>
    <w:rsid w:val="00CC2357"/>
    <w:rsid w:val="00CF071A"/>
    <w:rsid w:val="00D058B8"/>
    <w:rsid w:val="00D149ED"/>
    <w:rsid w:val="00D56C11"/>
    <w:rsid w:val="00D834A0"/>
    <w:rsid w:val="00D872DF"/>
    <w:rsid w:val="00D91E21"/>
    <w:rsid w:val="00DA7FCD"/>
    <w:rsid w:val="00E2026B"/>
    <w:rsid w:val="00E365E1"/>
    <w:rsid w:val="00E820A4"/>
    <w:rsid w:val="00E94B30"/>
    <w:rsid w:val="00EB006A"/>
    <w:rsid w:val="00EB4772"/>
    <w:rsid w:val="00ED169E"/>
    <w:rsid w:val="00ED4235"/>
    <w:rsid w:val="00F04346"/>
    <w:rsid w:val="00F075DC"/>
    <w:rsid w:val="00F149E9"/>
    <w:rsid w:val="00F4070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2D2EE"/>
  <w15:chartTrackingRefBased/>
  <w15:docId w15:val="{CF3181E9-4FC6-484F-B44E-69B590FA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61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6192"/>
    <w:pPr>
      <w:spacing w:before="480" w:after="240"/>
    </w:pPr>
  </w:style>
  <w:style w:type="paragraph" w:customStyle="1" w:styleId="PageHeading">
    <w:name w:val="PageHeading"/>
    <w:basedOn w:val="Normal"/>
    <w:rsid w:val="00C56192"/>
    <w:pPr>
      <w:keepNext/>
      <w:spacing w:after="480"/>
      <w:jc w:val="center"/>
    </w:pPr>
    <w:rPr>
      <w:rFonts w:ascii="Arial" w:hAnsi="Arial" w:cs="Arial"/>
      <w:b/>
    </w:rPr>
  </w:style>
  <w:style w:type="paragraph" w:customStyle="1" w:styleId="NormalBold">
    <w:name w:val="NormalBold"/>
    <w:basedOn w:val="Normal"/>
    <w:rsid w:val="00C56192"/>
    <w:rPr>
      <w:b/>
    </w:rPr>
  </w:style>
  <w:style w:type="paragraph" w:customStyle="1" w:styleId="NormalHanging12a">
    <w:name w:val="NormalHanging12a"/>
    <w:basedOn w:val="Normal"/>
    <w:link w:val="NormalHanging12aChar"/>
    <w:qFormat/>
    <w:rsid w:val="00C56192"/>
    <w:pPr>
      <w:spacing w:after="240"/>
      <w:ind w:left="567" w:hanging="567"/>
    </w:pPr>
  </w:style>
  <w:style w:type="paragraph" w:styleId="Header">
    <w:name w:val="header"/>
    <w:basedOn w:val="Normal"/>
    <w:link w:val="HeaderChar"/>
    <w:rsid w:val="00C56192"/>
    <w:pPr>
      <w:tabs>
        <w:tab w:val="center" w:pos="4513"/>
        <w:tab w:val="right" w:pos="9026"/>
      </w:tabs>
    </w:pPr>
  </w:style>
  <w:style w:type="character" w:customStyle="1" w:styleId="HeaderChar">
    <w:name w:val="Header Char"/>
    <w:basedOn w:val="DefaultParagraphFont"/>
    <w:link w:val="Header"/>
    <w:rsid w:val="00C56192"/>
    <w:rPr>
      <w:sz w:val="24"/>
      <w:lang w:val="hr-HR"/>
    </w:rPr>
  </w:style>
  <w:style w:type="paragraph" w:customStyle="1" w:styleId="EPFooter">
    <w:name w:val="EPFooter"/>
    <w:basedOn w:val="Normal"/>
    <w:rsid w:val="00C56192"/>
    <w:pPr>
      <w:tabs>
        <w:tab w:val="center" w:pos="4535"/>
        <w:tab w:val="right" w:pos="9071"/>
      </w:tabs>
      <w:spacing w:before="240" w:after="240"/>
    </w:pPr>
    <w:rPr>
      <w:color w:val="010000"/>
      <w:sz w:val="22"/>
    </w:rPr>
  </w:style>
  <w:style w:type="character" w:styleId="Hyperlink">
    <w:name w:val="Hyperlink"/>
    <w:basedOn w:val="DefaultParagraphFont"/>
    <w:rsid w:val="00C56192"/>
    <w:rPr>
      <w:color w:val="0563C1" w:themeColor="hyperlink"/>
      <w:u w:val="single"/>
    </w:rPr>
  </w:style>
  <w:style w:type="character" w:customStyle="1" w:styleId="NormalHanging12aChar">
    <w:name w:val="NormalHanging12a Char"/>
    <w:basedOn w:val="DefaultParagraphFont"/>
    <w:link w:val="NormalHanging12a"/>
    <w:locked/>
    <w:rsid w:val="00C56192"/>
    <w:rPr>
      <w:sz w:val="24"/>
      <w:lang w:val="hr-HR"/>
    </w:rPr>
  </w:style>
  <w:style w:type="paragraph" w:styleId="CommentText">
    <w:name w:val="annotation text"/>
    <w:basedOn w:val="Normal"/>
    <w:link w:val="CommentTextChar"/>
    <w:unhideWhenUsed/>
    <w:rsid w:val="00C56192"/>
    <w:rPr>
      <w:sz w:val="20"/>
    </w:rPr>
  </w:style>
  <w:style w:type="character" w:customStyle="1" w:styleId="CommentTextChar">
    <w:name w:val="Comment Text Char"/>
    <w:basedOn w:val="DefaultParagraphFont"/>
    <w:link w:val="CommentText"/>
    <w:rsid w:val="00C56192"/>
    <w:rPr>
      <w:lang w:val="hr-HR"/>
    </w:rPr>
  </w:style>
  <w:style w:type="paragraph" w:styleId="BodyText">
    <w:name w:val="Body Text"/>
    <w:basedOn w:val="Normal"/>
    <w:link w:val="BodyTextChar"/>
    <w:uiPriority w:val="1"/>
    <w:unhideWhenUsed/>
    <w:qFormat/>
    <w:rsid w:val="00C56192"/>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C56192"/>
    <w:rPr>
      <w:rFonts w:ascii="Calibri" w:hAnsi="Calibri" w:cs="Calibri"/>
      <w:b/>
      <w:bCs/>
      <w:sz w:val="22"/>
      <w:szCs w:val="22"/>
      <w:lang w:val="hr-HR"/>
    </w:rPr>
  </w:style>
  <w:style w:type="paragraph" w:customStyle="1" w:styleId="Default">
    <w:name w:val="Default"/>
    <w:rsid w:val="00C56192"/>
    <w:pPr>
      <w:autoSpaceDE w:val="0"/>
      <w:autoSpaceDN w:val="0"/>
      <w:adjustRightInd w:val="0"/>
    </w:pPr>
    <w:rPr>
      <w:rFonts w:ascii="Calibri" w:hAnsi="Calibri" w:cs="Calibri"/>
      <w:color w:val="000000"/>
      <w:sz w:val="24"/>
      <w:szCs w:val="24"/>
      <w:lang w:val="hr-HR"/>
    </w:rPr>
  </w:style>
  <w:style w:type="paragraph" w:styleId="Footer">
    <w:name w:val="footer"/>
    <w:basedOn w:val="Normal"/>
    <w:link w:val="FooterChar"/>
    <w:rsid w:val="00F4070E"/>
    <w:pPr>
      <w:tabs>
        <w:tab w:val="center" w:pos="4513"/>
        <w:tab w:val="right" w:pos="9026"/>
      </w:tabs>
    </w:pPr>
  </w:style>
  <w:style w:type="character" w:customStyle="1" w:styleId="FooterChar">
    <w:name w:val="Footer Char"/>
    <w:basedOn w:val="DefaultParagraphFont"/>
    <w:link w:val="Footer"/>
    <w:rsid w:val="00F4070E"/>
    <w:rPr>
      <w:sz w:val="24"/>
      <w:lang w:val="hr-HR"/>
    </w:rPr>
  </w:style>
  <w:style w:type="character" w:styleId="UnresolvedMention">
    <w:name w:val="Unresolved Mention"/>
    <w:basedOn w:val="DefaultParagraphFont"/>
    <w:uiPriority w:val="99"/>
    <w:semiHidden/>
    <w:unhideWhenUsed/>
    <w:rsid w:val="00F4070E"/>
    <w:rPr>
      <w:color w:val="605E5C"/>
      <w:shd w:val="clear" w:color="auto" w:fill="E1DFDD"/>
    </w:rPr>
  </w:style>
  <w:style w:type="character" w:styleId="FollowedHyperlink">
    <w:name w:val="FollowedHyperlink"/>
    <w:basedOn w:val="DefaultParagraphFont"/>
    <w:rsid w:val="00F4070E"/>
    <w:rPr>
      <w:color w:val="954F72" w:themeColor="followedHyperlink"/>
      <w:u w:val="single"/>
    </w:rPr>
  </w:style>
  <w:style w:type="paragraph" w:styleId="Revision">
    <w:name w:val="Revision"/>
    <w:hidden/>
    <w:uiPriority w:val="99"/>
    <w:semiHidden/>
    <w:rsid w:val="002B608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HR.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H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16354</Words>
  <Characters>97170</Characters>
  <Application>Microsoft Office Word</Application>
  <DocSecurity>0</DocSecurity>
  <Lines>809</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2026-05-11T13:08:00Z</dcterms:created>
  <dcterms:modified xsi:type="dcterms:W3CDTF">2026-05-11T13:08:00Z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P10_TA(2026)0135_</vt:lpwstr>
  </property>
  <property fmtid="{D5CDD505-2E9C-101B-9397-08002B2CF9AE}" pid="4" name="&lt;Type&gt;">
    <vt:lpwstr>RR</vt:lpwstr>
  </property>
</Properties>
</file>