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1F48" w14:paraId="30422C49" w14:textId="77777777" w:rsidTr="0010095E">
        <w:trPr>
          <w:trHeight w:hRule="exact" w:val="1418"/>
        </w:trPr>
        <w:tc>
          <w:tcPr>
            <w:tcW w:w="6804" w:type="dxa"/>
            <w:shd w:val="clear" w:color="auto" w:fill="auto"/>
            <w:vAlign w:val="center"/>
          </w:tcPr>
          <w:p w14:paraId="4CEBB327" w14:textId="5DBC931F" w:rsidR="00751A4A" w:rsidRPr="008D1F48" w:rsidRDefault="00D95751" w:rsidP="0010095E">
            <w:pPr>
              <w:pStyle w:val="EPName"/>
            </w:pPr>
            <w:r w:rsidRPr="008D1F48">
              <w:t>Europaparlamentet</w:t>
            </w:r>
          </w:p>
          <w:p w14:paraId="0944CE5D" w14:textId="77777777" w:rsidR="00751A4A" w:rsidRPr="008D1F48" w:rsidRDefault="005F1B17" w:rsidP="005F1B17">
            <w:pPr>
              <w:pStyle w:val="EPTerm"/>
              <w:rPr>
                <w:rStyle w:val="HideTWBExt"/>
                <w:noProof w:val="0"/>
                <w:vanish w:val="0"/>
                <w:color w:val="auto"/>
              </w:rPr>
            </w:pPr>
            <w:r w:rsidRPr="008D1F48">
              <w:t>2024</w:t>
            </w:r>
            <w:r w:rsidR="00817416" w:rsidRPr="008D1F48">
              <w:t>-202</w:t>
            </w:r>
            <w:r w:rsidRPr="008D1F48">
              <w:t>9</w:t>
            </w:r>
          </w:p>
        </w:tc>
        <w:tc>
          <w:tcPr>
            <w:tcW w:w="2268" w:type="dxa"/>
            <w:shd w:val="clear" w:color="auto" w:fill="auto"/>
          </w:tcPr>
          <w:p w14:paraId="2FAD8E8B" w14:textId="77777777" w:rsidR="00751A4A" w:rsidRPr="008D1F48" w:rsidRDefault="00187494" w:rsidP="0010095E">
            <w:pPr>
              <w:pStyle w:val="EPLogo"/>
            </w:pPr>
            <w:r w:rsidRPr="008D1F48">
              <w:rPr>
                <w:noProof/>
                <w:lang w:eastAsia="ja-JP"/>
              </w:rPr>
              <w:drawing>
                <wp:inline distT="0" distB="0" distL="0" distR="0" wp14:anchorId="4032578F" wp14:editId="6655E06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A9B26D" w14:textId="77777777" w:rsidR="00D058B8" w:rsidRPr="008D1F48" w:rsidRDefault="00D058B8" w:rsidP="004C5D52">
      <w:pPr>
        <w:pStyle w:val="LineTop"/>
      </w:pPr>
    </w:p>
    <w:p w14:paraId="0A2EEB7F" w14:textId="087A5E02" w:rsidR="00680577" w:rsidRPr="008D1F48" w:rsidRDefault="00D95751" w:rsidP="00680577">
      <w:pPr>
        <w:pStyle w:val="EPBodyTA1"/>
      </w:pPr>
      <w:r w:rsidRPr="008D1F48">
        <w:t>ANTAGNA TEXTER</w:t>
      </w:r>
    </w:p>
    <w:p w14:paraId="450D3031" w14:textId="77777777" w:rsidR="00D058B8" w:rsidRPr="008D1F48" w:rsidRDefault="00D058B8" w:rsidP="00D058B8">
      <w:pPr>
        <w:pStyle w:val="LineBottom"/>
      </w:pPr>
    </w:p>
    <w:p w14:paraId="33635C2B" w14:textId="079B3DA5" w:rsidR="00D95751" w:rsidRPr="008D1F48" w:rsidRDefault="00D95751" w:rsidP="00D95751">
      <w:pPr>
        <w:pStyle w:val="ATHeading1"/>
      </w:pPr>
      <w:bookmarkStart w:id="0" w:name="TANumber"/>
      <w:r w:rsidRPr="008D1F48">
        <w:t>P10_TA(2026)0</w:t>
      </w:r>
      <w:bookmarkEnd w:id="0"/>
      <w:r w:rsidR="009D32FD">
        <w:t>135</w:t>
      </w:r>
    </w:p>
    <w:p w14:paraId="7AA8A51F" w14:textId="77777777" w:rsidR="00D95751" w:rsidRPr="008D1F48" w:rsidRDefault="00D95751" w:rsidP="00D95751">
      <w:pPr>
        <w:pStyle w:val="ATHeading2"/>
      </w:pPr>
      <w:bookmarkStart w:id="1" w:name="title"/>
      <w:r w:rsidRPr="008D1F48">
        <w:t>Ansvarsfrihet 2024: Europeiska åklagarmyndigheten</w:t>
      </w:r>
      <w:bookmarkEnd w:id="1"/>
    </w:p>
    <w:p w14:paraId="468A6846" w14:textId="77777777" w:rsidR="00D95751" w:rsidRPr="008D1F48" w:rsidRDefault="00D95751" w:rsidP="00D95751">
      <w:pPr>
        <w:rPr>
          <w:i/>
          <w:vanish/>
        </w:rPr>
      </w:pPr>
      <w:r w:rsidRPr="008D1F48">
        <w:rPr>
          <w:i/>
        </w:rPr>
        <w:fldChar w:fldCharType="begin"/>
      </w:r>
      <w:r w:rsidRPr="008D1F48">
        <w:rPr>
          <w:i/>
        </w:rPr>
        <w:instrText xml:space="preserve"> TC"(</w:instrText>
      </w:r>
      <w:bookmarkStart w:id="2" w:name="DocNumber"/>
      <w:r w:rsidRPr="008D1F48">
        <w:rPr>
          <w:i/>
        </w:rPr>
        <w:instrText>A10-0050/2026</w:instrText>
      </w:r>
      <w:bookmarkEnd w:id="2"/>
      <w:r w:rsidRPr="008D1F48">
        <w:rPr>
          <w:i/>
        </w:rPr>
        <w:instrText xml:space="preserve"> - Föredragande: Pasquale Tridico)"\l3 \n&gt; \* MERGEFORMAT </w:instrText>
      </w:r>
      <w:r w:rsidRPr="008D1F48">
        <w:rPr>
          <w:i/>
        </w:rPr>
        <w:fldChar w:fldCharType="end"/>
      </w:r>
    </w:p>
    <w:p w14:paraId="236633C2" w14:textId="77777777" w:rsidR="00D95751" w:rsidRPr="008D1F48" w:rsidRDefault="00D95751" w:rsidP="00D95751">
      <w:pPr>
        <w:rPr>
          <w:vanish/>
        </w:rPr>
      </w:pPr>
      <w:bookmarkStart w:id="3" w:name="Commission"/>
      <w:r w:rsidRPr="008D1F48">
        <w:rPr>
          <w:vanish/>
        </w:rPr>
        <w:t>Budgetkontrollutskottet</w:t>
      </w:r>
      <w:bookmarkEnd w:id="3"/>
    </w:p>
    <w:p w14:paraId="55ECCAEE" w14:textId="77777777" w:rsidR="00D95751" w:rsidRPr="008D1F48" w:rsidRDefault="00D95751" w:rsidP="00D95751">
      <w:pPr>
        <w:rPr>
          <w:vanish/>
        </w:rPr>
      </w:pPr>
      <w:bookmarkStart w:id="4" w:name="PE"/>
      <w:r w:rsidRPr="008D1F48">
        <w:rPr>
          <w:vanish/>
        </w:rPr>
        <w:t>PE778.067</w:t>
      </w:r>
      <w:bookmarkEnd w:id="4"/>
    </w:p>
    <w:p w14:paraId="4D77D5F6" w14:textId="6E645951" w:rsidR="00D95751" w:rsidRPr="008D1F48" w:rsidRDefault="00DA7D8D" w:rsidP="00D95751">
      <w:pPr>
        <w:pStyle w:val="ATHeading3"/>
      </w:pPr>
      <w:bookmarkStart w:id="5" w:name="Sujet"/>
      <w:r>
        <w:t xml:space="preserve">1. </w:t>
      </w:r>
      <w:r w:rsidR="00D95751" w:rsidRPr="008D1F48">
        <w:t xml:space="preserve">Europaparlamentets beslut av den </w:t>
      </w:r>
      <w:r w:rsidR="00194A34">
        <w:t>29</w:t>
      </w:r>
      <w:r w:rsidR="00D95751" w:rsidRPr="008D1F48">
        <w:t xml:space="preserve"> </w:t>
      </w:r>
      <w:r w:rsidR="00194A34">
        <w:t>april</w:t>
      </w:r>
      <w:r w:rsidR="00D95751" w:rsidRPr="008D1F48">
        <w:t xml:space="preserve"> 2026 om ansvarsfrihet för genomförandet av budgeten för Europeiska åklagarmyndigheten för budgetåret 2024</w:t>
      </w:r>
      <w:bookmarkEnd w:id="5"/>
      <w:r w:rsidR="00D95751" w:rsidRPr="008D1F48">
        <w:t xml:space="preserve"> </w:t>
      </w:r>
      <w:bookmarkStart w:id="6" w:name="References"/>
      <w:r w:rsidR="00D95751" w:rsidRPr="008D1F48">
        <w:t>(2025/2155(DEC))</w:t>
      </w:r>
      <w:bookmarkEnd w:id="6"/>
    </w:p>
    <w:p w14:paraId="1E9A798C" w14:textId="77777777" w:rsidR="0022339F" w:rsidRPr="008D1F48" w:rsidRDefault="0022339F" w:rsidP="0022339F">
      <w:pPr>
        <w:pStyle w:val="EPComma"/>
      </w:pPr>
      <w:bookmarkStart w:id="7" w:name="TextBodyBegin"/>
      <w:bookmarkEnd w:id="7"/>
      <w:r w:rsidRPr="008D1F48">
        <w:rPr>
          <w:i/>
          <w:iCs/>
        </w:rPr>
        <w:t>Europaparlamentet fattar detta beslut</w:t>
      </w:r>
    </w:p>
    <w:p w14:paraId="2735B8EB" w14:textId="77777777" w:rsidR="0022339F" w:rsidRPr="008D1F48" w:rsidRDefault="0022339F" w:rsidP="0022339F">
      <w:pPr>
        <w:pStyle w:val="NormalHanging12a"/>
      </w:pPr>
      <w:r w:rsidRPr="008D1F48">
        <w:t>–</w:t>
      </w:r>
      <w:r w:rsidRPr="008D1F48">
        <w:tab/>
        <w:t>med beaktande av den slutliga årsredovisningen för Europeiska åklagarmyndigheten för budgetåret 2024,</w:t>
      </w:r>
    </w:p>
    <w:p w14:paraId="5303C6AB" w14:textId="77777777" w:rsidR="0022339F" w:rsidRPr="008D1F48" w:rsidRDefault="0022339F" w:rsidP="0022339F">
      <w:pPr>
        <w:pStyle w:val="NormalHanging12a"/>
      </w:pPr>
      <w:r w:rsidRPr="008D1F48">
        <w:t>–</w:t>
      </w:r>
      <w:r w:rsidRPr="008D1F48">
        <w:tab/>
        <w:t>med beaktande av revisionsrättens årsrapport om EU:s byråer för budgetåret 2024, med byråernas svar</w:t>
      </w:r>
      <w:r w:rsidRPr="008D1F48">
        <w:rPr>
          <w:rStyle w:val="FootnoteReference"/>
        </w:rPr>
        <w:footnoteReference w:id="1"/>
      </w:r>
      <w:r w:rsidRPr="008D1F48">
        <w:t>,</w:t>
      </w:r>
    </w:p>
    <w:p w14:paraId="52E969E8" w14:textId="77777777" w:rsidR="0022339F" w:rsidRPr="008D1F48" w:rsidRDefault="0022339F" w:rsidP="0022339F">
      <w:pPr>
        <w:pStyle w:val="NormalHanging12a"/>
      </w:pPr>
      <w:r w:rsidRPr="008D1F48">
        <w:t>–</w:t>
      </w:r>
      <w:r w:rsidRPr="008D1F48">
        <w:tab/>
        <w:t>med beaktande av förklaringen om räkenskapernas tillförlitlighet och de underliggande transaktionernas laglighet och korrekthet</w:t>
      </w:r>
      <w:r w:rsidRPr="008D1F48">
        <w:rPr>
          <w:rStyle w:val="FootnoteReference"/>
        </w:rPr>
        <w:footnoteReference w:id="2"/>
      </w:r>
      <w:r w:rsidRPr="008D1F48">
        <w:t>, som avgetts av revisionsrätten för budgetåret 2024 i enlighet med artikel 287 i fördraget om Europeiska unionens funktionssätt,</w:t>
      </w:r>
    </w:p>
    <w:p w14:paraId="5F90D6AD" w14:textId="77777777" w:rsidR="0022339F" w:rsidRPr="008D1F48" w:rsidRDefault="0022339F" w:rsidP="0022339F">
      <w:pPr>
        <w:pStyle w:val="NormalHanging12a"/>
      </w:pPr>
      <w:r w:rsidRPr="008D1F48">
        <w:t>–</w:t>
      </w:r>
      <w:r w:rsidRPr="008D1F48">
        <w:tab/>
        <w:t>med beaktande av rådets rekommendation av den 2 mars 2026 om att bevilja Europeiska åklagarmyndigheten ansvarsfrihet för genomförandet av budgeten för budgetåret 2024 (05749/2026 – C10</w:t>
      </w:r>
      <w:r w:rsidRPr="008D1F48">
        <w:noBreakHyphen/>
        <w:t>0047/2026),</w:t>
      </w:r>
    </w:p>
    <w:p w14:paraId="52888C2E" w14:textId="77777777" w:rsidR="0022339F" w:rsidRPr="008D1F48" w:rsidRDefault="0022339F" w:rsidP="0022339F">
      <w:pPr>
        <w:pStyle w:val="NormalHanging12a"/>
      </w:pPr>
      <w:r w:rsidRPr="008D1F48">
        <w:t>–</w:t>
      </w:r>
      <w:r w:rsidRPr="008D1F48">
        <w:tab/>
        <w:t>med beaktande av artikel 319 i fördraget om Europeiska unionens funktionssätt,</w:t>
      </w:r>
    </w:p>
    <w:p w14:paraId="5B7698AD" w14:textId="77777777" w:rsidR="0022339F" w:rsidRPr="008D1F48" w:rsidRDefault="0022339F" w:rsidP="0022339F">
      <w:pPr>
        <w:pStyle w:val="NormalHanging12a"/>
      </w:pPr>
      <w:r w:rsidRPr="008D1F48">
        <w:t>–</w:t>
      </w:r>
      <w:r w:rsidRPr="008D1F48">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8D1F48">
        <w:rPr>
          <w:rStyle w:val="FootnoteReference"/>
        </w:rPr>
        <w:footnoteReference w:id="3"/>
      </w:r>
      <w:r w:rsidRPr="008D1F48">
        <w:t>, särskilt artikel 70,</w:t>
      </w:r>
    </w:p>
    <w:p w14:paraId="6FCC0820" w14:textId="77777777" w:rsidR="0022339F" w:rsidRPr="008D1F48" w:rsidRDefault="0022339F" w:rsidP="0022339F">
      <w:pPr>
        <w:pStyle w:val="NormalHanging12a"/>
      </w:pPr>
      <w:r w:rsidRPr="008D1F48">
        <w:t>–</w:t>
      </w:r>
      <w:r w:rsidRPr="008D1F48">
        <w:tab/>
        <w:t>med beaktande av Europaparlamentets och rådets förordning (EU, Euratom) 2024/2509 av den 23 september 2024 om finansiella regler för unionens allmänna budget</w:t>
      </w:r>
      <w:r w:rsidRPr="008D1F48">
        <w:rPr>
          <w:rStyle w:val="FootnoteReference"/>
        </w:rPr>
        <w:footnoteReference w:id="4"/>
      </w:r>
      <w:r w:rsidRPr="008D1F48">
        <w:t xml:space="preserve">, särskilt </w:t>
      </w:r>
      <w:r w:rsidRPr="008D1F48">
        <w:lastRenderedPageBreak/>
        <w:t>artikel 70,</w:t>
      </w:r>
    </w:p>
    <w:p w14:paraId="0160A752" w14:textId="77777777" w:rsidR="0022339F" w:rsidRPr="008D1F48" w:rsidRDefault="0022339F" w:rsidP="0022339F">
      <w:pPr>
        <w:pStyle w:val="NormalHanging12a"/>
      </w:pPr>
      <w:r w:rsidRPr="008D1F48">
        <w:t>–</w:t>
      </w:r>
      <w:r w:rsidRPr="008D1F48">
        <w:tab/>
        <w:t>med beaktande av rådets förordning (EU) 2017/1939 av den 12 oktober 2017 om genomförande av fördjupat samarbete om inrättande av Europeiska åklagarmyndigheten</w:t>
      </w:r>
      <w:r w:rsidRPr="008D1F48">
        <w:rPr>
          <w:rStyle w:val="FootnoteReference"/>
        </w:rPr>
        <w:footnoteReference w:id="5"/>
      </w:r>
      <w:r w:rsidRPr="008D1F48">
        <w:t>, särskilt artikel 94,</w:t>
      </w:r>
    </w:p>
    <w:p w14:paraId="73FF9348" w14:textId="77777777" w:rsidR="0022339F" w:rsidRPr="008D1F48" w:rsidRDefault="0022339F" w:rsidP="0022339F">
      <w:pPr>
        <w:pStyle w:val="NormalHanging12a"/>
      </w:pPr>
      <w:r w:rsidRPr="008D1F48">
        <w:t>–</w:t>
      </w:r>
      <w:r w:rsidRPr="008D1F48">
        <w:tab/>
        <w:t>med beaktande av kommissionens delegerade förordning (EU) 2019/715 av den 18 december 2018 med rambudgetförordning för de organ som inrättats enligt EUF</w:t>
      </w:r>
      <w:r w:rsidRPr="008D1F48">
        <w:noBreakHyphen/>
        <w:t>fördraget och Euratomfördraget och som avses i artikel 70 i Europaparlamentets och rådets förordning (EU, Euratom) 2018/1046</w:t>
      </w:r>
      <w:r w:rsidRPr="008D1F48">
        <w:rPr>
          <w:rStyle w:val="FootnoteReference"/>
        </w:rPr>
        <w:footnoteReference w:id="6"/>
      </w:r>
      <w:r w:rsidRPr="008D1F48">
        <w:t>, särskilt artikel 105,</w:t>
      </w:r>
    </w:p>
    <w:p w14:paraId="2EC22E97" w14:textId="77777777" w:rsidR="0022339F" w:rsidRPr="008D1F48" w:rsidRDefault="0022339F" w:rsidP="0022339F">
      <w:pPr>
        <w:pStyle w:val="NormalHanging12a"/>
      </w:pPr>
      <w:r w:rsidRPr="008D1F48">
        <w:t>–</w:t>
      </w:r>
      <w:r w:rsidRPr="008D1F48">
        <w:tab/>
        <w:t>med beaktande av artikel 102 och bilaga V i arbetsordningen,</w:t>
      </w:r>
    </w:p>
    <w:p w14:paraId="6A82186A" w14:textId="77777777" w:rsidR="0022339F" w:rsidRPr="008D1F48" w:rsidRDefault="0022339F" w:rsidP="0022339F">
      <w:pPr>
        <w:pStyle w:val="NormalHanging12a"/>
      </w:pPr>
      <w:r w:rsidRPr="008D1F48">
        <w:t>–</w:t>
      </w:r>
      <w:r w:rsidRPr="008D1F48">
        <w:tab/>
        <w:t>med beaktande av yttrandet från utskottet för medborgerliga fri- och rättigheter samt rättsliga och inrikes frågor,</w:t>
      </w:r>
    </w:p>
    <w:p w14:paraId="1BEF983D" w14:textId="77777777" w:rsidR="0022339F" w:rsidRPr="008D1F48" w:rsidRDefault="0022339F" w:rsidP="0022339F">
      <w:pPr>
        <w:pStyle w:val="NormalHanging12a"/>
      </w:pPr>
      <w:r w:rsidRPr="008D1F48">
        <w:t>–</w:t>
      </w:r>
      <w:r w:rsidRPr="008D1F48">
        <w:tab/>
        <w:t>med beaktande av betänkandet från budgetkontrollutskottet (A10-0050/2026).</w:t>
      </w:r>
    </w:p>
    <w:p w14:paraId="51B02E0E" w14:textId="77777777" w:rsidR="0022339F" w:rsidRPr="008D1F48" w:rsidRDefault="0022339F" w:rsidP="0022339F">
      <w:pPr>
        <w:pStyle w:val="NormalHanging12a"/>
      </w:pPr>
      <w:r w:rsidRPr="008D1F48">
        <w:t>1.</w:t>
      </w:r>
      <w:r w:rsidRPr="008D1F48">
        <w:tab/>
        <w:t>Europaparlamentet beviljar den administrativa direktören för Europeiska åklagarmyndigheten ansvarsfrihet för genomförandet av Europeiska åklagarmyndighetens budget för budgetåret 2024.</w:t>
      </w:r>
    </w:p>
    <w:p w14:paraId="6EE3BD61" w14:textId="77777777" w:rsidR="0022339F" w:rsidRPr="008D1F48" w:rsidRDefault="0022339F" w:rsidP="0022339F">
      <w:pPr>
        <w:pStyle w:val="NormalHanging12a"/>
      </w:pPr>
      <w:r w:rsidRPr="008D1F48">
        <w:t>2.</w:t>
      </w:r>
      <w:r w:rsidRPr="008D1F48">
        <w:tab/>
        <w:t>Europaparlamentet redovisar sina iakttagelser i resolutionen nedan.</w:t>
      </w:r>
    </w:p>
    <w:p w14:paraId="31E51A77" w14:textId="7F46CF5C" w:rsidR="0022339F" w:rsidRPr="008D1F48" w:rsidRDefault="0022339F" w:rsidP="0022339F">
      <w:pPr>
        <w:pStyle w:val="NormalHanging12a"/>
      </w:pPr>
      <w:r w:rsidRPr="008D1F48">
        <w:t>3.</w:t>
      </w:r>
      <w:r w:rsidRPr="008D1F48">
        <w:tab/>
        <w:t>Europaparlamentet uppdrar åt talmannen att översända detta beslut och den resolution som utgör en del av beslutet till den administrativa direktören för Europeiska åklagarmyndigheten,</w:t>
      </w:r>
      <w:r w:rsidR="00580551">
        <w:t xml:space="preserve"> </w:t>
      </w:r>
      <w:r w:rsidR="00580551" w:rsidRPr="00580551">
        <w:t>Europeiska rådet,</w:t>
      </w:r>
      <w:r w:rsidRPr="008D1F48">
        <w:t xml:space="preserve"> rådet, kommissionen och revisionsrätten, och att se till att de offentliggörs i </w:t>
      </w:r>
      <w:r w:rsidRPr="008D1F48">
        <w:rPr>
          <w:i/>
          <w:iCs/>
        </w:rPr>
        <w:t>Europeiska unionens officiella tidning</w:t>
      </w:r>
      <w:r w:rsidRPr="008D1F48">
        <w:t xml:space="preserve"> (L-serien).</w:t>
      </w:r>
    </w:p>
    <w:p w14:paraId="3D35142F" w14:textId="77777777" w:rsidR="0022339F" w:rsidRPr="008D1F48" w:rsidRDefault="0022339F" w:rsidP="0022339F"/>
    <w:p w14:paraId="38541775" w14:textId="77777777" w:rsidR="0022339F" w:rsidRPr="008D1F48" w:rsidRDefault="0022339F" w:rsidP="0022339F">
      <w:pPr>
        <w:pStyle w:val="PageHeading"/>
        <w:sectPr w:rsidR="0022339F" w:rsidRPr="008D1F48" w:rsidSect="008D1F4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84DC65B" w14:textId="77777777" w:rsidR="00DA7D8D" w:rsidRDefault="00DA7D8D" w:rsidP="00DA7D8D">
      <w:pPr>
        <w:pStyle w:val="ATHeading3"/>
      </w:pPr>
      <w:r>
        <w:lastRenderedPageBreak/>
        <w:t>2. Europaparlamentets beslut av den 29 april 2026 om avslutande av räkenskaperna för Europeiska åklagarmyndigheten för budgetåret 2024 (2025/2155(DEC))</w:t>
      </w:r>
    </w:p>
    <w:p w14:paraId="735BD6D5" w14:textId="77777777" w:rsidR="0022339F" w:rsidRPr="008D1F48" w:rsidRDefault="0022339F" w:rsidP="0022339F">
      <w:pPr>
        <w:pStyle w:val="EPComma"/>
      </w:pPr>
      <w:r w:rsidRPr="008D1F48">
        <w:rPr>
          <w:i/>
          <w:iCs/>
        </w:rPr>
        <w:t>Europaparlamentet fattar detta beslut</w:t>
      </w:r>
    </w:p>
    <w:p w14:paraId="254DA84F" w14:textId="77777777" w:rsidR="0022339F" w:rsidRPr="008D1F48" w:rsidRDefault="0022339F" w:rsidP="0022339F">
      <w:pPr>
        <w:pStyle w:val="NormalHanging12a"/>
      </w:pPr>
      <w:r w:rsidRPr="008D1F48">
        <w:t>–</w:t>
      </w:r>
      <w:r w:rsidRPr="008D1F48">
        <w:tab/>
        <w:t>med beaktande av den slutliga årsredovisningen för Europeiska åklagarmyndigheten för budgetåret 2024,</w:t>
      </w:r>
    </w:p>
    <w:p w14:paraId="2F3EAD27" w14:textId="77777777" w:rsidR="0022339F" w:rsidRPr="008D1F48" w:rsidRDefault="0022339F" w:rsidP="0022339F">
      <w:pPr>
        <w:pStyle w:val="NormalHanging12a"/>
      </w:pPr>
      <w:r w:rsidRPr="008D1F48">
        <w:t>–</w:t>
      </w:r>
      <w:r w:rsidRPr="008D1F48">
        <w:tab/>
        <w:t>med beaktande av revisionsrättens årsrapport om EU:s byråer för budgetåret 2024, med byråernas svar</w:t>
      </w:r>
      <w:r w:rsidRPr="008D1F48">
        <w:rPr>
          <w:rStyle w:val="FootnoteReference"/>
        </w:rPr>
        <w:footnoteReference w:id="7"/>
      </w:r>
      <w:r w:rsidRPr="008D1F48">
        <w:t>,</w:t>
      </w:r>
    </w:p>
    <w:p w14:paraId="12856B77" w14:textId="77777777" w:rsidR="0022339F" w:rsidRPr="008D1F48" w:rsidRDefault="0022339F" w:rsidP="0022339F">
      <w:pPr>
        <w:pStyle w:val="NormalHanging12a"/>
      </w:pPr>
      <w:r w:rsidRPr="008D1F48">
        <w:t>–</w:t>
      </w:r>
      <w:r w:rsidRPr="008D1F48">
        <w:tab/>
        <w:t>med beaktande av förklaringen om räkenskapernas tillförlitlighet och de underliggande transaktionernas laglighet och korrekthet</w:t>
      </w:r>
      <w:r w:rsidRPr="008D1F48">
        <w:rPr>
          <w:rStyle w:val="FootnoteReference"/>
        </w:rPr>
        <w:footnoteReference w:id="8"/>
      </w:r>
      <w:r w:rsidRPr="008D1F48">
        <w:t>, som avgetts av revisionsrätten för budgetåret 2024 i enlighet med artikel 287 i fördraget om Europeiska unionens funktionssätt,</w:t>
      </w:r>
    </w:p>
    <w:p w14:paraId="237873D9" w14:textId="77777777" w:rsidR="0022339F" w:rsidRPr="008D1F48" w:rsidRDefault="0022339F" w:rsidP="0022339F">
      <w:pPr>
        <w:pStyle w:val="NormalHanging12a"/>
      </w:pPr>
      <w:r w:rsidRPr="008D1F48">
        <w:t>–</w:t>
      </w:r>
      <w:r w:rsidRPr="008D1F48">
        <w:tab/>
        <w:t>med beaktande av rådets rekommendation av den 2 mars 2026 om att bevilja Europeiska åklagarmyndigheten ansvarsfrihet för genomförandet av budgeten för budgetåret 2024 (05749/2026 – C10</w:t>
      </w:r>
      <w:r w:rsidRPr="008D1F48">
        <w:noBreakHyphen/>
        <w:t>0047/2026),</w:t>
      </w:r>
    </w:p>
    <w:p w14:paraId="5F010779" w14:textId="77777777" w:rsidR="0022339F" w:rsidRPr="008D1F48" w:rsidRDefault="0022339F" w:rsidP="0022339F">
      <w:pPr>
        <w:pStyle w:val="NormalHanging12a"/>
      </w:pPr>
      <w:r w:rsidRPr="008D1F48">
        <w:t>–</w:t>
      </w:r>
      <w:r w:rsidRPr="008D1F48">
        <w:tab/>
        <w:t>med beaktande av artikel 319 i fördraget om Europeiska unionens funktionssätt,</w:t>
      </w:r>
    </w:p>
    <w:p w14:paraId="45889D46" w14:textId="77777777" w:rsidR="0022339F" w:rsidRPr="008D1F48" w:rsidRDefault="0022339F" w:rsidP="0022339F">
      <w:pPr>
        <w:pStyle w:val="NormalHanging12a"/>
      </w:pPr>
      <w:r w:rsidRPr="008D1F48">
        <w:t>–</w:t>
      </w:r>
      <w:r w:rsidRPr="008D1F48">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8D1F48">
        <w:rPr>
          <w:rStyle w:val="FootnoteReference"/>
        </w:rPr>
        <w:footnoteReference w:id="9"/>
      </w:r>
      <w:r w:rsidRPr="008D1F48">
        <w:t>, särskilt artikel 70,</w:t>
      </w:r>
    </w:p>
    <w:p w14:paraId="25066AFC" w14:textId="77777777" w:rsidR="0022339F" w:rsidRPr="008D1F48" w:rsidRDefault="0022339F" w:rsidP="0022339F">
      <w:pPr>
        <w:pStyle w:val="NormalHanging12a"/>
      </w:pPr>
      <w:r w:rsidRPr="008D1F48">
        <w:t>–</w:t>
      </w:r>
      <w:r w:rsidRPr="008D1F48">
        <w:tab/>
        <w:t>med beaktande av Europaparlamentets och rådets förordning (EU, Euratom) 2024/2509 av den 23 september 2024 om finansiella regler för unionens allmänna budget</w:t>
      </w:r>
      <w:r w:rsidRPr="008D1F48">
        <w:rPr>
          <w:rStyle w:val="FootnoteReference"/>
        </w:rPr>
        <w:footnoteReference w:id="10"/>
      </w:r>
      <w:r w:rsidRPr="008D1F48">
        <w:t>, särskilt artikel 70,</w:t>
      </w:r>
    </w:p>
    <w:p w14:paraId="02431640" w14:textId="77777777" w:rsidR="0022339F" w:rsidRPr="008D1F48" w:rsidRDefault="0022339F" w:rsidP="0022339F">
      <w:pPr>
        <w:pStyle w:val="NormalHanging12a"/>
      </w:pPr>
      <w:r w:rsidRPr="008D1F48">
        <w:t>–</w:t>
      </w:r>
      <w:r w:rsidRPr="008D1F48">
        <w:tab/>
        <w:t>med beaktande av rådets förordning (EU) 2017/1939 av den 12 oktober 2017 om genomförande av fördjupat samarbete om inrättande av Europeiska åklagarmyndigheten</w:t>
      </w:r>
      <w:r w:rsidRPr="008D1F48">
        <w:rPr>
          <w:rStyle w:val="FootnoteReference"/>
        </w:rPr>
        <w:footnoteReference w:id="11"/>
      </w:r>
      <w:r w:rsidRPr="008D1F48">
        <w:t>, särskilt artikel 94,</w:t>
      </w:r>
    </w:p>
    <w:p w14:paraId="62B93A6A" w14:textId="77777777" w:rsidR="0022339F" w:rsidRPr="008D1F48" w:rsidRDefault="0022339F" w:rsidP="0022339F">
      <w:pPr>
        <w:pStyle w:val="NormalHanging12a"/>
      </w:pPr>
      <w:r w:rsidRPr="008D1F48">
        <w:t>–</w:t>
      </w:r>
      <w:r w:rsidRPr="008D1F48">
        <w:tab/>
        <w:t>med beaktande av kommissionens delegerade förordning (EU) 2019/715 av den 18 december 2018 med rambudgetförordning för de organ som inrättats enligt EUF</w:t>
      </w:r>
      <w:r w:rsidRPr="008D1F48">
        <w:noBreakHyphen/>
        <w:t>fördraget och Euratomfördraget och som avses i artikel 70 i Europaparlamentets och rådets förordning (EU, Euratom) 2018/1046</w:t>
      </w:r>
      <w:r w:rsidRPr="008D1F48">
        <w:rPr>
          <w:rStyle w:val="FootnoteReference"/>
        </w:rPr>
        <w:footnoteReference w:id="12"/>
      </w:r>
      <w:r w:rsidRPr="008D1F48">
        <w:t>, särskilt artikel 105,</w:t>
      </w:r>
    </w:p>
    <w:p w14:paraId="7702D1F1" w14:textId="77777777" w:rsidR="0022339F" w:rsidRPr="008D1F48" w:rsidRDefault="0022339F" w:rsidP="0022339F">
      <w:pPr>
        <w:pStyle w:val="NormalHanging12a"/>
      </w:pPr>
      <w:r w:rsidRPr="008D1F48">
        <w:t>–</w:t>
      </w:r>
      <w:r w:rsidRPr="008D1F48">
        <w:tab/>
        <w:t>med beaktande av artikel 102 och bilaga V i arbetsordningen,</w:t>
      </w:r>
    </w:p>
    <w:p w14:paraId="423D0ECD" w14:textId="77777777" w:rsidR="0022339F" w:rsidRPr="008D1F48" w:rsidRDefault="0022339F" w:rsidP="0022339F">
      <w:pPr>
        <w:pStyle w:val="NormalHanging12a"/>
      </w:pPr>
      <w:r w:rsidRPr="008D1F48">
        <w:t>–</w:t>
      </w:r>
      <w:r w:rsidRPr="008D1F48">
        <w:tab/>
        <w:t xml:space="preserve">med beaktande av yttrandet från utskottet för medborgerliga fri- och rättigheter samt </w:t>
      </w:r>
      <w:r w:rsidRPr="008D1F48">
        <w:lastRenderedPageBreak/>
        <w:t>rättsliga och inrikes frågor,</w:t>
      </w:r>
    </w:p>
    <w:p w14:paraId="3B6D98E1" w14:textId="77777777" w:rsidR="0022339F" w:rsidRPr="008D1F48" w:rsidRDefault="0022339F" w:rsidP="0022339F">
      <w:pPr>
        <w:pStyle w:val="NormalHanging12a"/>
      </w:pPr>
      <w:r w:rsidRPr="008D1F48">
        <w:t>–</w:t>
      </w:r>
      <w:r w:rsidRPr="008D1F48">
        <w:tab/>
        <w:t>med beaktande av betänkandet från budgetkontrollutskottet (A10-0050/2026).</w:t>
      </w:r>
    </w:p>
    <w:p w14:paraId="768EB15F" w14:textId="77777777" w:rsidR="0022339F" w:rsidRPr="008D1F48" w:rsidRDefault="0022339F" w:rsidP="0022339F">
      <w:pPr>
        <w:pStyle w:val="NormalHanging12a"/>
        <w:ind w:hanging="570"/>
      </w:pPr>
      <w:r w:rsidRPr="008D1F48">
        <w:t>1.</w:t>
      </w:r>
      <w:r w:rsidRPr="008D1F48">
        <w:tab/>
        <w:t>Europaparlamentet godkänner avslutandet av räkenskaperna för Europeiska åklagarmyndigheten för budgetåret 2024.</w:t>
      </w:r>
    </w:p>
    <w:p w14:paraId="5B378E35" w14:textId="2D77DBB1" w:rsidR="0022339F" w:rsidRPr="008D1F48" w:rsidRDefault="0022339F" w:rsidP="0022339F">
      <w:pPr>
        <w:pStyle w:val="NormalHanging12a"/>
        <w:ind w:hanging="570"/>
      </w:pPr>
      <w:r w:rsidRPr="008D1F48">
        <w:t>2.</w:t>
      </w:r>
      <w:r w:rsidRPr="008D1F48">
        <w:tab/>
        <w:t xml:space="preserve">Europaparlamentet uppdrar åt talmannen att översända detta beslut till den administrativa direktören för Europeiska </w:t>
      </w:r>
      <w:r w:rsidRPr="00580551">
        <w:t>åklagarmyndigheten,</w:t>
      </w:r>
      <w:r w:rsidR="00580551" w:rsidRPr="00580551">
        <w:t xml:space="preserve"> Europeiska rådet,</w:t>
      </w:r>
      <w:r w:rsidRPr="00580551">
        <w:t xml:space="preserve"> rådet,</w:t>
      </w:r>
      <w:r w:rsidRPr="008D1F48">
        <w:t xml:space="preserve"> kommissionen och revisionsrätten, och att se till att det offentliggörs i </w:t>
      </w:r>
      <w:r w:rsidRPr="008D1F48">
        <w:rPr>
          <w:i/>
          <w:iCs/>
        </w:rPr>
        <w:t>Europeiska unionens officiella tidning</w:t>
      </w:r>
      <w:r w:rsidRPr="008D1F48">
        <w:t xml:space="preserve"> (L-serien).</w:t>
      </w:r>
    </w:p>
    <w:p w14:paraId="7D577B77" w14:textId="77777777" w:rsidR="0022339F" w:rsidRPr="008D1F48" w:rsidRDefault="0022339F" w:rsidP="0022339F">
      <w:pPr>
        <w:pStyle w:val="PageHeading"/>
        <w:ind w:left="567"/>
        <w:sectPr w:rsidR="0022339F" w:rsidRPr="008D1F48" w:rsidSect="008D1F4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C272EB8" w14:textId="77777777" w:rsidR="00DA7D8D" w:rsidRDefault="00DA7D8D" w:rsidP="00DA7D8D">
      <w:pPr>
        <w:pStyle w:val="ATHeading3"/>
      </w:pPr>
      <w:r>
        <w:lastRenderedPageBreak/>
        <w:t>3. Europaparlamentets resolution av den 29 april 2026 med de iakttagelser som utgör en del av beslutet om ansvarsfrihet för genomförandet av budgeten för Europeiska åklagarmyndigheten för budgetåret 2024 (2025/2155(DEC))</w:t>
      </w:r>
    </w:p>
    <w:p w14:paraId="057030F7" w14:textId="77777777" w:rsidR="0022339F" w:rsidRPr="008D1F48" w:rsidRDefault="0022339F" w:rsidP="0022339F">
      <w:pPr>
        <w:pStyle w:val="EPComma"/>
      </w:pPr>
      <w:r w:rsidRPr="008D1F48">
        <w:rPr>
          <w:i/>
          <w:iCs/>
        </w:rPr>
        <w:t>Europaparlamentet utfärdar denna resolution</w:t>
      </w:r>
    </w:p>
    <w:p w14:paraId="3C1317B2" w14:textId="77777777" w:rsidR="0022339F" w:rsidRPr="008D1F48" w:rsidRDefault="0022339F" w:rsidP="0022339F">
      <w:pPr>
        <w:pStyle w:val="NormalHanging12a"/>
      </w:pPr>
      <w:r w:rsidRPr="008D1F48">
        <w:t>–</w:t>
      </w:r>
      <w:r w:rsidRPr="008D1F48">
        <w:tab/>
        <w:t>med beaktande av sitt beslut om ansvarsfrihet för genomförandet av budgeten för Europeiska åklagarmyndigheten för budgetåret 2024,</w:t>
      </w:r>
    </w:p>
    <w:p w14:paraId="4380E8B2" w14:textId="77777777" w:rsidR="0022339F" w:rsidRPr="008D1F48" w:rsidRDefault="0022339F" w:rsidP="0022339F">
      <w:pPr>
        <w:pStyle w:val="NormalHanging12a"/>
      </w:pPr>
      <w:r w:rsidRPr="008D1F48">
        <w:t>–</w:t>
      </w:r>
      <w:r w:rsidRPr="008D1F48">
        <w:tab/>
        <w:t>med beaktande av artikel 102 och bilaga V i arbetsordningen,</w:t>
      </w:r>
    </w:p>
    <w:p w14:paraId="436BD71F" w14:textId="77777777" w:rsidR="0022339F" w:rsidRPr="008D1F48" w:rsidRDefault="0022339F" w:rsidP="0022339F">
      <w:pPr>
        <w:pStyle w:val="NormalHanging12a"/>
      </w:pPr>
      <w:r w:rsidRPr="008D1F48">
        <w:t>–</w:t>
      </w:r>
      <w:r w:rsidRPr="008D1F48">
        <w:tab/>
        <w:t>med beaktande av yttrandet från utskottet för medborgerliga fri- och rättigheter samt rättsliga och inrikes frågor,</w:t>
      </w:r>
    </w:p>
    <w:p w14:paraId="1B288DAA" w14:textId="77777777" w:rsidR="0022339F" w:rsidRPr="008D1F48" w:rsidRDefault="0022339F" w:rsidP="0022339F">
      <w:pPr>
        <w:pStyle w:val="NormalHanging12a"/>
      </w:pPr>
      <w:r w:rsidRPr="008D1F48">
        <w:t>–</w:t>
      </w:r>
      <w:r w:rsidRPr="008D1F48">
        <w:tab/>
        <w:t>med beaktande av betänkandet från budgetkontrollutskottet (A10-0050/2026), och av följande skäl:</w:t>
      </w:r>
    </w:p>
    <w:p w14:paraId="7DCF7E95" w14:textId="77777777" w:rsidR="0022339F" w:rsidRPr="008D1F48" w:rsidRDefault="0022339F" w:rsidP="0022339F">
      <w:pPr>
        <w:pStyle w:val="NormalHanging12a"/>
        <w:rPr>
          <w:szCs w:val="24"/>
        </w:rPr>
      </w:pPr>
      <w:r w:rsidRPr="008D1F48">
        <w:t>A.</w:t>
      </w:r>
      <w:r w:rsidRPr="008D1F48">
        <w:tab/>
        <w:t>Europeiska åklagarmyndigheten (Eppo) är unionens oberoende allmänna åklagarmyndighet och ansvarar för att utreda och lagföra brott mot unionens ekonomiska intressen och ställa gärningsmän och medbrottslingar till svars för brott enligt Europaparlamentets och rådets direktiv (EU) 2017/1371</w:t>
      </w:r>
      <w:r w:rsidRPr="008D1F48">
        <w:rPr>
          <w:rStyle w:val="FootnoteReference"/>
          <w:szCs w:val="24"/>
        </w:rPr>
        <w:footnoteReference w:id="13"/>
      </w:r>
      <w:r w:rsidRPr="008D1F48">
        <w:t xml:space="preserve"> (PIF-direktivet) och i enlighet med rådets förordning (EU) 2017/1939</w:t>
      </w:r>
      <w:r w:rsidRPr="008D1F48">
        <w:rPr>
          <w:rStyle w:val="FootnoteReference"/>
          <w:szCs w:val="24"/>
        </w:rPr>
        <w:footnoteReference w:id="14"/>
      </w:r>
      <w:r w:rsidRPr="008D1F48">
        <w:t>.</w:t>
      </w:r>
    </w:p>
    <w:p w14:paraId="1C381371" w14:textId="77777777" w:rsidR="0022339F" w:rsidRPr="008D1F48" w:rsidRDefault="0022339F" w:rsidP="0022339F">
      <w:pPr>
        <w:pStyle w:val="NormalHanging12a"/>
        <w:rPr>
          <w:szCs w:val="24"/>
        </w:rPr>
      </w:pPr>
      <w:r w:rsidRPr="008D1F48">
        <w:t>B.</w:t>
      </w:r>
      <w:r w:rsidRPr="008D1F48">
        <w:tab/>
        <w:t>Eppos behörighet omfattar flera typer av bedrägerier, bland annat gränsöverskridande momsbedrägerier med skador på över 10 miljoner EUR, penningtvätt, korruption och andra brott för vilka Eppo utövar åklagares uppgifter i medlemsstaternas behöriga domstolar till dess att ärendet har avslutats.</w:t>
      </w:r>
    </w:p>
    <w:p w14:paraId="2E4E8C86" w14:textId="77777777" w:rsidR="0022339F" w:rsidRPr="008D1F48" w:rsidRDefault="0022339F" w:rsidP="0022339F">
      <w:pPr>
        <w:pStyle w:val="NormalHanging12a"/>
        <w:rPr>
          <w:szCs w:val="24"/>
        </w:rPr>
      </w:pPr>
      <w:r w:rsidRPr="008D1F48">
        <w:t>C.</w:t>
      </w:r>
      <w:r w:rsidRPr="008D1F48">
        <w:tab/>
        <w:t>Eppo är en av komponenterna i unionens bedrägeribekämpningsstruktur och dess åtgärder samordnas därför med och kompletterar åtgärderna i de andra komponenterna i strukturen för att uppnå en förbättrad och effektiv samordning som stärker dess övergripande effektivitet.</w:t>
      </w:r>
    </w:p>
    <w:p w14:paraId="1671CC8B" w14:textId="77777777" w:rsidR="0022339F" w:rsidRPr="008D1F48" w:rsidRDefault="0022339F" w:rsidP="0022339F">
      <w:pPr>
        <w:pStyle w:val="NormalHanging12a"/>
        <w:rPr>
          <w:szCs w:val="24"/>
        </w:rPr>
      </w:pPr>
      <w:r w:rsidRPr="008D1F48">
        <w:t>D.</w:t>
      </w:r>
      <w:r w:rsidRPr="008D1F48">
        <w:tab/>
        <w:t>Eppo är integrerat i de deltagande medlemsstaternas nationella rättssystem och har prioriterad behörighet att utreda och lagföra brott som skadar unionens ekonomiska intressen, medan andra organisationer, såsom Europeiska unionens byrå för straffrättsligt samarbete (Eurojust), Europeiska byrån för bedrägeribekämpning (Olaf) och Europeiska unionens byrå för samarbete inom brottsbekämpning (Europol), inte har de befogenheter som krävs för att genomföra relevanta brottsutredningar och åtal.</w:t>
      </w:r>
    </w:p>
    <w:p w14:paraId="26C0BE80" w14:textId="2C5EDAB2" w:rsidR="0022339F" w:rsidRPr="008D1F48" w:rsidRDefault="0022339F" w:rsidP="0022339F">
      <w:pPr>
        <w:pStyle w:val="NormalHanging12a"/>
        <w:widowControl/>
        <w:rPr>
          <w:szCs w:val="24"/>
        </w:rPr>
      </w:pPr>
      <w:r w:rsidRPr="008D1F48">
        <w:t>E.</w:t>
      </w:r>
      <w:r w:rsidRPr="008D1F48">
        <w:tab/>
        <w:t>Eppos processuella beslut är föremål för kontroll av de nationella domstolarna i enlighet med nationell lagstiftning, och Europeiska unionens domstol (</w:t>
      </w:r>
      <w:r w:rsidRPr="008D1F48">
        <w:rPr>
          <w:i/>
          <w:iCs/>
        </w:rPr>
        <w:t>domstolen</w:t>
      </w:r>
      <w:r w:rsidRPr="008D1F48">
        <w:t xml:space="preserve">) säkerställer genom förhandsavgöranden eller rättslig prövning en konsekvent tillämpning av </w:t>
      </w:r>
      <w:r w:rsidRPr="008D1F48">
        <w:lastRenderedPageBreak/>
        <w:t>unionsrätten, särskilt en enhetlig tolkning av förordning (EU) 2017/1939 och direktiv (EU) 2017/1371.</w:t>
      </w:r>
    </w:p>
    <w:p w14:paraId="4B58EB59" w14:textId="4DF8A013" w:rsidR="0022339F" w:rsidRPr="008D1F48" w:rsidRDefault="0022339F" w:rsidP="0022339F">
      <w:pPr>
        <w:pStyle w:val="NormalHanging12a"/>
        <w:rPr>
          <w:szCs w:val="24"/>
        </w:rPr>
      </w:pPr>
      <w:r w:rsidRPr="008D1F48">
        <w:t>F.</w:t>
      </w:r>
      <w:r w:rsidRPr="008D1F48">
        <w:tab/>
        <w:t>Eppo består av en central nivå med huvudkontor i Luxemburg, bestående av den europeiska chefsåklagaren, 24 europeiska åklagare (en per deltagande medlemsstat efter Polens och Sveriges anslutning till Eppo, som ägde rum den 20 mars respektive den 19 juli 2024), den administrativa direktören, samt en decentraliserad nationell nivå bestående av de europeiska delegerade åklagarna i de 24 deltagande medlemsstaterna.</w:t>
      </w:r>
    </w:p>
    <w:p w14:paraId="2D498DAD" w14:textId="5621E8B2" w:rsidR="0022339F" w:rsidRPr="008D1F48" w:rsidRDefault="0022339F" w:rsidP="0022339F">
      <w:pPr>
        <w:spacing w:after="240"/>
        <w:ind w:left="567" w:hanging="567"/>
        <w:rPr>
          <w:szCs w:val="24"/>
        </w:rPr>
      </w:pPr>
      <w:r w:rsidRPr="008D1F48">
        <w:t>G.</w:t>
      </w:r>
      <w:r w:rsidRPr="008D1F48">
        <w:tab/>
        <w:t>På central nivå utgör den europeiska chefsåklagaren och de 24 europeiska åklagarna Eppos kollegium (kollegiet) som är fördelade på 15 permanenta avdelningar med uppgift att övervaka de europeiska delegerade åklagarnas utredningar och åtal på nationell nivå. Dessa agerar helt oberoende från sina nationella myndigheter.</w:t>
      </w:r>
    </w:p>
    <w:p w14:paraId="79CCDF3D" w14:textId="6DE8CECD" w:rsidR="0022339F" w:rsidRPr="008D1F48" w:rsidRDefault="0022339F" w:rsidP="0022339F">
      <w:pPr>
        <w:pStyle w:val="NormalHanging12a"/>
        <w:rPr>
          <w:szCs w:val="24"/>
        </w:rPr>
      </w:pPr>
      <w:r w:rsidRPr="008D1F48">
        <w:t>H.</w:t>
      </w:r>
      <w:r w:rsidRPr="008D1F48">
        <w:tab/>
        <w:t>Enligt artikel 93 i förordning (EU) 2017/1939 ska Eppos administrativa direktör, som agerar som Eppos behöriga utanordnare, genomföra budgeten under eget ansvar och inom de begränsningar som tillåts i budgeten och ska varje år till unionens budgetmyndighet översända alla uppgifter av betydelse för resultatet av eventuella utvärderingsförfaranden.</w:t>
      </w:r>
    </w:p>
    <w:p w14:paraId="439D2C9C" w14:textId="17527C05" w:rsidR="0022339F" w:rsidRPr="008D1F48" w:rsidRDefault="0022339F" w:rsidP="0022339F">
      <w:pPr>
        <w:pStyle w:val="NormalHanging12a"/>
        <w:rPr>
          <w:szCs w:val="24"/>
        </w:rPr>
      </w:pPr>
      <w:r w:rsidRPr="008D1F48">
        <w:t>I.</w:t>
      </w:r>
      <w:r w:rsidRPr="008D1F48">
        <w:tab/>
        <w:t>I enlighet med artikel 50.2 i Eppos finansiella regler ska kommissionens räkenskapsförare också fungera som Eppos räkenskapsförare och är ansvarig för utarbetandet av årsredovisningen, som konsolideras med unionens årsredovisning.</w:t>
      </w:r>
    </w:p>
    <w:p w14:paraId="7FC5237A" w14:textId="526C94DF" w:rsidR="0022339F" w:rsidRPr="008D1F48" w:rsidRDefault="0022339F" w:rsidP="0022339F">
      <w:pPr>
        <w:pStyle w:val="NormalHanging12a"/>
        <w:rPr>
          <w:szCs w:val="24"/>
        </w:rPr>
      </w:pPr>
      <w:r w:rsidRPr="008D1F48">
        <w:t>J.</w:t>
      </w:r>
      <w:r w:rsidRPr="008D1F48">
        <w:tab/>
        <w:t>Enligt den nuvarande ramen granskas den slutliga årsredovisningen av revisionsrätten, och det är rådet som rekommenderar och Europaparlamentet som beslutar om huruvida Eppos administrativa direktör ska beviljas ansvarsfrihet för genomförandet av budgeten för ett visst budgetår.</w:t>
      </w:r>
    </w:p>
    <w:p w14:paraId="48EEF21C" w14:textId="2A980CAC" w:rsidR="0022339F" w:rsidRPr="008D1F48" w:rsidRDefault="0022339F" w:rsidP="0022339F">
      <w:pPr>
        <w:pStyle w:val="NormalHanging12a"/>
        <w:rPr>
          <w:szCs w:val="24"/>
        </w:rPr>
      </w:pPr>
      <w:r w:rsidRPr="008D1F48">
        <w:t>K.</w:t>
      </w:r>
      <w:r w:rsidRPr="008D1F48">
        <w:tab/>
        <w:t>Granskningen av förvaltningen av Eppos resurser och tillhörande utgifter måste beakta granskningen av den operativa verksamheten, inbegripet metoderna för dess genomförande, dess konsekvenser och dess effekter och förväntas ta hänsyn till de särskilda förhållandena för åtals- och utredningsåtgärder genom en kontinuerlig utvärdering för att säkerställa att resurserna förblir tillräckliga och används effektivt för att säkerställa operativ framgång.</w:t>
      </w:r>
    </w:p>
    <w:p w14:paraId="11CB0081" w14:textId="262AFE46" w:rsidR="0022339F" w:rsidRPr="008D1F48" w:rsidRDefault="0022339F" w:rsidP="0022339F">
      <w:pPr>
        <w:pStyle w:val="NormalHanging12a"/>
        <w:rPr>
          <w:szCs w:val="24"/>
        </w:rPr>
      </w:pPr>
      <w:r w:rsidRPr="008D1F48">
        <w:t>L.</w:t>
      </w:r>
      <w:r w:rsidRPr="008D1F48">
        <w:tab/>
        <w:t>Eppo har verkat självständigt i genomförandet av sin budget först sedan den 24 juni 2021, och inledde sin operativa verksamhet den 1 juni 2021, vilket också är den tidpunkt från och med vilken den femårsperiod som anges i artikel 119 i förordning (EU) 2017/1939 börjar löpa (dies a quo), varefter kommissionen ska lägga fram en utvärderingsrapport för parlamentet, rådet och de nationella parlamenten om genomförandet och effekterna av denna förordning och om ändamålsenligheten och effektiviteten i Eppos arbete samt dess arbetsmetoder, tillsammans med sina slutsatser.</w:t>
      </w:r>
    </w:p>
    <w:p w14:paraId="33DF10A8" w14:textId="5A698A76" w:rsidR="0022339F" w:rsidRPr="008D1F48" w:rsidRDefault="0022339F" w:rsidP="0022339F">
      <w:pPr>
        <w:pStyle w:val="NormalHanging12a"/>
        <w:rPr>
          <w:szCs w:val="24"/>
        </w:rPr>
      </w:pPr>
      <w:r w:rsidRPr="008D1F48">
        <w:t>M.</w:t>
      </w:r>
      <w:r w:rsidRPr="008D1F48">
        <w:tab/>
        <w:t>Enligt artikel 119.2 i förordning (EU) 2017/1939 ska kommissionen lägga fram lagstiftningsförslag till parlamentet och rådet om den anser att det är nödvändigt med ytterligare eller mer detaljerade regler för inrättandet av Eppo, dess funktioner eller för de förfaranden som är tillämpliga på dess verksamhet, däribland dess gränsöverskridande utredningar.</w:t>
      </w:r>
    </w:p>
    <w:p w14:paraId="0F8ED4ED" w14:textId="1DF1B234" w:rsidR="0022339F" w:rsidRPr="008D1F48" w:rsidRDefault="0022339F" w:rsidP="0022339F">
      <w:pPr>
        <w:pStyle w:val="NormalHanging12a"/>
        <w:rPr>
          <w:szCs w:val="24"/>
        </w:rPr>
      </w:pPr>
      <w:r w:rsidRPr="008D1F48">
        <w:t>N.</w:t>
      </w:r>
      <w:r w:rsidRPr="008D1F48">
        <w:tab/>
        <w:t xml:space="preserve">Varje förslag från kommissionen om en översyn av Eppos regelverk kan endast läggas </w:t>
      </w:r>
      <w:r w:rsidRPr="008D1F48">
        <w:lastRenderedPageBreak/>
        <w:t>fram efter att vederbörlig hänsyn har tagits till de resolutioner som parlamentet har antagit sedan Eppo inledde sin operativa verksamhet, och efter att Eppos roll inom unionens bedrägeribekämpningsstruktur har beaktats, vars översyn kommissionen inledde i september 2025 till följd av parlamentets uppmaningar att göra detta.</w:t>
      </w:r>
    </w:p>
    <w:p w14:paraId="758B3E0B" w14:textId="77777777" w:rsidR="0022339F" w:rsidRPr="008D1F48" w:rsidRDefault="0022339F" w:rsidP="0022339F">
      <w:pPr>
        <w:pStyle w:val="NormalHanging12a"/>
      </w:pPr>
      <w:r w:rsidRPr="008D1F48">
        <w:t>1.</w:t>
      </w:r>
      <w:r w:rsidRPr="008D1F48">
        <w:tab/>
        <w:t>Europaparlamentet välkomnar revisionsrättens positiva uttalande om tillförlitligheten i Eppos räkenskaper för det budgetår som slutade den 31 december 2024 och om lagligheten och korrektheten i de intäkter och betalningar som ligger till grund för räkenskaperna.</w:t>
      </w:r>
    </w:p>
    <w:p w14:paraId="79D823CE" w14:textId="77777777" w:rsidR="0022339F" w:rsidRPr="008D1F48" w:rsidRDefault="0022339F" w:rsidP="0022339F">
      <w:pPr>
        <w:pStyle w:val="NormalHanging12a"/>
      </w:pPr>
      <w:r w:rsidRPr="008D1F48">
        <w:t>2.</w:t>
      </w:r>
      <w:r w:rsidRPr="008D1F48">
        <w:tab/>
        <w:t>Europaparlamentet erkänner Eppos betydelse för skyddet av unionens ekonomiska intressen, särskilt unionens budget. Parlamentet påminner om sitt starka stöd för inrättandet av Eppo och uttrycker uppskattning för det arbete som Eppo utför när det gäller att utreda och lagföra brott såsom bedrägeri, korruption och grovt gränsöverskridande momsbedrägeri. Parlamentet upprepar att Eppo har en central roll när det gäller att skydda unionens ekonomiska intressen och understryker att den utgör en hörnsten i unionens strategi för bedrägeribekämpning och i unionens bredare styrningssystem som bygger på integritet, ansvarsskyldighet, transparens och sund ekonomisk förvaltning.</w:t>
      </w:r>
    </w:p>
    <w:p w14:paraId="73E280C1" w14:textId="77777777" w:rsidR="0022339F" w:rsidRPr="008D1F48" w:rsidRDefault="0022339F" w:rsidP="0022339F">
      <w:pPr>
        <w:pStyle w:val="NormalHanging12a"/>
      </w:pPr>
      <w:r w:rsidRPr="008D1F48">
        <w:t>3.</w:t>
      </w:r>
      <w:r w:rsidRPr="008D1F48">
        <w:tab/>
        <w:t>Europaparlamentet betonar Eppos unika roll när det gäller unionens brottsbekämpning som åklagarmyndighet och påpekar att Eppo på grund av sin karaktär är skyldig att utreda alla frågor som omfattas av dess behörighet när den får kännedom om dem. Parlamentet påminner om att enligt Eppos årsrapport hade Eppo i slutet av 2024 hanterat 6 547 brottsanmälningar (56 % mer än 2023) och 2 666 aktiva utredningar (omkring 38 % mer än 2023) med uppskattade skador på 24,8 miljarder EUR (19,27 miljarder EUR 2023 och 14,1 miljarder EUR 2022) och att domare godkände beslut om frysning till ett värde av 2,42 miljarder EUR (jämfört med 1,5 miljarder EUR 2023). Parlamentet betonar att de ständigt ökande siffrorna bekräftar att resurserna bör anpassas till de operativa behoven för att stärka Eppos oberoende. Parlamentet uppmanar kommissionen att skyndsamt anslå de resurser som krävs för att Eppo ska kunna fullgöra sina uppgifter och säkerställa framsteg och ett snabbt slutförande av utredningarna, inbegripet utredningen av förvärvet av covid-19-vaccin i unionen, som inleddes 2022 och fortfarande pågår i enlighet med sekretessregler utan offentliggörande av uppgifter för att skydda förfarandets integritet. Parlamentet påminner om att transparens måste vägas mot oskuldspresumtionen och respekt för pågående rättsliga förfaranden. Parlamentet uppmuntrar Eppo att upprätthålla tydlig offentlig kommunikation när det är rättsligt tillåtet. Parlamentet betonar att personalresurser och ekonomiska resurser som tilldelas Eppo för mycket komplexa ärenden med stora budget- och anseendeeffekter måste säkerställa att utredningarna genomförs noggrant och att information om deras status och slutförande tillhandahålls på ett ansvarsfullt sätt, med full respekt för rättsliga begränsningar.</w:t>
      </w:r>
    </w:p>
    <w:p w14:paraId="5372741B" w14:textId="77777777" w:rsidR="0022339F" w:rsidRPr="008D1F48" w:rsidRDefault="0022339F" w:rsidP="0022339F">
      <w:pPr>
        <w:widowControl/>
        <w:spacing w:after="240"/>
        <w:ind w:left="567" w:hanging="567"/>
        <w:rPr>
          <w:b/>
          <w:i/>
          <w:szCs w:val="24"/>
        </w:rPr>
      </w:pPr>
      <w:r w:rsidRPr="008D1F48">
        <w:rPr>
          <w:b/>
          <w:i/>
        </w:rPr>
        <w:t>Budgetförvaltning och ekonomisk förvaltning</w:t>
      </w:r>
    </w:p>
    <w:p w14:paraId="68DD23B8" w14:textId="5C4E267E" w:rsidR="0022339F" w:rsidRPr="008D1F48" w:rsidRDefault="0022339F" w:rsidP="0022339F">
      <w:pPr>
        <w:pStyle w:val="NormalHanging12a"/>
        <w:rPr>
          <w:bCs/>
          <w:szCs w:val="24"/>
        </w:rPr>
      </w:pPr>
      <w:r w:rsidRPr="008D1F48">
        <w:t>4.</w:t>
      </w:r>
      <w:r w:rsidRPr="008D1F48">
        <w:tab/>
        <w:t>Europaparlamentet noterar att den totala slutliga budget som tilldelades Eppo för 2024 var 76 382 368 EUR, vilket var en betydande ökning från de 65,9 miljoner EUR som tilldelades 2023 och de 51,2 miljoner EUR som tilldelades 2022.</w:t>
      </w:r>
    </w:p>
    <w:p w14:paraId="06B049FA" w14:textId="77777777" w:rsidR="0022339F" w:rsidRPr="008D1F48" w:rsidRDefault="0022339F" w:rsidP="0022339F">
      <w:pPr>
        <w:pStyle w:val="NormalHanging12a"/>
        <w:rPr>
          <w:bCs/>
          <w:iCs/>
        </w:rPr>
      </w:pPr>
      <w:r w:rsidRPr="008D1F48">
        <w:t>5.</w:t>
      </w:r>
      <w:r w:rsidRPr="008D1F48">
        <w:tab/>
        <w:t xml:space="preserve">Europaparlamentet påpekar att den ursprungliga budgeten för 2024 (71 888 321 EUR), som godkändes av unionens budgetmyndighet, var 24 % lägre än den budget som Eppo </w:t>
      </w:r>
      <w:r w:rsidRPr="008D1F48">
        <w:lastRenderedPageBreak/>
        <w:t>begärde i sina beräkningar av inkomster och utgifter för 2024, även om den var 9 % högre jämfört med föregående år. Parlamentet konstaterar att två ändringsbudgetar antogs under 2024 och att budgeten, på Eppos begäran i februari 2024, i juni 2024 ökades med 3 600 000 EUR, tillsammans med ekonomiska resurser och personalresurser för att täcka de ökade kostnaderna till följd av Polens och Sveriges deltagande i Eppo. Parlamentet understryker att denna ökning skulle täcka lönerna för de ytterligare europeiska delegerade åklagare som ska utses i Polen och Sverige samt för den personal som ska anställas och därmed sammanhängande driftsutgifter, men att en del av dessa ytterligare medel tilldelades personal vid det centrala åklagarkontoret för att förbereda projektet för it-autonomi, vilket föranleddes av att kommissionens it-tjänster upphörde. Parlamentet noterar att anslagsnivån, genom den andra ändringsbudgeten i november 2024, ökades med 894 047 EUR på förslag av unionens budgetmyndighet, för att hantera den höga nivån på löneindexeringen under 2024, och att eftersom Eppo redan hade använt en del av sin första ändringsbudget för att i förväg täcka löneindexeringen, som var högre än förväntat, omfördelades de ytterligare beviljade resurserna till säkerhetsrelaterade utgifter. Parlamentet anser att det återkommande behovet av ändringsbudgetar visar att det behövs en mer realistisk metod för förhandsbudgetering och ett tidigare och mer strukturerat samarbete med Eppo under det årliga budgetförfarandet.</w:t>
      </w:r>
    </w:p>
    <w:p w14:paraId="3412A029" w14:textId="3D27930E" w:rsidR="0022339F" w:rsidRPr="008D1F48" w:rsidRDefault="0022339F" w:rsidP="0022339F">
      <w:pPr>
        <w:pStyle w:val="NormalHanging12a"/>
        <w:rPr>
          <w:bCs/>
          <w:szCs w:val="24"/>
        </w:rPr>
      </w:pPr>
      <w:r w:rsidRPr="008D1F48">
        <w:t>6.</w:t>
      </w:r>
      <w:r w:rsidRPr="008D1F48">
        <w:tab/>
        <w:t>Europaparlamentet noterar att tre budgetöverföringar antogs under 2024 i enlighet med artikel 26 i Eppos finansiella regler, vilka ger den europeiska chefsåklagaren rätt att, på grundval av ett förslag från den administrativa direktören, överföra anslag från en avdelning till en annan upp till högst 10 % av anslagen för budgetåret samt från ett kapitel till ett annat eller inom varje kapitel utan begränsning. Parlamentet konstaterar att det sammanlagda nettovärdet av dessa överföringar uppgick till 3,2 miljoner EUR, jämfört med 1,2 miljoner EUR under 2023, och att sådana överföringar krävdes för utvecklingen av programmet för it-autonomi, för den begärda regleringen av närskyddstjänsterna inom ramen för servicenivåavtalet med kommissionens generaldirektorat för personal och säkerhet samt för ändringar i löneuppdateringen, i syfte att anpassa sig till den högre än förväntade löneindexeringen, som uppgick till 7,2 % jämfört med det ursprungliga budgetantagandet på 3,4 %.</w:t>
      </w:r>
    </w:p>
    <w:p w14:paraId="49972268" w14:textId="77777777" w:rsidR="0022339F" w:rsidRPr="008D1F48" w:rsidRDefault="0022339F" w:rsidP="0022339F">
      <w:pPr>
        <w:pStyle w:val="NormalHanging12a"/>
        <w:rPr>
          <w:bCs/>
          <w:szCs w:val="24"/>
        </w:rPr>
      </w:pPr>
      <w:r w:rsidRPr="008D1F48">
        <w:t>7.</w:t>
      </w:r>
      <w:r w:rsidRPr="008D1F48">
        <w:tab/>
        <w:t xml:space="preserve">Europaparlamentet konstaterar att Eppos budgetbehov fortfarande är mycket svåra att bedöma på grund av särdragen i dess verksamhet, eftersom Eppos verksamhet inbegriper en oförutsägbar nivå av upptäckt av bedrägerier och en mängd olika ärendetyper. Parlamentet är medvetet om att Eppo inte har något utrymme för skönsmässig bedömning när det gäller att väcka åtal och saknar möjligheter att påverka de resurser och de förfarandemässiga begränsningar i de nationella system som Eppo är beroende av för sin utredningsverksamhet. Parlamentet konstaterar att även om avsaknaden av ett fast samband mellan antalet utredningar och kostnaderna för dessa också gör det svårt att förutse utgifterna, påminner parlamentet om behovet av att skydda ett ökande antal unionsmedel och om att komplexiteten i det regelverk som styr deras användning ytterligare komplicerar utredningarna, inte bara när det gäller faciliteten för återhämtning och resiliens och dess aldrig tidigare skådade genomförandemetod, utan även med tanke på den höga utgiftsnivån. Parlamentet anser att denna situation tyder på behovet av ytterligare tilldelning av resurser för att finansiera Eppos verksamhet och upprepar behovet av att Eppo förses med tillräckliga resurser för att på ett adekvat sätt kunna fullgöra sitt uppdrag. Parlamentet anser att denna brist på förutsägbarhet skulle kunna motivera inrättandet av en särskild beredskapsmekanism för budgeten utan att det påverkar behovet av en realistisk </w:t>
      </w:r>
      <w:r w:rsidRPr="008D1F48">
        <w:lastRenderedPageBreak/>
        <w:t>förhandsbudget som återspeglar trender när det gäller arbetsbelastningen, för att göra det möjligt för Eppo att reagera effektivt på plötsliga ökningar av arbetsbelastningen.</w:t>
      </w:r>
    </w:p>
    <w:p w14:paraId="460FBDA2" w14:textId="77777777" w:rsidR="0022339F" w:rsidRPr="008D1F48" w:rsidRDefault="0022339F" w:rsidP="0022339F">
      <w:pPr>
        <w:pStyle w:val="NormalHanging12a"/>
        <w:rPr>
          <w:bCs/>
          <w:szCs w:val="24"/>
        </w:rPr>
      </w:pPr>
      <w:r w:rsidRPr="008D1F48">
        <w:t>8.</w:t>
      </w:r>
      <w:r w:rsidRPr="008D1F48">
        <w:tab/>
        <w:t>Europaparlamentet har förstått att 2024 var ett svårt år för Eppo, eftersom myndigheten behövde hantera en ökning av sin arbetsbelastning i de 22 deltagande medlemsstaterna, genomföra utvidgningen med Polen och Sverige samt samtidigt uppnå it-autonomi från kommissionen. Parlamentet noterar att Eppo under 2024 begärde 45 tjänster enligt tjänsteförteckningen för it-autonomi och senare 37 tjänster i en ändringsbudget, men att båda begärandena avslogs. Parlamentet konstaterar att bristen på ytterligare resurser för att uppnå it-autonomi särskilt ledde till att personal som ursprungligen var avsedd att stödja verksamheten behövde omfördelas till it-sektorn och att entreprenörer som redan jobbar i Eppos lokaler fick tas i anspråk. Parlamentet anser att det fortfarande är viktigt att bevilja finansiering för att säkerställa fullständig it-autonomi och stark cybersäkerhet för Eppo, så att operativa störningar förhindras. Parlamentet betonar att det fortsatta beroendet av externa kontraktsanställda och det faktum att operativ personal har omdirigerats för att ägna sig åt it-uppgifter, till följd av bristen på tjänster i tjänsteförteckningen med avseende på it-autonomin, riskerar att undergräva Eppos utredningskapacitet och långsiktiga institutionella resiliens. Parlamentet uppmanar budgetmyndigheten att tillhandahålla särskilda och hållbara personalresurser för Eppos digitala oberoende, för att värna om utredningarnas effektivitet och cybersäkerheten.</w:t>
      </w:r>
    </w:p>
    <w:p w14:paraId="64EABF20" w14:textId="32414D6A" w:rsidR="0022339F" w:rsidRPr="008D1F48" w:rsidRDefault="0022339F" w:rsidP="0022339F">
      <w:pPr>
        <w:pStyle w:val="NormalHanging12a"/>
        <w:rPr>
          <w:bCs/>
          <w:szCs w:val="24"/>
        </w:rPr>
      </w:pPr>
      <w:r w:rsidRPr="008D1F48">
        <w:t>9.</w:t>
      </w:r>
      <w:r w:rsidRPr="008D1F48">
        <w:tab/>
        <w:t>Europaparlamentet påpekar att genomförandegraden för budgeten för räkenskapsåret 2024 uppgick till 98,5 %, över den förväntade prestationsindikatorn på 95 % och i linje med tidigare år (99,6 % 2023 och 98,1 % 2022). Parlamentet uppskattar att Eppo för andra året i rad inte har återlämnat några medel till unionens budgetmyndighet, vilket visar på en stabil förmåga att absorbera den beviljade budgeten. Parlamentet påpekar att den totala genomförandegraden för betalningar under 2024 uppgick till 86,4 % av Eppos slutliga budget, med en genomsnittlig betalningstid på 16,7 dagar, tack vare ökad användning av e-fakturering, vilket innebär en förbättring jämfört med tidigare år (2023: 85,3 % med 17 dagars genomsnittlig betalningstid; 2022: 76,6 % med 23,8 dagars genomsnittlig betalningstid). Parlamentet konstaterar att procentandelen sena betalningar förblev stabil och mycket låg (0,85 % av det totala antalet betalningar 2024, jämfört med 0,86 % 2023, eller 1,09 % av det totala stödbeloppet 2024, jämfört med 1,08 % 2023).</w:t>
      </w:r>
    </w:p>
    <w:p w14:paraId="1CB30F36" w14:textId="0E43A05F" w:rsidR="0022339F" w:rsidRPr="008D1F48" w:rsidRDefault="0022339F" w:rsidP="0022339F">
      <w:pPr>
        <w:pStyle w:val="NormalHanging12a"/>
        <w:rPr>
          <w:bCs/>
          <w:szCs w:val="24"/>
        </w:rPr>
      </w:pPr>
      <w:r w:rsidRPr="008D1F48">
        <w:t>10.</w:t>
      </w:r>
      <w:r w:rsidRPr="008D1F48">
        <w:tab/>
        <w:t>Europaparlamentet konstaterar att Eppo, i linje med tidigare år och i linje med strategin som prioriterar de operativa utgifterna i samband med utrednings-, åklagar och säkerhetsåtgärder, 2024 använde 44,6 % av sin budget för operativ verksamhet (jämfört med 43 % 2023 och 41 % 2022), där de viktigaste kostnadsdrivande faktorerna var ersättningen till de europeiska delegerade åklagarna följt av operativ IKT-verksamhet (19 %), såsom underhåll och utveckling av Eppos ärendehanteringssystem samt språktjänster (10 %). Parlamentet noterar att Eppos budget huvudsakligen användes för utgifter för tillfälligt anställda (33,6 %, 25 671 160 EUR, jämfört med 32,2 % 2023) och ersättningen till europeiska delegerade åklagare (23,9 %, 18 252 391 EUR, jämfört med 22,1 % 2023), följt av kostnader för språktjänster (4,6 %, 3 491 000 EUR, jämfört med 6,2 % 2023) och operativa IKT-produkter (hårdvara eller mjukvara) (4,5 %, 3 426 711 EUR, jämfört med 5,5 % 2023).</w:t>
      </w:r>
    </w:p>
    <w:p w14:paraId="1C5B4344" w14:textId="536C0D37" w:rsidR="0022339F" w:rsidRPr="008D1F48" w:rsidRDefault="0022339F" w:rsidP="0022339F">
      <w:pPr>
        <w:pStyle w:val="NormalHanging12a"/>
        <w:rPr>
          <w:bCs/>
          <w:szCs w:val="24"/>
        </w:rPr>
      </w:pPr>
      <w:r w:rsidRPr="008D1F48">
        <w:t>11.</w:t>
      </w:r>
      <w:r w:rsidRPr="008D1F48">
        <w:tab/>
        <w:t xml:space="preserve">Europaparlamentet noterar att 2024 tillkännagavs Polens och Sveriges deltagande och att budgeten för 2024 endast delvis berördes på grund av det gradvisa införandet av två europeiska åklagare och ett antal europeiska delegerade åklagare. Parlamentet </w:t>
      </w:r>
      <w:r w:rsidRPr="008D1F48">
        <w:lastRenderedPageBreak/>
        <w:t>konstaterar att den ökning för 2024 som godkändes av unionens budgetmyndighet innebar ytterligare 20 tjänster vid det centrala kontoret och ytterligare europeiska delegerade åklagare inför Polens och Sveriges deltagande i Eppo.</w:t>
      </w:r>
    </w:p>
    <w:p w14:paraId="74304777" w14:textId="77777777" w:rsidR="0022339F" w:rsidRPr="008D1F48" w:rsidRDefault="0022339F" w:rsidP="0022339F">
      <w:pPr>
        <w:pStyle w:val="NormalHanging12a"/>
      </w:pPr>
      <w:r w:rsidRPr="008D1F48">
        <w:t>12.</w:t>
      </w:r>
      <w:r w:rsidRPr="008D1F48">
        <w:tab/>
        <w:t>Europaparlamentet konstaterar att kostnaderna för operativa uppdrag ökade ytterligare något under 2024 och uppgick till 1 292 000 EUR (jämfört med 1 175 000 EUR 2023 och 980 000 EUR 2022), vilket motsvarade cirka 3,7 % av de totala operativa anslagen (34,1 miljoner EUR), men att nivån totalt sett är i linje med den ökande intensiteten i utredningarna och stabil vad gäller värdet. Parlamentet noterar att de totala resekostnaderna har minskat, att Eppo främjar användningen av videokonferensanläggningar som ett kostnadseffektivt och säkert alternativ till tjänsteresor, samt att deltagande i onlinemöten är standardpraxis för intern samordning och utbyten med medlemsstaternas myndigheter och unionens partner, men att tjänsteresor fortsätter att vara nödvändiga i operativa och rättsliga sammanhang, för att säkerställa ett enhetligt tillvägagångssätt i Eppo vad gäller utbildning och initiativ för att öka medvetenheten hos berörda parter.</w:t>
      </w:r>
    </w:p>
    <w:p w14:paraId="7B32902C" w14:textId="7343D35D" w:rsidR="0022339F" w:rsidRPr="008D1F48" w:rsidRDefault="0022339F" w:rsidP="0022339F">
      <w:pPr>
        <w:pStyle w:val="NormalHanging12a"/>
        <w:rPr>
          <w:bCs/>
        </w:rPr>
      </w:pPr>
      <w:r w:rsidRPr="008D1F48">
        <w:t>13.</w:t>
      </w:r>
      <w:r w:rsidRPr="008D1F48">
        <w:tab/>
        <w:t>Europaparlamentet erinrar om att, enligt artikel 107 i förordning (EU) 2017/1939, ska de översättningstjänster som krävs för Eppos administrativa verksamhet på central nivå tillhandahållas av översättningscentrum för Europeiska unionens organ, men att brådskande ärenden och utredningsändamål tillåter de europeiska delegerade åklagarna att själva besluta om översättningsförfaranden i enlighet med tillämplig nationell lagstiftning. Parlamentet konstaterar att kostnaderna för översättnings- och tolkningstjänster under 2024 minskade till 3 491 000 EUR, motsvarande 10 % av de operativa anslagen (jämfört med 4 086 500 EUR, eller 14 %, 2023). Parlamentet noterar att 88,8 % av dokumenten i ärendehanteringssystemet maskinöversattes (8,8 % över prestationsindikatorn) och uppskattar Eppos insatser för att förbättra kostnadseffektiviteten i översättningstjänsterna.</w:t>
      </w:r>
    </w:p>
    <w:p w14:paraId="5DD1D035" w14:textId="0C109591" w:rsidR="0022339F" w:rsidRPr="008D1F48" w:rsidRDefault="0022339F" w:rsidP="0022339F">
      <w:pPr>
        <w:pStyle w:val="NormalHanging12a"/>
        <w:rPr>
          <w:bCs/>
        </w:rPr>
      </w:pPr>
      <w:r w:rsidRPr="008D1F48">
        <w:t>14.</w:t>
      </w:r>
      <w:r w:rsidRPr="008D1F48">
        <w:tab/>
        <w:t>Europaparlamentet konstaterar att Eppo under 2024 inledde 15 upphandlingsförfaranden och tilldelade 9 kontrakt (4 förfaranden ställdes in) och att 2 var öppna förfaranden medan 12 var förhandlade förfaranden. Parlamentet noterar det intensiva utnyttjandet av Eppos ramavtal, vilket resulterade i att Eppo 2024 undertecknade 288 specifika avtal inom ramen för befintliga ramavtal (jämfört med 234 år 2023), till ett totalt värde av mer än 13 miljoner EUR (jämfört med 11 miljoner EUR 2023), samtidigt som inget avtal ingicks genom förhandlat förfarande utan föregående offentliggörande av ett meddelande om upphandling. Parlamentet erinrar om att cirka 65 % av de kontrakt som tilldelades direkt av Eppo 2024 gick till små och medelstora företag, varav alla utom tre kom från samma medlemsstat. Parlamentet noterar att Eppo har utvecklat sin egen upphandlingskapacitet, har hanterat sina egna specifika kontrakt vid genomförandet av befintliga ramavtal och parallellt fortsatt att verka genom servicenivåavtal med andra av unionens institutioner, organ, kontor och byråer samt genom att delta i interinstitutionella avtal med olika marknadsaktörer. Parlamentet uppskattar att alla Eppos upphandlingsförfaranden och all kontraktshantering under 2024 utfördes med digitala it-verktyg, vilket ligger i linje med målet för prestationsindikatorn. Parlamentet erinrar om att användningen av interinstitutionella ramavtal möjliggör att stordriftsfördelar maximeras, säkerställer sund ekonomisk förvaltning å ena sidan och kompenserar för bristen på tillgängliga personalresurser å andra sidan.</w:t>
      </w:r>
    </w:p>
    <w:p w14:paraId="552D7491" w14:textId="73469C09" w:rsidR="0022339F" w:rsidRPr="008D1F48" w:rsidRDefault="0022339F" w:rsidP="0022339F">
      <w:pPr>
        <w:pStyle w:val="NormalHanging12a"/>
        <w:rPr>
          <w:bCs/>
          <w:szCs w:val="24"/>
        </w:rPr>
      </w:pPr>
      <w:r w:rsidRPr="008D1F48">
        <w:t>15.</w:t>
      </w:r>
      <w:r w:rsidRPr="008D1F48">
        <w:tab/>
        <w:t xml:space="preserve">Europaparlamentet uppskattar den positiva utvecklingen av överförda anslag från </w:t>
      </w:r>
      <w:r w:rsidRPr="008D1F48">
        <w:lastRenderedPageBreak/>
        <w:t>föregående budgetår (2023), som uppgick till 9 392 990 EUR eller 14,2 % (jämfört med 10 969 680 EUR eller 24,4 % 2022), varav 96,9 % utnyttjades (jämfört med 84,8 % 2023 och 90,8 % 2022) och endast 3,1 % annullerades (jämfört med 15,2 % 2023 och 9,2 % 2022). Parlamentet noterar att överföringen av betalningsbemyndiganden från 2024 till 2025 uppgick till 9 200 802 EUR, vilket är relativt stabilt jämfört med motsvarande belopp från 2023 till 2024. Parlamentet konstaterar att överföringarna huvudsakligen berodde på anslag som reserverats i slutet av året för operativa digitala investeringar och utestående belopp på kontrakt med externa tjänsteleverantörer.</w:t>
      </w:r>
    </w:p>
    <w:p w14:paraId="4BDDCD6B" w14:textId="76DD0698" w:rsidR="0022339F" w:rsidRPr="008D1F48" w:rsidRDefault="0022339F" w:rsidP="0022339F">
      <w:pPr>
        <w:pStyle w:val="NormalHanging12a"/>
        <w:rPr>
          <w:bCs/>
        </w:rPr>
      </w:pPr>
      <w:r w:rsidRPr="008D1F48">
        <w:t>16.</w:t>
      </w:r>
      <w:r w:rsidRPr="008D1F48">
        <w:tab/>
        <w:t>Europaparlamentet upprepar att finansieringsöversikten från 2017 inte längre är ändamålsenlig. Parlamentet betonar att den nuvarande finansieringsöversikten hindrar Eppo från att genomföra en halvtidsöversyn av budgeten, vilket medför att Eppo tvingas invänta slutskedet av budgetförfarandet innan klarhet kan erhållas om den resursnivå som kan genomföras under det efterföljande året. Parlamentet understryker att detta begränsar Eppos förmåga att i god tid förutse och förbereda budgetgenomförandet och i synnerhet påverkar det tidiga inledandet av rekryteringen, vilket fördröjer uppnåendet av full beläggning och minskar Eppos samlade absorptionsförmåga samt i praktiken förhindrar utarbetandet av en övergripande personalstrategi som inte enbart är ett resultat av årliga budgetförhandlingar. Parlamentet påpekar att det är avgörande att säkerställa största möjliga flexibilitet för utvecklingen av en innovativ organisationsmodell såsom Eppo. Parlamentet anser att finansieringsöversikten bör ses över oberoende av eventuella förändringar av Eppos mandat och senast inom ramen för översynen av förordning (EU) 2017/1939, för vilken kommissionen har inlett en utvärdering.</w:t>
      </w:r>
    </w:p>
    <w:p w14:paraId="171E6D8C" w14:textId="1852E2D7" w:rsidR="0022339F" w:rsidRPr="008D1F48" w:rsidRDefault="0022339F" w:rsidP="0022339F">
      <w:pPr>
        <w:pStyle w:val="NormalHanging12a"/>
        <w:rPr>
          <w:szCs w:val="24"/>
        </w:rPr>
      </w:pPr>
      <w:r w:rsidRPr="008D1F48">
        <w:t>17.</w:t>
      </w:r>
      <w:r w:rsidRPr="008D1F48">
        <w:tab/>
        <w:t>Europaparlamentet uppskattar den fortlöpande förstärkningen av Eppos administrativa kapacitet, som successivt åtgärdar inledande svagheter till följd av Eppos strategi att begränsa de icke-operativa utgifterna till grundläggande stödtjänster. Parlamentet upprepar att de budget- och personalresurser som tilldelas Eppo förväntas vara tillräckliga för att möjliggöra ett effektivt och framgångsrikt genomförande av dess mandat och en normal hantering av tillhörande administrativa förfaranden. Parlamentet påminner om att ytterligare finansiering och förstärkning av Eppos personal är avgörande för att Eppo ska kunna bekämpa momsbedrägeri, skydda unionens ekonomiska intressen och upprätthålla rättsstatsprincipen, som är centrala prioriteringar för unionen. Parlamentet upprepar sin uppmaning till kommissionen att se över Eppos budgetram i nära samarbete med Eppo för att hitta lämpliga sätt att stödja Eppos arbete. Parlamentet erinrar om att kommissionen i ändringsskrivelse 1/2022 åtog sig att tillhandahålla parlamentet en personalbedömning senast vid utgången av 2023 och att detta underströks i punkt 5 i Europaparlamentets resolution av den 25 april 2024 om rådets ståndpunkt om förslaget till ändringsbudget nr 3 till den allmänna budgeten för 2024 – Förstärkning av Europeiska åklagarmyndigheten efter Polens anslutning och Sveriges förväntade deltagande. Parlamentet beklagar att kommissionen varken har tillhandahållit en sådan bedömning eller samrått eller kommunicerat med Eppo i fråga om personalbedömningen, och att kommissionen trots detta varken har godkänt Eppos begäranden eller inlett en dialog om en uppdaterad bedömning av de faktiska behoven. Parlamentet uppmanar kommissionen att anslå ytterligare resurser, vilket är motiverat med hänsyn till det ökande antalet komplicerade ärenden, och betonar att dessa inte bör vara beroende av översynen av förordning (EU) 2017/1939 och Eppos mandat, utan snarare av vikten av att bekämpa organiserad brottslighet och skydda unionens ekonomiska intressen i nästa fleråriga budgetram.</w:t>
      </w:r>
    </w:p>
    <w:p w14:paraId="055D4803" w14:textId="77777777" w:rsidR="0022339F" w:rsidRPr="008D1F48" w:rsidRDefault="0022339F" w:rsidP="0022339F">
      <w:pPr>
        <w:pStyle w:val="NormalHanging12a"/>
        <w:rPr>
          <w:iCs/>
        </w:rPr>
      </w:pPr>
      <w:r w:rsidRPr="008D1F48">
        <w:lastRenderedPageBreak/>
        <w:t>18.</w:t>
      </w:r>
      <w:r w:rsidRPr="008D1F48">
        <w:tab/>
        <w:t>Europaparlamentet upprepar att de budget- och personalresurser som tilldelats Eppo fortfarande är strukturellt otillräckliga med tanke på myndighetens snabbt ökande arbetsbelastning, särskilt när det gäller ärenden som rör faciliteten för återhämtning och resiliens och gränsöverskridande momsbedrägerier, som skadar den inre marknaden och rättvis konkurrens. Parlamentet uppmanar med kraft kommissionen att inleda en dialog med Eppo för att genomföra den personalbedömning som tillkännagavs i ändringsskrivelse 1/2022 om resursbehov som är anpassade till operativa krav. Parlamentet betonar att en översyn av den inaktuella finansieringsöversikten från 2017 är nödvändig för att återspegla indikatorerna för verklig arbetsbelastning och att denna översyn inte kan villkoras av en ändring av mandatet, med tanke på utvidgningen av unionens ekonomiska intressen som står på spel. Parlamentet uppmanar kommissionen att utan dröjsmål lägga fram en uppdaterad bedömning av personalbehov och ekonomiska behov, som utarbetats i nära samråd med Eppo på grundval av mätbara indikatorer för arbetsbelastningen och ärendena. Parlamentet uppmanar kommissionen att se till att framtida budgetförslag baseras på uppdaterade indikatorer för arbetsbelastning snarare än föråldrade antaganden.</w:t>
      </w:r>
    </w:p>
    <w:p w14:paraId="66A05EC0" w14:textId="77777777" w:rsidR="0022339F" w:rsidRPr="008D1F48" w:rsidRDefault="0022339F" w:rsidP="0022339F">
      <w:pPr>
        <w:pStyle w:val="NormalHanging12a"/>
      </w:pPr>
      <w:r w:rsidRPr="008D1F48">
        <w:t>19.</w:t>
      </w:r>
      <w:r w:rsidRPr="008D1F48">
        <w:tab/>
        <w:t>Europaparlamentet betonar att kriminella organisationers tillvägagångssätt i allt högre grad är gränsöverskridande och strukturerat på grundval av återkommande användning av komplexa företagsstrukturer som täckmantel samt ogenomskinliga rättsliga konstruktioner som används i flera jurisdiktioner med olika nivåer av efterlevnad av unionsrätten. Parlamentet framhåller att den organiserade brottslighetens strategi syftar till att bedrägligt avleda unionsmedel och dölja brottsvinster genom penningtvättsverksamhet som påverkar den lagliga ekonomin och även tar sig uttryck i storskaligt gränsöverskridande momsbedrägeri. Parlamentet påpekar att dessa brottsupplägg systematiskt utnyttjar fragmentering av lagstiftningen och processuella asymmetrier mellan medlemsstaterna samt de inneboende begränsningarna i brottsbekämpande och rättsliga myndigheters nationella fokus. Parlamentet understryker i detta sammanhang mervärdet av Eppos åtgärder, som gör det möjligt att fylla de luckor som uppstår till följd av bristande samordning mellan nationella initiativ och som utgör det mest effektiva instrumentet för att störa gränsöverskridande kriminell verksamhet och ingripa till skydd för unionens ekonomiska intressen och den inre marknaden. Parlamentet efterlyser konkreta åtgärder för att stärka Eppo-utredningarnas operativa effektivitet, särskilt genom att hantera strukturella hinder som fortsätter att förhindra gränsöverskridande utredningar. Parlamentet betonar behovet av minimikrav för harmoniseringen av förfarandena i de deltagande medlemsstaterna på områden som direkt påverkar arbetet för europeiska delegerade åklagare såsom tillgång till bevis, tidsfrister för rättsliga tillstånd och regler för utredningsåtgärder. Parlamentet uppmanar med kraft medlemsstaterna att bevilja Eppo direkt och säker tillgång till centrala nationella databaser såsom tullsystem, skatteregister och register över verkligt huvudmannaskap, samtidigt som man säkerställer fullständig överensstämmelse med gällande krav på skydd av personuppgifter.</w:t>
      </w:r>
    </w:p>
    <w:p w14:paraId="315FC66A" w14:textId="77777777" w:rsidR="0022339F" w:rsidRPr="008D1F48" w:rsidRDefault="0022339F" w:rsidP="0022339F">
      <w:pPr>
        <w:pStyle w:val="NormalHanging12a"/>
      </w:pPr>
      <w:r w:rsidRPr="008D1F48">
        <w:t>20.</w:t>
      </w:r>
      <w:r w:rsidRPr="008D1F48">
        <w:tab/>
        <w:t xml:space="preserve">Europaparlamentet noterar slutsatserna och rekommendationerna från revisionsrätten i dess särskilda rapport 02/2025 </w:t>
      </w:r>
      <w:r w:rsidRPr="008D1F48">
        <w:rPr>
          <w:i/>
          <w:iCs/>
        </w:rPr>
        <w:t>Prestationsinriktning, ansvarsutkrävande och insyn – lärdomar från bristerna i faciliteten för återhämtning och resiliens</w:t>
      </w:r>
      <w:r w:rsidRPr="008D1F48">
        <w:rPr>
          <w:vertAlign w:val="superscript"/>
        </w:rPr>
        <w:footnoteReference w:id="15"/>
      </w:r>
      <w:r w:rsidRPr="008D1F48">
        <w:t xml:space="preserve">. Parlamentet uppmanar till en öronmärkt ökning av finansieringen inom ramen för nästa fleråriga budgetram för att säkerställa att Eppo även fortsättningsvis kan uppfylla sina mål och skyldigheter mot bakgrund av den ökade komplexiteten i finansieringsinstrumenten, </w:t>
      </w:r>
      <w:r w:rsidRPr="008D1F48">
        <w:lastRenderedPageBreak/>
        <w:t>som kan utsätta unionsmedlen för en högre risk för bedrägerier och brister i förvaltningen.</w:t>
      </w:r>
    </w:p>
    <w:p w14:paraId="424BA21B" w14:textId="77777777" w:rsidR="0022339F" w:rsidRPr="008D1F48" w:rsidRDefault="0022339F" w:rsidP="0022339F">
      <w:pPr>
        <w:pStyle w:val="NormalHanging12a"/>
      </w:pPr>
      <w:r w:rsidRPr="008D1F48">
        <w:t>21.</w:t>
      </w:r>
      <w:r w:rsidRPr="008D1F48">
        <w:tab/>
        <w:t>Europaparlamentet noterar att kostnaderna under 2024 för åtgärder enligt artikel 91.6 i förordning (EU) 2017/1939 (exceptionellt kostsamma åtgärder som genomförs av nationella myndigheter och täcks av Eppo) förblev marginella (0,1 % av den operativa budgeten, jämfört med 0,4 % 2023). Parlamentet noterar att en första finansieringsöverenskommelse undertecknades 2023 inom ramen för ett pilotprojekt om ersättning av fordringar enligt artikel 91.6 i förordning (EU) 2017/1939 och ska täcka kostnaderna för de åtgärder som genomförs på nationell nivå på Eppos vägnar och att revisionsrätten granskade posten 2023 och bedömde att den var laglig och korrekt. Parlamentet anser att denna bestämmelse ger Eppo möjlighet att ingripa effektivt i gränsöverskridande utredningsscenarier där en medlemsstat kan tveka att sätta in sina resurser med hänsyn till ett obalanserat kostnads-nyttoförhållande. Parlamentet uppmanar kommissionen att undersöka hur användningen av denna möjlighet av medlemsstaterna och Eppo kan göras mer strategiskt effektiv och att se till att Eppo har nödvändiga resurser för detta ändamål.</w:t>
      </w:r>
    </w:p>
    <w:p w14:paraId="6A96B83A" w14:textId="77777777" w:rsidR="0022339F" w:rsidRPr="008D1F48" w:rsidRDefault="0022339F" w:rsidP="0022339F">
      <w:pPr>
        <w:widowControl/>
        <w:spacing w:after="240"/>
        <w:ind w:left="567" w:hanging="567"/>
        <w:rPr>
          <w:b/>
          <w:i/>
          <w:szCs w:val="24"/>
        </w:rPr>
      </w:pPr>
      <w:r w:rsidRPr="008D1F48">
        <w:rPr>
          <w:b/>
          <w:i/>
        </w:rPr>
        <w:t>Intern förvaltning och intern kontroll – prestation</w:t>
      </w:r>
    </w:p>
    <w:p w14:paraId="332681C8" w14:textId="77777777" w:rsidR="0022339F" w:rsidRPr="008D1F48" w:rsidRDefault="0022339F" w:rsidP="0022339F">
      <w:pPr>
        <w:pStyle w:val="NormalHanging12a"/>
      </w:pPr>
      <w:r w:rsidRPr="008D1F48">
        <w:t>22.</w:t>
      </w:r>
      <w:r w:rsidRPr="008D1F48">
        <w:tab/>
        <w:t>Europaparlamentet är medvetet om att kollegiet ansvarar för den övergripande tillsynen över Eppos verksamhet och för att fatta beslut i strategiska frågor, och att det under 2024 sammanträdde 20 gånger och antog 70 beslut. Parlamentet anser att kollegiets beslut säkerställer samstämmighet, effektivitet och konsekvens i Eppos lagföringspolicy i samtliga deltagande medlemsstater. Parlamentet välkomnar de beslut som kollegiet antog under 2024 om arbetsarrangemangen för formerna för samarbetet med parlamentet och Europeiska utrikestjänsten samt de reviderade bilagorna till avtalet med kommissionen. Parlamentet konstaterar att kollegiet även ändrade reglerna för annan personal som ställs till Europeiska åklagarmyndighetens förfogande utan att vara anställd där, inbegripet nationella europeiska delegerade åklagares assistenter, och införde ett bostadsbidrag för vissa personalkategorier som är stationerade i Luxemburg. Parlamentet noterar att kollegiet, i egenskap av tillsättningsmyndighet, utsåg europeiska delegerade åklagare i Österrike, Belgien, Bulgarien, Frankrike, Tyskland, Grekland, Italien, Nederländerna, Polen och Sverige samt utsåg ledamöter av etikkommittén och av disciplinnämnden för europeiska delegerade åklagare och den tillförordnade administrativa direktören.</w:t>
      </w:r>
      <w:r w:rsidRPr="008D1F48">
        <w:rPr>
          <w:i/>
        </w:rPr>
        <w:t xml:space="preserve"> </w:t>
      </w:r>
      <w:r w:rsidRPr="008D1F48">
        <w:t>Parlamentet noterar kollegiets beslut under 2024 i budgetrelaterade frågor, såsom antagandet av Eppos samlade programplaneringsdokument för perioden 2024–2026, de slutliga räkenskaperna för budgetåret 2023, Eppos konsoliderade årliga verksamhetsrapport för 2023, det samlade programplaneringsdokumentet för perioden 2025–2027, budgeten för 2025 och det tillhörande finansieringsbeslutet för 2025 samt ändringar av budgeten och det samlade programplaneringsdokumentet. Parlamentet noterar vidare att kollegiet även antog säkerhetsregler som är tillämpliga på Eppos digitala kommunikations- och informationssystem samt säkerhetsstrategin för perioden 2024–2028.</w:t>
      </w:r>
    </w:p>
    <w:p w14:paraId="674DA108" w14:textId="77777777" w:rsidR="0022339F" w:rsidRPr="008D1F48" w:rsidRDefault="0022339F" w:rsidP="0022339F">
      <w:pPr>
        <w:pStyle w:val="NormalHanging12a"/>
      </w:pPr>
      <w:r w:rsidRPr="008D1F48">
        <w:t>23.</w:t>
      </w:r>
      <w:r w:rsidRPr="008D1F48">
        <w:tab/>
        <w:t xml:space="preserve">Europaparlamentet noterar att de permanenta avdelningarna under 2024 höll 491 sammanträden för att övervaka och styra de utredningar och åtal som genomfördes av de europeiska delegerade åklagarna, vilka tilldelades slumpmässigt omedelbart efter registrering, samt för att säkerställa samordningen av utredningar och åtal i gränsöverskridande ärenden och samstämmighet, effektivitet och konsekvens i Eppos lagföringspolicy i samtliga deltagande medlemsstater genom genomförandet av de </w:t>
      </w:r>
      <w:r w:rsidRPr="008D1F48">
        <w:lastRenderedPageBreak/>
        <w:t>beslut som antagits av kollegiet.</w:t>
      </w:r>
    </w:p>
    <w:p w14:paraId="2827A5C5" w14:textId="3ED5220E" w:rsidR="0022339F" w:rsidRPr="008D1F48" w:rsidRDefault="0022339F" w:rsidP="0022339F">
      <w:pPr>
        <w:pStyle w:val="NormalHanging12a"/>
      </w:pPr>
      <w:r w:rsidRPr="008D1F48">
        <w:t>24.</w:t>
      </w:r>
      <w:r w:rsidRPr="008D1F48">
        <w:tab/>
        <w:t>Europaparlamentet anser att de befintliga interna kontrollsystemen generellt sett är effektiva. Parlamentet noterar att nyckelprestationsindikatorer har fastställts för att kvartalsvis övervaka genomförandet av de årliga och fleråriga arbetsprogrammen. Parlamentet konstaterar att 2024 års bedömning av ramen för intern kontroll bekräftade mätbara framsteg i införandet av interna kontroller och att riskbedömningen för 2025 genomfördes genom särskilda workshoppar på operativ och administrativ nivå, följt av en uppdaterad riskhanteringspolicy som godkändes av kollegiet den 26 februari 2025.</w:t>
      </w:r>
    </w:p>
    <w:p w14:paraId="140F45B2" w14:textId="118845A9" w:rsidR="0022339F" w:rsidRPr="008D1F48" w:rsidRDefault="0022339F" w:rsidP="0022339F">
      <w:pPr>
        <w:pStyle w:val="NormalHanging12a"/>
      </w:pPr>
      <w:r w:rsidRPr="008D1F48">
        <w:t>25.</w:t>
      </w:r>
      <w:r w:rsidRPr="008D1F48">
        <w:tab/>
        <w:t>Europaparlamentet vidhåller att kommissionens tjänst för internrevision och Eppos internrevisionsfunktion bör samordna sina åtgärder i syfte att ge råd till och bistå Eppo i inrättandet av dess viktigaste processer och uppnåendet av dess mål. Parlamentet konstaterar att det inte fanns några gemensamma rådgivande initiativ mellan tjänsten för internrevision och internrevisionsfunktionen 2024. Parlamentet välkomnar att efter utnämningen av den nya chefen för internrevisionsfunktionen i september 2024 har insatserna inriktats på uppföljning av tidigare revisionsrekommendationer, utarbetande av internrevisionsfunktionens standardiserade tillvägagångssätt samt på att förbereda och lämna in den strategiska revisionsplanen för 2025–2027 till kollegiet för godkännande.</w:t>
      </w:r>
    </w:p>
    <w:p w14:paraId="28F169F3" w14:textId="33E51E51" w:rsidR="0022339F" w:rsidRPr="008D1F48" w:rsidRDefault="0022339F" w:rsidP="0022339F">
      <w:pPr>
        <w:pStyle w:val="NormalHanging12a"/>
      </w:pPr>
      <w:r w:rsidRPr="008D1F48">
        <w:t>26.</w:t>
      </w:r>
      <w:r w:rsidRPr="008D1F48">
        <w:tab/>
        <w:t>Europaparlamentet erinrar om att Eppos internrevisor för icke-operativa frågor 2023 inledde en begränsad översyn av Eppos kontrolldelar som ligger till grund för revisionsförklaringen, vilken avslutades 2024. Parlamentet noterar att samtliga rekommendationer åtgärdades, vilket resulterade i ytterligare förbättringar av garantiramen och styrningsprocesserna, inklusive formalisering av förfaranden, förbättrad dokumentation och digitalisering av planerings- och programplaneringsprocesser, justeringar av ramen för intern kontroll samt ett stärkt tillvägagångssätt för riskhantering. Parlamentet konstaterar att tjänsten för internrevision från november 2024 till slutet av januari 2025 genomförde ett rådgivande uppdrag om it med avseende på Eppos it-autonomi, och att den rådgivande slutrapporten utfärdades i slutet av 2024. Parlamentet noterar vidare att rekommendationer och ansvarsfrihetskrav från externa och interna revisioner fortsatte att följas upp regelbundet under 2024.</w:t>
      </w:r>
    </w:p>
    <w:p w14:paraId="507A502A" w14:textId="77777777" w:rsidR="0022339F" w:rsidRPr="008D1F48" w:rsidRDefault="0022339F" w:rsidP="0022339F">
      <w:pPr>
        <w:pStyle w:val="NormalHanging12a"/>
      </w:pPr>
      <w:r w:rsidRPr="008D1F48">
        <w:t>27.</w:t>
      </w:r>
      <w:r w:rsidRPr="008D1F48">
        <w:tab/>
        <w:t>Europaparlamentet noterar att Eppo fortsatt sina insatser för att införa ett system för att övervaka effektivitetsvinster och kostnadsbesparingar, och noterar att Eppo under 2024 inledde en översyn av de strategiska och operativa planerings- och övervakningsprocesserna (för att öka förmågan att bidra till Eppos strategiska fokus och uppnå en varaktigt hög genomförande- eller absorptionsgrad av tillgängliga resurser) samt upprättade en strategisk planering av mänskliga resurser på medellång sikt, för att möjliggöra ökat genomförande av tjänsteförteckningen och åtgärda personalbrister genom rekrytering eller yrkesmässig utveckling. Parlamentet konstaterar att Eppo i detta sammanhang även har inlett arbetet med mer specifika arbetsbeskrivningsramar för att anpassa personalen till strategin och bidra till att upprätthålla ett högt personalengagemang.</w:t>
      </w:r>
    </w:p>
    <w:p w14:paraId="7F6240A2" w14:textId="77C8CC8F" w:rsidR="0022339F" w:rsidRPr="008D1F48" w:rsidRDefault="0022339F" w:rsidP="0022339F">
      <w:pPr>
        <w:pStyle w:val="Default"/>
        <w:spacing w:after="240"/>
        <w:ind w:left="567" w:hanging="567"/>
        <w:rPr>
          <w:rFonts w:ascii="Times New Roman" w:hAnsi="Times New Roman" w:cs="Times New Roman"/>
          <w:color w:val="auto"/>
        </w:rPr>
      </w:pPr>
      <w:r w:rsidRPr="008D1F48">
        <w:rPr>
          <w:rFonts w:ascii="Times New Roman" w:hAnsi="Times New Roman"/>
          <w:color w:val="auto"/>
        </w:rPr>
        <w:t>28.</w:t>
      </w:r>
      <w:r w:rsidRPr="008D1F48">
        <w:rPr>
          <w:rFonts w:ascii="Times New Roman" w:hAnsi="Times New Roman"/>
          <w:color w:val="auto"/>
        </w:rPr>
        <w:tab/>
        <w:t xml:space="preserve">Europaparlamentet noterar att den riktmärkning som genomfördes av internrevisionsfunktionen tillsammans med Eppos personal kartlade personalen enligt samma principer som används i andra organisationer. Parlamentet konstaterar att jämförelser av Eppos personalresurser med ett urval av andra unionsenheter och </w:t>
      </w:r>
      <w:r w:rsidRPr="008D1F48">
        <w:rPr>
          <w:rFonts w:ascii="Times New Roman" w:hAnsi="Times New Roman"/>
          <w:color w:val="auto"/>
        </w:rPr>
        <w:lastRenderedPageBreak/>
        <w:t>nationella åklagarmyndigheter, utifrån en standardiserad uppsättning pelare, har möjliggjort identifiering av brister i fördelningen av personal jämfört med andra unionsinstitutioner. Parlamentet konstaterar att denna modell har använts som referens för Eppos budgetbegäran, men endast avseende administrativa funktioner och stödfunktioner, eftersom den unika karaktären hos Eppos kärnverksamhet förhindrar användning som specifik referens för Eppos operativa verksamhetsområde.</w:t>
      </w:r>
    </w:p>
    <w:p w14:paraId="77567DD6" w14:textId="77777777" w:rsidR="0022339F" w:rsidRPr="008D1F48" w:rsidRDefault="0022339F" w:rsidP="0022339F">
      <w:pPr>
        <w:pStyle w:val="Default"/>
        <w:spacing w:after="240"/>
        <w:ind w:left="567" w:hanging="567"/>
        <w:rPr>
          <w:rFonts w:ascii="Times New Roman" w:hAnsi="Times New Roman" w:cs="Times New Roman"/>
          <w:color w:val="auto"/>
        </w:rPr>
      </w:pPr>
      <w:r w:rsidRPr="008D1F48">
        <w:rPr>
          <w:rFonts w:ascii="Times New Roman" w:hAnsi="Times New Roman"/>
          <w:color w:val="auto"/>
        </w:rPr>
        <w:t>29.</w:t>
      </w:r>
      <w:r w:rsidRPr="008D1F48">
        <w:rPr>
          <w:rFonts w:ascii="Times New Roman" w:hAnsi="Times New Roman"/>
          <w:color w:val="auto"/>
        </w:rPr>
        <w:tab/>
        <w:t>Europaparlamentet uppskattar Eppos insatser för att förbättra den interna kontrollmiljön. Parlamentet påpekar att det 2024 inrättades en uppsättning standarder för uppförande, processer och strukturer. Parlamentet uppmanar Eppo att så snart som möjligt åtgärda de frågor som fortfarande kvarstår avseende policyn för intressekonflikter, policyn för utbildning och utveckling, policyn för intern rörlighet, policyn för hantering av sårbarheter och patchar, efterträdarplanering samt rutiner vid avslut av anställning.</w:t>
      </w:r>
    </w:p>
    <w:p w14:paraId="4C2665AA" w14:textId="77777777" w:rsidR="0022339F" w:rsidRPr="008D1F48" w:rsidRDefault="0022339F" w:rsidP="0022339F">
      <w:pPr>
        <w:pStyle w:val="Default"/>
        <w:spacing w:after="240"/>
        <w:ind w:left="567" w:hanging="567"/>
        <w:rPr>
          <w:rFonts w:ascii="Times New Roman" w:hAnsi="Times New Roman" w:cs="Times New Roman"/>
          <w:color w:val="auto"/>
        </w:rPr>
      </w:pPr>
      <w:r w:rsidRPr="008D1F48">
        <w:rPr>
          <w:rFonts w:ascii="Times New Roman" w:hAnsi="Times New Roman"/>
          <w:color w:val="auto"/>
        </w:rPr>
        <w:t>30.</w:t>
      </w:r>
      <w:r w:rsidRPr="008D1F48">
        <w:rPr>
          <w:rFonts w:ascii="Times New Roman" w:hAnsi="Times New Roman"/>
          <w:color w:val="auto"/>
        </w:rPr>
        <w:tab/>
        <w:t>Europaparlamentet noterar att 2024 års självbedömning av de interna kontrollerna baserades på utvärderingen av indikatorerna för intern kontroll och genomförandet av Eppos strategi 2023–2025, på resultaten av Eppos riskhanteringspolicy samt på efterhandskontrollerna. Parlamentet uppskattar att vad gäller bedömningen av komponenterna för intern kontroll har 55 av 71 efterlevnadskriterier (77 %) genomförts framgångsrikt, medan 15 kriterier (22 %) har genomförts delvis och kräver ytterligare utveckling, och att endast ett kriterium (1 %) ännu inte har genomförts i någon större utsträckning. Parlamentet konstaterar att av de 11 öppna iakttagelserna är 10 uppföljningar från tidigare bedömningar, medan en utgör en nyligen identifierad fråga under 2024, samtidigt som fyra brister som påpekades i 2023 års bedömning har åtgärdats helt.</w:t>
      </w:r>
    </w:p>
    <w:p w14:paraId="78170C63" w14:textId="77777777" w:rsidR="0022339F" w:rsidRPr="008D1F48" w:rsidRDefault="0022339F" w:rsidP="0022339F">
      <w:pPr>
        <w:pStyle w:val="Default"/>
        <w:spacing w:after="240"/>
        <w:ind w:left="567" w:hanging="567"/>
        <w:rPr>
          <w:rFonts w:ascii="Times New Roman" w:hAnsi="Times New Roman" w:cs="Times New Roman"/>
          <w:color w:val="auto"/>
        </w:rPr>
      </w:pPr>
      <w:r w:rsidRPr="008D1F48">
        <w:rPr>
          <w:rFonts w:ascii="Times New Roman" w:hAnsi="Times New Roman"/>
          <w:color w:val="auto"/>
        </w:rPr>
        <w:t>31.</w:t>
      </w:r>
      <w:r w:rsidRPr="008D1F48">
        <w:rPr>
          <w:rFonts w:ascii="Times New Roman" w:hAnsi="Times New Roman"/>
          <w:color w:val="auto"/>
        </w:rPr>
        <w:tab/>
        <w:t>Europaparlamentet stöder Eppos fortsatta insatser för att förbättra riskkontrollerna och proaktivt hantera både befintliga och framväxande risker. Parlamentet anser att Eppos kontrollverksamhet ger tillräcklig säkerhet om riskreducering och noterar att internkontrolltjänstemannen under 2024 ledde en serie workshoppar med relevanta chefer för att bedöma risker, inklusive framväxande och bedrägerirelaterade risker, vilket resulterade i identifiering av nya framväxande risker, huvudsakligen inom digitala tjänster, säkerhet och operativa verksamheter, som speglar det föränderliga risklandskapet.</w:t>
      </w:r>
    </w:p>
    <w:p w14:paraId="274325CE" w14:textId="77777777" w:rsidR="0022339F" w:rsidRPr="008D1F48" w:rsidRDefault="0022339F" w:rsidP="0022339F">
      <w:pPr>
        <w:pStyle w:val="NormalHanging12a"/>
      </w:pPr>
      <w:r w:rsidRPr="008D1F48">
        <w:t>32.</w:t>
      </w:r>
      <w:r w:rsidRPr="008D1F48">
        <w:tab/>
        <w:t>Europaparlamentet noterar att Eppos strategi för bedrägeribekämpning 2023–2025, som uppdaterades 2023 i enlighet med kraven i förordning (EU) 2017/1939 och Eppos finansiella regler, är kopplad till en handlingsplan som ingår i Eppos interna kontrollmiljö, övervakas årligen och granskades 2024. Parlamentet konstaterar att genomförandet under 2024 fokuserade på medvetandegörande, med 17 utbildningstillfällen som organiserades om Eppos etiska ram, strategi för bedrägeribekämpning och kod för god förvaltningssed, som hade ett brett personaldeltagande. Parlamentet välkomnar antagandet av visselblåsarprocessen, vilken genomfördes i början av 2025. Parlamentet påpekar att, i väntan på antagandet av en heltäckande strategi för intressekonflikter, kvarstår skyldigheter och deklarationsförfaranden för den högsta ledningen och personal som är involverad i ekonomihanteringsprocesser, upphandlingar och rekrytering. Parlamentet efterlyser ett snabbt antagande av övergripande riktlinjer för hantering av intressekonflikter, för att säkerställa allmänhetens förtroende för Eppos integritetsram.</w:t>
      </w:r>
    </w:p>
    <w:p w14:paraId="560E22C8" w14:textId="77777777" w:rsidR="0022339F" w:rsidRPr="008D1F48" w:rsidRDefault="0022339F" w:rsidP="0022339F">
      <w:pPr>
        <w:pStyle w:val="BodyText"/>
        <w:kinsoku w:val="0"/>
        <w:overflowPunct w:val="0"/>
        <w:spacing w:after="240" w:line="240" w:lineRule="auto"/>
        <w:ind w:left="567" w:hanging="567"/>
        <w:rPr>
          <w:rFonts w:ascii="Times New Roman" w:hAnsi="Times New Roman" w:cs="Times New Roman"/>
          <w:b w:val="0"/>
          <w:bCs w:val="0"/>
          <w:sz w:val="24"/>
          <w:szCs w:val="24"/>
        </w:rPr>
      </w:pPr>
      <w:r w:rsidRPr="008D1F48">
        <w:rPr>
          <w:rFonts w:ascii="Times New Roman" w:hAnsi="Times New Roman"/>
          <w:b w:val="0"/>
          <w:sz w:val="24"/>
        </w:rPr>
        <w:lastRenderedPageBreak/>
        <w:t>33.</w:t>
      </w:r>
      <w:r w:rsidRPr="008D1F48">
        <w:rPr>
          <w:rFonts w:ascii="Times New Roman" w:hAnsi="Times New Roman"/>
          <w:b w:val="0"/>
          <w:sz w:val="24"/>
        </w:rPr>
        <w:tab/>
        <w:t>Europaparlamentet noterar att Eppo, med avseende på sina utrednings- och åklagaruppgifter, har omarbetat de interna processer som stöder dess utredningar, bland annat genom att utveckla verktyg för att förbättra effektiviteten i informationshanteringen och förbindelserna med flera partner, utveckla särskild programvara, förbättra kvaliteten på översättningstjänster och minska behovet av mänsklig översättning samt de kostnader som är förknippade därmed, samt genom att undersöka hur AI kan användas för att bättre hantera de stora informationsvolymer som Eppo bearbetar, med tekniska, rättsliga och etiska aspekter i åtanke. Parlamentet uppskattar i detta avseende Eppos insatser för att inrätta nyckelprestationsindikatorer kopplade till dess speciella verksamhetsmodell. Parlamentet välkomnar initiativ för att förbättra rapporteringen av resultat och understryker vikten av snabb, korrekt och transparent rapportering till parlamentet för att visa effekterna av Eppos åtgärder när det gäller skyddet av unionens ekonomiska intressen. Parlamentet vidhåller att det fortfarande finns ett behov av att rapportera om de belopp som beslagtagits, förverkats och slutligen återvunnits till unionens budget, vars skydd i slutändan är skälet till unionens bedrägeribekämpningsstruktur som Eppo är en viktig del av.</w:t>
      </w:r>
    </w:p>
    <w:p w14:paraId="77592F6A" w14:textId="77777777" w:rsidR="0022339F" w:rsidRPr="008D1F48" w:rsidRDefault="0022339F" w:rsidP="0022339F">
      <w:pPr>
        <w:pStyle w:val="BodyText"/>
        <w:kinsoku w:val="0"/>
        <w:overflowPunct w:val="0"/>
        <w:spacing w:after="240" w:line="240" w:lineRule="auto"/>
        <w:ind w:left="567" w:hanging="567"/>
        <w:rPr>
          <w:rFonts w:ascii="Times New Roman" w:hAnsi="Times New Roman" w:cs="Times New Roman"/>
          <w:b w:val="0"/>
          <w:bCs w:val="0"/>
          <w:sz w:val="24"/>
          <w:szCs w:val="24"/>
        </w:rPr>
      </w:pPr>
      <w:r w:rsidRPr="008D1F48">
        <w:rPr>
          <w:rFonts w:ascii="Times New Roman" w:hAnsi="Times New Roman"/>
          <w:b w:val="0"/>
          <w:sz w:val="24"/>
        </w:rPr>
        <w:t>34.</w:t>
      </w:r>
      <w:r w:rsidRPr="008D1F48">
        <w:rPr>
          <w:rFonts w:ascii="Times New Roman" w:hAnsi="Times New Roman"/>
          <w:b w:val="0"/>
          <w:sz w:val="24"/>
        </w:rPr>
        <w:tab/>
        <w:t>Europaparlamentet förstår att övervaknings- och uppföljningsåtgärder, inbegripet rapportering om återkravsresultaten, inte ingår i Eppos ansvarsområde och kräver resurser och särskilda befogenheter. Parlamentet upprepar sin uppmaning till kommissionen att inom ramen för översynen av bedrägeribekämpningsstrukturen fastställa de mest lämpliga mekanismerna för att säkerställa ett kontinuerligt flöde av data och information för att möjliggöra korrekt analys. Parlamentet betonar att ett förbättrat övervakningssystem och mer detaljerade uppgifter, uppdelade efter typ av överträdelse, intresseområde eller geografisk region, är nödvändiga för att identifiera bedrägerimönster och skulle göra effekten av Eppos utredningar mer påtagliga.</w:t>
      </w:r>
    </w:p>
    <w:p w14:paraId="337CF0C4" w14:textId="77777777" w:rsidR="0022339F" w:rsidRPr="008D1F48" w:rsidRDefault="0022339F" w:rsidP="0022339F">
      <w:pPr>
        <w:widowControl/>
        <w:autoSpaceDE w:val="0"/>
        <w:autoSpaceDN w:val="0"/>
        <w:adjustRightInd w:val="0"/>
        <w:spacing w:after="240"/>
        <w:ind w:left="567" w:hanging="567"/>
        <w:rPr>
          <w:rFonts w:ascii="Segoe UI" w:hAnsi="Segoe UI" w:cs="Segoe UI"/>
          <w:sz w:val="23"/>
          <w:szCs w:val="23"/>
        </w:rPr>
      </w:pPr>
      <w:r w:rsidRPr="008D1F48">
        <w:t>35.</w:t>
      </w:r>
      <w:r w:rsidRPr="008D1F48">
        <w:tab/>
        <w:t>Europaparlamentet noterar att Eppo har antagit sin kontinuitetsplan. Parlamentet uppmuntrar Eppo att även anta sin digitala strategi och sin strategi för hantering av sårbarheter och patchar (som båda för närvarande är under utveckling).</w:t>
      </w:r>
      <w:r w:rsidRPr="008D1F48">
        <w:rPr>
          <w:i/>
        </w:rPr>
        <w:t xml:space="preserve"> </w:t>
      </w:r>
      <w:r w:rsidRPr="008D1F48">
        <w:t>Parlamentet noterar att Eppo fortfarande gör framsteg med utvecklingen av nyckelprestationsindikatorer, som ännu inte har fastställts för ett specifikt område, och med en strukturerad utvärdering av risktoleransnivåer.</w:t>
      </w:r>
    </w:p>
    <w:p w14:paraId="5B2D6166" w14:textId="77777777" w:rsidR="0022339F" w:rsidRPr="008D1F48" w:rsidRDefault="0022339F" w:rsidP="0022339F">
      <w:pPr>
        <w:spacing w:after="240"/>
        <w:ind w:left="567" w:hanging="567"/>
        <w:rPr>
          <w:szCs w:val="24"/>
        </w:rPr>
      </w:pPr>
      <w:r w:rsidRPr="008D1F48">
        <w:t>36.</w:t>
      </w:r>
      <w:r w:rsidRPr="008D1F48">
        <w:tab/>
        <w:t>Europaparlamentet understryker den kraftiga och kontinuerliga ökningen av brottsanmälningar som lämnats till Eppo, vilka uppgick till 6 547 den 31 december 2024 (56 % fler än 2023, då de var 4 187), vilket resulterade i inledandet av 1 504 utredningar (nästan 10 % fler än 2023, då Eppo inledde 1 371 utredningar, vilket motsvarar 58 % fler än 2022).</w:t>
      </w:r>
      <w:r w:rsidRPr="008D1F48">
        <w:rPr>
          <w:i/>
        </w:rPr>
        <w:t xml:space="preserve"> </w:t>
      </w:r>
      <w:r w:rsidRPr="008D1F48">
        <w:t>Parlamentet konstaterar att denna ökning huvudsakligen drivits av anmälningar från privata aktörer (4 623, vilket är 85 % fler än 2023 och avsevärt över prestationsindikatorns intervall), samt från nationella myndigheter (1 760, vilket är 12 % fler än 2023). Parlamentet beklagar att Eppo bland unionens institutioner, organ, kontor och byråer under 2024 endast mottog 113 brottsanmälningar (108 under 2023), varav den största delen (59) kom från Olaf (72 under 2023). Parlamentet konstaterar att, i jämförelse med den ökande trenden av oriktigheter och bedrägerier, är upptäcktsnivån fortfarande inte optimal, vilket tyder på att ingen betydande förbättring i fråga om upptäckt och rapportering har uppnåtts.</w:t>
      </w:r>
    </w:p>
    <w:p w14:paraId="76FE69DB" w14:textId="77777777" w:rsidR="0022339F" w:rsidRPr="008D1F48" w:rsidRDefault="0022339F" w:rsidP="0022339F">
      <w:pPr>
        <w:spacing w:after="240"/>
        <w:ind w:left="567" w:hanging="567"/>
      </w:pPr>
      <w:r w:rsidRPr="008D1F48">
        <w:t>37.</w:t>
      </w:r>
      <w:r w:rsidRPr="008D1F48">
        <w:tab/>
        <w:t xml:space="preserve">Europaparlamentet understryker att Eppo den 31 december 2024 hade 2 666 pågående utredningar (omkring 38 % mer än 2023 då de var 1 927) och att procentandelen gränsöverskridande ärenden som rörde flera länder var stabil (29 % 2024 och 28 % </w:t>
      </w:r>
      <w:r w:rsidRPr="008D1F48">
        <w:lastRenderedPageBreak/>
        <w:t>2023).</w:t>
      </w:r>
    </w:p>
    <w:p w14:paraId="192FF4AA" w14:textId="77777777" w:rsidR="0022339F" w:rsidRPr="008D1F48" w:rsidRDefault="0022339F" w:rsidP="0022339F">
      <w:pPr>
        <w:spacing w:after="240"/>
        <w:ind w:left="567" w:hanging="567"/>
      </w:pPr>
      <w:r w:rsidRPr="008D1F48">
        <w:t>38.</w:t>
      </w:r>
      <w:r w:rsidRPr="008D1F48">
        <w:tab/>
        <w:t>Europaparlamentet betonar den ökande uppskattningen av skador som Eppo i slutet av 2024 anger till 24,8 miljarder EUR (19,27 miljarder EUR 2023 jämfört med 14,1 miljarder EUR 2022 och 5,4 miljarder EUR 2021), varav 53 % skulle avse momsbedrägerier (13,15 miljarder EUR).</w:t>
      </w:r>
    </w:p>
    <w:p w14:paraId="5FC9EC35" w14:textId="77777777" w:rsidR="0022339F" w:rsidRPr="008D1F48" w:rsidRDefault="0022339F" w:rsidP="0022339F">
      <w:pPr>
        <w:pStyle w:val="NormalHanging12a"/>
      </w:pPr>
      <w:r w:rsidRPr="008D1F48">
        <w:t>39.</w:t>
      </w:r>
      <w:r w:rsidRPr="008D1F48">
        <w:tab/>
        <w:t>Europaparlamentet betonar den stigande prestationsnivån för Eppo, vilket bekräftas av det ökande antalet åtal (205 år 2024 jämfört med 139 år 2023, 87 år 2022 och 5 år 2021) och av de beslut om frysning som erhållits (motsvarande 2,42 miljarder EUR år 2024, jämfört med 1,5 miljarder EUR år 2023, 359,1 miljoner EUR år 2022 och 147 miljoner EUR år 2021). Parlamentet beklagar att bristen på ett tydligt och verkställbart ramverk för övervakning och rapportering av förverkade och indrivna belopp fortsätter att förhindra en fullständig bedömning av Eppo-utredningarnas budgetkonsekvenser. Parlamentet upprepar sitt krav på rättsliga och budgetmässiga lösningar för att säkerställa att de belopp som återkrävts till följd av Eppo-ledda utredningar verkligen spåras, rapporteras och återbetalas till unionens budget. Parlamentet konstaterar att 102 brottmål avslutades 2024 med en domstolsdom (48 mål år 2023 jämfört med 20 mål år 2022). Parlamentet beklagar att bristen på ett tydligt regelverk har hindrat Eppo från att tillhandahålla uppdaterade och tillförlitliga uppgifter om förverkanden för år 2024 (med påminnelse om att 60 miljoner EUR förverkades år 2023 jämfört med 2 miljoner EUR år 2022).</w:t>
      </w:r>
    </w:p>
    <w:p w14:paraId="60778DE9" w14:textId="6D5C808F" w:rsidR="0022339F" w:rsidRPr="008D1F48" w:rsidRDefault="0022339F" w:rsidP="0022339F">
      <w:pPr>
        <w:spacing w:after="240"/>
        <w:ind w:left="567" w:hanging="567"/>
        <w:rPr>
          <w:bCs/>
        </w:rPr>
      </w:pPr>
      <w:r w:rsidRPr="008D1F48">
        <w:t>40.</w:t>
      </w:r>
      <w:r w:rsidRPr="008D1F48">
        <w:tab/>
        <w:t>Europaparlamentet uttrycker sin oro över det antal utredningar som inletts om genomförandet av faciliteten för återhämtning och resiliens. Parlamentet understryker att Eppo i slutet av 2024 hanterade 311 pågående ärenden med anknytning till NextGenerationEU, varav 307 härrörde från faciliteten för återhämtning och resiliens (233 vid utgången av 2023), vilket motsvarar omkring 17 % av samtliga pågående utredningar av utgiftsbedrägerier och en uppskattad skada på unionens ekonomiska intressen på 2,8 miljarder EUR (motsvarande 30 % av den totala uppskattade skadan för utgiftsbedrägeri, jämfört med 25 % 2023). Parlamentet konstaterar att Eppos utredningar av bedrägerier som påverkar faciliteten för återhämtning och resiliens visar på betydande skillnader mellan medlemsstaterna, vilket återspeglar variationer i tilldelningen av medel, förmågan att upptäcka brott samt den mångskiftande karaktären hos de bedrägerier som begås. Parlamentet är oroat över avsaknaden av en skyldighet för medlemsstaterna att rapportera ärenden kopplade till faciliteten för återhämtning och resiliens till kommissionen genom systemet för hantering av oriktigheter, vilket förhindrar strukturerad övervakning och riskanalys av ärenden kopplade till faciliteten för återhämtning och resiliens. Parlamentet betonar vikten av samarbete mellan nationella myndigheter, Eppo och kommissionen för att förbättra den strukturerade rapporteringen. Parlamentet är oroat över att rapporteringen av ärenden från unionens institutioner, däribland kommissionen, inte ens utgör 3 %, vilket väcker ytterligare oro över kommissionens förmåga att övervaka faciliteten för återhämtning och resiliens. Parlamentet uppmanar kommissionen att snarast ta itu med dessa brister och att i samarbete med Eppo förbättra rapporteringssystemens driftskompatibilitet och förtydliga rollerna för att säkerställa en tillförlitlig övervakning av oriktigheter kopplade till faciliteten för återhämtning och resiliens.</w:t>
      </w:r>
    </w:p>
    <w:p w14:paraId="658C099F" w14:textId="77777777" w:rsidR="0022339F" w:rsidRPr="008D1F48" w:rsidRDefault="0022339F" w:rsidP="0022339F">
      <w:pPr>
        <w:spacing w:after="240"/>
        <w:ind w:left="567" w:hanging="567"/>
      </w:pPr>
      <w:r w:rsidRPr="008D1F48">
        <w:t>41.</w:t>
      </w:r>
      <w:r w:rsidRPr="008D1F48">
        <w:tab/>
        <w:t xml:space="preserve">Europaparlamentet upprepar att Eppos arbetsbelastning, som ursprungligen underskattades, har ökat avsevärt och förväntas fortsätta att öka, särskilt när det gäller ärenden kopplade till faciliteten för återhämtning och resiliens. Parlamentet har förstått </w:t>
      </w:r>
      <w:r w:rsidRPr="008D1F48">
        <w:lastRenderedPageBreak/>
        <w:t>att Eppo vidarebefordrar de kriminella mönster som identifierats i dess utredningar till medlemsstaterna, kommissionen och arbetsgruppen för återhämtning och resiliens, i syfte att stärka förebyggandet och upptäckten samt minska risken för bedrägerier. Parlamentet noterar att även om de ärenden som utreds omfattar olika sektorer och initiativ som är specifika för faciliteten för återhämtning och resiliens, finns ett gemensamt kännetecken i form av inblandningen av organiserad brottslighet när bedrägerisystemet inrättas i stor skala och genererar betydande olagliga vinster.</w:t>
      </w:r>
    </w:p>
    <w:p w14:paraId="4859FAC5" w14:textId="77777777" w:rsidR="0022339F" w:rsidRPr="008D1F48" w:rsidRDefault="0022339F" w:rsidP="0022339F">
      <w:pPr>
        <w:pStyle w:val="NormalHanging12a"/>
      </w:pPr>
      <w:r w:rsidRPr="008D1F48">
        <w:t>42.</w:t>
      </w:r>
      <w:r w:rsidRPr="008D1F48">
        <w:tab/>
        <w:t>Europaparlamentet konstaterar att omkring 6 % av de brott som Eppo utrett fram till utgången av 2024 avsåg deltagande i en kriminell organisation, vars brottsliga verksamhet var inriktad på att begå brott inom ramen för direktiv (EU) 2017/1371 (PIF-brott). Parlamentet upprepar att endast ett förstärkt samarbete mellan komponenterna i bedrägeribekämpningsstrukturen effektivt kan motverka sådant bedrägligt beteende och säkerställa uppnåendet av målen för faciliteten för återhämtning och resiliens samt unionens politik i stort. Parlamentet anser att endast ett gemensamt och samordnat utnyttjande av rättsliga och administrativa åtgärder kan skydda unionens ekonomiska intressen och upprepar sin uppmaning till kommissionen att ge Eppo tillräckligt stöd när det gäller att främja antagandet av korrigerande åtgärder som följer av Eppos oberoende utredning och lagföring av brott som påverkar faciliteten för återhämtning och resiliens. Parlamentet efterlyser ett regelverk för att stärka samordningen mellan Eppo, kommissionen och medlemsstaterna, i syfte att stärka utredning och förebyggande av bedrägerier inom faciliteten för återhämtning och resiliens, säkerställa en systematisk uppföljning av Eppo-utredningarna och förbättra utbytet av relevant information. Parlamentet uppmanar med kraft kommissionen att hålla unionens budgetmyndighet informerad om resultatet av sina åtgärder.</w:t>
      </w:r>
    </w:p>
    <w:p w14:paraId="3EF62185" w14:textId="77777777" w:rsidR="0022339F" w:rsidRPr="008D1F48" w:rsidRDefault="0022339F" w:rsidP="0022339F">
      <w:pPr>
        <w:pStyle w:val="NormalHanging12a"/>
        <w:widowControl/>
        <w:rPr>
          <w:b/>
          <w:i/>
          <w:szCs w:val="24"/>
        </w:rPr>
      </w:pPr>
      <w:r w:rsidRPr="008D1F48">
        <w:rPr>
          <w:b/>
          <w:i/>
        </w:rPr>
        <w:t>Personalresurser, personalens välbefinnande och jämlikhet</w:t>
      </w:r>
    </w:p>
    <w:p w14:paraId="0370CFE0" w14:textId="77777777" w:rsidR="0022339F" w:rsidRPr="008D1F48" w:rsidRDefault="0022339F" w:rsidP="0022339F">
      <w:pPr>
        <w:pStyle w:val="NormalHanging12a"/>
        <w:widowControl/>
      </w:pPr>
      <w:r w:rsidRPr="008D1F48">
        <w:t>43.</w:t>
      </w:r>
      <w:r w:rsidRPr="008D1F48">
        <w:tab/>
        <w:t>Europaparlamentet noterar att den uppåtgående trenden i antalet anställda bibehölls under 2024 och att de uppgick till totalt 258 vid utgången av året (från 58 år 2020, 122 år 2021, 217 år 2022 och 238 vid utgången av 2023), vilket motsvarar en ökning på något mer än 9,5 %. Parlamentet lovordar den höga tillsättningsgraden, som uppgick till cirka 96 % (jämfört med cirka 93 % vid utgången av 2023) för samtliga personalkategorier utom utstationerade nationella experter, där den var 83 %. Parlamentet noterar att antalet externa tjänsteleverantörer (32) och interna konsulter (10) under 2024 i stort sett förblev oförändrat (att jämföra med 34 respektive 9 under 2023).</w:t>
      </w:r>
    </w:p>
    <w:p w14:paraId="19E36EB6" w14:textId="10BCDC79" w:rsidR="0022339F" w:rsidRPr="008D1F48" w:rsidRDefault="0022339F" w:rsidP="0022339F">
      <w:pPr>
        <w:pStyle w:val="NormalHanging12a"/>
        <w:widowControl/>
      </w:pPr>
      <w:r w:rsidRPr="008D1F48">
        <w:t>44.</w:t>
      </w:r>
      <w:r w:rsidRPr="008D1F48">
        <w:tab/>
        <w:t>Europaparlamentet uppskattar att Eppos administrativa kapacitet inom rekryteringsområdet förbättrades under 2024 och att 50 urvalsförfaranden övervakades (jämfört med 24 under 2023) samt att 47 nyanställda rekryterades (jämfört med 45 under 2023), 6 utstationerade nationella experter och 6 praktikanter. Parlamentet erkänner de utmanande rekryteringsförhållandena i Luxemburg, kopplade till de höga levnadskostnaderna, särskilt när det gäller anställning i lägre lönegrader, där Eppo pekar på det begränsade antalet sökande, att de jobberbjudanden som erbjuds de godkända sökandena i stor utsträckning avvisas och att talangreserven fortfarande är mycket begränsad, med ett begränsat utbud av specialiserad kompetens. Parlamentet understryker att mer begränsade möjligheter till distansarbete, jämfört med vad andra arbetsgivare erbjuder, också kan bidra till att göra tjänsterna mindre attraktiva. Parlamentet upprepar sin uppmaning till Eppo och kommissionen att identifiera ytterligare åtgärder som skulle kunna göra Eppo mer attraktivt för högkvalificerade yrkesutövare med internationell erfarenhet.</w:t>
      </w:r>
    </w:p>
    <w:p w14:paraId="451B07A5" w14:textId="77777777" w:rsidR="0022339F" w:rsidRPr="008D1F48" w:rsidRDefault="0022339F" w:rsidP="0022339F">
      <w:pPr>
        <w:pStyle w:val="NormalHanging12a"/>
      </w:pPr>
      <w:r w:rsidRPr="008D1F48">
        <w:lastRenderedPageBreak/>
        <w:t>45.</w:t>
      </w:r>
      <w:r w:rsidRPr="008D1F48">
        <w:tab/>
        <w:t>Europaparlamentet är medvetet om att Eppo i sin tjänsteförteckning begärde 419 tjänster vid utgången av 2024, medan endast 289 tjänster beviljades. Parlamentet betonar att Eppo för 2025 begärde 513 tjänster och att återigen endast 307 beviljades, vilket ytterligare ökade klyftan mellan de resurser som behövs och de som tilldelats. Parlamentet instämmer i Eppos bedömning att utan den begärda personalförstärkningen minskar Eppos förmåga avsevärt att effektivt fullgöra sitt uppdrag i linje med unionsmedborgarnas förväntningar, att eftersläpningen i ärenden kommer att fortsätta att öka, att rättskipningen i ärenden om bedrägerier som påverkar unionens ekonomiska intressen kommer att fördröjas samt att kampen mot organiserade kriminella grupper, som tillgriper offentliga medel och skadar Europas ekonomier kommer att bli betydligt mindre effektiv. Parlamentet noterar Eppos iakttagelser om en ökande tendens till ackumulering av arbetstidskrediter bland personalen till följd av begränsade resurser och ökad individuell arbetsbelastning, vilket kan medföra risker för den enskildes resiliens samt potentiellt leda till ökad personalomsättning. Parlamentet understryker därför behovet av att Eppo förses med tillräckliga personal- och budgetresurser i enlighet med myndighetens uppdrag.</w:t>
      </w:r>
    </w:p>
    <w:p w14:paraId="39012261" w14:textId="77777777" w:rsidR="0022339F" w:rsidRPr="008D1F48" w:rsidRDefault="0022339F" w:rsidP="0022339F">
      <w:pPr>
        <w:pStyle w:val="NormalHanging12a"/>
      </w:pPr>
      <w:r w:rsidRPr="008D1F48">
        <w:t>46.</w:t>
      </w:r>
      <w:r w:rsidRPr="008D1F48">
        <w:tab/>
        <w:t>Europaparlamentet uppskattar att personalfördelningen inom Eppo är inriktad på att maximera verksamhetens effektivitet och noterar att vid utgången av 2024 var 319 av totalt 412 tjänster avsatta för operativ verksamhet, det vill säga över 77 % (jämfört med 80 % under 2023), medan 18 % var avsatta för administrativa uppgifter (jämfört med 14 % under 2023), i linje med Eppos strategi att prioritera den operativa verksamheten. Parlamentet konstaterar emellertid att andelen personal som tilldelats administrativa uppgifter och stöduppgifter har ökat. Parlamentet har förstått att detta huvudsakligen är en följd av vissa nyligen genomförda förändringar i kommissionens politik, såsom avvecklingen av it-tjänsterna, vilket har lett till att Eppo tvingats hantera de mest kritiska uppgifterna med egen personal, som därmed har tilldelats icke-operativa befattningar.</w:t>
      </w:r>
    </w:p>
    <w:p w14:paraId="7B90AA1E" w14:textId="3862BE70" w:rsidR="0022339F" w:rsidRPr="008D1F48" w:rsidRDefault="0022339F" w:rsidP="0022339F">
      <w:pPr>
        <w:pStyle w:val="NormalHanging12a"/>
        <w:widowControl/>
        <w:rPr>
          <w:szCs w:val="24"/>
        </w:rPr>
      </w:pPr>
      <w:r w:rsidRPr="008D1F48">
        <w:t>47.</w:t>
      </w:r>
      <w:r w:rsidRPr="008D1F48">
        <w:tab/>
        <w:t>Europaparlamentet vidhåller att Eppos framtida arbetsbelastning kommer att kräva ytterligare resurser. Parlamentet påpekar att det ständigt ökande antalet ärenden kopplade till faciliteten för återhämtning och resiliens och till momsbedrägerier, liksom komplexiteten i utredningar som rör gränsöverskridande verksamhet inom organiserad brottslighet, även kommer att medföra en ökad belastning på administrativa och centrala stödfunktioner som är oupplösligt förbundna med Eppos verksamhet. Parlamentet är oroat över risken för att Eppos behov underskattas och att dess förmåga att reagera effektivt på ökande efterfrågan överskattas.</w:t>
      </w:r>
    </w:p>
    <w:p w14:paraId="77DB3AA7" w14:textId="3F30962B" w:rsidR="0022339F" w:rsidRPr="008D1F48" w:rsidRDefault="0022339F" w:rsidP="0022339F">
      <w:pPr>
        <w:pStyle w:val="NormalHanging12a"/>
        <w:widowControl/>
        <w:rPr>
          <w:szCs w:val="24"/>
        </w:rPr>
      </w:pPr>
      <w:r w:rsidRPr="008D1F48">
        <w:t>48.</w:t>
      </w:r>
      <w:r w:rsidRPr="008D1F48">
        <w:tab/>
        <w:t>Europaparlamentet konstaterar att andelen personal som frivilligt lämnade Eppo fram till december 2024 uppgick till 2,8 %, vilket motsvarar en begränsad personalomsättning på sex personer under 2024 (jämfört med elva personer eller 4,62 % under 2023), huvudsakligen till följd av berörd personals val att gå vidare till andra unionsenheter, lokalt eller utomlands, som erbjuder bättre anställningsvillkor. Parlamentet noterar att ett tillräckligt fokus på personalens välbefinnande även bekräftas av de många initiativ som planerades under 2024 (och till stor del genomfördes under 2025) när det gäller införandet av bostadsbidrag, utbildning och yrkesmässig utveckling, vilket kommer att göra det möjligt för Eppo att erbjuda mer konkurrenskraftiga villkor som är anpassade till villkoren för de andra institutionerna i Luxemburg. Parlamentet noterar vidare att antalet långtidssjukskrivningar är mycket lågt.</w:t>
      </w:r>
    </w:p>
    <w:p w14:paraId="30661F51" w14:textId="45FDD466" w:rsidR="0022339F" w:rsidRPr="008D1F48" w:rsidRDefault="0022339F" w:rsidP="0022339F">
      <w:pPr>
        <w:pStyle w:val="NormalHanging12a"/>
        <w:widowControl/>
        <w:rPr>
          <w:szCs w:val="24"/>
        </w:rPr>
      </w:pPr>
      <w:r w:rsidRPr="008D1F48">
        <w:lastRenderedPageBreak/>
        <w:t>49.</w:t>
      </w:r>
      <w:r w:rsidRPr="008D1F48">
        <w:tab/>
        <w:t>Europaparlamentet noterar att en policy för välbefinnande började utvecklas under 2024 för att ytterligare stärka personalens tillfredsställelse på arbetet och främja hälsofrämjande faktorer. Parlamentet välkomnar i detta perspektiv avtalet med kommissionens psykosociala tjänst som möjliggör kostnadsfri psykosocial rådgivning hos olika specialister för all personal vid Eppo. Parlamentet uppskattar de ytterligare initiativ som Eppo tagit för att främja personalens välbefinnande, såsom de interna och externa urvalsförfaranden som under 2024 gjorde det möjligt för tio medarbetare att dra nytta av interna karriärmöjligheter, samt översynen av anställningsvillkoren, som i slutet av 2024 ändrades för att möjliggöra för Eppos personal att dra nytta av en karriär med fast anställning snabbare än tidigare.</w:t>
      </w:r>
    </w:p>
    <w:p w14:paraId="58CC29A3" w14:textId="35CA32A9" w:rsidR="0022339F" w:rsidRPr="008D1F48" w:rsidRDefault="0022339F" w:rsidP="0022339F">
      <w:pPr>
        <w:pStyle w:val="NormalHanging12a"/>
        <w:widowControl/>
      </w:pPr>
      <w:r w:rsidRPr="008D1F48">
        <w:t>50.</w:t>
      </w:r>
      <w:r w:rsidRPr="008D1F48">
        <w:tab/>
        <w:t>Europaparlamentet påpekar att nya riktlinjer om begreppet ”plats där distansarbete utförs” uppdaterades vid Eppo i slutet av 2023, vilket medförde ökad självständighet för personalen under 2024. Parlamentet konstaterar att en dialog med personalen har fortsatt sedan dess, men att den inte har lett till någon ytterligare anpassning under 2024. Parlamentet påminner om att Eppo tillämpar ett system med flextid och ett standardsystem för arbete från hemmet, som medger distansarbete en dag per vecka som grund och högst tre dagar per vecka, plus utökningar av dessa dagar vid allvarliga hälso- eller familjesituationer. Parlamentet noterar att den nuvarande ramen också omfattar 10 dagars arbete utanför anställningsorten under ett år, som kan användas utan koppling till andra semesterdagar. Parlamentet vidhåller att Eppos nuvarande arbetsvillkor möjliggör för personalen att dra nytta av digitala lösningar genom att integrera ett gott mått av självständighet i hanteringen av arbetsmönster, underlätta för personalen att förena arbete och privatliv samt främja teamanda och teamkänsla, vars konsekvensbedömning genomfördes genom kontinuerlig dialog med personalen och personalkommittén (som omfattar övervakning och översyner i allmänhet).</w:t>
      </w:r>
    </w:p>
    <w:p w14:paraId="2B66296F" w14:textId="29063C90" w:rsidR="0022339F" w:rsidRPr="008D1F48" w:rsidRDefault="0022339F" w:rsidP="0022339F">
      <w:pPr>
        <w:pStyle w:val="NormalHanging12a"/>
        <w:widowControl/>
        <w:rPr>
          <w:szCs w:val="24"/>
        </w:rPr>
      </w:pPr>
      <w:r w:rsidRPr="008D1F48">
        <w:t>51.</w:t>
      </w:r>
      <w:r w:rsidRPr="008D1F48">
        <w:tab/>
        <w:t>Europaparlamentet noterar med tillfredsställelse att en lämplig könsfördelning i ledande befattningar uppnåddes 2024 och 2025 (fyra kvinnor och fem män) genom utnämningar till chefer på mellannivå och högre nivå av det underrepresenterade könet. Parlamentet konstaterar, när det gäller den geografiska balansen, att 26 EU-nationaliteter är representerade bland dess personal i varierande utsträckning, även om vissa nationaliteter är mer företrädda än andra. Parlamentet uppmanar Eppo att slutföra sin strategi för mångfald och inkludering, vars genomförande beslutades 2023.</w:t>
      </w:r>
    </w:p>
    <w:p w14:paraId="09504B4A" w14:textId="6F4E1882" w:rsidR="0022339F" w:rsidRPr="008D1F48" w:rsidRDefault="0022339F" w:rsidP="0022339F">
      <w:pPr>
        <w:widowControl/>
        <w:autoSpaceDE w:val="0"/>
        <w:autoSpaceDN w:val="0"/>
        <w:adjustRightInd w:val="0"/>
        <w:spacing w:after="240"/>
        <w:ind w:left="567" w:hanging="567"/>
        <w:rPr>
          <w:szCs w:val="24"/>
        </w:rPr>
      </w:pPr>
      <w:r w:rsidRPr="008D1F48">
        <w:t>52.</w:t>
      </w:r>
      <w:r w:rsidRPr="008D1F48">
        <w:tab/>
        <w:t>Europaparlamentet erkänner att Eppos frontlinje utgörs av de europeiska delegerade åklagarna, som verkar på decentraliserad nivå i 24 olika medlemsstater. Parlamentet noterar att de europeiska delegerade åklagarnas kontor per den 31 december 2024 var belägna i 44 städer i 22 medlemsstater. Parlamentet konstaterar att Eppo vid utgången av 2024 hade 166 utsedda europeiska delegerade åklagare, med beaktande av att tio europeiska delegerade åklagare från Sverige (2) och Polen (8) utnämndes i december 2024 men inledde sin operativa verksamhet först i januari 2025. Parlamentet erinrar om vikten av att säkerställa de europeiska delegerade åklagarnas fulla oberoende, på grundval av ett meritbaserat och objektivt utnämningsförfarande i enlighet med artikel 17 i förordning (EU) 2017/1939 samt principen om nationell processuell autonomi.</w:t>
      </w:r>
    </w:p>
    <w:p w14:paraId="6864FFB1" w14:textId="77777777" w:rsidR="0022339F" w:rsidRPr="008D1F48" w:rsidRDefault="0022339F" w:rsidP="0022339F">
      <w:pPr>
        <w:pStyle w:val="NormalHanging12a"/>
      </w:pPr>
      <w:r w:rsidRPr="008D1F48">
        <w:t>53.</w:t>
      </w:r>
      <w:r w:rsidRPr="008D1F48">
        <w:tab/>
        <w:t xml:space="preserve">Europaparlamentet understryker att Eppo hade angett ett mål om totalt 172 europeiska delegerade åklagare som skulle vara utnämnda före utgången av 2024, utan att beakta eventuella ytterligare behov till följd av utvidgningen till Polen och Sverige. Parlamentet påpekar att unionens budgetmyndighet endast gick med på att öka antalet europeiska delegerade åklagare från 140 till 166 i samband med tilldelningen av 24 </w:t>
      </w:r>
      <w:r w:rsidRPr="008D1F48">
        <w:lastRenderedPageBreak/>
        <w:t>europeiska delegerade åklagare till Polen och två till Sverige. Parlamentet betonar att unionens budgetmyndighet fortsatt att bevilja resurser för att täcka de europeiska delegerade åklagarnas ersättning motsvarande 80 % av lönen i lönegrad AD9, i stället för 100 % av AD9-lönen, i enlighet med Eppos beslut att göra befattningen mer attraktiv för erfarna åklagare på hög nivå med den långvariga yrkeserfarenhet som krävs för att hantera Eppos komplexa ärenden. Parlamentet konstaterar att Eppo, till följd av de finansiella begränsningar som denna resursbrist medför, vid utgången av 2024, utöver de två europeiska delegerade åklagarna i Sverige, endast kunde sätta in åtta europeiska delegerade åklagare i Polen (i stället för de 24 som behövdes) samt 156 europeiska delegerade åklagare i de övriga återstående medlemsstaterna. Parlamentet noterar att avmattningen i rekryteringen av nya europeiska delegerade åklagare har en negativ inverkan på Eppos kapacitet att genomföra ett ökande antal utredningar och lagföringar. Parlamentet noterar vidare att finansieringsunderskottet har lett till att Eppos investeringar i ärendehanteringssystemet har minskats eller skjutits upp, vilket har hindrat myndigheten från att förbättra sin förmåga att leda gränsöverskridande utredningar. Parlamentet uppmanar kommissionen att bedöma situationen mot bakgrund av den ökande arbetsbördan och ärendenas känsliga karaktär samt att rapportera till parlamentet om resultaten av denna bedömning och om möjliga lösningar för att täcka denna ekonomiska klyfta.</w:t>
      </w:r>
    </w:p>
    <w:p w14:paraId="05B210C8" w14:textId="77777777" w:rsidR="0022339F" w:rsidRPr="008D1F48" w:rsidRDefault="0022339F" w:rsidP="0022339F">
      <w:pPr>
        <w:pStyle w:val="NormalHanging12a"/>
      </w:pPr>
      <w:r w:rsidRPr="008D1F48">
        <w:t>54.</w:t>
      </w:r>
      <w:r w:rsidRPr="008D1F48">
        <w:tab/>
        <w:t>Europaparlamentet vidhåller att utnämningen av europeiska delegerade åklagare är ett gemensamt ansvar för Eppo och medlemsstaterna, eftersom de europeiska åklagarna nomineras av medlemsstaterna och därefter utnämns av rådet, medan europeiska delegerade åklagare nomineras av medlemsstaterna och utnämns av kollegiet. Parlamentet uppmuntrar medlemsstaterna att bidra till de europeiska delegerade åklagarnas och Eppos fullständiga oberoende. Parlamentet noterar att Eppo har strävat efter att förbättra de europeiska delegerade åklagarnas anställningsvillkor för att göra befattningen mer attraktiv, bland annat genom att anpassa deras ersättning till den som gäller för unionstjänstemän med motsvarande ansvarsnivå (AD9), i stället för 80 % av lönen för unionstjänstemän, vilket ursprungligen hade beslutats av kommissionen, med beaktande av att karriärutvecklingen för europeiska delegerade åklagare i de nationella systemen förblir oklar och att den nationella lönen för de mest erfarna nationella åklagarna i flera fall var högre än den lön som erbjöds för befattningen som europeisk delegerad åklagare. Detta har föranlett Eppo att ingripa för att säkerställa tillämpningen av artikel 16.1 i anställningsvillkoren för europeiska delegerade åklagare, som föreskriver att ett tilläggsbelopp ska utgå när den totala nettoersättningen understiger den nationella lönen, så att ersättningen motsvarar den tidigare nivån. Parlamentet upprepar sin uppmaning att förutse en tydlig karriärutvecklingsväg för de europeiska delegerade åklagarna samt mer förmånliga administrativa bestämmelser om social trygghet och sjukförsäkring. Parlamentet insisterar på inrättandet av en särskild status för europeiska delegerade åklagare, i överensstämmelse med deras rättsliga funktion, och uppmanar kommissionen att i detta syfte lägga fram förslag till ändringar av förordning (EU) 2017/1939 i samband med den kommande översynen, som även bör omfatta frågan om det fortsatt olösta glappet i fråga om social trygghet och sjukförsäkringsskydd för europeiska delegerade åklagare, vilket ännu inte har åtgärdats av samtliga medlemsstater genom lagstiftningsåtgärder eller administrativa arrangemang, trots att sådana åtgärder är obligatoriska enligt förordning (EU) 2017/1939.</w:t>
      </w:r>
    </w:p>
    <w:p w14:paraId="1B3A7637" w14:textId="77777777" w:rsidR="0022339F" w:rsidRPr="008D1F48" w:rsidRDefault="0022339F" w:rsidP="0022339F">
      <w:pPr>
        <w:widowControl/>
        <w:autoSpaceDE w:val="0"/>
        <w:autoSpaceDN w:val="0"/>
        <w:adjustRightInd w:val="0"/>
        <w:spacing w:after="240"/>
        <w:ind w:left="567" w:hanging="567"/>
      </w:pPr>
      <w:r w:rsidRPr="008D1F48">
        <w:t>55.</w:t>
      </w:r>
      <w:r w:rsidRPr="008D1F48">
        <w:tab/>
        <w:t xml:space="preserve">Europaparlamentet har förståelse för att Eppo under 2024 valde att genomföra en intern personalnöjdhetsundersökning i stället för att anlita en extern och kostsam leverantör </w:t>
      </w:r>
      <w:r w:rsidRPr="008D1F48">
        <w:lastRenderedPageBreak/>
        <w:t>inom ramen för det befintliga ramavtalet, men beklagar avsaknaden av medverkan från personalkommittén, vilket hade varit lämpligare. Parlamentet noterar att återkommande problem upprepade gånger togs upp av personalen i undersökningen, främst med fokus på balansen mellan arbete och privatliv samt tolkningen av möjligheten till distansarbete från utlandet av familjeskäl eller personliga skäl. Parlamentet noterar vidare att Eppo anger sitt strikta system för distansarbete som ett potentiellt hinder för rekrytering, och uppmuntrar Eppo att undersöka ytterligare alternativa lösningar som, utan att äventyra effektiviteten i dess arbetsmetoder eller ifrågasätta organisationskulturen, skulle kunna erbjuda en ökad grad av självständighet och därigenom bidra till en högre nivå av personalnöjdhet.</w:t>
      </w:r>
    </w:p>
    <w:p w14:paraId="2CD5E03E" w14:textId="77777777" w:rsidR="0022339F" w:rsidRPr="008D1F48" w:rsidRDefault="0022339F" w:rsidP="0022339F">
      <w:pPr>
        <w:widowControl/>
        <w:spacing w:after="240"/>
        <w:ind w:left="567" w:hanging="567"/>
      </w:pPr>
      <w:r w:rsidRPr="008D1F48">
        <w:t>56.</w:t>
      </w:r>
      <w:r w:rsidRPr="008D1F48">
        <w:tab/>
        <w:t>Europaparlamentet noterar att Eppo under 2024 registrerade 1 504 intresseanmälningar till utbildningsprogram, varav 851 slutfördes framgångsrikt, motsvarande totalt 13 984 utbildningstimmar, vilket motsvarar 1 865 utbildningsdagar för både interna och externa kurser. Parlamentet konstaterar att Eppo när det gäller specialiserad extern utbildning inom rättsliga och administrativa områden registrerade 42 intresseanmälningar till utbildningsprogram, varav 22 var pågående och 17 hade slutförts framgångsrikt, vilket motsvarade 992 utbildningstimmar, eller 132 utbildningsdagar.</w:t>
      </w:r>
    </w:p>
    <w:p w14:paraId="24087035" w14:textId="77777777" w:rsidR="0022339F" w:rsidRPr="008D1F48" w:rsidRDefault="0022339F" w:rsidP="0022339F">
      <w:pPr>
        <w:pStyle w:val="Default"/>
        <w:spacing w:after="240"/>
        <w:ind w:left="567" w:hanging="567"/>
        <w:rPr>
          <w:color w:val="auto"/>
        </w:rPr>
      </w:pPr>
      <w:r w:rsidRPr="008D1F48">
        <w:rPr>
          <w:rFonts w:ascii="Times New Roman" w:hAnsi="Times New Roman"/>
          <w:color w:val="auto"/>
        </w:rPr>
        <w:t>57.</w:t>
      </w:r>
      <w:r w:rsidRPr="008D1F48">
        <w:rPr>
          <w:rFonts w:ascii="Times New Roman" w:hAnsi="Times New Roman"/>
          <w:color w:val="auto"/>
        </w:rPr>
        <w:tab/>
        <w:t>Europaparlamentet noterar att Eppos utbildningsstrategier även under 2024 var förenliga med och relevanta för Eppos uppdrag, eftersom de var inriktade på både den operativa verksamheten (operativa workshoppar och annan utbildning) och de administrativa områdena (utbildningar inom ramen för servicenivåavtal, inom området digitala tjänster, på säkerhetsområdet samt många andra utbildningar av varierande karaktär), i linje med organisationens behov. Parlamentet har förståelse för att utbildningsinsatserna under 2024 fokuserade på områden såsom säkerhet och trygghet (informationssäkerhet och allmän medvetenhet om IKT-säkerhet), etik, hållbarhet (grön offentlig upphandling och klimatrisker) samt stärkt digital kompetens, vilket även var relevant i samband med förberedelserna inför Eppos projekt för it-autonomi, som slutligen förverkligades 2025. Parlamentet välkomnar Eppos tillvägagångssätt att noggrant anpassa utbildningsutbudets innehåll efter målgruppens roll, ansvar och lönegrad, med kortare informationsinsatser riktade till specifika grupper efter särskilda förfrågningar och med fokus på avgränsade frågor (</w:t>
      </w:r>
      <w:proofErr w:type="gramStart"/>
      <w:r w:rsidRPr="008D1F48">
        <w:rPr>
          <w:rFonts w:ascii="Times New Roman" w:hAnsi="Times New Roman"/>
          <w:color w:val="auto"/>
        </w:rPr>
        <w:t>t.ex.</w:t>
      </w:r>
      <w:proofErr w:type="gramEnd"/>
      <w:r w:rsidRPr="008D1F48">
        <w:rPr>
          <w:rFonts w:ascii="Times New Roman" w:hAnsi="Times New Roman"/>
          <w:color w:val="auto"/>
        </w:rPr>
        <w:t xml:space="preserve"> de konfidentiella rådgivarnas roll).</w:t>
      </w:r>
    </w:p>
    <w:p w14:paraId="72C5783E" w14:textId="77777777" w:rsidR="0022339F" w:rsidRPr="008D1F48" w:rsidRDefault="0022339F" w:rsidP="0022339F">
      <w:pPr>
        <w:pStyle w:val="Default"/>
        <w:spacing w:after="240"/>
        <w:ind w:left="567" w:hanging="567"/>
        <w:rPr>
          <w:rFonts w:ascii="Times New Roman" w:hAnsi="Times New Roman" w:cs="Times New Roman"/>
          <w:color w:val="auto"/>
          <w:szCs w:val="22"/>
        </w:rPr>
      </w:pPr>
      <w:r w:rsidRPr="008D1F48">
        <w:rPr>
          <w:rFonts w:ascii="Times New Roman" w:hAnsi="Times New Roman"/>
          <w:color w:val="auto"/>
        </w:rPr>
        <w:t>58.</w:t>
      </w:r>
      <w:r w:rsidRPr="008D1F48">
        <w:rPr>
          <w:rFonts w:ascii="Times New Roman" w:hAnsi="Times New Roman"/>
          <w:color w:val="auto"/>
        </w:rPr>
        <w:tab/>
        <w:t>Europaparlamentet konstaterar att personalen på ett ändamålsenligt sätt informerades om utbildningsmöjligheterna via Eppos intranät, där även innehåll för nyanställda och andra användarvänliga resurser tillhandahölls. Parlamentet uppskattar att utbildningsutbudet under 2024 mottogs väl och noterar exempelvis att 86,2 % av Eppos personal (anställda, utstationerade nationella experter och interna entreprenörer) vid utgången av 2024 hade deltagit i utbildning om bedrägeribekämpningspolicyn, samt att det under 2024 inom ramen för åtgärderna mot trakasserier och för visselblåsning hölls två allmänna utbildningstillfällen riktade till all personal (med 34 respektive 16 deltagare) och ett tillfälle riktat till chefer (9 deltagare) och kollegiets medlemmar (6 deltagare).</w:t>
      </w:r>
    </w:p>
    <w:p w14:paraId="1CA2DE4F" w14:textId="77777777" w:rsidR="0022339F" w:rsidRPr="008D1F48" w:rsidRDefault="0022339F" w:rsidP="0022339F">
      <w:pPr>
        <w:widowControl/>
        <w:spacing w:after="240"/>
        <w:ind w:left="567" w:hanging="567"/>
      </w:pPr>
      <w:r w:rsidRPr="008D1F48">
        <w:t>59.</w:t>
      </w:r>
      <w:r w:rsidRPr="008D1F48">
        <w:tab/>
        <w:t xml:space="preserve">Europaparlamentet välkomnar att inga fall av utbrändhet rapporterades under 2024. Parlamentet noterar att Eppo har uppmuntrat åtgärder som syftar till att motverka den kontinuerligt ökande arbetsbelastningen och därigenom minska risken för utbrändhet. Parlamentet konstaterar emellertid att ingen bedömning av arbetsbelastningens </w:t>
      </w:r>
      <w:r w:rsidRPr="008D1F48">
        <w:lastRenderedPageBreak/>
        <w:t>fördelning mellan olika grupper och medlemmar av personalen genomfördes under 2024.</w:t>
      </w:r>
    </w:p>
    <w:p w14:paraId="2F3732E0" w14:textId="77777777" w:rsidR="0022339F" w:rsidRPr="008D1F48" w:rsidRDefault="0022339F" w:rsidP="0022339F">
      <w:pPr>
        <w:widowControl/>
        <w:spacing w:after="240"/>
        <w:ind w:left="567" w:hanging="567"/>
        <w:rPr>
          <w:szCs w:val="24"/>
        </w:rPr>
      </w:pPr>
      <w:r w:rsidRPr="008D1F48">
        <w:t>60.</w:t>
      </w:r>
      <w:r w:rsidRPr="008D1F48">
        <w:tab/>
        <w:t>Europaparlamentet noterar att Eppo under 2024 anordnade informationsmöten om bekämpning av trakasserier för personal, chefer och kollegiet, och att sådana möten även ordnades för specifika grupper och enheter på begäran, på ad hoc-basis, med innehåll anpassat efter varje målgrupps behov. Parlamentet uppskattar att förfarandet för intresseanmälan till befattningen som konfidentiell rådgivare inleddes 2024, vilket ledde till val av rådgivare (i samråd med personalkommittén) under första kvartalet 2025. Parlamentet noterar det första rapporterade fallet av trakasserier inom Eppo under 2024.</w:t>
      </w:r>
    </w:p>
    <w:p w14:paraId="73A77B5C" w14:textId="77777777" w:rsidR="0022339F" w:rsidRPr="008D1F48" w:rsidRDefault="0022339F" w:rsidP="0022339F">
      <w:pPr>
        <w:pStyle w:val="NormalHanging12a"/>
      </w:pPr>
      <w:r w:rsidRPr="008D1F48">
        <w:t>61.</w:t>
      </w:r>
      <w:r w:rsidRPr="008D1F48">
        <w:tab/>
        <w:t>Europaparlamentet konstaterar att en praktikantpolicy utformades på grundval av de positiva slutsatserna från det pilotprojekt som genomfördes 2023 och att den godkändes 2024, följt av en första cykel med praktikanter samma år. Parlamentet noterar att åtta praktikanter togs emot vid Eppo under 2024, och att de, såsom fastställs i praktikantpolicyn, hade samma arbetstider som Eppos ordinarie personal, i detta fall enligt bestämmelserna i kommissionens beslut C(2022)1788 av den 24 mars 2022 om arbetstid och hybridarbete. Parlamentet uppskattar att alla Eppos praktikanter får en månadsinkomst (i form av ett bidrag). Parlamentet betonar att de höga levnadskostnaderna i Luxemburg utgör ett betydande hinder för potentiella praktikanter.</w:t>
      </w:r>
    </w:p>
    <w:p w14:paraId="7B347D44" w14:textId="77777777" w:rsidR="0022339F" w:rsidRPr="008D1F48" w:rsidRDefault="0022339F" w:rsidP="0022339F">
      <w:pPr>
        <w:widowControl/>
        <w:spacing w:after="240"/>
        <w:ind w:left="567" w:hanging="567"/>
        <w:rPr>
          <w:b/>
          <w:i/>
          <w:szCs w:val="24"/>
        </w:rPr>
      </w:pPr>
      <w:r w:rsidRPr="008D1F48">
        <w:rPr>
          <w:b/>
          <w:i/>
        </w:rPr>
        <w:t>Etisk ram och transparens</w:t>
      </w:r>
    </w:p>
    <w:p w14:paraId="27B69BDB" w14:textId="77777777" w:rsidR="0022339F" w:rsidRPr="008D1F48" w:rsidRDefault="0022339F" w:rsidP="0022339F">
      <w:pPr>
        <w:widowControl/>
        <w:autoSpaceDE w:val="0"/>
        <w:autoSpaceDN w:val="0"/>
        <w:adjustRightInd w:val="0"/>
        <w:spacing w:after="240"/>
        <w:ind w:left="567" w:hanging="567"/>
        <w:rPr>
          <w:bCs/>
          <w:sz w:val="22"/>
          <w:szCs w:val="22"/>
        </w:rPr>
      </w:pPr>
      <w:r w:rsidRPr="008D1F48">
        <w:t>62.</w:t>
      </w:r>
      <w:r w:rsidRPr="008D1F48">
        <w:rPr>
          <w:b/>
        </w:rPr>
        <w:tab/>
      </w:r>
      <w:r w:rsidRPr="008D1F48">
        <w:t>Europaparlamentet är medvetet om att Eppos etiska ram gradvis håller på att byggas upp. Parlamentet har förståelse för att de begränsade personalresurserna inte möjliggjorde att arbetet slutfördes under 2024. Parlamentet begär med eftertryck att det förberedande arbetet slutförs för att anta en heltäckande policy för intressekonflikter som behövs för att konsolidera och förbättra befintliga regler samt bättre täcka samtliga relevanta situationer i ett enda sammanhängande dokument.</w:t>
      </w:r>
    </w:p>
    <w:p w14:paraId="2385E7AB" w14:textId="77777777" w:rsidR="0022339F" w:rsidRPr="008D1F48" w:rsidRDefault="0022339F" w:rsidP="0022339F">
      <w:pPr>
        <w:widowControl/>
        <w:autoSpaceDE w:val="0"/>
        <w:autoSpaceDN w:val="0"/>
        <w:adjustRightInd w:val="0"/>
        <w:spacing w:after="240"/>
        <w:ind w:left="567" w:hanging="567"/>
        <w:rPr>
          <w:bCs/>
          <w:szCs w:val="24"/>
        </w:rPr>
      </w:pPr>
      <w:r w:rsidRPr="008D1F48">
        <w:t>63.</w:t>
      </w:r>
      <w:r w:rsidRPr="008D1F48">
        <w:tab/>
        <w:t>Europaparlamentet uppskattar att det särskilda utbildningsprogrammet om Eppos etiska ram efter parlamentets uppmaningar har blivit obligatoriskt för samtliga befattningshavare inom Eppo, inklusive europeiska åklagare och europeiska delegerade åklagare, och att programmet under 2024 uppnått den förväntat höga graden av deltagande.</w:t>
      </w:r>
    </w:p>
    <w:p w14:paraId="63154D0E" w14:textId="77777777" w:rsidR="0022339F" w:rsidRPr="008D1F48" w:rsidRDefault="0022339F" w:rsidP="0022339F">
      <w:pPr>
        <w:widowControl/>
        <w:autoSpaceDE w:val="0"/>
        <w:autoSpaceDN w:val="0"/>
        <w:adjustRightInd w:val="0"/>
        <w:spacing w:after="240"/>
        <w:ind w:left="567" w:hanging="567"/>
        <w:rPr>
          <w:bCs/>
          <w:szCs w:val="24"/>
        </w:rPr>
      </w:pPr>
      <w:r w:rsidRPr="008D1F48">
        <w:t>64.</w:t>
      </w:r>
      <w:r w:rsidRPr="008D1F48">
        <w:tab/>
        <w:t xml:space="preserve">Europaparlamentet noterar att totalt 17 informationsmöten och medvetandehöjande möten anordnades under 2024 om Eppos etiska ram, strategin för bedrägeribekämpning och kodexen för god förvaltningssed, vilket säkerställde ett brett deltagande bland personalen. Dessa möten genomfördes inom ramen för genomförandet av strategin för bedrägeribekämpning 2023–2025, som antogs den 1 mars 2023 och som syftar till att motverka bedrägeri på alla nivåer i organisationen, även internt, med mål kopplade till en särskild handlingsplan och till nyckelprestationsindikatorer som ingår i Eppos interna kontrollmiljö och som årligen övervakas av den interna kontrolltjänstemannen. Parlamentet konstaterar att regler om intressekonflikter och deklarationsförfaranden finns på plats för högre chefer och personal som är involverad i ekonomihanteringsprocesser, upphandlingar och rekrytering. Parlamentet konstaterar att en särskild bedömning av bedrägeririsker genomförs årligen för att identifiera och hantera potentiella risker, inklusive intressekonflikter. Parlamentet uppskattar att riktlinjerna för Eppos personal avseende extern verksamhet och externa uppdrag gäller </w:t>
      </w:r>
      <w:r w:rsidRPr="008D1F48">
        <w:lastRenderedPageBreak/>
        <w:t>för all personals verksamhet som inte rör hobbyer eller fritidsaktiviteter, men som ändå är relevant och ligger utanför Eppos behörighet.</w:t>
      </w:r>
    </w:p>
    <w:p w14:paraId="433A0C4B" w14:textId="77777777" w:rsidR="0022339F" w:rsidRPr="008D1F48" w:rsidRDefault="0022339F" w:rsidP="0022339F">
      <w:pPr>
        <w:pStyle w:val="NormalHanging12a"/>
        <w:widowControl/>
        <w:rPr>
          <w:bCs/>
        </w:rPr>
      </w:pPr>
      <w:r w:rsidRPr="008D1F48">
        <w:t>65.</w:t>
      </w:r>
      <w:r w:rsidRPr="008D1F48">
        <w:tab/>
        <w:t>Europaparlamentet upprepar sitt krav på införandet av en mer robust svängdörrspolicy, som bör omfatta en förlängd karensperiod på minst två år för högre Eppo-tjänstemän innan de kan ta anställning inom den privata sektorn, särskilt när det gäller Eppos utredningsområden. Parlamentet vidhåller att Eppo bör genomföra en årlig översyn av efterlevnaden av dessa begränsningar efter avslutad anställning. Parlamentet påminner om att förebyggande av svängdörrsproblematik ska ingå i Eppos övergripande etiska ram.</w:t>
      </w:r>
    </w:p>
    <w:p w14:paraId="24F67CE7" w14:textId="77777777" w:rsidR="0022339F" w:rsidRPr="008D1F48" w:rsidRDefault="0022339F" w:rsidP="0022339F">
      <w:pPr>
        <w:pStyle w:val="NormalHanging12a"/>
      </w:pPr>
      <w:r w:rsidRPr="008D1F48">
        <w:t>66.</w:t>
      </w:r>
      <w:r w:rsidRPr="008D1F48">
        <w:tab/>
        <w:t>Europaparlamentet välkomnar Eppos uppföljning av parlamentets senaste resolution om ansvarsfrihet i vilken man begärde att Eppo ska anta ett särskilt förfarande för visselblåsning och bekämpning av repressalier för att integrera genomförandebestämmelserna till tjänsteföreskrifterna som antagits av kollegiet (kollegiets beslut 077/2021 om fastställande av riktlinjer för visselblåsning som är tillämpliga inom Eppo) och åtfölja artikel 45.12 i Eppos finansiella bestämmelser (om fastställande av åtgärder som ska vidtas i sådana situationer), i syfte att garantera en säker och skyddad arbetsplats. Parlamentet noterar att ett särskilt förfarande för visselblåsning och bekämpning av repressalier utarbetades under 2024 och godkändes i början av 2025. Parlamentet uppmuntrar Eppo att fortsätta den intensiva interna dialogen om visselblåsning med de konfidentiella rådgivarna och att involvera de nationella delegerade åklagarnas assistenter i de relaterade frågorna. Parlamentet betonar att ett effektivt genomförande av förfaranden för visselblåsning och bekämpning av repressalier är nödvändigt för att skydda Eppos interna integritet och trovärdighet. Parlamentet uppmanar Eppo att rapportera till den ansvarsfrihetsbeviljande myndigheten om hur dessa skyddsåtgärder fungerar i praktiken, liksom om personalens medvetenhet och förtroende för systemet.</w:t>
      </w:r>
    </w:p>
    <w:p w14:paraId="1F2273BA" w14:textId="77777777" w:rsidR="0022339F" w:rsidRPr="008D1F48" w:rsidRDefault="0022339F" w:rsidP="0022339F">
      <w:pPr>
        <w:widowControl/>
        <w:autoSpaceDE w:val="0"/>
        <w:autoSpaceDN w:val="0"/>
        <w:adjustRightInd w:val="0"/>
        <w:spacing w:after="240"/>
        <w:ind w:left="567" w:hanging="567"/>
        <w:rPr>
          <w:bCs/>
        </w:rPr>
      </w:pPr>
      <w:r w:rsidRPr="008D1F48">
        <w:t>67.</w:t>
      </w:r>
      <w:r w:rsidRPr="008D1F48">
        <w:tab/>
        <w:t>Europaparlamentet vidhåller att Eppos ram för intern integritet är avgörande för den externa uppfattningen om Eppos oberoende och autonomi. Parlamentet anser att risken för otillbörlig påverkan kan minskas genom att man kräver offentlig redovisning av alla ekonomiska intressen och extern verksamhet för högre tjänstemän, inklusive kollegiets medlemmar, och att en regelbunden översyn av dessa redovisningar möjliggör att potentiella, ännu oupptäckta risker kan identifieras i förväg. Parlamentet uppskattar Eppos vilja att utforska effektiva sätt att uppnå detta mål, med beaktande av åklagarfunktionens känslighet och särskilda karaktär.</w:t>
      </w:r>
    </w:p>
    <w:p w14:paraId="07BE56D4" w14:textId="77777777" w:rsidR="0022339F" w:rsidRPr="008D1F48" w:rsidRDefault="0022339F" w:rsidP="0022339F">
      <w:pPr>
        <w:widowControl/>
        <w:autoSpaceDE w:val="0"/>
        <w:autoSpaceDN w:val="0"/>
        <w:adjustRightInd w:val="0"/>
        <w:spacing w:after="240"/>
        <w:ind w:left="567" w:hanging="567"/>
        <w:rPr>
          <w:bCs/>
          <w:szCs w:val="24"/>
        </w:rPr>
      </w:pPr>
      <w:r w:rsidRPr="008D1F48">
        <w:t>68.</w:t>
      </w:r>
      <w:r w:rsidRPr="008D1F48">
        <w:tab/>
        <w:t>Europaparlamentet noterar att transparens är avgörande i Eppos kontakter med externa aktörer. Parlamentet uppskattar Eppos beredvillighet att undersöka möjligheter att ytterligare öka transparensen i dessa kontakter, med full hänsyn till åklagarfunktionens känslighet och särskilda karaktär, inbegripet domstolarnas övervakning, samt behovet av att skydda Eppos oberoende. Parlamentet vidhåller att inrättandet av ett obligatoriskt offentligt register över samtliga möten mellan Eppos tjänstemän och företrädare för tredje parter, inklusive lobbyister, även när de deltar i opinionsbildande verksamhet med anknytning till politiska prioriteringar, och företrädare för nationella regeringar skulle bidra till att stärka allmänhetens förtroende för Eppos oberoende och dess förmåga att inleda omedelbara utredningar av alla fall av missbruk av offentliga medel, på ett sådant sätt att man förhindrar varje uppfattning om otillbörlig påverkan.</w:t>
      </w:r>
    </w:p>
    <w:p w14:paraId="2C15B598" w14:textId="77777777" w:rsidR="0022339F" w:rsidRPr="008D1F48" w:rsidRDefault="0022339F" w:rsidP="0022339F">
      <w:pPr>
        <w:pStyle w:val="NormalHanging12a"/>
        <w:widowControl/>
        <w:rPr>
          <w:szCs w:val="24"/>
        </w:rPr>
      </w:pPr>
      <w:r w:rsidRPr="008D1F48">
        <w:rPr>
          <w:b/>
          <w:i/>
        </w:rPr>
        <w:t>Digitalisering, cybersäkerhet och skydd av personuppgifter</w:t>
      </w:r>
    </w:p>
    <w:p w14:paraId="57E452FF" w14:textId="77777777" w:rsidR="0022339F" w:rsidRPr="008D1F48" w:rsidRDefault="0022339F" w:rsidP="0022339F">
      <w:pPr>
        <w:widowControl/>
        <w:spacing w:after="240"/>
        <w:ind w:left="567" w:hanging="567"/>
        <w:rPr>
          <w:bCs/>
        </w:rPr>
      </w:pPr>
      <w:r w:rsidRPr="008D1F48">
        <w:lastRenderedPageBreak/>
        <w:t>69.</w:t>
      </w:r>
      <w:r w:rsidRPr="008D1F48">
        <w:rPr>
          <w:b/>
        </w:rPr>
        <w:tab/>
      </w:r>
      <w:r w:rsidRPr="008D1F48">
        <w:t>Europaparlamentet beklagar att parlamentets uppmaningar till kommissionen att ompröva beslutet från kommissionens generaldirektorat för digitala tjänster (GD Digitala tjänster, tidigare DIGIT) att upphöra med tillhandahållandet av digitala arbetsplatstjänster till Eppo inte har följts upp. Parlamentet uppskattar kommissionens beslut att tillfälligt förlänga tillhandahållandet av it-tjänster till juni 2025 för att underlätta övergången, men beklagar att det slutliga resultatet är en situation vars ekonomiska bärkraft i bästa fall är tveksam och som prestationsmässigt inte är optimal. Parlamentet upprepar sina synpunkter rörande säkerhets- och sekretessaspekter samt de rent ekonomiska aspekterna, eftersom utkontraktering skulle framstå som betydligt dyrare än en intern lösning, när man summerar de resurser som krävs för att hantera de komplexa administrativa frågorna och anpassa sig till Eppos decentraliserade struktur med europeiska delegerade åklagare och nationella delegerade åklagares assistenter på flera platser inom unionen.</w:t>
      </w:r>
    </w:p>
    <w:p w14:paraId="6D50E51D" w14:textId="77777777" w:rsidR="0022339F" w:rsidRPr="008D1F48" w:rsidRDefault="0022339F" w:rsidP="0022339F">
      <w:pPr>
        <w:spacing w:after="240"/>
        <w:ind w:left="567" w:hanging="567"/>
        <w:rPr>
          <w:bCs/>
        </w:rPr>
      </w:pPr>
      <w:r w:rsidRPr="008D1F48">
        <w:t>70.</w:t>
      </w:r>
      <w:r w:rsidRPr="008D1F48">
        <w:tab/>
        <w:t>Europaparlamentet understryker att även om Eppo uppnådde full it-autonomi först 2025, gjorde det förberedande arbetet under 2024 de största digitaliseringsinvesteringarna i Eppos historia påtagliga, och att Eppo för att uppnå it-autonomi och förhindra negativa effekter på den operativa verksamheten var tvungen att inleda ett flertal åtgärder. Parlamentet påminner om att även om kommissionen tillhandahöll tekniskt stöd till Eppo under övergången till it-autonomi var Eppo, ur ett budgetperspektiv, under alla omständigheter tvungen att omfördela resurser från den operativa verksamheten till it-verksamheten, utan att kommissionen gick med på att kompensera detta. Parlamentet erinrar i detta sammanhang om att Eppos begäran om en ändringsbudget för 2024 (på cirka 3 miljoner EUR och 37 tjänster i tjänsteförteckningen) avslogs i slutet av februari 2024, och att detta avslag följde på kommissionens tidigare beslut att inte bevilja 45 ytterligare tjänster i tjänsteförteckningen för att fylla luckan som uppstod till följd av att GD Digitala tjänster upphörde med sina tjänster, som lämnades in i januari 2023.</w:t>
      </w:r>
    </w:p>
    <w:p w14:paraId="537279A1" w14:textId="77777777" w:rsidR="0022339F" w:rsidRPr="008D1F48" w:rsidRDefault="0022339F" w:rsidP="0022339F">
      <w:pPr>
        <w:spacing w:after="240"/>
        <w:ind w:left="567" w:hanging="567"/>
        <w:rPr>
          <w:bCs/>
        </w:rPr>
      </w:pPr>
      <w:r w:rsidRPr="008D1F48">
        <w:t>71.</w:t>
      </w:r>
      <w:r w:rsidRPr="008D1F48">
        <w:tab/>
        <w:t>Europaparlamentet påpekar att Eppos operativa IKT-budget under 2024 uppgick till 6,61 miljoner EUR, vilket motsvarar 19 % av den totala operativa budgeten (jämfört med 4,7 miljoner EUR 2023 och 5,6 miljoner EUR 2022). Parlamentet konstaterar att ökningen i absoluta tal återspeglar det omfattande förberedande arbete som genomfördes inför it-autonomin, inbegripet en förstärkning av den interna kapaciteten inom cybersäkerhet, it-tjänstehantering och infrastrukturövervakning samt den tekniska övergången av tjänster som tidigare tillhandahölls av GD Digitala tjänster. Parlamentet noterar att dessa investeringar var strategiskt inriktade på att säkerställa kontinuitet, oberoende och säkerhet i Eppos digitala miljö och att lägga den nödvändiga grunden för ett framgångsrikt uppnående av it-autonomi i juni 2025. Parlamentet understryker att även om andelen it-utgifter inom den operativa budgeten förblev stabil, kännetecknades 2024 av en tydlig koncentration av insatser och resurser för att förbereda Eppos övergång till full digital självständighet.</w:t>
      </w:r>
    </w:p>
    <w:p w14:paraId="69B0E523" w14:textId="77777777" w:rsidR="0022339F" w:rsidRPr="008D1F48" w:rsidRDefault="0022339F" w:rsidP="0022339F">
      <w:pPr>
        <w:widowControl/>
        <w:spacing w:after="240"/>
        <w:ind w:left="567" w:hanging="567"/>
        <w:rPr>
          <w:bCs/>
        </w:rPr>
      </w:pPr>
      <w:r w:rsidRPr="008D1F48">
        <w:t>72.</w:t>
      </w:r>
      <w:r w:rsidRPr="008D1F48">
        <w:tab/>
        <w:t>Europaparlamentet noterar att Eppo även efter att ha uppnått it-autonomi 2025 framhåller att upprätthållandet av denna it-autonomi kräver ytterligare personalresurser och ekonomiska resurser som hittills inte har beviljats på grund av den begränsning som de totala tillgängliga budgetresurserna i de berörda budgetposterna medför. Parlamentet uppmanar kommissionen att ompröva sitt beslut och att anslå ytterligare resurser för att säkerställa att Eppos verksamhet inte äventyras vare sig i fråga om effektivitet eller rättslig sundhet.</w:t>
      </w:r>
    </w:p>
    <w:p w14:paraId="42534CC7" w14:textId="77777777" w:rsidR="0022339F" w:rsidRPr="008D1F48" w:rsidRDefault="0022339F" w:rsidP="0022339F">
      <w:pPr>
        <w:widowControl/>
        <w:spacing w:after="240"/>
        <w:ind w:left="567" w:hanging="567"/>
        <w:rPr>
          <w:bCs/>
        </w:rPr>
      </w:pPr>
      <w:r w:rsidRPr="008D1F48">
        <w:lastRenderedPageBreak/>
        <w:t>73.</w:t>
      </w:r>
      <w:r w:rsidRPr="008D1F48">
        <w:tab/>
        <w:t>Europaparlamentet noterar att Eppo under 2024 på it-området fortlöpande arbetade med de två huvudprojekten inom programmet för it-autonomi och programmet för ärendehanteringssystemet, där det förstnämnda syftar till att tillhandahålla en fullständig katalog över administrativa it-tjänster som förvaltas fullt ut internt och det sistnämnda till att vidareutveckla digitaliseringen av organisationen inom dess kärnverksamhetsområde utredningar och lagföring. Parlamentet anser att lösningen att rekrytera entreprenörer som redan är verksamma inom Eppo för att hantera dessa projekt erbjuder omedelbar operativ kontinuitet, men inte bör ses som en definitiv lösning för Eppo med beaktande av dess verksamhets extremt känsliga karaktär och behovet av att säkerställa kontinuitet och tillförlitlighet när det gäller dess digitala tjänster samt högsta möjliga säkerhetsnivå för dess it-infrastruktur, it-system och it-utrustning. Parlamentet upprepar sin oro över risken för att kommissionen inte fullt ut uppfattar frågans känslighet, vilket återspeglas i en ytlig bedömning av problemet som kan få negativa konsekvenser för Eppos operativa verksamhet och utgör en potentiell anseenderisk för unionen om den leder till en försvagning av Eppos operativa kapacitet.</w:t>
      </w:r>
    </w:p>
    <w:p w14:paraId="10B538B3" w14:textId="77777777" w:rsidR="0022339F" w:rsidRPr="008D1F48" w:rsidRDefault="0022339F" w:rsidP="0022339F">
      <w:pPr>
        <w:widowControl/>
        <w:spacing w:after="240"/>
        <w:ind w:left="567" w:hanging="567"/>
        <w:rPr>
          <w:bCs/>
          <w:szCs w:val="24"/>
        </w:rPr>
      </w:pPr>
      <w:r w:rsidRPr="008D1F48">
        <w:t>74.</w:t>
      </w:r>
      <w:r w:rsidRPr="008D1F48">
        <w:tab/>
        <w:t>Europaparlamentet erinrar om att komplexiteten i Eppos it-infrastruktur härrör från Eppos decentraliserade struktur, som innebär att varje europeisk delegerad åklagare är skyldig att använda både nationella system och Eppos ärendehanteringssystem, vilka utgör skilda databaser som styrs av olika åtkomsträttigheter. Parlamentet påpekar att behandlingen och utbytet av information mellan de europeiska delegerade åklagarnas och Eppos centrala tjänster förutsätter att ärendeakterna digitaliseras av de europeiska delegerade åklagarna, vilka är skyldiga att använda nationella digitala verktyg i enlighet med nationell rätt, men samtidigt måste beakta behovet av att dessa digitala handlingar finns i format som är kompatibla med Eppos centrala system och med de system som används av andra europeiska delegerade åklagare som deltar som partner i utredningsärenden.</w:t>
      </w:r>
    </w:p>
    <w:p w14:paraId="134CECAB" w14:textId="77777777" w:rsidR="0022339F" w:rsidRPr="008D1F48" w:rsidRDefault="0022339F" w:rsidP="0022339F">
      <w:pPr>
        <w:pStyle w:val="NormalHanging12a"/>
      </w:pPr>
      <w:r w:rsidRPr="008D1F48">
        <w:t>75.</w:t>
      </w:r>
      <w:r w:rsidRPr="008D1F48">
        <w:tab/>
        <w:t>Europaparlamentet vidhåller att en integration mellan Eppos ärendehanteringssystem och de nationella ärendehanteringssystemen är nödvändig för att öka effektiviteten i utredningarna och att detta bör eftersträvas i samband med översynen av förordning (EU) 2017/1939. Parlamentet förutser att en sådan integration förutsätter en gemensam och konsekvent digitaliseringsnivå i de deltagande medlemsstaterna för att skapa en digital arbetsmiljö som håller samma säkerhetsstandard som Eppos centrala kontor, samtidigt som nationella rättsliga ramar följs fullt ut. Parlamentet påminner om att de därmed sammanhängande delade kostnaderna för medlemsstaterna och unionen bör beaktas i budgetberäkningen och budgetprognosen. Parlamentet uppskattar de nationella delegerade åklagarnas assistenters roll och bidrag till den effektiva användningen och uppdateringen av systemen och föreslår att man överväger att tilldela dem en särskild status i samband med översynen av förordning (EU) 2017/1939. Parlamentet betonar att eventuell framtida integration bör baseras på en balanserad ansvarsfördelning mellan unionen och medlemsstaterna.</w:t>
      </w:r>
    </w:p>
    <w:p w14:paraId="09201419" w14:textId="77777777" w:rsidR="0022339F" w:rsidRPr="008D1F48" w:rsidRDefault="0022339F" w:rsidP="0022339F">
      <w:pPr>
        <w:pStyle w:val="NormalHanging12a"/>
      </w:pPr>
      <w:r w:rsidRPr="008D1F48">
        <w:t>76.</w:t>
      </w:r>
      <w:r w:rsidRPr="008D1F48">
        <w:tab/>
        <w:t xml:space="preserve">Europaparlamentet anser det avgörande att begränsa riskerna för integriteten i Eppos it-struktur som följer av de aggressiva metoder som tillämpas av de organiserade kriminella sammanslutningar som utreds och lagförs av Eppo, och som tenderar att reagera kraftfullt på Eppos ingripanden för att störa deras brottsliga verksamhet. Parlamentet uppskattar att den övergripande förbättrade säkerhetsstrategin och den globala ramen för informationssäkerhet, som föreslogs 2023, formellt godkändes och antogs 2024. Parlamentet understryker att fysisk och digital säkerhet samt styrningen av dessa områden är viktiga förutsättningar för Eppos operativa oberoende och effektivitet </w:t>
      </w:r>
      <w:r w:rsidRPr="008D1F48">
        <w:lastRenderedPageBreak/>
        <w:t>samt kräver tillräckliga resurser, såsom de som används för inrättandet av en särskild enhet med ansvar för cybersäkerhet och fysisk säkerhet.</w:t>
      </w:r>
    </w:p>
    <w:p w14:paraId="2EAFAA7F" w14:textId="77777777" w:rsidR="0022339F" w:rsidRPr="008D1F48" w:rsidRDefault="0022339F" w:rsidP="0022339F">
      <w:pPr>
        <w:widowControl/>
        <w:spacing w:after="240"/>
        <w:ind w:left="567" w:hanging="567"/>
        <w:rPr>
          <w:bCs/>
        </w:rPr>
      </w:pPr>
      <w:r w:rsidRPr="008D1F48">
        <w:t>77.</w:t>
      </w:r>
      <w:r w:rsidRPr="008D1F48">
        <w:tab/>
        <w:t>Europaparlamentet betonar att Eppo i allt större utsträckning uppmanas att hantera ärenden som innefattar högteknologiska komponenter och digitala brottsmetoder, och att Eppo därför behöver modern utrustning och uppdaterade it-system för att kunna integrera avancerad teknik i utredningsprocesserna och analyserna, i synnerhet sådan teknik som ofta används av högkvalificerade kriminella nätverk.</w:t>
      </w:r>
    </w:p>
    <w:p w14:paraId="242C9272" w14:textId="77777777" w:rsidR="0022339F" w:rsidRPr="008D1F48" w:rsidRDefault="0022339F" w:rsidP="0022339F">
      <w:pPr>
        <w:pStyle w:val="NormalHanging12a"/>
      </w:pPr>
      <w:r w:rsidRPr="008D1F48">
        <w:t>78.</w:t>
      </w:r>
      <w:r w:rsidRPr="008D1F48">
        <w:tab/>
        <w:t>Europaparlamentet noterar att Eppo inom de operativa verksamhetsområdena tillämpar stor försiktighet vid användningen av artificiell intelligens och håller med om att även om AI kan hjälpa till med databehandling, ersätter den inte det fulla mänskliga ansvaret för bevisvärdering och åklagarbeslut. Parlamentet välkomnar denna strategi som nödvändig för att skydda de grundläggande rättigheterna, rättssäkerheten och ansvarsskyldigheten. Parlamentet understryker att Eppo inte ser AI som ett medel för att minska personalbehovet, utan snarare som ett stöd för att hantera den ökande arbetsbelastningen. Parlamentet uppmuntrar riktade investeringar i AI-verktyg – förutsatt att användningen förblir proportionerlig och underordnad mänsklig tillsyn – och AI-utbildning, vars budgetkonsekvenser bör kunna vägas upp av effektivitetsvinster, bland annat inom översättning och andra stödprocesser. Parlamentet uppmanar Eppo att tillhandahålla riktlinjer för personalen om hur sådana verktyg ska användas, med särskilt fokus på de processer som är typiska för Eppos särskilda uppdrag.</w:t>
      </w:r>
    </w:p>
    <w:p w14:paraId="5CFADDC1" w14:textId="77777777" w:rsidR="0022339F" w:rsidRPr="008D1F48" w:rsidRDefault="0022339F" w:rsidP="0022339F">
      <w:pPr>
        <w:widowControl/>
        <w:spacing w:after="240"/>
        <w:ind w:left="567" w:hanging="567"/>
        <w:rPr>
          <w:bCs/>
          <w:sz w:val="22"/>
          <w:szCs w:val="22"/>
        </w:rPr>
      </w:pPr>
      <w:r w:rsidRPr="008D1F48">
        <w:t>79.</w:t>
      </w:r>
      <w:r w:rsidRPr="008D1F48">
        <w:tab/>
        <w:t>Europaparlamentet är medvetet om att Eppos ärenden samt tillhörande akter och bevismaterial hänskjuts till Eppo och registreras på samtliga unionsspråk, och att varje ärende kan omfatta hundratals eller tusentals handlingar som tas emot i stora volymer och som behöver översättas till arbetsspråk för ärendeanalys och utredning, samtidigt som Eppos rapporter och beslut, som utfärdas på engelska, måste översättas tillbaka till den rapporterande medlemsstatens språk för att kunna översändas till de nationella domstolarna. Parlamentet har förståelse för att denna process genomförs med hjälp av maskinöversättningstjänster som tillhandahålls av översättningscentrum (CdT). Parlamentet konstaterar att kostnaderna för eTranslation-tjänster under 2024 uppgick till 1 051 000 EUR för maskinöversättningsverktyg och till 2 308 452 EUR för mänsklig översättning</w:t>
      </w:r>
      <w:r w:rsidRPr="008D1F48">
        <w:rPr>
          <w:rStyle w:val="FootnoteReference"/>
          <w:bCs/>
          <w:szCs w:val="24"/>
        </w:rPr>
        <w:footnoteReference w:id="16"/>
      </w:r>
      <w:r w:rsidRPr="008D1F48">
        <w:t>. Parlamentet uppmanar Eppo att undersöka möjligheterna att bättre utnyttja dessa maskinöversättningstjänster, som för närvarande inte är AI-baserade utan bygger på vokabulärdata som tillhandahålls via GD Digitala tjänsters eTranslation-tjänst och uppdateras årligen.</w:t>
      </w:r>
    </w:p>
    <w:p w14:paraId="1F1A13C0" w14:textId="77777777" w:rsidR="0022339F" w:rsidRPr="008D1F48" w:rsidRDefault="0022339F" w:rsidP="0022339F">
      <w:pPr>
        <w:widowControl/>
        <w:spacing w:after="240"/>
        <w:ind w:left="567" w:hanging="567"/>
        <w:rPr>
          <w:bCs/>
          <w:szCs w:val="24"/>
        </w:rPr>
      </w:pPr>
      <w:r w:rsidRPr="008D1F48">
        <w:t>80.</w:t>
      </w:r>
      <w:r w:rsidRPr="008D1F48">
        <w:tab/>
        <w:t>Europaparlamentet upprepar sitt stöd för Eppos begäran om att resurser ska anslås för att skydda dess cybersäkerhet och efterlyser ett snabbt genomförande av en robust cybersäkerhetsstrategi för att skydda Eppos verksamhet och dataintegritet.</w:t>
      </w:r>
    </w:p>
    <w:p w14:paraId="46747009" w14:textId="77777777" w:rsidR="0022339F" w:rsidRPr="008D1F48" w:rsidRDefault="0022339F" w:rsidP="0022339F">
      <w:pPr>
        <w:widowControl/>
        <w:autoSpaceDE w:val="0"/>
        <w:autoSpaceDN w:val="0"/>
        <w:adjustRightInd w:val="0"/>
        <w:spacing w:after="240"/>
        <w:ind w:left="567" w:hanging="567"/>
        <w:rPr>
          <w:bCs/>
          <w:szCs w:val="24"/>
        </w:rPr>
      </w:pPr>
      <w:r w:rsidRPr="008D1F48">
        <w:lastRenderedPageBreak/>
        <w:t>81.</w:t>
      </w:r>
      <w:r w:rsidRPr="008D1F48">
        <w:tab/>
        <w:t>Europaparlamentet konstaterar att Eppos digitala strategi samt strategi för hantering av sårbarheter och patchar för närvarande är under utveckling och att de befintliga tjänsterna säkerställer sårbarhetsbedömning samt automatiserade skanningsverktyg och aviseringar för den kritiska miljön för ärendehanteringssystemet. Parlamentet uppmanar Eppo att prioritera de åtgärder som är väsentliga för att garantera en säker arbetsmiljö, kontinuitet i verksamheten och skydd av relevant information.</w:t>
      </w:r>
    </w:p>
    <w:p w14:paraId="7BFAE773" w14:textId="77777777" w:rsidR="0022339F" w:rsidRPr="008D1F48" w:rsidRDefault="0022339F" w:rsidP="0022339F">
      <w:pPr>
        <w:widowControl/>
        <w:spacing w:after="240"/>
        <w:ind w:left="567" w:hanging="567"/>
        <w:rPr>
          <w:bCs/>
        </w:rPr>
      </w:pPr>
      <w:r w:rsidRPr="008D1F48">
        <w:t>82.</w:t>
      </w:r>
      <w:r w:rsidRPr="008D1F48">
        <w:tab/>
        <w:t>Europaparlamentet välkomnar den kontinuerliga dialogen mellan Eppos dataskyddsombud och Europeiska datatillsynsmannens kontaktpunkt för Eppo samt deras regelbundna bilaterala möten. Parlamentet uppmuntrar kollegiet, vars beslut kompletterar den faktiska rättsliga ramen</w:t>
      </w:r>
      <w:r w:rsidRPr="008D1F48">
        <w:rPr>
          <w:rStyle w:val="FootnoteReference"/>
          <w:bCs/>
        </w:rPr>
        <w:footnoteReference w:id="17"/>
      </w:r>
      <w:r w:rsidRPr="008D1F48">
        <w:t>, att genom regelbundna översyner av befintliga rutiner och förfaranden samarbeta med Europeiska datatillsynsmannen med hänsyn till behovet av att säkerställa användbarheten av personuppgifter för utredning och lagföring, samtidigt som deras skydd tryggas.</w:t>
      </w:r>
    </w:p>
    <w:p w14:paraId="638E3357" w14:textId="77777777" w:rsidR="0022339F" w:rsidRPr="008D1F48" w:rsidRDefault="0022339F" w:rsidP="0022339F">
      <w:pPr>
        <w:widowControl/>
        <w:spacing w:after="240"/>
        <w:ind w:left="567" w:hanging="567"/>
        <w:rPr>
          <w:b/>
          <w:i/>
          <w:szCs w:val="24"/>
        </w:rPr>
      </w:pPr>
      <w:r w:rsidRPr="008D1F48">
        <w:rPr>
          <w:b/>
          <w:i/>
        </w:rPr>
        <w:t>Byggnader och säkerhet</w:t>
      </w:r>
    </w:p>
    <w:p w14:paraId="61548784" w14:textId="77777777" w:rsidR="0022339F" w:rsidRPr="008D1F48" w:rsidRDefault="0022339F" w:rsidP="0022339F">
      <w:pPr>
        <w:widowControl/>
        <w:spacing w:after="240"/>
        <w:ind w:left="567" w:hanging="567"/>
        <w:rPr>
          <w:bCs/>
          <w:szCs w:val="24"/>
        </w:rPr>
      </w:pPr>
      <w:r w:rsidRPr="008D1F48">
        <w:t>83.</w:t>
      </w:r>
      <w:r w:rsidRPr="008D1F48">
        <w:tab/>
        <w:t>Europaparlamentet konstaterar att hyresavtalet, enligt vilket Luxemburgs myndigheter tillhandahåller byggnaden som för närvarande hyser Eppos huvudkontor hyresfritt, inte ändrades under 2024 och att Eppo betalade samma årliga serviceavgift på 716 724 EUR 2024 som 2023, utan några ytterligare kostnader.</w:t>
      </w:r>
    </w:p>
    <w:p w14:paraId="02DFB6E9" w14:textId="77777777" w:rsidR="0022339F" w:rsidRPr="008D1F48" w:rsidRDefault="0022339F" w:rsidP="0022339F">
      <w:pPr>
        <w:widowControl/>
        <w:spacing w:after="240"/>
        <w:ind w:left="567" w:hanging="567"/>
        <w:rPr>
          <w:bCs/>
          <w:szCs w:val="24"/>
        </w:rPr>
      </w:pPr>
      <w:r w:rsidRPr="008D1F48">
        <w:t>84.</w:t>
      </w:r>
      <w:r w:rsidRPr="008D1F48">
        <w:tab/>
        <w:t>Europaparlamentet noterar att Eppo för närvarande disponerar tio våningar i tornet och fyra våningar i annexet till Torn B (TOB). Parlamentet är medvetet om att ytterligare sju våningar är under renovering av värdlandet från början av 2025 och successivt kommer att överlämnas till Eppo under fjärde kvartalet 2025. Parlamentet noterar att de nya våningarna kommer att bidra till att övervinna den nuvarande platsbristen och ge möjlighet att sammanföra och effektivt omfördela Eppos tjänster i lokalerna. Parlamentet påminner om arten av Eppos verksamhet och dess inneboende konfidentialitet och välkomnar därför tilldelningen av individuella arbetsplatser till varje anställd i enkel-, dubbel- eller trippelkontor. Parlamentet uppskattar de åtgärder som redan vidtagits för att säkerställa att kontoren är tillgängliga för personer med nedsatt rörlighet eller andra funktionsnedsättningar.</w:t>
      </w:r>
    </w:p>
    <w:p w14:paraId="5B78C7F5" w14:textId="77777777" w:rsidR="0022339F" w:rsidRPr="008D1F48" w:rsidRDefault="0022339F" w:rsidP="0022339F">
      <w:pPr>
        <w:pStyle w:val="NormalHanging12a"/>
        <w:widowControl/>
        <w:rPr>
          <w:b/>
          <w:i/>
          <w:szCs w:val="24"/>
        </w:rPr>
      </w:pPr>
      <w:r w:rsidRPr="008D1F48">
        <w:rPr>
          <w:b/>
          <w:i/>
        </w:rPr>
        <w:t>Miljö och hållbarhet</w:t>
      </w:r>
    </w:p>
    <w:p w14:paraId="439BEE81" w14:textId="77777777" w:rsidR="0022339F" w:rsidRPr="008D1F48" w:rsidRDefault="0022339F" w:rsidP="0022339F">
      <w:pPr>
        <w:widowControl/>
        <w:spacing w:after="240"/>
        <w:ind w:left="567" w:hanging="567"/>
        <w:rPr>
          <w:bCs/>
        </w:rPr>
      </w:pPr>
      <w:r w:rsidRPr="008D1F48">
        <w:t>85.</w:t>
      </w:r>
      <w:r w:rsidRPr="008D1F48">
        <w:rPr>
          <w:b/>
        </w:rPr>
        <w:tab/>
      </w:r>
      <w:r w:rsidRPr="008D1F48">
        <w:t xml:space="preserve">Europaparlamentet är medvetet om att Eppo disponerar delar av en byggnad som tillhandahålls utan hyra av värdlandet och att miljöparametrarna hanteras av de nationella myndigheterna i enlighet med lokala miljökrav. Parlamentet välkomnar de åtgärder som Luxemburgs myndigheter har vidtagit för att stödja Eppo i främjandet av miljöförvaltning, vilket har resulterat i installeringen av 20 laddningsstationer för elfordon i ett underjordiskt parkeringsgarage samt byte till energisnål inomhusbelysning och fasadpersienner i hela Eppos centrala kontor för att öka byggnadens energieffektivitet. Parlamentet noterar att vattenfiltreringsmaskiner har installerats på </w:t>
      </w:r>
      <w:r w:rsidRPr="008D1F48">
        <w:lastRenderedPageBreak/>
        <w:t>alla våningar, vilket minskar användningen av plastflaskor. Parlamentet noterar att Eppos centrala kontor omfattas av Luxemburgs nätverk av kostnadsfri kollektivtrafik, vilket gör det lätt att ta sig till kontoret med låg miljöpåverkan och utan kostnad för personal och besökare, och att den centrala underjordiska parkeringen tillhandahåller en särskild zon för cykelparkering.</w:t>
      </w:r>
    </w:p>
    <w:p w14:paraId="501995F1" w14:textId="77777777" w:rsidR="0022339F" w:rsidRPr="008D1F48" w:rsidRDefault="0022339F" w:rsidP="0022339F">
      <w:pPr>
        <w:widowControl/>
        <w:spacing w:after="240"/>
        <w:ind w:left="567" w:hanging="567"/>
        <w:rPr>
          <w:rFonts w:ascii="Segoe UI" w:hAnsi="Segoe UI" w:cs="Segoe UI"/>
          <w:bCs/>
          <w:sz w:val="23"/>
          <w:szCs w:val="23"/>
        </w:rPr>
      </w:pPr>
      <w:r w:rsidRPr="008D1F48">
        <w:t>86.</w:t>
      </w:r>
      <w:r w:rsidRPr="008D1F48">
        <w:tab/>
        <w:t>Europaparlamentet noterar att Eppo följer kommissionens beslut C(2025)2495 – Vägledning för tjänsteresor och godkända resor – och inte bara tar hänsyn till miljövänliga resealternativ för personal i samband med tjänsteresor utan också systematiskt beaktar behovet av tjänsteresor i förhållande till möjligheten att genomföra möten online.</w:t>
      </w:r>
    </w:p>
    <w:p w14:paraId="009A188B" w14:textId="77777777" w:rsidR="0022339F" w:rsidRPr="008D1F48" w:rsidRDefault="0022339F" w:rsidP="0022339F">
      <w:pPr>
        <w:widowControl/>
        <w:spacing w:after="240"/>
        <w:ind w:left="567" w:hanging="567"/>
        <w:rPr>
          <w:b/>
          <w:i/>
          <w:szCs w:val="24"/>
        </w:rPr>
      </w:pPr>
      <w:r w:rsidRPr="008D1F48">
        <w:rPr>
          <w:b/>
          <w:i/>
        </w:rPr>
        <w:t>Interinstitutionellt samarbete</w:t>
      </w:r>
    </w:p>
    <w:p w14:paraId="32AC45BE" w14:textId="77777777" w:rsidR="0022339F" w:rsidRPr="008D1F48" w:rsidRDefault="0022339F" w:rsidP="0022339F">
      <w:pPr>
        <w:widowControl/>
        <w:autoSpaceDE w:val="0"/>
        <w:autoSpaceDN w:val="0"/>
        <w:adjustRightInd w:val="0"/>
        <w:spacing w:after="240"/>
        <w:ind w:left="567" w:hanging="567"/>
        <w:rPr>
          <w:rFonts w:ascii="Segoe UI" w:hAnsi="Segoe UI" w:cs="Segoe UI"/>
          <w:bCs/>
          <w:sz w:val="23"/>
          <w:szCs w:val="23"/>
        </w:rPr>
      </w:pPr>
      <w:r w:rsidRPr="008D1F48">
        <w:t>87.</w:t>
      </w:r>
      <w:r w:rsidRPr="008D1F48">
        <w:rPr>
          <w:b/>
        </w:rPr>
        <w:tab/>
      </w:r>
      <w:r w:rsidRPr="008D1F48">
        <w:t>Europaparlamentet upprepar att Eppos centrala roll inom den struktur som utformats för att skydda unionens ekonomiska intressen endast kan fullgöras effektivt genom ett intensivt samarbete och samordning med andra enheter som utför kompletterande uppgifter. Parlamentet betonar att Eppo verkar i ett komplext och heterogent landskap där dess oberoende är avgörande, lika mycket som dess förmåga att skapa synergier med sina partner och dess vilja att kommunicera med relevanta berörda parter.</w:t>
      </w:r>
    </w:p>
    <w:p w14:paraId="15FC5B2D" w14:textId="77777777" w:rsidR="0022339F" w:rsidRPr="008D1F48" w:rsidRDefault="0022339F" w:rsidP="0022339F">
      <w:pPr>
        <w:pStyle w:val="NormalHanging12a"/>
      </w:pPr>
      <w:r w:rsidRPr="008D1F48">
        <w:t>88.</w:t>
      </w:r>
      <w:r w:rsidRPr="008D1F48">
        <w:tab/>
        <w:t>Europaparlamentet är medvetet om Eppos insatser för effektivt samarbete med Europol, Olaf och Eurojust, vilket sker i enlighet med respektive organisations mandat, genom regelbundna möten på ledningsnivå och teknisk nivå samt via processerna med ”träff/icke träff” som används för tvåvägsutbyte av information och för att undvika dubbelarbete. Parlamentet beklagar emellertid den begränsade omfattningen av operativt samarbete mellan Olaf och Eppo, vilket bekräftas av det ständigt låga antalet Eppo-ärenden som stöds av Olaf (4 fall 2023 och 5 fall 2024) jämfört med det antal fall där Eppo erhållit stöd under 2024 från Eurojust (25) och Europol (83). Parlamentet noterar att samarbetet med Europol begränsas av nationell straffprocessrätt och tillgången till Eppo-uppgifter. Parlamentet anser att ytterligare förstärkning av samarbetet med Europol skulle möjliggöra synergier och optimering av resurser, utan att detta förändrar det brådskande behovet av att Eppo utvecklar sin interna analytiska plattform, som är väsentlig för en snabb tolkning av de uppgifter som samlats in under dess utredningar och fastställandet av operativa strategier i gränsöverskridande fall som kräver tillgång till Eppos hela ärendehanteringssystem. Parlamentet uppmanar alla parter att undersöka lämpliga sätt att skapa synergier, stärka samarbetet på operativ nivå, undvika dubbelarbete och utnyttja befintlig analytisk kapacitet på bästa sätt. Parlamentet välkomnar inrättandet av särskilda arbetsgrupper för kommissionens tillkännagivna översyn av bedrägeribekämpningsstrukturen och förväntar sig att diskussionerna, med deltagande av samtliga komponenter i bedrägeribekämpningsstrukturen, leder till konkreta förbättringar av deras sätt att samarbeta och samordna verksamheten, som ska redovisas av kommissionen senast i slutet av 2026.</w:t>
      </w:r>
    </w:p>
    <w:p w14:paraId="0D428177" w14:textId="77777777" w:rsidR="0022339F" w:rsidRPr="008D1F48" w:rsidRDefault="0022339F" w:rsidP="0022339F">
      <w:pPr>
        <w:pStyle w:val="Default"/>
        <w:spacing w:after="240"/>
        <w:ind w:left="567" w:hanging="567"/>
        <w:rPr>
          <w:rFonts w:ascii="Times New Roman" w:hAnsi="Times New Roman" w:cs="Times New Roman"/>
          <w:bCs/>
          <w:color w:val="auto"/>
        </w:rPr>
      </w:pPr>
      <w:r w:rsidRPr="008D1F48">
        <w:rPr>
          <w:rFonts w:ascii="Times New Roman" w:hAnsi="Times New Roman"/>
          <w:color w:val="auto"/>
        </w:rPr>
        <w:t>89.</w:t>
      </w:r>
      <w:r w:rsidRPr="008D1F48">
        <w:rPr>
          <w:rFonts w:ascii="Times New Roman" w:hAnsi="Times New Roman"/>
          <w:color w:val="auto"/>
        </w:rPr>
        <w:tab/>
        <w:t>Europaparlamentet noterar det goda samarbetet mellan Eppo och revisionsrätten, Europeiska datatillsynsmannen samt Europeiska ombudsmannen under 2024. Parlamentet konstaterar att Europeiska ombudsmannen inledde en undersökning efter ett klagomål från en medborgare som deltagit i ett urvalsförfarande under 2024, men att undersökningen inte gav stöd för några bevis eller några fall av administrativa missförhållanden från Eppos sida.</w:t>
      </w:r>
    </w:p>
    <w:p w14:paraId="4B6D5F39" w14:textId="77777777" w:rsidR="0022339F" w:rsidRPr="008D1F48" w:rsidRDefault="0022339F" w:rsidP="0022339F">
      <w:pPr>
        <w:pStyle w:val="NormalHanging12a"/>
      </w:pPr>
      <w:r w:rsidRPr="008D1F48">
        <w:lastRenderedPageBreak/>
        <w:t>90.</w:t>
      </w:r>
      <w:r w:rsidRPr="008D1F48">
        <w:tab/>
        <w:t>Europaparlamentet anser att översynen av de regelverk som styr Olafs och Eppos verksamhet ger en möjlighet att ompröva flera aspekter av deras samarbete mot bakgrund av de erfarenheter som gjorts under dessa år av operativ verksamhet. Parlamentet betonar att de lärdomar som dragits av genomförandet av både de kompletterande utredningarna (som föreslås av Olaf) och de stödjande utredningarna (som begärs av Eppo) har tillhandahållit ett gediget underlag för att omforma samarbetsrutinerna mellan dem. Parlamentet understryker att samma operativa erfarenhet har visat på behovet av ökad upptäckt och förbättrad rapportering. Parlamentet noterar att det första internationella sammanträdet mellan åklagare vid Eppo och utredare vid Olaf hölls i parlamentet under 2024. Parlamentet anser att detta kan betraktas som ett pilotinitiativ för en praxis med utbyte som bör göras återkommande, förutsatt att ekonomiska resurser finns tillgängliga. Parlamentet upprepar att en ändamålsenlig dialog och ett effektivt samarbete mellan de olika komponenterna i unionens bedrägeribekämpningsstruktur endast kan uppnås genom inrättandet av obligatoriska interinstitutionella forum där strategiska frågor kan behandlas och diskuteras i syfte att optimera resursanvändningen och göra resultaten konkreta.</w:t>
      </w:r>
    </w:p>
    <w:p w14:paraId="3DEAFD9D" w14:textId="220F15E9" w:rsidR="0022339F" w:rsidRPr="008D1F48" w:rsidRDefault="0022339F" w:rsidP="0022339F">
      <w:pPr>
        <w:widowControl/>
        <w:spacing w:after="240"/>
        <w:ind w:left="567" w:hanging="567"/>
        <w:rPr>
          <w:bCs/>
        </w:rPr>
      </w:pPr>
      <w:r w:rsidRPr="008D1F48">
        <w:t>91.</w:t>
      </w:r>
      <w:r w:rsidRPr="008D1F48">
        <w:tab/>
        <w:t>Europaparlamentet noterar att momsbedrägerier har blivit en strukturell sårbarhet för den inre marknaden och att de nationella skattemyndigheterna, trots förekomsten av återkommande standardiserade karusellupplägg, endast förmår upptäcka och motverka begränsade delar av de kriminella nätverken. Parlamentet betonar det unika värdet av Eppos verksamhet, som kan rekonstruera komplexa kriminella transaktioner och olagliga finansiella flöden och vidta åtgärder genom att beslagta och frysa de berörda tillgångarna. Parlamentet uppmanar kommissionen att föreslå de lagstiftningsändringar som krävs för att hantera en situation som försvårar en effektiv bekämpning av momsbedrägerier och begränsar potentialen för synergier mellan nationella myndigheter och EU-myndigheter.</w:t>
      </w:r>
    </w:p>
    <w:p w14:paraId="7B104167" w14:textId="77777777" w:rsidR="0022339F" w:rsidRPr="008D1F48" w:rsidRDefault="0022339F" w:rsidP="0022339F">
      <w:pPr>
        <w:pStyle w:val="Default"/>
        <w:spacing w:after="240"/>
        <w:ind w:left="567" w:hanging="567"/>
        <w:rPr>
          <w:rFonts w:ascii="Times New Roman" w:hAnsi="Times New Roman" w:cs="Times New Roman"/>
          <w:bCs/>
          <w:color w:val="auto"/>
          <w:szCs w:val="23"/>
        </w:rPr>
      </w:pPr>
      <w:r w:rsidRPr="008D1F48">
        <w:rPr>
          <w:rFonts w:ascii="Times New Roman" w:hAnsi="Times New Roman"/>
          <w:color w:val="auto"/>
        </w:rPr>
        <w:t>92.</w:t>
      </w:r>
      <w:r w:rsidRPr="008D1F48">
        <w:rPr>
          <w:rFonts w:ascii="Times New Roman" w:hAnsi="Times New Roman"/>
          <w:color w:val="auto"/>
        </w:rPr>
        <w:tab/>
      </w:r>
      <w:r w:rsidRPr="008D1F48">
        <w:rPr>
          <w:rFonts w:ascii="Times New Roman" w:hAnsi="Times New Roman" w:cs="Times New Roman"/>
          <w:color w:val="auto"/>
        </w:rPr>
        <w:t xml:space="preserve">Europaparlamentet betonar att tillgång till data och informationsutbyte utgör de avgörande inslagen i varje bedrägeribekämpande åtgärd och att ett tillfredsställande uppnående av dessa är en förutsättning för ett effektivt skydd av unionens budget. Parlamentet erinrar om revisionsrättens rekommendationer i dess särskilda rapporter 24/2015 om bekämpning av momsbedrägeri och 08/2025 </w:t>
      </w:r>
      <w:r w:rsidRPr="008D1F48">
        <w:rPr>
          <w:rFonts w:ascii="Times New Roman" w:hAnsi="Times New Roman" w:cs="Times New Roman"/>
          <w:i/>
          <w:iCs/>
          <w:color w:val="auto"/>
        </w:rPr>
        <w:t>Mervärdesskattebedrägerier vid import – EU:s ekonomiska intressen skyddas inte tillräckligt när förenklade tullförfaranden vid import används</w:t>
      </w:r>
      <w:r w:rsidRPr="008D1F48">
        <w:rPr>
          <w:rFonts w:ascii="Times New Roman" w:hAnsi="Times New Roman" w:cs="Times New Roman"/>
          <w:color w:val="auto"/>
        </w:rPr>
        <w:t>, och välkomnar i detta sammanhang kommissionens förslag till rådets förordning av den 14 november 2025 om ändring av förordning (EU) nr 904/2010 vad gäller Europeiska åklagarmyndighetens (Eppo) och Europeiska byrån för bedrägeribekämpnings (Olaf) åtkomst till information om mervärdesskatt på unionsnivå</w:t>
      </w:r>
      <w:r w:rsidRPr="008D1F48">
        <w:rPr>
          <w:rStyle w:val="FootnoteReference"/>
          <w:rFonts w:ascii="Times New Roman" w:hAnsi="Times New Roman" w:cs="Times New Roman"/>
          <w:bCs/>
          <w:color w:val="auto"/>
        </w:rPr>
        <w:footnoteReference w:id="18"/>
      </w:r>
      <w:r w:rsidRPr="008D1F48">
        <w:rPr>
          <w:rFonts w:ascii="Times New Roman" w:hAnsi="Times New Roman" w:cs="Times New Roman"/>
          <w:color w:val="auto"/>
        </w:rPr>
        <w:t>. Parlamentet understryker i samma anda vikten av ett fullständigt och effektivt informationsutbyte mellan Eppo, Olaf, Eurojust och Europol, och anser att inrättandet av en gemensam arbetsgrupp skulle möjliggöra en samordnad tillsyn över dataintegreringen och effektiviteten i ärendehanteringen mellan</w:t>
      </w:r>
      <w:r w:rsidRPr="008D1F48">
        <w:rPr>
          <w:rFonts w:ascii="Times New Roman" w:hAnsi="Times New Roman"/>
          <w:color w:val="auto"/>
        </w:rPr>
        <w:t xml:space="preserve"> dessa organ.</w:t>
      </w:r>
    </w:p>
    <w:p w14:paraId="39AA16A9" w14:textId="77777777" w:rsidR="0022339F" w:rsidRPr="008D1F48" w:rsidRDefault="0022339F" w:rsidP="0022339F">
      <w:pPr>
        <w:pStyle w:val="Default"/>
        <w:spacing w:after="240"/>
        <w:ind w:left="567" w:hanging="567"/>
        <w:rPr>
          <w:rFonts w:ascii="Times New Roman" w:hAnsi="Times New Roman" w:cs="Times New Roman"/>
          <w:bCs/>
          <w:color w:val="auto"/>
        </w:rPr>
      </w:pPr>
      <w:r w:rsidRPr="008D1F48">
        <w:rPr>
          <w:rFonts w:ascii="Times New Roman" w:hAnsi="Times New Roman"/>
          <w:color w:val="auto"/>
        </w:rPr>
        <w:t>93.</w:t>
      </w:r>
      <w:r w:rsidRPr="008D1F48">
        <w:rPr>
          <w:rFonts w:ascii="Times New Roman" w:hAnsi="Times New Roman"/>
          <w:color w:val="auto"/>
        </w:rPr>
        <w:tab/>
        <w:t xml:space="preserve">Europaparlamentet ställer sig bakom Eppos uppmaning till ökade insatser för att säkerställa en avsevärt större och bättre kapacitet för dataanalys på unionsnivå, i syfte att fullt ut utnyttja de mycket stora datamängder som samlas in inom ramen för Eppos utredningar, och instämmer i att framsteg i denna riktning avsevärt skulle stärka kampen mot organiserad brottslighet inom unionen. Parlamentet noterar att den mängd </w:t>
      </w:r>
      <w:r w:rsidRPr="008D1F48">
        <w:rPr>
          <w:rFonts w:ascii="Times New Roman" w:hAnsi="Times New Roman"/>
          <w:color w:val="auto"/>
        </w:rPr>
        <w:lastRenderedPageBreak/>
        <w:t>bevismaterial som analyseras ökar exponentiellt i takt med att antalet ärenden som utreds av Eppo fortsätter att stiga. Parlamentet påpekar att en betydande del av denna information rör organiserad brottslighet och penningtvätt samt ett brett spektrum av därmed sammanhängande olagliga verksamheter som utgör underliggande brott, men som faller utanför Eppos mandat och behörighet att utreda. Parlamentet konstaterar att en liknande situation uppstod efter Admiral-utredningen, då analysen av delar av de minst 638 TB beslagtagna digitala uppgifterna avslöjade kopplingar till narkotikahandel, olaglig spelverksamhet, prostitution och andra brott, vilket ledde till att ytterligare straffrättsliga förfaranden inleddes av nationella åklagarmyndigheter avseende brott som inte omfattas av PIF-förordningen. Parlamentet konstaterar att en liknande situation uppstod i samband med Midas-utredningen, vilket ledde till upptäckten av ett komplext kriminellt ekosystem bestående av bland annat skalföretag, fingerade personer, fiktiva identiteter och krypterad kommunikation för att organisera annan brottslig verksamhet, inbegripet narkotika- och vapenhandel samt finansiering av terrorism; analysen av delar av de minst 418 TB digitala uppgifterna resulterade i att tretton brottsanmälningar överlämnades till de nationella myndigheter som ansvarar för utredning av dessa brott som inte omfattas av PIF-förordningen.</w:t>
      </w:r>
    </w:p>
    <w:p w14:paraId="4D34302E" w14:textId="77777777" w:rsidR="0022339F" w:rsidRPr="008D1F48" w:rsidRDefault="0022339F" w:rsidP="0022339F">
      <w:pPr>
        <w:pStyle w:val="Default"/>
        <w:spacing w:after="240"/>
        <w:ind w:left="567" w:hanging="567"/>
        <w:rPr>
          <w:rFonts w:ascii="Times New Roman" w:hAnsi="Times New Roman" w:cs="Times New Roman"/>
          <w:bCs/>
          <w:color w:val="auto"/>
        </w:rPr>
      </w:pPr>
      <w:r w:rsidRPr="008D1F48">
        <w:rPr>
          <w:rFonts w:ascii="Times New Roman" w:hAnsi="Times New Roman"/>
          <w:color w:val="auto"/>
        </w:rPr>
        <w:t>94.</w:t>
      </w:r>
      <w:r w:rsidRPr="008D1F48">
        <w:rPr>
          <w:rFonts w:ascii="Times New Roman" w:hAnsi="Times New Roman"/>
          <w:color w:val="auto"/>
        </w:rPr>
        <w:tab/>
        <w:t>Europaparlamentet välkomnar inrättandet av en intern mekanism för att säkerställa Eppos resurseffektiva, snabba och konsekventa överföring av anmälningar i enlighet med artikel 103.2 i förordning (EU) 2017/1939, vilka är av betydelse för administrativa återvinningsåtgärder och försiktighetsåtgärder, samt översynen av samarbetsavtalet med kommissionen i samband med den tredje årliga översynen på hög nivå av samarbetet mellan Eppo och kommissionen i oktober 2024. Parlamentet anser att dessa arrangemang kommer att leda till effektivare åtgärder för att skydda unionens ekonomiska intressen. Parlamentet understryker i detta avseende den kraftiga ökningen av antalet anmälningar till kommissionen som följt av de nya arrangemangen under 2024 och 2025 (+147 % respektive +85 % jämfört med 2022). Parlamentet påpekar emellertid att Eppo, för att kunna säkerställa en effektiv uppföljning av sina ärenden och upprätthålla ett kontinuerligt informationsflöde till kommissionen som underlag för antagandet av administrativa åtgärder, behöver vidareutveckla sitt ärendehanteringssystem och sin kapacitet för dataanalys, vilket inte är möjligt i en situation av strukturell underfinansiering. Parlamentet beklagar att kommissionen, trots Eppos tydliga redogörelser för de ekonomiska behoven, genom ändringsskrivelse 1/2024 endast tillhandahöll tre tjänster i tjänsteförteckningen och en kontraktsanställd, vilket är otillräckligt. Parlamentet ställer sig bakom Eppos framtida begäranden om resurser som är nödvändiga för att återföra de belopp som berörs av bedrägeri till unionens budget. Parlamentet uppmanar kommissionen att maximera den administrativa återvinningen till unionens budget, samtidigt som konfidentialiteten och det korrekta genomförandet av utredningsåtgärderna säkerställs.</w:t>
      </w:r>
    </w:p>
    <w:p w14:paraId="662925EE" w14:textId="77777777" w:rsidR="0022339F" w:rsidRPr="008D1F48" w:rsidRDefault="0022339F" w:rsidP="0022339F">
      <w:pPr>
        <w:widowControl/>
        <w:spacing w:after="240"/>
        <w:ind w:left="567" w:hanging="567"/>
        <w:rPr>
          <w:bCs/>
        </w:rPr>
      </w:pPr>
      <w:r w:rsidRPr="008D1F48">
        <w:t>95.</w:t>
      </w:r>
      <w:r w:rsidRPr="008D1F48">
        <w:tab/>
        <w:t>Europaparlamentet är medvetet om att de nationella myndigheternas återvinning av medel fortfarande faller under kommissionens ansvarsområde, såsom nämns i uppdragsbeskrivningen för kommissionsledamoten med ansvar för budget, bedrägeribekämpning och offentlig förvaltning, och understryker att Eppo ännu inte har mandat att följa upp återvinningsprocessen. Parlamentet upprepar sin uppmaning till medlemsstaterna att stärka samarbetet i återvinningsprocessen och att i god tid informera både kommissionen och Eppo om slutliga förverkanden. Parlamentet vidhåller att det behövs en översyn av de relevanta förordningarna för att klargöra Eppos roll i återvinningsprocessen.</w:t>
      </w:r>
    </w:p>
    <w:p w14:paraId="53A117C4" w14:textId="77777777" w:rsidR="0022339F" w:rsidRPr="008D1F48" w:rsidRDefault="0022339F" w:rsidP="0022339F">
      <w:pPr>
        <w:pStyle w:val="NormalHanging12a"/>
      </w:pPr>
      <w:r w:rsidRPr="008D1F48">
        <w:lastRenderedPageBreak/>
        <w:t>96.</w:t>
      </w:r>
      <w:r w:rsidRPr="008D1F48">
        <w:tab/>
        <w:t>Europaparlamentet konstaterar att Eppos utredningar endast kan inledas om information har nått åklagarna och förväntar sig att medlemsstaterna fullgör sina rättsliga skyldigheter genom att rapportera samtliga relevanta ärenden till Eppo. Parlamentet noterar med oro att behörighetskonflikter och systemomfattande hinder för Eppo-utredningar kvarstod 2024, inbegripet ärenden som ger upphov till farhågor som rör rättsstatsprincipen. Parlamentet påminner i detta avseende om Eppos offentliga uttalande om ett beslut om behörighetskonflikt i Kroatien. Parlamentet uppmanar kommissionen att systematiskt följa upp sådana hinder som en del av dess ansvar för att säkerställa efterlevnad av unionsrätten och skydda unionens ekonomiska intressen. Parlamentet noterar med oro att vissa medlemsstater har klassificerat brott som påverkar unionens ekonomiska intressen som nationella ärenden och vägrat att erkänna Eppos behörighet. Parlamentet uttrycker sin oro över den möjliga negativa inverkan som dessa behörighetskonflikter kan ha på utredningarna, exempelvis genom förlust av bevis eller fördröjd insamling av bevis. Parlamentet uppmanar kommissionen att samla in och bedöma information om fall av behörighetskonflikter i syfte att tillhandahålla relevant underlag för översynen av förordning (EU) 2017/1939.</w:t>
      </w:r>
    </w:p>
    <w:p w14:paraId="6619A127" w14:textId="37C847AA" w:rsidR="0022339F" w:rsidRPr="008D1F48" w:rsidRDefault="0022339F" w:rsidP="0022339F">
      <w:pPr>
        <w:pStyle w:val="NormalHanging12a"/>
        <w:rPr>
          <w:bCs/>
        </w:rPr>
      </w:pPr>
      <w:r w:rsidRPr="008D1F48">
        <w:t>97.</w:t>
      </w:r>
      <w:r w:rsidRPr="008D1F48">
        <w:tab/>
        <w:t>Europaparlamentet noterar att trots att Eppos behörighet tydligt beskrivs i artikel 22.1 och 22.2 samt i artikel 23 i förordning (EU) 2017/1939, uppstod frågor om behörighet mellan de nationella myndigheterna och de europeiska delegerade åklagarna återigen under 2024. Parlamentet understryker att dessa ärenden bör hanteras i enlighet med artikel 25.6 i förordning (EU) 2017/1939, som hänvisar dem till den nationella rättsliga myndighet som är behörig att avgöra fall av behörighetskonflikt mellan nationella åklagare, under förutsättning att dess beslut kan bli föremål för ett förhandsavgörande från domstolen i enlighet med artikel 42.2 c i förordning (EU) 2017/1939 som återspeglar artikel 267 i EUF-fördraget. Parlamentet upprepar att eftersom det i många medlemsstater inte är möjligt att nationella myndigheters beslut i behörighetskonflikter blir föremål för ett förhandsavgörande hos EU-domstolen, saknar den nuvarande situationen klarhet angående rättsläget. Parlamentet uppmuntrar medlemsstaterna att, när de hyser tvivel om Eppos behörighet, hänskjuta en preliminär fråga till domstolen för ett förhandsavgörande i enlighet med artikel 267 i EUF-fördraget och artikel 42.2 c i förordning (EU) 2017/1939.</w:t>
      </w:r>
    </w:p>
    <w:p w14:paraId="0048450A" w14:textId="77777777" w:rsidR="0022339F" w:rsidRPr="008D1F48" w:rsidRDefault="0022339F" w:rsidP="0022339F">
      <w:pPr>
        <w:pStyle w:val="NormalHanging12a"/>
      </w:pPr>
      <w:r w:rsidRPr="008D1F48">
        <w:t>98.</w:t>
      </w:r>
      <w:r w:rsidRPr="008D1F48">
        <w:tab/>
        <w:t>Europaparlamentet noterar att Eppo under 2024 genomförde och stod för de relevanta kostnaderna för ”Eppo Academy”, som organiserades tillsammans med Guardia di Finanza i Italien, med två internationella kurser på plats för 49 utredare. Parlamentet konstaterar att särskilda utbildningar för brottsbekämpande tjänstemän genomfördes i vissa medlemsstater inom brottsområden som omfattas av Eppos mandat. Parlamentet uppmanar kommissionen att stödja och säkerställa finansieringen av detta värdefulla utbildningsprojekt. Parlamentet påpekar att de europeiska åklagarna och de europeiska delegerade åklagarna under 2024 lanserade ytterligare medvetandehöjande åtgärder på decentraliserad och central nivå för nationella berörda parter, som vid ett flertal tillfällen har tagit emot delegationer från rättsväsendet, åklagarmyndigheter och brottsbekämpande myndigheter.</w:t>
      </w:r>
    </w:p>
    <w:p w14:paraId="6F8D4B60" w14:textId="77777777" w:rsidR="0022339F" w:rsidRPr="008D1F48" w:rsidRDefault="0022339F" w:rsidP="0022339F">
      <w:pPr>
        <w:widowControl/>
        <w:spacing w:after="240"/>
        <w:ind w:left="567" w:hanging="567"/>
        <w:rPr>
          <w:bCs/>
          <w:szCs w:val="24"/>
        </w:rPr>
      </w:pPr>
      <w:r w:rsidRPr="008D1F48">
        <w:t>99.</w:t>
      </w:r>
      <w:r w:rsidRPr="008D1F48">
        <w:tab/>
        <w:t xml:space="preserve">Europaparlamentet upprepar sin oro över det ökande antalet ärenden som rör faciliteten för återhämtning och resiliens, vilka inte är jämnt fördelade mellan de medlemsstater som redan har fått betydande utbetalningar. Parlamentet betonar att den obalanserade fördelningen av ärenden kan vara en följd av bristande likvärdighet i medlemsstaternas förvaltnings- och kontrollsystem eller av ineffektiva spårningsinsatser och bristande transparens i rapporteringspraxis. Parlamentet påpekar att medlen från faciliteten för </w:t>
      </w:r>
      <w:r w:rsidRPr="008D1F48">
        <w:lastRenderedPageBreak/>
        <w:t>återhämtning och resiliens härrör från unionens budget och att skyddet av dessa faller inom Eppos ansvarsområde, och uppmuntrar därför kommissionen samt övriga unionsorgan och unionsmyndigheter att intensifiera spårningsinsatserna och att rapportera varje relevant situation till Eppo i detta avseende.</w:t>
      </w:r>
    </w:p>
    <w:p w14:paraId="1A918B4E" w14:textId="77777777" w:rsidR="0022339F" w:rsidRPr="008D1F48" w:rsidRDefault="0022339F" w:rsidP="0022339F">
      <w:pPr>
        <w:widowControl/>
        <w:spacing w:after="240"/>
        <w:ind w:left="567" w:hanging="567"/>
        <w:rPr>
          <w:bCs/>
          <w:szCs w:val="24"/>
        </w:rPr>
      </w:pPr>
      <w:r w:rsidRPr="008D1F48">
        <w:t>100.</w:t>
      </w:r>
      <w:r w:rsidRPr="008D1F48">
        <w:tab/>
        <w:t>Europaparlamentet påpekar att det stora antalet pågående ärenden som rör medel från faciliteten för återhämtning och resiliens sannolikt kommer att öka ytterligare i takt med att utbetalningstakten intensifieras inför facilitetens slutdatum, och anser att det därför är avgörande att stärka samarbetet och samordningen mellan de berörda myndigheterna, särskilt med arbetsgruppen för återhämtning och resiliens. Parlamentet anser att detta är nödvändigt för att förstärka övervaknings- och kontrollmekanismerna genom analys av de bedrägeriärenden som utreds av Eppo, för att identifiera eventuella kontrollbrister eller bedrägerimönster som kan ha uppstått till följd av förbiseenden eller underlåtenhet, och för att åtgärda dessa genom de åtgärder för minskning och återkrav som fastställs i bilaga IV till kommissionens vägledning om planer för återhämtning och resiliens, som antogs den 22 juli 2024.</w:t>
      </w:r>
    </w:p>
    <w:p w14:paraId="5C99E0B6" w14:textId="77777777" w:rsidR="0022339F" w:rsidRPr="008D1F48" w:rsidRDefault="0022339F" w:rsidP="0022339F">
      <w:pPr>
        <w:widowControl/>
        <w:spacing w:after="240"/>
        <w:ind w:left="567" w:hanging="567"/>
        <w:rPr>
          <w:bCs/>
        </w:rPr>
      </w:pPr>
      <w:r w:rsidRPr="008D1F48">
        <w:t>101.</w:t>
      </w:r>
      <w:r w:rsidRPr="008D1F48">
        <w:tab/>
        <w:t>Europaparlamentet uppskattar kollegiets godkännande av samarbetsavtalen med Seychellernas kommitté för korruptionsbekämpning och åklagarmyndigheten i Furstendömet Andorra samt ingåendet av samförståndsavtal med Världsbankens vice ordförandeskap med ansvar för integritet och med den iberoamerikanska sammanslutningen av allmänna åklagare. Parlamentet välkomnar undertecknandet av samarbetsavtalet med parlamentet i november 2024, vilket fastställer tydliga former för samarbete i syfte att skydda unionens ekonomiska intressen, samt kollegiets godkännande av samarbetsavtal med Europeiska utrikestjänsten och översynen av bilagorna till avtalet med kommissionen, liksom inledandet, även det under 2024, av förhandlingar om ett samarbetsavtal med Europeiska centralbanken.</w:t>
      </w:r>
    </w:p>
    <w:p w14:paraId="164E9ADC" w14:textId="77777777" w:rsidR="0022339F" w:rsidRPr="008D1F48" w:rsidRDefault="0022339F" w:rsidP="0022339F">
      <w:pPr>
        <w:pStyle w:val="Default"/>
        <w:spacing w:after="240"/>
        <w:ind w:left="567" w:hanging="567"/>
        <w:rPr>
          <w:rFonts w:ascii="Times New Roman" w:hAnsi="Times New Roman" w:cs="Times New Roman"/>
          <w:bCs/>
          <w:color w:val="auto"/>
          <w:szCs w:val="22"/>
        </w:rPr>
      </w:pPr>
      <w:r w:rsidRPr="008D1F48">
        <w:rPr>
          <w:rFonts w:ascii="Times New Roman" w:hAnsi="Times New Roman"/>
          <w:color w:val="auto"/>
        </w:rPr>
        <w:t>102.</w:t>
      </w:r>
      <w:r w:rsidRPr="008D1F48">
        <w:rPr>
          <w:rFonts w:ascii="Times New Roman" w:hAnsi="Times New Roman"/>
          <w:color w:val="auto"/>
        </w:rPr>
        <w:tab/>
        <w:t>Europaparlamentet noterar den intensiva verksamhet som Eppo bedrivit för att säkerställa effektiviteten i sina utredningar i ett internationellt sammanhang och i förhållande till tredjeländer. Parlamentet är medvetet om att Eppo är medlem eller observatör i ett flertal internationella nätverk och organisationer, såsom Egmontgruppen, GlobE-nätverket, OECD:s arbetsgrupp mot mutor, Carin-nätverket, Nadal-nätverket, EACN/EPAC-nätverket, det europeiska rättsliga nätverket, Europarådets expertkommitté för tillämpningen av europeiska konventioner om samarbete i brottmål med flera. Parlamentet konstaterar att Eppo har undertecknat samarbetsavtal med ett stort antal partner. Parlamentet erkänner de svårigheter som Eppo möter när det gäller att ingripa effektivt i avsaknad av en tydlig rättslig grund och uppskattar att Eppo i augusti 2023 överlämnade en förteckning till kommissionen över tredjeländer som bedöms vara prioriterade för ingående av avtal som kan underlätta samarbetet. Parlamentet uppmanar kommissionen att ta vederbörlig hänsyn till Eppos begäranden.</w:t>
      </w:r>
    </w:p>
    <w:p w14:paraId="60979D3F" w14:textId="77777777" w:rsidR="0022339F" w:rsidRPr="008D1F48" w:rsidRDefault="0022339F" w:rsidP="0022339F">
      <w:pPr>
        <w:widowControl/>
        <w:spacing w:after="240"/>
        <w:ind w:left="567" w:hanging="567"/>
        <w:rPr>
          <w:bCs/>
          <w:szCs w:val="24"/>
        </w:rPr>
      </w:pPr>
      <w:r w:rsidRPr="008D1F48">
        <w:t>103.</w:t>
      </w:r>
      <w:r w:rsidRPr="008D1F48">
        <w:tab/>
        <w:t>Europaparlamentet noterar att Eppo även fortsatte att förlita sig på interinstitutionella avtal och bilaterala servicenivåavtal, och att Eppo vid utgången av 2024 hade 86 aktiva medlemskap i interinstitutionella ramavtal samt 23 servicenivåavtal eller andra avtal med unionens offentliga förvaltning, i syfte att upphandla varor och tjänster till lägre kostnad eller maximera budgetbesparingar genom befintliga avtalsinstrument, i enlighet med principerna för sund ekonomisk förvaltning.</w:t>
      </w:r>
    </w:p>
    <w:p w14:paraId="337863FC" w14:textId="77777777" w:rsidR="0022339F" w:rsidRPr="008D1F48" w:rsidRDefault="0022339F" w:rsidP="0022339F">
      <w:pPr>
        <w:widowControl/>
        <w:autoSpaceDE w:val="0"/>
        <w:autoSpaceDN w:val="0"/>
        <w:adjustRightInd w:val="0"/>
        <w:spacing w:after="240"/>
        <w:ind w:left="567" w:hanging="567"/>
        <w:rPr>
          <w:rFonts w:eastAsia="Calibri"/>
          <w:bCs/>
          <w:szCs w:val="24"/>
        </w:rPr>
      </w:pPr>
      <w:r w:rsidRPr="008D1F48">
        <w:lastRenderedPageBreak/>
        <w:t>104.</w:t>
      </w:r>
      <w:r w:rsidRPr="008D1F48">
        <w:tab/>
        <w:t>Europaparlamentet välkomnar varmt Polens och Sveriges deltagande i Eppo. Parlamentet noterar att Danmark fortsatt utnyttjar sitt undantag från deltagande i Eppo i enlighet med protokoll nr 21 och 22 till EUF-fördraget. Parlamentet är medvetet om att Eppo, efter en första indikation från den irländska regeringen om ett eventuellt deltagande i det fördjupade samarbetet, inrättade en särskild arbetsgrupp med företrädare för relevanta tjänster inom Eppo för att täcka samtliga aspekter av ett sådant deltagande och bistå de nationella myndigheterna i processen. Parlamentet konstaterar att flera informella möten redan har organiserats på begäran av medlemsstaten för att förklara Eppos funktionssätt. Parlamentet påpekar dock att inga officiella utbyten ägde rum under 2024 med den irländska myndighetsövergripande arbetsgrupp som inrättats för att undersöka Irlands potentiella framtida deltagande i Eppo. Parlamentet uppmanar med kraft kommissionen, Eppo och de irländska myndigheterna att återuppta en konstruktiv dialog för att hitta en effektiv väg framåt.</w:t>
      </w:r>
    </w:p>
    <w:p w14:paraId="2CA09C2E" w14:textId="77777777" w:rsidR="0022339F" w:rsidRPr="008D1F48" w:rsidRDefault="0022339F" w:rsidP="0022339F">
      <w:pPr>
        <w:pStyle w:val="NormalHanging12a"/>
      </w:pPr>
      <w:r w:rsidRPr="008D1F48">
        <w:t>105.</w:t>
      </w:r>
      <w:r w:rsidRPr="008D1F48">
        <w:tab/>
        <w:t>Europaparlamentet beklagar djupt att Ungern är den enda återstående medlemsstaten som ännu inte har anslutit sig till Eppo, trots att det inte föreligger några rättsliga eller konstitutionella hinder för detta. Parlamentet uppmanar med kraft den ungerska regeringen att utan ytterligare dröjsmål ansluta sig till Eppo. Parlamentet anser att fortsatt uteblivet deltagande endast kan tolkas som ett avsiktligt försök att skydda korruption och missbruk av unionsmedel från en oberoende europeisk granskning. Parlamentet anser att landets anslutning till Eppo slutligen skulle svara mot de varaktiga och berättigade förväntningarna från civilsamhället och medborgarna på att stärka de rättsliga garantierna mot bedrägeri, korruption och annan allvarlig försummelse samt återupprätta förtroendet för skyddet av unionens ekonomiska intressen, som för närvarande undergrävs av varaktiga brister vad gäller verkställigheten och som försvagar den positiva effekten av unionspolitik som syftar till att främja tillväxt, sammanhållning och välfärd för ungerska medborgare, små och medelstora företag samt lokala och regionala myndigheter.</w:t>
      </w:r>
    </w:p>
    <w:p w14:paraId="28945E30" w14:textId="77777777" w:rsidR="0022339F" w:rsidRPr="008D1F48" w:rsidRDefault="0022339F" w:rsidP="0022339F">
      <w:pPr>
        <w:pStyle w:val="NormalHanging12a"/>
      </w:pPr>
      <w:r w:rsidRPr="008D1F48">
        <w:t>106.</w:t>
      </w:r>
      <w:r w:rsidRPr="008D1F48">
        <w:tab/>
        <w:t>Parlamentet påminner om den ungerska regeringens många försök att systematiskt spionera på kommissionens och Olafs personal.</w:t>
      </w:r>
    </w:p>
    <w:p w14:paraId="5EEE2A3B" w14:textId="77777777" w:rsidR="0022339F" w:rsidRPr="008D1F48" w:rsidRDefault="0022339F" w:rsidP="0022339F">
      <w:pPr>
        <w:pStyle w:val="NormalHanging12a"/>
      </w:pPr>
      <w:r w:rsidRPr="008D1F48">
        <w:t>107.</w:t>
      </w:r>
      <w:r w:rsidRPr="008D1F48">
        <w:tab/>
        <w:t>Europaparlamentet betonar att varje brist på samarbete med Eppo från någon medlemsstats sida skapar kryphål för immunitet och privilegier, vilket försvagar skyddet av unionens ekonomiska intressen och gör detta skydd ojämnt och ineffektivt, och uppmanar med eftertryck kommissionen att inleda överträdelseförfaranden mot varje medlemsstat som systematiskt försvårar Eppo-ledda utredningar. Parlamentet uppmanar kommissionen att vid tillämpningen av Europaparlamentets och rådets förordning (EU, Euratom) 2020/2092</w:t>
      </w:r>
      <w:r w:rsidRPr="008D1F48">
        <w:rPr>
          <w:rStyle w:val="FootnoteReference"/>
        </w:rPr>
        <w:footnoteReference w:id="19"/>
      </w:r>
      <w:r w:rsidRPr="008D1F48">
        <w:t xml:space="preserve"> beakta att icke-deltagande i Eppo kan utgöra ett potentiellt hot mot unionens ekonomiska intressen, och uppmanar kommissionen att noga övervaka medlemsstaternas samarbetsnivåer med Eppo. Parlamentet beklagar i detta sammanhang djupt de fall som rapporterades 2024, där utredare från Olaf och Eppo utsattes för hot från medlemsstaternas regeringar i samband med genomförandet av sin verksamhet på plats. Parlamentet betonar att sådana situationer undergräver rättsstatsprincipen, utgör en allvarlig kränkning av det ömsesidiga förtroendet och det lojala samarbetet mellan medlemsstaterna och unionens institutioner och försvagar unionens åtgärder, och efterlyser kraftfulla förebyggande åtgärder och skyddsåtgärder </w:t>
      </w:r>
      <w:r w:rsidRPr="008D1F48">
        <w:lastRenderedPageBreak/>
        <w:t>för att skydda personal som utplaceras i situationer som utsätter dem för risker.</w:t>
      </w:r>
    </w:p>
    <w:p w14:paraId="71D70E9E" w14:textId="77777777" w:rsidR="0022339F" w:rsidRPr="008D1F48" w:rsidRDefault="0022339F" w:rsidP="0022339F">
      <w:pPr>
        <w:pStyle w:val="NormalHanging12a"/>
      </w:pPr>
      <w:r w:rsidRPr="008D1F48">
        <w:t>108.</w:t>
      </w:r>
      <w:r w:rsidRPr="008D1F48">
        <w:tab/>
        <w:t>Europaparlamentet betonar att Eppos verksamhet måste bidra till skyddet av unionens ekonomiska intressen och också förväntas leda till att sådana belopp som tagits från unionens budget men som inte använts för sitt avsedda ändamål på grund av brottslig verksamhet återförs. Parlamentet konstaterar att förverkandeprocessen, som möjliggör återvinning av sådana belopp, ankommer på de nationella myndigheterna, och att de relevanta förverkade beloppen eller tillgångarnas värde, som följer av åtgärder som antagits av de europeiska delegerade åklagarna i medlemsstaterna, bör återföras till unionens budget, efter avdrag för de kostnader som medlemsstaternas myndigheter haft för att genomföra dessa åtgärder i enlighet med artikel 38 i förordning (EU) 2017/1939, vilken hänvisar till tillgångar eller intäkter som ska avyttras i enlighet med tillämplig nationell lagstiftning, utan att det påverkar unionens eller andra brottsoffers rätt att kompenseras för den skada de har lidit. Parlamentet påminner om att parlamentets budgetkontrollutskott har föreslagit att potentiella intäkter som följer av åtgärder för beslag och förverkande ska redovisas i unionens budget som inkomster ej avsatta för särskilda ändamål, under en separat budgetpost som inrättas genom en budgetändring. Parlamentet uppskattar Eppos engagemang för att samarbeta med kommissionen i syfte att stödja alla insatser som syftar till att säkerställa genomförandet av ovanstående. Parlamentet anser att det är nödvändigt att ändra artikel 38 för att möjliggöra dess effektiva genomförande och uppföljning, i syfte att skydda unionens budget, och uppmanar kommissionen att vidta nödvändiga åtgärder tillsammans med berörda nationella myndigheter för att säkerställa att dessa belopp förs in i unionens budget samt att föreslå nödvändiga lagstiftningslösningar för att verkställa detta på ett effektivt sätt.</w:t>
      </w:r>
    </w:p>
    <w:p w14:paraId="6258C6E5" w14:textId="77777777" w:rsidR="0022339F" w:rsidRPr="008D1F48" w:rsidRDefault="0022339F" w:rsidP="0022339F">
      <w:pPr>
        <w:pStyle w:val="CommentText"/>
        <w:spacing w:after="240"/>
        <w:ind w:left="567" w:hanging="567"/>
        <w:rPr>
          <w:bCs/>
          <w:sz w:val="24"/>
          <w:szCs w:val="24"/>
        </w:rPr>
      </w:pPr>
      <w:r w:rsidRPr="008D1F48">
        <w:rPr>
          <w:sz w:val="24"/>
        </w:rPr>
        <w:t>109.</w:t>
      </w:r>
      <w:r w:rsidRPr="008D1F48">
        <w:rPr>
          <w:sz w:val="24"/>
        </w:rPr>
        <w:tab/>
        <w:t>Europaparlamentet understryker att det är viktigt att Eppo övervakar och systematiskt rapporterar om uppföljningen av utredningen och lagföringen med särskild hänsyn till de finansiella åtgärder som vidtagits (förverkande och återvinning) för att ge en tydligare förståelse för effekterna av Eppos åtgärder. Parlamentet konstaterar att Eppo och kommissionen har åtagit sig att effektivisera sin kommunikation och anpassa den i relation till möjliga åtgärder för att återställa unionens budget som påverkats av ekonomisk brottslighet. Parlamentet vidhåller att kommissionen ska bistå Eppo i övervakningen och uppföljningen av Eppos verksamhet, för att förhindra att Eppos begränsade resurser avleds från utrednings- och åklagaruppgifter. Parlamentet anser att parlamentets granskning av den administrativa uppföljningen av dess brottsutredningar är ett väsentligt bidrag till att förbättra effektiviteten i unionens bedrägeribekämpningsstruktur. Parlamentet uppmuntrar kommissionen samt samtliga komponenter i bedrägeribekämpningsstrukturen att finna ett effektivt och ändamålsenligt sätt att övervaka genomförda åtgärder och rapportera om deras slutliga resultat.</w:t>
      </w:r>
    </w:p>
    <w:p w14:paraId="02D33701" w14:textId="77777777" w:rsidR="0022339F" w:rsidRPr="008D1F48" w:rsidRDefault="0022339F" w:rsidP="0022339F">
      <w:pPr>
        <w:widowControl/>
        <w:autoSpaceDE w:val="0"/>
        <w:autoSpaceDN w:val="0"/>
        <w:adjustRightInd w:val="0"/>
        <w:spacing w:after="240"/>
        <w:ind w:left="567" w:hanging="567"/>
        <w:rPr>
          <w:rFonts w:ascii="Segoe UI" w:hAnsi="Segoe UI" w:cs="Segoe UI"/>
          <w:bCs/>
          <w:szCs w:val="24"/>
        </w:rPr>
      </w:pPr>
      <w:r w:rsidRPr="008D1F48">
        <w:t>110.</w:t>
      </w:r>
      <w:r w:rsidRPr="008D1F48">
        <w:tab/>
        <w:t>Europaparlamentet betonar den avgörande roll som återvinning av tillgångar spelar och dess avskräckande effekt på organiserad brottslighet. Parlamentet konstaterar att Eppos deltagande i internationella nätverk bör öka effektiviteten i återvinningen av tillgångar. Parlamentet upprepar att snabba och effektiva utredningar och lagföring av ekonomisk brottslighet bör leda till betydande besparingar för unionens och medlemsstaternas budgetar.</w:t>
      </w:r>
    </w:p>
    <w:p w14:paraId="7BF1E5D8" w14:textId="77777777" w:rsidR="0022339F" w:rsidRPr="008D1F48" w:rsidRDefault="0022339F" w:rsidP="0022339F">
      <w:pPr>
        <w:widowControl/>
        <w:spacing w:after="240"/>
        <w:ind w:left="567" w:hanging="567"/>
        <w:rPr>
          <w:b/>
          <w:i/>
          <w:szCs w:val="24"/>
        </w:rPr>
      </w:pPr>
      <w:r w:rsidRPr="008D1F48">
        <w:rPr>
          <w:b/>
          <w:i/>
        </w:rPr>
        <w:t>Kommunikation</w:t>
      </w:r>
    </w:p>
    <w:p w14:paraId="0A0B906D" w14:textId="77777777" w:rsidR="0022339F" w:rsidRPr="008D1F48" w:rsidRDefault="0022339F" w:rsidP="0022339F">
      <w:pPr>
        <w:widowControl/>
        <w:autoSpaceDE w:val="0"/>
        <w:autoSpaceDN w:val="0"/>
        <w:adjustRightInd w:val="0"/>
        <w:spacing w:after="240"/>
        <w:ind w:left="567" w:hanging="567"/>
        <w:rPr>
          <w:bCs/>
          <w:szCs w:val="24"/>
        </w:rPr>
      </w:pPr>
      <w:r w:rsidRPr="008D1F48">
        <w:lastRenderedPageBreak/>
        <w:t>111.</w:t>
      </w:r>
      <w:r w:rsidRPr="008D1F48">
        <w:tab/>
        <w:t>Europaparlamentet uppskattar de många förbättringarna av Eppos interna och externa kommunikation under 2024, i synnerhet informationsmötena om bekämpning av trakasserier och om visselblåsning samt andra medvetandehöjande initiativ kopplade till Eppos etiska ram, som fortfarande är under utveckling. Parlamentet välkomnar det bidrag som gjorts till parlamentets åsiktsutbyten under olika utskottsdebatter, framför allt av den europeiska chefsåklagaren (utskottet för medborgerliga fri- och rättigheter samt rättsliga och inrikes frågor, budgetkontrollutskottet, utskottet för ekonomi och valutafrågor, underutskottet för skattefrågor).</w:t>
      </w:r>
    </w:p>
    <w:p w14:paraId="78B060DD" w14:textId="77777777" w:rsidR="0022339F" w:rsidRPr="008D1F48" w:rsidRDefault="0022339F" w:rsidP="0022339F">
      <w:pPr>
        <w:widowControl/>
        <w:autoSpaceDE w:val="0"/>
        <w:autoSpaceDN w:val="0"/>
        <w:adjustRightInd w:val="0"/>
        <w:spacing w:after="240"/>
        <w:ind w:left="567" w:hanging="567"/>
        <w:rPr>
          <w:bCs/>
        </w:rPr>
      </w:pPr>
      <w:r w:rsidRPr="008D1F48">
        <w:t>112.</w:t>
      </w:r>
      <w:r w:rsidRPr="008D1F48">
        <w:tab/>
        <w:t>Europaparlamentet konstaterar att Eppos resurser för kommunikation är begränsade, och att förvaltningen av Eppos webbplats, med tanke på behovet av att säkra Eppos digitala autonomi, har internaliserats, vilket kräver ytterligare resurser efter det att GD Digitala tjänster har upphört att tillhandahålla denna tjänst. Parlamentet noterar att budgeten för kommunikation till allmänheten och marknadsföringsåtgärder 2024 uppgick till 235 382 EUR och att den förbrukades helt, i synnerhet för förvärv av licenser för medieövervakning samt för andra kommunikationsinitiativ och översättning av publikationer.</w:t>
      </w:r>
    </w:p>
    <w:p w14:paraId="2180F220" w14:textId="77777777" w:rsidR="0022339F" w:rsidRPr="008D1F48" w:rsidRDefault="0022339F" w:rsidP="0022339F">
      <w:pPr>
        <w:widowControl/>
        <w:autoSpaceDE w:val="0"/>
        <w:autoSpaceDN w:val="0"/>
        <w:adjustRightInd w:val="0"/>
        <w:spacing w:after="240"/>
        <w:ind w:left="567" w:hanging="567"/>
        <w:rPr>
          <w:bCs/>
          <w:szCs w:val="24"/>
        </w:rPr>
      </w:pPr>
      <w:r w:rsidRPr="008D1F48">
        <w:t>113.</w:t>
      </w:r>
      <w:r w:rsidRPr="008D1F48">
        <w:tab/>
        <w:t>Europaparlamentet noterar att Eppos strategi för sociala medier är utformad för att effektivt nå olika målgrupper, inklusive journalister, institutionella intressenter, yrkesverksamma inom rättsväsendet och brottsbekämpande myndigheter, akademin samt allmänheten, genom att anpassa budskapen efter deras behov. Parlamentet konstaterar att huvudmålet med Eppos närvaro på sociala medier är att bygga förtroende genom ökad synlighet. Parlamentet upprepar sin uppmaning till Eppo att tydligt skapa bästa möjliga balans mellan å ena sidan transparens och allmänintresse och å andra sidan konfidentialitet och korrekt genomförande av utredningen, och att säkerställa neutraliteten i kommunikationen om verksamheten. Parlamentet uppmuntrar Eppo att förmedla ett förtroendeingivande budskap om den operativa dimensionen av unionens värden, vilka är förankrade i oberoende och efterlevnad av lagstiftningen och tillämpas med transparens och hänsyn. Parlamentet noterar att effektiv kommunikation med Eppo bidrar till att stärka institutionernas anseende bland medborgarna och öka medvetenheten hos skattebetalarna om komplexiteten och vikten av att skydda unionens ekonomiska intressen.</w:t>
      </w:r>
    </w:p>
    <w:p w14:paraId="6AD58891" w14:textId="77777777" w:rsidR="0022339F" w:rsidRPr="008D1F48" w:rsidRDefault="0022339F" w:rsidP="0022339F">
      <w:pPr>
        <w:widowControl/>
        <w:autoSpaceDE w:val="0"/>
        <w:autoSpaceDN w:val="0"/>
        <w:adjustRightInd w:val="0"/>
        <w:spacing w:after="240"/>
        <w:ind w:left="567" w:hanging="567"/>
        <w:rPr>
          <w:bCs/>
          <w:szCs w:val="24"/>
        </w:rPr>
      </w:pPr>
      <w:r w:rsidRPr="008D1F48">
        <w:t>114.</w:t>
      </w:r>
      <w:r w:rsidRPr="008D1F48">
        <w:tab/>
        <w:t>Europaparlamentet betonar att Eppos insatser för att förmedla korrekt och lättförståelig information om de komplexa fall som lagförs kan utgöra ett starkt incitament för unionens medborgare att rapportera möjliga överträdelser till Eppo och bidra till att främja ett ökat engagemang från civilsamhället. Parlamentet uppskattar Eppos engagemang för att öka förståelsen för dess arbete bland journalister, medborgare och akademin genom mediegenomgångar i olika medlemsstater, studiebesök, konferenser samt genom regelbundna uppdateringar och delmålsrapporter som håller alla målgrupper informerade om Eppos verksamhet och dess effekter. Parlamentet har förståelse för att känsligheten i de ärenden som utreds, samt behovet av att respektera oskuldspresumtionen för de många parter som är involverade i Eppos ärenden, kräver noggrant utformade pressmeddelanden och spridning av information endast när denna i förväg verifierats med åklagare och i enlighet med rättsliga krav, eventuellt distribuerad via e-post, onlineplattformar och sociala medier. Parlamentet konstaterar att direkt kommunikation genom sociala medier eliminerar tredjepartstolkningen och underlättar för Eppo att förmedla meddelanden på ett korrekt och transparent sätt.</w:t>
      </w:r>
    </w:p>
    <w:p w14:paraId="1CE525CE" w14:textId="77777777" w:rsidR="0022339F" w:rsidRPr="008D1F48" w:rsidRDefault="0022339F" w:rsidP="0022339F">
      <w:pPr>
        <w:pStyle w:val="Default"/>
        <w:spacing w:after="240"/>
        <w:ind w:left="567" w:hanging="567"/>
        <w:rPr>
          <w:rFonts w:ascii="Times New Roman" w:hAnsi="Times New Roman" w:cs="Times New Roman"/>
          <w:bCs/>
          <w:color w:val="auto"/>
        </w:rPr>
      </w:pPr>
      <w:r w:rsidRPr="008D1F48">
        <w:rPr>
          <w:rFonts w:ascii="Times New Roman" w:hAnsi="Times New Roman"/>
          <w:color w:val="auto"/>
        </w:rPr>
        <w:lastRenderedPageBreak/>
        <w:t>115.</w:t>
      </w:r>
      <w:r w:rsidRPr="008D1F48">
        <w:rPr>
          <w:rFonts w:ascii="Times New Roman" w:hAnsi="Times New Roman"/>
          <w:color w:val="auto"/>
        </w:rPr>
        <w:tab/>
        <w:t>Europaparlamentet anser att en stärkt strategisk kommunikation bör byggas på ökad tillgänglighet till möjligheterna att rapportera och välkomnar att Eppo främjar möjligheten att rapportera i profiltexterna på alla sina konton på sociala medier samt att Eppo efterlyser att denna möjlighet, när så är möjligt, ska nämnas i alla standardpresentationer för externa målgrupper och besökare samt vid konferenser eller anföranden.</w:t>
      </w:r>
    </w:p>
    <w:p w14:paraId="1DE7FE85" w14:textId="77777777" w:rsidR="0022339F" w:rsidRPr="008D1F48" w:rsidRDefault="0022339F" w:rsidP="0022339F">
      <w:pPr>
        <w:pStyle w:val="NormalHanging12a"/>
        <w:widowControl/>
        <w:rPr>
          <w:b/>
          <w:i/>
          <w:szCs w:val="24"/>
        </w:rPr>
      </w:pPr>
      <w:r w:rsidRPr="008D1F48">
        <w:rPr>
          <w:b/>
          <w:i/>
        </w:rPr>
        <w:t>Konsekvenserna av Rysslands olagliga anfallskrig mot Ukraina</w:t>
      </w:r>
    </w:p>
    <w:p w14:paraId="681BEE02" w14:textId="77777777" w:rsidR="0022339F" w:rsidRPr="008D1F48" w:rsidRDefault="0022339F" w:rsidP="0022339F">
      <w:pPr>
        <w:pStyle w:val="Default"/>
        <w:spacing w:after="240"/>
        <w:ind w:left="567" w:hanging="567"/>
        <w:rPr>
          <w:rFonts w:ascii="Times New Roman" w:hAnsi="Times New Roman" w:cs="Times New Roman"/>
          <w:bCs/>
          <w:color w:val="auto"/>
        </w:rPr>
      </w:pPr>
      <w:r w:rsidRPr="008D1F48">
        <w:rPr>
          <w:rFonts w:ascii="Times New Roman" w:hAnsi="Times New Roman"/>
          <w:color w:val="auto"/>
        </w:rPr>
        <w:t>116.</w:t>
      </w:r>
      <w:r w:rsidRPr="008D1F48">
        <w:rPr>
          <w:rFonts w:ascii="Times New Roman" w:hAnsi="Times New Roman"/>
          <w:color w:val="auto"/>
        </w:rPr>
        <w:tab/>
        <w:t>Europaparlamentet välkomnar beslutet att inte anta lagstiftningen som röstades igenom i Ukrainas parlament, Verkhovna Rada, i juli 2025, vilken skulle ha försvagat effektiviteten i de åtgärder som vidtas av Ukrainas specialiserade åklagarmyndighet för korruptionsbekämpning (Sapo) och den nationella byrån för korruptionsbekämpning (Nabu), särskilt med hänsyn till de nyligen rapporterade fallen av högnivåkorruption i medierna, vilket understryker behovet av en försiktig och prövande ansats vid hantering av korruptionsbrott samt vikten av Ukrainas insatser för att effektivt främja transparensmål.</w:t>
      </w:r>
    </w:p>
    <w:p w14:paraId="1286BDB0" w14:textId="77777777" w:rsidR="0022339F" w:rsidRPr="008D1F48" w:rsidRDefault="0022339F" w:rsidP="0022339F">
      <w:pPr>
        <w:pStyle w:val="Default"/>
        <w:spacing w:after="240"/>
        <w:ind w:left="567" w:hanging="567"/>
        <w:rPr>
          <w:rFonts w:ascii="Times New Roman" w:hAnsi="Times New Roman" w:cs="Times New Roman"/>
          <w:bCs/>
          <w:color w:val="auto"/>
        </w:rPr>
      </w:pPr>
      <w:r w:rsidRPr="008D1F48">
        <w:rPr>
          <w:rFonts w:ascii="Times New Roman" w:hAnsi="Times New Roman"/>
          <w:color w:val="auto"/>
        </w:rPr>
        <w:t>117.</w:t>
      </w:r>
      <w:r w:rsidRPr="008D1F48">
        <w:rPr>
          <w:rFonts w:ascii="Times New Roman" w:hAnsi="Times New Roman"/>
          <w:color w:val="auto"/>
        </w:rPr>
        <w:tab/>
        <w:t>Europaparlamentet är medvetet om att Eppo har undertecknat tre samarbetsavtal med Ukrainas allmänna åklagarmyndighet, Ukrainas specialiserade åklagarmyndighet (Nabu) och Ukrainas specialiserade åklagarmyndighet för korruptionsbekämpning, alla med syftet att underlätta samarbetet i respektive utredningar inom ramen för den befintliga rättsliga ramen. Parlamentet noterar att Eppo under 2024 organiserade fyra utbildningar för ukrainska åklagare och utredare från Nabu i sina lokaler. Parlamentet påminner om att Eppos ansvarsområde under särskilda omständigheter kan omfatta unionens medel även när dessa används i tredjeländer och även kan täcka kringgående av unionssanktioner i den mån detta omfattas av Eppos nuvarande mandat, vilket innebär potentiell skada på unionens ekonomiska intressen genom undandragande av tullar eller avgifter. Parlamentet har förståelse för att upptäckt och rapportering av bedrägerier av relevanta myndigheter är en avgörande förutsättning för vidare samarbete och att det kunskapsutbyte som inletts genom utbildningserbjudandet ytterligare kommer att bistå de ukrainska myndigheterna i deras arbete med att upptäcka potentiella bedrägerier som involverar unionens medel. Parlamentet uppskattar Eppos tillgänglighet att intensifiera samarbetet genom att inrätta särskilda arbetsgrupper med de ukrainska myndigheterna för att samordna utredningar vid behov, med hänsyn till det rapporterade brottets omfattning och volym.</w:t>
      </w:r>
    </w:p>
    <w:p w14:paraId="5627BF2F" w14:textId="607979A9" w:rsidR="008D1F48" w:rsidRPr="008D1F48" w:rsidRDefault="0022339F" w:rsidP="008D1F48">
      <w:pPr>
        <w:pStyle w:val="Default"/>
        <w:ind w:left="567" w:hanging="567"/>
      </w:pPr>
      <w:r w:rsidRPr="008D1F48">
        <w:rPr>
          <w:rFonts w:ascii="Times New Roman" w:hAnsi="Times New Roman"/>
        </w:rPr>
        <w:t>118.</w:t>
      </w:r>
      <w:r w:rsidRPr="008D1F48">
        <w:rPr>
          <w:rFonts w:ascii="Times New Roman" w:hAnsi="Times New Roman"/>
        </w:rPr>
        <w:tab/>
      </w:r>
      <w:r w:rsidRPr="008D1F48">
        <w:rPr>
          <w:rFonts w:ascii="Times New Roman" w:hAnsi="Times New Roman" w:cs="Times New Roman"/>
        </w:rPr>
        <w:t>Europaparlamentet noterar att den ökande omfattningen av unionens ekonomiska stöd till Ukraina, bland annat inom ramen för Ukrainafaciliteten, sannolikt kommer att medföra ytterligare utredningskrav för Eppo under de kommande åren. Parlamentet betonar vikten av att förutse dessa utmaningar genom att säkerställa en tillräcklig personalstyrka, en säker digital infrastruktur och stärkta samarbetsramar, för att skydda unionens ekonomiska intressen och samtidigt stödja Ukraina på ett effektivt sätt.</w:t>
      </w:r>
    </w:p>
    <w:p w14:paraId="6558271F" w14:textId="30B40229" w:rsidR="00E365E1" w:rsidRPr="008D1F48" w:rsidRDefault="00E365E1" w:rsidP="00D95751"/>
    <w:sectPr w:rsidR="00E365E1" w:rsidRPr="008D1F48" w:rsidSect="008D1F48">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44907" w14:textId="77777777" w:rsidR="00D95751" w:rsidRPr="008D1F48" w:rsidRDefault="00D95751">
      <w:r w:rsidRPr="008D1F48">
        <w:separator/>
      </w:r>
    </w:p>
  </w:endnote>
  <w:endnote w:type="continuationSeparator" w:id="0">
    <w:p w14:paraId="04061BF0" w14:textId="77777777" w:rsidR="00D95751" w:rsidRPr="008D1F48" w:rsidRDefault="00D95751">
      <w:r w:rsidRPr="008D1F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AC47C" w14:textId="77777777" w:rsidR="0022339F" w:rsidRPr="008D1F48" w:rsidRDefault="0022339F" w:rsidP="00F15447">
    <w:pPr>
      <w:pStyle w:val="EPFooter"/>
    </w:pPr>
    <w:r w:rsidRPr="008D1F48">
      <w:t>PE</w:t>
    </w:r>
    <w:r w:rsidRPr="008D1F48">
      <w:rPr>
        <w:rStyle w:val="HideTWBExt"/>
      </w:rPr>
      <w:t>&lt;</w:t>
    </w:r>
    <w:proofErr w:type="spellStart"/>
    <w:r w:rsidRPr="008D1F48">
      <w:rPr>
        <w:rStyle w:val="HideTWBExt"/>
      </w:rPr>
      <w:t>NoPE</w:t>
    </w:r>
    <w:proofErr w:type="spellEnd"/>
    <w:r w:rsidRPr="008D1F48">
      <w:rPr>
        <w:rStyle w:val="HideTWBExt"/>
      </w:rPr>
      <w:t>&gt;</w:t>
    </w:r>
    <w:r w:rsidRPr="008D1F48">
      <w:t>778.067</w:t>
    </w:r>
    <w:r w:rsidRPr="008D1F48">
      <w:rPr>
        <w:rStyle w:val="HideTWBExt"/>
      </w:rPr>
      <w:t>&lt;/</w:t>
    </w:r>
    <w:proofErr w:type="spellStart"/>
    <w:r w:rsidRPr="008D1F48">
      <w:rPr>
        <w:rStyle w:val="HideTWBExt"/>
      </w:rPr>
      <w:t>NoPE</w:t>
    </w:r>
    <w:proofErr w:type="spellEnd"/>
    <w:r w:rsidRPr="008D1F48">
      <w:rPr>
        <w:rStyle w:val="HideTWBExt"/>
      </w:rPr>
      <w:t>&gt;&lt;Version&gt;</w:t>
    </w:r>
    <w:r w:rsidRPr="008D1F48">
      <w:t>v03-00</w:t>
    </w:r>
    <w:r w:rsidRPr="008D1F48">
      <w:rPr>
        <w:rStyle w:val="HideTWBExt"/>
      </w:rPr>
      <w:t>&lt;/Version&gt;</w:t>
    </w:r>
    <w:r w:rsidRPr="008D1F48">
      <w:tab/>
    </w:r>
    <w:r w:rsidRPr="008D1F48">
      <w:fldChar w:fldCharType="begin"/>
    </w:r>
    <w:r w:rsidRPr="008D1F48">
      <w:instrText xml:space="preserve"> PAGE  \* MERGEFORMAT </w:instrText>
    </w:r>
    <w:r w:rsidRPr="008D1F48">
      <w:fldChar w:fldCharType="separate"/>
    </w:r>
    <w:r w:rsidRPr="008D1F48">
      <w:rPr>
        <w:noProof/>
      </w:rPr>
      <w:t>1</w:t>
    </w:r>
    <w:r w:rsidRPr="008D1F48">
      <w:fldChar w:fldCharType="end"/>
    </w:r>
    <w:r w:rsidRPr="008D1F48">
      <w:t>/</w:t>
    </w:r>
    <w:fldSimple w:instr=" NUMPAGES  \* MERGEFORMAT ">
      <w:r w:rsidRPr="008D1F48">
        <w:rPr>
          <w:noProof/>
        </w:rPr>
        <w:t>1</w:t>
      </w:r>
    </w:fldSimple>
    <w:r w:rsidRPr="008D1F48">
      <w:tab/>
    </w:r>
    <w:r w:rsidRPr="008D1F48">
      <w:rPr>
        <w:rStyle w:val="HideTWBExt"/>
      </w:rPr>
      <w:t>&lt;PathFdR&gt;</w:t>
    </w:r>
    <w:r w:rsidRPr="008D1F48">
      <w:t>RR\1340257SV.docx</w:t>
    </w:r>
    <w:r w:rsidRPr="008D1F48">
      <w:rPr>
        <w:rStyle w:val="HideTWBExt"/>
      </w:rPr>
      <w:t>&lt;/</w:t>
    </w:r>
    <w:proofErr w:type="spellStart"/>
    <w:r w:rsidRPr="008D1F48">
      <w:rPr>
        <w:rStyle w:val="HideTWBExt"/>
      </w:rPr>
      <w:t>PathFdR</w:t>
    </w:r>
    <w:proofErr w:type="spellEnd"/>
    <w:r w:rsidRPr="008D1F48">
      <w:rPr>
        <w:rStyle w:val="HideTWBExt"/>
      </w:rPr>
      <w:t>&gt;</w:t>
    </w:r>
  </w:p>
  <w:p w14:paraId="1C40CE59" w14:textId="77777777" w:rsidR="0022339F" w:rsidRPr="008D1F48" w:rsidRDefault="0022339F" w:rsidP="00F15447">
    <w:pPr>
      <w:pStyle w:val="EPFooter2"/>
    </w:pPr>
    <w:r w:rsidRPr="008D1F48">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6E1AE" w14:textId="43429967" w:rsidR="0022339F" w:rsidRPr="008D1F48" w:rsidRDefault="0022339F" w:rsidP="00F1544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BCD53" w14:textId="77777777" w:rsidR="0022339F" w:rsidRPr="008D1F48" w:rsidRDefault="0022339F" w:rsidP="00F15447">
    <w:pPr>
      <w:pStyle w:val="EPFooter"/>
    </w:pPr>
    <w:r w:rsidRPr="008D1F48">
      <w:rPr>
        <w:rStyle w:val="HideTWBExt"/>
      </w:rPr>
      <w:t>&lt;PathFdR&gt;</w:t>
    </w:r>
    <w:r w:rsidRPr="008D1F48">
      <w:t>RR\1340257SV.docx</w:t>
    </w:r>
    <w:r w:rsidRPr="008D1F48">
      <w:rPr>
        <w:rStyle w:val="HideTWBExt"/>
      </w:rPr>
      <w:t>&lt;/</w:t>
    </w:r>
    <w:proofErr w:type="spellStart"/>
    <w:r w:rsidRPr="008D1F48">
      <w:rPr>
        <w:rStyle w:val="HideTWBExt"/>
      </w:rPr>
      <w:t>PathFdR</w:t>
    </w:r>
    <w:proofErr w:type="spellEnd"/>
    <w:r w:rsidRPr="008D1F48">
      <w:rPr>
        <w:rStyle w:val="HideTWBExt"/>
      </w:rPr>
      <w:t>&gt;</w:t>
    </w:r>
    <w:r w:rsidRPr="008D1F48">
      <w:tab/>
    </w:r>
    <w:r w:rsidRPr="008D1F48">
      <w:tab/>
      <w:t>PE</w:t>
    </w:r>
    <w:r w:rsidRPr="008D1F48">
      <w:rPr>
        <w:rStyle w:val="HideTWBExt"/>
      </w:rPr>
      <w:t>&lt;</w:t>
    </w:r>
    <w:proofErr w:type="spellStart"/>
    <w:r w:rsidRPr="008D1F48">
      <w:rPr>
        <w:rStyle w:val="HideTWBExt"/>
      </w:rPr>
      <w:t>NoPE</w:t>
    </w:r>
    <w:proofErr w:type="spellEnd"/>
    <w:r w:rsidRPr="008D1F48">
      <w:rPr>
        <w:rStyle w:val="HideTWBExt"/>
      </w:rPr>
      <w:t>&gt;</w:t>
    </w:r>
    <w:r w:rsidRPr="008D1F48">
      <w:t>778.067</w:t>
    </w:r>
    <w:r w:rsidRPr="008D1F48">
      <w:rPr>
        <w:rStyle w:val="HideTWBExt"/>
      </w:rPr>
      <w:t>&lt;/</w:t>
    </w:r>
    <w:proofErr w:type="spellStart"/>
    <w:r w:rsidRPr="008D1F48">
      <w:rPr>
        <w:rStyle w:val="HideTWBExt"/>
      </w:rPr>
      <w:t>NoPE</w:t>
    </w:r>
    <w:proofErr w:type="spellEnd"/>
    <w:r w:rsidRPr="008D1F48">
      <w:rPr>
        <w:rStyle w:val="HideTWBExt"/>
      </w:rPr>
      <w:t>&gt;&lt;Version&gt;</w:t>
    </w:r>
    <w:r w:rsidRPr="008D1F48">
      <w:t>v03-00</w:t>
    </w:r>
    <w:r w:rsidRPr="008D1F48">
      <w:rPr>
        <w:rStyle w:val="HideTWBExt"/>
      </w:rPr>
      <w:t>&lt;/Version&gt;</w:t>
    </w:r>
  </w:p>
  <w:p w14:paraId="686092A9" w14:textId="77777777" w:rsidR="0022339F" w:rsidRPr="008D1F48" w:rsidRDefault="0022339F" w:rsidP="00F15447">
    <w:pPr>
      <w:pStyle w:val="EPFooter2"/>
    </w:pPr>
    <w:r w:rsidRPr="008D1F48">
      <w:t>SV</w:t>
    </w:r>
    <w:r w:rsidRPr="008D1F48">
      <w:tab/>
    </w:r>
    <w:r w:rsidRPr="008D1F48">
      <w:rPr>
        <w:b w:val="0"/>
        <w:i/>
        <w:color w:val="C0C0C0"/>
        <w:sz w:val="22"/>
      </w:rPr>
      <w:t>Förenade i mångfalden</w:t>
    </w:r>
    <w:r w:rsidRPr="008D1F48">
      <w:tab/>
      <w:t>SV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75A0A" w14:textId="77777777" w:rsidR="00064002" w:rsidRPr="008D1F48"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EA806" w14:textId="77777777" w:rsidR="00064002" w:rsidRPr="008D1F48"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0DE5B" w14:textId="77777777" w:rsidR="00064002" w:rsidRPr="008D1F4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B82F9" w14:textId="77777777" w:rsidR="00D95751" w:rsidRPr="008D1F48" w:rsidRDefault="00D95751">
      <w:r w:rsidRPr="008D1F48">
        <w:separator/>
      </w:r>
    </w:p>
  </w:footnote>
  <w:footnote w:type="continuationSeparator" w:id="0">
    <w:p w14:paraId="14D6CFCF" w14:textId="77777777" w:rsidR="00D95751" w:rsidRPr="008D1F48" w:rsidRDefault="00D95751">
      <w:r w:rsidRPr="008D1F48">
        <w:continuationSeparator/>
      </w:r>
    </w:p>
  </w:footnote>
  <w:footnote w:id="1">
    <w:p w14:paraId="66650C0E" w14:textId="4641D4DE" w:rsidR="0022339F" w:rsidRPr="005517F0" w:rsidRDefault="0022339F" w:rsidP="008D1F48">
      <w:pPr>
        <w:ind w:left="567" w:hanging="567"/>
        <w:rPr>
          <w:lang w:val="fi-FI"/>
        </w:rPr>
      </w:pPr>
      <w:r w:rsidRPr="008D1F48">
        <w:rPr>
          <w:vertAlign w:val="superscript"/>
        </w:rPr>
        <w:footnoteRef/>
      </w:r>
      <w:r w:rsidR="008D1F48" w:rsidRPr="005517F0">
        <w:rPr>
          <w:lang w:val="fi-FI"/>
        </w:rPr>
        <w:t xml:space="preserve"> </w:t>
      </w:r>
      <w:r w:rsidR="008D1F48" w:rsidRPr="005517F0">
        <w:rPr>
          <w:lang w:val="fi-FI"/>
        </w:rPr>
        <w:tab/>
      </w:r>
      <w:r w:rsidRPr="005517F0">
        <w:rPr>
          <w:lang w:val="fi-FI"/>
        </w:rPr>
        <w:t xml:space="preserve">EUT C, C/2025/5734, 30.10.2025, ELI: </w:t>
      </w:r>
      <w:hyperlink r:id="rId1" w:history="1">
        <w:r w:rsidRPr="005517F0">
          <w:rPr>
            <w:rStyle w:val="Hyperlink"/>
            <w:lang w:val="fi-FI"/>
          </w:rPr>
          <w:t>http://data.europa.eu/eli/C/2025/5734/oj</w:t>
        </w:r>
      </w:hyperlink>
      <w:r w:rsidRPr="005517F0">
        <w:rPr>
          <w:lang w:val="fi-FI"/>
        </w:rPr>
        <w:t>.</w:t>
      </w:r>
    </w:p>
  </w:footnote>
  <w:footnote w:id="2">
    <w:p w14:paraId="4D8C512C" w14:textId="422BEB38" w:rsidR="0022339F" w:rsidRPr="005517F0" w:rsidRDefault="0022339F" w:rsidP="008D1F48">
      <w:pPr>
        <w:pStyle w:val="FootnoteText"/>
        <w:ind w:left="567" w:hanging="567"/>
        <w:rPr>
          <w:sz w:val="24"/>
          <w:lang w:val="fi-FI"/>
        </w:rPr>
      </w:pPr>
      <w:r w:rsidRPr="008D1F48">
        <w:rPr>
          <w:rStyle w:val="FootnoteReference"/>
          <w:sz w:val="24"/>
          <w:lang w:val="sv-SE"/>
        </w:rPr>
        <w:footnoteRef/>
      </w:r>
      <w:r w:rsidR="008D1F48" w:rsidRPr="005517F0">
        <w:rPr>
          <w:sz w:val="24"/>
          <w:lang w:val="fi-FI"/>
        </w:rPr>
        <w:t xml:space="preserve"> </w:t>
      </w:r>
      <w:r w:rsidR="008D1F48" w:rsidRPr="005517F0">
        <w:rPr>
          <w:sz w:val="24"/>
          <w:lang w:val="fi-FI"/>
        </w:rPr>
        <w:tab/>
      </w:r>
      <w:r w:rsidRPr="005517F0">
        <w:rPr>
          <w:sz w:val="24"/>
          <w:lang w:val="fi-FI"/>
        </w:rPr>
        <w:t>EUT C, C/2</w:t>
      </w:r>
      <w:r w:rsidRPr="005517F0">
        <w:rPr>
          <w:color w:val="0A0A0A"/>
          <w:sz w:val="24"/>
          <w:shd w:val="clear" w:color="auto" w:fill="FFFFFF"/>
          <w:lang w:val="fi-FI"/>
        </w:rPr>
        <w:t>025/5407, 13.10.2025</w:t>
      </w:r>
      <w:r w:rsidRPr="005517F0">
        <w:rPr>
          <w:sz w:val="24"/>
          <w:lang w:val="fi-FI"/>
        </w:rPr>
        <w:t xml:space="preserve">, ELI: </w:t>
      </w:r>
      <w:bookmarkStart w:id="8" w:name="_Hlk223691181"/>
      <w:r w:rsidRPr="008D1F48">
        <w:rPr>
          <w:sz w:val="24"/>
          <w:lang w:val="sv-SE"/>
        </w:rPr>
        <w:fldChar w:fldCharType="begin"/>
      </w:r>
      <w:r w:rsidRPr="005517F0">
        <w:rPr>
          <w:sz w:val="24"/>
          <w:lang w:val="fi-FI"/>
        </w:rPr>
        <w:instrText>HYPERLINK "http://data.europa.eu/eli/C/2025/5407/oj"</w:instrText>
      </w:r>
      <w:r w:rsidRPr="008D1F48">
        <w:rPr>
          <w:sz w:val="24"/>
          <w:lang w:val="sv-SE"/>
        </w:rPr>
      </w:r>
      <w:r w:rsidRPr="008D1F48">
        <w:rPr>
          <w:sz w:val="24"/>
          <w:lang w:val="sv-SE"/>
        </w:rPr>
        <w:fldChar w:fldCharType="separate"/>
      </w:r>
      <w:r w:rsidRPr="005517F0">
        <w:rPr>
          <w:rStyle w:val="Hyperlink"/>
          <w:sz w:val="24"/>
          <w:lang w:val="fi-FI"/>
        </w:rPr>
        <w:t>http://data.europa.eu/eli/C/2025/5407/oj</w:t>
      </w:r>
      <w:r w:rsidRPr="008D1F48">
        <w:rPr>
          <w:sz w:val="24"/>
          <w:lang w:val="sv-SE"/>
        </w:rPr>
        <w:fldChar w:fldCharType="end"/>
      </w:r>
      <w:bookmarkEnd w:id="8"/>
    </w:p>
  </w:footnote>
  <w:footnote w:id="3">
    <w:p w14:paraId="1B12E7E4" w14:textId="516C898D" w:rsidR="0022339F" w:rsidRPr="005517F0" w:rsidRDefault="0022339F" w:rsidP="008D1F48">
      <w:pPr>
        <w:pStyle w:val="FootnoteText"/>
        <w:ind w:left="567" w:hanging="567"/>
        <w:rPr>
          <w:sz w:val="24"/>
          <w:lang w:val="fi-FI"/>
        </w:rPr>
      </w:pPr>
      <w:r w:rsidRPr="008D1F48">
        <w:rPr>
          <w:rStyle w:val="FootnoteReference"/>
          <w:sz w:val="24"/>
          <w:lang w:val="sv-SE"/>
        </w:rPr>
        <w:footnoteRef/>
      </w:r>
      <w:r w:rsidR="008D1F48" w:rsidRPr="005517F0">
        <w:rPr>
          <w:sz w:val="24"/>
          <w:lang w:val="fi-FI"/>
        </w:rPr>
        <w:t xml:space="preserve"> </w:t>
      </w:r>
      <w:r w:rsidR="008D1F48" w:rsidRPr="005517F0">
        <w:rPr>
          <w:sz w:val="24"/>
          <w:lang w:val="fi-FI"/>
        </w:rPr>
        <w:tab/>
      </w:r>
      <w:r w:rsidRPr="005517F0">
        <w:rPr>
          <w:sz w:val="24"/>
          <w:lang w:val="fi-FI"/>
        </w:rPr>
        <w:t xml:space="preserve">EUT L 193, 30.7.2018, s. 1., ELI: </w:t>
      </w:r>
      <w:r>
        <w:fldChar w:fldCharType="begin"/>
      </w:r>
      <w:r w:rsidRPr="009D32FD">
        <w:rPr>
          <w:lang w:val="fi-FI"/>
        </w:rPr>
        <w:instrText>HYPERLINK "http://data.europa.eu/eli/reg/2018/1046/oj"</w:instrText>
      </w:r>
      <w:r>
        <w:fldChar w:fldCharType="separate"/>
      </w:r>
      <w:r w:rsidRPr="005517F0">
        <w:rPr>
          <w:rStyle w:val="Hyperlink"/>
          <w:sz w:val="24"/>
          <w:lang w:val="fi-FI"/>
        </w:rPr>
        <w:t>http://data.europa.eu/eli/reg/2018/1046/oj</w:t>
      </w:r>
      <w:r>
        <w:fldChar w:fldCharType="end"/>
      </w:r>
      <w:r w:rsidRPr="005517F0">
        <w:rPr>
          <w:sz w:val="24"/>
          <w:lang w:val="fi-FI"/>
        </w:rPr>
        <w:t>.</w:t>
      </w:r>
    </w:p>
  </w:footnote>
  <w:footnote w:id="4">
    <w:p w14:paraId="3F56E6AD" w14:textId="4B4D51B9" w:rsidR="0022339F" w:rsidRPr="005517F0" w:rsidRDefault="0022339F" w:rsidP="008D1F48">
      <w:pPr>
        <w:pStyle w:val="FootnoteText"/>
        <w:ind w:left="567" w:hanging="567"/>
        <w:rPr>
          <w:sz w:val="24"/>
          <w:lang w:val="fi-FI"/>
        </w:rPr>
      </w:pPr>
      <w:r w:rsidRPr="008D1F48">
        <w:rPr>
          <w:rStyle w:val="FootnoteReference"/>
          <w:sz w:val="24"/>
          <w:lang w:val="sv-SE"/>
        </w:rPr>
        <w:footnoteRef/>
      </w:r>
      <w:r w:rsidR="008D1F48" w:rsidRPr="005517F0">
        <w:rPr>
          <w:sz w:val="24"/>
          <w:lang w:val="fi-FI"/>
        </w:rPr>
        <w:t xml:space="preserve"> </w:t>
      </w:r>
      <w:r w:rsidR="008D1F48" w:rsidRPr="005517F0">
        <w:rPr>
          <w:sz w:val="24"/>
          <w:lang w:val="fi-FI"/>
        </w:rPr>
        <w:tab/>
      </w:r>
      <w:r w:rsidRPr="005517F0">
        <w:rPr>
          <w:sz w:val="24"/>
          <w:lang w:val="fi-FI"/>
        </w:rPr>
        <w:t xml:space="preserve">EUT L, 2024/2509, 26.9.2024, ELI: </w:t>
      </w:r>
      <w:r>
        <w:fldChar w:fldCharType="begin"/>
      </w:r>
      <w:r w:rsidRPr="009D32FD">
        <w:rPr>
          <w:lang w:val="fi-FI"/>
        </w:rPr>
        <w:instrText>HYPERLINK "http://data.europa.eu/eli/reg/2024/2509/oj"</w:instrText>
      </w:r>
      <w:r>
        <w:fldChar w:fldCharType="separate"/>
      </w:r>
      <w:r w:rsidRPr="005517F0">
        <w:rPr>
          <w:rStyle w:val="Hyperlink"/>
          <w:sz w:val="24"/>
          <w:lang w:val="fi-FI"/>
        </w:rPr>
        <w:t>http://data.europa.eu/eli/reg/2024/2509/oj</w:t>
      </w:r>
      <w:r>
        <w:fldChar w:fldCharType="end"/>
      </w:r>
      <w:r w:rsidRPr="005517F0">
        <w:rPr>
          <w:sz w:val="24"/>
          <w:lang w:val="fi-FI"/>
        </w:rPr>
        <w:t>.</w:t>
      </w:r>
    </w:p>
  </w:footnote>
  <w:footnote w:id="5">
    <w:p w14:paraId="03DC5451" w14:textId="1FF1F71F" w:rsidR="0022339F" w:rsidRPr="005517F0" w:rsidRDefault="0022339F" w:rsidP="008D1F48">
      <w:pPr>
        <w:pStyle w:val="FootnoteText"/>
        <w:ind w:left="567" w:hanging="567"/>
        <w:rPr>
          <w:sz w:val="24"/>
          <w:lang w:val="fi-FI"/>
        </w:rPr>
      </w:pPr>
      <w:r w:rsidRPr="008D1F48">
        <w:rPr>
          <w:rStyle w:val="FootnoteReference"/>
          <w:sz w:val="24"/>
          <w:lang w:val="sv-SE"/>
        </w:rPr>
        <w:footnoteRef/>
      </w:r>
      <w:r w:rsidR="008D1F48" w:rsidRPr="005517F0">
        <w:rPr>
          <w:sz w:val="24"/>
          <w:lang w:val="fi-FI"/>
        </w:rPr>
        <w:t xml:space="preserve"> </w:t>
      </w:r>
      <w:r w:rsidR="008D1F48" w:rsidRPr="005517F0">
        <w:rPr>
          <w:sz w:val="24"/>
          <w:lang w:val="fi-FI"/>
        </w:rPr>
        <w:tab/>
      </w:r>
      <w:r w:rsidRPr="005517F0">
        <w:rPr>
          <w:sz w:val="24"/>
          <w:lang w:val="fi-FI"/>
        </w:rPr>
        <w:t xml:space="preserve">EUT L 283, 31.10.2017, s. 1, ELI: </w:t>
      </w:r>
      <w:r>
        <w:fldChar w:fldCharType="begin"/>
      </w:r>
      <w:r w:rsidRPr="009D32FD">
        <w:rPr>
          <w:lang w:val="fi-FI"/>
        </w:rPr>
        <w:instrText>HYPERLINK "http://data.europa.eu/eli/reg/2017/1939/oj"</w:instrText>
      </w:r>
      <w:r>
        <w:fldChar w:fldCharType="separate"/>
      </w:r>
      <w:r w:rsidRPr="005517F0">
        <w:rPr>
          <w:rStyle w:val="Hyperlink"/>
          <w:sz w:val="24"/>
          <w:lang w:val="fi-FI"/>
        </w:rPr>
        <w:t>http://data.europa.eu/eli/reg/2017/1939/oj</w:t>
      </w:r>
      <w:r>
        <w:fldChar w:fldCharType="end"/>
      </w:r>
      <w:r w:rsidRPr="005517F0">
        <w:rPr>
          <w:sz w:val="24"/>
          <w:lang w:val="fi-FI"/>
        </w:rPr>
        <w:t>.</w:t>
      </w:r>
    </w:p>
  </w:footnote>
  <w:footnote w:id="6">
    <w:p w14:paraId="369B5642" w14:textId="099ED480" w:rsidR="0022339F" w:rsidRPr="005517F0" w:rsidRDefault="0022339F" w:rsidP="008D1F48">
      <w:pPr>
        <w:pStyle w:val="FootnoteText"/>
        <w:ind w:left="567" w:hanging="567"/>
        <w:rPr>
          <w:sz w:val="24"/>
          <w:lang w:val="fi-FI"/>
        </w:rPr>
      </w:pPr>
      <w:r w:rsidRPr="008D1F48">
        <w:rPr>
          <w:rStyle w:val="FootnoteReference"/>
          <w:sz w:val="24"/>
          <w:lang w:val="sv-SE"/>
        </w:rPr>
        <w:footnoteRef/>
      </w:r>
      <w:r w:rsidR="008D1F48" w:rsidRPr="005517F0">
        <w:rPr>
          <w:sz w:val="24"/>
          <w:lang w:val="fi-FI"/>
        </w:rPr>
        <w:t xml:space="preserve"> </w:t>
      </w:r>
      <w:r w:rsidR="008D1F48" w:rsidRPr="005517F0">
        <w:rPr>
          <w:sz w:val="24"/>
          <w:lang w:val="fi-FI"/>
        </w:rPr>
        <w:tab/>
      </w:r>
      <w:r w:rsidRPr="005517F0">
        <w:rPr>
          <w:sz w:val="24"/>
          <w:lang w:val="fi-FI"/>
        </w:rPr>
        <w:t xml:space="preserve">EUT L 122, 10.5.2019, s. 1, ELI: </w:t>
      </w:r>
      <w:r>
        <w:fldChar w:fldCharType="begin"/>
      </w:r>
      <w:r w:rsidRPr="009D32FD">
        <w:rPr>
          <w:lang w:val="fi-FI"/>
        </w:rPr>
        <w:instrText>HYPERLINK "http://data.europa.eu/eli/reg_del/2019/715/oj"</w:instrText>
      </w:r>
      <w:r>
        <w:fldChar w:fldCharType="separate"/>
      </w:r>
      <w:r w:rsidRPr="005517F0">
        <w:rPr>
          <w:rStyle w:val="Hyperlink"/>
          <w:sz w:val="24"/>
          <w:lang w:val="fi-FI"/>
        </w:rPr>
        <w:t>http://data.europa.eu/eli/reg_del/2019/715/oj</w:t>
      </w:r>
      <w:r>
        <w:fldChar w:fldCharType="end"/>
      </w:r>
      <w:r w:rsidRPr="005517F0">
        <w:rPr>
          <w:sz w:val="24"/>
          <w:lang w:val="fi-FI"/>
        </w:rPr>
        <w:t>.</w:t>
      </w:r>
    </w:p>
  </w:footnote>
  <w:footnote w:id="7">
    <w:p w14:paraId="0048E99D" w14:textId="2FEF1C44" w:rsidR="0022339F" w:rsidRPr="005517F0" w:rsidRDefault="0022339F" w:rsidP="008D1F48">
      <w:pPr>
        <w:ind w:left="567" w:hanging="567"/>
        <w:rPr>
          <w:lang w:val="fi-FI"/>
        </w:rPr>
      </w:pPr>
      <w:r w:rsidRPr="008D1F48">
        <w:rPr>
          <w:vertAlign w:val="superscript"/>
        </w:rPr>
        <w:footnoteRef/>
      </w:r>
      <w:r w:rsidR="008D1F48" w:rsidRPr="005517F0">
        <w:rPr>
          <w:lang w:val="fi-FI"/>
        </w:rPr>
        <w:t xml:space="preserve"> </w:t>
      </w:r>
      <w:r w:rsidR="008D1F48" w:rsidRPr="005517F0">
        <w:rPr>
          <w:lang w:val="fi-FI"/>
        </w:rPr>
        <w:tab/>
      </w:r>
      <w:r w:rsidRPr="005517F0">
        <w:rPr>
          <w:lang w:val="fi-FI"/>
        </w:rPr>
        <w:t xml:space="preserve">EUT C, C/2025/5734, 30.10.2025, ELI: </w:t>
      </w:r>
      <w:r>
        <w:fldChar w:fldCharType="begin"/>
      </w:r>
      <w:r w:rsidRPr="009D32FD">
        <w:rPr>
          <w:lang w:val="fi-FI"/>
        </w:rPr>
        <w:instrText>HYPERLINK "http://data.europa.eu/eli/C/2025/5734/oj"</w:instrText>
      </w:r>
      <w:r>
        <w:fldChar w:fldCharType="separate"/>
      </w:r>
      <w:r w:rsidRPr="005517F0">
        <w:rPr>
          <w:rStyle w:val="Hyperlink"/>
          <w:lang w:val="fi-FI"/>
        </w:rPr>
        <w:t>http://data.europa.eu/eli/C/2025/5734/oj</w:t>
      </w:r>
      <w:r>
        <w:fldChar w:fldCharType="end"/>
      </w:r>
      <w:r w:rsidRPr="005517F0">
        <w:rPr>
          <w:lang w:val="fi-FI"/>
        </w:rPr>
        <w:t>.</w:t>
      </w:r>
    </w:p>
  </w:footnote>
  <w:footnote w:id="8">
    <w:p w14:paraId="0836D207" w14:textId="6ABBD74E" w:rsidR="0022339F" w:rsidRPr="005517F0" w:rsidRDefault="0022339F" w:rsidP="008D1F48">
      <w:pPr>
        <w:pStyle w:val="FootnoteText"/>
        <w:ind w:left="567" w:hanging="567"/>
        <w:rPr>
          <w:sz w:val="24"/>
          <w:lang w:val="fi-FI"/>
        </w:rPr>
      </w:pPr>
      <w:r w:rsidRPr="008D1F48">
        <w:rPr>
          <w:rStyle w:val="FootnoteReference"/>
          <w:sz w:val="24"/>
          <w:lang w:val="sv-SE"/>
        </w:rPr>
        <w:footnoteRef/>
      </w:r>
      <w:r w:rsidR="008D1F48" w:rsidRPr="005517F0">
        <w:rPr>
          <w:sz w:val="24"/>
          <w:lang w:val="fi-FI"/>
        </w:rPr>
        <w:t xml:space="preserve"> </w:t>
      </w:r>
      <w:r w:rsidR="008D1F48" w:rsidRPr="005517F0">
        <w:rPr>
          <w:sz w:val="24"/>
          <w:lang w:val="fi-FI"/>
        </w:rPr>
        <w:tab/>
      </w:r>
      <w:r w:rsidRPr="005517F0">
        <w:rPr>
          <w:sz w:val="24"/>
          <w:lang w:val="fi-FI"/>
        </w:rPr>
        <w:t>EUT C, C/2</w:t>
      </w:r>
      <w:r w:rsidRPr="005517F0">
        <w:rPr>
          <w:color w:val="0A0A0A"/>
          <w:sz w:val="24"/>
          <w:shd w:val="clear" w:color="auto" w:fill="FFFFFF"/>
          <w:lang w:val="fi-FI"/>
        </w:rPr>
        <w:t>025/5407, 13.10.2025</w:t>
      </w:r>
      <w:r w:rsidRPr="005517F0">
        <w:rPr>
          <w:sz w:val="24"/>
          <w:lang w:val="fi-FI"/>
        </w:rPr>
        <w:t xml:space="preserve">, ELI: </w:t>
      </w:r>
      <w:r>
        <w:fldChar w:fldCharType="begin"/>
      </w:r>
      <w:r w:rsidRPr="009D32FD">
        <w:rPr>
          <w:lang w:val="fi-FI"/>
        </w:rPr>
        <w:instrText>HYPERLINK "http://data.europa.eu/eli/C/2025/5407/oj"</w:instrText>
      </w:r>
      <w:r>
        <w:fldChar w:fldCharType="separate"/>
      </w:r>
      <w:r w:rsidRPr="005517F0">
        <w:rPr>
          <w:rStyle w:val="Hyperlink"/>
          <w:sz w:val="24"/>
          <w:lang w:val="fi-FI"/>
        </w:rPr>
        <w:t>http://data.europa.eu/eli/C/2025/5407/oj</w:t>
      </w:r>
      <w:r>
        <w:fldChar w:fldCharType="end"/>
      </w:r>
      <w:r w:rsidRPr="005517F0">
        <w:rPr>
          <w:sz w:val="24"/>
          <w:lang w:val="fi-FI"/>
        </w:rPr>
        <w:t>.</w:t>
      </w:r>
    </w:p>
  </w:footnote>
  <w:footnote w:id="9">
    <w:p w14:paraId="3A240D8B" w14:textId="00C99D50" w:rsidR="0022339F" w:rsidRPr="005517F0" w:rsidRDefault="0022339F" w:rsidP="008D1F48">
      <w:pPr>
        <w:pStyle w:val="FootnoteText"/>
        <w:ind w:left="567" w:hanging="567"/>
        <w:rPr>
          <w:sz w:val="24"/>
          <w:lang w:val="fi-FI"/>
        </w:rPr>
      </w:pPr>
      <w:r w:rsidRPr="008D1F48">
        <w:rPr>
          <w:rStyle w:val="FootnoteReference"/>
          <w:sz w:val="24"/>
          <w:lang w:val="sv-SE"/>
        </w:rPr>
        <w:footnoteRef/>
      </w:r>
      <w:r w:rsidR="008D1F48" w:rsidRPr="005517F0">
        <w:rPr>
          <w:sz w:val="24"/>
          <w:lang w:val="fi-FI"/>
        </w:rPr>
        <w:t xml:space="preserve"> </w:t>
      </w:r>
      <w:r w:rsidR="008D1F48" w:rsidRPr="005517F0">
        <w:rPr>
          <w:sz w:val="24"/>
          <w:lang w:val="fi-FI"/>
        </w:rPr>
        <w:tab/>
      </w:r>
      <w:r w:rsidRPr="005517F0">
        <w:rPr>
          <w:sz w:val="24"/>
          <w:lang w:val="fi-FI"/>
        </w:rPr>
        <w:t xml:space="preserve">EUT L 193, 30.7.2018, s. 1., ELI: </w:t>
      </w:r>
      <w:r>
        <w:fldChar w:fldCharType="begin"/>
      </w:r>
      <w:r w:rsidRPr="009D32FD">
        <w:rPr>
          <w:lang w:val="fi-FI"/>
        </w:rPr>
        <w:instrText>HYPERLINK "http://data.europa.eu/eli/reg/2018/1046/oj"</w:instrText>
      </w:r>
      <w:r>
        <w:fldChar w:fldCharType="separate"/>
      </w:r>
      <w:r w:rsidRPr="005517F0">
        <w:rPr>
          <w:rStyle w:val="Hyperlink"/>
          <w:sz w:val="24"/>
          <w:lang w:val="fi-FI"/>
        </w:rPr>
        <w:t>http://data.europa.eu/eli/reg/2018/1046/oj</w:t>
      </w:r>
      <w:r>
        <w:fldChar w:fldCharType="end"/>
      </w:r>
      <w:r w:rsidRPr="005517F0">
        <w:rPr>
          <w:sz w:val="24"/>
          <w:lang w:val="fi-FI"/>
        </w:rPr>
        <w:t>.</w:t>
      </w:r>
    </w:p>
  </w:footnote>
  <w:footnote w:id="10">
    <w:p w14:paraId="14285BCA" w14:textId="3754D5F8" w:rsidR="0022339F" w:rsidRPr="005517F0" w:rsidRDefault="0022339F" w:rsidP="008D1F48">
      <w:pPr>
        <w:pStyle w:val="FootnoteText"/>
        <w:ind w:left="567" w:hanging="567"/>
        <w:rPr>
          <w:sz w:val="24"/>
          <w:lang w:val="fi-FI"/>
        </w:rPr>
      </w:pPr>
      <w:r w:rsidRPr="008D1F48">
        <w:rPr>
          <w:rStyle w:val="FootnoteReference"/>
          <w:sz w:val="24"/>
          <w:lang w:val="sv-SE"/>
        </w:rPr>
        <w:footnoteRef/>
      </w:r>
      <w:r w:rsidR="008D1F48" w:rsidRPr="005517F0">
        <w:rPr>
          <w:sz w:val="24"/>
          <w:lang w:val="fi-FI"/>
        </w:rPr>
        <w:t xml:space="preserve"> </w:t>
      </w:r>
      <w:r w:rsidR="008D1F48" w:rsidRPr="005517F0">
        <w:rPr>
          <w:sz w:val="24"/>
          <w:lang w:val="fi-FI"/>
        </w:rPr>
        <w:tab/>
      </w:r>
      <w:r w:rsidRPr="005517F0">
        <w:rPr>
          <w:sz w:val="24"/>
          <w:lang w:val="fi-FI"/>
        </w:rPr>
        <w:t xml:space="preserve">EUT L, 2024/2509, 26.9.2024, ELI: </w:t>
      </w:r>
      <w:r>
        <w:fldChar w:fldCharType="begin"/>
      </w:r>
      <w:r w:rsidRPr="009D32FD">
        <w:rPr>
          <w:lang w:val="fi-FI"/>
        </w:rPr>
        <w:instrText>HYPERLINK "http://data.europa.eu/eli/reg/2024/2509/oj"</w:instrText>
      </w:r>
      <w:r>
        <w:fldChar w:fldCharType="separate"/>
      </w:r>
      <w:r w:rsidRPr="005517F0">
        <w:rPr>
          <w:rStyle w:val="Hyperlink"/>
          <w:sz w:val="24"/>
          <w:lang w:val="fi-FI"/>
        </w:rPr>
        <w:t>http://data.europa.eu/eli/reg/2024/2509/oj</w:t>
      </w:r>
      <w:r>
        <w:fldChar w:fldCharType="end"/>
      </w:r>
      <w:r w:rsidRPr="005517F0">
        <w:rPr>
          <w:sz w:val="24"/>
          <w:lang w:val="fi-FI"/>
        </w:rPr>
        <w:t>.</w:t>
      </w:r>
    </w:p>
  </w:footnote>
  <w:footnote w:id="11">
    <w:p w14:paraId="6B5617D1" w14:textId="681FA5AE" w:rsidR="0022339F" w:rsidRPr="005517F0" w:rsidRDefault="0022339F" w:rsidP="008D1F48">
      <w:pPr>
        <w:pStyle w:val="FootnoteText"/>
        <w:ind w:left="567" w:hanging="567"/>
        <w:rPr>
          <w:sz w:val="24"/>
          <w:lang w:val="fi-FI"/>
        </w:rPr>
      </w:pPr>
      <w:r w:rsidRPr="008D1F48">
        <w:rPr>
          <w:rStyle w:val="FootnoteReference"/>
          <w:sz w:val="24"/>
          <w:lang w:val="sv-SE"/>
        </w:rPr>
        <w:footnoteRef/>
      </w:r>
      <w:r w:rsidR="008D1F48" w:rsidRPr="005517F0">
        <w:rPr>
          <w:sz w:val="24"/>
          <w:lang w:val="fi-FI"/>
        </w:rPr>
        <w:t xml:space="preserve"> </w:t>
      </w:r>
      <w:r w:rsidR="008D1F48" w:rsidRPr="005517F0">
        <w:rPr>
          <w:sz w:val="24"/>
          <w:lang w:val="fi-FI"/>
        </w:rPr>
        <w:tab/>
      </w:r>
      <w:r w:rsidRPr="005517F0">
        <w:rPr>
          <w:sz w:val="24"/>
          <w:lang w:val="fi-FI"/>
        </w:rPr>
        <w:t xml:space="preserve">EUT L 283, 31.10.2017, s. 1, ELI: </w:t>
      </w:r>
      <w:r>
        <w:fldChar w:fldCharType="begin"/>
      </w:r>
      <w:r w:rsidRPr="009D32FD">
        <w:rPr>
          <w:lang w:val="fi-FI"/>
        </w:rPr>
        <w:instrText>HYPERLINK "http://data.europa.eu/eli/reg/2017/1939/oj"</w:instrText>
      </w:r>
      <w:r>
        <w:fldChar w:fldCharType="separate"/>
      </w:r>
      <w:r w:rsidRPr="005517F0">
        <w:rPr>
          <w:rStyle w:val="Hyperlink"/>
          <w:sz w:val="24"/>
          <w:lang w:val="fi-FI"/>
        </w:rPr>
        <w:t>http://data.europa.eu/eli/reg/2017/1939/oj</w:t>
      </w:r>
      <w:r>
        <w:fldChar w:fldCharType="end"/>
      </w:r>
      <w:r w:rsidRPr="005517F0">
        <w:rPr>
          <w:sz w:val="24"/>
          <w:lang w:val="fi-FI"/>
        </w:rPr>
        <w:t>.</w:t>
      </w:r>
    </w:p>
  </w:footnote>
  <w:footnote w:id="12">
    <w:p w14:paraId="60DC990C" w14:textId="7DECA6A0" w:rsidR="0022339F" w:rsidRPr="005517F0" w:rsidRDefault="0022339F" w:rsidP="008D1F48">
      <w:pPr>
        <w:pStyle w:val="FootnoteText"/>
        <w:ind w:left="567" w:hanging="567"/>
        <w:rPr>
          <w:sz w:val="24"/>
          <w:lang w:val="fi-FI"/>
        </w:rPr>
      </w:pPr>
      <w:r w:rsidRPr="008D1F48">
        <w:rPr>
          <w:rStyle w:val="FootnoteReference"/>
          <w:sz w:val="24"/>
          <w:lang w:val="sv-SE"/>
        </w:rPr>
        <w:footnoteRef/>
      </w:r>
      <w:r w:rsidR="008D1F48" w:rsidRPr="005517F0">
        <w:rPr>
          <w:sz w:val="24"/>
          <w:lang w:val="fi-FI"/>
        </w:rPr>
        <w:t xml:space="preserve"> </w:t>
      </w:r>
      <w:r w:rsidR="008D1F48" w:rsidRPr="005517F0">
        <w:rPr>
          <w:sz w:val="24"/>
          <w:lang w:val="fi-FI"/>
        </w:rPr>
        <w:tab/>
      </w:r>
      <w:r w:rsidRPr="005517F0">
        <w:rPr>
          <w:sz w:val="24"/>
          <w:lang w:val="fi-FI"/>
        </w:rPr>
        <w:t xml:space="preserve">EUT L 122, 10.5.2019, s. 1, ELI: </w:t>
      </w:r>
      <w:r>
        <w:fldChar w:fldCharType="begin"/>
      </w:r>
      <w:r w:rsidRPr="009D32FD">
        <w:rPr>
          <w:lang w:val="fi-FI"/>
        </w:rPr>
        <w:instrText>HYPERLINK "http://data.europa.eu/eli/reg_del/2019/715/oj"</w:instrText>
      </w:r>
      <w:r>
        <w:fldChar w:fldCharType="separate"/>
      </w:r>
      <w:r w:rsidRPr="005517F0">
        <w:rPr>
          <w:rStyle w:val="Hyperlink"/>
          <w:sz w:val="24"/>
          <w:lang w:val="fi-FI"/>
        </w:rPr>
        <w:t>http://data.europa.eu/eli/reg_del/2019/715/oj</w:t>
      </w:r>
      <w:r>
        <w:fldChar w:fldCharType="end"/>
      </w:r>
      <w:r w:rsidRPr="005517F0">
        <w:rPr>
          <w:sz w:val="24"/>
          <w:lang w:val="fi-FI"/>
        </w:rPr>
        <w:t>.</w:t>
      </w:r>
    </w:p>
  </w:footnote>
  <w:footnote w:id="13">
    <w:p w14:paraId="09E83F66" w14:textId="6245E42D" w:rsidR="0022339F" w:rsidRPr="008D1F48" w:rsidRDefault="0022339F" w:rsidP="008D1F48">
      <w:pPr>
        <w:pStyle w:val="FootnoteText"/>
        <w:ind w:left="567" w:hanging="567"/>
        <w:rPr>
          <w:sz w:val="24"/>
          <w:lang w:val="sv-SE"/>
        </w:rPr>
      </w:pPr>
      <w:r w:rsidRPr="008D1F48">
        <w:rPr>
          <w:rStyle w:val="FootnoteReference"/>
          <w:sz w:val="24"/>
          <w:lang w:val="sv-SE"/>
        </w:rPr>
        <w:footnoteRef/>
      </w:r>
      <w:r w:rsidR="008D1F48" w:rsidRPr="008D1F48">
        <w:rPr>
          <w:sz w:val="24"/>
          <w:lang w:val="sv-SE"/>
        </w:rPr>
        <w:t xml:space="preserve"> </w:t>
      </w:r>
      <w:r w:rsidR="008D1F48" w:rsidRPr="008D1F48">
        <w:rPr>
          <w:sz w:val="24"/>
          <w:lang w:val="sv-SE"/>
        </w:rPr>
        <w:tab/>
      </w:r>
      <w:r w:rsidRPr="008D1F48">
        <w:rPr>
          <w:sz w:val="24"/>
          <w:lang w:val="sv-SE"/>
        </w:rPr>
        <w:t>Europaparlamentets och rådets direktiv (EU) 2017/1371 av den 5 juli 2017 om bekämpande genom straffrättsliga bestämmelser av bedrägeri som riktar sig mot unionens finansiella intressen (EUT L 198, 28.7.2017, s. 29, ELI:</w:t>
      </w:r>
      <w:r w:rsidRPr="008D1F48">
        <w:rPr>
          <w:sz w:val="24"/>
          <w:shd w:val="clear" w:color="auto" w:fill="FFFFFF"/>
          <w:lang w:val="sv-SE"/>
        </w:rPr>
        <w:t xml:space="preserve"> </w:t>
      </w:r>
      <w:r>
        <w:fldChar w:fldCharType="begin"/>
      </w:r>
      <w:r w:rsidRPr="009D32FD">
        <w:rPr>
          <w:lang w:val="sv-SE"/>
        </w:rPr>
        <w:instrText>HYPERLINK "http://data.europa.eu/eli/dir/2017/1371/oj"</w:instrText>
      </w:r>
      <w:r>
        <w:fldChar w:fldCharType="separate"/>
      </w:r>
      <w:r w:rsidRPr="008D1F48">
        <w:rPr>
          <w:rStyle w:val="Hyperlink"/>
          <w:sz w:val="24"/>
          <w:shd w:val="clear" w:color="auto" w:fill="FFFFFF"/>
          <w:lang w:val="sv-SE"/>
        </w:rPr>
        <w:t>http://data.europa.eu/eli/dir/2017/1371/oj</w:t>
      </w:r>
      <w:r>
        <w:fldChar w:fldCharType="end"/>
      </w:r>
      <w:r w:rsidRPr="008D1F48">
        <w:rPr>
          <w:sz w:val="24"/>
          <w:shd w:val="clear" w:color="auto" w:fill="FFFFFF"/>
          <w:lang w:val="sv-SE"/>
        </w:rPr>
        <w:t>).</w:t>
      </w:r>
    </w:p>
  </w:footnote>
  <w:footnote w:id="14">
    <w:p w14:paraId="2DD4DDF5" w14:textId="3C124FC7" w:rsidR="0022339F" w:rsidRPr="008D1F48" w:rsidRDefault="0022339F" w:rsidP="008D1F48">
      <w:pPr>
        <w:pStyle w:val="FootnoteText"/>
        <w:ind w:left="567" w:hanging="567"/>
        <w:rPr>
          <w:sz w:val="24"/>
          <w:lang w:val="sv-SE"/>
        </w:rPr>
      </w:pPr>
      <w:r w:rsidRPr="008D1F48">
        <w:rPr>
          <w:rStyle w:val="FootnoteReference"/>
          <w:sz w:val="24"/>
          <w:lang w:val="sv-SE"/>
        </w:rPr>
        <w:footnoteRef/>
      </w:r>
      <w:r w:rsidR="008D1F48" w:rsidRPr="008D1F48">
        <w:rPr>
          <w:sz w:val="24"/>
          <w:lang w:val="sv-SE"/>
        </w:rPr>
        <w:t xml:space="preserve"> </w:t>
      </w:r>
      <w:r w:rsidR="008D1F48" w:rsidRPr="008D1F48">
        <w:rPr>
          <w:sz w:val="24"/>
          <w:lang w:val="sv-SE"/>
        </w:rPr>
        <w:tab/>
      </w:r>
      <w:r w:rsidRPr="008D1F48">
        <w:rPr>
          <w:sz w:val="24"/>
          <w:lang w:val="sv-SE"/>
        </w:rPr>
        <w:t xml:space="preserve">Rådets förordning (EU) 2017/1939 av den 12 oktober 2017 om genomförande av fördjupat samarbete om inrättande av Europeiska åklagarmyndigheten (EUT L 283, 31.10.2017, s. 1, ELI: </w:t>
      </w:r>
      <w:r>
        <w:fldChar w:fldCharType="begin"/>
      </w:r>
      <w:r w:rsidRPr="009D32FD">
        <w:rPr>
          <w:lang w:val="sv-SE"/>
        </w:rPr>
        <w:instrText>HYPERLINK "http://data.europa.eu/eli/reg/2017/1939/oj"</w:instrText>
      </w:r>
      <w:r>
        <w:fldChar w:fldCharType="separate"/>
      </w:r>
      <w:r w:rsidRPr="008D1F48">
        <w:rPr>
          <w:rStyle w:val="Hyperlink"/>
          <w:sz w:val="24"/>
          <w:lang w:val="sv-SE"/>
        </w:rPr>
        <w:t>http://data.europa.eu/eli/reg/2017/1939/oj</w:t>
      </w:r>
      <w:r>
        <w:fldChar w:fldCharType="end"/>
      </w:r>
      <w:r w:rsidRPr="008D1F48">
        <w:rPr>
          <w:sz w:val="24"/>
          <w:lang w:val="sv-SE"/>
        </w:rPr>
        <w:t>).</w:t>
      </w:r>
    </w:p>
  </w:footnote>
  <w:footnote w:id="15">
    <w:p w14:paraId="5A53D8CB" w14:textId="6CEA82BF" w:rsidR="0022339F" w:rsidRPr="008D1F48" w:rsidRDefault="0022339F" w:rsidP="008D1F48">
      <w:pPr>
        <w:pStyle w:val="FootnoteText"/>
        <w:ind w:left="567" w:hanging="567"/>
        <w:rPr>
          <w:sz w:val="24"/>
          <w:lang w:val="sv-SE"/>
        </w:rPr>
      </w:pPr>
      <w:r w:rsidRPr="008D1F48">
        <w:rPr>
          <w:rStyle w:val="FootnoteReference"/>
          <w:sz w:val="24"/>
          <w:lang w:val="sv-SE"/>
        </w:rPr>
        <w:footnoteRef/>
      </w:r>
      <w:r w:rsidR="008D1F48" w:rsidRPr="008D1F48">
        <w:rPr>
          <w:sz w:val="24"/>
          <w:lang w:val="sv-SE"/>
        </w:rPr>
        <w:t xml:space="preserve"> </w:t>
      </w:r>
      <w:r w:rsidR="008D1F48" w:rsidRPr="008D1F48">
        <w:rPr>
          <w:sz w:val="24"/>
          <w:lang w:val="sv-SE"/>
        </w:rPr>
        <w:tab/>
      </w:r>
      <w:r w:rsidRPr="008D1F48">
        <w:rPr>
          <w:sz w:val="24"/>
          <w:lang w:val="sv-SE"/>
        </w:rPr>
        <w:t>https://www.eca.europa.eu/ECAPublications/RV-2025-02/RV-2025-02_SV.pdf</w:t>
      </w:r>
    </w:p>
  </w:footnote>
  <w:footnote w:id="16">
    <w:p w14:paraId="5DB0C6F3" w14:textId="4B2A0546" w:rsidR="0022339F" w:rsidRPr="008D1F48" w:rsidRDefault="0022339F" w:rsidP="008D1F48">
      <w:pPr>
        <w:pStyle w:val="FootnoteText"/>
        <w:ind w:left="567" w:hanging="567"/>
        <w:rPr>
          <w:sz w:val="24"/>
          <w:lang w:val="sv-SE"/>
        </w:rPr>
      </w:pPr>
      <w:r w:rsidRPr="008D1F48">
        <w:rPr>
          <w:rStyle w:val="FootnoteReference"/>
          <w:sz w:val="24"/>
          <w:lang w:val="sv-SE"/>
        </w:rPr>
        <w:footnoteRef/>
      </w:r>
      <w:r w:rsidR="008D1F48" w:rsidRPr="008D1F48">
        <w:rPr>
          <w:sz w:val="24"/>
          <w:lang w:val="sv-SE"/>
        </w:rPr>
        <w:t xml:space="preserve"> </w:t>
      </w:r>
      <w:r w:rsidR="008D1F48" w:rsidRPr="008D1F48">
        <w:rPr>
          <w:sz w:val="24"/>
          <w:lang w:val="sv-SE"/>
        </w:rPr>
        <w:tab/>
      </w:r>
      <w:r w:rsidRPr="008D1F48">
        <w:rPr>
          <w:sz w:val="24"/>
          <w:lang w:val="sv-SE"/>
        </w:rPr>
        <w:t>Siffran omfattar inte tolkningstjänster, som tillhandahålls enligt servicenivåavtalet med kommissionens generaldirektorat för tolkning (GD Tolkning) eller, när GD Tolkning avstår från eller inte kan tillhandahålla den begärda tjänsten, genom att anlita frilansare som finns tillgängliga på marknaden (särskilda undantag från de finansiella bestämmelserna). Parlamentet noterar vidare att kostnaderna som uppstod under 2024 uppgick till totalt 22 536 EUR inom ramen för servicenivåavtalet med GD Tolkning och 9 360 EUR för övriga tjänster genom inköp av ad hoc-tjänster.</w:t>
      </w:r>
    </w:p>
  </w:footnote>
  <w:footnote w:id="17">
    <w:p w14:paraId="61CD44FF" w14:textId="2F8960F6" w:rsidR="0022339F" w:rsidRPr="008D1F48" w:rsidRDefault="0022339F" w:rsidP="008D1F48">
      <w:pPr>
        <w:pStyle w:val="FootnoteText"/>
        <w:ind w:left="567" w:hanging="567"/>
        <w:rPr>
          <w:sz w:val="24"/>
          <w:lang w:val="sv-SE"/>
        </w:rPr>
      </w:pPr>
      <w:r w:rsidRPr="008D1F48">
        <w:rPr>
          <w:rStyle w:val="FootnoteReference"/>
          <w:sz w:val="24"/>
          <w:lang w:val="sv-SE"/>
        </w:rPr>
        <w:footnoteRef/>
      </w:r>
      <w:r w:rsidR="008D1F48" w:rsidRPr="008D1F48">
        <w:rPr>
          <w:sz w:val="24"/>
          <w:lang w:val="sv-SE"/>
        </w:rPr>
        <w:t xml:space="preserve"> </w:t>
      </w:r>
      <w:r w:rsidR="008D1F48" w:rsidRPr="008D1F48">
        <w:rPr>
          <w:sz w:val="24"/>
          <w:lang w:val="sv-SE"/>
        </w:rPr>
        <w:tab/>
      </w:r>
      <w:r w:rsidRPr="008D1F48">
        <w:rPr>
          <w:sz w:val="24"/>
          <w:lang w:val="sv-SE"/>
        </w:rPr>
        <w:t xml:space="preserve">Förordning (EU) 2017/1939 (Eppo-förordningen) och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s. 39, ELI: </w:t>
      </w:r>
      <w:r>
        <w:fldChar w:fldCharType="begin"/>
      </w:r>
      <w:r w:rsidRPr="009D32FD">
        <w:rPr>
          <w:lang w:val="sv-SE"/>
        </w:rPr>
        <w:instrText>HYPERLINK "http://data.europa.eu/eli/reg/2018/1725/oj"</w:instrText>
      </w:r>
      <w:r>
        <w:fldChar w:fldCharType="separate"/>
      </w:r>
      <w:r w:rsidRPr="008D1F48">
        <w:rPr>
          <w:rStyle w:val="Hyperlink"/>
          <w:sz w:val="24"/>
          <w:lang w:val="sv-SE"/>
        </w:rPr>
        <w:t>http://data.europa.eu/eli/reg/2018/1725/oj</w:t>
      </w:r>
      <w:r>
        <w:fldChar w:fldCharType="end"/>
      </w:r>
      <w:r w:rsidRPr="008D1F48">
        <w:rPr>
          <w:sz w:val="24"/>
          <w:lang w:val="sv-SE"/>
        </w:rPr>
        <w:t>).</w:t>
      </w:r>
    </w:p>
  </w:footnote>
  <w:footnote w:id="18">
    <w:p w14:paraId="1ADCD9FC" w14:textId="3B5E25B0" w:rsidR="0022339F" w:rsidRPr="008D1F48" w:rsidRDefault="0022339F" w:rsidP="008D1F48">
      <w:pPr>
        <w:pStyle w:val="FootnoteText"/>
        <w:ind w:left="567" w:hanging="567"/>
        <w:rPr>
          <w:sz w:val="24"/>
          <w:lang w:val="sv-SE"/>
        </w:rPr>
      </w:pPr>
      <w:r w:rsidRPr="008D1F48">
        <w:rPr>
          <w:rStyle w:val="FootnoteReference"/>
          <w:sz w:val="24"/>
          <w:lang w:val="sv-SE"/>
        </w:rPr>
        <w:footnoteRef/>
      </w:r>
      <w:r w:rsidR="008D1F48" w:rsidRPr="008D1F48">
        <w:rPr>
          <w:sz w:val="24"/>
          <w:lang w:val="sv-SE"/>
        </w:rPr>
        <w:t xml:space="preserve"> </w:t>
      </w:r>
      <w:r w:rsidR="008D1F48" w:rsidRPr="008D1F48">
        <w:rPr>
          <w:sz w:val="24"/>
          <w:lang w:val="sv-SE"/>
        </w:rPr>
        <w:tab/>
      </w:r>
      <w:r>
        <w:fldChar w:fldCharType="begin"/>
      </w:r>
      <w:r w:rsidRPr="009D32FD">
        <w:rPr>
          <w:lang w:val="sv-SE"/>
        </w:rPr>
        <w:instrText>HYPERLINK "https://www.eca.europa.eu/ECAPublications/SR-2025-08/SR-2025-08_SV.pdf"</w:instrText>
      </w:r>
      <w:r>
        <w:fldChar w:fldCharType="separate"/>
      </w:r>
      <w:r w:rsidRPr="008D1F48">
        <w:rPr>
          <w:rStyle w:val="Hyperlink"/>
          <w:sz w:val="24"/>
          <w:lang w:val="sv-SE"/>
        </w:rPr>
        <w:t>https://www.eca.europa.eu/ECAPublications/SR-2025-08/SR-2025-08_SV.pdf</w:t>
      </w:r>
      <w:r>
        <w:fldChar w:fldCharType="end"/>
      </w:r>
      <w:r w:rsidRPr="008D1F48">
        <w:rPr>
          <w:sz w:val="24"/>
          <w:lang w:val="sv-SE"/>
        </w:rPr>
        <w:t xml:space="preserve"> </w:t>
      </w:r>
    </w:p>
  </w:footnote>
  <w:footnote w:id="19">
    <w:p w14:paraId="25A348E1" w14:textId="00DACB79" w:rsidR="0022339F" w:rsidRPr="008D1F48" w:rsidRDefault="0022339F" w:rsidP="008D1F48">
      <w:pPr>
        <w:pStyle w:val="FootnoteText"/>
        <w:ind w:left="567" w:hanging="567"/>
        <w:rPr>
          <w:sz w:val="24"/>
          <w:lang w:val="sv-SE"/>
        </w:rPr>
      </w:pPr>
      <w:r w:rsidRPr="008D1F48">
        <w:rPr>
          <w:rStyle w:val="FootnoteReference"/>
          <w:sz w:val="24"/>
          <w:lang w:val="sv-SE"/>
        </w:rPr>
        <w:footnoteRef/>
      </w:r>
      <w:r w:rsidR="008D1F48" w:rsidRPr="008D1F48">
        <w:rPr>
          <w:sz w:val="24"/>
          <w:lang w:val="sv-SE"/>
        </w:rPr>
        <w:t xml:space="preserve"> </w:t>
      </w:r>
      <w:r w:rsidR="008D1F48" w:rsidRPr="008D1F48">
        <w:rPr>
          <w:sz w:val="24"/>
          <w:lang w:val="sv-SE"/>
        </w:rPr>
        <w:tab/>
      </w:r>
      <w:r w:rsidRPr="008D1F48">
        <w:rPr>
          <w:sz w:val="24"/>
          <w:lang w:val="sv-SE"/>
        </w:rPr>
        <w:t>Europaparlamentets och rådets förordning (EU, Euratom) 2020/2092 av den 16 december 2020 om en generell villkorlighetsordning för skydd av unionsbudgeten (EUT L 433 I, 22.12.2020, s. 1). </w:t>
      </w:r>
      <w:r>
        <w:fldChar w:fldCharType="begin"/>
      </w:r>
      <w:r w:rsidRPr="009D32FD">
        <w:rPr>
          <w:lang w:val="sv-SE"/>
        </w:rPr>
        <w:instrText>HYPERLINK "http://data.europa.eu/eli/reg/2020/2092/oj" \o "Ger tillgång till detta dokument via dess ELI URI."</w:instrText>
      </w:r>
      <w:r>
        <w:fldChar w:fldCharType="separate"/>
      </w:r>
      <w:r w:rsidRPr="008D1F48">
        <w:rPr>
          <w:rStyle w:val="Hyperlink"/>
          <w:sz w:val="24"/>
          <w:lang w:val="sv-SE"/>
        </w:rPr>
        <w:t>http://data.europa.eu/eli/reg/2020/2092/oj</w:t>
      </w:r>
      <w:r>
        <w:fldChar w:fldCharType="end"/>
      </w:r>
      <w:r w:rsidRPr="008D1F48">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F994A" w14:textId="77777777" w:rsidR="0022339F" w:rsidRPr="008D1F48" w:rsidRDefault="002233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F3F34" w14:textId="77777777" w:rsidR="0022339F" w:rsidRPr="008D1F48" w:rsidRDefault="002233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8B60B" w14:textId="77777777" w:rsidR="0022339F" w:rsidRPr="008D1F48" w:rsidRDefault="0022339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7ED7F" w14:textId="77777777" w:rsidR="00064002" w:rsidRPr="008D1F48"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3A750" w14:textId="77777777" w:rsidR="00064002" w:rsidRPr="008D1F48"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EAD98" w14:textId="77777777" w:rsidR="00064002" w:rsidRPr="008D1F4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68143806">
    <w:abstractNumId w:val="9"/>
  </w:num>
  <w:num w:numId="2" w16cid:durableId="2131900915">
    <w:abstractNumId w:val="9"/>
  </w:num>
  <w:num w:numId="3" w16cid:durableId="577247750">
    <w:abstractNumId w:val="7"/>
  </w:num>
  <w:num w:numId="4" w16cid:durableId="1537965769">
    <w:abstractNumId w:val="7"/>
  </w:num>
  <w:num w:numId="5" w16cid:durableId="486678254">
    <w:abstractNumId w:val="6"/>
  </w:num>
  <w:num w:numId="6" w16cid:durableId="1019896709">
    <w:abstractNumId w:val="6"/>
  </w:num>
  <w:num w:numId="7" w16cid:durableId="1034042045">
    <w:abstractNumId w:val="5"/>
  </w:num>
  <w:num w:numId="8" w16cid:durableId="1612857118">
    <w:abstractNumId w:val="5"/>
  </w:num>
  <w:num w:numId="9" w16cid:durableId="2045130777">
    <w:abstractNumId w:val="4"/>
  </w:num>
  <w:num w:numId="10" w16cid:durableId="1919829295">
    <w:abstractNumId w:val="4"/>
  </w:num>
  <w:num w:numId="11" w16cid:durableId="258878803">
    <w:abstractNumId w:val="8"/>
  </w:num>
  <w:num w:numId="12" w16cid:durableId="1606306172">
    <w:abstractNumId w:val="8"/>
  </w:num>
  <w:num w:numId="13" w16cid:durableId="1045713790">
    <w:abstractNumId w:val="3"/>
  </w:num>
  <w:num w:numId="14" w16cid:durableId="1639724578">
    <w:abstractNumId w:val="3"/>
  </w:num>
  <w:num w:numId="15" w16cid:durableId="1540245840">
    <w:abstractNumId w:val="2"/>
  </w:num>
  <w:num w:numId="16" w16cid:durableId="1594431391">
    <w:abstractNumId w:val="2"/>
  </w:num>
  <w:num w:numId="17" w16cid:durableId="135490029">
    <w:abstractNumId w:val="1"/>
  </w:num>
  <w:num w:numId="18" w16cid:durableId="1355309242">
    <w:abstractNumId w:val="1"/>
  </w:num>
  <w:num w:numId="19" w16cid:durableId="1167283789">
    <w:abstractNumId w:val="0"/>
  </w:num>
  <w:num w:numId="20" w16cid:durableId="335961769">
    <w:abstractNumId w:val="0"/>
  </w:num>
  <w:num w:numId="21" w16cid:durableId="1242104881">
    <w:abstractNumId w:val="9"/>
  </w:num>
  <w:num w:numId="22" w16cid:durableId="1505703469">
    <w:abstractNumId w:val="7"/>
  </w:num>
  <w:num w:numId="23" w16cid:durableId="1220627322">
    <w:abstractNumId w:val="6"/>
  </w:num>
  <w:num w:numId="24" w16cid:durableId="119618641">
    <w:abstractNumId w:val="5"/>
  </w:num>
  <w:num w:numId="25" w16cid:durableId="288820728">
    <w:abstractNumId w:val="4"/>
  </w:num>
  <w:num w:numId="26" w16cid:durableId="409235965">
    <w:abstractNumId w:val="8"/>
  </w:num>
  <w:num w:numId="27" w16cid:durableId="1893153259">
    <w:abstractNumId w:val="3"/>
  </w:num>
  <w:num w:numId="28" w16cid:durableId="532504109">
    <w:abstractNumId w:val="2"/>
  </w:num>
  <w:num w:numId="29" w16cid:durableId="1850564186">
    <w:abstractNumId w:val="1"/>
  </w:num>
  <w:num w:numId="30" w16cid:durableId="1001348379">
    <w:abstractNumId w:val="0"/>
  </w:num>
  <w:num w:numId="31" w16cid:durableId="1269000117">
    <w:abstractNumId w:val="9"/>
  </w:num>
  <w:num w:numId="32" w16cid:durableId="878707437">
    <w:abstractNumId w:val="7"/>
  </w:num>
  <w:num w:numId="33" w16cid:durableId="582953401">
    <w:abstractNumId w:val="6"/>
  </w:num>
  <w:num w:numId="34" w16cid:durableId="1014385112">
    <w:abstractNumId w:val="5"/>
  </w:num>
  <w:num w:numId="35" w16cid:durableId="437988708">
    <w:abstractNumId w:val="4"/>
  </w:num>
  <w:num w:numId="36" w16cid:durableId="1971202113">
    <w:abstractNumId w:val="8"/>
  </w:num>
  <w:num w:numId="37" w16cid:durableId="2002001530">
    <w:abstractNumId w:val="3"/>
  </w:num>
  <w:num w:numId="38" w16cid:durableId="663627309">
    <w:abstractNumId w:val="2"/>
  </w:num>
  <w:num w:numId="39" w16cid:durableId="227961519">
    <w:abstractNumId w:val="1"/>
  </w:num>
  <w:num w:numId="40" w16cid:durableId="874930722">
    <w:abstractNumId w:val="0"/>
  </w:num>
  <w:num w:numId="41" w16cid:durableId="1900900826">
    <w:abstractNumId w:val="10"/>
  </w:num>
  <w:num w:numId="42" w16cid:durableId="1175416396">
    <w:abstractNumId w:val="10"/>
  </w:num>
  <w:num w:numId="43" w16cid:durableId="1035350541">
    <w:abstractNumId w:val="10"/>
  </w:num>
  <w:num w:numId="44" w16cid:durableId="9453097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0/2026"/>
    <w:docVar w:name="dvlangue" w:val="SV"/>
    <w:docVar w:name="dvnumam" w:val="0"/>
    <w:docVar w:name="dvpe" w:val="778.067"/>
    <w:docVar w:name="dvrapporteur" w:val="Föredragande: "/>
    <w:docVar w:name="dvtitre" w:val="Europaparlamentets beslut av den xx xx 2026 om ansvarsfrihet för genomförandet av budgeten för Europeiska åklagarmyndigheten för budgetåret 2024(2025/2155(DEC))"/>
  </w:docVars>
  <w:rsids>
    <w:rsidRoot w:val="00D95751"/>
    <w:rsid w:val="00002272"/>
    <w:rsid w:val="00064002"/>
    <w:rsid w:val="000677B9"/>
    <w:rsid w:val="000831BA"/>
    <w:rsid w:val="000A3614"/>
    <w:rsid w:val="000A42CC"/>
    <w:rsid w:val="000E7DD9"/>
    <w:rsid w:val="0010095E"/>
    <w:rsid w:val="00125B37"/>
    <w:rsid w:val="001446C0"/>
    <w:rsid w:val="00187494"/>
    <w:rsid w:val="00194A34"/>
    <w:rsid w:val="001F32AE"/>
    <w:rsid w:val="0022339F"/>
    <w:rsid w:val="002767FF"/>
    <w:rsid w:val="002B18FE"/>
    <w:rsid w:val="002B5493"/>
    <w:rsid w:val="00343214"/>
    <w:rsid w:val="00361C00"/>
    <w:rsid w:val="00395FA1"/>
    <w:rsid w:val="003E15D4"/>
    <w:rsid w:val="004002C0"/>
    <w:rsid w:val="00411CCE"/>
    <w:rsid w:val="0041666E"/>
    <w:rsid w:val="00421060"/>
    <w:rsid w:val="00471C19"/>
    <w:rsid w:val="004867E3"/>
    <w:rsid w:val="00494A28"/>
    <w:rsid w:val="004C0004"/>
    <w:rsid w:val="004C5D52"/>
    <w:rsid w:val="004E5ECD"/>
    <w:rsid w:val="0050519A"/>
    <w:rsid w:val="005072A1"/>
    <w:rsid w:val="00514517"/>
    <w:rsid w:val="00545827"/>
    <w:rsid w:val="005517F0"/>
    <w:rsid w:val="00560270"/>
    <w:rsid w:val="00580551"/>
    <w:rsid w:val="00587C36"/>
    <w:rsid w:val="005C2568"/>
    <w:rsid w:val="005E186A"/>
    <w:rsid w:val="005E4362"/>
    <w:rsid w:val="005F1B17"/>
    <w:rsid w:val="006037C0"/>
    <w:rsid w:val="006631B6"/>
    <w:rsid w:val="00680577"/>
    <w:rsid w:val="00687D57"/>
    <w:rsid w:val="006F74FA"/>
    <w:rsid w:val="0071005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1F48"/>
    <w:rsid w:val="00903AC8"/>
    <w:rsid w:val="00930C23"/>
    <w:rsid w:val="0093193B"/>
    <w:rsid w:val="00941848"/>
    <w:rsid w:val="009509D8"/>
    <w:rsid w:val="00950B64"/>
    <w:rsid w:val="00981893"/>
    <w:rsid w:val="009D32F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55AF"/>
    <w:rsid w:val="00C23CD4"/>
    <w:rsid w:val="00C61C0C"/>
    <w:rsid w:val="00C941CB"/>
    <w:rsid w:val="00CC2357"/>
    <w:rsid w:val="00CF071A"/>
    <w:rsid w:val="00CF35A0"/>
    <w:rsid w:val="00D058B8"/>
    <w:rsid w:val="00D56C11"/>
    <w:rsid w:val="00D834A0"/>
    <w:rsid w:val="00D872DF"/>
    <w:rsid w:val="00D91E21"/>
    <w:rsid w:val="00D95751"/>
    <w:rsid w:val="00DA7D8D"/>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2930E6"/>
  <w15:chartTrackingRefBased/>
  <w15:docId w15:val="{153F8934-6F11-4743-A652-5D0069622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2339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2339F"/>
    <w:pPr>
      <w:spacing w:before="480" w:after="240"/>
    </w:pPr>
  </w:style>
  <w:style w:type="paragraph" w:customStyle="1" w:styleId="PageHeading">
    <w:name w:val="PageHeading"/>
    <w:basedOn w:val="Normal"/>
    <w:rsid w:val="0022339F"/>
    <w:pPr>
      <w:keepNext/>
      <w:spacing w:after="480"/>
      <w:jc w:val="center"/>
    </w:pPr>
    <w:rPr>
      <w:rFonts w:ascii="Arial" w:hAnsi="Arial" w:cs="Arial"/>
      <w:b/>
    </w:rPr>
  </w:style>
  <w:style w:type="paragraph" w:customStyle="1" w:styleId="NormalBold">
    <w:name w:val="NormalBold"/>
    <w:basedOn w:val="Normal"/>
    <w:rsid w:val="0022339F"/>
    <w:rPr>
      <w:b/>
    </w:rPr>
  </w:style>
  <w:style w:type="paragraph" w:customStyle="1" w:styleId="NormalHanging12a">
    <w:name w:val="NormalHanging12a"/>
    <w:basedOn w:val="Normal"/>
    <w:link w:val="NormalHanging12aChar"/>
    <w:qFormat/>
    <w:rsid w:val="0022339F"/>
    <w:pPr>
      <w:spacing w:after="240"/>
      <w:ind w:left="567" w:hanging="567"/>
    </w:pPr>
  </w:style>
  <w:style w:type="paragraph" w:styleId="Header">
    <w:name w:val="header"/>
    <w:basedOn w:val="Normal"/>
    <w:link w:val="HeaderChar"/>
    <w:rsid w:val="0022339F"/>
    <w:pPr>
      <w:tabs>
        <w:tab w:val="center" w:pos="4513"/>
        <w:tab w:val="right" w:pos="9026"/>
      </w:tabs>
    </w:pPr>
  </w:style>
  <w:style w:type="character" w:customStyle="1" w:styleId="HeaderChar">
    <w:name w:val="Header Char"/>
    <w:basedOn w:val="DefaultParagraphFont"/>
    <w:link w:val="Header"/>
    <w:rsid w:val="0022339F"/>
    <w:rPr>
      <w:sz w:val="24"/>
      <w:lang w:val="sv-SE"/>
    </w:rPr>
  </w:style>
  <w:style w:type="paragraph" w:customStyle="1" w:styleId="EPFooter">
    <w:name w:val="EPFooter"/>
    <w:basedOn w:val="Normal"/>
    <w:rsid w:val="0022339F"/>
    <w:pPr>
      <w:tabs>
        <w:tab w:val="center" w:pos="4535"/>
        <w:tab w:val="right" w:pos="9071"/>
      </w:tabs>
      <w:spacing w:before="240" w:after="240"/>
    </w:pPr>
    <w:rPr>
      <w:color w:val="010000"/>
      <w:sz w:val="22"/>
    </w:rPr>
  </w:style>
  <w:style w:type="character" w:styleId="Hyperlink">
    <w:name w:val="Hyperlink"/>
    <w:basedOn w:val="DefaultParagraphFont"/>
    <w:rsid w:val="0022339F"/>
    <w:rPr>
      <w:color w:val="0563C1" w:themeColor="hyperlink"/>
      <w:u w:val="single"/>
    </w:rPr>
  </w:style>
  <w:style w:type="character" w:customStyle="1" w:styleId="NormalHanging12aChar">
    <w:name w:val="NormalHanging12a Char"/>
    <w:basedOn w:val="DefaultParagraphFont"/>
    <w:link w:val="NormalHanging12a"/>
    <w:locked/>
    <w:rsid w:val="0022339F"/>
    <w:rPr>
      <w:sz w:val="24"/>
      <w:lang w:val="sv-SE"/>
    </w:rPr>
  </w:style>
  <w:style w:type="paragraph" w:styleId="CommentText">
    <w:name w:val="annotation text"/>
    <w:basedOn w:val="Normal"/>
    <w:link w:val="CommentTextChar"/>
    <w:unhideWhenUsed/>
    <w:rsid w:val="0022339F"/>
    <w:rPr>
      <w:sz w:val="20"/>
    </w:rPr>
  </w:style>
  <w:style w:type="character" w:customStyle="1" w:styleId="CommentTextChar">
    <w:name w:val="Comment Text Char"/>
    <w:basedOn w:val="DefaultParagraphFont"/>
    <w:link w:val="CommentText"/>
    <w:rsid w:val="0022339F"/>
    <w:rPr>
      <w:lang w:val="sv-SE"/>
    </w:rPr>
  </w:style>
  <w:style w:type="paragraph" w:styleId="BodyText">
    <w:name w:val="Body Text"/>
    <w:basedOn w:val="Normal"/>
    <w:link w:val="BodyTextChar"/>
    <w:uiPriority w:val="1"/>
    <w:unhideWhenUsed/>
    <w:qFormat/>
    <w:rsid w:val="0022339F"/>
    <w:pPr>
      <w:widowControl/>
      <w:autoSpaceDE w:val="0"/>
      <w:autoSpaceDN w:val="0"/>
      <w:adjustRightInd w:val="0"/>
      <w:spacing w:line="225" w:lineRule="exact"/>
      <w:ind w:left="39"/>
    </w:pPr>
    <w:rPr>
      <w:rFonts w:ascii="Calibri" w:hAnsi="Calibri" w:cs="Calibri"/>
      <w:b/>
      <w:bCs/>
      <w:sz w:val="22"/>
      <w:szCs w:val="22"/>
    </w:rPr>
  </w:style>
  <w:style w:type="character" w:customStyle="1" w:styleId="BodyTextChar">
    <w:name w:val="Body Text Char"/>
    <w:basedOn w:val="DefaultParagraphFont"/>
    <w:link w:val="BodyText"/>
    <w:uiPriority w:val="1"/>
    <w:rsid w:val="0022339F"/>
    <w:rPr>
      <w:rFonts w:ascii="Calibri" w:hAnsi="Calibri" w:cs="Calibri"/>
      <w:b/>
      <w:bCs/>
      <w:sz w:val="22"/>
      <w:szCs w:val="22"/>
      <w:lang w:val="sv-SE"/>
    </w:rPr>
  </w:style>
  <w:style w:type="paragraph" w:customStyle="1" w:styleId="Default">
    <w:name w:val="Default"/>
    <w:rsid w:val="0022339F"/>
    <w:pPr>
      <w:autoSpaceDE w:val="0"/>
      <w:autoSpaceDN w:val="0"/>
      <w:adjustRightInd w:val="0"/>
    </w:pPr>
    <w:rPr>
      <w:rFonts w:ascii="Calibri" w:hAnsi="Calibri" w:cs="Calibri"/>
      <w:color w:val="000000"/>
      <w:sz w:val="24"/>
      <w:szCs w:val="24"/>
      <w:lang w:val="sv-SE"/>
    </w:rPr>
  </w:style>
  <w:style w:type="paragraph" w:styleId="Revision">
    <w:name w:val="Revision"/>
    <w:hidden/>
    <w:uiPriority w:val="99"/>
    <w:semiHidden/>
    <w:rsid w:val="005517F0"/>
    <w:rPr>
      <w:sz w:val="24"/>
      <w:lang w:val="sv-SE"/>
    </w:rPr>
  </w:style>
  <w:style w:type="character" w:styleId="FollowedHyperlink">
    <w:name w:val="FollowedHyperlink"/>
    <w:basedOn w:val="DefaultParagraphFont"/>
    <w:rsid w:val="00903AC8"/>
    <w:rPr>
      <w:color w:val="954F72" w:themeColor="followedHyperlink"/>
      <w:u w:val="single"/>
    </w:rPr>
  </w:style>
  <w:style w:type="character" w:styleId="CommentReference">
    <w:name w:val="annotation reference"/>
    <w:basedOn w:val="DefaultParagraphFont"/>
    <w:rsid w:val="0071005B"/>
    <w:rPr>
      <w:sz w:val="16"/>
      <w:szCs w:val="16"/>
    </w:rPr>
  </w:style>
  <w:style w:type="paragraph" w:styleId="CommentSubject">
    <w:name w:val="annotation subject"/>
    <w:basedOn w:val="CommentText"/>
    <w:next w:val="CommentText"/>
    <w:link w:val="CommentSubjectChar"/>
    <w:rsid w:val="0071005B"/>
    <w:rPr>
      <w:b/>
      <w:bCs/>
    </w:rPr>
  </w:style>
  <w:style w:type="character" w:customStyle="1" w:styleId="CommentSubjectChar">
    <w:name w:val="Comment Subject Char"/>
    <w:basedOn w:val="CommentTextChar"/>
    <w:link w:val="CommentSubject"/>
    <w:rsid w:val="0071005B"/>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573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16557</Words>
  <Characters>108307</Characters>
  <Application>Microsoft Office Word</Application>
  <DocSecurity>0</DocSecurity>
  <Lines>902</Lines>
  <Paragraphs>249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2026-04-29T15:06:00Z</dcterms:created>
  <dcterms:modified xsi:type="dcterms:W3CDTF">2026-04-29T15:06:00Z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A10-0050/2026</vt:lpwstr>
  </property>
  <property fmtid="{D5CDD505-2E9C-101B-9397-08002B2CF9AE}" pid="4" name="&lt;Type&gt;">
    <vt:lpwstr>RR</vt:lpwstr>
  </property>
</Properties>
</file>