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xml" ContentType="application/vnd.openxmlformats-officedocument.wordprocessingml.head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2FCB" w14:paraId="48EE72DD" w14:textId="77777777" w:rsidTr="0010095E">
        <w:trPr>
          <w:trHeight w:hRule="exact" w:val="1418"/>
        </w:trPr>
        <w:tc>
          <w:tcPr>
            <w:tcW w:w="6804" w:type="dxa"/>
            <w:shd w:val="clear" w:color="auto" w:fill="auto"/>
            <w:vAlign w:val="center"/>
          </w:tcPr>
          <w:p w14:paraId="5E288A8E" w14:textId="5CC78308" w:rsidR="00751A4A" w:rsidRPr="00192FCB" w:rsidRDefault="00C96CC7" w:rsidP="0010095E">
            <w:pPr>
              <w:pStyle w:val="EPName"/>
            </w:pPr>
            <w:r w:rsidRPr="00192FCB">
              <w:t>Европейски</w:t>
            </w:r>
            <w:r w:rsidR="00897CEE" w:rsidRPr="00192FCB">
              <w:t xml:space="preserve"> парламент</w:t>
            </w:r>
          </w:p>
          <w:p w14:paraId="545862AB" w14:textId="15734392" w:rsidR="00751A4A" w:rsidRPr="00192FCB" w:rsidRDefault="005F1B17" w:rsidP="005F1B17">
            <w:pPr>
              <w:pStyle w:val="EPTerm"/>
              <w:rPr>
                <w:rStyle w:val="HideTWBExt"/>
                <w:noProof w:val="0"/>
                <w:vanish w:val="0"/>
                <w:color w:val="auto"/>
              </w:rPr>
            </w:pPr>
            <w:r w:rsidRPr="00192FCB">
              <w:t>2024</w:t>
            </w:r>
            <w:r w:rsidR="00C96CC7">
              <w:t> – </w:t>
            </w:r>
            <w:r w:rsidR="00817416" w:rsidRPr="00192FCB">
              <w:t>202</w:t>
            </w:r>
            <w:r w:rsidRPr="00192FCB">
              <w:t>9</w:t>
            </w:r>
          </w:p>
        </w:tc>
        <w:tc>
          <w:tcPr>
            <w:tcW w:w="2268" w:type="dxa"/>
            <w:shd w:val="clear" w:color="auto" w:fill="auto"/>
          </w:tcPr>
          <w:p w14:paraId="5DCE2857" w14:textId="77777777" w:rsidR="00751A4A" w:rsidRPr="00192FCB" w:rsidRDefault="00187494" w:rsidP="0010095E">
            <w:pPr>
              <w:pStyle w:val="EPLogo"/>
            </w:pPr>
            <w:r w:rsidRPr="00192FCB">
              <w:rPr>
                <w:noProof/>
                <w:lang w:eastAsia="ja-JP"/>
              </w:rPr>
              <w:drawing>
                <wp:inline distT="0" distB="0" distL="0" distR="0" wp14:anchorId="5B66ECF6" wp14:editId="169D73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B95947" w14:textId="77777777" w:rsidR="00D058B8" w:rsidRPr="00192FCB" w:rsidRDefault="00D058B8" w:rsidP="004C5D52">
      <w:pPr>
        <w:pStyle w:val="LineTop"/>
      </w:pPr>
    </w:p>
    <w:p w14:paraId="27A3068F" w14:textId="532736D1" w:rsidR="00680577" w:rsidRPr="00192FCB" w:rsidRDefault="00897CEE" w:rsidP="00680577">
      <w:pPr>
        <w:pStyle w:val="EPBodyTA1"/>
      </w:pPr>
      <w:r w:rsidRPr="00192FCB">
        <w:t>ПРИЕТИ ТЕКСТОВЕ</w:t>
      </w:r>
    </w:p>
    <w:p w14:paraId="343F68E7" w14:textId="77777777" w:rsidR="00D058B8" w:rsidRPr="00192FCB" w:rsidRDefault="00D058B8" w:rsidP="00D058B8">
      <w:pPr>
        <w:pStyle w:val="LineBottom"/>
      </w:pPr>
    </w:p>
    <w:p w14:paraId="356FA51A" w14:textId="419C70B8" w:rsidR="00897CEE" w:rsidRPr="00192FCB" w:rsidRDefault="00897CEE" w:rsidP="00897CEE">
      <w:pPr>
        <w:pStyle w:val="ATHeading1"/>
      </w:pPr>
      <w:bookmarkStart w:id="0" w:name="TANumber"/>
      <w:r w:rsidRPr="00192FCB">
        <w:t>P10_TA(2026)0</w:t>
      </w:r>
      <w:bookmarkEnd w:id="0"/>
      <w:r w:rsidR="00996229">
        <w:t>136</w:t>
      </w:r>
    </w:p>
    <w:p w14:paraId="1E55DFEE" w14:textId="091B02CA" w:rsidR="00897CEE" w:rsidRPr="00192FCB" w:rsidRDefault="005A4340" w:rsidP="00897CEE">
      <w:pPr>
        <w:pStyle w:val="ATHeading2"/>
      </w:pPr>
      <w:r w:rsidRPr="005A4340">
        <w:t>Освобождаване от отговорност във връзка с изпълнението на бюджета за 2024 г.: Агенции</w:t>
      </w:r>
    </w:p>
    <w:p w14:paraId="2AE79E44" w14:textId="77777777" w:rsidR="00897CEE" w:rsidRPr="00192FCB" w:rsidRDefault="00897CEE" w:rsidP="00897CEE">
      <w:pPr>
        <w:rPr>
          <w:i/>
          <w:vanish/>
        </w:rPr>
      </w:pPr>
      <w:r w:rsidRPr="00192FCB">
        <w:rPr>
          <w:i/>
        </w:rPr>
        <w:fldChar w:fldCharType="begin"/>
      </w:r>
      <w:r w:rsidRPr="00192FCB">
        <w:rPr>
          <w:i/>
        </w:rPr>
        <w:instrText xml:space="preserve"> TC"(</w:instrText>
      </w:r>
      <w:bookmarkStart w:id="1" w:name="DocNumber"/>
      <w:r w:rsidRPr="00192FCB">
        <w:rPr>
          <w:i/>
        </w:rPr>
        <w:instrText>A10-0087/2026</w:instrText>
      </w:r>
      <w:bookmarkEnd w:id="1"/>
      <w:r w:rsidRPr="00192FCB">
        <w:rPr>
          <w:i/>
        </w:rPr>
        <w:instrText xml:space="preserve"> - Докладчик: Моника </w:instrText>
      </w:r>
      <w:proofErr w:type="spellStart"/>
      <w:r w:rsidRPr="00192FCB">
        <w:rPr>
          <w:i/>
        </w:rPr>
        <w:instrText>Холмайер</w:instrText>
      </w:r>
      <w:proofErr w:type="spellEnd"/>
      <w:r w:rsidRPr="00192FCB">
        <w:rPr>
          <w:i/>
        </w:rPr>
        <w:instrText xml:space="preserve">)"\l3 \n&gt; \* MERGEFORMAT </w:instrText>
      </w:r>
      <w:r w:rsidRPr="00192FCB">
        <w:rPr>
          <w:i/>
        </w:rPr>
        <w:fldChar w:fldCharType="end"/>
      </w:r>
    </w:p>
    <w:p w14:paraId="75C96E4C" w14:textId="77777777" w:rsidR="00897CEE" w:rsidRPr="00192FCB" w:rsidRDefault="00897CEE" w:rsidP="00897CEE">
      <w:pPr>
        <w:rPr>
          <w:vanish/>
        </w:rPr>
      </w:pPr>
      <w:bookmarkStart w:id="2" w:name="Commission"/>
      <w:r w:rsidRPr="00192FCB">
        <w:rPr>
          <w:vanish/>
        </w:rPr>
        <w:t>Комисия по бюджетен контрол</w:t>
      </w:r>
      <w:bookmarkEnd w:id="2"/>
    </w:p>
    <w:p w14:paraId="0CD46E7E" w14:textId="77777777" w:rsidR="00897CEE" w:rsidRPr="00192FCB" w:rsidRDefault="00897CEE" w:rsidP="00897CEE">
      <w:pPr>
        <w:rPr>
          <w:vanish/>
        </w:rPr>
      </w:pPr>
      <w:bookmarkStart w:id="3" w:name="PE"/>
      <w:r w:rsidRPr="00192FCB">
        <w:rPr>
          <w:vanish/>
        </w:rPr>
        <w:t>PE776.806</w:t>
      </w:r>
      <w:bookmarkEnd w:id="3"/>
    </w:p>
    <w:p w14:paraId="1B5016D9" w14:textId="2B2EE67D" w:rsidR="00897CEE" w:rsidRPr="00192FCB" w:rsidRDefault="00897CEE" w:rsidP="00897CEE">
      <w:pPr>
        <w:pStyle w:val="ATHeading3"/>
      </w:pPr>
      <w:bookmarkStart w:id="4" w:name="Sujet"/>
      <w:r w:rsidRPr="00192FCB">
        <w:t xml:space="preserve">1. Решение на Европейския парламент от </w:t>
      </w:r>
      <w:r w:rsidR="00C96CC7">
        <w:t>29 април</w:t>
      </w:r>
      <w:r w:rsidRPr="00192FCB">
        <w:t xml:space="preserve"> 2026 г. относно освобождаването от отговорност във връзка с изпълнението на бюджета на </w:t>
      </w:r>
      <w:r w:rsidR="00C96CC7" w:rsidRPr="00192FCB">
        <w:t xml:space="preserve">Агенцията на Европейския съюз за сътрудничество между регулаторите на енергия </w:t>
      </w:r>
      <w:r w:rsidRPr="00192FCB">
        <w:t>за финансовата 2024 година</w:t>
      </w:r>
      <w:bookmarkEnd w:id="4"/>
      <w:r w:rsidRPr="00192FCB">
        <w:t xml:space="preserve"> </w:t>
      </w:r>
      <w:bookmarkStart w:id="5" w:name="References"/>
      <w:r w:rsidRPr="00192FCB">
        <w:t>(2025/2156(DEC))</w:t>
      </w:r>
      <w:bookmarkEnd w:id="5"/>
    </w:p>
    <w:p w14:paraId="6FB97239" w14:textId="77777777" w:rsidR="00443B04" w:rsidRPr="00192FCB" w:rsidRDefault="00443B04" w:rsidP="00443B04">
      <w:pPr>
        <w:pStyle w:val="EPComma"/>
      </w:pPr>
      <w:r w:rsidRPr="00192FCB">
        <w:rPr>
          <w:i/>
          <w:iCs/>
        </w:rPr>
        <w:t>Европейският парламент</w:t>
      </w:r>
      <w:r w:rsidRPr="00192FCB">
        <w:t>,</w:t>
      </w:r>
    </w:p>
    <w:p w14:paraId="385FE5A0"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за сътрудничество между регулаторите на енергия за финансовата 2024 година,</w:t>
      </w:r>
    </w:p>
    <w:p w14:paraId="51F8FAC6"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
      </w:r>
      <w:r w:rsidRPr="00192FCB">
        <w:t>,</w:t>
      </w:r>
    </w:p>
    <w:p w14:paraId="57B95AFD"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7CE48CAD"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66F5B0D9"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7A8E532A" w14:textId="77777777" w:rsidR="00443B04" w:rsidRPr="00192FCB" w:rsidRDefault="00443B04" w:rsidP="00443B04">
      <w:pPr>
        <w:pStyle w:val="NormalHanging12a"/>
      </w:pPr>
      <w:r w:rsidRPr="00192FCB">
        <w:t>–</w:t>
      </w:r>
      <w:r w:rsidRPr="00192FCB">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w:t>
      </w:r>
      <w:r w:rsidRPr="00192FCB">
        <w:lastRenderedPageBreak/>
        <w:t>отмяна на Регламент (ЕС, Евратом) № 966/2012</w:t>
      </w:r>
      <w:r w:rsidRPr="00192FCB">
        <w:rPr>
          <w:rStyle w:val="FootnoteReference"/>
        </w:rPr>
        <w:footnoteReference w:id="3"/>
      </w:r>
      <w:r w:rsidRPr="00192FCB">
        <w:t>, и по-специално член 70 от него,</w:t>
      </w:r>
    </w:p>
    <w:p w14:paraId="41196666" w14:textId="7498C955" w:rsidR="00443B04" w:rsidRPr="00192FCB" w:rsidRDefault="00443B04" w:rsidP="00443B04">
      <w:pPr>
        <w:pStyle w:val="NormalHanging12a"/>
      </w:pPr>
      <w:r w:rsidRPr="00192FCB">
        <w:t>–</w:t>
      </w:r>
      <w:r w:rsidRPr="00192FC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4"/>
      </w:r>
      <w:r w:rsidRPr="00192FCB">
        <w:t>, и по-специално член 70 от него,</w:t>
      </w:r>
    </w:p>
    <w:p w14:paraId="067A1F84" w14:textId="77777777" w:rsidR="00443B04" w:rsidRPr="00192FCB" w:rsidRDefault="00443B04" w:rsidP="00443B04">
      <w:pPr>
        <w:pStyle w:val="NormalHanging12a"/>
      </w:pPr>
      <w:r w:rsidRPr="00192FCB">
        <w:t>–</w:t>
      </w:r>
      <w:r w:rsidRPr="00192FCB">
        <w:tab/>
        <w:t>като взе предвид Регламент (ЕС) 2019/942 на Европейския парламент и на Съвета от 5 юни 2019 г. за създаване на Агенция на Европейския съюз за сътрудничество между регулаторите на енергия</w:t>
      </w:r>
      <w:r w:rsidRPr="00192FCB">
        <w:rPr>
          <w:rStyle w:val="FootnoteReference"/>
        </w:rPr>
        <w:footnoteReference w:id="5"/>
      </w:r>
      <w:r w:rsidRPr="00192FCB">
        <w:t>, и по-специално член 35 от него,</w:t>
      </w:r>
    </w:p>
    <w:p w14:paraId="1617B0DF"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6"/>
      </w:r>
      <w:r w:rsidRPr="00192FCB">
        <w:t>, и по-специално член 105 от него,</w:t>
      </w:r>
    </w:p>
    <w:p w14:paraId="25E90B0B"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78596907"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191F2F0D"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5C5CC2CA" w14:textId="77777777" w:rsidR="00443B04" w:rsidRPr="00192FCB" w:rsidRDefault="00443B04" w:rsidP="00443B04">
      <w:pPr>
        <w:pStyle w:val="NormalHanging12a"/>
      </w:pPr>
      <w:r w:rsidRPr="00192FCB">
        <w:t>1.</w:t>
      </w:r>
      <w:r w:rsidRPr="00192FCB">
        <w:tab/>
        <w:t>освобождава от отговорност временно изпълняващия длъжността директор на Агенцията на Европейския съюз за сътрудничество между регулаторите на енергия във връзка с изпълнението на бюджета на Агенцията за финансовата 2024 година;</w:t>
      </w:r>
    </w:p>
    <w:p w14:paraId="6DA99AA5"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1E9E8EED"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временно изпълняващия длъжността директор на Агенцията на Европейския съюз за сътрудничество между регулаторите на енергия, на Съвета, Комисията и Сметната палата и да осигури публикуването им в </w:t>
      </w:r>
      <w:r w:rsidRPr="00192FCB">
        <w:rPr>
          <w:i/>
          <w:iCs/>
        </w:rPr>
        <w:t>Официален вестник на Европейския съюз</w:t>
      </w:r>
      <w:r w:rsidRPr="00192FCB">
        <w:t xml:space="preserve"> (серия L).</w:t>
      </w:r>
    </w:p>
    <w:p w14:paraId="43DDCBA0" w14:textId="77777777" w:rsidR="00443B04" w:rsidRPr="00192FCB" w:rsidRDefault="00443B04" w:rsidP="00443B04"/>
    <w:p w14:paraId="2ED99570" w14:textId="77777777" w:rsidR="00443B04" w:rsidRPr="00192FCB" w:rsidRDefault="00443B04" w:rsidP="00443B04">
      <w:pPr>
        <w:pStyle w:val="PageHeadingDec"/>
        <w:sectPr w:rsidR="00443B04" w:rsidRPr="00192FCB" w:rsidSect="00192FCB">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1D9A833" w14:textId="77777777" w:rsidR="005F53B9" w:rsidRDefault="005F53B9" w:rsidP="005F53B9">
      <w:pPr>
        <w:pStyle w:val="ATHeading3"/>
      </w:pPr>
      <w:r>
        <w:lastRenderedPageBreak/>
        <w:t>2. Решение на Европейския парламент от 29 април 2026 г. относно приключването на сметките на Агенцията на Европейския съюз за сътрудничество между регулаторите на енергия за финансовата 2024 година (2025/2156(DEC))</w:t>
      </w:r>
    </w:p>
    <w:p w14:paraId="47382E58" w14:textId="77777777" w:rsidR="00443B04" w:rsidRPr="00192FCB" w:rsidRDefault="00443B04" w:rsidP="00443B04">
      <w:pPr>
        <w:pStyle w:val="EPComma"/>
      </w:pPr>
      <w:r w:rsidRPr="00192FCB">
        <w:rPr>
          <w:i/>
          <w:iCs/>
        </w:rPr>
        <w:t>Европейският парламент</w:t>
      </w:r>
      <w:r w:rsidRPr="00192FCB">
        <w:t>,</w:t>
      </w:r>
    </w:p>
    <w:p w14:paraId="5156BB3D"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за сътрудничество между регулаторите на енергия за финансовата 2024 година,</w:t>
      </w:r>
    </w:p>
    <w:p w14:paraId="0759E1C4"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7"/>
      </w:r>
      <w:r w:rsidRPr="00192FCB">
        <w:t>,</w:t>
      </w:r>
    </w:p>
    <w:p w14:paraId="1E36BE13"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8"/>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5269646"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245FDE30"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0CDB9A5A"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9"/>
      </w:r>
      <w:r w:rsidRPr="00192FCB">
        <w:t>, и по-специално член 70 от него,</w:t>
      </w:r>
    </w:p>
    <w:p w14:paraId="5FBD2A09" w14:textId="410C778A" w:rsidR="00443B04" w:rsidRPr="00192FCB" w:rsidRDefault="00443B04" w:rsidP="00443B04">
      <w:pPr>
        <w:pStyle w:val="NormalHanging12a"/>
      </w:pPr>
      <w:r w:rsidRPr="00192FCB">
        <w:t>–</w:t>
      </w:r>
      <w:r w:rsidRPr="00192FC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0"/>
      </w:r>
      <w:r w:rsidRPr="00192FCB">
        <w:t>, и по-специално член 70 от него,</w:t>
      </w:r>
    </w:p>
    <w:p w14:paraId="77029613" w14:textId="77777777" w:rsidR="00443B04" w:rsidRPr="00192FCB" w:rsidRDefault="00443B04" w:rsidP="00443B04">
      <w:pPr>
        <w:pStyle w:val="NormalHanging12a"/>
      </w:pPr>
      <w:r w:rsidRPr="00192FCB">
        <w:t>–</w:t>
      </w:r>
      <w:r w:rsidRPr="00192FCB">
        <w:tab/>
        <w:t>като взе предвид Регламент (ЕС) 2019/942 на Европейския парламент и на Съвета от 5 юни 2019 г. за създаване на Агенция на Европейския съюз за сътрудничество между регулаторите на енергия</w:t>
      </w:r>
      <w:r w:rsidRPr="00192FCB">
        <w:rPr>
          <w:rStyle w:val="FootnoteReference"/>
        </w:rPr>
        <w:footnoteReference w:id="11"/>
      </w:r>
      <w:r w:rsidRPr="00192FCB">
        <w:t>, и по-специално член 35 от него,</w:t>
      </w:r>
    </w:p>
    <w:p w14:paraId="39444BF1"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12"/>
      </w:r>
      <w:r w:rsidRPr="00192FCB">
        <w:t>, и по-специално член 105 от него,</w:t>
      </w:r>
    </w:p>
    <w:p w14:paraId="0C222BE7"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15FAFE1C"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58F32CB2"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04068F2C" w14:textId="77777777" w:rsidR="00443B04" w:rsidRPr="00192FCB" w:rsidRDefault="00443B04" w:rsidP="00443B04">
      <w:pPr>
        <w:pStyle w:val="NormalHanging12a"/>
      </w:pPr>
      <w:r w:rsidRPr="00192FCB">
        <w:t>1.</w:t>
      </w:r>
      <w:r w:rsidRPr="00192FCB">
        <w:tab/>
        <w:t>одобрява приключването на сметките на Агенцията на Европейския съюз за сътрудничество между регулаторите на енергия за финансовата 2024 година;</w:t>
      </w:r>
    </w:p>
    <w:p w14:paraId="0AAF2AAF"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временно изпълняващия длъжността директор на Агенцията на Европейския съюз за сътрудничество между регулаторите на енергия,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7D0528AD" w14:textId="77777777" w:rsidR="00443B04" w:rsidRPr="00192FCB" w:rsidRDefault="00443B04" w:rsidP="00443B04"/>
    <w:p w14:paraId="49F68263" w14:textId="5F2CAA82" w:rsidR="00443B04" w:rsidRPr="00192FCB" w:rsidRDefault="00443B04" w:rsidP="00443B04">
      <w:pPr>
        <w:pStyle w:val="PageHeadingDec"/>
      </w:pPr>
    </w:p>
    <w:p w14:paraId="10F4EE74" w14:textId="77777777" w:rsidR="00443B04" w:rsidRPr="00192FCB" w:rsidRDefault="00443B04" w:rsidP="00443B04">
      <w:pPr>
        <w:pStyle w:val="PageHeadingDec"/>
        <w:sectPr w:rsidR="00443B04" w:rsidRPr="00192FCB" w:rsidSect="00192FCB">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94D3466" w14:textId="77777777" w:rsidR="005F53B9" w:rsidRDefault="005F53B9" w:rsidP="005F53B9">
      <w:pPr>
        <w:pStyle w:val="ATHeading3"/>
      </w:pPr>
      <w:r>
        <w:lastRenderedPageBreak/>
        <w:t>3. Решение на Европейския парламент от 29 април 2026 г. относно освобождаването от отговорност във връзка с изпълнението на бюджета на Агенцията за подкрепа на ОЕРЕС за финансовата 2024 година (2025/2156(DEC))</w:t>
      </w:r>
    </w:p>
    <w:p w14:paraId="0E0D3AC2" w14:textId="77777777" w:rsidR="00443B04" w:rsidRPr="00192FCB" w:rsidRDefault="00443B04" w:rsidP="00443B04">
      <w:pPr>
        <w:pStyle w:val="EPComma"/>
      </w:pPr>
      <w:r w:rsidRPr="00192FCB">
        <w:rPr>
          <w:i/>
          <w:iCs/>
        </w:rPr>
        <w:t>Европейският парламент</w:t>
      </w:r>
      <w:r w:rsidRPr="00192FCB">
        <w:t>,</w:t>
      </w:r>
    </w:p>
    <w:p w14:paraId="2C93E4EB"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за подкрепа на ОЕРЕС за финансовата 2024 година,</w:t>
      </w:r>
    </w:p>
    <w:p w14:paraId="40C1C6F0"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3"/>
      </w:r>
      <w:r w:rsidRPr="00192FCB">
        <w:t>,</w:t>
      </w:r>
    </w:p>
    <w:p w14:paraId="64F9CE89"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14"/>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5E754671"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541C53BC"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5DC548B5"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15"/>
      </w:r>
      <w:r w:rsidRPr="00192FCB">
        <w:t>, и по-специално член 70 от него,</w:t>
      </w:r>
    </w:p>
    <w:p w14:paraId="748339CB" w14:textId="1652C047" w:rsidR="00443B04" w:rsidRPr="00192FCB" w:rsidRDefault="00443B04" w:rsidP="00443B04">
      <w:pPr>
        <w:pStyle w:val="NormalHanging12a"/>
      </w:pPr>
      <w:r w:rsidRPr="00192FCB">
        <w:t>–</w:t>
      </w:r>
      <w:r w:rsidRPr="00192FC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6"/>
      </w:r>
      <w:r w:rsidRPr="00192FCB">
        <w:t>, и по-специално член 70 от него,</w:t>
      </w:r>
    </w:p>
    <w:p w14:paraId="694D0C1E" w14:textId="77777777" w:rsidR="00443B04" w:rsidRPr="00192FCB" w:rsidRDefault="00443B04" w:rsidP="00443B04">
      <w:pPr>
        <w:pStyle w:val="NormalHanging12a"/>
      </w:pPr>
      <w:r w:rsidRPr="00192FCB">
        <w:t>–</w:t>
      </w:r>
      <w:r w:rsidRPr="00192FCB">
        <w:tab/>
        <w:t>като взе предвид Регламент (ЕС) 2018/1971 на Европейския парламент и на Съвета от 11 декември 2018 г. за създаване на Орган на европейските регулатори в областта на електронните съобщения (ОЕРЕС) и на Агенция за подкрепа на ОЕРЕС (Службата на ОЕРЕС), за изменение на Регламент (ЕС) 2015/2120 и за отмяна на Регламент (ЕО) № 1211/2009</w:t>
      </w:r>
      <w:r w:rsidRPr="00192FCB">
        <w:rPr>
          <w:rStyle w:val="FootnoteReference"/>
        </w:rPr>
        <w:footnoteReference w:id="17"/>
      </w:r>
      <w:r w:rsidRPr="00192FCB">
        <w:t>, и по-специално член 28 от него,</w:t>
      </w:r>
    </w:p>
    <w:p w14:paraId="4BD6BFFA"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18"/>
      </w:r>
      <w:r w:rsidRPr="00192FCB">
        <w:t xml:space="preserve">, и по-специално член </w:t>
      </w:r>
      <w:r w:rsidRPr="00192FCB">
        <w:lastRenderedPageBreak/>
        <w:t>105 от него,</w:t>
      </w:r>
    </w:p>
    <w:p w14:paraId="088FB4F0"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0C1D09DF"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511069B5"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7DB41958" w14:textId="77777777" w:rsidR="00443B04" w:rsidRPr="00192FCB" w:rsidRDefault="00443B04" w:rsidP="00443B04">
      <w:pPr>
        <w:pStyle w:val="NormalHanging12a"/>
      </w:pPr>
      <w:r w:rsidRPr="00192FCB">
        <w:t>1.</w:t>
      </w:r>
      <w:r w:rsidRPr="00192FCB">
        <w:tab/>
        <w:t>освобождава от отговорност директора на Агенцията за подкрепа на ОЕРЕС във връзка с изпълнението на бюджета на Агенцията за финансовата 2024 година;</w:t>
      </w:r>
    </w:p>
    <w:p w14:paraId="013D47F3"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26FDD5DF"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директора на Агенцията за подкрепа на ОЕРЕС,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7302A660" w14:textId="77777777" w:rsidR="00443B04" w:rsidRPr="00192FCB" w:rsidRDefault="00443B04" w:rsidP="00443B04"/>
    <w:p w14:paraId="47B59877" w14:textId="77777777" w:rsidR="00443B04" w:rsidRPr="00192FCB" w:rsidRDefault="00443B04" w:rsidP="00443B04">
      <w:pPr>
        <w:pStyle w:val="PageHeadingDec"/>
        <w:sectPr w:rsidR="00443B04" w:rsidRPr="00192FCB" w:rsidSect="00192FCB">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58BDAA" w14:textId="77777777" w:rsidR="005F53B9" w:rsidRDefault="005F53B9" w:rsidP="005F53B9">
      <w:pPr>
        <w:pStyle w:val="ATHeading3"/>
      </w:pPr>
      <w:r>
        <w:lastRenderedPageBreak/>
        <w:t>4. Решение на Европейския парламент от 29 април 2026 г. относно приключването на сметките на Агенцията за подкрепа на ОЕРЕС за финансовата 2024 година (2025/2156(DEC))</w:t>
      </w:r>
    </w:p>
    <w:p w14:paraId="15F7079E" w14:textId="77777777" w:rsidR="00443B04" w:rsidRPr="00192FCB" w:rsidRDefault="00443B04" w:rsidP="00443B04">
      <w:pPr>
        <w:pStyle w:val="EPComma"/>
      </w:pPr>
      <w:r w:rsidRPr="00192FCB">
        <w:rPr>
          <w:i/>
          <w:iCs/>
        </w:rPr>
        <w:t>Европейският парламент</w:t>
      </w:r>
      <w:r w:rsidRPr="00192FCB">
        <w:t>,</w:t>
      </w:r>
    </w:p>
    <w:p w14:paraId="40EBFCCF"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за подкрепа на ОЕРЕС за финансовата 2024 година,</w:t>
      </w:r>
    </w:p>
    <w:p w14:paraId="384E64D2"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9"/>
      </w:r>
      <w:r w:rsidRPr="00192FCB">
        <w:t>,</w:t>
      </w:r>
    </w:p>
    <w:p w14:paraId="327E9B0A"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0"/>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E0EA4CD"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52D521F7"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5584E43C"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1"/>
      </w:r>
      <w:r w:rsidRPr="00192FCB">
        <w:t>, и по-специално член 70 от него,</w:t>
      </w:r>
    </w:p>
    <w:p w14:paraId="6634B407" w14:textId="7FA720C8" w:rsidR="00443B04" w:rsidRPr="00192FCB" w:rsidRDefault="00443B04" w:rsidP="00443B04">
      <w:pPr>
        <w:pStyle w:val="NormalHanging12a"/>
      </w:pPr>
      <w:r w:rsidRPr="00192FCB">
        <w:t>–</w:t>
      </w:r>
      <w:r w:rsidRPr="00192FC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2"/>
      </w:r>
      <w:r w:rsidRPr="00192FCB">
        <w:t>, и по-специално член 70 от него,</w:t>
      </w:r>
    </w:p>
    <w:p w14:paraId="0EEB4F68" w14:textId="77777777" w:rsidR="00443B04" w:rsidRPr="00192FCB" w:rsidRDefault="00443B04" w:rsidP="00443B04">
      <w:pPr>
        <w:pStyle w:val="NormalHanging12a"/>
      </w:pPr>
      <w:r w:rsidRPr="00192FCB">
        <w:t>–</w:t>
      </w:r>
      <w:r w:rsidRPr="00192FCB">
        <w:tab/>
        <w:t>като взе предвид Регламент (ЕС) 2018/1971 на Европейския парламент и на Съвета от 11 декември 2018 г. за създаване на Орган на европейските регулатори в областта на електронните съобщения (ОЕРЕС) и на Агенция за подкрепа на ОЕРЕС (Службата на ОЕРЕС), за изменение на Регламент (ЕС) 2015/2120 и за отмяна на Регламент (ЕО) № 1211/2009</w:t>
      </w:r>
      <w:r w:rsidRPr="00192FCB">
        <w:rPr>
          <w:rStyle w:val="FootnoteReference"/>
        </w:rPr>
        <w:footnoteReference w:id="23"/>
      </w:r>
      <w:r w:rsidRPr="00192FCB">
        <w:t>, и по-специално член 28 от него,</w:t>
      </w:r>
    </w:p>
    <w:p w14:paraId="7451FA9B"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24"/>
      </w:r>
      <w:r w:rsidRPr="00192FCB">
        <w:t xml:space="preserve">, и по-специално член </w:t>
      </w:r>
      <w:r w:rsidRPr="00192FCB">
        <w:lastRenderedPageBreak/>
        <w:t>105 от него,</w:t>
      </w:r>
    </w:p>
    <w:p w14:paraId="0808047F"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36A13D1A"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62B1D46D"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5B2F4C76" w14:textId="77777777" w:rsidR="00443B04" w:rsidRPr="00192FCB" w:rsidRDefault="00443B04" w:rsidP="00443B04">
      <w:pPr>
        <w:pStyle w:val="NormalHanging12a"/>
      </w:pPr>
      <w:r w:rsidRPr="00192FCB">
        <w:t>1.</w:t>
      </w:r>
      <w:r w:rsidRPr="00192FCB">
        <w:tab/>
        <w:t>одобрява приключването на сметките на Агенцията за подкрепа на ОЕРЕС за финансовата 2024 година;</w:t>
      </w:r>
    </w:p>
    <w:p w14:paraId="4095362A"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директора на Агенцията за подкрепа на ОЕРЕС,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374BC74B" w14:textId="77777777" w:rsidR="00443B04" w:rsidRPr="00192FCB" w:rsidRDefault="00443B04" w:rsidP="00443B04"/>
    <w:p w14:paraId="71296082" w14:textId="77777777" w:rsidR="00443B04" w:rsidRPr="00192FCB" w:rsidRDefault="00443B04" w:rsidP="00443B04"/>
    <w:p w14:paraId="5B685A61" w14:textId="5CA02886" w:rsidR="00443B04" w:rsidRPr="00192FCB" w:rsidRDefault="00443B04" w:rsidP="00443B04">
      <w:pPr>
        <w:pStyle w:val="PageHeadingDec"/>
      </w:pPr>
    </w:p>
    <w:p w14:paraId="4D601E85" w14:textId="77777777" w:rsidR="00443B04" w:rsidRPr="00192FCB" w:rsidRDefault="00443B04" w:rsidP="00443B04">
      <w:pPr>
        <w:pStyle w:val="PageHeadingDec"/>
        <w:sectPr w:rsidR="00443B04" w:rsidRPr="00192FCB" w:rsidSect="00192FCB">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92C41FF" w14:textId="77777777" w:rsidR="005F53B9" w:rsidRDefault="005F53B9" w:rsidP="005F53B9">
      <w:pPr>
        <w:pStyle w:val="ATHeading3"/>
      </w:pPr>
      <w:r>
        <w:lastRenderedPageBreak/>
        <w:t>5. Решение на Европейския парламент от 29 април 2026 г. относно освобождаването от отговорност във връзка с изпълнението на бюджета на Центъра за преводи за органите на Европейския съюз за финансовата 2024 година (2025/2156(DEC))</w:t>
      </w:r>
    </w:p>
    <w:p w14:paraId="43ED7064" w14:textId="77777777" w:rsidR="00443B04" w:rsidRPr="00192FCB" w:rsidRDefault="00443B04" w:rsidP="00443B04">
      <w:pPr>
        <w:pStyle w:val="EPComma"/>
      </w:pPr>
      <w:r w:rsidRPr="00192FCB">
        <w:rPr>
          <w:i/>
          <w:iCs/>
        </w:rPr>
        <w:t>Европейският парламент</w:t>
      </w:r>
      <w:r w:rsidRPr="00192FCB">
        <w:t>,</w:t>
      </w:r>
    </w:p>
    <w:p w14:paraId="06FD80A0" w14:textId="77777777" w:rsidR="00443B04" w:rsidRPr="00192FCB" w:rsidRDefault="00443B04" w:rsidP="00443B04">
      <w:pPr>
        <w:pStyle w:val="NormalHanging12a"/>
      </w:pPr>
      <w:r w:rsidRPr="00192FCB">
        <w:t>–</w:t>
      </w:r>
      <w:r w:rsidRPr="00192FCB">
        <w:tab/>
        <w:t>като взе предвид окончателните годишни отчети на Центъра за преводи за органите на Европейския съюз за финансовата 2024 година,</w:t>
      </w:r>
    </w:p>
    <w:p w14:paraId="463C3ADD"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25"/>
      </w:r>
      <w:r w:rsidRPr="00192FCB">
        <w:t>,</w:t>
      </w:r>
    </w:p>
    <w:p w14:paraId="0FAB07BB"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6"/>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2F544370"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Центъра във връзка с изпълнението на бюджета за финансовата 2024 година (05750/2026 – C10-0148/2026),</w:t>
      </w:r>
    </w:p>
    <w:p w14:paraId="4EABE37F"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334367BD"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7"/>
      </w:r>
      <w:r w:rsidRPr="00192FCB">
        <w:t>, и по-специално член 70 от него,</w:t>
      </w:r>
    </w:p>
    <w:p w14:paraId="3BEF8704" w14:textId="49A19350" w:rsidR="00443B04" w:rsidRPr="00192FCB" w:rsidRDefault="00443B04" w:rsidP="00443B04">
      <w:pPr>
        <w:pStyle w:val="NormalHanging12a"/>
      </w:pPr>
      <w:r w:rsidRPr="00192FCB">
        <w:t>–</w:t>
      </w:r>
      <w:r w:rsidRPr="00192FC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8"/>
      </w:r>
      <w:r w:rsidRPr="00192FCB">
        <w:t>, и по-специално член 70 от него,</w:t>
      </w:r>
    </w:p>
    <w:p w14:paraId="6F1B779F" w14:textId="77777777" w:rsidR="00443B04" w:rsidRPr="00192FCB" w:rsidRDefault="00443B04" w:rsidP="00443B04">
      <w:pPr>
        <w:pStyle w:val="NormalHanging12a"/>
      </w:pPr>
      <w:r w:rsidRPr="00192FCB">
        <w:t>–</w:t>
      </w:r>
      <w:r w:rsidRPr="00192FCB">
        <w:tab/>
        <w:t>като взе предвид Регламент (ЕО) № 2965/94 на Съвета от 28 ноември 1994 г. относно създаване на Център за преводи за органите на Европейския съюз</w:t>
      </w:r>
      <w:r w:rsidRPr="00192FCB">
        <w:rPr>
          <w:rStyle w:val="FootnoteReference"/>
        </w:rPr>
        <w:footnoteReference w:id="29"/>
      </w:r>
      <w:r w:rsidRPr="00192FCB">
        <w:t>, и по-специално член 14 от него,</w:t>
      </w:r>
    </w:p>
    <w:p w14:paraId="0BC9006E"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30"/>
      </w:r>
      <w:r w:rsidRPr="00192FCB">
        <w:t>, и по-специално член 105 от него,</w:t>
      </w:r>
    </w:p>
    <w:p w14:paraId="39224491"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72AD48E3"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7CD220FA"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2448020B" w14:textId="77777777" w:rsidR="00443B04" w:rsidRPr="00192FCB" w:rsidRDefault="00443B04" w:rsidP="00443B04">
      <w:pPr>
        <w:pStyle w:val="NormalHanging12a"/>
      </w:pPr>
      <w:r w:rsidRPr="00192FCB">
        <w:t>1.</w:t>
      </w:r>
      <w:r w:rsidRPr="00192FCB">
        <w:tab/>
        <w:t>освобождава от отговорност изпълняващия длъжността директор на Центъра за преводи за органите на Европейския съюз във връзка с изпълнението на бюджета на Центъра за финансовата 2024 година;</w:t>
      </w:r>
    </w:p>
    <w:p w14:paraId="79833722"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39E71D12"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изпълняващия длъжността директор на Центъра за преводи за органите на Европейския съюз,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72530FFB" w14:textId="77777777" w:rsidR="00443B04" w:rsidRPr="00192FCB" w:rsidRDefault="00443B04" w:rsidP="00443B04"/>
    <w:p w14:paraId="77990538" w14:textId="77777777" w:rsidR="00443B04" w:rsidRPr="00192FCB" w:rsidRDefault="00443B04" w:rsidP="00443B04">
      <w:pPr>
        <w:pStyle w:val="PageHeadingDec"/>
        <w:sectPr w:rsidR="00443B04" w:rsidRPr="00192FCB" w:rsidSect="00192FCB">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3ECA345" w14:textId="77777777" w:rsidR="005F53B9" w:rsidRDefault="005F53B9" w:rsidP="005F53B9">
      <w:pPr>
        <w:pStyle w:val="ATHeading3"/>
      </w:pPr>
      <w:r>
        <w:lastRenderedPageBreak/>
        <w:t>6. Решение на Европейския парламент от 29 април 2026 г. относно приключването на сметките на Центъра за преводи за органите на Европейския съюз за финансовата 2024 година (2025/2156(DEC))</w:t>
      </w:r>
    </w:p>
    <w:p w14:paraId="790434D6" w14:textId="77777777" w:rsidR="00443B04" w:rsidRPr="00192FCB" w:rsidRDefault="00443B04" w:rsidP="00443B04">
      <w:pPr>
        <w:pStyle w:val="EPComma"/>
      </w:pPr>
      <w:r w:rsidRPr="00192FCB">
        <w:rPr>
          <w:i/>
          <w:iCs/>
        </w:rPr>
        <w:t>Европейският парламент</w:t>
      </w:r>
      <w:r w:rsidRPr="00192FCB">
        <w:t>,</w:t>
      </w:r>
    </w:p>
    <w:p w14:paraId="316BE28A" w14:textId="77777777" w:rsidR="00443B04" w:rsidRPr="00192FCB" w:rsidRDefault="00443B04" w:rsidP="00443B04">
      <w:pPr>
        <w:pStyle w:val="NormalHanging12a"/>
      </w:pPr>
      <w:r w:rsidRPr="00192FCB">
        <w:t>–</w:t>
      </w:r>
      <w:r w:rsidRPr="00192FCB">
        <w:tab/>
        <w:t>като взе предвид окончателните годишни отчети на Центъра за преводи за органите на Европейския съюз за финансовата 2024 година,</w:t>
      </w:r>
    </w:p>
    <w:p w14:paraId="12DE9816"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1"/>
      </w:r>
      <w:r w:rsidRPr="00192FCB">
        <w:t>,</w:t>
      </w:r>
    </w:p>
    <w:p w14:paraId="007D3034"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2"/>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5DAEF4CF"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Центъра във връзка с изпълнението на бюджета за финансовата 2024 година (05750/2026 – C10-0148/2026),</w:t>
      </w:r>
    </w:p>
    <w:p w14:paraId="1BF292B4"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43F2B8BD"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3"/>
      </w:r>
      <w:r w:rsidRPr="00192FCB">
        <w:t>, и по-специално член 70 от него,</w:t>
      </w:r>
    </w:p>
    <w:p w14:paraId="51A61116" w14:textId="569D4B3D" w:rsidR="00443B04" w:rsidRPr="00192FCB" w:rsidRDefault="00443B04" w:rsidP="00443B04">
      <w:pPr>
        <w:pStyle w:val="NormalHanging12a"/>
      </w:pPr>
      <w:r w:rsidRPr="00192FCB">
        <w:t>–</w:t>
      </w:r>
      <w:r w:rsidRPr="00192FC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34"/>
      </w:r>
      <w:r w:rsidRPr="00192FCB">
        <w:t>, и по-специално член 70 от него,</w:t>
      </w:r>
    </w:p>
    <w:p w14:paraId="6AEA5E71" w14:textId="77777777" w:rsidR="00443B04" w:rsidRPr="00192FCB" w:rsidRDefault="00443B04" w:rsidP="00443B04">
      <w:pPr>
        <w:pStyle w:val="NormalHanging12a"/>
      </w:pPr>
      <w:r w:rsidRPr="00192FCB">
        <w:t>–</w:t>
      </w:r>
      <w:r w:rsidRPr="00192FCB">
        <w:tab/>
        <w:t>като взе предвид Регламент (ЕО) № 2965/94 на Съвета от 28 ноември 1994 г. относно създаване на Център за преводи за органите на Европейския съюз</w:t>
      </w:r>
      <w:r w:rsidRPr="00192FCB">
        <w:rPr>
          <w:rStyle w:val="FootnoteReference"/>
        </w:rPr>
        <w:footnoteReference w:id="35"/>
      </w:r>
      <w:r w:rsidRPr="00192FCB">
        <w:t>, и по-специално член 14 от него,</w:t>
      </w:r>
    </w:p>
    <w:p w14:paraId="3C361301"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36"/>
      </w:r>
      <w:r w:rsidRPr="00192FCB">
        <w:t>, и по-специално член 105 от него,</w:t>
      </w:r>
    </w:p>
    <w:p w14:paraId="0183F43E"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3E3DB10F"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5FBE71AD"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281BEE5D" w14:textId="77777777" w:rsidR="00443B04" w:rsidRPr="00192FCB" w:rsidRDefault="00443B04" w:rsidP="00443B04">
      <w:pPr>
        <w:pStyle w:val="NormalHanging12a"/>
      </w:pPr>
      <w:r w:rsidRPr="00192FCB">
        <w:t>1.</w:t>
      </w:r>
      <w:r w:rsidRPr="00192FCB">
        <w:tab/>
        <w:t>одобрява приключването на сметките на Центъра за преводи за органите на Европейския съюз за финансовата 2024 година;</w:t>
      </w:r>
    </w:p>
    <w:p w14:paraId="52942A92"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изпълняващия длъжността директор на Центъра за преводи за органите на Европейския съюз, на Комисията и на Сметната палата и да осигури публикуването му в </w:t>
      </w:r>
      <w:r w:rsidRPr="00192FCB">
        <w:rPr>
          <w:i/>
        </w:rPr>
        <w:t>Официален вестник на Европейския съюз</w:t>
      </w:r>
      <w:r w:rsidRPr="00192FCB">
        <w:t xml:space="preserve"> (серия L).</w:t>
      </w:r>
    </w:p>
    <w:p w14:paraId="1931F324" w14:textId="77777777" w:rsidR="00443B04" w:rsidRPr="00192FCB" w:rsidRDefault="00443B04" w:rsidP="00443B04"/>
    <w:p w14:paraId="2C496639" w14:textId="77777777" w:rsidR="00443B04" w:rsidRPr="00192FCB" w:rsidRDefault="00443B04" w:rsidP="00443B04"/>
    <w:p w14:paraId="16E370C0" w14:textId="2395CF52" w:rsidR="00443B04" w:rsidRPr="00192FCB" w:rsidRDefault="00443B04" w:rsidP="00443B04">
      <w:pPr>
        <w:pStyle w:val="PageHeadingDec"/>
      </w:pPr>
    </w:p>
    <w:p w14:paraId="2E6939A3" w14:textId="77777777" w:rsidR="00443B04" w:rsidRPr="00192FCB" w:rsidRDefault="00443B04" w:rsidP="00443B04">
      <w:pPr>
        <w:pStyle w:val="PageHeadingDec"/>
        <w:sectPr w:rsidR="00443B04" w:rsidRPr="00192FCB" w:rsidSect="00192FCB">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BE189CF" w14:textId="77777777" w:rsidR="005F53B9" w:rsidRDefault="005F53B9" w:rsidP="005F53B9">
      <w:pPr>
        <w:pStyle w:val="ATHeading3"/>
      </w:pPr>
      <w:r>
        <w:lastRenderedPageBreak/>
        <w:t>7. Решение на Европейския парламент от 29 април 2026 г. относно освобождаването от отговорност във връзка с изпълнението на бюджета на Европейския център за развитие на професионалното обучение за финансовата 2024 година (2025/2156(DEC))</w:t>
      </w:r>
    </w:p>
    <w:p w14:paraId="339D8ADC" w14:textId="77777777" w:rsidR="00443B04" w:rsidRPr="00192FCB" w:rsidRDefault="00443B04" w:rsidP="00443B04">
      <w:pPr>
        <w:pStyle w:val="EPComma"/>
      </w:pPr>
      <w:r w:rsidRPr="00192FCB">
        <w:rPr>
          <w:i/>
          <w:iCs/>
        </w:rPr>
        <w:t>Европейският парламент</w:t>
      </w:r>
      <w:r w:rsidRPr="00192FCB">
        <w:t>,</w:t>
      </w:r>
    </w:p>
    <w:p w14:paraId="3DE4F45C"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център за развитие на професионалното обучение за финансовата 2024 година,</w:t>
      </w:r>
    </w:p>
    <w:p w14:paraId="137F507B"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7"/>
      </w:r>
      <w:r w:rsidRPr="00192FCB">
        <w:t>,</w:t>
      </w:r>
    </w:p>
    <w:p w14:paraId="163F371C"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8"/>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1231D809"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Центъра във връзка с изпълнението на бюджета за финансовата 2024 година (05750/2026 – C10-0148/2026),</w:t>
      </w:r>
    </w:p>
    <w:p w14:paraId="1D3980DA"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4210EBC9"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9"/>
      </w:r>
      <w:r w:rsidRPr="00192FCB">
        <w:t>, и по-специално член 70 от него,</w:t>
      </w:r>
    </w:p>
    <w:p w14:paraId="1E324787" w14:textId="6B5C4191" w:rsidR="00443B04" w:rsidRPr="00192FCB" w:rsidRDefault="00443B04" w:rsidP="00443B04">
      <w:pPr>
        <w:pStyle w:val="NormalHanging12a"/>
      </w:pPr>
      <w:r w:rsidRPr="00192FCB">
        <w:t>–</w:t>
      </w:r>
      <w:r w:rsidRPr="00192FC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40"/>
      </w:r>
      <w:r w:rsidRPr="00192FCB">
        <w:t>, и по-специално член 70 от него,</w:t>
      </w:r>
    </w:p>
    <w:p w14:paraId="09EEC0CA" w14:textId="77777777" w:rsidR="00443B04" w:rsidRPr="00192FCB" w:rsidRDefault="00443B04" w:rsidP="00443B04">
      <w:pPr>
        <w:pStyle w:val="NormalHanging12a"/>
      </w:pPr>
      <w:r w:rsidRPr="00192FCB">
        <w:t>–</w:t>
      </w:r>
      <w:r w:rsidRPr="00192FCB">
        <w:tab/>
        <w:t>като взе предвид Регламент (ЕС) 2019/128 на Европейския парламент и на Съвета от 16 януари 2019 г. за създаване на Европейски център за развитие на професионалното обучение (</w:t>
      </w:r>
      <w:proofErr w:type="spellStart"/>
      <w:r w:rsidRPr="00192FCB">
        <w:t>Cedefop</w:t>
      </w:r>
      <w:proofErr w:type="spellEnd"/>
      <w:r w:rsidRPr="00192FCB">
        <w:t>) и за отмяна на Регламент (ЕИО) № 337/75</w:t>
      </w:r>
      <w:r w:rsidRPr="00192FCB">
        <w:rPr>
          <w:rStyle w:val="FootnoteReference"/>
        </w:rPr>
        <w:footnoteReference w:id="41"/>
      </w:r>
      <w:r w:rsidRPr="00192FCB">
        <w:t xml:space="preserve"> на Съвета, и по-специално член 15 от него,</w:t>
      </w:r>
    </w:p>
    <w:p w14:paraId="2766C872"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42"/>
      </w:r>
      <w:r w:rsidRPr="00192FCB">
        <w:t xml:space="preserve">, и по-специално член </w:t>
      </w:r>
      <w:r w:rsidRPr="00192FCB">
        <w:lastRenderedPageBreak/>
        <w:t>105 от него,</w:t>
      </w:r>
    </w:p>
    <w:p w14:paraId="2D2486B2"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6D5026DD"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36EFE213"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2BC0BB0F"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Европейския център за развитие на професионалното обучение във връзка с изпълнението на бюджета на Центъра за финансовата 2024 година;</w:t>
      </w:r>
    </w:p>
    <w:p w14:paraId="1BD50538"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5635F5DB" w14:textId="77777777" w:rsidR="00443B04" w:rsidRPr="00192FCB" w:rsidRDefault="00443B04" w:rsidP="00443B04">
      <w:pPr>
        <w:pStyle w:val="NormalHanging12a"/>
      </w:pPr>
      <w:r w:rsidRPr="00192FCB">
        <w:t>3.</w:t>
      </w:r>
      <w:r w:rsidRPr="00192FCB">
        <w:tab/>
        <w:t>възлага на своя председател да предаде настоящото решение, както и резолюцията, която е неразделна част от него, на изпълнителния директор на Европейския център за развитие на професионалното обучение (</w:t>
      </w:r>
      <w:proofErr w:type="spellStart"/>
      <w:r w:rsidRPr="00192FCB">
        <w:t>Cedefop</w:t>
      </w:r>
      <w:proofErr w:type="spellEnd"/>
      <w:r w:rsidRPr="00192FCB">
        <w:t xml:space="preserve">),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6F25BB75" w14:textId="77777777" w:rsidR="00443B04" w:rsidRPr="00192FCB" w:rsidRDefault="00443B04" w:rsidP="00443B04"/>
    <w:p w14:paraId="15955CBC" w14:textId="77777777" w:rsidR="00443B04" w:rsidRPr="00192FCB" w:rsidRDefault="00443B04" w:rsidP="00443B04">
      <w:pPr>
        <w:pStyle w:val="PageHeadingDec"/>
        <w:sectPr w:rsidR="00443B04" w:rsidRPr="00192FCB" w:rsidSect="00192FCB">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30976E" w14:textId="77777777" w:rsidR="005F53B9" w:rsidRDefault="005F53B9" w:rsidP="005F53B9">
      <w:pPr>
        <w:pStyle w:val="ATHeading3"/>
      </w:pPr>
      <w:r>
        <w:lastRenderedPageBreak/>
        <w:t>8. Решение на Европейския парламент от 29 април 2026 г. относно приключването на сметките на Европейския център за развитие на професионалното обучение за финансовата 2024 година (2025/2156(DEC))</w:t>
      </w:r>
    </w:p>
    <w:p w14:paraId="5CC24FD5" w14:textId="77777777" w:rsidR="00443B04" w:rsidRPr="00192FCB" w:rsidRDefault="00443B04" w:rsidP="00443B04">
      <w:pPr>
        <w:pStyle w:val="EPComma"/>
      </w:pPr>
      <w:r w:rsidRPr="00192FCB">
        <w:rPr>
          <w:i/>
          <w:iCs/>
        </w:rPr>
        <w:t>Европейският парламент</w:t>
      </w:r>
      <w:r w:rsidRPr="00192FCB">
        <w:t>,</w:t>
      </w:r>
    </w:p>
    <w:p w14:paraId="257D74A0"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център за развитие на професионалното обучение за финансовата 2024 година,</w:t>
      </w:r>
    </w:p>
    <w:p w14:paraId="58EFD439"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43"/>
      </w:r>
      <w:r w:rsidRPr="00192FCB">
        <w:t>,</w:t>
      </w:r>
    </w:p>
    <w:p w14:paraId="03AD6E18"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44"/>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2F654AF6"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Центъра във връзка с изпълнението на бюджета за финансовата 2024 година (05750/2026 – C10-0148/2026),</w:t>
      </w:r>
    </w:p>
    <w:p w14:paraId="5BF99AB4"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11B0D558"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45"/>
      </w:r>
      <w:r w:rsidRPr="00192FCB">
        <w:t>, и по-специално член 70 от него,</w:t>
      </w:r>
    </w:p>
    <w:p w14:paraId="47F53E4D" w14:textId="4D4C52C8" w:rsidR="00443B04" w:rsidRPr="00192FCB" w:rsidRDefault="00443B04" w:rsidP="00443B04">
      <w:pPr>
        <w:pStyle w:val="NormalHanging12a"/>
      </w:pPr>
      <w:r w:rsidRPr="00192FCB">
        <w:t>–</w:t>
      </w:r>
      <w:r w:rsidRPr="00192FC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46"/>
      </w:r>
      <w:r w:rsidRPr="00192FCB">
        <w:t>, и по-специално член 70 от него,</w:t>
      </w:r>
    </w:p>
    <w:p w14:paraId="2663E5B1" w14:textId="77777777" w:rsidR="00443B04" w:rsidRPr="00192FCB" w:rsidRDefault="00443B04" w:rsidP="00443B04">
      <w:pPr>
        <w:pStyle w:val="NormalHanging12a"/>
      </w:pPr>
      <w:r w:rsidRPr="00192FCB">
        <w:t>–</w:t>
      </w:r>
      <w:r w:rsidRPr="00192FCB">
        <w:tab/>
        <w:t>като взе предвид Регламент (ЕС) 2019/128 на Европейския парламент и на Съвета от 16 януари 2019 г. за създаване на Европейски център за развитие на професионалното обучение (</w:t>
      </w:r>
      <w:proofErr w:type="spellStart"/>
      <w:r w:rsidRPr="00192FCB">
        <w:t>Cedefop</w:t>
      </w:r>
      <w:proofErr w:type="spellEnd"/>
      <w:r w:rsidRPr="00192FCB">
        <w:t>) и за отмяна на Регламент (ЕИО) № 337/75</w:t>
      </w:r>
      <w:r w:rsidRPr="00192FCB">
        <w:rPr>
          <w:rStyle w:val="FootnoteReference"/>
        </w:rPr>
        <w:footnoteReference w:id="47"/>
      </w:r>
      <w:r w:rsidRPr="00192FCB">
        <w:t xml:space="preserve"> на Съвета, и по-специално член 15 от него,</w:t>
      </w:r>
    </w:p>
    <w:p w14:paraId="616F8958"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48"/>
      </w:r>
      <w:r w:rsidRPr="00192FCB">
        <w:t>, и по-специално член 105 от него,</w:t>
      </w:r>
    </w:p>
    <w:p w14:paraId="0EF4F134"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65D61182"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606A9C37"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74F7CAB6" w14:textId="77777777" w:rsidR="00443B04" w:rsidRPr="00192FCB" w:rsidRDefault="00443B04" w:rsidP="00443B04">
      <w:pPr>
        <w:pStyle w:val="NormalHanging12a"/>
      </w:pPr>
      <w:r w:rsidRPr="00192FCB">
        <w:t>1.</w:t>
      </w:r>
      <w:r w:rsidRPr="00192FCB">
        <w:tab/>
        <w:t>одобрява приключването на сметките на Европейския център за развитие на професионалното обучение за финансовата 2024 година;</w:t>
      </w:r>
    </w:p>
    <w:p w14:paraId="61289510" w14:textId="77777777" w:rsidR="00443B04" w:rsidRPr="00192FCB" w:rsidRDefault="00443B04" w:rsidP="00443B04">
      <w:pPr>
        <w:pStyle w:val="NormalHanging12a"/>
      </w:pPr>
      <w:r w:rsidRPr="00192FCB">
        <w:t>2.</w:t>
      </w:r>
      <w:r w:rsidRPr="00192FCB">
        <w:tab/>
        <w:t>възлага на своя председател да предаде настоящото решение на изпълнителния директор на Европейския център за развитие на професионалното обучение (</w:t>
      </w:r>
      <w:proofErr w:type="spellStart"/>
      <w:r w:rsidRPr="00192FCB">
        <w:t>Cedefop</w:t>
      </w:r>
      <w:proofErr w:type="spellEnd"/>
      <w:r w:rsidRPr="00192FCB">
        <w:t xml:space="preserve">), на Комисията и на Сметната палата и да осигури публикуването му в </w:t>
      </w:r>
      <w:r w:rsidRPr="00192FCB">
        <w:rPr>
          <w:i/>
        </w:rPr>
        <w:t>Официален вестник на Европейския съюз</w:t>
      </w:r>
      <w:r w:rsidRPr="00192FCB">
        <w:t xml:space="preserve"> (серия L).</w:t>
      </w:r>
    </w:p>
    <w:p w14:paraId="6CEB64D8" w14:textId="77777777" w:rsidR="00443B04" w:rsidRPr="00192FCB" w:rsidRDefault="00443B04" w:rsidP="00443B04"/>
    <w:p w14:paraId="1D88B11A" w14:textId="77777777" w:rsidR="00443B04" w:rsidRPr="00192FCB" w:rsidRDefault="00443B04" w:rsidP="00443B04"/>
    <w:p w14:paraId="1FFEE506" w14:textId="78068B6B" w:rsidR="00443B04" w:rsidRPr="00192FCB" w:rsidRDefault="00443B04" w:rsidP="00443B04">
      <w:pPr>
        <w:pStyle w:val="PageHeadingDec"/>
      </w:pPr>
    </w:p>
    <w:p w14:paraId="10A4E1F6" w14:textId="77777777" w:rsidR="00443B04" w:rsidRPr="00192FCB" w:rsidRDefault="00443B04" w:rsidP="00443B04">
      <w:pPr>
        <w:pStyle w:val="PageHeadingDec"/>
        <w:sectPr w:rsidR="00443B04" w:rsidRPr="00192FCB" w:rsidSect="00192FCB">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47B4F0A" w14:textId="77777777" w:rsidR="005F53B9" w:rsidRDefault="005F53B9" w:rsidP="005F53B9">
      <w:pPr>
        <w:pStyle w:val="ATHeading3"/>
      </w:pPr>
      <w:r>
        <w:lastRenderedPageBreak/>
        <w:t>9. Решение на Европейския парламент от 29 април 2026 г. относно освобождаването от отговорност във връзка с изпълнението на бюджета на Агенцията на Европейския съюз за обучение в областта на правоприлагането за финансовата 2024 година (2025/2156(DEC))</w:t>
      </w:r>
    </w:p>
    <w:p w14:paraId="7ACCFD9C" w14:textId="77777777" w:rsidR="00443B04" w:rsidRPr="00192FCB" w:rsidRDefault="00443B04" w:rsidP="00443B04">
      <w:pPr>
        <w:pStyle w:val="EPComma"/>
      </w:pPr>
      <w:r w:rsidRPr="00192FCB">
        <w:rPr>
          <w:i/>
          <w:iCs/>
        </w:rPr>
        <w:t>Европейският парламент</w:t>
      </w:r>
      <w:r w:rsidRPr="00192FCB">
        <w:t>,</w:t>
      </w:r>
    </w:p>
    <w:p w14:paraId="252A3A71"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за обучение в областта на правоприлагането за финансовата 2024 година,</w:t>
      </w:r>
    </w:p>
    <w:p w14:paraId="6010C2C3"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49"/>
      </w:r>
      <w:r w:rsidRPr="00192FCB">
        <w:t>,</w:t>
      </w:r>
    </w:p>
    <w:p w14:paraId="7E0C9824"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50"/>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44358D19"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5572C0D6"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2E5CB9E5"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51"/>
      </w:r>
      <w:r w:rsidRPr="00192FCB">
        <w:t>, и по-специално член 70 от него,</w:t>
      </w:r>
    </w:p>
    <w:p w14:paraId="36544C1A" w14:textId="0410AD48" w:rsidR="00443B04" w:rsidRPr="00192FCB" w:rsidRDefault="00443B04" w:rsidP="00443B04">
      <w:pPr>
        <w:pStyle w:val="NormalHanging12a"/>
      </w:pPr>
      <w:r w:rsidRPr="00192FCB">
        <w:t>–</w:t>
      </w:r>
      <w:r w:rsidRPr="00192FC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52"/>
      </w:r>
      <w:r w:rsidRPr="00192FCB">
        <w:t>, и по-специално член 70 от него,</w:t>
      </w:r>
    </w:p>
    <w:p w14:paraId="5AF846FA" w14:textId="77777777" w:rsidR="00443B04" w:rsidRPr="00192FCB" w:rsidRDefault="00443B04" w:rsidP="00443B04">
      <w:pPr>
        <w:pStyle w:val="NormalHanging12a"/>
      </w:pPr>
      <w:r w:rsidRPr="00192FCB">
        <w:t>–</w:t>
      </w:r>
      <w:r w:rsidRPr="00192FCB">
        <w:tab/>
        <w:t>като взе предвид Регламент (ЕС) 2015/2219 на Европейския парламент и на Съвета от 25 ноември 2015 г. относно Агенцията на Европейския съюз за обучение в областта на правоприлагането (CEPOL) и за замяна и отмяна на Решение 2005/681/ПВР</w:t>
      </w:r>
      <w:r w:rsidRPr="00192FCB">
        <w:rPr>
          <w:rStyle w:val="FootnoteReference"/>
        </w:rPr>
        <w:footnoteReference w:id="53"/>
      </w:r>
      <w:r w:rsidRPr="00192FCB">
        <w:t xml:space="preserve"> на Съвета, и по-специално член 20 от него,</w:t>
      </w:r>
    </w:p>
    <w:p w14:paraId="01C7D43E"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54"/>
      </w:r>
      <w:r w:rsidRPr="00192FCB">
        <w:t xml:space="preserve">, и по-специално член </w:t>
      </w:r>
      <w:r w:rsidRPr="00192FCB">
        <w:lastRenderedPageBreak/>
        <w:t>105 от него,</w:t>
      </w:r>
    </w:p>
    <w:p w14:paraId="6A2605D1"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4FBA2514"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332D4E4D"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6C21B83C"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Агенцията на Европейския съюз за обучение в областта на правоприлагането във връзка с изпълнението на бюджета на Агенцията за финансовата 2024 година;</w:t>
      </w:r>
    </w:p>
    <w:p w14:paraId="64A5D4F3"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48E7518F"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на Европейския съюз за обучение в областта на правоприлагането,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6D30A846" w14:textId="77777777" w:rsidR="00443B04" w:rsidRPr="00192FCB" w:rsidRDefault="00443B04" w:rsidP="00443B04"/>
    <w:p w14:paraId="7EB470A6" w14:textId="77777777" w:rsidR="00443B04" w:rsidRPr="00192FCB" w:rsidRDefault="00443B04" w:rsidP="00443B04">
      <w:pPr>
        <w:pStyle w:val="PageHeadingDec"/>
        <w:sectPr w:rsidR="00443B04" w:rsidRPr="00192FCB" w:rsidSect="00192FCB">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2B1ACF8" w14:textId="77777777" w:rsidR="005F53B9" w:rsidRDefault="005F53B9" w:rsidP="005F53B9">
      <w:pPr>
        <w:pStyle w:val="ATHeading3"/>
      </w:pPr>
      <w:r>
        <w:lastRenderedPageBreak/>
        <w:t>10. Решение на Европейския парламент от 29 април 2026 г. относно приключването на сметките на Агенцията на Европейския съюз за обучение в областта на правоприлагането за финансовата 2024 година (2025/2156(DEC))</w:t>
      </w:r>
    </w:p>
    <w:p w14:paraId="1A63A09B" w14:textId="77777777" w:rsidR="00443B04" w:rsidRPr="00192FCB" w:rsidRDefault="00443B04" w:rsidP="00443B04">
      <w:pPr>
        <w:pStyle w:val="EPComma"/>
      </w:pPr>
      <w:r w:rsidRPr="00192FCB">
        <w:rPr>
          <w:i/>
          <w:iCs/>
        </w:rPr>
        <w:t>Европейският парламент</w:t>
      </w:r>
      <w:r w:rsidRPr="00192FCB">
        <w:t>,</w:t>
      </w:r>
    </w:p>
    <w:p w14:paraId="7B1507A3"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за обучение в областта на правоприлагането за финансовата 2024 година,</w:t>
      </w:r>
    </w:p>
    <w:p w14:paraId="70D2F44B"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55"/>
      </w:r>
      <w:r w:rsidRPr="00192FCB">
        <w:t>,</w:t>
      </w:r>
    </w:p>
    <w:p w14:paraId="67F2D9A7"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56"/>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6A94D7F9"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6B2E5268"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6B1C4FA6"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57"/>
      </w:r>
      <w:r w:rsidRPr="00192FCB">
        <w:t>, и по-специално член 70 от него,</w:t>
      </w:r>
    </w:p>
    <w:p w14:paraId="3828747D" w14:textId="0ED468D8" w:rsidR="00443B04" w:rsidRPr="00192FCB" w:rsidRDefault="00443B04" w:rsidP="00443B04">
      <w:pPr>
        <w:pStyle w:val="NormalHanging12a"/>
      </w:pPr>
      <w:r w:rsidRPr="00192FCB">
        <w:t>–</w:t>
      </w:r>
      <w:r w:rsidRPr="00192FC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58"/>
      </w:r>
      <w:r w:rsidRPr="00192FCB">
        <w:t>, и по-специално член 70 от него,</w:t>
      </w:r>
    </w:p>
    <w:p w14:paraId="0309A985" w14:textId="77777777" w:rsidR="00443B04" w:rsidRPr="00192FCB" w:rsidRDefault="00443B04" w:rsidP="00443B04">
      <w:pPr>
        <w:pStyle w:val="NormalHanging12a"/>
      </w:pPr>
      <w:r w:rsidRPr="00192FCB">
        <w:t>–</w:t>
      </w:r>
      <w:r w:rsidRPr="00192FCB">
        <w:tab/>
        <w:t>като взе предвид Регламент (ЕС) 2015/2219 на Европейския парламент и на Съвета от 25 ноември 2015 г. относно Агенцията на Европейския съюз за обучение в областта на правоприлагането (CEPOL) и за замяна и отмяна на Решение 2005/681/ПВР</w:t>
      </w:r>
      <w:r w:rsidRPr="00192FCB">
        <w:rPr>
          <w:rStyle w:val="FootnoteReference"/>
        </w:rPr>
        <w:footnoteReference w:id="59"/>
      </w:r>
      <w:r w:rsidRPr="00192FCB">
        <w:t xml:space="preserve"> на Съвета, и по-специално член 20 от него,</w:t>
      </w:r>
    </w:p>
    <w:p w14:paraId="24B8F915"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60"/>
      </w:r>
      <w:r w:rsidRPr="00192FCB">
        <w:t>, и по-специално член 105 от него,</w:t>
      </w:r>
    </w:p>
    <w:p w14:paraId="67386316"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793E2645"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604F18C1"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55758F56" w14:textId="77777777" w:rsidR="00443B04" w:rsidRPr="00192FCB" w:rsidRDefault="00443B04" w:rsidP="00443B04">
      <w:pPr>
        <w:pStyle w:val="NormalHanging12a"/>
      </w:pPr>
      <w:r w:rsidRPr="00192FCB">
        <w:t>1.</w:t>
      </w:r>
      <w:r w:rsidRPr="00192FCB">
        <w:tab/>
        <w:t>одобрява приключването на сметките на Агенцията на Европейския съюз за обучение в областта на правоприлагането за финансовата 2024 година;</w:t>
      </w:r>
    </w:p>
    <w:p w14:paraId="1A08AD50"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Агенцията на Европейския съюз за обучение в областта на правоприлагането,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59ED8C16" w14:textId="77777777" w:rsidR="00443B04" w:rsidRPr="00192FCB" w:rsidRDefault="00443B04" w:rsidP="00443B04"/>
    <w:p w14:paraId="09240069" w14:textId="77777777" w:rsidR="00443B04" w:rsidRPr="00192FCB" w:rsidRDefault="00443B04" w:rsidP="00443B04"/>
    <w:p w14:paraId="45307C82" w14:textId="026E4E73" w:rsidR="00443B04" w:rsidRPr="00192FCB" w:rsidRDefault="00443B04" w:rsidP="00443B04">
      <w:pPr>
        <w:pStyle w:val="PageHeadingDec"/>
      </w:pPr>
    </w:p>
    <w:p w14:paraId="70256230" w14:textId="77777777" w:rsidR="00443B04" w:rsidRPr="00192FCB" w:rsidRDefault="00443B04" w:rsidP="00443B04">
      <w:pPr>
        <w:pStyle w:val="PageHeadingDec"/>
        <w:sectPr w:rsidR="00443B04" w:rsidRPr="00192FCB" w:rsidSect="00192FCB">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76EF84E" w14:textId="77777777" w:rsidR="005F53B9" w:rsidRDefault="005F53B9" w:rsidP="005F53B9">
      <w:pPr>
        <w:pStyle w:val="ATHeading3"/>
      </w:pPr>
      <w:r>
        <w:lastRenderedPageBreak/>
        <w:t>11. Решение на Европейския парламент от 29 април 2026 г. относно освобождаването от отговорност във връзка с изпълнението на бюджета на Агенцията за авиационна безопасност на Европейския съюз за финансовата 2024 година (2025/2156(DEC))</w:t>
      </w:r>
    </w:p>
    <w:p w14:paraId="4D396D00" w14:textId="77777777" w:rsidR="00443B04" w:rsidRPr="00192FCB" w:rsidRDefault="00443B04" w:rsidP="00443B04">
      <w:pPr>
        <w:pStyle w:val="EPComma"/>
      </w:pPr>
      <w:r w:rsidRPr="00192FCB">
        <w:rPr>
          <w:i/>
          <w:iCs/>
        </w:rPr>
        <w:t>Европейският парламент</w:t>
      </w:r>
      <w:r w:rsidRPr="00192FCB">
        <w:t>,</w:t>
      </w:r>
    </w:p>
    <w:p w14:paraId="2F17898B"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за авиационна безопасност на Европейския съюз за финансовата 2024 година,</w:t>
      </w:r>
    </w:p>
    <w:p w14:paraId="35046C98"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61"/>
      </w:r>
      <w:r w:rsidRPr="00192FCB">
        <w:t>,</w:t>
      </w:r>
    </w:p>
    <w:p w14:paraId="05C6C78F"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62"/>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5E25F3D"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486C7A08"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04925AB4"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63"/>
      </w:r>
      <w:r w:rsidRPr="00192FCB">
        <w:t>, и по-специално член 70 от него,</w:t>
      </w:r>
    </w:p>
    <w:p w14:paraId="7DAE5E0A" w14:textId="05C6D71A" w:rsidR="00443B04" w:rsidRPr="00192FCB" w:rsidRDefault="00443B04" w:rsidP="00443B04">
      <w:pPr>
        <w:pStyle w:val="NormalHanging12a"/>
      </w:pPr>
      <w:r w:rsidRPr="00192FCB">
        <w:t>–</w:t>
      </w:r>
      <w:r w:rsidRPr="00192FC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64"/>
      </w:r>
      <w:r w:rsidRPr="00192FCB">
        <w:t>, и по-специално член 70 от него,</w:t>
      </w:r>
    </w:p>
    <w:p w14:paraId="255A9DBF" w14:textId="77777777" w:rsidR="00443B04" w:rsidRPr="00192FCB" w:rsidRDefault="00443B04" w:rsidP="00443B04">
      <w:pPr>
        <w:pStyle w:val="NormalHanging12a"/>
      </w:pPr>
      <w:r w:rsidRPr="00192FCB">
        <w:t>–</w:t>
      </w:r>
      <w:r w:rsidRPr="00192FCB">
        <w:tab/>
        <w:t>като взе предвид Регламент (ЕС) 2018/1139 на Европейския парламент и на Съвета от 4 юли 2018 г. относно общи правила в областта на гражданското въздухоплаване и за създаването на Агенция за авиационна безопасност на Европейския съюз и за изменение на регламенти (ЕО) № 2111/2005, (ЕО) № 1008/2008, (ЕС) № 996/2010, (ЕС) № 376/2014 и на директиви 2014/30/ЕС и 2014/53/ЕС на Европейския парламент и на Съвета и за отмяна на регламенти (ЕО) № 552/2004 и (ЕО) № 216/2008 на Европейския парламент и на Съвета и Регламент (ЕИО) № 3922/91</w:t>
      </w:r>
      <w:r w:rsidRPr="00192FCB">
        <w:rPr>
          <w:rStyle w:val="FootnoteReference"/>
        </w:rPr>
        <w:footnoteReference w:id="65"/>
      </w:r>
      <w:r w:rsidRPr="00192FCB">
        <w:t xml:space="preserve"> на Съвета, и по-специално член 121 от него,</w:t>
      </w:r>
    </w:p>
    <w:p w14:paraId="20626275" w14:textId="77777777" w:rsidR="00443B04" w:rsidRPr="00192FCB" w:rsidRDefault="00443B04" w:rsidP="00443B04">
      <w:pPr>
        <w:pStyle w:val="NormalHanging12a"/>
      </w:pPr>
      <w:r w:rsidRPr="00192FCB">
        <w:t>–</w:t>
      </w:r>
      <w:r w:rsidRPr="00192FCB">
        <w:tab/>
        <w:t xml:space="preserve">като взе предвид Делегиран регламент (ЕС) 2019/715 на Комисията от 18 декември 2018 г. относно рамковия финансов регламент за органите, създадени по </w:t>
      </w:r>
      <w:r w:rsidRPr="00192FCB">
        <w:lastRenderedPageBreak/>
        <w:t>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66"/>
      </w:r>
      <w:r w:rsidRPr="00192FCB">
        <w:t>, и по-специално член 105 от него,</w:t>
      </w:r>
    </w:p>
    <w:p w14:paraId="7967F393"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23F83CC6"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054040D7"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0D042178"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Агенцията за авиационна безопасност на Европейския съюз във връзка с изпълнението на бюджета на Агенцията за финансовата 2024 година;</w:t>
      </w:r>
    </w:p>
    <w:p w14:paraId="7284B642"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6850EE9F"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за авиационна безопасност на Европейския съюз,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03DF324A" w14:textId="77777777" w:rsidR="00443B04" w:rsidRPr="00192FCB" w:rsidRDefault="00443B04" w:rsidP="00443B04"/>
    <w:p w14:paraId="24990345" w14:textId="77777777" w:rsidR="00443B04" w:rsidRPr="00192FCB" w:rsidRDefault="00443B04" w:rsidP="00443B04">
      <w:pPr>
        <w:pStyle w:val="PageHeadingDec"/>
        <w:sectPr w:rsidR="00443B04" w:rsidRPr="00192FCB" w:rsidSect="00192FCB">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E067F3" w14:textId="77777777" w:rsidR="005F53B9" w:rsidRDefault="005F53B9" w:rsidP="005F53B9">
      <w:pPr>
        <w:pStyle w:val="ATHeading3"/>
      </w:pPr>
      <w:r>
        <w:lastRenderedPageBreak/>
        <w:t>12. Решение на Европейския парламент от 29 април 2026 г. относно приключването на сметките на Агенцията за авиационна безопасност на Европейския съюз за финансовата 2024 година (2025/2156(DEC))</w:t>
      </w:r>
    </w:p>
    <w:p w14:paraId="0C0C3C3E" w14:textId="77777777" w:rsidR="00443B04" w:rsidRPr="00192FCB" w:rsidRDefault="00443B04" w:rsidP="00443B04">
      <w:pPr>
        <w:pStyle w:val="EPComma"/>
      </w:pPr>
      <w:r w:rsidRPr="00192FCB">
        <w:rPr>
          <w:i/>
          <w:iCs/>
        </w:rPr>
        <w:t>Европейският парламент</w:t>
      </w:r>
      <w:r w:rsidRPr="00192FCB">
        <w:t>,</w:t>
      </w:r>
    </w:p>
    <w:p w14:paraId="4C6FC08F"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за авиационна безопасност на Европейския съюз за финансовата 2024 година,</w:t>
      </w:r>
    </w:p>
    <w:p w14:paraId="763B03F7"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67"/>
      </w:r>
      <w:r w:rsidRPr="00192FCB">
        <w:t>,</w:t>
      </w:r>
    </w:p>
    <w:p w14:paraId="511408A6"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68"/>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089CB421"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7EB71812"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512372AF"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69"/>
      </w:r>
      <w:r w:rsidRPr="00192FCB">
        <w:t>, и по-специално член 70 от него,</w:t>
      </w:r>
    </w:p>
    <w:p w14:paraId="57F37F0F" w14:textId="3836AF80" w:rsidR="00443B04" w:rsidRPr="00192FCB" w:rsidRDefault="00443B04" w:rsidP="00443B04">
      <w:pPr>
        <w:pStyle w:val="NormalHanging12a"/>
      </w:pPr>
      <w:r w:rsidRPr="00192FCB">
        <w:t>–</w:t>
      </w:r>
      <w:r w:rsidRPr="00192FC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70"/>
      </w:r>
      <w:r w:rsidRPr="00192FCB">
        <w:t>, и по-специално член 70 от него,</w:t>
      </w:r>
    </w:p>
    <w:p w14:paraId="335E5A56" w14:textId="77777777" w:rsidR="00443B04" w:rsidRPr="00192FCB" w:rsidRDefault="00443B04" w:rsidP="00443B04">
      <w:pPr>
        <w:pStyle w:val="NormalHanging12a"/>
      </w:pPr>
      <w:r w:rsidRPr="00192FCB">
        <w:t>–</w:t>
      </w:r>
      <w:r w:rsidRPr="00192FCB">
        <w:tab/>
        <w:t>като взе предвид Регламент (ЕС) 2018/1139 на Европейския парламент и на Съвета от 4 юли 2018 г. относно общи правила в областта на гражданското въздухоплаване и за създаването на Агенция за авиационна безопасност на Европейския съюз и за изменение на регламенти (ЕО) № 2111/2005, (ЕО) № 1008/2008, (ЕС) № 996/2010, (ЕС) № 376/2014 и на директиви 2014/30/ЕС и 2014/53/ЕС на Европейския парламент и на Съвета и за отмяна на регламенти (ЕО) № 552/2004 и (ЕО) № 216/2008 на Европейския парламент и на Съвета и Регламент (ЕИО) № 3922/91</w:t>
      </w:r>
      <w:r w:rsidRPr="00192FCB">
        <w:rPr>
          <w:rStyle w:val="FootnoteReference"/>
        </w:rPr>
        <w:footnoteReference w:id="71"/>
      </w:r>
      <w:r w:rsidRPr="00192FCB">
        <w:t xml:space="preserve"> на Съвета, и по-специално член 121 от него,</w:t>
      </w:r>
    </w:p>
    <w:p w14:paraId="45BC60B2" w14:textId="77777777" w:rsidR="00443B04" w:rsidRPr="00192FCB" w:rsidRDefault="00443B04" w:rsidP="00443B04">
      <w:pPr>
        <w:pStyle w:val="NormalHanging12a"/>
      </w:pPr>
      <w:r w:rsidRPr="00192FCB">
        <w:t>–</w:t>
      </w:r>
      <w:r w:rsidRPr="00192FCB">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w:t>
      </w:r>
      <w:r w:rsidRPr="00192FCB">
        <w:lastRenderedPageBreak/>
        <w:t>Евратом) 2018/1046 на Европейския парламент и на Съвета</w:t>
      </w:r>
      <w:r w:rsidRPr="00192FCB">
        <w:rPr>
          <w:rStyle w:val="FootnoteReference"/>
        </w:rPr>
        <w:footnoteReference w:id="72"/>
      </w:r>
      <w:r w:rsidRPr="00192FCB">
        <w:t>, и по-специално член 105 от него,</w:t>
      </w:r>
    </w:p>
    <w:p w14:paraId="66D66321"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49A5DA5B"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7AB6A813"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4C5AEAFF" w14:textId="77777777" w:rsidR="00443B04" w:rsidRPr="00192FCB" w:rsidRDefault="00443B04" w:rsidP="00443B04">
      <w:pPr>
        <w:pStyle w:val="NormalHanging12a"/>
      </w:pPr>
      <w:r w:rsidRPr="00192FCB">
        <w:t>1.</w:t>
      </w:r>
      <w:r w:rsidRPr="00192FCB">
        <w:tab/>
        <w:t>одобрява приключването на сметките на Агенцията за авиационна безопасност на Европейския съюз за финансовата 2024 година;</w:t>
      </w:r>
    </w:p>
    <w:p w14:paraId="56F6097C"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Агенцията за авиационна безопасност на Европейския съюз,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37D6B383" w14:textId="77777777" w:rsidR="00443B04" w:rsidRPr="00192FCB" w:rsidRDefault="00443B04" w:rsidP="00443B04"/>
    <w:p w14:paraId="42B17DC9" w14:textId="77777777" w:rsidR="00443B04" w:rsidRPr="00192FCB" w:rsidRDefault="00443B04" w:rsidP="00443B04"/>
    <w:p w14:paraId="2E334FA7" w14:textId="5ECC37B0" w:rsidR="00443B04" w:rsidRPr="00192FCB" w:rsidRDefault="00443B04" w:rsidP="00443B04">
      <w:pPr>
        <w:pStyle w:val="PageHeadingDec"/>
      </w:pPr>
    </w:p>
    <w:p w14:paraId="01838606" w14:textId="77777777" w:rsidR="00443B04" w:rsidRPr="00192FCB" w:rsidRDefault="00443B04" w:rsidP="00443B04">
      <w:pPr>
        <w:pStyle w:val="PageHeadingDec"/>
        <w:sectPr w:rsidR="00443B04" w:rsidRPr="00192FCB" w:rsidSect="00192FCB">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4D791B9" w14:textId="77777777" w:rsidR="005F53B9" w:rsidRDefault="005F53B9" w:rsidP="005F53B9">
      <w:pPr>
        <w:pStyle w:val="ATHeading3"/>
      </w:pPr>
      <w:r>
        <w:lastRenderedPageBreak/>
        <w:t>13. Решение на Европейския парламент от 29 април 2026 г. относно освобождаването от отговорност във връзка с изпълнението на бюджета на Европейския банков орган за финансовата 2024 година (2025/2156(DEC))</w:t>
      </w:r>
    </w:p>
    <w:p w14:paraId="06FAD787" w14:textId="77777777" w:rsidR="00443B04" w:rsidRPr="00192FCB" w:rsidRDefault="00443B04" w:rsidP="00443B04">
      <w:pPr>
        <w:pStyle w:val="EPComma"/>
      </w:pPr>
      <w:r w:rsidRPr="00192FCB">
        <w:rPr>
          <w:i/>
          <w:iCs/>
        </w:rPr>
        <w:t>Европейският парламент</w:t>
      </w:r>
      <w:r w:rsidRPr="00192FCB">
        <w:t>,</w:t>
      </w:r>
    </w:p>
    <w:p w14:paraId="602AFF7A"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банков орган за финансовата 2024 година,</w:t>
      </w:r>
    </w:p>
    <w:p w14:paraId="6C97D651"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73"/>
      </w:r>
      <w:r w:rsidRPr="00192FCB">
        <w:t>,</w:t>
      </w:r>
    </w:p>
    <w:p w14:paraId="1805C9F4"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74"/>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121581A"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Органа във връзка с изпълнението на бюджета за финансовата 2024 година (05750/2026 – C10-0148/2026),</w:t>
      </w:r>
    </w:p>
    <w:p w14:paraId="673DBBB4"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4656D590"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75"/>
      </w:r>
      <w:r w:rsidRPr="00192FCB">
        <w:t>, и по-специално член 70 от него,</w:t>
      </w:r>
    </w:p>
    <w:p w14:paraId="0C4BC1BE" w14:textId="24F79E0A" w:rsidR="00443B04" w:rsidRPr="00192FCB" w:rsidRDefault="00443B04" w:rsidP="00443B04">
      <w:pPr>
        <w:pStyle w:val="NormalHanging12a"/>
      </w:pPr>
      <w:r w:rsidRPr="00192FCB">
        <w:t>–</w:t>
      </w:r>
      <w:r w:rsidRPr="00192FCB">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76"/>
      </w:r>
      <w:r w:rsidRPr="00192FCB">
        <w:t>, и по-специално член 70 от него,</w:t>
      </w:r>
    </w:p>
    <w:p w14:paraId="515453FD" w14:textId="77777777" w:rsidR="00443B04" w:rsidRPr="00192FCB" w:rsidRDefault="00443B04" w:rsidP="00443B04">
      <w:pPr>
        <w:pStyle w:val="NormalHanging12a"/>
      </w:pPr>
      <w:r w:rsidRPr="00192FCB">
        <w:t>–</w:t>
      </w:r>
      <w:r w:rsidRPr="00192FCB">
        <w:tab/>
        <w:t>като взе предвид Регламент (ЕС) № 1093/2010 на Европейския парламент и на Съвета от 24 ноември 2010 г. за създаване на Европейски надзорен орган (Европейски банков орган), за изменение на Решение № 716/2009/ЕО и за отмяна на Решение 2009/78/ЕО</w:t>
      </w:r>
      <w:r w:rsidRPr="00192FCB">
        <w:rPr>
          <w:rStyle w:val="FootnoteReference"/>
        </w:rPr>
        <w:footnoteReference w:id="77"/>
      </w:r>
      <w:r w:rsidRPr="00192FCB">
        <w:t xml:space="preserve"> на Комисията, и по-специално член 64 от него,</w:t>
      </w:r>
    </w:p>
    <w:p w14:paraId="2B26F311"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78"/>
      </w:r>
      <w:r w:rsidRPr="00192FCB">
        <w:t>, и по-специално член 105 от него,</w:t>
      </w:r>
    </w:p>
    <w:p w14:paraId="1047AB12"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287A877D"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7FAC97DB"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1B4A9769"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Европейския банков орган във връзка с изпълнението на бюджета на Органа за финансовата 2024 година;</w:t>
      </w:r>
    </w:p>
    <w:p w14:paraId="179F4B86"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552105E1"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Европейския банков орган,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6EEB7D66" w14:textId="77777777" w:rsidR="00443B04" w:rsidRPr="00192FCB" w:rsidRDefault="00443B04" w:rsidP="00443B04"/>
    <w:p w14:paraId="5B36AB23" w14:textId="77777777" w:rsidR="00443B04" w:rsidRPr="00192FCB" w:rsidRDefault="00443B04" w:rsidP="00443B04">
      <w:pPr>
        <w:pStyle w:val="PageHeadingDec"/>
        <w:sectPr w:rsidR="00443B04" w:rsidRPr="00192FCB" w:rsidSect="00192FCB">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DD532A" w14:textId="77777777" w:rsidR="005F53B9" w:rsidRDefault="005F53B9" w:rsidP="005F53B9">
      <w:pPr>
        <w:pStyle w:val="ATHeading3"/>
      </w:pPr>
      <w:r>
        <w:lastRenderedPageBreak/>
        <w:t>14. Решение на Европейския парламент от 29 април 2026 г. относно приключването на сметките на Европейския банков орган за финансовата 2024 година (2025/2156(DEC))</w:t>
      </w:r>
    </w:p>
    <w:p w14:paraId="3D447887" w14:textId="77777777" w:rsidR="00443B04" w:rsidRPr="00192FCB" w:rsidRDefault="00443B04" w:rsidP="00443B04">
      <w:pPr>
        <w:pStyle w:val="EPComma"/>
      </w:pPr>
      <w:r w:rsidRPr="00192FCB">
        <w:rPr>
          <w:i/>
          <w:iCs/>
        </w:rPr>
        <w:t>Европейският парламент</w:t>
      </w:r>
      <w:r w:rsidRPr="00192FCB">
        <w:t>,</w:t>
      </w:r>
    </w:p>
    <w:p w14:paraId="06D0A000"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банков орган за финансовата 2024 година,</w:t>
      </w:r>
    </w:p>
    <w:p w14:paraId="0C96C205"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79"/>
      </w:r>
      <w:r w:rsidRPr="00192FCB">
        <w:t>,</w:t>
      </w:r>
    </w:p>
    <w:p w14:paraId="0E9DFF21"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80"/>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5E514923"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Органа във връзка с изпълнението на бюджета за финансовата 2024 година (05750/2026 – C10-0148/2026),</w:t>
      </w:r>
    </w:p>
    <w:p w14:paraId="6F6FADBC"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2A690653"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81"/>
      </w:r>
      <w:r w:rsidRPr="00192FCB">
        <w:t>, и по-специално член 70 от него,</w:t>
      </w:r>
    </w:p>
    <w:p w14:paraId="1A246FE7" w14:textId="4A76A59F"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82"/>
      </w:r>
      <w:r w:rsidRPr="00192FCB">
        <w:t>, и по-специално член 70 от него,</w:t>
      </w:r>
    </w:p>
    <w:p w14:paraId="02E5AAEB" w14:textId="77777777" w:rsidR="00443B04" w:rsidRPr="00192FCB" w:rsidRDefault="00443B04" w:rsidP="00443B04">
      <w:pPr>
        <w:pStyle w:val="NormalHanging12a"/>
      </w:pPr>
      <w:r w:rsidRPr="00192FCB">
        <w:t>–</w:t>
      </w:r>
      <w:r w:rsidRPr="00192FCB">
        <w:tab/>
        <w:t>като взе предвид Регламент (ЕС) № 1093/2010 на Европейския парламент и на Съвета от 24 ноември 2010 г. за създаване на Европейски надзорен орган (Европейски банков орган), за изменение на Решение № 716/2009/ЕО и за отмяна на Решение 2009/78/ЕО</w:t>
      </w:r>
      <w:r w:rsidRPr="00192FCB">
        <w:rPr>
          <w:rStyle w:val="FootnoteReference"/>
        </w:rPr>
        <w:footnoteReference w:id="83"/>
      </w:r>
      <w:r w:rsidRPr="00192FCB">
        <w:t xml:space="preserve"> на Комисията, и по-специално член 64 от него,</w:t>
      </w:r>
    </w:p>
    <w:p w14:paraId="3FDA9D1D"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84"/>
      </w:r>
      <w:r w:rsidRPr="00192FCB">
        <w:t>, и по-специално член 105 от него,</w:t>
      </w:r>
    </w:p>
    <w:p w14:paraId="40CA2DAA"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2746B238"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5E2FD18E"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6B870BCD" w14:textId="77777777" w:rsidR="00443B04" w:rsidRPr="00192FCB" w:rsidRDefault="00443B04" w:rsidP="00443B04">
      <w:pPr>
        <w:pStyle w:val="NormalHanging12a"/>
      </w:pPr>
      <w:r w:rsidRPr="00192FCB">
        <w:t>1.</w:t>
      </w:r>
      <w:r w:rsidRPr="00192FCB">
        <w:tab/>
        <w:t>одобрява приключването на сметките на Европейския банков орган за финансовата 2024 година;</w:t>
      </w:r>
    </w:p>
    <w:p w14:paraId="36DCA1CC"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Европейския банков орган,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4937DF5B" w14:textId="77777777" w:rsidR="00443B04" w:rsidRPr="00192FCB" w:rsidRDefault="00443B04" w:rsidP="00443B04"/>
    <w:p w14:paraId="7F809480" w14:textId="77777777" w:rsidR="00443B04" w:rsidRPr="00192FCB" w:rsidRDefault="00443B04" w:rsidP="00443B04"/>
    <w:p w14:paraId="02CDE8AA" w14:textId="07466C45" w:rsidR="00443B04" w:rsidRPr="00192FCB" w:rsidRDefault="00443B04" w:rsidP="00443B04">
      <w:pPr>
        <w:pStyle w:val="PageHeadingDec"/>
      </w:pPr>
    </w:p>
    <w:p w14:paraId="30638678" w14:textId="77777777" w:rsidR="00443B04" w:rsidRPr="00192FCB" w:rsidRDefault="00443B04" w:rsidP="00443B04">
      <w:pPr>
        <w:pStyle w:val="PageHeadingDec"/>
        <w:sectPr w:rsidR="00443B04" w:rsidRPr="00192FCB" w:rsidSect="00192FCB">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821ECB0" w14:textId="77777777" w:rsidR="005F53B9" w:rsidRDefault="005F53B9" w:rsidP="005F53B9">
      <w:pPr>
        <w:pStyle w:val="ATHeading3"/>
      </w:pPr>
      <w:r>
        <w:lastRenderedPageBreak/>
        <w:t>15. Решение на Европейския парламент от 29 април 2026 г. относно освобождаването от отговорност във връзка с изпълнението на бюджета на Европейския център за профилактика и контрол върху заболяванията за финансовата 2024 година (2025/2156(DEC))</w:t>
      </w:r>
    </w:p>
    <w:p w14:paraId="3E2A63CD" w14:textId="77777777" w:rsidR="00443B04" w:rsidRPr="00192FCB" w:rsidRDefault="00443B04" w:rsidP="00443B04">
      <w:pPr>
        <w:pStyle w:val="EPComma"/>
      </w:pPr>
      <w:r w:rsidRPr="00192FCB">
        <w:rPr>
          <w:i/>
          <w:iCs/>
        </w:rPr>
        <w:t>Европейският парламент</w:t>
      </w:r>
      <w:r w:rsidRPr="00192FCB">
        <w:t>,</w:t>
      </w:r>
    </w:p>
    <w:p w14:paraId="7B438BEE"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център за профилактика и контрол върху заболяванията за финансовата 2024 година,</w:t>
      </w:r>
    </w:p>
    <w:p w14:paraId="695C2F35"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85"/>
      </w:r>
      <w:r w:rsidRPr="00192FCB">
        <w:t>,</w:t>
      </w:r>
    </w:p>
    <w:p w14:paraId="108BE6F0"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86"/>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62274121"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Центъра във връзка с изпълнението на бюджета за финансовата 2024 година (05750/2026 – C10-0148/2026),</w:t>
      </w:r>
    </w:p>
    <w:p w14:paraId="16FA74D2"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216049FF"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87"/>
      </w:r>
      <w:r w:rsidRPr="00192FCB">
        <w:t>, и по-специално член 70 от него,</w:t>
      </w:r>
    </w:p>
    <w:p w14:paraId="06038DD6" w14:textId="44BCA33F"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88"/>
      </w:r>
      <w:r w:rsidRPr="00192FCB">
        <w:t>, и по-специално член 70 от него,</w:t>
      </w:r>
    </w:p>
    <w:p w14:paraId="5165082F" w14:textId="77777777" w:rsidR="00443B04" w:rsidRPr="00192FCB" w:rsidRDefault="00443B04" w:rsidP="00443B04">
      <w:pPr>
        <w:pStyle w:val="NormalHanging12a"/>
      </w:pPr>
      <w:r w:rsidRPr="00192FCB">
        <w:t>–</w:t>
      </w:r>
      <w:r w:rsidRPr="00192FCB">
        <w:tab/>
        <w:t>като взе предвид Регламент (ЕО) № 851/2004 на Европейския парламент и на Съвета от 21 април 2004 г. за създаване на Европейски център за профилактика и контрол върху заболяванията</w:t>
      </w:r>
      <w:r w:rsidRPr="00192FCB">
        <w:rPr>
          <w:rStyle w:val="FootnoteReference"/>
        </w:rPr>
        <w:footnoteReference w:id="89"/>
      </w:r>
      <w:r w:rsidRPr="00192FCB">
        <w:t>, и по-специално член 23 от него,</w:t>
      </w:r>
    </w:p>
    <w:p w14:paraId="2BF7CAD1"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90"/>
      </w:r>
      <w:r w:rsidRPr="00192FCB">
        <w:t>, и по-специално член 105 от него,</w:t>
      </w:r>
    </w:p>
    <w:p w14:paraId="5C2C824D"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328F9DAA"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4AA0467E"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01BD3169" w14:textId="77777777" w:rsidR="00443B04" w:rsidRPr="00192FCB" w:rsidRDefault="00443B04" w:rsidP="00443B04">
      <w:pPr>
        <w:pStyle w:val="NormalHanging12a"/>
      </w:pPr>
      <w:r w:rsidRPr="00192FCB">
        <w:t>1.</w:t>
      </w:r>
      <w:r w:rsidRPr="00192FCB">
        <w:tab/>
        <w:t>освобождава от отговорност директора на Европейския център за профилактика и контрол върху заболяванията във връзка с изпълнението на бюджета на Центъра за финансовата 2024 година;</w:t>
      </w:r>
    </w:p>
    <w:p w14:paraId="521D3042"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44D126C6"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директора на Европейския център за профилактика и контрол върху заболяванията,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26C95FC2" w14:textId="77777777" w:rsidR="00443B04" w:rsidRPr="00192FCB" w:rsidRDefault="00443B04" w:rsidP="00443B04"/>
    <w:p w14:paraId="166B698D" w14:textId="77777777" w:rsidR="00443B04" w:rsidRPr="00192FCB" w:rsidRDefault="00443B04" w:rsidP="00443B04">
      <w:pPr>
        <w:pStyle w:val="PageHeadingDec"/>
        <w:sectPr w:rsidR="00443B04" w:rsidRPr="00192FCB" w:rsidSect="00192FCB">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5B0E8D" w14:textId="77777777" w:rsidR="005F53B9" w:rsidRDefault="005F53B9" w:rsidP="005F53B9">
      <w:pPr>
        <w:pStyle w:val="ATHeading3"/>
      </w:pPr>
      <w:r>
        <w:lastRenderedPageBreak/>
        <w:t>16. Решение на Европейския парламент от 29 април 2026 г. относно приключването на сметките на Европейския център за профилактика и контрол върху заболяванията за финансовата 2024 година (2025/2156(DEC))</w:t>
      </w:r>
    </w:p>
    <w:p w14:paraId="5412FF6A" w14:textId="77777777" w:rsidR="00443B04" w:rsidRPr="00192FCB" w:rsidRDefault="00443B04" w:rsidP="00443B04">
      <w:pPr>
        <w:pStyle w:val="EPComma"/>
      </w:pPr>
      <w:r w:rsidRPr="00192FCB">
        <w:rPr>
          <w:i/>
          <w:iCs/>
        </w:rPr>
        <w:t>Европейският парламент</w:t>
      </w:r>
      <w:r w:rsidRPr="00192FCB">
        <w:t>,</w:t>
      </w:r>
    </w:p>
    <w:p w14:paraId="77DD5F32"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център за профилактика и контрол върху заболяванията за финансовата 2024 година,</w:t>
      </w:r>
    </w:p>
    <w:p w14:paraId="0299EB44"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91"/>
      </w:r>
      <w:r w:rsidRPr="00192FCB">
        <w:t>,</w:t>
      </w:r>
    </w:p>
    <w:p w14:paraId="65E34AF8"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92"/>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5BBFFFEF"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Центъра във връзка с изпълнението на бюджета за финансовата 2024 година (05750/2026 – C10-0148/2026),</w:t>
      </w:r>
    </w:p>
    <w:p w14:paraId="6FCA5D9F"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417688E2"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93"/>
      </w:r>
      <w:r w:rsidRPr="00192FCB">
        <w:t>, и по-специално член 70 от него,</w:t>
      </w:r>
    </w:p>
    <w:p w14:paraId="7B6E2422" w14:textId="13CF839A"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94"/>
      </w:r>
      <w:r w:rsidRPr="00192FCB">
        <w:t>, и по-специално член 70 от него,</w:t>
      </w:r>
    </w:p>
    <w:p w14:paraId="4B6D2AFB" w14:textId="77777777" w:rsidR="00443B04" w:rsidRPr="00192FCB" w:rsidRDefault="00443B04" w:rsidP="00443B04">
      <w:pPr>
        <w:pStyle w:val="NormalHanging12a"/>
      </w:pPr>
      <w:r w:rsidRPr="00192FCB">
        <w:t>–</w:t>
      </w:r>
      <w:r w:rsidRPr="00192FCB">
        <w:tab/>
        <w:t>като взе предвид Регламент (ЕО) № 851/2004 на Европейския парламент и на Съвета от 21 април 2004 г. за създаване на Европейски център за профилактика и контрол върху заболяванията</w:t>
      </w:r>
      <w:r w:rsidRPr="00192FCB">
        <w:rPr>
          <w:rStyle w:val="FootnoteReference"/>
        </w:rPr>
        <w:footnoteReference w:id="95"/>
      </w:r>
      <w:r w:rsidRPr="00192FCB">
        <w:t>, и по-специално член 23 от него,</w:t>
      </w:r>
    </w:p>
    <w:p w14:paraId="3616B820"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96"/>
      </w:r>
      <w:r w:rsidRPr="00192FCB">
        <w:t>, и по-специално член 105 от него,</w:t>
      </w:r>
    </w:p>
    <w:p w14:paraId="20A26E68"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127249E6"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4589C649"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5188AE2B" w14:textId="77777777" w:rsidR="00443B04" w:rsidRPr="00192FCB" w:rsidRDefault="00443B04" w:rsidP="00443B04">
      <w:pPr>
        <w:pStyle w:val="NormalHanging12a"/>
      </w:pPr>
      <w:r w:rsidRPr="00192FCB">
        <w:t>1.</w:t>
      </w:r>
      <w:r w:rsidRPr="00192FCB">
        <w:tab/>
        <w:t>одобрява приключването на сметките на Европейския център за профилактика и контрол върху заболяванията за финансовата 2024 година;</w:t>
      </w:r>
    </w:p>
    <w:p w14:paraId="038E84B0"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директора на Европейския център за профилактика и контрол върху заболяванията, на Комисията и на Сметната палата и да осигури публикуването му в </w:t>
      </w:r>
      <w:r w:rsidRPr="00192FCB">
        <w:rPr>
          <w:i/>
        </w:rPr>
        <w:t>Официален вестник на Европейския съюз</w:t>
      </w:r>
      <w:r w:rsidRPr="00192FCB">
        <w:t xml:space="preserve"> (серия L).</w:t>
      </w:r>
    </w:p>
    <w:p w14:paraId="0D84F7FB" w14:textId="77777777" w:rsidR="00443B04" w:rsidRPr="00192FCB" w:rsidRDefault="00443B04" w:rsidP="00443B04"/>
    <w:p w14:paraId="412A19D2" w14:textId="77777777" w:rsidR="00443B04" w:rsidRPr="00192FCB" w:rsidRDefault="00443B04" w:rsidP="00443B04"/>
    <w:p w14:paraId="072D6BA1" w14:textId="5C77C563" w:rsidR="00443B04" w:rsidRPr="00192FCB" w:rsidRDefault="00443B04" w:rsidP="00443B04">
      <w:pPr>
        <w:pStyle w:val="PageHeadingDec"/>
      </w:pPr>
    </w:p>
    <w:p w14:paraId="7486A6E6" w14:textId="77777777" w:rsidR="00443B04" w:rsidRPr="00192FCB" w:rsidRDefault="00443B04" w:rsidP="00443B04">
      <w:pPr>
        <w:pStyle w:val="PageHeadingDec"/>
        <w:sectPr w:rsidR="00443B04" w:rsidRPr="00192FCB" w:rsidSect="00192FCB">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B213D1C" w14:textId="77777777" w:rsidR="005F53B9" w:rsidRDefault="005F53B9" w:rsidP="005F53B9">
      <w:pPr>
        <w:pStyle w:val="ATHeading3"/>
      </w:pPr>
      <w:r>
        <w:lastRenderedPageBreak/>
        <w:t>17. Решение на Европейския парламент от 29 април 2026 г. относно освобождаването от отговорност във връзка с изпълнението на бюджета на Европейската агенция по химикали за финансовата 2024 година (2025/2156(DEC))</w:t>
      </w:r>
    </w:p>
    <w:p w14:paraId="39CFA2B4" w14:textId="77777777" w:rsidR="00443B04" w:rsidRPr="00192FCB" w:rsidRDefault="00443B04" w:rsidP="00443B04">
      <w:pPr>
        <w:pStyle w:val="EPComma"/>
      </w:pPr>
      <w:r w:rsidRPr="00192FCB">
        <w:rPr>
          <w:i/>
          <w:iCs/>
        </w:rPr>
        <w:t>Европейският парламент</w:t>
      </w:r>
      <w:r w:rsidRPr="00192FCB">
        <w:t>,</w:t>
      </w:r>
    </w:p>
    <w:p w14:paraId="6DA1ADD4"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агенция по химикали за финансовата 2024 година,</w:t>
      </w:r>
    </w:p>
    <w:p w14:paraId="6E968111"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97"/>
      </w:r>
      <w:r w:rsidRPr="00192FCB">
        <w:t>,</w:t>
      </w:r>
    </w:p>
    <w:p w14:paraId="1EE26E7A"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98"/>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6FB4F730"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0C7BE779"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086BCA54"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99"/>
      </w:r>
      <w:r w:rsidRPr="00192FCB">
        <w:t>, и по-специално член 70 от него,</w:t>
      </w:r>
    </w:p>
    <w:p w14:paraId="2A3DA2ED" w14:textId="1AF86B03"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00"/>
      </w:r>
      <w:r w:rsidRPr="00192FCB">
        <w:t>, и по-специално член 70 от него,</w:t>
      </w:r>
    </w:p>
    <w:p w14:paraId="19A03099" w14:textId="77777777" w:rsidR="00443B04" w:rsidRPr="00192FCB" w:rsidRDefault="00443B04" w:rsidP="00443B04">
      <w:pPr>
        <w:pStyle w:val="NormalHanging12a"/>
      </w:pPr>
      <w:r w:rsidRPr="00192FCB">
        <w:t>–</w:t>
      </w:r>
      <w:r w:rsidRPr="00192FCB">
        <w:tab/>
        <w:t>като взе предвид 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w:t>
      </w:r>
      <w:r w:rsidRPr="00192FCB">
        <w:rPr>
          <w:rStyle w:val="FootnoteReference"/>
        </w:rPr>
        <w:footnoteReference w:id="101"/>
      </w:r>
      <w:r w:rsidRPr="00192FCB">
        <w:t xml:space="preserve"> на Комисията, и по-специално член 97 от него,</w:t>
      </w:r>
    </w:p>
    <w:p w14:paraId="31751089" w14:textId="77777777" w:rsidR="00443B04" w:rsidRPr="00192FCB" w:rsidRDefault="00443B04" w:rsidP="00443B04">
      <w:pPr>
        <w:pStyle w:val="NormalHanging12a"/>
      </w:pPr>
      <w:r w:rsidRPr="00192FCB">
        <w:t>–</w:t>
      </w:r>
      <w:r w:rsidRPr="00192FCB">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w:t>
      </w:r>
      <w:r w:rsidRPr="00192FCB">
        <w:lastRenderedPageBreak/>
        <w:t>Евратом) 2018/1046 на Европейския парламент и на Съвета</w:t>
      </w:r>
      <w:r w:rsidRPr="00192FCB">
        <w:rPr>
          <w:rStyle w:val="FootnoteReference"/>
        </w:rPr>
        <w:footnoteReference w:id="102"/>
      </w:r>
      <w:r w:rsidRPr="00192FCB">
        <w:t>, и по-специално член 105 от него,</w:t>
      </w:r>
    </w:p>
    <w:p w14:paraId="73081F06"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199B1F6B"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6F11179F"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7DC42119"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Европейската агенция по химикали във връзка с изпълнението на бюджета на Агенцията за финансовата 2024 година;</w:t>
      </w:r>
    </w:p>
    <w:p w14:paraId="6836C37A"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17F601DB"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по химикали,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53B1DC90" w14:textId="77777777" w:rsidR="00443B04" w:rsidRPr="00192FCB" w:rsidRDefault="00443B04" w:rsidP="00443B04"/>
    <w:p w14:paraId="69676E61" w14:textId="77777777" w:rsidR="00443B04" w:rsidRPr="00192FCB" w:rsidRDefault="00443B04" w:rsidP="00443B04">
      <w:pPr>
        <w:pStyle w:val="PageHeadingDec"/>
        <w:sectPr w:rsidR="00443B04" w:rsidRPr="00192FCB" w:rsidSect="00192FCB">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21EC9F" w14:textId="77777777" w:rsidR="005F53B9" w:rsidRDefault="005F53B9" w:rsidP="005F53B9">
      <w:pPr>
        <w:pStyle w:val="ATHeading3"/>
      </w:pPr>
      <w:r>
        <w:lastRenderedPageBreak/>
        <w:t>18. Решение на Европейския парламент от 29 април 2026 г. относно приключването на сметките на Европейската агенция по химикали за финансовата 2024 година (2025/2156(DEC))</w:t>
      </w:r>
    </w:p>
    <w:p w14:paraId="40FDBF2B" w14:textId="77777777" w:rsidR="00443B04" w:rsidRPr="00192FCB" w:rsidRDefault="00443B04" w:rsidP="00443B04">
      <w:pPr>
        <w:pStyle w:val="EPComma"/>
      </w:pPr>
      <w:r w:rsidRPr="00192FCB">
        <w:rPr>
          <w:i/>
          <w:iCs/>
        </w:rPr>
        <w:t>Европейският парламент</w:t>
      </w:r>
      <w:r w:rsidRPr="00192FCB">
        <w:t>,</w:t>
      </w:r>
    </w:p>
    <w:p w14:paraId="619B9FD9"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агенция по химикали за финансовата 2024 година,</w:t>
      </w:r>
    </w:p>
    <w:p w14:paraId="2A502FC2"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03"/>
      </w:r>
      <w:r w:rsidRPr="00192FCB">
        <w:t>,</w:t>
      </w:r>
    </w:p>
    <w:p w14:paraId="6144FCD7"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104"/>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2EA4BC5E"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00DB2A15"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72EA297D"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105"/>
      </w:r>
      <w:r w:rsidRPr="00192FCB">
        <w:t>, и по-специално член 70 от него,</w:t>
      </w:r>
    </w:p>
    <w:p w14:paraId="1C4693A7" w14:textId="472E112E"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06"/>
      </w:r>
      <w:r w:rsidRPr="00192FCB">
        <w:t>, и по-специално член 70 от него,</w:t>
      </w:r>
    </w:p>
    <w:p w14:paraId="5A9B3A9E" w14:textId="77777777" w:rsidR="00443B04" w:rsidRPr="00192FCB" w:rsidRDefault="00443B04" w:rsidP="00443B04">
      <w:pPr>
        <w:pStyle w:val="NormalHanging12a"/>
      </w:pPr>
      <w:r w:rsidRPr="00192FCB">
        <w:t>–</w:t>
      </w:r>
      <w:r w:rsidRPr="00192FCB">
        <w:tab/>
        <w:t>като взе предвид 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w:t>
      </w:r>
      <w:r w:rsidRPr="00192FCB">
        <w:rPr>
          <w:rStyle w:val="FootnoteReference"/>
        </w:rPr>
        <w:footnoteReference w:id="107"/>
      </w:r>
      <w:r w:rsidRPr="00192FCB">
        <w:t xml:space="preserve"> на Комисията, и по-специално член 97 от него,</w:t>
      </w:r>
    </w:p>
    <w:p w14:paraId="1024AE25" w14:textId="77777777" w:rsidR="00443B04" w:rsidRPr="00192FCB" w:rsidRDefault="00443B04" w:rsidP="00443B04">
      <w:pPr>
        <w:pStyle w:val="NormalHanging12a"/>
      </w:pPr>
      <w:r w:rsidRPr="00192FCB">
        <w:t>–</w:t>
      </w:r>
      <w:r w:rsidRPr="00192FCB">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w:t>
      </w:r>
      <w:r w:rsidRPr="00192FCB">
        <w:lastRenderedPageBreak/>
        <w:t>Евратом) 2018/1046 на Европейския парламент и на Съвета</w:t>
      </w:r>
      <w:r w:rsidRPr="00192FCB">
        <w:rPr>
          <w:rStyle w:val="FootnoteReference"/>
        </w:rPr>
        <w:footnoteReference w:id="108"/>
      </w:r>
      <w:r w:rsidRPr="00192FCB">
        <w:t>, и по-специално член 105 от него,</w:t>
      </w:r>
    </w:p>
    <w:p w14:paraId="6A3986BF"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3BF34E44"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000E4A5E"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3F47AC73" w14:textId="77777777" w:rsidR="00443B04" w:rsidRPr="00192FCB" w:rsidRDefault="00443B04" w:rsidP="00443B04">
      <w:pPr>
        <w:pStyle w:val="NormalHanging12a"/>
      </w:pPr>
      <w:r w:rsidRPr="00192FCB">
        <w:t>1.</w:t>
      </w:r>
      <w:r w:rsidRPr="00192FCB">
        <w:tab/>
        <w:t>одобрява приключването на сметките на Европейската агенция по химикали за финансовата 2024 година;</w:t>
      </w:r>
    </w:p>
    <w:p w14:paraId="3BAF8960"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Европейската агенция по химикали,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583607EF" w14:textId="77777777" w:rsidR="00443B04" w:rsidRPr="00192FCB" w:rsidRDefault="00443B04" w:rsidP="00443B04"/>
    <w:p w14:paraId="2BDB306B" w14:textId="77777777" w:rsidR="00443B04" w:rsidRPr="00192FCB" w:rsidRDefault="00443B04" w:rsidP="00443B04"/>
    <w:p w14:paraId="12DD557C" w14:textId="37A6D31E" w:rsidR="00443B04" w:rsidRPr="00192FCB" w:rsidRDefault="00443B04" w:rsidP="00443B04">
      <w:pPr>
        <w:pStyle w:val="PageHeadingDec"/>
      </w:pPr>
    </w:p>
    <w:p w14:paraId="50253D01" w14:textId="77777777" w:rsidR="00443B04" w:rsidRPr="00192FCB" w:rsidRDefault="00443B04" w:rsidP="00443B04">
      <w:pPr>
        <w:pStyle w:val="PageHeadingDec"/>
        <w:sectPr w:rsidR="00443B04" w:rsidRPr="00192FCB" w:rsidSect="00192FCB">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AA1A23" w14:textId="77777777" w:rsidR="005F53B9" w:rsidRDefault="005F53B9" w:rsidP="005F53B9">
      <w:pPr>
        <w:pStyle w:val="ATHeading3"/>
      </w:pPr>
      <w:r>
        <w:lastRenderedPageBreak/>
        <w:t>19. Решение на Европейския парламент от 29 април 2026 г. относно освобождаването от отговорност във връзка с изпълнението на бюджета на Европейската агенция за околна среда за финансовата 2024 година (2025/2156(DEC))</w:t>
      </w:r>
    </w:p>
    <w:p w14:paraId="417ADB09" w14:textId="77777777" w:rsidR="00443B04" w:rsidRPr="00192FCB" w:rsidRDefault="00443B04" w:rsidP="00443B04">
      <w:pPr>
        <w:pStyle w:val="EPComma"/>
      </w:pPr>
      <w:r w:rsidRPr="00192FCB">
        <w:rPr>
          <w:i/>
          <w:iCs/>
        </w:rPr>
        <w:t>Европейският парламент</w:t>
      </w:r>
      <w:r w:rsidRPr="00192FCB">
        <w:t>,</w:t>
      </w:r>
    </w:p>
    <w:p w14:paraId="2131C1BC"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агенция за околна среда за финансовата 2024 година,</w:t>
      </w:r>
    </w:p>
    <w:p w14:paraId="0CE21E7E"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09"/>
      </w:r>
      <w:r w:rsidRPr="00192FCB">
        <w:t>,</w:t>
      </w:r>
    </w:p>
    <w:p w14:paraId="59B88F67"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110"/>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18625523"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0F68D6B7"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4401EA65"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111"/>
      </w:r>
      <w:r w:rsidRPr="00192FCB">
        <w:t>, и по-специално член 70 от него,</w:t>
      </w:r>
    </w:p>
    <w:p w14:paraId="1889FC36" w14:textId="4D55E94D"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12"/>
      </w:r>
      <w:r w:rsidRPr="00192FCB">
        <w:t>, и по-специално член 70 от него,</w:t>
      </w:r>
    </w:p>
    <w:p w14:paraId="009D5D17" w14:textId="77777777" w:rsidR="00443B04" w:rsidRPr="00192FCB" w:rsidRDefault="00443B04" w:rsidP="00443B04">
      <w:pPr>
        <w:pStyle w:val="NormalHanging12a"/>
      </w:pPr>
      <w:r w:rsidRPr="00192FCB">
        <w:t>–</w:t>
      </w:r>
      <w:r w:rsidRPr="00192FCB">
        <w:tab/>
        <w:t>като взе предвид Регламент (ЕО) № 401/2009 на Европейския парламент и на Съвета от 23 април 2009 г. относно Европейската агенция за околна среда и Европейската мрежа за информация и наблюдение на околната среда</w:t>
      </w:r>
      <w:r w:rsidRPr="00192FCB">
        <w:rPr>
          <w:rStyle w:val="FootnoteReference"/>
        </w:rPr>
        <w:footnoteReference w:id="113"/>
      </w:r>
      <w:r w:rsidRPr="00192FCB">
        <w:t>, и по-специално член 13 от него,</w:t>
      </w:r>
    </w:p>
    <w:p w14:paraId="3008FB0C"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114"/>
      </w:r>
      <w:r w:rsidRPr="00192FCB">
        <w:t xml:space="preserve">, и по-специално член </w:t>
      </w:r>
      <w:r w:rsidRPr="00192FCB">
        <w:lastRenderedPageBreak/>
        <w:t>105 от него,</w:t>
      </w:r>
    </w:p>
    <w:p w14:paraId="6393BDF8"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35EBCACB"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31CF9AEC"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04772D06"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Европейската агенция за околна среда във връзка с изпълнението на бюджета на Агенцията за финансовата 2024 година;</w:t>
      </w:r>
    </w:p>
    <w:p w14:paraId="6B06F81F"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0569BF44"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за околна среда,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44DB4CE0" w14:textId="77777777" w:rsidR="00443B04" w:rsidRPr="00192FCB" w:rsidRDefault="00443B04" w:rsidP="00443B04"/>
    <w:p w14:paraId="2C20F78E" w14:textId="77777777" w:rsidR="00443B04" w:rsidRPr="00192FCB" w:rsidRDefault="00443B04" w:rsidP="00443B04">
      <w:pPr>
        <w:pStyle w:val="PageHeadingDec"/>
        <w:sectPr w:rsidR="00443B04" w:rsidRPr="00192FCB" w:rsidSect="00192FCB">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530346" w14:textId="77777777" w:rsidR="005F53B9" w:rsidRDefault="005F53B9" w:rsidP="005F53B9">
      <w:pPr>
        <w:pStyle w:val="ATHeading3"/>
      </w:pPr>
      <w:r>
        <w:lastRenderedPageBreak/>
        <w:t>20. Решение на Европейския парламент от 29 април 2026 г. относно приключването на сметките на Европейската агенция за околна среда за финансовата 2024 година (2025/2156(DEC))</w:t>
      </w:r>
    </w:p>
    <w:p w14:paraId="32427F7B" w14:textId="77777777" w:rsidR="00443B04" w:rsidRPr="00192FCB" w:rsidRDefault="00443B04" w:rsidP="00443B04">
      <w:pPr>
        <w:pStyle w:val="EPComma"/>
      </w:pPr>
      <w:r w:rsidRPr="00192FCB">
        <w:rPr>
          <w:i/>
          <w:iCs/>
        </w:rPr>
        <w:t>Европейският парламент</w:t>
      </w:r>
      <w:r w:rsidRPr="00192FCB">
        <w:t>,</w:t>
      </w:r>
    </w:p>
    <w:p w14:paraId="3C21677A"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агенция за околна среда за финансовата 2024 година,</w:t>
      </w:r>
    </w:p>
    <w:p w14:paraId="688B8C55"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15"/>
      </w:r>
      <w:r w:rsidRPr="00192FCB">
        <w:t>,</w:t>
      </w:r>
    </w:p>
    <w:p w14:paraId="4C9390FD"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116"/>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542E1A44"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07B2932D"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68C4CB1C"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117"/>
      </w:r>
      <w:r w:rsidRPr="00192FCB">
        <w:t>, и по-специално член 70 от него,</w:t>
      </w:r>
    </w:p>
    <w:p w14:paraId="60B0DFFD" w14:textId="73E415C5"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18"/>
      </w:r>
      <w:r w:rsidRPr="00192FCB">
        <w:t>, и по-специално член 70 от него,</w:t>
      </w:r>
    </w:p>
    <w:p w14:paraId="7C8DDF8C" w14:textId="77777777" w:rsidR="00443B04" w:rsidRPr="00192FCB" w:rsidRDefault="00443B04" w:rsidP="00443B04">
      <w:pPr>
        <w:pStyle w:val="NormalHanging12a"/>
      </w:pPr>
      <w:r w:rsidRPr="00192FCB">
        <w:t>–</w:t>
      </w:r>
      <w:r w:rsidRPr="00192FCB">
        <w:tab/>
        <w:t>като взе предвид Регламент (ЕО) № 401/2009 на Европейския парламент и на Съвета от 23 април 2009 г. относно Европейската агенция за околна среда и Европейската мрежа за информация и наблюдение на околната среда</w:t>
      </w:r>
      <w:r w:rsidRPr="00192FCB">
        <w:rPr>
          <w:rStyle w:val="FootnoteReference"/>
        </w:rPr>
        <w:footnoteReference w:id="119"/>
      </w:r>
      <w:r w:rsidRPr="00192FCB">
        <w:t>, и по-специално член 13 от него,</w:t>
      </w:r>
    </w:p>
    <w:p w14:paraId="69C5FA9D"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120"/>
      </w:r>
      <w:r w:rsidRPr="00192FCB">
        <w:t>, и по-специално член 105 от него,</w:t>
      </w:r>
    </w:p>
    <w:p w14:paraId="6B2C4382"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1C26B057"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1347B27B"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4096C6FD" w14:textId="77777777" w:rsidR="00443B04" w:rsidRPr="00192FCB" w:rsidRDefault="00443B04" w:rsidP="00443B04">
      <w:pPr>
        <w:pStyle w:val="NormalHanging12a"/>
      </w:pPr>
      <w:r w:rsidRPr="00192FCB">
        <w:t>1.</w:t>
      </w:r>
      <w:r w:rsidRPr="00192FCB">
        <w:tab/>
        <w:t>одобрява приключването на сметките на Европейската агенция за околна среда за финансовата 2024 година;</w:t>
      </w:r>
    </w:p>
    <w:p w14:paraId="735CBB7D"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Европейската агенция за околна среда,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4791939C" w14:textId="77777777" w:rsidR="00443B04" w:rsidRPr="00192FCB" w:rsidRDefault="00443B04" w:rsidP="00443B04"/>
    <w:p w14:paraId="36D8A269" w14:textId="77777777" w:rsidR="00443B04" w:rsidRPr="00192FCB" w:rsidRDefault="00443B04" w:rsidP="00443B04"/>
    <w:p w14:paraId="2FDB6EB6" w14:textId="08ADC75C" w:rsidR="00443B04" w:rsidRPr="00192FCB" w:rsidRDefault="00443B04" w:rsidP="00443B04">
      <w:pPr>
        <w:pStyle w:val="PageHeadingDec"/>
      </w:pPr>
    </w:p>
    <w:p w14:paraId="10330A6C" w14:textId="77777777" w:rsidR="00443B04" w:rsidRPr="00192FCB" w:rsidRDefault="00443B04" w:rsidP="00443B04">
      <w:pPr>
        <w:pStyle w:val="PageHeadingDec"/>
        <w:sectPr w:rsidR="00443B04" w:rsidRPr="00192FCB" w:rsidSect="00192FCB">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49A73CE" w14:textId="77777777" w:rsidR="005F53B9" w:rsidRDefault="005F53B9" w:rsidP="005F53B9">
      <w:pPr>
        <w:pStyle w:val="ATHeading3"/>
      </w:pPr>
      <w:r>
        <w:lastRenderedPageBreak/>
        <w:t>21. Решение на Европейския парламент от 29 април 2026 г. относно освобождаването от отговорност във връзка с изпълнението на бюджета на Европейската агенция за контрол на рибарството за финансовата 2024 година (2025/2156(DEC))</w:t>
      </w:r>
    </w:p>
    <w:p w14:paraId="1C3D3FE5" w14:textId="77777777" w:rsidR="00443B04" w:rsidRPr="00192FCB" w:rsidRDefault="00443B04" w:rsidP="00443B04">
      <w:pPr>
        <w:pStyle w:val="EPComma"/>
      </w:pPr>
      <w:r w:rsidRPr="00192FCB">
        <w:rPr>
          <w:i/>
          <w:iCs/>
        </w:rPr>
        <w:t>Европейският парламент</w:t>
      </w:r>
      <w:r w:rsidRPr="00192FCB">
        <w:t>,</w:t>
      </w:r>
    </w:p>
    <w:p w14:paraId="74C8F53A"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агенция за контрол на рибарството за финансовата 2024 година,</w:t>
      </w:r>
    </w:p>
    <w:p w14:paraId="5C74A562"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21"/>
      </w:r>
      <w:r w:rsidRPr="00192FCB">
        <w:t>,</w:t>
      </w:r>
    </w:p>
    <w:p w14:paraId="01F98F6D"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122"/>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5DFFEE83"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3E6DEDFC"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1A4FB796"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123"/>
      </w:r>
      <w:r w:rsidRPr="00192FCB">
        <w:t>, и по-специално член 70 от него,</w:t>
      </w:r>
    </w:p>
    <w:p w14:paraId="7F42C390" w14:textId="10242EDD"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24"/>
      </w:r>
      <w:r w:rsidRPr="00192FCB">
        <w:t>, и по-специално член 70 от него,</w:t>
      </w:r>
    </w:p>
    <w:p w14:paraId="3F5575DB" w14:textId="77777777" w:rsidR="00443B04" w:rsidRPr="00192FCB" w:rsidRDefault="00443B04" w:rsidP="00443B04">
      <w:pPr>
        <w:pStyle w:val="NormalHanging12a"/>
      </w:pPr>
      <w:r w:rsidRPr="00192FCB">
        <w:t>–</w:t>
      </w:r>
      <w:r w:rsidRPr="00192FCB">
        <w:tab/>
        <w:t>като взе предвид Регламент (ЕС) 2019/473 на Европейския парламент и на Съвета от 19 март 2019 г. относно Европейската агенция за контрол на рибарството</w:t>
      </w:r>
      <w:r w:rsidRPr="00192FCB">
        <w:rPr>
          <w:rStyle w:val="FootnoteReference"/>
        </w:rPr>
        <w:footnoteReference w:id="125"/>
      </w:r>
      <w:r w:rsidRPr="00192FCB">
        <w:t>, и по-специално член 45 от него,</w:t>
      </w:r>
    </w:p>
    <w:p w14:paraId="4C9726DA"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126"/>
      </w:r>
      <w:r w:rsidRPr="00192FCB">
        <w:t>, и по-специално член 105 от него,</w:t>
      </w:r>
    </w:p>
    <w:p w14:paraId="5DBA604C"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520D1B0D"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5BD39A96"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5FDE56AA"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Европейската агенция за контрол на рибарството във връзка с изпълнението на бюджета на Агенцията за финансовата 2024 година;</w:t>
      </w:r>
    </w:p>
    <w:p w14:paraId="6FAFA05B"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3FA7B2C7"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за контрол на рибарството,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1F824F8A" w14:textId="77777777" w:rsidR="00443B04" w:rsidRPr="00192FCB" w:rsidRDefault="00443B04" w:rsidP="00443B04"/>
    <w:p w14:paraId="65323367" w14:textId="77777777" w:rsidR="00443B04" w:rsidRPr="00192FCB" w:rsidRDefault="00443B04" w:rsidP="00443B04">
      <w:pPr>
        <w:pStyle w:val="PageHeadingDec"/>
        <w:sectPr w:rsidR="00443B04" w:rsidRPr="00192FCB" w:rsidSect="00192FCB">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A70E01" w14:textId="77777777" w:rsidR="005F53B9" w:rsidRDefault="005F53B9" w:rsidP="005F53B9">
      <w:pPr>
        <w:pStyle w:val="ATHeading3"/>
      </w:pPr>
      <w:r>
        <w:lastRenderedPageBreak/>
        <w:t>22. Решение на Европейския парламент от 29 април 2026 г. относно приключването на сметките на Европейската агенция за контрол на рибарството за финансовата 2024 година (2025/2156(DEC))</w:t>
      </w:r>
    </w:p>
    <w:p w14:paraId="0A3BAAB8" w14:textId="77777777" w:rsidR="00443B04" w:rsidRPr="00192FCB" w:rsidRDefault="00443B04" w:rsidP="00443B04">
      <w:pPr>
        <w:pStyle w:val="EPComma"/>
      </w:pPr>
      <w:r w:rsidRPr="00192FCB">
        <w:rPr>
          <w:i/>
          <w:iCs/>
        </w:rPr>
        <w:t>Европейският парламент</w:t>
      </w:r>
      <w:r w:rsidRPr="00192FCB">
        <w:t>,</w:t>
      </w:r>
    </w:p>
    <w:p w14:paraId="2E1103FA"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агенция за контрол на рибарството за финансовата 2024 година,</w:t>
      </w:r>
    </w:p>
    <w:p w14:paraId="5DD24AF6"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27"/>
      </w:r>
      <w:r w:rsidRPr="00192FCB">
        <w:t>,</w:t>
      </w:r>
    </w:p>
    <w:p w14:paraId="6792A199"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128"/>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7F4E4970"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79644C3D"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17CDB86C"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129"/>
      </w:r>
      <w:r w:rsidRPr="00192FCB">
        <w:t>, и по-специално член 70 от него,</w:t>
      </w:r>
    </w:p>
    <w:p w14:paraId="4A28CF3D" w14:textId="57269758"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30"/>
      </w:r>
      <w:r w:rsidRPr="00192FCB">
        <w:t>, и по-специално член 70 от него,</w:t>
      </w:r>
    </w:p>
    <w:p w14:paraId="1AA3465B" w14:textId="77777777" w:rsidR="00443B04" w:rsidRPr="00192FCB" w:rsidRDefault="00443B04" w:rsidP="00443B04">
      <w:pPr>
        <w:pStyle w:val="NormalHanging12a"/>
      </w:pPr>
      <w:r w:rsidRPr="00192FCB">
        <w:t>–</w:t>
      </w:r>
      <w:r w:rsidRPr="00192FCB">
        <w:tab/>
        <w:t>като взе предвид Регламент (ЕС) 2019/473 на Европейския парламент и на Съвета от 19 март 2019 г. относно Европейската агенция за контрол на рибарството</w:t>
      </w:r>
      <w:r w:rsidRPr="00192FCB">
        <w:rPr>
          <w:rStyle w:val="FootnoteReference"/>
        </w:rPr>
        <w:footnoteReference w:id="131"/>
      </w:r>
      <w:r w:rsidRPr="00192FCB">
        <w:t>, и по-специално член 45 от него,</w:t>
      </w:r>
    </w:p>
    <w:p w14:paraId="04CED9D1"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132"/>
      </w:r>
      <w:r w:rsidRPr="00192FCB">
        <w:t>, и по-специално член 105 от него,</w:t>
      </w:r>
    </w:p>
    <w:p w14:paraId="0E86E8B7"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689A7A63"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095613DE"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4644CE57" w14:textId="77777777" w:rsidR="00443B04" w:rsidRPr="00192FCB" w:rsidRDefault="00443B04" w:rsidP="00443B04">
      <w:pPr>
        <w:pStyle w:val="NormalHanging12a"/>
      </w:pPr>
      <w:r w:rsidRPr="00192FCB">
        <w:t>1.</w:t>
      </w:r>
      <w:r w:rsidRPr="00192FCB">
        <w:tab/>
        <w:t>одобрява приключването на сметките на Европейската агенция за контрол на рибарството за финансовата 2024 година;</w:t>
      </w:r>
    </w:p>
    <w:p w14:paraId="58ACBD44"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Европейската агенция за контрол на рибарството,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75E5B57D" w14:textId="77777777" w:rsidR="00443B04" w:rsidRPr="00192FCB" w:rsidRDefault="00443B04" w:rsidP="00443B04"/>
    <w:p w14:paraId="087069CF" w14:textId="77777777" w:rsidR="00443B04" w:rsidRPr="00192FCB" w:rsidRDefault="00443B04" w:rsidP="00443B04"/>
    <w:p w14:paraId="5B97E52B" w14:textId="74E82CA3" w:rsidR="00443B04" w:rsidRPr="00192FCB" w:rsidRDefault="00443B04" w:rsidP="00443B04">
      <w:pPr>
        <w:pStyle w:val="PageHeadingDec"/>
      </w:pPr>
    </w:p>
    <w:p w14:paraId="6D3F7A96" w14:textId="77777777" w:rsidR="00443B04" w:rsidRPr="00192FCB" w:rsidRDefault="00443B04" w:rsidP="00443B04">
      <w:pPr>
        <w:pStyle w:val="PageHeadingDec"/>
        <w:sectPr w:rsidR="00443B04" w:rsidRPr="00192FCB" w:rsidSect="00192FCB">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B71C4D" w14:textId="77777777" w:rsidR="005F53B9" w:rsidRDefault="005F53B9" w:rsidP="005F53B9">
      <w:pPr>
        <w:pStyle w:val="ATHeading3"/>
      </w:pPr>
      <w:r>
        <w:lastRenderedPageBreak/>
        <w:t>23. Решение на Европейския парламент от 29 април 2026 г. относно освобождаването от отговорност във връзка с изпълнението на бюджета на Европейския орган за безопасност на храните за финансовата 2024 година (2025/2156(DEC))</w:t>
      </w:r>
    </w:p>
    <w:p w14:paraId="7E8DC6B2" w14:textId="77777777" w:rsidR="00443B04" w:rsidRPr="00192FCB" w:rsidRDefault="00443B04" w:rsidP="00443B04">
      <w:pPr>
        <w:pStyle w:val="EPComma"/>
      </w:pPr>
      <w:r w:rsidRPr="00192FCB">
        <w:rPr>
          <w:i/>
          <w:iCs/>
        </w:rPr>
        <w:t>Европейският парламент</w:t>
      </w:r>
      <w:r w:rsidRPr="00192FCB">
        <w:t>,</w:t>
      </w:r>
    </w:p>
    <w:p w14:paraId="200C9DCA"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орган за безопасност на храните за финансовата 2024 година,</w:t>
      </w:r>
    </w:p>
    <w:p w14:paraId="1F0E236E"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33"/>
      </w:r>
      <w:r w:rsidRPr="00192FCB">
        <w:t>,</w:t>
      </w:r>
    </w:p>
    <w:p w14:paraId="7C71ECA7"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134"/>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990BDA0"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Органа във връзка с изпълнението на бюджета за финансовата 2024 година (05750/2026 – C10-0148/2026),</w:t>
      </w:r>
    </w:p>
    <w:p w14:paraId="00C77FD1"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007F1C7E"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135"/>
      </w:r>
      <w:r w:rsidRPr="00192FCB">
        <w:t>, и по-специално член 70 от него,</w:t>
      </w:r>
    </w:p>
    <w:p w14:paraId="2774BDA8" w14:textId="7E88FA9C"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36"/>
      </w:r>
      <w:r w:rsidRPr="00192FCB">
        <w:t>, и по-специално член 70 от него,</w:t>
      </w:r>
    </w:p>
    <w:p w14:paraId="449C97A1" w14:textId="77777777" w:rsidR="00443B04" w:rsidRPr="00192FCB" w:rsidRDefault="00443B04" w:rsidP="00443B04">
      <w:pPr>
        <w:pStyle w:val="NormalHanging12a"/>
      </w:pPr>
      <w:r w:rsidRPr="00192FCB">
        <w:t>–</w:t>
      </w:r>
      <w:r w:rsidRPr="00192FCB">
        <w:tab/>
        <w:t>като взе предвид 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w:t>
      </w:r>
      <w:r w:rsidRPr="00192FCB">
        <w:rPr>
          <w:rStyle w:val="FootnoteReference"/>
        </w:rPr>
        <w:footnoteReference w:id="137"/>
      </w:r>
      <w:r w:rsidRPr="00192FCB">
        <w:t>, и по-специално член 44 от него,</w:t>
      </w:r>
    </w:p>
    <w:p w14:paraId="4671D284"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138"/>
      </w:r>
      <w:r w:rsidRPr="00192FCB">
        <w:t xml:space="preserve">, и по-специално член </w:t>
      </w:r>
      <w:r w:rsidRPr="00192FCB">
        <w:lastRenderedPageBreak/>
        <w:t>105 от него,</w:t>
      </w:r>
    </w:p>
    <w:p w14:paraId="17A5FE01"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560E1CFE"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767B11B0"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6A628FD6"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Европейския орган за безопасност на храните във връзка с изпълнението на бюджета на Органа за финансовата 2024 година;</w:t>
      </w:r>
    </w:p>
    <w:p w14:paraId="6234EB2B"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232EB613"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Европейския орган за безопасност на храните,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520BCE7E" w14:textId="77777777" w:rsidR="00443B04" w:rsidRPr="00192FCB" w:rsidRDefault="00443B04" w:rsidP="00443B04"/>
    <w:p w14:paraId="29FD9E94" w14:textId="77777777" w:rsidR="00443B04" w:rsidRPr="00192FCB" w:rsidRDefault="00443B04" w:rsidP="00443B04">
      <w:pPr>
        <w:pStyle w:val="PageHeadingDec"/>
        <w:sectPr w:rsidR="00443B04" w:rsidRPr="00192FCB" w:rsidSect="00192FCB">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6CB63D" w14:textId="77777777" w:rsidR="005F53B9" w:rsidRDefault="005F53B9" w:rsidP="005F53B9">
      <w:pPr>
        <w:pStyle w:val="ATHeading3"/>
      </w:pPr>
      <w:r>
        <w:lastRenderedPageBreak/>
        <w:t>24. Решение на Европейския парламент от 29 април 2026 г. относно приключването на сметките на Европейския орган за безопасност на храните за финансовата 2024 година (2025/2156(DEC))</w:t>
      </w:r>
    </w:p>
    <w:p w14:paraId="22BFFCB7" w14:textId="77777777" w:rsidR="00443B04" w:rsidRPr="00192FCB" w:rsidRDefault="00443B04" w:rsidP="00443B04">
      <w:pPr>
        <w:pStyle w:val="EPComma"/>
      </w:pPr>
      <w:r w:rsidRPr="00192FCB">
        <w:rPr>
          <w:i/>
          <w:iCs/>
        </w:rPr>
        <w:t>Европейският парламент</w:t>
      </w:r>
      <w:r w:rsidRPr="00192FCB">
        <w:t>,</w:t>
      </w:r>
    </w:p>
    <w:p w14:paraId="3A4EBE77"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орган за безопасност на храните за финансовата 2024 година,</w:t>
      </w:r>
    </w:p>
    <w:p w14:paraId="79EDA7BB"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39"/>
      </w:r>
      <w:r w:rsidRPr="00192FCB">
        <w:t>,</w:t>
      </w:r>
    </w:p>
    <w:p w14:paraId="2D489C3B"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140"/>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559E6178"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Органа във връзка с изпълнението на бюджета за финансовата 2024 година (05750/2026 – C10-0148/2026),</w:t>
      </w:r>
    </w:p>
    <w:p w14:paraId="380E10DC"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0EA9A0B7"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141"/>
      </w:r>
      <w:r w:rsidRPr="00192FCB">
        <w:t>, и по-специално член 70 от него,</w:t>
      </w:r>
    </w:p>
    <w:p w14:paraId="1C874953" w14:textId="6803253C"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42"/>
      </w:r>
      <w:r w:rsidRPr="00192FCB">
        <w:t>, и по-специално член 70 от него,</w:t>
      </w:r>
    </w:p>
    <w:p w14:paraId="0D14BB83" w14:textId="77777777" w:rsidR="00443B04" w:rsidRPr="00192FCB" w:rsidRDefault="00443B04" w:rsidP="00443B04">
      <w:pPr>
        <w:pStyle w:val="NormalHanging12a"/>
      </w:pPr>
      <w:r w:rsidRPr="00192FCB">
        <w:t>–</w:t>
      </w:r>
      <w:r w:rsidRPr="00192FCB">
        <w:tab/>
        <w:t>като взе предвид 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w:t>
      </w:r>
      <w:r w:rsidRPr="00192FCB">
        <w:rPr>
          <w:rStyle w:val="FootnoteReference"/>
        </w:rPr>
        <w:footnoteReference w:id="143"/>
      </w:r>
      <w:r w:rsidRPr="00192FCB">
        <w:t>, и по-специално член 44 от него,</w:t>
      </w:r>
    </w:p>
    <w:p w14:paraId="6F6A5991"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144"/>
      </w:r>
      <w:r w:rsidRPr="00192FCB">
        <w:t xml:space="preserve">, и по-специално член </w:t>
      </w:r>
      <w:r w:rsidRPr="00192FCB">
        <w:lastRenderedPageBreak/>
        <w:t>105 от него,</w:t>
      </w:r>
    </w:p>
    <w:p w14:paraId="5DFB0CBB"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032441EC"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2101A200"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56B0945F" w14:textId="77777777" w:rsidR="00443B04" w:rsidRPr="00192FCB" w:rsidRDefault="00443B04" w:rsidP="00443B04">
      <w:pPr>
        <w:pStyle w:val="NormalHanging12a"/>
      </w:pPr>
      <w:r w:rsidRPr="00192FCB">
        <w:t>1.</w:t>
      </w:r>
      <w:r w:rsidRPr="00192FCB">
        <w:tab/>
        <w:t>одобрява приключването на сметките на Европейския орган за безопасност на храните за финансовата 2024 година;</w:t>
      </w:r>
    </w:p>
    <w:p w14:paraId="4F38DE19"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Европейския орган за безопасност на храните,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53AD39E6" w14:textId="77777777" w:rsidR="00443B04" w:rsidRPr="00192FCB" w:rsidRDefault="00443B04" w:rsidP="00443B04"/>
    <w:p w14:paraId="37931E12" w14:textId="77777777" w:rsidR="00443B04" w:rsidRPr="00192FCB" w:rsidRDefault="00443B04" w:rsidP="00443B04"/>
    <w:p w14:paraId="21F57980" w14:textId="3F572BF6" w:rsidR="00443B04" w:rsidRPr="00192FCB" w:rsidRDefault="00443B04" w:rsidP="00443B04">
      <w:pPr>
        <w:pStyle w:val="PageHeadingDec"/>
      </w:pPr>
    </w:p>
    <w:p w14:paraId="6142D89F" w14:textId="77777777" w:rsidR="00443B04" w:rsidRPr="00192FCB" w:rsidRDefault="00443B04" w:rsidP="00443B04">
      <w:pPr>
        <w:pStyle w:val="PageHeadingDec"/>
        <w:sectPr w:rsidR="00443B04" w:rsidRPr="00192FCB" w:rsidSect="00192FCB">
          <w:footerReference w:type="first" r:id="rId3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8BE8392" w14:textId="77777777" w:rsidR="005F53B9" w:rsidRDefault="005F53B9" w:rsidP="005F53B9">
      <w:pPr>
        <w:pStyle w:val="ATHeading3"/>
      </w:pPr>
      <w:r>
        <w:lastRenderedPageBreak/>
        <w:t>25. Решение на Европейския парламент от 29 април 2026 г. относно освобождаването от отговорност във връзка с изпълнението на бюджета на Европейския институт за равенство между половете за финансовата 2024 година (2025/2156(DEC))</w:t>
      </w:r>
    </w:p>
    <w:p w14:paraId="4A76E8EB" w14:textId="77777777" w:rsidR="00443B04" w:rsidRPr="00192FCB" w:rsidRDefault="00443B04" w:rsidP="00443B04">
      <w:pPr>
        <w:pStyle w:val="EPComma"/>
      </w:pPr>
      <w:r w:rsidRPr="00192FCB">
        <w:rPr>
          <w:i/>
          <w:iCs/>
        </w:rPr>
        <w:t>Европейският парламент</w:t>
      </w:r>
      <w:r w:rsidRPr="00192FCB">
        <w:t>,</w:t>
      </w:r>
    </w:p>
    <w:p w14:paraId="4ED25264"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институт за равенство между половете за финансовата 2024 година,</w:t>
      </w:r>
    </w:p>
    <w:p w14:paraId="75AFAA0E"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45"/>
      </w:r>
      <w:r w:rsidRPr="00192FCB">
        <w:t>,</w:t>
      </w:r>
    </w:p>
    <w:p w14:paraId="6F1BD238"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146"/>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195CA75B"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Института във връзка с изпълнението на бюджета за финансовата 2024 година (05750/2026 – C10-0148/2026),</w:t>
      </w:r>
    </w:p>
    <w:p w14:paraId="128D0F06"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48861F2A"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147"/>
      </w:r>
      <w:r w:rsidRPr="00192FCB">
        <w:t>, и по-специално член 70 от него,</w:t>
      </w:r>
    </w:p>
    <w:p w14:paraId="5C665AC2" w14:textId="5BB864A8"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48"/>
      </w:r>
      <w:r w:rsidRPr="00192FCB">
        <w:t>, и по-специално член 70 от него,</w:t>
      </w:r>
    </w:p>
    <w:p w14:paraId="5DB4AFC6" w14:textId="77777777" w:rsidR="00443B04" w:rsidRPr="00192FCB" w:rsidRDefault="00443B04" w:rsidP="00443B04">
      <w:pPr>
        <w:pStyle w:val="NormalHanging12a"/>
      </w:pPr>
      <w:r w:rsidRPr="00192FCB">
        <w:t>–</w:t>
      </w:r>
      <w:r w:rsidRPr="00192FCB">
        <w:tab/>
        <w:t>като взе предвид Регламент (ЕО) № 1922/2006 на Европейския парламент и на Съвета от 20 декември 2006 г. за създаване на Европейски институт за равенство между половете</w:t>
      </w:r>
      <w:r w:rsidRPr="00192FCB">
        <w:rPr>
          <w:rStyle w:val="FootnoteReference"/>
        </w:rPr>
        <w:footnoteReference w:id="149"/>
      </w:r>
      <w:r w:rsidRPr="00192FCB">
        <w:t>, и по-специално член 15 от него,</w:t>
      </w:r>
    </w:p>
    <w:p w14:paraId="77C81CF6"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150"/>
      </w:r>
      <w:r w:rsidRPr="00192FCB">
        <w:t>, и по-специално член 105 от него,</w:t>
      </w:r>
    </w:p>
    <w:p w14:paraId="530C07FF"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0F9B9A94"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5F85EA8B"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2F83BAFA" w14:textId="77777777" w:rsidR="00443B04" w:rsidRPr="00192FCB" w:rsidRDefault="00443B04" w:rsidP="00443B04">
      <w:pPr>
        <w:pStyle w:val="NormalHanging12a"/>
      </w:pPr>
      <w:r w:rsidRPr="00192FCB">
        <w:t>1.</w:t>
      </w:r>
      <w:r w:rsidRPr="00192FCB">
        <w:tab/>
        <w:t>освобождава от отговорност директора на Европейския институт за равенство между половете във връзка с изпълнението на бюджета на Института за финансовата 2024 година;</w:t>
      </w:r>
    </w:p>
    <w:p w14:paraId="6BA8D28C"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46A23ADF"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директора на Европейския институт за равенство между половете,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58B95A25" w14:textId="77777777" w:rsidR="00443B04" w:rsidRPr="00192FCB" w:rsidRDefault="00443B04" w:rsidP="00443B04"/>
    <w:p w14:paraId="59C4352D" w14:textId="77777777" w:rsidR="00443B04" w:rsidRPr="00192FCB" w:rsidRDefault="00443B04" w:rsidP="00443B04">
      <w:pPr>
        <w:pStyle w:val="PageHeadingDec"/>
        <w:sectPr w:rsidR="00443B04" w:rsidRPr="00192FCB" w:rsidSect="00192FCB">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16348B" w14:textId="77777777" w:rsidR="005F53B9" w:rsidRDefault="005F53B9" w:rsidP="005F53B9">
      <w:pPr>
        <w:pStyle w:val="ATHeading3"/>
      </w:pPr>
      <w:r>
        <w:lastRenderedPageBreak/>
        <w:t>26. Решение на Европейския парламент от 29 април 2026 г. относно приключването на сметките на Европейския институт за равенство между половете за финансовата 2024 година (2025/2156(DEC))</w:t>
      </w:r>
    </w:p>
    <w:p w14:paraId="7078F4B5" w14:textId="77777777" w:rsidR="00443B04" w:rsidRPr="00192FCB" w:rsidRDefault="00443B04" w:rsidP="00443B04">
      <w:pPr>
        <w:pStyle w:val="EPComma"/>
      </w:pPr>
      <w:r w:rsidRPr="00192FCB">
        <w:rPr>
          <w:i/>
          <w:iCs/>
        </w:rPr>
        <w:t>Европейският парламент</w:t>
      </w:r>
      <w:r w:rsidRPr="00192FCB">
        <w:t>,</w:t>
      </w:r>
    </w:p>
    <w:p w14:paraId="6B50AA7A"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институт за равенство между половете за финансовата 2024 година,</w:t>
      </w:r>
    </w:p>
    <w:p w14:paraId="10A90BBA"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51"/>
      </w:r>
      <w:r w:rsidRPr="00192FCB">
        <w:t>,</w:t>
      </w:r>
    </w:p>
    <w:p w14:paraId="4033865C"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152"/>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13B63C36"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Института във връзка с изпълнението на бюджета за финансовата 2024 година (05750/2026 – C10-0148/2026),</w:t>
      </w:r>
    </w:p>
    <w:p w14:paraId="51308D5A"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4EAB9634"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153"/>
      </w:r>
      <w:r w:rsidRPr="00192FCB">
        <w:t>, и по-специално член 70 от него,</w:t>
      </w:r>
    </w:p>
    <w:p w14:paraId="27AE20EF" w14:textId="4BFA7685"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54"/>
      </w:r>
      <w:r w:rsidRPr="00192FCB">
        <w:t>, и по-специално член 70 от него,</w:t>
      </w:r>
    </w:p>
    <w:p w14:paraId="5E3234B5" w14:textId="77777777" w:rsidR="00443B04" w:rsidRPr="00192FCB" w:rsidRDefault="00443B04" w:rsidP="00443B04">
      <w:pPr>
        <w:pStyle w:val="NormalHanging12a"/>
      </w:pPr>
      <w:r w:rsidRPr="00192FCB">
        <w:t>–</w:t>
      </w:r>
      <w:r w:rsidRPr="00192FCB">
        <w:tab/>
        <w:t>като взе предвид Регламент (ЕО) № 1922/2006 на Европейския парламент и на Съвета от 20 декември 2006 г. за създаване на Европейски институт за равенство между половете</w:t>
      </w:r>
      <w:r w:rsidRPr="00192FCB">
        <w:rPr>
          <w:rStyle w:val="FootnoteReference"/>
        </w:rPr>
        <w:footnoteReference w:id="155"/>
      </w:r>
      <w:r w:rsidRPr="00192FCB">
        <w:t>, и по-специално член 15 от него,</w:t>
      </w:r>
    </w:p>
    <w:p w14:paraId="471CF352"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156"/>
      </w:r>
      <w:r w:rsidRPr="00192FCB">
        <w:t>, и по-специално член 105 от него,</w:t>
      </w:r>
    </w:p>
    <w:p w14:paraId="3CAF7C63"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3343B583"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47972A5F"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0D4158CE" w14:textId="77777777" w:rsidR="00443B04" w:rsidRPr="00192FCB" w:rsidRDefault="00443B04" w:rsidP="00443B04">
      <w:pPr>
        <w:pStyle w:val="NormalHanging12a"/>
      </w:pPr>
      <w:r w:rsidRPr="00192FCB">
        <w:t>1.</w:t>
      </w:r>
      <w:r w:rsidRPr="00192FCB">
        <w:tab/>
        <w:t>одобрява приключването на сметките на Европейския институт за равенство между половете за финансовата 2024 година;</w:t>
      </w:r>
    </w:p>
    <w:p w14:paraId="1EF88598"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директора на Европейския институт за равенство между половете,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3F29D8E2" w14:textId="77777777" w:rsidR="00443B04" w:rsidRPr="00192FCB" w:rsidRDefault="00443B04" w:rsidP="00443B04"/>
    <w:p w14:paraId="43722693" w14:textId="77777777" w:rsidR="00443B04" w:rsidRPr="00192FCB" w:rsidRDefault="00443B04" w:rsidP="00443B04"/>
    <w:p w14:paraId="0D3EB264" w14:textId="71A313DC" w:rsidR="00443B04" w:rsidRPr="00192FCB" w:rsidRDefault="00443B04" w:rsidP="00443B04">
      <w:pPr>
        <w:pStyle w:val="PageHeadingDec"/>
      </w:pPr>
    </w:p>
    <w:p w14:paraId="394E69C4" w14:textId="77777777" w:rsidR="00443B04" w:rsidRPr="00192FCB" w:rsidRDefault="00443B04" w:rsidP="00443B04">
      <w:pPr>
        <w:pStyle w:val="PageHeadingDec"/>
        <w:sectPr w:rsidR="00443B04" w:rsidRPr="00192FCB" w:rsidSect="00192FCB">
          <w:footerReference w:type="first" r:id="rId3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169DC0" w14:textId="77777777" w:rsidR="005F53B9" w:rsidRDefault="005F53B9" w:rsidP="005F53B9">
      <w:pPr>
        <w:pStyle w:val="ATHeading3"/>
      </w:pPr>
      <w:r>
        <w:lastRenderedPageBreak/>
        <w:t>27. Решение на Европейския парламент от 29 април 2026 г. относно освобождаването от отговорност във връзка с изпълнението на бюджета на Европейския орган за застраховане и професионално пенсионно осигуряване за финансовата 2024 година (2025/2156(DEC))</w:t>
      </w:r>
    </w:p>
    <w:p w14:paraId="6400B38C" w14:textId="77777777" w:rsidR="00443B04" w:rsidRPr="00192FCB" w:rsidRDefault="00443B04" w:rsidP="00443B04">
      <w:pPr>
        <w:pStyle w:val="EPComma"/>
      </w:pPr>
      <w:r w:rsidRPr="00192FCB">
        <w:rPr>
          <w:i/>
          <w:iCs/>
        </w:rPr>
        <w:t>Европейският парламент</w:t>
      </w:r>
      <w:r w:rsidRPr="00192FCB">
        <w:t>,</w:t>
      </w:r>
    </w:p>
    <w:p w14:paraId="09F4EBA9"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орган за застраховане и професионално пенсионно осигуряване за финансовата 2024 година,</w:t>
      </w:r>
    </w:p>
    <w:p w14:paraId="14017828"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57"/>
      </w:r>
      <w:r w:rsidRPr="00192FCB">
        <w:t>,</w:t>
      </w:r>
    </w:p>
    <w:p w14:paraId="176B4E21"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158"/>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0AA1194A"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Органа във връзка с изпълнението на бюджета за финансовата 2024 година (05750/2026 – C10-0148/2026),</w:t>
      </w:r>
    </w:p>
    <w:p w14:paraId="6153E26E"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6A2278CA"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159"/>
      </w:r>
      <w:r w:rsidRPr="00192FCB">
        <w:t>, и по-специално член 70 от него,</w:t>
      </w:r>
    </w:p>
    <w:p w14:paraId="4780CDA0" w14:textId="62A19EF6"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60"/>
      </w:r>
      <w:r w:rsidRPr="00192FCB">
        <w:t>, и по-специално член 70 от него,</w:t>
      </w:r>
    </w:p>
    <w:p w14:paraId="335D50B6" w14:textId="77777777" w:rsidR="00443B04" w:rsidRPr="00192FCB" w:rsidRDefault="00443B04" w:rsidP="00443B04">
      <w:pPr>
        <w:pStyle w:val="NormalHanging12a"/>
      </w:pPr>
      <w:r w:rsidRPr="00192FCB">
        <w:t>–</w:t>
      </w:r>
      <w:r w:rsidRPr="00192FCB">
        <w:tab/>
        <w:t>като взе предвид Регламент (ЕС) № 1094/2010 на Европейския парламент и на Съвета от 24 ноември 2010 г. за създаване на Европейски надзорен орган (Европейски орган за застраховане и професионално пенсионно осигуряване), за изменение на Решение № 716/2009/ЕО и за отмяна на Решение 2009/79/ЕО</w:t>
      </w:r>
      <w:r w:rsidRPr="00192FCB">
        <w:rPr>
          <w:rStyle w:val="FootnoteReference"/>
        </w:rPr>
        <w:footnoteReference w:id="161"/>
      </w:r>
      <w:r w:rsidRPr="00192FCB">
        <w:t xml:space="preserve"> на Комисията, и по-специално член 64 от него,</w:t>
      </w:r>
    </w:p>
    <w:p w14:paraId="1DEE2AF0" w14:textId="77777777" w:rsidR="00443B04" w:rsidRPr="00192FCB" w:rsidRDefault="00443B04" w:rsidP="00443B04">
      <w:pPr>
        <w:pStyle w:val="NormalHanging12a"/>
      </w:pPr>
      <w:r w:rsidRPr="00192FCB">
        <w:t>–</w:t>
      </w:r>
      <w:r w:rsidRPr="00192FCB">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w:t>
      </w:r>
      <w:r w:rsidRPr="00192FCB">
        <w:lastRenderedPageBreak/>
        <w:t>Евратом) 2018/1046 на Европейския парламент и на Съвета</w:t>
      </w:r>
      <w:r w:rsidRPr="00192FCB">
        <w:rPr>
          <w:rStyle w:val="FootnoteReference"/>
        </w:rPr>
        <w:footnoteReference w:id="162"/>
      </w:r>
      <w:r w:rsidRPr="00192FCB">
        <w:t>, и по-специално член 105 от него,</w:t>
      </w:r>
    </w:p>
    <w:p w14:paraId="54F20457"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639D5E90"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274195CD"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1A1CAAFF"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Европейския орган за застраховане и професионално пенсионно осигуряване във връзка с изпълнението на бюджета на Органа за финансовата 2024 година;</w:t>
      </w:r>
    </w:p>
    <w:p w14:paraId="58D8C417"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0EE77CD3"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Европейския орган за застраховане и професионално пенсионно осигуряване,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61AC75A7" w14:textId="77777777" w:rsidR="00443B04" w:rsidRPr="00192FCB" w:rsidRDefault="00443B04" w:rsidP="00443B04"/>
    <w:p w14:paraId="302A810E" w14:textId="77777777" w:rsidR="00443B04" w:rsidRPr="00192FCB" w:rsidRDefault="00443B04" w:rsidP="00443B04">
      <w:pPr>
        <w:pStyle w:val="PageHeadingDec"/>
        <w:sectPr w:rsidR="00443B04" w:rsidRPr="00192FCB" w:rsidSect="00192FCB">
          <w:footerReference w:type="first" r:id="rId3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2A6191A" w14:textId="77777777" w:rsidR="005F53B9" w:rsidRDefault="005F53B9" w:rsidP="005F53B9">
      <w:pPr>
        <w:pStyle w:val="ATHeading3"/>
      </w:pPr>
      <w:r>
        <w:lastRenderedPageBreak/>
        <w:t>28. Решение на Европейския парламент от 29 април 2026 г. относно приключването на сметките на Европейския орган за застраховане и професионално пенсионно осигуряване за финансовата 2024 година (2025/2156(DEC))</w:t>
      </w:r>
    </w:p>
    <w:p w14:paraId="07EB662E" w14:textId="77777777" w:rsidR="00443B04" w:rsidRPr="00192FCB" w:rsidRDefault="00443B04" w:rsidP="00443B04">
      <w:pPr>
        <w:pStyle w:val="EPComma"/>
      </w:pPr>
      <w:r w:rsidRPr="00192FCB">
        <w:rPr>
          <w:i/>
          <w:iCs/>
        </w:rPr>
        <w:t>Европейският парламент</w:t>
      </w:r>
      <w:r w:rsidRPr="00192FCB">
        <w:t>,</w:t>
      </w:r>
    </w:p>
    <w:p w14:paraId="6CBBB9F7"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орган за застраховане и професионално пенсионно осигуряване за финансовата 2024 година,</w:t>
      </w:r>
    </w:p>
    <w:p w14:paraId="78DA2EF7"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63"/>
      </w:r>
      <w:r w:rsidRPr="00192FCB">
        <w:t>,</w:t>
      </w:r>
    </w:p>
    <w:p w14:paraId="6548ABD8"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164"/>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2FF56FE3"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Органа във връзка с изпълнението на бюджета за финансовата 2024 година (05750/2026 – C10-0148/2026),</w:t>
      </w:r>
    </w:p>
    <w:p w14:paraId="75D218F3"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1814190B"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165"/>
      </w:r>
      <w:r w:rsidRPr="00192FCB">
        <w:t>, и по-специално член 70 от него,</w:t>
      </w:r>
    </w:p>
    <w:p w14:paraId="56116AB9" w14:textId="6D5C2A9E"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66"/>
      </w:r>
      <w:r w:rsidRPr="00192FCB">
        <w:t>, и по-специално член 70 от него,</w:t>
      </w:r>
    </w:p>
    <w:p w14:paraId="75383018" w14:textId="77777777" w:rsidR="00443B04" w:rsidRPr="00192FCB" w:rsidRDefault="00443B04" w:rsidP="00443B04">
      <w:pPr>
        <w:pStyle w:val="NormalHanging12a"/>
      </w:pPr>
      <w:r w:rsidRPr="00192FCB">
        <w:t>–</w:t>
      </w:r>
      <w:r w:rsidRPr="00192FCB">
        <w:tab/>
        <w:t>като взе предвид Регламент (ЕС) № 1094/2010 на Европейския парламент и на Съвета от 24 ноември 2010 г. за създаване на Европейски надзорен орган (Европейски орган за застраховане и професионално пенсионно осигуряване), за изменение на Решение № 716/2009/ЕО и за отмяна на Решение 2009/79/ЕО</w:t>
      </w:r>
      <w:r w:rsidRPr="00192FCB">
        <w:rPr>
          <w:rStyle w:val="FootnoteReference"/>
        </w:rPr>
        <w:footnoteReference w:id="167"/>
      </w:r>
      <w:r w:rsidRPr="00192FCB">
        <w:t xml:space="preserve"> на Комисията, и по-специално член 64 от него,</w:t>
      </w:r>
    </w:p>
    <w:p w14:paraId="0799F059" w14:textId="77777777" w:rsidR="00443B04" w:rsidRPr="00192FCB" w:rsidRDefault="00443B04" w:rsidP="00443B04">
      <w:pPr>
        <w:pStyle w:val="NormalHanging12a"/>
      </w:pPr>
      <w:r w:rsidRPr="00192FCB">
        <w:t>–</w:t>
      </w:r>
      <w:r w:rsidRPr="00192FCB">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w:t>
      </w:r>
      <w:r w:rsidRPr="00192FCB">
        <w:lastRenderedPageBreak/>
        <w:t>Евратом) 2018/1046 на Европейския парламент и на Съвета</w:t>
      </w:r>
      <w:r w:rsidRPr="00192FCB">
        <w:rPr>
          <w:rStyle w:val="FootnoteReference"/>
        </w:rPr>
        <w:footnoteReference w:id="168"/>
      </w:r>
      <w:r w:rsidRPr="00192FCB">
        <w:t>, и по-специално член 105 от него,</w:t>
      </w:r>
    </w:p>
    <w:p w14:paraId="37A641E7"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003AFDE8"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722B6F97"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0764EA8C" w14:textId="77777777" w:rsidR="00443B04" w:rsidRPr="00192FCB" w:rsidRDefault="00443B04" w:rsidP="00443B04">
      <w:pPr>
        <w:pStyle w:val="NormalHanging12a"/>
      </w:pPr>
      <w:r w:rsidRPr="00192FCB">
        <w:t>1.</w:t>
      </w:r>
      <w:r w:rsidRPr="00192FCB">
        <w:tab/>
        <w:t>одобрява приключването на сметките на Европейския орган за застраховане и професионално пенсионно осигуряване за финансовата 2024 година;</w:t>
      </w:r>
    </w:p>
    <w:p w14:paraId="4586B3EF"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Европейския орган за застраховане и професионално пенсионно осигуряване,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5BB19EB4" w14:textId="77777777" w:rsidR="00443B04" w:rsidRPr="00192FCB" w:rsidRDefault="00443B04" w:rsidP="00443B04"/>
    <w:p w14:paraId="48225926" w14:textId="77777777" w:rsidR="00443B04" w:rsidRPr="00192FCB" w:rsidRDefault="00443B04" w:rsidP="00443B04"/>
    <w:p w14:paraId="68C2E703" w14:textId="3B263281" w:rsidR="00443B04" w:rsidRPr="00192FCB" w:rsidRDefault="00443B04" w:rsidP="00443B04">
      <w:pPr>
        <w:pStyle w:val="PageHeadingDec"/>
      </w:pPr>
    </w:p>
    <w:p w14:paraId="182540A0" w14:textId="77777777" w:rsidR="00443B04" w:rsidRPr="00192FCB" w:rsidRDefault="00443B04" w:rsidP="00443B04">
      <w:pPr>
        <w:pStyle w:val="PageHeadingDec"/>
        <w:sectPr w:rsidR="00443B04" w:rsidRPr="00192FCB" w:rsidSect="00192FCB">
          <w:footerReference w:type="first" r:id="rId3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08F0C8" w14:textId="77777777" w:rsidR="005F53B9" w:rsidRDefault="005F53B9" w:rsidP="005F53B9">
      <w:pPr>
        <w:pStyle w:val="ATHeading3"/>
      </w:pPr>
      <w:r>
        <w:lastRenderedPageBreak/>
        <w:t>29. Решение на Европейския парламент от 29 април 2026 г. относно освобождаването от отговорност във връзка с изпълнението на бюджета на Европейския институт за иновации и технологии за финансовата 2024 година (2025/2156(DEC))</w:t>
      </w:r>
    </w:p>
    <w:p w14:paraId="15D950CF" w14:textId="77777777" w:rsidR="00443B04" w:rsidRPr="00192FCB" w:rsidRDefault="00443B04" w:rsidP="00443B04">
      <w:pPr>
        <w:pStyle w:val="EPComma"/>
      </w:pPr>
      <w:r w:rsidRPr="00192FCB">
        <w:rPr>
          <w:i/>
          <w:iCs/>
        </w:rPr>
        <w:t>Европейският парламент</w:t>
      </w:r>
      <w:r w:rsidRPr="00192FCB">
        <w:t>,</w:t>
      </w:r>
    </w:p>
    <w:p w14:paraId="4CFDD57D"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институт за иновации и технологии за финансовата 2024 година,</w:t>
      </w:r>
    </w:p>
    <w:p w14:paraId="40F3F068"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69"/>
      </w:r>
      <w:r w:rsidRPr="00192FCB">
        <w:t>,</w:t>
      </w:r>
    </w:p>
    <w:p w14:paraId="695A9102"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170"/>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5279E1A7"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Института във връзка с изпълнението на бюджета за финансовата 2024 година (05750/2026 – C10-0148/2026),</w:t>
      </w:r>
    </w:p>
    <w:p w14:paraId="28D29B09"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32927A2B"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171"/>
      </w:r>
      <w:r w:rsidRPr="00192FCB">
        <w:t>, и по-специално член 70 от него,</w:t>
      </w:r>
    </w:p>
    <w:p w14:paraId="38658B8E" w14:textId="03DBD4C8"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72"/>
      </w:r>
      <w:r w:rsidRPr="00192FCB">
        <w:t>, и по-специално член 70 от него,</w:t>
      </w:r>
    </w:p>
    <w:p w14:paraId="2AA78873" w14:textId="77777777" w:rsidR="00443B04" w:rsidRPr="00192FCB" w:rsidRDefault="00443B04" w:rsidP="00443B04">
      <w:pPr>
        <w:pStyle w:val="NormalHanging12a"/>
      </w:pPr>
      <w:r w:rsidRPr="00192FCB">
        <w:t>–</w:t>
      </w:r>
      <w:r w:rsidRPr="00192FCB">
        <w:tab/>
        <w:t>като взе предвид Регламент (ЕС) 2021/819 на Европейския парламент и на Съвета от 20 май 2021 г. относно Европейския институт за иновации и технологии</w:t>
      </w:r>
      <w:r w:rsidRPr="00192FCB">
        <w:rPr>
          <w:rStyle w:val="FootnoteReference"/>
        </w:rPr>
        <w:footnoteReference w:id="173"/>
      </w:r>
      <w:r w:rsidRPr="00192FCB">
        <w:t>, и по-специално член 23 от него,</w:t>
      </w:r>
    </w:p>
    <w:p w14:paraId="782A70A7"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174"/>
      </w:r>
      <w:r w:rsidRPr="00192FCB">
        <w:t>, и по-специално член 105 от него,</w:t>
      </w:r>
    </w:p>
    <w:p w14:paraId="0F309E72"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573B44EB"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17CFCC7B"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19E44DBF" w14:textId="77777777" w:rsidR="00443B04" w:rsidRPr="00192FCB" w:rsidRDefault="00443B04" w:rsidP="00443B04">
      <w:pPr>
        <w:pStyle w:val="NormalHanging12a"/>
      </w:pPr>
      <w:r w:rsidRPr="00192FCB">
        <w:t>1.</w:t>
      </w:r>
      <w:r w:rsidRPr="00192FCB">
        <w:tab/>
        <w:t>освобождава от отговорност директора на Европейския институт за иновации и технологии във връзка с изпълнението на бюджета на Института за финансовата 2024 година;</w:t>
      </w:r>
    </w:p>
    <w:p w14:paraId="668761AA"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72BAA952"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директора на Европейския институт за иновации и технологии (EIT),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7DFEA493" w14:textId="77777777" w:rsidR="00443B04" w:rsidRPr="00192FCB" w:rsidRDefault="00443B04" w:rsidP="00443B04"/>
    <w:p w14:paraId="2CFC89EC" w14:textId="77777777" w:rsidR="00443B04" w:rsidRPr="00192FCB" w:rsidRDefault="00443B04" w:rsidP="00443B04">
      <w:pPr>
        <w:pStyle w:val="PageHeadingDec"/>
        <w:sectPr w:rsidR="00443B04" w:rsidRPr="00192FCB" w:rsidSect="00192FCB">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E3CCC4" w14:textId="77777777" w:rsidR="005F53B9" w:rsidRDefault="005F53B9" w:rsidP="005F53B9">
      <w:pPr>
        <w:pStyle w:val="ATHeading3"/>
      </w:pPr>
      <w:r>
        <w:lastRenderedPageBreak/>
        <w:t>30. Решение на Европейския парламент от 29 април 2026 г. относно приключването на сметките на Европейския институт за иновации и технологии за финансовата 2024 година (2025/2156(DEC))</w:t>
      </w:r>
    </w:p>
    <w:p w14:paraId="2D163A1A" w14:textId="77777777" w:rsidR="00443B04" w:rsidRPr="00192FCB" w:rsidRDefault="00443B04" w:rsidP="00443B04">
      <w:pPr>
        <w:pStyle w:val="EPComma"/>
      </w:pPr>
      <w:r w:rsidRPr="00192FCB">
        <w:rPr>
          <w:i/>
          <w:iCs/>
        </w:rPr>
        <w:t>Европейският парламент</w:t>
      </w:r>
      <w:r w:rsidRPr="00192FCB">
        <w:t>,</w:t>
      </w:r>
    </w:p>
    <w:p w14:paraId="48BFD4E1"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институт за иновации и технологии за финансовата 2024 година,</w:t>
      </w:r>
    </w:p>
    <w:p w14:paraId="0256A8FD"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75"/>
      </w:r>
      <w:r w:rsidRPr="00192FCB">
        <w:t>,</w:t>
      </w:r>
    </w:p>
    <w:p w14:paraId="519D9EF1"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176"/>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26E763C3"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Института във връзка с изпълнението на бюджета за финансовата 2024 година (05750/2026 – C10-0148/2026),</w:t>
      </w:r>
    </w:p>
    <w:p w14:paraId="15EB0303"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73DF5564"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177"/>
      </w:r>
      <w:r w:rsidRPr="00192FCB">
        <w:t>, и по-специално член 70 от него,</w:t>
      </w:r>
    </w:p>
    <w:p w14:paraId="59DBCC39" w14:textId="237EA6FE"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78"/>
      </w:r>
      <w:r w:rsidRPr="00192FCB">
        <w:t>, и по-специално член 70 от него,</w:t>
      </w:r>
    </w:p>
    <w:p w14:paraId="603679F3" w14:textId="77777777" w:rsidR="00443B04" w:rsidRPr="00192FCB" w:rsidRDefault="00443B04" w:rsidP="00443B04">
      <w:pPr>
        <w:pStyle w:val="NormalHanging12a"/>
      </w:pPr>
      <w:r w:rsidRPr="00192FCB">
        <w:t>–</w:t>
      </w:r>
      <w:r w:rsidRPr="00192FCB">
        <w:tab/>
        <w:t>като взе предвид Регламент (ЕС) 2021/819 на Европейския парламент и на Съвета от 20 май 2021 г. относно Европейския институт за иновации и технологии</w:t>
      </w:r>
      <w:r w:rsidRPr="00192FCB">
        <w:rPr>
          <w:rStyle w:val="FootnoteReference"/>
        </w:rPr>
        <w:footnoteReference w:id="179"/>
      </w:r>
      <w:r w:rsidRPr="00192FCB">
        <w:t>, и по-специално член 23 от него,</w:t>
      </w:r>
    </w:p>
    <w:p w14:paraId="24F157EA"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180"/>
      </w:r>
      <w:r w:rsidRPr="00192FCB">
        <w:t>, и по-специално член 105 от него,</w:t>
      </w:r>
    </w:p>
    <w:p w14:paraId="59C6706B"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2CD38C7E"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4AC18C86"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7E38C6D8" w14:textId="77777777" w:rsidR="00443B04" w:rsidRPr="00192FCB" w:rsidRDefault="00443B04" w:rsidP="00443B04">
      <w:pPr>
        <w:pStyle w:val="NormalHanging12a"/>
      </w:pPr>
      <w:r w:rsidRPr="00192FCB">
        <w:t>1.</w:t>
      </w:r>
      <w:r w:rsidRPr="00192FCB">
        <w:tab/>
        <w:t>одобрява приключването на сметките на Европейския институт за иновации и технологии за финансовата 2024 година;</w:t>
      </w:r>
    </w:p>
    <w:p w14:paraId="63314853"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директора на Европейския институт за иновации и технологии (EIT),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74B07BBB" w14:textId="77777777" w:rsidR="00443B04" w:rsidRPr="00192FCB" w:rsidRDefault="00443B04" w:rsidP="00443B04"/>
    <w:p w14:paraId="31879E22" w14:textId="77777777" w:rsidR="00443B04" w:rsidRPr="00192FCB" w:rsidRDefault="00443B04" w:rsidP="00443B04"/>
    <w:p w14:paraId="3ACA5917" w14:textId="31F30BA7" w:rsidR="00443B04" w:rsidRPr="00192FCB" w:rsidRDefault="00443B04" w:rsidP="00443B04">
      <w:pPr>
        <w:pStyle w:val="PageHeadingDec"/>
      </w:pPr>
    </w:p>
    <w:p w14:paraId="7FC89FEB" w14:textId="77777777" w:rsidR="00443B04" w:rsidRPr="00192FCB" w:rsidRDefault="00443B04" w:rsidP="00443B04">
      <w:pPr>
        <w:pStyle w:val="PageHeadingDec"/>
        <w:sectPr w:rsidR="00443B04" w:rsidRPr="00192FCB" w:rsidSect="00192FCB">
          <w:footerReference w:type="first" r:id="rId3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57708F3" w14:textId="77777777" w:rsidR="005F53B9" w:rsidRDefault="005F53B9" w:rsidP="005F53B9">
      <w:pPr>
        <w:pStyle w:val="ATHeading3"/>
      </w:pPr>
      <w:r>
        <w:lastRenderedPageBreak/>
        <w:t>31. Решение на Европейския парламент от 29 април 2026 г. относно освобождаването от отговорност във връзка с изпълнението на бюджета на Европейския орган по труда за финансовата 2024 година (2025/2156(DEC))</w:t>
      </w:r>
    </w:p>
    <w:p w14:paraId="18D32323" w14:textId="77777777" w:rsidR="00443B04" w:rsidRPr="00192FCB" w:rsidRDefault="00443B04" w:rsidP="00443B04">
      <w:pPr>
        <w:pStyle w:val="EPComma"/>
      </w:pPr>
      <w:r w:rsidRPr="00192FCB">
        <w:rPr>
          <w:i/>
          <w:iCs/>
        </w:rPr>
        <w:t>Европейският парламент</w:t>
      </w:r>
      <w:r w:rsidRPr="00192FCB">
        <w:t>,</w:t>
      </w:r>
    </w:p>
    <w:p w14:paraId="76F7C715"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орган по труда за финансовата 2024 година,</w:t>
      </w:r>
    </w:p>
    <w:p w14:paraId="1A9D7AE0"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81"/>
      </w:r>
      <w:r w:rsidRPr="00192FCB">
        <w:t>,</w:t>
      </w:r>
    </w:p>
    <w:p w14:paraId="267F9BCC"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182"/>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0888B256"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Органа във връзка с изпълнението на бюджета за финансовата 2024 година (05750/2026 – C10-0148/2026),</w:t>
      </w:r>
    </w:p>
    <w:p w14:paraId="7F2E3CD1"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2BE02B3E"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183"/>
      </w:r>
      <w:r w:rsidRPr="00192FCB">
        <w:t>, и по-специално член 70 от него,</w:t>
      </w:r>
    </w:p>
    <w:p w14:paraId="51E7B32D" w14:textId="4CD929CD"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84"/>
      </w:r>
      <w:r w:rsidRPr="00192FCB">
        <w:t>, и по-специално член 70 от него,</w:t>
      </w:r>
    </w:p>
    <w:p w14:paraId="40D1B464" w14:textId="77777777" w:rsidR="00443B04" w:rsidRPr="00192FCB" w:rsidRDefault="00443B04" w:rsidP="00443B04">
      <w:pPr>
        <w:pStyle w:val="NormalHanging12a"/>
      </w:pPr>
      <w:r w:rsidRPr="00192FCB">
        <w:t>–</w:t>
      </w:r>
      <w:r w:rsidRPr="00192FCB">
        <w:tab/>
        <w:t>като взе предвид Регламент (ЕС) 2019/1149 на Европейския парламент и на Съвета от 20 юни 2019 г. за създаване на Европейски орган по труда, за изменение на регламенти (ЕО) № 883/2004, (ЕС) № 492/2011 и (ЕС) 2016/589 и за отмяна на Решение (ЕС) 2016/344</w:t>
      </w:r>
      <w:r w:rsidRPr="00192FCB">
        <w:rPr>
          <w:rStyle w:val="FootnoteReference"/>
        </w:rPr>
        <w:footnoteReference w:id="185"/>
      </w:r>
      <w:r w:rsidRPr="00192FCB">
        <w:t>, и по-специално член 28 от него,</w:t>
      </w:r>
    </w:p>
    <w:p w14:paraId="48024183"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186"/>
      </w:r>
      <w:r w:rsidRPr="00192FCB">
        <w:t>, и по-специално член 105 от него,</w:t>
      </w:r>
    </w:p>
    <w:p w14:paraId="1998089F"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788F80EB"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3451AA50"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3BFF8B1E"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Европейския орган по труда във връзка с изпълнението на бюджета на Органа за финансовата 2024 година;</w:t>
      </w:r>
    </w:p>
    <w:p w14:paraId="5588BF63"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7A23095C"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Европейския орган по труда,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2D2B0ACE" w14:textId="77777777" w:rsidR="00443B04" w:rsidRPr="00192FCB" w:rsidRDefault="00443B04" w:rsidP="00443B04"/>
    <w:p w14:paraId="674A4864" w14:textId="77777777" w:rsidR="00443B04" w:rsidRPr="00192FCB" w:rsidRDefault="00443B04" w:rsidP="00443B04">
      <w:pPr>
        <w:pStyle w:val="PageHeadingDec"/>
        <w:sectPr w:rsidR="00443B04" w:rsidRPr="00192FCB" w:rsidSect="00192FCB">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AF17A3" w14:textId="77777777" w:rsidR="005F53B9" w:rsidRDefault="005F53B9" w:rsidP="005F53B9">
      <w:pPr>
        <w:pStyle w:val="ATHeading3"/>
      </w:pPr>
      <w:r>
        <w:lastRenderedPageBreak/>
        <w:t>32. Решение на Европейския парламент от 29 април 2026 г. относно приключването на сметките на Европейския орган по труда за финансовата 2024 година (2025/2156(DEC))</w:t>
      </w:r>
    </w:p>
    <w:p w14:paraId="7156AAE6" w14:textId="77777777" w:rsidR="00443B04" w:rsidRPr="00192FCB" w:rsidRDefault="00443B04" w:rsidP="00443B04">
      <w:pPr>
        <w:pStyle w:val="EPComma"/>
      </w:pPr>
      <w:r w:rsidRPr="00192FCB">
        <w:rPr>
          <w:i/>
          <w:iCs/>
        </w:rPr>
        <w:t>Европейският парламент</w:t>
      </w:r>
      <w:r w:rsidRPr="00192FCB">
        <w:t>,</w:t>
      </w:r>
    </w:p>
    <w:p w14:paraId="24E72DFF"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орган по труда за финансовата 2024 година,</w:t>
      </w:r>
    </w:p>
    <w:p w14:paraId="53DC4D9A"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87"/>
      </w:r>
      <w:r w:rsidRPr="00192FCB">
        <w:t>,</w:t>
      </w:r>
    </w:p>
    <w:p w14:paraId="4599EF1A"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188"/>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D769056"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Органа във връзка с изпълнението на бюджета за финансовата 2024 година (05750/2026 – C10-0148/2026),</w:t>
      </w:r>
    </w:p>
    <w:p w14:paraId="088C0F8F"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003D8C0A"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189"/>
      </w:r>
      <w:r w:rsidRPr="00192FCB">
        <w:t>, и по-специално член 70 от него,</w:t>
      </w:r>
    </w:p>
    <w:p w14:paraId="5431F9C1" w14:textId="42257AE9"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90"/>
      </w:r>
      <w:r w:rsidRPr="00192FCB">
        <w:t>, и по-специално член 70 от него,</w:t>
      </w:r>
    </w:p>
    <w:p w14:paraId="1C473BB5" w14:textId="77777777" w:rsidR="00443B04" w:rsidRPr="00192FCB" w:rsidRDefault="00443B04" w:rsidP="00443B04">
      <w:pPr>
        <w:pStyle w:val="NormalHanging12a"/>
      </w:pPr>
      <w:r w:rsidRPr="00192FCB">
        <w:t>–</w:t>
      </w:r>
      <w:r w:rsidRPr="00192FCB">
        <w:tab/>
        <w:t>като взе предвид Регламент (ЕС) 2019/1149 на Европейския парламент и на Съвета от 20 юни 2019 г. за създаване на Европейски орган по труда, за изменение на регламенти (ЕО) № 883/2004, (ЕС) № 492/2011 и (ЕС) 2016/589 и за отмяна на Решение (ЕС) 2016/344</w:t>
      </w:r>
      <w:r w:rsidRPr="00192FCB">
        <w:rPr>
          <w:rStyle w:val="FootnoteReference"/>
        </w:rPr>
        <w:footnoteReference w:id="191"/>
      </w:r>
      <w:r w:rsidRPr="00192FCB">
        <w:t>, и по-специално член 28 от него,</w:t>
      </w:r>
    </w:p>
    <w:p w14:paraId="73CA4167"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192"/>
      </w:r>
      <w:r w:rsidRPr="00192FCB">
        <w:t>, и по-специално член 105 от него,</w:t>
      </w:r>
    </w:p>
    <w:p w14:paraId="313C0487"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66868F79"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533B0C64"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1B5746B3" w14:textId="77777777" w:rsidR="00443B04" w:rsidRPr="00192FCB" w:rsidRDefault="00443B04" w:rsidP="00443B04">
      <w:pPr>
        <w:pStyle w:val="NormalHanging12a"/>
      </w:pPr>
      <w:r w:rsidRPr="00192FCB">
        <w:t>1.</w:t>
      </w:r>
      <w:r w:rsidRPr="00192FCB">
        <w:tab/>
        <w:t>одобрява приключването на сметките на Европейския орган по труда за финансовата 2024 година;</w:t>
      </w:r>
    </w:p>
    <w:p w14:paraId="7E4009DB"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Европейския орган по труда,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79C705AD" w14:textId="77777777" w:rsidR="00443B04" w:rsidRPr="00192FCB" w:rsidRDefault="00443B04" w:rsidP="00443B04"/>
    <w:p w14:paraId="6331A612" w14:textId="77777777" w:rsidR="00443B04" w:rsidRPr="00192FCB" w:rsidRDefault="00443B04" w:rsidP="00443B04"/>
    <w:p w14:paraId="02BCF3DC" w14:textId="6920DEB9" w:rsidR="00443B04" w:rsidRPr="00192FCB" w:rsidRDefault="00443B04" w:rsidP="00443B04">
      <w:pPr>
        <w:pStyle w:val="PageHeadingDec"/>
      </w:pPr>
    </w:p>
    <w:p w14:paraId="25E3E0F1" w14:textId="77777777" w:rsidR="00443B04" w:rsidRPr="00192FCB" w:rsidRDefault="00443B04" w:rsidP="00443B04">
      <w:pPr>
        <w:pStyle w:val="PageHeadingDec"/>
        <w:sectPr w:rsidR="00443B04" w:rsidRPr="00192FCB" w:rsidSect="00192FCB">
          <w:footerReference w:type="first" r:id="rId4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83634AB" w14:textId="77777777" w:rsidR="005F53B9" w:rsidRDefault="005F53B9" w:rsidP="005F53B9">
      <w:pPr>
        <w:pStyle w:val="ATHeading3"/>
      </w:pPr>
      <w:r>
        <w:lastRenderedPageBreak/>
        <w:t>33. Решение на Европейския парламент от 29 април 2026 г. относно освобождаването от отговорност във връзка с изпълнението на бюджета на Европейската агенция по лекарствата за финансовата 2024 година (2025/2156(DEC))</w:t>
      </w:r>
    </w:p>
    <w:p w14:paraId="0BC1356F" w14:textId="77777777" w:rsidR="00443B04" w:rsidRPr="00192FCB" w:rsidRDefault="00443B04" w:rsidP="00443B04">
      <w:pPr>
        <w:pStyle w:val="EPComma"/>
      </w:pPr>
      <w:r w:rsidRPr="00192FCB">
        <w:rPr>
          <w:i/>
          <w:iCs/>
        </w:rPr>
        <w:t>Европейският парламент</w:t>
      </w:r>
      <w:r w:rsidRPr="00192FCB">
        <w:t>,</w:t>
      </w:r>
    </w:p>
    <w:p w14:paraId="0E2B8E7C"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агенция по лекарствата за финансовата 2024 година,</w:t>
      </w:r>
    </w:p>
    <w:p w14:paraId="3805F680"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93"/>
      </w:r>
      <w:r w:rsidRPr="00192FCB">
        <w:t>,</w:t>
      </w:r>
    </w:p>
    <w:p w14:paraId="57CE62F7"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194"/>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23B78F19"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53F9851A"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26741A2D"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195"/>
      </w:r>
      <w:r w:rsidRPr="00192FCB">
        <w:t>, и по-специално член 70 от него,</w:t>
      </w:r>
    </w:p>
    <w:p w14:paraId="4F1D011F" w14:textId="32E90387"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196"/>
      </w:r>
      <w:r w:rsidRPr="00192FCB">
        <w:t>, и по-специално член 70 от него,</w:t>
      </w:r>
    </w:p>
    <w:p w14:paraId="26C0D4C2" w14:textId="77777777" w:rsidR="00443B04" w:rsidRPr="00192FCB" w:rsidRDefault="00443B04" w:rsidP="00443B04">
      <w:pPr>
        <w:pStyle w:val="NormalHanging12a"/>
      </w:pPr>
      <w:r w:rsidRPr="00192FCB">
        <w:t>–</w:t>
      </w:r>
      <w:r w:rsidRPr="00192FCB">
        <w:tab/>
        <w:t>като взе предвид Регламент (ЕО) № 726/2004 на Европейския парламент и на Съвета от 31 март 2004 г. за установяване на процедури на Съюза за разрешаване и контрол на лекарствени продукти за хуманна употреба и за създаване на Европейска агенция по лекарствата</w:t>
      </w:r>
      <w:r w:rsidRPr="00192FCB">
        <w:rPr>
          <w:rStyle w:val="FootnoteReference"/>
        </w:rPr>
        <w:footnoteReference w:id="197"/>
      </w:r>
      <w:r w:rsidRPr="00192FCB">
        <w:t>, и по-специално член 68 от него,</w:t>
      </w:r>
    </w:p>
    <w:p w14:paraId="4EAEEFCA"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198"/>
      </w:r>
      <w:r w:rsidRPr="00192FCB">
        <w:t xml:space="preserve">, и по-специално член </w:t>
      </w:r>
      <w:r w:rsidRPr="00192FCB">
        <w:lastRenderedPageBreak/>
        <w:t>105 от него,</w:t>
      </w:r>
    </w:p>
    <w:p w14:paraId="28320601"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221D243D"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530403C3"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5C11343E"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Европейската агенция по лекарствата във връзка с изпълнението на бюджета на Агенцията за финансовата 2024 година;</w:t>
      </w:r>
    </w:p>
    <w:p w14:paraId="1B0E17A7"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06AE0F14"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по лекарствата,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5E852896" w14:textId="77777777" w:rsidR="00443B04" w:rsidRPr="00192FCB" w:rsidRDefault="00443B04" w:rsidP="00443B04"/>
    <w:p w14:paraId="3572F6C8" w14:textId="77777777" w:rsidR="00443B04" w:rsidRPr="00192FCB" w:rsidRDefault="00443B04" w:rsidP="00443B04">
      <w:pPr>
        <w:pStyle w:val="PageHeadingDec"/>
        <w:sectPr w:rsidR="00443B04" w:rsidRPr="00192FCB" w:rsidSect="00192FCB">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C7CCCF0" w14:textId="77777777" w:rsidR="005F53B9" w:rsidRDefault="005F53B9" w:rsidP="005F53B9">
      <w:pPr>
        <w:pStyle w:val="ATHeading3"/>
      </w:pPr>
      <w:r>
        <w:lastRenderedPageBreak/>
        <w:t>34. Решение на Европейския парламент от 29 април 2026 г. относно приключването на сметките на Европейската агенция по лекарствата за финансовата 2024 година (2025/2156(DEC))</w:t>
      </w:r>
    </w:p>
    <w:p w14:paraId="4AA95C59" w14:textId="77777777" w:rsidR="00443B04" w:rsidRPr="00192FCB" w:rsidRDefault="00443B04" w:rsidP="00443B04">
      <w:pPr>
        <w:pStyle w:val="EPComma"/>
      </w:pPr>
      <w:r w:rsidRPr="00192FCB">
        <w:rPr>
          <w:i/>
          <w:iCs/>
        </w:rPr>
        <w:t>Европейският парламент</w:t>
      </w:r>
      <w:r w:rsidRPr="00192FCB">
        <w:t>,</w:t>
      </w:r>
    </w:p>
    <w:p w14:paraId="5E489DAB"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агенция по лекарствата за финансовата 2024 година,</w:t>
      </w:r>
    </w:p>
    <w:p w14:paraId="22D59312"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199"/>
      </w:r>
      <w:r w:rsidRPr="00192FCB">
        <w:t>,</w:t>
      </w:r>
    </w:p>
    <w:p w14:paraId="7677ED3B"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00"/>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71D4EC83"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10825601"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732A13F1"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01"/>
      </w:r>
      <w:r w:rsidRPr="00192FCB">
        <w:t>, и по-специално член 70 от него,</w:t>
      </w:r>
    </w:p>
    <w:p w14:paraId="304BEB81" w14:textId="30392570"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02"/>
      </w:r>
      <w:r w:rsidRPr="00192FCB">
        <w:t>, и по-специално член 70 от него,</w:t>
      </w:r>
    </w:p>
    <w:p w14:paraId="6B967D84" w14:textId="77777777" w:rsidR="00443B04" w:rsidRPr="00192FCB" w:rsidRDefault="00443B04" w:rsidP="00443B04">
      <w:pPr>
        <w:pStyle w:val="NormalHanging12a"/>
      </w:pPr>
      <w:r w:rsidRPr="00192FCB">
        <w:t>–</w:t>
      </w:r>
      <w:r w:rsidRPr="00192FCB">
        <w:tab/>
        <w:t>като взе предвид Регламент (ЕО) № 726/2004 на Европейския парламент и на Съвета от 31 март 2004 г. за установяване на процедури на Съюза за разрешаване и контрол на лекарствени продукти за хуманна употреба и за създаване на Европейска агенция по лекарствата</w:t>
      </w:r>
      <w:r w:rsidRPr="00192FCB">
        <w:rPr>
          <w:rStyle w:val="FootnoteReference"/>
        </w:rPr>
        <w:footnoteReference w:id="203"/>
      </w:r>
      <w:r w:rsidRPr="00192FCB">
        <w:t>, и по-специално член 68 от него,</w:t>
      </w:r>
    </w:p>
    <w:p w14:paraId="075A2000"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204"/>
      </w:r>
      <w:r w:rsidRPr="00192FCB">
        <w:t>, и по-специално член 105 от него,</w:t>
      </w:r>
    </w:p>
    <w:p w14:paraId="278A5AF8"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01D0B410"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3E9886BB"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7C758142" w14:textId="77777777" w:rsidR="00443B04" w:rsidRPr="00192FCB" w:rsidRDefault="00443B04" w:rsidP="00443B04">
      <w:pPr>
        <w:pStyle w:val="NormalHanging12a"/>
      </w:pPr>
      <w:r w:rsidRPr="00192FCB">
        <w:t>1.</w:t>
      </w:r>
      <w:r w:rsidRPr="00192FCB">
        <w:tab/>
        <w:t>одобрява приключването на сметките на Европейската агенция по лекарствата за финансовата 2024 година;</w:t>
      </w:r>
    </w:p>
    <w:p w14:paraId="42ECC334"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Европейската агенция по лекарствата,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1009700B" w14:textId="77777777" w:rsidR="00443B04" w:rsidRPr="00192FCB" w:rsidRDefault="00443B04" w:rsidP="00443B04"/>
    <w:p w14:paraId="551C1AC8" w14:textId="77777777" w:rsidR="00443B04" w:rsidRPr="00192FCB" w:rsidRDefault="00443B04" w:rsidP="00443B04"/>
    <w:p w14:paraId="323C3AC1" w14:textId="79D07175" w:rsidR="00443B04" w:rsidRPr="00192FCB" w:rsidRDefault="00443B04" w:rsidP="00443B04">
      <w:pPr>
        <w:pStyle w:val="PageHeadingDec"/>
      </w:pPr>
    </w:p>
    <w:p w14:paraId="4BA6DE9F" w14:textId="77777777" w:rsidR="00443B04" w:rsidRPr="00192FCB" w:rsidRDefault="00443B04" w:rsidP="00443B04">
      <w:pPr>
        <w:pStyle w:val="PageHeadingDec"/>
        <w:sectPr w:rsidR="00443B04" w:rsidRPr="00192FCB" w:rsidSect="00192FCB">
          <w:footerReference w:type="first" r:id="rId4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8F5E89D" w14:textId="77777777" w:rsidR="005F53B9" w:rsidRDefault="005F53B9" w:rsidP="005F53B9">
      <w:pPr>
        <w:pStyle w:val="ATHeading3"/>
      </w:pPr>
      <w:r>
        <w:lastRenderedPageBreak/>
        <w:t>35. Решение на Европейския парламент от 29 април 2026 г. относно освобождаването от отговорност във връзка с изпълнението на бюджета на Агенцията на Европейския съюз по наркотиците (преди 2.7.2024 г.: Европейски център за мониторинг на наркотици и наркомании) за финансовата 2024 година (2025/2156(DEC))</w:t>
      </w:r>
    </w:p>
    <w:p w14:paraId="2AD8A8BE" w14:textId="77777777" w:rsidR="00443B04" w:rsidRPr="00192FCB" w:rsidRDefault="00443B04" w:rsidP="00443B04">
      <w:pPr>
        <w:pStyle w:val="EPComma"/>
      </w:pPr>
      <w:r w:rsidRPr="00192FCB">
        <w:rPr>
          <w:i/>
          <w:iCs/>
        </w:rPr>
        <w:t>Европейският парламент</w:t>
      </w:r>
      <w:r w:rsidRPr="00192FCB">
        <w:t>,</w:t>
      </w:r>
    </w:p>
    <w:p w14:paraId="54CE5491"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по наркотиците за финансовата 2024 година,</w:t>
      </w:r>
    </w:p>
    <w:p w14:paraId="0A8F2CD3"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205"/>
      </w:r>
      <w:r w:rsidRPr="00192FCB">
        <w:t>,</w:t>
      </w:r>
    </w:p>
    <w:p w14:paraId="31B74E94"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06"/>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604E58E2"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38B4BD21"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08C86B77"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07"/>
      </w:r>
      <w:r w:rsidRPr="00192FCB">
        <w:t>, и по-специално член 70 от него,</w:t>
      </w:r>
    </w:p>
    <w:p w14:paraId="0BCF6ADB" w14:textId="1B5E19E6"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08"/>
      </w:r>
      <w:r w:rsidRPr="00192FCB">
        <w:t>, и по-специално член 70 от него,</w:t>
      </w:r>
    </w:p>
    <w:p w14:paraId="2F4316FF" w14:textId="77777777" w:rsidR="00443B04" w:rsidRPr="00192FCB" w:rsidRDefault="00443B04" w:rsidP="00443B04">
      <w:pPr>
        <w:pStyle w:val="NormalHanging12a"/>
      </w:pPr>
      <w:r w:rsidRPr="00192FCB">
        <w:t>–</w:t>
      </w:r>
      <w:r w:rsidRPr="00192FCB">
        <w:tab/>
        <w:t>като взе предвид Регламент (ЕО) № 1920/2006 на Европейския парламент и на Съвета от 12 декември 2006 г. относно Европейския център за мониторинг на наркотици и наркомании</w:t>
      </w:r>
      <w:r w:rsidRPr="00192FCB">
        <w:rPr>
          <w:rStyle w:val="FootnoteReference"/>
        </w:rPr>
        <w:footnoteReference w:id="209"/>
      </w:r>
      <w:r w:rsidRPr="00192FCB">
        <w:t>, и по-специално член 15 от него,</w:t>
      </w:r>
    </w:p>
    <w:p w14:paraId="3BD5FA65" w14:textId="77777777" w:rsidR="00443B04" w:rsidRPr="00192FCB" w:rsidRDefault="00443B04" w:rsidP="00443B04">
      <w:pPr>
        <w:pStyle w:val="NormalHanging12a"/>
      </w:pPr>
      <w:r w:rsidRPr="00192FCB">
        <w:t>–</w:t>
      </w:r>
      <w:r w:rsidRPr="00192FCB">
        <w:tab/>
        <w:t>като взе предвид Регламент (ЕС) 2023/1322 на Европейския парламент и на Съвета от 27 юни 2023 г. относно Агенцията на Европейския съюз по наркотиците (EUDA) и за отмяна на Регламент (ЕО) № 1920/2006</w:t>
      </w:r>
      <w:r w:rsidRPr="00192FCB">
        <w:rPr>
          <w:rStyle w:val="FootnoteReference"/>
        </w:rPr>
        <w:footnoteReference w:id="210"/>
      </w:r>
      <w:r w:rsidRPr="00192FCB">
        <w:t>, и по-специално член 41 от него,</w:t>
      </w:r>
    </w:p>
    <w:p w14:paraId="1AF3D2A7" w14:textId="77777777" w:rsidR="00443B04" w:rsidRPr="00192FCB" w:rsidRDefault="00443B04" w:rsidP="00443B04">
      <w:pPr>
        <w:pStyle w:val="NormalHanging12a"/>
      </w:pPr>
      <w:r w:rsidRPr="00192FCB">
        <w:lastRenderedPageBreak/>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211"/>
      </w:r>
      <w:r w:rsidRPr="00192FCB">
        <w:t>, и по-специално член 105 от него,</w:t>
      </w:r>
    </w:p>
    <w:p w14:paraId="16E521F8"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6F54DDA4"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25C7BF69"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7B06E918"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Агенцията на Европейския съюз по наркотиците във връзка с изпълнението на бюджета на Агенцията за финансовата 2024 година;</w:t>
      </w:r>
    </w:p>
    <w:p w14:paraId="532948A3"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71D4660F"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на Европейския съюз по наркотиците, на Съвета, на Комисията и на Сметната палата и да осигури публикуването им в </w:t>
      </w:r>
      <w:r w:rsidRPr="00192FCB">
        <w:rPr>
          <w:i/>
        </w:rPr>
        <w:t>Официален вестник на Европейския съюз</w:t>
      </w:r>
      <w:r w:rsidRPr="00192FCB">
        <w:t xml:space="preserve"> (серия L).</w:t>
      </w:r>
    </w:p>
    <w:p w14:paraId="7C5C4D46" w14:textId="77777777" w:rsidR="00443B04" w:rsidRPr="00192FCB" w:rsidRDefault="00443B04" w:rsidP="00443B04"/>
    <w:p w14:paraId="7C0D7222" w14:textId="77777777" w:rsidR="00443B04" w:rsidRPr="00192FCB" w:rsidRDefault="00443B04" w:rsidP="00443B04">
      <w:pPr>
        <w:pStyle w:val="PageHeadingDec"/>
        <w:sectPr w:rsidR="00443B04" w:rsidRPr="00192FCB" w:rsidSect="00192FCB">
          <w:footerReference w:type="first" r:id="rId4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2A6870A" w14:textId="77777777" w:rsidR="005F53B9" w:rsidRDefault="005F53B9" w:rsidP="005F53B9">
      <w:pPr>
        <w:pStyle w:val="ATHeading3"/>
      </w:pPr>
      <w:r>
        <w:lastRenderedPageBreak/>
        <w:t>36. Решение на Европейския парламент от 29 април 2026 г. относно приключването на сметките на Агенцията на Европейския съюз по наркотиците (преди 2.7.2024 г.: Европейски център за мониторинг на наркотици и наркомании) за финансовата 2024 година (2025/2156(DEC))</w:t>
      </w:r>
    </w:p>
    <w:p w14:paraId="0B2D96EA" w14:textId="77777777" w:rsidR="00443B04" w:rsidRPr="00192FCB" w:rsidRDefault="00443B04" w:rsidP="00443B04">
      <w:pPr>
        <w:pStyle w:val="EPComma"/>
      </w:pPr>
      <w:r w:rsidRPr="00192FCB">
        <w:rPr>
          <w:i/>
          <w:iCs/>
        </w:rPr>
        <w:t>Европейският парламент</w:t>
      </w:r>
      <w:r w:rsidRPr="00192FCB">
        <w:t>,</w:t>
      </w:r>
    </w:p>
    <w:p w14:paraId="6F0345A1"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по наркотиците за финансовата 2024 година,</w:t>
      </w:r>
    </w:p>
    <w:p w14:paraId="6B931B49"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212"/>
      </w:r>
      <w:r w:rsidRPr="00192FCB">
        <w:t>,</w:t>
      </w:r>
    </w:p>
    <w:p w14:paraId="058AABA5"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13"/>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3E7909D"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55A3AF4D"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0388F5C4"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14"/>
      </w:r>
      <w:r w:rsidRPr="00192FCB">
        <w:t>, и по-специално член 70 от него,</w:t>
      </w:r>
    </w:p>
    <w:p w14:paraId="38491D0C" w14:textId="041448BA"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15"/>
      </w:r>
      <w:r w:rsidRPr="00192FCB">
        <w:t>, и по-специално член 70 от него,</w:t>
      </w:r>
    </w:p>
    <w:p w14:paraId="67EC1BB7" w14:textId="77777777" w:rsidR="00443B04" w:rsidRPr="00192FCB" w:rsidRDefault="00443B04" w:rsidP="00443B04">
      <w:pPr>
        <w:pStyle w:val="NormalHanging12a"/>
      </w:pPr>
      <w:r w:rsidRPr="00192FCB">
        <w:t>–</w:t>
      </w:r>
      <w:r w:rsidRPr="00192FCB">
        <w:tab/>
        <w:t>като взе предвид Регламент (ЕО) № 1920/2006 на Европейския парламент и на Съвета от 12 декември 2006 г. относно Европейския център за мониторинг на наркотици и наркомании</w:t>
      </w:r>
      <w:r w:rsidRPr="00192FCB">
        <w:rPr>
          <w:rStyle w:val="FootnoteReference"/>
        </w:rPr>
        <w:footnoteReference w:id="216"/>
      </w:r>
      <w:r w:rsidRPr="00192FCB">
        <w:t>, и по-специално член 15 от него,</w:t>
      </w:r>
    </w:p>
    <w:p w14:paraId="67F02AD2" w14:textId="77777777" w:rsidR="00443B04" w:rsidRPr="00192FCB" w:rsidRDefault="00443B04" w:rsidP="00443B04">
      <w:pPr>
        <w:pStyle w:val="NormalHanging12a"/>
      </w:pPr>
      <w:r w:rsidRPr="00192FCB">
        <w:t>–</w:t>
      </w:r>
      <w:r w:rsidRPr="00192FCB">
        <w:tab/>
        <w:t>като взе предвид Регламент (ЕС) 2023/1322 на Европейския парламент и на Съвета от 27 юни 2023 г. относно Агенцията на Европейския съюз по наркотиците (EUDA) и за отмяна на Регламент (ЕО) № 1920/2006</w:t>
      </w:r>
      <w:r w:rsidRPr="00192FCB">
        <w:rPr>
          <w:rStyle w:val="FootnoteReference"/>
        </w:rPr>
        <w:footnoteReference w:id="217"/>
      </w:r>
      <w:r w:rsidRPr="00192FCB">
        <w:t>, и по-специално член 41 от него,</w:t>
      </w:r>
    </w:p>
    <w:p w14:paraId="03A7B759" w14:textId="77777777" w:rsidR="00443B04" w:rsidRPr="00192FCB" w:rsidRDefault="00443B04" w:rsidP="00443B04">
      <w:pPr>
        <w:pStyle w:val="NormalHanging12a"/>
      </w:pPr>
      <w:r w:rsidRPr="00192FCB">
        <w:t>–</w:t>
      </w:r>
      <w:r w:rsidRPr="00192FCB">
        <w:tab/>
        <w:t xml:space="preserve">като взе предвид Делегиран регламент (ЕС) 2019/715 на Комисията от 18 </w:t>
      </w:r>
      <w:r w:rsidRPr="00192FCB">
        <w:lastRenderedPageBreak/>
        <w:t>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218"/>
      </w:r>
      <w:r w:rsidRPr="00192FCB">
        <w:t>, и по-специално член 105 от него,</w:t>
      </w:r>
    </w:p>
    <w:p w14:paraId="54318AE0"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0BA9A066"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057B278C"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60A8EC11" w14:textId="77777777" w:rsidR="00443B04" w:rsidRPr="00192FCB" w:rsidRDefault="00443B04" w:rsidP="00443B04">
      <w:pPr>
        <w:pStyle w:val="NormalHanging12a"/>
      </w:pPr>
      <w:r w:rsidRPr="00192FCB">
        <w:t>1.</w:t>
      </w:r>
      <w:r w:rsidRPr="00192FCB">
        <w:tab/>
        <w:t>одобрява приключването на сметките на Агенцията на Европейския съюз по наркотиците за финансовата 2024 година;</w:t>
      </w:r>
    </w:p>
    <w:p w14:paraId="4B752995"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Агенцията на Европейския съюз по наркотиците,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68C91810" w14:textId="77777777" w:rsidR="00443B04" w:rsidRPr="00192FCB" w:rsidRDefault="00443B04" w:rsidP="00443B04"/>
    <w:p w14:paraId="05ACFCFA" w14:textId="77777777" w:rsidR="00443B04" w:rsidRPr="00192FCB" w:rsidRDefault="00443B04" w:rsidP="00443B04"/>
    <w:p w14:paraId="5871AA28" w14:textId="54A1068F" w:rsidR="00443B04" w:rsidRPr="00192FCB" w:rsidRDefault="00443B04" w:rsidP="00443B04">
      <w:pPr>
        <w:pStyle w:val="PageHeadingDec"/>
      </w:pPr>
    </w:p>
    <w:p w14:paraId="1B99A83C" w14:textId="77777777" w:rsidR="00443B04" w:rsidRPr="00192FCB" w:rsidRDefault="00443B04" w:rsidP="00443B04">
      <w:pPr>
        <w:pStyle w:val="PageHeadingDec"/>
        <w:sectPr w:rsidR="00443B04" w:rsidRPr="00192FCB" w:rsidSect="00192FCB">
          <w:footerReference w:type="first" r:id="rId4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BD1975A" w14:textId="77777777" w:rsidR="005F53B9" w:rsidRDefault="005F53B9" w:rsidP="005F53B9">
      <w:pPr>
        <w:pStyle w:val="ATHeading3"/>
      </w:pPr>
      <w:r>
        <w:lastRenderedPageBreak/>
        <w:t>37. Решение на Европейския парламент от 29 април 2026 г. относно освобождаването от отговорност във връзка с изпълнението на бюджета на Европейската агенция по морска безопасност за финансовата 2024 година (2025/2156(DEC))</w:t>
      </w:r>
    </w:p>
    <w:p w14:paraId="2378F244" w14:textId="77777777" w:rsidR="00443B04" w:rsidRPr="00192FCB" w:rsidRDefault="00443B04" w:rsidP="00443B04">
      <w:pPr>
        <w:pStyle w:val="EPComma"/>
      </w:pPr>
      <w:r w:rsidRPr="00192FCB">
        <w:rPr>
          <w:i/>
          <w:iCs/>
        </w:rPr>
        <w:t>Европейският парламент</w:t>
      </w:r>
      <w:r w:rsidRPr="00192FCB">
        <w:t>,</w:t>
      </w:r>
    </w:p>
    <w:p w14:paraId="71F2D093"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агенция по морска безопасност за финансовата 2024 година,</w:t>
      </w:r>
    </w:p>
    <w:p w14:paraId="0B38883F"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219"/>
      </w:r>
      <w:r w:rsidRPr="00192FCB">
        <w:t>,</w:t>
      </w:r>
    </w:p>
    <w:p w14:paraId="12CFA1A5"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20"/>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4278F8BB"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35EAE3D8"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0F339B01"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21"/>
      </w:r>
      <w:r w:rsidRPr="00192FCB">
        <w:t>, и по-специално член 70 от него,</w:t>
      </w:r>
    </w:p>
    <w:p w14:paraId="49CE3E6B" w14:textId="1936B594"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22"/>
      </w:r>
      <w:r w:rsidRPr="00192FCB">
        <w:t>, и по-специално член 70 от него,</w:t>
      </w:r>
    </w:p>
    <w:p w14:paraId="083D6C89" w14:textId="77777777" w:rsidR="00443B04" w:rsidRPr="00192FCB" w:rsidRDefault="00443B04" w:rsidP="00443B04">
      <w:pPr>
        <w:pStyle w:val="NormalHanging12a"/>
      </w:pPr>
      <w:r w:rsidRPr="00192FCB">
        <w:t>–</w:t>
      </w:r>
      <w:r w:rsidRPr="00192FCB">
        <w:tab/>
        <w:t>като взе предвид Регламент (ЕО) № 1406/2002 на Европейския парламент и на Съвета от 27 юни 2002 г. за създаване на Европейска агенция за морска безопасност</w:t>
      </w:r>
      <w:r w:rsidRPr="00192FCB">
        <w:rPr>
          <w:rStyle w:val="FootnoteReference"/>
        </w:rPr>
        <w:footnoteReference w:id="223"/>
      </w:r>
      <w:r w:rsidRPr="00192FCB">
        <w:t>, и по-специално член 19 от него,</w:t>
      </w:r>
    </w:p>
    <w:p w14:paraId="37797932"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224"/>
      </w:r>
      <w:r w:rsidRPr="00192FCB">
        <w:t>, и по-специално член 105 от него,</w:t>
      </w:r>
    </w:p>
    <w:p w14:paraId="4A2B3A32"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7764717E"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6362ED1A"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652EE1E0"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Европейската агенция по морска безопасност във връзка с изпълнението на бюджета на Агенцията за финансовата 2024 година;</w:t>
      </w:r>
    </w:p>
    <w:p w14:paraId="529C29A3"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4BF63532"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по морска безопасност,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3F6396FB" w14:textId="77777777" w:rsidR="00443B04" w:rsidRPr="00192FCB" w:rsidRDefault="00443B04" w:rsidP="00443B04"/>
    <w:p w14:paraId="6AA3F086" w14:textId="77777777" w:rsidR="00443B04" w:rsidRPr="00192FCB" w:rsidRDefault="00443B04" w:rsidP="00443B04">
      <w:pPr>
        <w:pStyle w:val="PageHeadingDec"/>
        <w:sectPr w:rsidR="00443B04" w:rsidRPr="00192FCB" w:rsidSect="00192FCB">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ACE9770" w14:textId="77777777" w:rsidR="005F53B9" w:rsidRDefault="005F53B9" w:rsidP="005F53B9">
      <w:pPr>
        <w:pStyle w:val="ATHeading3"/>
      </w:pPr>
      <w:r>
        <w:lastRenderedPageBreak/>
        <w:t>38. Решение на Европейския парламент от 29 април 2026 г. относно приключването на сметките на Европейската агенция по морска безопасност за финансовата 2024 година (2025/2156(DEC))</w:t>
      </w:r>
    </w:p>
    <w:p w14:paraId="4DD24875" w14:textId="77777777" w:rsidR="00443B04" w:rsidRPr="00192FCB" w:rsidRDefault="00443B04" w:rsidP="00443B04">
      <w:pPr>
        <w:pStyle w:val="EPComma"/>
      </w:pPr>
      <w:r w:rsidRPr="00192FCB">
        <w:rPr>
          <w:i/>
          <w:iCs/>
        </w:rPr>
        <w:t>Европейският парламент</w:t>
      </w:r>
      <w:r w:rsidRPr="00192FCB">
        <w:t>,</w:t>
      </w:r>
    </w:p>
    <w:p w14:paraId="17328540"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агенция по морска безопасност за финансовата 2024 година,</w:t>
      </w:r>
    </w:p>
    <w:p w14:paraId="082EAC70"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225"/>
      </w:r>
      <w:r w:rsidRPr="00192FCB">
        <w:t>,</w:t>
      </w:r>
    </w:p>
    <w:p w14:paraId="019A0368"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26"/>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0C816189"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5A877373"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1964EE57"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27"/>
      </w:r>
      <w:r w:rsidRPr="00192FCB">
        <w:t>, и по-специално член 70 от него,</w:t>
      </w:r>
    </w:p>
    <w:p w14:paraId="50183C72" w14:textId="62E0B678"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28"/>
      </w:r>
      <w:r w:rsidRPr="00192FCB">
        <w:t>, и по-специално член 70 от него,</w:t>
      </w:r>
    </w:p>
    <w:p w14:paraId="4CD3CE22" w14:textId="77777777" w:rsidR="00443B04" w:rsidRPr="00192FCB" w:rsidRDefault="00443B04" w:rsidP="00443B04">
      <w:pPr>
        <w:pStyle w:val="NormalHanging12a"/>
      </w:pPr>
      <w:r w:rsidRPr="00192FCB">
        <w:t>–</w:t>
      </w:r>
      <w:r w:rsidRPr="00192FCB">
        <w:tab/>
        <w:t>като взе предвид Регламент (ЕО) № 1406/2002 на Европейския парламент и на Съвета от 27 юни 2002 г. за създаване на Европейска агенция за морска безопасност</w:t>
      </w:r>
      <w:r w:rsidRPr="00192FCB">
        <w:rPr>
          <w:rStyle w:val="FootnoteReference"/>
        </w:rPr>
        <w:footnoteReference w:id="229"/>
      </w:r>
      <w:r w:rsidRPr="00192FCB">
        <w:t>, и по-специално член 19 от него,</w:t>
      </w:r>
    </w:p>
    <w:p w14:paraId="7497DDB1"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230"/>
      </w:r>
      <w:r w:rsidRPr="00192FCB">
        <w:t>, и по-специално член 105 от него,</w:t>
      </w:r>
    </w:p>
    <w:p w14:paraId="0120CC5C"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624C9F0A"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307E36A0"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75025DF5" w14:textId="77777777" w:rsidR="00443B04" w:rsidRPr="00192FCB" w:rsidRDefault="00443B04" w:rsidP="00443B04">
      <w:pPr>
        <w:pStyle w:val="NormalHanging12a"/>
      </w:pPr>
      <w:r w:rsidRPr="00192FCB">
        <w:t>1.</w:t>
      </w:r>
      <w:r w:rsidRPr="00192FCB">
        <w:tab/>
        <w:t>одобрява приключването на сметките на Европейската агенция по морска безопасност за финансовата 2024 година;</w:t>
      </w:r>
    </w:p>
    <w:p w14:paraId="76DB64EE"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Европейската агенция по морска безопасност,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59BBF213" w14:textId="77777777" w:rsidR="00443B04" w:rsidRPr="00192FCB" w:rsidRDefault="00443B04" w:rsidP="00443B04"/>
    <w:p w14:paraId="1A42A73C" w14:textId="77777777" w:rsidR="00443B04" w:rsidRPr="00192FCB" w:rsidRDefault="00443B04" w:rsidP="00443B04"/>
    <w:p w14:paraId="0A166498" w14:textId="5B0BFD92" w:rsidR="00443B04" w:rsidRPr="00192FCB" w:rsidRDefault="00443B04" w:rsidP="00443B04">
      <w:pPr>
        <w:pStyle w:val="PageHeadingDec"/>
      </w:pPr>
    </w:p>
    <w:p w14:paraId="181DCCC0" w14:textId="77777777" w:rsidR="00443B04" w:rsidRPr="00192FCB" w:rsidRDefault="00443B04" w:rsidP="00443B04">
      <w:pPr>
        <w:pStyle w:val="PageHeadingDec"/>
        <w:sectPr w:rsidR="00443B04" w:rsidRPr="00192FCB" w:rsidSect="00192FCB">
          <w:footerReference w:type="first" r:id="rId4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8A892CC" w14:textId="77777777" w:rsidR="005F53B9" w:rsidRDefault="005F53B9" w:rsidP="005F53B9">
      <w:pPr>
        <w:pStyle w:val="ATHeading3"/>
      </w:pPr>
      <w:r>
        <w:lastRenderedPageBreak/>
        <w:t>39. Решение на Европейския парламент от 29 април 2026 г. относно освобождаването от отговорност във връзка с изпълнението на бюджета на Агенцията на Европейския съюз за киберсигурност за финансовата 2024 година (2025/2156(DEC))</w:t>
      </w:r>
    </w:p>
    <w:p w14:paraId="01BDCC6E" w14:textId="77777777" w:rsidR="00443B04" w:rsidRPr="00192FCB" w:rsidRDefault="00443B04" w:rsidP="00443B04">
      <w:pPr>
        <w:pStyle w:val="EPComma"/>
      </w:pPr>
      <w:r w:rsidRPr="00192FCB">
        <w:rPr>
          <w:i/>
          <w:iCs/>
        </w:rPr>
        <w:t>Европейският парламент</w:t>
      </w:r>
      <w:r w:rsidRPr="00192FCB">
        <w:t>,</w:t>
      </w:r>
    </w:p>
    <w:p w14:paraId="69583C4D"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за киберсигурност за финансовата 2024 година,</w:t>
      </w:r>
    </w:p>
    <w:p w14:paraId="790E337B"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231"/>
      </w:r>
      <w:r w:rsidRPr="00192FCB">
        <w:t>,</w:t>
      </w:r>
    </w:p>
    <w:p w14:paraId="30DA00E7"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32"/>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6616447"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5150C0C6"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220042A0"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33"/>
      </w:r>
      <w:r w:rsidRPr="00192FCB">
        <w:t>, и по-специално член 70 от него,</w:t>
      </w:r>
    </w:p>
    <w:p w14:paraId="7F08ADAB" w14:textId="61C51347"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34"/>
      </w:r>
      <w:r w:rsidRPr="00192FCB">
        <w:t>, и по-специално член 70 от него,</w:t>
      </w:r>
    </w:p>
    <w:p w14:paraId="0AFB6625" w14:textId="6EA3CACC" w:rsidR="00443B04" w:rsidRPr="00192FCB" w:rsidRDefault="00443B04" w:rsidP="00443B04">
      <w:pPr>
        <w:pStyle w:val="NormalHanging12a"/>
      </w:pPr>
      <w:r w:rsidRPr="00192FCB">
        <w:t>–</w:t>
      </w:r>
      <w:r w:rsidRPr="00192FCB">
        <w:tab/>
        <w:t>като взе предвид Регламент (ЕС) 2019/881 на Европейския парламент и на Съвета от 17 април 2019 г. относно ENISA (Агенцията на Европейския съюз за киберсигурност) и сертифицирането на киберсигурността на информационните и комуникационните технологии, както и за отмяна на Регламент (Е</w:t>
      </w:r>
      <w:r w:rsidR="00072D80">
        <w:t>С</w:t>
      </w:r>
      <w:r w:rsidRPr="00192FCB">
        <w:t>) № 526/2013 (Акт за киберсигурността)</w:t>
      </w:r>
      <w:r w:rsidRPr="00192FCB">
        <w:rPr>
          <w:rStyle w:val="FootnoteReference"/>
        </w:rPr>
        <w:footnoteReference w:id="235"/>
      </w:r>
      <w:r w:rsidRPr="00192FCB">
        <w:t>, и по-специално член 31 от него,</w:t>
      </w:r>
    </w:p>
    <w:p w14:paraId="698A5801"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236"/>
      </w:r>
      <w:r w:rsidRPr="00192FCB">
        <w:t xml:space="preserve">, и по-специално член </w:t>
      </w:r>
      <w:r w:rsidRPr="00192FCB">
        <w:lastRenderedPageBreak/>
        <w:t>105 от него,</w:t>
      </w:r>
    </w:p>
    <w:p w14:paraId="7B5F11E6"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093EA835"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43C7B246"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5F0F0A09"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Агенцията на Европейския съюз за киберсигурност във връзка с изпълнението на бюджета на Агенцията за финансовата 2024 година;</w:t>
      </w:r>
    </w:p>
    <w:p w14:paraId="5F00D69B"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3E35E242"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на Европейския съюз за киберсигурност,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3435D1AC" w14:textId="77777777" w:rsidR="00443B04" w:rsidRPr="00192FCB" w:rsidRDefault="00443B04" w:rsidP="00443B04"/>
    <w:p w14:paraId="0FB98935" w14:textId="77777777" w:rsidR="00443B04" w:rsidRPr="00192FCB" w:rsidRDefault="00443B04" w:rsidP="00443B04">
      <w:pPr>
        <w:pStyle w:val="PageHeadingDec"/>
        <w:sectPr w:rsidR="00443B04" w:rsidRPr="00192FCB" w:rsidSect="00192FCB">
          <w:footerReference w:type="first" r:id="rId4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E6BDFC" w14:textId="77777777" w:rsidR="005F53B9" w:rsidRDefault="005F53B9" w:rsidP="005F53B9">
      <w:pPr>
        <w:pStyle w:val="ATHeading3"/>
      </w:pPr>
      <w:r>
        <w:lastRenderedPageBreak/>
        <w:t>40. Решение на Европейския парламент от 29 април 2026 г. относно приключването на сметките на Агенцията на Европейския съюз за киберсигурност за финансовата 2024 година (2025/2156(DEC))</w:t>
      </w:r>
    </w:p>
    <w:p w14:paraId="4DFECF2A" w14:textId="77777777" w:rsidR="00443B04" w:rsidRPr="00192FCB" w:rsidRDefault="00443B04" w:rsidP="00443B04">
      <w:pPr>
        <w:pStyle w:val="EPComma"/>
      </w:pPr>
      <w:r w:rsidRPr="00192FCB">
        <w:rPr>
          <w:i/>
          <w:iCs/>
        </w:rPr>
        <w:t>Европейският парламент</w:t>
      </w:r>
      <w:r w:rsidRPr="00192FCB">
        <w:t>,</w:t>
      </w:r>
    </w:p>
    <w:p w14:paraId="435E5EFE"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за киберсигурност за финансовата 2024 година,</w:t>
      </w:r>
    </w:p>
    <w:p w14:paraId="166EFCDC"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237"/>
      </w:r>
      <w:r w:rsidRPr="00192FCB">
        <w:t>,</w:t>
      </w:r>
    </w:p>
    <w:p w14:paraId="3AE73B72"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38"/>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53E04EBE"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5F39B00E"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4323EB8B"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39"/>
      </w:r>
      <w:r w:rsidRPr="00192FCB">
        <w:t>, и по-специално член 70 от него,</w:t>
      </w:r>
    </w:p>
    <w:p w14:paraId="541000E5" w14:textId="60816408"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40"/>
      </w:r>
      <w:r w:rsidRPr="00192FCB">
        <w:t>, и по-специално член 70 от него,</w:t>
      </w:r>
    </w:p>
    <w:p w14:paraId="04FF4363" w14:textId="71F59726" w:rsidR="00443B04" w:rsidRPr="00192FCB" w:rsidRDefault="00443B04" w:rsidP="00443B04">
      <w:pPr>
        <w:pStyle w:val="NormalHanging12a"/>
      </w:pPr>
      <w:r w:rsidRPr="00192FCB">
        <w:t>–</w:t>
      </w:r>
      <w:r w:rsidRPr="00192FCB">
        <w:tab/>
        <w:t>като взе предвид Регламент (ЕС) 2019/881 на Европейския парламент и на Съвета от 17 април 2019 г. относно ENISA (Агенцията на Европейския съюз за киберсигурност) и сертифицирането на киберсигурността на информационните и комуникационните технологии, както и за отмяна на Регламент (Е</w:t>
      </w:r>
      <w:r w:rsidR="00072D80">
        <w:t>С</w:t>
      </w:r>
      <w:r w:rsidRPr="00192FCB">
        <w:t>) № 526/2013 (Акт за киберсигурността)</w:t>
      </w:r>
      <w:r w:rsidRPr="00192FCB">
        <w:rPr>
          <w:rStyle w:val="FootnoteReference"/>
        </w:rPr>
        <w:footnoteReference w:id="241"/>
      </w:r>
      <w:r w:rsidRPr="00192FCB">
        <w:t>, и по-специално член 31 от него,</w:t>
      </w:r>
    </w:p>
    <w:p w14:paraId="4FC8D98C"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242"/>
      </w:r>
      <w:r w:rsidRPr="00192FCB">
        <w:t xml:space="preserve">, и по-специално член </w:t>
      </w:r>
      <w:r w:rsidRPr="00192FCB">
        <w:lastRenderedPageBreak/>
        <w:t>105 от него,</w:t>
      </w:r>
    </w:p>
    <w:p w14:paraId="674EAC9E"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504124A8"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6E281326"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12739C02" w14:textId="77777777" w:rsidR="00443B04" w:rsidRPr="00192FCB" w:rsidRDefault="00443B04" w:rsidP="00443B04">
      <w:pPr>
        <w:pStyle w:val="NormalHanging12a"/>
      </w:pPr>
      <w:r w:rsidRPr="00192FCB">
        <w:t>1.</w:t>
      </w:r>
      <w:r w:rsidRPr="00192FCB">
        <w:tab/>
        <w:t>одобрява приключването на сметките на Агенцията на Европейския съюз за киберсигурност за финансовата 2024 година;</w:t>
      </w:r>
    </w:p>
    <w:p w14:paraId="7834AE4C"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Агенцията на Европейския съюз за киберсигурност,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180F94F2" w14:textId="77777777" w:rsidR="00443B04" w:rsidRPr="00192FCB" w:rsidRDefault="00443B04" w:rsidP="00443B04"/>
    <w:p w14:paraId="28D1BACB" w14:textId="77777777" w:rsidR="00443B04" w:rsidRPr="00192FCB" w:rsidRDefault="00443B04" w:rsidP="00443B04"/>
    <w:p w14:paraId="10F7BE0A" w14:textId="5E4A52C7" w:rsidR="00443B04" w:rsidRPr="00192FCB" w:rsidRDefault="00443B04" w:rsidP="00443B04">
      <w:pPr>
        <w:pStyle w:val="PageHeadingDec"/>
      </w:pPr>
    </w:p>
    <w:p w14:paraId="0B423345" w14:textId="77777777" w:rsidR="00443B04" w:rsidRPr="00192FCB" w:rsidRDefault="00443B04" w:rsidP="00443B04">
      <w:pPr>
        <w:pStyle w:val="PageHeadingDec"/>
        <w:sectPr w:rsidR="00443B04" w:rsidRPr="00192FCB" w:rsidSect="00192FCB">
          <w:footerReference w:type="first" r:id="rId4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19FDFB9" w14:textId="77777777" w:rsidR="005F53B9" w:rsidRDefault="005F53B9" w:rsidP="005F53B9">
      <w:pPr>
        <w:pStyle w:val="ATHeading3"/>
      </w:pPr>
      <w:r>
        <w:lastRenderedPageBreak/>
        <w:t>41. Решение на Европейския парламент от 29 април 2026 г. относно освобождаването от отговорност във връзка с изпълнението на бюджета на Агенцията за железопътен транспорт на Европейския съюз за финансовата 2024 година (2025/2156(DEC))</w:t>
      </w:r>
    </w:p>
    <w:p w14:paraId="42DD93C7" w14:textId="77777777" w:rsidR="00443B04" w:rsidRPr="00192FCB" w:rsidRDefault="00443B04" w:rsidP="00443B04">
      <w:pPr>
        <w:pStyle w:val="EPComma"/>
      </w:pPr>
      <w:r w:rsidRPr="00192FCB">
        <w:rPr>
          <w:i/>
          <w:iCs/>
        </w:rPr>
        <w:t>Европейският парламент</w:t>
      </w:r>
      <w:r w:rsidRPr="00192FCB">
        <w:t>,</w:t>
      </w:r>
    </w:p>
    <w:p w14:paraId="497B0139"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за железопътен транспорт на Европейския съюз за финансовата 2024 година,</w:t>
      </w:r>
    </w:p>
    <w:p w14:paraId="0EEACFF0"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243"/>
      </w:r>
      <w:r w:rsidRPr="00192FCB">
        <w:t>,</w:t>
      </w:r>
    </w:p>
    <w:p w14:paraId="6137D0B3"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44"/>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54E4ACE"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17988A45"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51FD2CD7"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45"/>
      </w:r>
      <w:r w:rsidRPr="00192FCB">
        <w:t>, и по-специално член 70 от него,</w:t>
      </w:r>
    </w:p>
    <w:p w14:paraId="78AE21A6" w14:textId="5EE76D8E"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46"/>
      </w:r>
      <w:r w:rsidRPr="00192FCB">
        <w:t>, и по-специално член 70 от него,</w:t>
      </w:r>
    </w:p>
    <w:p w14:paraId="4B4DCC93" w14:textId="77777777" w:rsidR="00443B04" w:rsidRPr="00192FCB" w:rsidRDefault="00443B04" w:rsidP="00443B04">
      <w:pPr>
        <w:pStyle w:val="NormalHanging12a"/>
      </w:pPr>
      <w:r w:rsidRPr="00192FCB">
        <w:t>–</w:t>
      </w:r>
      <w:r w:rsidRPr="00192FCB">
        <w:tab/>
        <w:t>като взе предвид Регламент (ЕС) 2016/796 на Европейския парламент и на Съвета от 11 май 2016 г. относно Агенцията за железопътен транспорт на Европейския съюз и за отмяна на Регламент (ЕО) № 881/2004</w:t>
      </w:r>
      <w:r w:rsidRPr="00192FCB">
        <w:rPr>
          <w:rStyle w:val="FootnoteReference"/>
        </w:rPr>
        <w:footnoteReference w:id="247"/>
      </w:r>
      <w:r w:rsidRPr="00192FCB">
        <w:t>, и по-специално член 65 от него,</w:t>
      </w:r>
    </w:p>
    <w:p w14:paraId="02ADF334"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248"/>
      </w:r>
      <w:r w:rsidRPr="00192FCB">
        <w:t>, и по-специално член 105 от него,</w:t>
      </w:r>
    </w:p>
    <w:p w14:paraId="6657D686"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52CDBB35"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3993B9A5"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7345BD2A"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Агенцията за железопътен транспорт на Европейския съюз във връзка с изпълнението на бюджета на Агенцията за финансовата 2024 година;</w:t>
      </w:r>
    </w:p>
    <w:p w14:paraId="5576E65F"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4D70BCED"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за железопътен транспорт на Европейския съюз,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790CB7F2" w14:textId="77777777" w:rsidR="00443B04" w:rsidRPr="00192FCB" w:rsidRDefault="00443B04" w:rsidP="00443B04"/>
    <w:p w14:paraId="77F9B5AC" w14:textId="77777777" w:rsidR="00443B04" w:rsidRPr="00192FCB" w:rsidRDefault="00443B04" w:rsidP="00443B04">
      <w:pPr>
        <w:pStyle w:val="PageHeadingDec"/>
        <w:sectPr w:rsidR="00443B04" w:rsidRPr="00192FCB" w:rsidSect="00192FCB">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FE383CC" w14:textId="77777777" w:rsidR="005F53B9" w:rsidRDefault="005F53B9" w:rsidP="005F53B9">
      <w:pPr>
        <w:pStyle w:val="ATHeading3"/>
      </w:pPr>
      <w:r>
        <w:lastRenderedPageBreak/>
        <w:t>42. Решение на Европейския парламент от 29 април 2026 г. относно приключването на сметките на Агенцията за железопътен транспорт на Европейския съюз за финансовата 2024 година (2025/2156(DEC))</w:t>
      </w:r>
    </w:p>
    <w:p w14:paraId="004721CB" w14:textId="77777777" w:rsidR="00443B04" w:rsidRPr="00192FCB" w:rsidRDefault="00443B04" w:rsidP="00443B04">
      <w:pPr>
        <w:pStyle w:val="EPComma"/>
      </w:pPr>
      <w:r w:rsidRPr="00192FCB">
        <w:rPr>
          <w:i/>
          <w:iCs/>
        </w:rPr>
        <w:t>Европейският парламент</w:t>
      </w:r>
      <w:r w:rsidRPr="00192FCB">
        <w:t>,</w:t>
      </w:r>
    </w:p>
    <w:p w14:paraId="43E82523"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за железопътен транспорт на Европейския съюз за финансовата 2024 година,</w:t>
      </w:r>
    </w:p>
    <w:p w14:paraId="3BE598FE"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249"/>
      </w:r>
      <w:r w:rsidRPr="00192FCB">
        <w:t>,</w:t>
      </w:r>
    </w:p>
    <w:p w14:paraId="722B1200"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50"/>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795E8002"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3961D03A"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787E1284"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51"/>
      </w:r>
      <w:r w:rsidRPr="00192FCB">
        <w:t>, и по-специално член 70 от него,</w:t>
      </w:r>
    </w:p>
    <w:p w14:paraId="17993CCE" w14:textId="6F62DAF1"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52"/>
      </w:r>
      <w:r w:rsidRPr="00192FCB">
        <w:t>, и по-специално член 70 от него,</w:t>
      </w:r>
    </w:p>
    <w:p w14:paraId="6CBE5F35" w14:textId="77777777" w:rsidR="00443B04" w:rsidRPr="00192FCB" w:rsidRDefault="00443B04" w:rsidP="00443B04">
      <w:pPr>
        <w:pStyle w:val="NormalHanging12a"/>
      </w:pPr>
      <w:r w:rsidRPr="00192FCB">
        <w:t>–</w:t>
      </w:r>
      <w:r w:rsidRPr="00192FCB">
        <w:tab/>
        <w:t>като взе предвид Регламент (ЕС) 2016/796 на Европейския парламент и на Съвета от 11 май 2016 г. относно Агенцията за железопътен транспорт на Европейския съюз и за отмяна на Регламент (ЕО) № 881/2004</w:t>
      </w:r>
      <w:r w:rsidRPr="00192FCB">
        <w:rPr>
          <w:rStyle w:val="FootnoteReference"/>
        </w:rPr>
        <w:footnoteReference w:id="253"/>
      </w:r>
      <w:r w:rsidRPr="00192FCB">
        <w:t>, и по-специално член 65 от него,</w:t>
      </w:r>
    </w:p>
    <w:p w14:paraId="5E57732E"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254"/>
      </w:r>
      <w:r w:rsidRPr="00192FCB">
        <w:t>, и по-специално член 105 от него,</w:t>
      </w:r>
    </w:p>
    <w:p w14:paraId="5BEAA086"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531D1556"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1DC86A39"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2C9FC85A" w14:textId="77777777" w:rsidR="00443B04" w:rsidRPr="00192FCB" w:rsidRDefault="00443B04" w:rsidP="00443B04">
      <w:pPr>
        <w:pStyle w:val="NormalHanging12a"/>
      </w:pPr>
      <w:r w:rsidRPr="00192FCB">
        <w:t>1.</w:t>
      </w:r>
      <w:r w:rsidRPr="00192FCB">
        <w:tab/>
        <w:t>одобрява приключването на сметките на Агенцията за железопътен транспорт на Европейския съюз за финансовата 2024 година;</w:t>
      </w:r>
    </w:p>
    <w:p w14:paraId="08D5EEA7"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Агенцията за железопътен транспорт на Европейския съюз,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12313ADD" w14:textId="77777777" w:rsidR="00443B04" w:rsidRPr="00192FCB" w:rsidRDefault="00443B04" w:rsidP="00443B04"/>
    <w:p w14:paraId="05ABDAA0" w14:textId="77777777" w:rsidR="00443B04" w:rsidRPr="00192FCB" w:rsidRDefault="00443B04" w:rsidP="00443B04"/>
    <w:p w14:paraId="2CEED14A" w14:textId="024EE8C0" w:rsidR="00443B04" w:rsidRPr="00192FCB" w:rsidRDefault="00443B04" w:rsidP="00443B04">
      <w:pPr>
        <w:pStyle w:val="PageHeadingDec"/>
      </w:pPr>
    </w:p>
    <w:p w14:paraId="60DFE151" w14:textId="77777777" w:rsidR="00443B04" w:rsidRPr="00192FCB" w:rsidRDefault="00443B04" w:rsidP="00443B04">
      <w:pPr>
        <w:pStyle w:val="PageHeadingDec"/>
        <w:sectPr w:rsidR="00443B04" w:rsidRPr="00192FCB" w:rsidSect="00192FCB">
          <w:footerReference w:type="first" r:id="rId5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44CD9D9" w14:textId="77777777" w:rsidR="005F53B9" w:rsidRDefault="005F53B9" w:rsidP="005F53B9">
      <w:pPr>
        <w:pStyle w:val="ATHeading3"/>
      </w:pPr>
      <w:r>
        <w:lastRenderedPageBreak/>
        <w:t>43. Решение на Европейския парламент от 29 април 2026 г. относно освобождаването от отговорност във връзка с изпълнението на бюджета на Агенцията за снабдяване към Евратом за финансовата 2024 година (2025/2156(DEC))</w:t>
      </w:r>
    </w:p>
    <w:p w14:paraId="73162371" w14:textId="77777777" w:rsidR="00443B04" w:rsidRPr="00192FCB" w:rsidRDefault="00443B04" w:rsidP="00443B04">
      <w:pPr>
        <w:pStyle w:val="EPComma"/>
      </w:pPr>
      <w:r w:rsidRPr="00192FCB">
        <w:rPr>
          <w:i/>
          <w:iCs/>
        </w:rPr>
        <w:t>Европейският парламент</w:t>
      </w:r>
      <w:r w:rsidRPr="00192FCB">
        <w:t>,</w:t>
      </w:r>
    </w:p>
    <w:p w14:paraId="335AA0C9"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за снабдяване към Евратом за финансовата 2024 година,</w:t>
      </w:r>
    </w:p>
    <w:p w14:paraId="36D706E0"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255"/>
      </w:r>
      <w:r w:rsidRPr="00192FCB">
        <w:t>,</w:t>
      </w:r>
    </w:p>
    <w:p w14:paraId="722FA0A1"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56"/>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283237DA"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2995674F"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63A9159E" w14:textId="77777777" w:rsidR="00443B04" w:rsidRPr="00192FCB" w:rsidRDefault="00443B04" w:rsidP="00443B04">
      <w:pPr>
        <w:pStyle w:val="NormalHanging12a"/>
      </w:pPr>
      <w:r w:rsidRPr="00192FCB">
        <w:t>–</w:t>
      </w:r>
      <w:r w:rsidRPr="00192FCB">
        <w:tab/>
        <w:t>като взе предвид член 106а от Договора за създаване на Европейската общност за атомна енергия,</w:t>
      </w:r>
    </w:p>
    <w:p w14:paraId="68AF3905"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57"/>
      </w:r>
      <w:r w:rsidRPr="00192FCB">
        <w:t>, и по-специално член 68 от него,</w:t>
      </w:r>
    </w:p>
    <w:p w14:paraId="252B60DD" w14:textId="3E764124"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58"/>
      </w:r>
      <w:r w:rsidRPr="00192FCB">
        <w:t>, и по-специално член 68 от него,</w:t>
      </w:r>
    </w:p>
    <w:p w14:paraId="0C2FD548" w14:textId="77777777" w:rsidR="00443B04" w:rsidRPr="00192FCB" w:rsidRDefault="00443B04" w:rsidP="00443B04">
      <w:pPr>
        <w:pStyle w:val="NormalHanging12a"/>
      </w:pPr>
      <w:r w:rsidRPr="00192FCB">
        <w:t>–</w:t>
      </w:r>
      <w:r w:rsidRPr="00192FCB">
        <w:tab/>
        <w:t>като взе предвид Решение 2008/114/EО, Евратом на Съвета от 12 февруари 2008 г. за създаване на устав на Агенцията за снабдяване към Евратом</w:t>
      </w:r>
      <w:r w:rsidRPr="00192FCB">
        <w:rPr>
          <w:rStyle w:val="FootnoteReference"/>
        </w:rPr>
        <w:footnoteReference w:id="259"/>
      </w:r>
      <w:r w:rsidRPr="00192FCB">
        <w:t>, и по-специално член 8 от приложението към него,</w:t>
      </w:r>
    </w:p>
    <w:p w14:paraId="2215DA37"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3B612627" w14:textId="77777777" w:rsidR="00443B04" w:rsidRPr="00192FCB" w:rsidRDefault="00443B04" w:rsidP="00443B04">
      <w:pPr>
        <w:pStyle w:val="NormalHanging12a"/>
      </w:pPr>
      <w:r w:rsidRPr="00192FCB">
        <w:t>–</w:t>
      </w:r>
      <w:r w:rsidRPr="00192FCB">
        <w:tab/>
        <w:t xml:space="preserve">като взе предвид становищата на комисията по заетост и социални въпроси, </w:t>
      </w:r>
      <w:r w:rsidRPr="00192FCB">
        <w:lastRenderedPageBreak/>
        <w:t>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19018C86"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6B78A8CC" w14:textId="77777777" w:rsidR="00443B04" w:rsidRPr="00192FCB" w:rsidRDefault="00443B04" w:rsidP="00443B04">
      <w:pPr>
        <w:pStyle w:val="NormalHanging12a"/>
      </w:pPr>
      <w:r w:rsidRPr="00192FCB">
        <w:t>1.</w:t>
      </w:r>
      <w:r w:rsidRPr="00192FCB">
        <w:tab/>
        <w:t>освобождава от отговорност генералния директор на Агенцията за снабдяване към Евратом във връзка с изпълнението на бюджета на Агенцията за финансовата 2024 година;</w:t>
      </w:r>
    </w:p>
    <w:p w14:paraId="0EF09C30"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3FA49D80"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генералния директор на Агенцията за снабдяване към Евратом,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293B1CF4" w14:textId="77777777" w:rsidR="00443B04" w:rsidRPr="00192FCB" w:rsidRDefault="00443B04" w:rsidP="00443B04"/>
    <w:p w14:paraId="5BD2943B" w14:textId="77777777" w:rsidR="00443B04" w:rsidRPr="00192FCB" w:rsidRDefault="00443B04" w:rsidP="00443B04">
      <w:pPr>
        <w:pStyle w:val="PageHeadingDec"/>
        <w:sectPr w:rsidR="00443B04" w:rsidRPr="00192FCB" w:rsidSect="00192FCB">
          <w:footerReference w:type="first" r:id="rId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69A87C3" w14:textId="77777777" w:rsidR="005F53B9" w:rsidRDefault="005F53B9" w:rsidP="005F53B9">
      <w:pPr>
        <w:pStyle w:val="ATHeading3"/>
      </w:pPr>
      <w:r>
        <w:lastRenderedPageBreak/>
        <w:t>44. Решение на Европейския парламент от 29 април 2026 г. относно приключването на сметките на Агенцията за снабдяване към Евратом за финансовата 2024 година (2025/2156(DEC))</w:t>
      </w:r>
    </w:p>
    <w:p w14:paraId="1FD3690C" w14:textId="77777777" w:rsidR="00443B04" w:rsidRPr="00192FCB" w:rsidRDefault="00443B04" w:rsidP="00443B04">
      <w:pPr>
        <w:pStyle w:val="EPComma"/>
      </w:pPr>
      <w:r w:rsidRPr="00192FCB">
        <w:rPr>
          <w:i/>
          <w:iCs/>
        </w:rPr>
        <w:t>Европейският парламент</w:t>
      </w:r>
      <w:r w:rsidRPr="00192FCB">
        <w:t>,</w:t>
      </w:r>
    </w:p>
    <w:p w14:paraId="0C71C1B0"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за снабдяване към Евратом за финансовата 2024 година,</w:t>
      </w:r>
    </w:p>
    <w:p w14:paraId="032025A1"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260"/>
      </w:r>
      <w:r w:rsidRPr="00192FCB">
        <w:t>,</w:t>
      </w:r>
    </w:p>
    <w:p w14:paraId="035036CE"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61"/>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75341D9"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1011F779"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1C4FA065" w14:textId="77777777" w:rsidR="00443B04" w:rsidRPr="00192FCB" w:rsidRDefault="00443B04" w:rsidP="00443B04">
      <w:pPr>
        <w:pStyle w:val="NormalHanging12a"/>
      </w:pPr>
      <w:r w:rsidRPr="00192FCB">
        <w:t>–</w:t>
      </w:r>
      <w:r w:rsidRPr="00192FCB">
        <w:tab/>
        <w:t>като взе предвид член 106а от Договора за създаване на Европейската общност за атомна енергия,</w:t>
      </w:r>
    </w:p>
    <w:p w14:paraId="35C90873"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62"/>
      </w:r>
      <w:r w:rsidRPr="00192FCB">
        <w:t>, и по-специално член 68 от него,</w:t>
      </w:r>
    </w:p>
    <w:p w14:paraId="7C5601BC" w14:textId="59ADEA01"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63"/>
      </w:r>
      <w:r w:rsidRPr="00192FCB">
        <w:t>, и по-специално член 68 от него,</w:t>
      </w:r>
    </w:p>
    <w:p w14:paraId="0A8D80F6" w14:textId="77777777" w:rsidR="00443B04" w:rsidRPr="00192FCB" w:rsidRDefault="00443B04" w:rsidP="00443B04">
      <w:pPr>
        <w:pStyle w:val="NormalHanging12a"/>
      </w:pPr>
      <w:r w:rsidRPr="00192FCB">
        <w:t>–</w:t>
      </w:r>
      <w:r w:rsidRPr="00192FCB">
        <w:tab/>
        <w:t>като взе предвид Решение 2008/114/EО, Евратом на Съвета от 12 февруари 2008 г. за създаване на устав на Агенцията за снабдяване към Евратом</w:t>
      </w:r>
      <w:r w:rsidRPr="00192FCB">
        <w:rPr>
          <w:rStyle w:val="FootnoteReference"/>
        </w:rPr>
        <w:footnoteReference w:id="264"/>
      </w:r>
      <w:r w:rsidRPr="00192FCB">
        <w:t>, и по-специално член 8 от приложението към него,</w:t>
      </w:r>
    </w:p>
    <w:p w14:paraId="719913FD"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18A0BAB6" w14:textId="77777777" w:rsidR="00443B04" w:rsidRPr="00192FCB" w:rsidRDefault="00443B04" w:rsidP="00443B04">
      <w:pPr>
        <w:pStyle w:val="NormalHanging12a"/>
      </w:pPr>
      <w:r w:rsidRPr="00192FCB">
        <w:t>–</w:t>
      </w:r>
      <w:r w:rsidRPr="00192FCB">
        <w:tab/>
        <w:t xml:space="preserve">като взе предвид становищата на комисията по заетост и социални въпроси, комисията по околна среда, климат и безопасност на храните, комисията по </w:t>
      </w:r>
      <w:r w:rsidRPr="00192FCB">
        <w:lastRenderedPageBreak/>
        <w:t>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69279DE0"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2FE07856" w14:textId="77777777" w:rsidR="00443B04" w:rsidRPr="00192FCB" w:rsidRDefault="00443B04" w:rsidP="00443B04">
      <w:pPr>
        <w:pStyle w:val="NormalHanging12a"/>
      </w:pPr>
      <w:r w:rsidRPr="00192FCB">
        <w:t>1.</w:t>
      </w:r>
      <w:r w:rsidRPr="00192FCB">
        <w:tab/>
        <w:t>одобрява приключването на сметките на Агенцията за снабдяване към Евратом за финансовата 2024 година;</w:t>
      </w:r>
    </w:p>
    <w:p w14:paraId="51754C8A"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генералния директор на Агенцията за снабдяване към Евратом,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1C06270C" w14:textId="77777777" w:rsidR="00443B04" w:rsidRPr="00192FCB" w:rsidRDefault="00443B04" w:rsidP="00443B04"/>
    <w:p w14:paraId="3314B3D4" w14:textId="77777777" w:rsidR="00443B04" w:rsidRPr="00192FCB" w:rsidRDefault="00443B04" w:rsidP="00443B04"/>
    <w:p w14:paraId="3C4395E5" w14:textId="34D17F5C" w:rsidR="00443B04" w:rsidRPr="00192FCB" w:rsidRDefault="00443B04" w:rsidP="00443B04">
      <w:pPr>
        <w:pStyle w:val="PageHeadingDec"/>
      </w:pPr>
    </w:p>
    <w:p w14:paraId="07DA4FC8" w14:textId="77777777" w:rsidR="00443B04" w:rsidRPr="00192FCB" w:rsidRDefault="00443B04" w:rsidP="00443B04">
      <w:pPr>
        <w:pStyle w:val="PageHeadingDec"/>
        <w:sectPr w:rsidR="00443B04" w:rsidRPr="00192FCB" w:rsidSect="00192FCB">
          <w:footerReference w:type="first" r:id="rId5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3C3E4B" w14:textId="77777777" w:rsidR="005F53B9" w:rsidRDefault="005F53B9" w:rsidP="005F53B9">
      <w:pPr>
        <w:pStyle w:val="ATHeading3"/>
      </w:pPr>
      <w:r>
        <w:lastRenderedPageBreak/>
        <w:t>45. Решение на Европейския парламент от 29 април 2026 г. относно освобождаването от отговорност във връзка с изпълнението на бюджета на Европейския орган за ценни книжа и пазари за финансовата 2024 година (2025/2156(DEC))</w:t>
      </w:r>
    </w:p>
    <w:p w14:paraId="6E8DA9AD" w14:textId="77777777" w:rsidR="00443B04" w:rsidRPr="00192FCB" w:rsidRDefault="00443B04" w:rsidP="00443B04">
      <w:pPr>
        <w:pStyle w:val="EPComma"/>
      </w:pPr>
      <w:r w:rsidRPr="00192FCB">
        <w:rPr>
          <w:i/>
          <w:iCs/>
        </w:rPr>
        <w:t>Европейският парламент</w:t>
      </w:r>
      <w:r w:rsidRPr="00192FCB">
        <w:t>,</w:t>
      </w:r>
    </w:p>
    <w:p w14:paraId="4BB349BC"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орган за ценни книжа и пазари за финансовата 2024 година,</w:t>
      </w:r>
    </w:p>
    <w:p w14:paraId="38207CC0"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265"/>
      </w:r>
      <w:r w:rsidRPr="00192FCB">
        <w:t>,</w:t>
      </w:r>
    </w:p>
    <w:p w14:paraId="515EA837"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66"/>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7683759"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Органа във връзка с изпълнението на бюджета за финансовата 2024 година (05750/2026 – C10-0148/2026),</w:t>
      </w:r>
    </w:p>
    <w:p w14:paraId="3420245B"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501F746D"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67"/>
      </w:r>
      <w:r w:rsidRPr="00192FCB">
        <w:t>, и по-специално член 70 от него,</w:t>
      </w:r>
    </w:p>
    <w:p w14:paraId="61C24A5E" w14:textId="7FF6FFBA"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68"/>
      </w:r>
      <w:r w:rsidRPr="00192FCB">
        <w:t>, и по-специално член 70 от него,</w:t>
      </w:r>
    </w:p>
    <w:p w14:paraId="75ABF101" w14:textId="77777777" w:rsidR="00443B04" w:rsidRPr="00192FCB" w:rsidRDefault="00443B04" w:rsidP="00443B04">
      <w:pPr>
        <w:pStyle w:val="NormalHanging12a"/>
      </w:pPr>
      <w:r w:rsidRPr="00192FCB">
        <w:t>–</w:t>
      </w:r>
      <w:r w:rsidRPr="00192FCB">
        <w:tab/>
        <w:t>като взе предвид Регламент (ЕС) № 1095/2010 на Европейския парламент и на Съвета от 24 ноември 2010 г. за създаване на Европейски надзорен орган (Европейски орган за ценни книжа и пазари), за изменение на Решение № 716/2009/ЕО и за отмяна на Решение 2009/77/ЕО</w:t>
      </w:r>
      <w:r w:rsidRPr="00192FCB">
        <w:rPr>
          <w:rStyle w:val="FootnoteReference"/>
        </w:rPr>
        <w:footnoteReference w:id="269"/>
      </w:r>
      <w:r w:rsidRPr="00192FCB">
        <w:t xml:space="preserve"> на Комисията, и по-специално член 64 от него,</w:t>
      </w:r>
    </w:p>
    <w:p w14:paraId="6049B30A"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270"/>
      </w:r>
      <w:r w:rsidRPr="00192FCB">
        <w:t xml:space="preserve">, и по-специално член </w:t>
      </w:r>
      <w:r w:rsidRPr="00192FCB">
        <w:lastRenderedPageBreak/>
        <w:t>105 от него,</w:t>
      </w:r>
    </w:p>
    <w:p w14:paraId="06667442"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2386B17D"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0153D404"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07F95B7F"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Европейския орган за ценни книжа и пазари във връзка с изпълнението на бюджета на Органа за финансовата 2024 година;</w:t>
      </w:r>
    </w:p>
    <w:p w14:paraId="0437D9E7"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6DAF2BD3"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Европейския орган за ценни книжа и пазари,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743128FC" w14:textId="77777777" w:rsidR="00443B04" w:rsidRPr="00192FCB" w:rsidRDefault="00443B04" w:rsidP="00443B04"/>
    <w:p w14:paraId="1CFE405D" w14:textId="77777777" w:rsidR="00443B04" w:rsidRPr="00192FCB" w:rsidRDefault="00443B04" w:rsidP="00443B04">
      <w:pPr>
        <w:pStyle w:val="PageHeadingDec"/>
        <w:sectPr w:rsidR="00443B04" w:rsidRPr="00192FCB" w:rsidSect="00192FCB">
          <w:footerReference w:type="first" r:id="rId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2E161E" w14:textId="77777777" w:rsidR="005F53B9" w:rsidRDefault="005F53B9" w:rsidP="005F53B9">
      <w:pPr>
        <w:pStyle w:val="ATHeading3"/>
      </w:pPr>
      <w:r>
        <w:lastRenderedPageBreak/>
        <w:t>46. Решение на Европейския парламент от 29 април 2026 г. относно приключването на сметките на Европейския орган за ценни книжа и пазари за финансовата 2024 година (2025/2156(DEC))</w:t>
      </w:r>
    </w:p>
    <w:p w14:paraId="0836D691" w14:textId="77777777" w:rsidR="00443B04" w:rsidRPr="00192FCB" w:rsidRDefault="00443B04" w:rsidP="00443B04">
      <w:pPr>
        <w:pStyle w:val="EPComma"/>
      </w:pPr>
      <w:r w:rsidRPr="00192FCB">
        <w:rPr>
          <w:i/>
          <w:iCs/>
        </w:rPr>
        <w:t>Европейският парламент</w:t>
      </w:r>
      <w:r w:rsidRPr="00192FCB">
        <w:t>,</w:t>
      </w:r>
    </w:p>
    <w:p w14:paraId="3AD23358"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Европейския орган за ценни книжа и пазари за финансовата 2024 година,</w:t>
      </w:r>
    </w:p>
    <w:p w14:paraId="2D08996D"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271"/>
      </w:r>
      <w:r w:rsidRPr="00192FCB">
        <w:t>,</w:t>
      </w:r>
    </w:p>
    <w:p w14:paraId="3DF2B800"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72"/>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2389A3D4"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Органа във връзка с изпълнението на бюджета за финансовата 2024 година (05750/2026 – C10-0148/2026),</w:t>
      </w:r>
    </w:p>
    <w:p w14:paraId="725ECEF5"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3A369021"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73"/>
      </w:r>
      <w:r w:rsidRPr="00192FCB">
        <w:t>, и по-специално член 70 от него,</w:t>
      </w:r>
    </w:p>
    <w:p w14:paraId="5A441708" w14:textId="41BD7AD5"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74"/>
      </w:r>
      <w:r w:rsidRPr="00192FCB">
        <w:t>, и по-специално член 70 от него,</w:t>
      </w:r>
    </w:p>
    <w:p w14:paraId="01346DF8" w14:textId="77777777" w:rsidR="00443B04" w:rsidRPr="00192FCB" w:rsidRDefault="00443B04" w:rsidP="00443B04">
      <w:pPr>
        <w:pStyle w:val="NormalHanging12a"/>
      </w:pPr>
      <w:r w:rsidRPr="00192FCB">
        <w:t>–</w:t>
      </w:r>
      <w:r w:rsidRPr="00192FCB">
        <w:tab/>
        <w:t>като взе предвид Регламент (ЕС) № 1095/2010 на Европейския парламент и на Съвета от 24 ноември 2010 г. за създаване на Европейски надзорен орган (Европейски орган за ценни книжа и пазари), за изменение на Решение № 716/2009/ЕО и за отмяна на Решение 2009/77/ЕО</w:t>
      </w:r>
      <w:r w:rsidRPr="00192FCB">
        <w:rPr>
          <w:rStyle w:val="FootnoteReference"/>
        </w:rPr>
        <w:footnoteReference w:id="275"/>
      </w:r>
      <w:r w:rsidRPr="00192FCB">
        <w:t xml:space="preserve"> на Комисията, и по-специално член 64 от него,</w:t>
      </w:r>
    </w:p>
    <w:p w14:paraId="536B7153"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276"/>
      </w:r>
      <w:r w:rsidRPr="00192FCB">
        <w:t xml:space="preserve">, и по-специално член </w:t>
      </w:r>
      <w:r w:rsidRPr="00192FCB">
        <w:lastRenderedPageBreak/>
        <w:t>105 от него,</w:t>
      </w:r>
    </w:p>
    <w:p w14:paraId="5BE759C3"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556B86A0"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19187A79"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5B1F3F55" w14:textId="77777777" w:rsidR="00443B04" w:rsidRPr="00192FCB" w:rsidRDefault="00443B04" w:rsidP="00443B04">
      <w:pPr>
        <w:pStyle w:val="NormalHanging12a"/>
      </w:pPr>
      <w:r w:rsidRPr="00192FCB">
        <w:t>1.</w:t>
      </w:r>
      <w:r w:rsidRPr="00192FCB">
        <w:tab/>
        <w:t>одобрява приключването на сметките на Европейския орган за ценни книжа и пазари за финансовата 2024 година;</w:t>
      </w:r>
    </w:p>
    <w:p w14:paraId="58CD95BD"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Европейския орган за ценни книжа и пазари,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61F66925" w14:textId="77777777" w:rsidR="00443B04" w:rsidRPr="00192FCB" w:rsidRDefault="00443B04" w:rsidP="00443B04"/>
    <w:p w14:paraId="452CA973" w14:textId="77777777" w:rsidR="00443B04" w:rsidRPr="00192FCB" w:rsidRDefault="00443B04" w:rsidP="00443B04"/>
    <w:p w14:paraId="5D6D8807" w14:textId="48FBFB15" w:rsidR="00443B04" w:rsidRPr="00192FCB" w:rsidRDefault="00443B04" w:rsidP="00443B04">
      <w:pPr>
        <w:pStyle w:val="PageHeadingDec"/>
      </w:pPr>
    </w:p>
    <w:p w14:paraId="4E0859EC" w14:textId="77777777" w:rsidR="00443B04" w:rsidRPr="00192FCB" w:rsidRDefault="00443B04" w:rsidP="00443B04">
      <w:pPr>
        <w:pStyle w:val="PageHeadingDec"/>
        <w:sectPr w:rsidR="00443B04" w:rsidRPr="00192FCB" w:rsidSect="00192FCB">
          <w:footerReference w:type="first" r:id="rId5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14972F2" w14:textId="77777777" w:rsidR="005F53B9" w:rsidRDefault="005F53B9" w:rsidP="005F53B9">
      <w:pPr>
        <w:pStyle w:val="ATHeading3"/>
      </w:pPr>
      <w:r>
        <w:lastRenderedPageBreak/>
        <w:t>47. Решение на Европейския парламент от 29 април 2026 г. относно освобождаването от отговорност във връзка с изпълнението на бюджета на Европейската фондация за обучение за финансовата 2024 година (2025/2156(DEC))</w:t>
      </w:r>
    </w:p>
    <w:p w14:paraId="56A749AE" w14:textId="77777777" w:rsidR="00443B04" w:rsidRPr="00192FCB" w:rsidRDefault="00443B04" w:rsidP="00443B04">
      <w:pPr>
        <w:pStyle w:val="EPComma"/>
      </w:pPr>
      <w:r w:rsidRPr="00192FCB">
        <w:rPr>
          <w:i/>
          <w:iCs/>
        </w:rPr>
        <w:t>Европейският парламент</w:t>
      </w:r>
      <w:r w:rsidRPr="00192FCB">
        <w:t>,</w:t>
      </w:r>
    </w:p>
    <w:p w14:paraId="6AC27D10"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фондация за обучение за финансовата 2024 година,</w:t>
      </w:r>
    </w:p>
    <w:p w14:paraId="4244BB62"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277"/>
      </w:r>
      <w:r w:rsidRPr="00192FCB">
        <w:t>,</w:t>
      </w:r>
    </w:p>
    <w:p w14:paraId="61D58002"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78"/>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569CABA9"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Фондацията във връзка с изпълнението на бюджета за финансовата 2024 година (05750/2026 – C10-0148/2026),</w:t>
      </w:r>
    </w:p>
    <w:p w14:paraId="5372518D"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63AF8249"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79"/>
      </w:r>
      <w:r w:rsidRPr="00192FCB">
        <w:t>, и по-специално член 70 от него,</w:t>
      </w:r>
    </w:p>
    <w:p w14:paraId="5F261238" w14:textId="1D1E0563"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80"/>
      </w:r>
      <w:r w:rsidRPr="00192FCB">
        <w:t>, и по-специално член 70 от него,</w:t>
      </w:r>
    </w:p>
    <w:p w14:paraId="5295D72B" w14:textId="77777777" w:rsidR="00443B04" w:rsidRPr="00192FCB" w:rsidRDefault="00443B04" w:rsidP="00443B04">
      <w:pPr>
        <w:pStyle w:val="NormalHanging12a"/>
      </w:pPr>
      <w:r w:rsidRPr="00192FCB">
        <w:t>–</w:t>
      </w:r>
      <w:r w:rsidRPr="00192FCB">
        <w:tab/>
        <w:t>като взе предвид Регламент (ЕО) № 1339/2008 на Европейския парламент и на Съвета от 16 декември 2008 г. за създаване на Европейска фондация за обучение</w:t>
      </w:r>
      <w:r w:rsidRPr="00192FCB">
        <w:rPr>
          <w:rStyle w:val="FootnoteReference"/>
        </w:rPr>
        <w:footnoteReference w:id="281"/>
      </w:r>
      <w:r w:rsidRPr="00192FCB">
        <w:t>, и по-специално член 17 от него,</w:t>
      </w:r>
    </w:p>
    <w:p w14:paraId="596C6AE1"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282"/>
      </w:r>
      <w:r w:rsidRPr="00192FCB">
        <w:t>, и по-специално член 105 от него,</w:t>
      </w:r>
    </w:p>
    <w:p w14:paraId="2F4D26E9"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3DDA8512"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032FE7DF"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5FDF11CE" w14:textId="77777777" w:rsidR="00443B04" w:rsidRPr="00192FCB" w:rsidRDefault="00443B04" w:rsidP="00443B04">
      <w:pPr>
        <w:pStyle w:val="NormalHanging12a"/>
      </w:pPr>
      <w:r w:rsidRPr="00192FCB">
        <w:t>1.</w:t>
      </w:r>
      <w:r w:rsidRPr="00192FCB">
        <w:tab/>
        <w:t>освобождава от отговорност директора на Европейската фондация за обучение във връзка с изпълнението на бюджета на Фондацията за финансовата 2024 година;</w:t>
      </w:r>
    </w:p>
    <w:p w14:paraId="0BBAE3BC"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1BBF49E3"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директора на Европейската фондация за обучение,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148251D9" w14:textId="77777777" w:rsidR="00443B04" w:rsidRPr="00192FCB" w:rsidRDefault="00443B04" w:rsidP="00443B04"/>
    <w:p w14:paraId="668AB724" w14:textId="77777777" w:rsidR="00443B04" w:rsidRPr="00192FCB" w:rsidRDefault="00443B04" w:rsidP="00443B04">
      <w:pPr>
        <w:pStyle w:val="PageHeadingDec"/>
        <w:sectPr w:rsidR="00443B04" w:rsidRPr="00192FCB" w:rsidSect="00192FCB">
          <w:footerReference w:type="first" r:id="rId5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91DD6C" w14:textId="77777777" w:rsidR="005F53B9" w:rsidRDefault="005F53B9" w:rsidP="005F53B9">
      <w:pPr>
        <w:pStyle w:val="ATHeading3"/>
      </w:pPr>
      <w:r>
        <w:lastRenderedPageBreak/>
        <w:t>48. Решение на Европейския парламент от 29 април 2026 г. относно приключването на сметките на Европейската фондация за обучение за финансовата 2024 година (2025/2156(DEC))</w:t>
      </w:r>
    </w:p>
    <w:p w14:paraId="02F326E4" w14:textId="77777777" w:rsidR="00443B04" w:rsidRPr="00192FCB" w:rsidRDefault="00443B04" w:rsidP="00443B04">
      <w:pPr>
        <w:pStyle w:val="EPComma"/>
      </w:pPr>
      <w:r w:rsidRPr="00192FCB">
        <w:rPr>
          <w:i/>
          <w:iCs/>
        </w:rPr>
        <w:t>Европейският парламент</w:t>
      </w:r>
      <w:r w:rsidRPr="00192FCB">
        <w:t>,</w:t>
      </w:r>
    </w:p>
    <w:p w14:paraId="4527A0C4"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фондация за обучение за финансовата 2024 година,</w:t>
      </w:r>
    </w:p>
    <w:p w14:paraId="1C4F51EE"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283"/>
      </w:r>
      <w:r w:rsidRPr="00192FCB">
        <w:t>,</w:t>
      </w:r>
    </w:p>
    <w:p w14:paraId="2A06CFF5"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84"/>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6264C231"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Фондацията във връзка с изпълнението на бюджета за финансовата 2024 година (05750/2026 – C10-0148/2026),</w:t>
      </w:r>
    </w:p>
    <w:p w14:paraId="4E7AC9FC"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57A3AFDF"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85"/>
      </w:r>
      <w:r w:rsidRPr="00192FCB">
        <w:t>, и по-специално член 70 от него,</w:t>
      </w:r>
    </w:p>
    <w:p w14:paraId="3D9EEA5C" w14:textId="23C16FCC"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86"/>
      </w:r>
      <w:r w:rsidRPr="00192FCB">
        <w:t>, и по-специално член 70 от него,</w:t>
      </w:r>
    </w:p>
    <w:p w14:paraId="149197ED" w14:textId="77777777" w:rsidR="00443B04" w:rsidRPr="00192FCB" w:rsidRDefault="00443B04" w:rsidP="00443B04">
      <w:pPr>
        <w:pStyle w:val="NormalHanging12a"/>
      </w:pPr>
      <w:r w:rsidRPr="00192FCB">
        <w:t>–</w:t>
      </w:r>
      <w:r w:rsidRPr="00192FCB">
        <w:tab/>
        <w:t>като взе предвид Регламент (ЕО) № 1339/2008 на Европейския парламент и на Съвета от 16 декември 2008 г. за създаване на Европейска фондация за обучение</w:t>
      </w:r>
      <w:r w:rsidRPr="00192FCB">
        <w:rPr>
          <w:rStyle w:val="FootnoteReference"/>
        </w:rPr>
        <w:footnoteReference w:id="287"/>
      </w:r>
      <w:r w:rsidRPr="00192FCB">
        <w:t>, и по-специално член 17 от него,</w:t>
      </w:r>
    </w:p>
    <w:p w14:paraId="307E2408"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288"/>
      </w:r>
      <w:r w:rsidRPr="00192FCB">
        <w:t>, и по-специално член 105 от него,</w:t>
      </w:r>
    </w:p>
    <w:p w14:paraId="723924F0"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154B09D2"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7AC46FDD"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5D04626D" w14:textId="77777777" w:rsidR="00443B04" w:rsidRPr="00192FCB" w:rsidRDefault="00443B04" w:rsidP="00443B04">
      <w:pPr>
        <w:pStyle w:val="NormalHanging12a"/>
      </w:pPr>
      <w:r w:rsidRPr="00192FCB">
        <w:t>1.</w:t>
      </w:r>
      <w:r w:rsidRPr="00192FCB">
        <w:tab/>
        <w:t>одобрява приключването на сметките на Европейската фондация за обучение за финансовата 2024 година;</w:t>
      </w:r>
    </w:p>
    <w:p w14:paraId="0C40D43B"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директора на Европейската фондация за обучение,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2E1A8CBD" w14:textId="77777777" w:rsidR="00443B04" w:rsidRPr="00192FCB" w:rsidRDefault="00443B04" w:rsidP="00443B04"/>
    <w:p w14:paraId="4B95F611" w14:textId="77777777" w:rsidR="00443B04" w:rsidRPr="00192FCB" w:rsidRDefault="00443B04" w:rsidP="00443B04"/>
    <w:p w14:paraId="530DC7FC" w14:textId="57FDA544" w:rsidR="00443B04" w:rsidRPr="00192FCB" w:rsidRDefault="00443B04" w:rsidP="00443B04">
      <w:pPr>
        <w:pStyle w:val="PageHeadingDec"/>
      </w:pPr>
    </w:p>
    <w:p w14:paraId="52BDF845" w14:textId="77777777" w:rsidR="00443B04" w:rsidRPr="00192FCB" w:rsidRDefault="00443B04" w:rsidP="00443B04">
      <w:pPr>
        <w:pStyle w:val="PageHeadingDec"/>
        <w:sectPr w:rsidR="00443B04" w:rsidRPr="00192FCB" w:rsidSect="00192FCB">
          <w:footerReference w:type="first" r:id="rId5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F527D9" w14:textId="77777777" w:rsidR="005F53B9" w:rsidRDefault="005F53B9" w:rsidP="005F53B9">
      <w:pPr>
        <w:pStyle w:val="ATHeading3"/>
      </w:pPr>
      <w:r>
        <w:lastRenderedPageBreak/>
        <w:t>49. Решение на Европейския парламент от 29 април 2026 г. относно освобождаването от отговорност във връзка с изпълнението на бюджета на Агенцията на Европейския съюз в областта на убежището за финансовата 2024 година (2025/2156(DEC))</w:t>
      </w:r>
    </w:p>
    <w:p w14:paraId="18F136C0" w14:textId="77777777" w:rsidR="00443B04" w:rsidRPr="00192FCB" w:rsidRDefault="00443B04" w:rsidP="00443B04">
      <w:pPr>
        <w:pStyle w:val="EPComma"/>
      </w:pPr>
      <w:r w:rsidRPr="00192FCB">
        <w:rPr>
          <w:i/>
          <w:iCs/>
        </w:rPr>
        <w:t>Европейският парламент</w:t>
      </w:r>
      <w:r w:rsidRPr="00192FCB">
        <w:t>,</w:t>
      </w:r>
    </w:p>
    <w:p w14:paraId="78CE34D2"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в областта на убежището за финансовата 2024 година,</w:t>
      </w:r>
    </w:p>
    <w:p w14:paraId="19CD4AA9"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289"/>
      </w:r>
      <w:r w:rsidRPr="00192FCB">
        <w:t>,</w:t>
      </w:r>
    </w:p>
    <w:p w14:paraId="73B5FE4C"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90"/>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27E99FB3"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48A053B1"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49B799F2"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91"/>
      </w:r>
      <w:r w:rsidRPr="00192FCB">
        <w:t>, и по-специално член 70 от него,</w:t>
      </w:r>
    </w:p>
    <w:p w14:paraId="2399C14B" w14:textId="4EEAADDD"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92"/>
      </w:r>
      <w:r w:rsidRPr="00192FCB">
        <w:t>, и по-специално член 70 от него,</w:t>
      </w:r>
    </w:p>
    <w:p w14:paraId="5C990EB2" w14:textId="77777777" w:rsidR="00443B04" w:rsidRPr="00192FCB" w:rsidRDefault="00443B04" w:rsidP="00443B04">
      <w:pPr>
        <w:pStyle w:val="NormalHanging12a"/>
      </w:pPr>
      <w:r w:rsidRPr="00192FCB">
        <w:t>–</w:t>
      </w:r>
      <w:r w:rsidRPr="00192FCB">
        <w:tab/>
        <w:t>като взе предвид Регламент (ЕС) 2021/2303 на Европейския парламент и на Съвета от 15 декември 2021 г. относно Агенцията на Европейския съюз в областта на убежището и за отмяна на Регламент (ЕС) № 439/2010</w:t>
      </w:r>
      <w:r w:rsidRPr="00192FCB">
        <w:rPr>
          <w:rStyle w:val="FootnoteReference"/>
        </w:rPr>
        <w:footnoteReference w:id="293"/>
      </w:r>
      <w:r w:rsidRPr="00192FCB">
        <w:t>, и по-специално член 55 от него,</w:t>
      </w:r>
    </w:p>
    <w:p w14:paraId="76D5A232"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294"/>
      </w:r>
      <w:r w:rsidRPr="00192FCB">
        <w:t xml:space="preserve">, и по-специално член </w:t>
      </w:r>
      <w:r w:rsidRPr="00192FCB">
        <w:lastRenderedPageBreak/>
        <w:t>105 от него,</w:t>
      </w:r>
    </w:p>
    <w:p w14:paraId="7CBC48B4"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5E3E1AFF"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0F9EA159"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53A09EB6"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Агенцията на Европейския съюз в областта на убежището във връзка с изпълнението на бюджета на Агенцията за финансовата 2024 година;</w:t>
      </w:r>
    </w:p>
    <w:p w14:paraId="53F57B9D"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0B942B87"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на Европейския съюз в областта на убежището,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4E568653" w14:textId="77777777" w:rsidR="00443B04" w:rsidRPr="00192FCB" w:rsidRDefault="00443B04" w:rsidP="00443B04"/>
    <w:p w14:paraId="686C0567" w14:textId="77777777" w:rsidR="00443B04" w:rsidRPr="00192FCB" w:rsidRDefault="00443B04" w:rsidP="00443B04">
      <w:pPr>
        <w:pStyle w:val="PageHeadingDec"/>
        <w:sectPr w:rsidR="00443B04" w:rsidRPr="00192FCB" w:rsidSect="00192FCB">
          <w:footerReference w:type="first" r:id="rI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213FFC2" w14:textId="77777777" w:rsidR="005F53B9" w:rsidRDefault="005F53B9" w:rsidP="005F53B9">
      <w:pPr>
        <w:pStyle w:val="ATHeading3"/>
      </w:pPr>
      <w:r>
        <w:lastRenderedPageBreak/>
        <w:t>50. Решение на Европейския парламент от 29 април 2026 г. относно приключването на сметките на Агенцията на Европейския съюз в областта на убежището за финансовата 2024 година (2025/2156(DEC))</w:t>
      </w:r>
    </w:p>
    <w:p w14:paraId="42778E1E" w14:textId="77777777" w:rsidR="00443B04" w:rsidRPr="00192FCB" w:rsidRDefault="00443B04" w:rsidP="00443B04">
      <w:pPr>
        <w:pStyle w:val="EPComma"/>
      </w:pPr>
      <w:r w:rsidRPr="00192FCB">
        <w:rPr>
          <w:i/>
          <w:iCs/>
        </w:rPr>
        <w:t>Европейският парламент</w:t>
      </w:r>
      <w:r w:rsidRPr="00192FCB">
        <w:t>,</w:t>
      </w:r>
    </w:p>
    <w:p w14:paraId="7F93DB67"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в областта на убежището за финансовата 2024 година,</w:t>
      </w:r>
    </w:p>
    <w:p w14:paraId="6654FBB2"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295"/>
      </w:r>
      <w:r w:rsidRPr="00192FCB">
        <w:t>,</w:t>
      </w:r>
    </w:p>
    <w:p w14:paraId="6548D07A"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296"/>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572B8FB"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0D2F34CD"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6709581D"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297"/>
      </w:r>
      <w:r w:rsidRPr="00192FCB">
        <w:t>, и по-специално член 70 от него,</w:t>
      </w:r>
    </w:p>
    <w:p w14:paraId="6C8640DA" w14:textId="1C1CDF70"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298"/>
      </w:r>
      <w:r w:rsidRPr="00192FCB">
        <w:t>, и по-специално член 70 от него,</w:t>
      </w:r>
    </w:p>
    <w:p w14:paraId="7572CFBF" w14:textId="77777777" w:rsidR="00443B04" w:rsidRPr="00192FCB" w:rsidRDefault="00443B04" w:rsidP="00443B04">
      <w:pPr>
        <w:pStyle w:val="NormalHanging12a"/>
      </w:pPr>
      <w:r w:rsidRPr="00192FCB">
        <w:t>–</w:t>
      </w:r>
      <w:r w:rsidRPr="00192FCB">
        <w:tab/>
        <w:t>като взе предвид Регламент (ЕС) 2021/2303 на Европейския парламент и на Съвета от 15 декември 2021 г. относно Агенцията на Европейския съюз в областта на убежището и за отмяна на Регламент (ЕС) № 439/2010</w:t>
      </w:r>
      <w:r w:rsidRPr="00192FCB">
        <w:rPr>
          <w:rStyle w:val="FootnoteReference"/>
        </w:rPr>
        <w:footnoteReference w:id="299"/>
      </w:r>
      <w:r w:rsidRPr="00192FCB">
        <w:t>, и по-специално член 55 от него,</w:t>
      </w:r>
    </w:p>
    <w:p w14:paraId="5098C999"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300"/>
      </w:r>
      <w:r w:rsidRPr="00192FCB">
        <w:t>, и по-специално член 105 от него,</w:t>
      </w:r>
    </w:p>
    <w:p w14:paraId="107ACC20"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51F59D6C"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56A5221B"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181A58E7" w14:textId="77777777" w:rsidR="00443B04" w:rsidRPr="00192FCB" w:rsidRDefault="00443B04" w:rsidP="00443B04">
      <w:pPr>
        <w:pStyle w:val="NormalHanging12a"/>
      </w:pPr>
      <w:r w:rsidRPr="00192FCB">
        <w:t>1.</w:t>
      </w:r>
      <w:r w:rsidRPr="00192FCB">
        <w:tab/>
        <w:t>одобрява приключването на сметките на Агенцията на Европейския съюз в областта на убежището за финансовата 2024 година;</w:t>
      </w:r>
    </w:p>
    <w:p w14:paraId="45D14965"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Агенцията на Европейския съюз в областта на убежището,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08F9795E" w14:textId="77777777" w:rsidR="00443B04" w:rsidRPr="00192FCB" w:rsidRDefault="00443B04" w:rsidP="00443B04"/>
    <w:p w14:paraId="65B1BE2C" w14:textId="77777777" w:rsidR="00443B04" w:rsidRPr="00192FCB" w:rsidRDefault="00443B04" w:rsidP="00443B04"/>
    <w:p w14:paraId="6ED99292" w14:textId="70C04419" w:rsidR="00443B04" w:rsidRPr="00192FCB" w:rsidRDefault="00443B04" w:rsidP="00443B04">
      <w:pPr>
        <w:pStyle w:val="PageHeadingDec"/>
      </w:pPr>
    </w:p>
    <w:p w14:paraId="2BD8DD28" w14:textId="77777777" w:rsidR="00443B04" w:rsidRPr="00192FCB" w:rsidRDefault="00443B04" w:rsidP="00443B04">
      <w:pPr>
        <w:pStyle w:val="PageHeadingDec"/>
        <w:sectPr w:rsidR="00443B04" w:rsidRPr="00192FCB" w:rsidSect="00192FCB">
          <w:footerReference w:type="first" r:id="rId5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5440EFB" w14:textId="77777777" w:rsidR="005F53B9" w:rsidRDefault="005F53B9" w:rsidP="005F53B9">
      <w:pPr>
        <w:pStyle w:val="ATHeading3"/>
      </w:pPr>
      <w:r>
        <w:lastRenderedPageBreak/>
        <w:t>51. Решение на Европейския парламент от 29 април 2026 г. относно освобождаването от отговорност във връзка с изпълнението на бюджета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за финансовата 2024 година (2025/2156(DEC))</w:t>
      </w:r>
    </w:p>
    <w:p w14:paraId="2F007526" w14:textId="77777777" w:rsidR="00443B04" w:rsidRPr="00192FCB" w:rsidRDefault="00443B04" w:rsidP="00443B04">
      <w:pPr>
        <w:pStyle w:val="EPComma"/>
      </w:pPr>
      <w:r w:rsidRPr="00192FCB">
        <w:rPr>
          <w:i/>
          <w:iCs/>
        </w:rPr>
        <w:t>Европейският парламент</w:t>
      </w:r>
      <w:r w:rsidRPr="00192FCB">
        <w:t>,</w:t>
      </w:r>
    </w:p>
    <w:p w14:paraId="3F9AFA5D"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за финансовата 2024 година,</w:t>
      </w:r>
    </w:p>
    <w:p w14:paraId="3783872B"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01"/>
      </w:r>
      <w:r w:rsidRPr="00192FCB">
        <w:t>,</w:t>
      </w:r>
    </w:p>
    <w:p w14:paraId="4BE55E1A"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02"/>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957F159"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7DD2BE5E"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18DE1097"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03"/>
      </w:r>
      <w:r w:rsidRPr="00192FCB">
        <w:t>, и по-специално член 70 от него,</w:t>
      </w:r>
    </w:p>
    <w:p w14:paraId="1A2F2ED3" w14:textId="1AB49199"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304"/>
      </w:r>
      <w:r w:rsidRPr="00192FCB">
        <w:t>, и по-специално член 70 от него,</w:t>
      </w:r>
    </w:p>
    <w:p w14:paraId="1F241073" w14:textId="77777777" w:rsidR="00443B04" w:rsidRPr="00192FCB" w:rsidRDefault="00443B04" w:rsidP="00443B04">
      <w:pPr>
        <w:pStyle w:val="NormalHanging12a"/>
      </w:pPr>
      <w:r w:rsidRPr="00192FCB">
        <w:t>–</w:t>
      </w:r>
      <w:r w:rsidRPr="00192FCB">
        <w:tab/>
        <w:t>като взе предвид Регламент (ЕС) 2018/1726 на Европейския парламент и на Съвета от 14 ноември 2018 г. относно Агенцията на Европейския съюз за оперативното управление на широкомащабни информационни системи в пространството на свобода, сигурност и правосъдие (</w:t>
      </w:r>
      <w:proofErr w:type="spellStart"/>
      <w:r w:rsidRPr="00192FCB">
        <w:t>eu</w:t>
      </w:r>
      <w:proofErr w:type="spellEnd"/>
      <w:r w:rsidRPr="00192FCB">
        <w:t>-LISA), за изменение на Регламент (ЕО) № 1987/2006 и Решение 2007/533/ПВР на Съвета и за отмяна на Регламент (ЕС) № 1077/2011</w:t>
      </w:r>
      <w:r w:rsidRPr="00192FCB">
        <w:rPr>
          <w:rStyle w:val="FootnoteReference"/>
        </w:rPr>
        <w:footnoteReference w:id="305"/>
      </w:r>
      <w:r w:rsidRPr="00192FCB">
        <w:t>, и по-специално член 47 от него,</w:t>
      </w:r>
    </w:p>
    <w:p w14:paraId="4597BD4E" w14:textId="77777777" w:rsidR="00443B04" w:rsidRPr="00192FCB" w:rsidRDefault="00443B04" w:rsidP="00443B04">
      <w:pPr>
        <w:pStyle w:val="NormalHanging12a"/>
      </w:pPr>
      <w:r w:rsidRPr="00192FCB">
        <w:t>–</w:t>
      </w:r>
      <w:r w:rsidRPr="00192FCB">
        <w:tab/>
        <w:t xml:space="preserve">като взе предвид Делегиран регламент (ЕС) 2019/715 на Комисията от 18 декември 2018 г. относно рамковия финансов регламент за органите, създадени по </w:t>
      </w:r>
      <w:r w:rsidRPr="00192FCB">
        <w:lastRenderedPageBreak/>
        <w:t>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306"/>
      </w:r>
      <w:r w:rsidRPr="00192FCB">
        <w:t>, и по-специално член 105 от него,</w:t>
      </w:r>
    </w:p>
    <w:p w14:paraId="694635A5"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4584F2C0"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18619A9A"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7374BA2B"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във връзка с изпълнението на бюджета на Агенцията за финансовата 2024 година;</w:t>
      </w:r>
    </w:p>
    <w:p w14:paraId="6016F49C"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6BB30193"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на Съвета, на Комисията и на Сметната палата и да осигури публикуването им в </w:t>
      </w:r>
      <w:r w:rsidRPr="00192FCB">
        <w:rPr>
          <w:i/>
        </w:rPr>
        <w:t>Официален вестник на Европейския съюз</w:t>
      </w:r>
      <w:r w:rsidRPr="00192FCB">
        <w:t xml:space="preserve"> (серия L).</w:t>
      </w:r>
    </w:p>
    <w:p w14:paraId="4D505CBD" w14:textId="77777777" w:rsidR="00443B04" w:rsidRPr="00192FCB" w:rsidRDefault="00443B04" w:rsidP="00443B04"/>
    <w:p w14:paraId="1F028DB6" w14:textId="77777777" w:rsidR="00443B04" w:rsidRPr="00192FCB" w:rsidRDefault="00443B04" w:rsidP="00443B04">
      <w:pPr>
        <w:pStyle w:val="PageHeadingDec"/>
        <w:sectPr w:rsidR="00443B04" w:rsidRPr="00192FCB" w:rsidSect="00192FCB">
          <w:footerReference w:type="first" r:id="rId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AD2F007" w14:textId="77777777" w:rsidR="005F53B9" w:rsidRDefault="005F53B9" w:rsidP="005F53B9">
      <w:pPr>
        <w:pStyle w:val="ATHeading3"/>
      </w:pPr>
      <w:r>
        <w:lastRenderedPageBreak/>
        <w:t>52. Решение на Европейския парламент от 29 април 2026 г. относно приключването на сметките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за финансовата 2024 година (2025/2156(DEC))</w:t>
      </w:r>
    </w:p>
    <w:p w14:paraId="12552A11" w14:textId="77777777" w:rsidR="00443B04" w:rsidRPr="00192FCB" w:rsidRDefault="00443B04" w:rsidP="00443B04">
      <w:pPr>
        <w:pStyle w:val="EPComma"/>
      </w:pPr>
      <w:r w:rsidRPr="00192FCB">
        <w:rPr>
          <w:i/>
          <w:iCs/>
        </w:rPr>
        <w:t>Европейският парламент</w:t>
      </w:r>
      <w:r w:rsidRPr="00192FCB">
        <w:t>,</w:t>
      </w:r>
    </w:p>
    <w:p w14:paraId="683B80FA"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за финансовата 2024 година,</w:t>
      </w:r>
    </w:p>
    <w:p w14:paraId="4DCFD681"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07"/>
      </w:r>
      <w:r w:rsidRPr="00192FCB">
        <w:t>,</w:t>
      </w:r>
    </w:p>
    <w:p w14:paraId="3964EAFB"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08"/>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6F976A09"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1ECBC6B8"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0A93469B"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09"/>
      </w:r>
      <w:r w:rsidRPr="00192FCB">
        <w:t>, и по-специално член 70 от него,</w:t>
      </w:r>
    </w:p>
    <w:p w14:paraId="4F085FE8" w14:textId="1C42601E"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310"/>
      </w:r>
      <w:r w:rsidRPr="00192FCB">
        <w:t>, и по-специално член 70 от него,</w:t>
      </w:r>
    </w:p>
    <w:p w14:paraId="0F541895" w14:textId="77777777" w:rsidR="00443B04" w:rsidRPr="00192FCB" w:rsidRDefault="00443B04" w:rsidP="00443B04">
      <w:pPr>
        <w:pStyle w:val="NormalHanging12a"/>
      </w:pPr>
      <w:r w:rsidRPr="00192FCB">
        <w:t>–</w:t>
      </w:r>
      <w:r w:rsidRPr="00192FCB">
        <w:tab/>
        <w:t>като взе предвид Регламент (ЕС) 2018/1726 на Европейския парламент и на Съвета от 14 ноември 2018 г. относно Агенцията на Европейския съюз за оперативното управление на широкомащабни информационни системи в пространството на свобода, сигурност и правосъдие (</w:t>
      </w:r>
      <w:proofErr w:type="spellStart"/>
      <w:r w:rsidRPr="00192FCB">
        <w:t>eu</w:t>
      </w:r>
      <w:proofErr w:type="spellEnd"/>
      <w:r w:rsidRPr="00192FCB">
        <w:t>-LISA), за изменение на Регламент (ЕО) № 1987/2006 и Решение 2007/533/ПВР на Съвета и за отмяна на Регламент (ЕС) № 1077/2011</w:t>
      </w:r>
      <w:r w:rsidRPr="00192FCB">
        <w:rPr>
          <w:rStyle w:val="FootnoteReference"/>
        </w:rPr>
        <w:footnoteReference w:id="311"/>
      </w:r>
      <w:r w:rsidRPr="00192FCB">
        <w:t>, и по-специално член 47 от него,</w:t>
      </w:r>
    </w:p>
    <w:p w14:paraId="283FC2AE" w14:textId="77777777" w:rsidR="00443B04" w:rsidRPr="00192FCB" w:rsidRDefault="00443B04" w:rsidP="00443B04">
      <w:pPr>
        <w:pStyle w:val="NormalHanging12a"/>
      </w:pPr>
      <w:r w:rsidRPr="00192FCB">
        <w:t>–</w:t>
      </w:r>
      <w:r w:rsidRPr="00192FCB">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w:t>
      </w:r>
      <w:r w:rsidRPr="00192FCB">
        <w:lastRenderedPageBreak/>
        <w:t>Евратом) 2018/1046 на Европейския парламент и на Съвета</w:t>
      </w:r>
      <w:r w:rsidRPr="00192FCB">
        <w:rPr>
          <w:rStyle w:val="FootnoteReference"/>
        </w:rPr>
        <w:footnoteReference w:id="312"/>
      </w:r>
      <w:r w:rsidRPr="00192FCB">
        <w:t>, и по-специално член 105 от него,</w:t>
      </w:r>
    </w:p>
    <w:p w14:paraId="311C49AE"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25436218"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2516E9F1"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7B19975E" w14:textId="77777777" w:rsidR="00443B04" w:rsidRPr="00192FCB" w:rsidRDefault="00443B04" w:rsidP="00443B04">
      <w:pPr>
        <w:pStyle w:val="NormalHanging12a"/>
      </w:pPr>
      <w:r w:rsidRPr="00192FCB">
        <w:t>1.</w:t>
      </w:r>
      <w:r w:rsidRPr="00192FCB">
        <w:tab/>
        <w:t>одобрява приключването на сметките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за финансовата 2024 година;</w:t>
      </w:r>
    </w:p>
    <w:p w14:paraId="1FD0E2AB"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на Съвета, на Комисията и на Сметната палата и да осигури публикуването му в </w:t>
      </w:r>
      <w:r w:rsidRPr="00192FCB">
        <w:rPr>
          <w:i/>
        </w:rPr>
        <w:t>Официален вестник на Европейския съюз</w:t>
      </w:r>
      <w:r w:rsidRPr="00192FCB">
        <w:t xml:space="preserve"> (серия L).</w:t>
      </w:r>
    </w:p>
    <w:p w14:paraId="2B9474CB" w14:textId="77777777" w:rsidR="00443B04" w:rsidRPr="00192FCB" w:rsidRDefault="00443B04" w:rsidP="00443B04"/>
    <w:p w14:paraId="79514BD6" w14:textId="77777777" w:rsidR="00443B04" w:rsidRPr="00192FCB" w:rsidRDefault="00443B04" w:rsidP="00443B04"/>
    <w:p w14:paraId="3ED74482" w14:textId="74F0A70E" w:rsidR="00443B04" w:rsidRPr="00192FCB" w:rsidRDefault="00443B04" w:rsidP="00443B04">
      <w:pPr>
        <w:pStyle w:val="PageHeadingDec"/>
      </w:pPr>
    </w:p>
    <w:p w14:paraId="636BFB21" w14:textId="77777777" w:rsidR="00443B04" w:rsidRPr="00192FCB" w:rsidRDefault="00443B04" w:rsidP="00443B04">
      <w:pPr>
        <w:pStyle w:val="PageHeadingDec"/>
        <w:sectPr w:rsidR="00443B04" w:rsidRPr="00192FCB" w:rsidSect="00192FCB">
          <w:footerReference w:type="first" r:id="rI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45501BF" w14:textId="77777777" w:rsidR="005F53B9" w:rsidRDefault="005F53B9" w:rsidP="005F53B9">
      <w:pPr>
        <w:pStyle w:val="ATHeading3"/>
      </w:pPr>
      <w:r>
        <w:lastRenderedPageBreak/>
        <w:t>53. Решение на Европейския парламент от 29 април 2026 г. относно освобождаването от отговорност във връзка с изпълнението на бюджета на Европейската агенция за безопасност и здраве при работа за финансовата 2024 година (2025/2156(DEC))</w:t>
      </w:r>
    </w:p>
    <w:p w14:paraId="34F111F2" w14:textId="77777777" w:rsidR="00443B04" w:rsidRPr="00192FCB" w:rsidRDefault="00443B04" w:rsidP="00443B04">
      <w:pPr>
        <w:pStyle w:val="EPComma"/>
      </w:pPr>
      <w:r w:rsidRPr="00192FCB">
        <w:rPr>
          <w:i/>
          <w:iCs/>
        </w:rPr>
        <w:t>Европейският парламент</w:t>
      </w:r>
      <w:r w:rsidRPr="00192FCB">
        <w:t>,</w:t>
      </w:r>
    </w:p>
    <w:p w14:paraId="1F4A3926"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агенция за безопасност и здраве при работа за финансовата 2024 година,</w:t>
      </w:r>
    </w:p>
    <w:p w14:paraId="7D7F1E2C"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13"/>
      </w:r>
      <w:r w:rsidRPr="00192FCB">
        <w:t>,</w:t>
      </w:r>
    </w:p>
    <w:p w14:paraId="10B5871B"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14"/>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1F0CD9DF"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4B0F094B"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1AE44E73"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15"/>
      </w:r>
      <w:r w:rsidRPr="00192FCB">
        <w:t>, и по-специално член 70 от него,</w:t>
      </w:r>
    </w:p>
    <w:p w14:paraId="43A26134" w14:textId="396E27F4"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316"/>
      </w:r>
      <w:r w:rsidRPr="00192FCB">
        <w:t>, и по-специално член 70 от него,</w:t>
      </w:r>
    </w:p>
    <w:p w14:paraId="4777D00C" w14:textId="77777777" w:rsidR="00443B04" w:rsidRPr="00192FCB" w:rsidRDefault="00443B04" w:rsidP="00443B04">
      <w:pPr>
        <w:pStyle w:val="NormalHanging12a"/>
      </w:pPr>
      <w:r w:rsidRPr="00192FCB">
        <w:t>–</w:t>
      </w:r>
      <w:r w:rsidRPr="00192FCB">
        <w:tab/>
        <w:t>като взе предвид Регламент (ЕС) 2019/126 на Европейския парламент и на Съвета от 16 януари 2019 г. за създаване на Европейската агенция за безопасност и здраве при работа (EU-OSHA) и за отмяна на Регламент (ЕО) № 2062/94</w:t>
      </w:r>
      <w:r w:rsidRPr="00192FCB">
        <w:rPr>
          <w:rStyle w:val="FootnoteReference"/>
        </w:rPr>
        <w:footnoteReference w:id="317"/>
      </w:r>
      <w:r w:rsidRPr="00192FCB">
        <w:t xml:space="preserve"> на Съвета, и по-специално член 16 от него,</w:t>
      </w:r>
    </w:p>
    <w:p w14:paraId="5A753320"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318"/>
      </w:r>
      <w:r w:rsidRPr="00192FCB">
        <w:t xml:space="preserve">, и по-специално член </w:t>
      </w:r>
      <w:r w:rsidRPr="00192FCB">
        <w:lastRenderedPageBreak/>
        <w:t>105 от него,</w:t>
      </w:r>
    </w:p>
    <w:p w14:paraId="5D373980"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2AA5CC67"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359F4A49"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3AF19535"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Европейската агенция за безопасност и здраве при работа във връзка с изпълнението на бюджета на Агенцията за финансовата 2024 година;</w:t>
      </w:r>
    </w:p>
    <w:p w14:paraId="60F5DF0E"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537AFCE4"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за безопасност и здраве при работа,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3044AABE" w14:textId="77777777" w:rsidR="00443B04" w:rsidRPr="00192FCB" w:rsidRDefault="00443B04" w:rsidP="00443B04"/>
    <w:p w14:paraId="555714C9" w14:textId="77777777" w:rsidR="00443B04" w:rsidRPr="00192FCB" w:rsidRDefault="00443B04" w:rsidP="00443B04">
      <w:pPr>
        <w:pStyle w:val="PageHeadingDec"/>
        <w:sectPr w:rsidR="00443B04" w:rsidRPr="00192FCB" w:rsidSect="00192FCB">
          <w:footerReference w:type="first" r:id="rId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C2334B" w14:textId="77777777" w:rsidR="005F53B9" w:rsidRDefault="005F53B9" w:rsidP="005F53B9">
      <w:pPr>
        <w:pStyle w:val="ATHeading3"/>
      </w:pPr>
      <w:r>
        <w:lastRenderedPageBreak/>
        <w:t>54. Решение на Европейския парламент от 29 април 2026 г. относно приключването на сметките на Европейската агенция за безопасност и здраве при работа за финансовата 2024 година (2025/2156(DEC))</w:t>
      </w:r>
    </w:p>
    <w:p w14:paraId="11506AC2" w14:textId="77777777" w:rsidR="00443B04" w:rsidRPr="00192FCB" w:rsidRDefault="00443B04" w:rsidP="00443B04">
      <w:pPr>
        <w:pStyle w:val="EPComma"/>
      </w:pPr>
      <w:r w:rsidRPr="00192FCB">
        <w:rPr>
          <w:i/>
          <w:iCs/>
        </w:rPr>
        <w:t>Европейският парламент</w:t>
      </w:r>
      <w:r w:rsidRPr="00192FCB">
        <w:t>,</w:t>
      </w:r>
    </w:p>
    <w:p w14:paraId="551C4EB2"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агенция за безопасност и здраве при работа за финансовата 2024 година,</w:t>
      </w:r>
    </w:p>
    <w:p w14:paraId="3A03E1AC"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19"/>
      </w:r>
      <w:r w:rsidRPr="00192FCB">
        <w:t>,</w:t>
      </w:r>
    </w:p>
    <w:p w14:paraId="41F5699D"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20"/>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7EE1759C"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2A69F01D"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3D2D478D"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21"/>
      </w:r>
      <w:r w:rsidRPr="00192FCB">
        <w:t>, и по-специално член 70 от него,</w:t>
      </w:r>
    </w:p>
    <w:p w14:paraId="0D1EBCD9" w14:textId="51FF994D"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322"/>
      </w:r>
      <w:r w:rsidRPr="00192FCB">
        <w:t>, и по-специално член 70 от него,</w:t>
      </w:r>
    </w:p>
    <w:p w14:paraId="6F3F9564" w14:textId="77777777" w:rsidR="00443B04" w:rsidRPr="00192FCB" w:rsidRDefault="00443B04" w:rsidP="00443B04">
      <w:pPr>
        <w:pStyle w:val="NormalHanging12a"/>
      </w:pPr>
      <w:r w:rsidRPr="00192FCB">
        <w:t>–</w:t>
      </w:r>
      <w:r w:rsidRPr="00192FCB">
        <w:tab/>
        <w:t>като взе предвид Регламент (ЕС) 2019/126 на Европейския парламент и на Съвета от 16 януари 2019 г. за създаване на Европейската агенция за безопасност и здраве при работа (EU-OSHA) и за отмяна на Регламент (ЕО) № 2062/94</w:t>
      </w:r>
      <w:r w:rsidRPr="00192FCB">
        <w:rPr>
          <w:rStyle w:val="FootnoteReference"/>
        </w:rPr>
        <w:footnoteReference w:id="323"/>
      </w:r>
      <w:r w:rsidRPr="00192FCB">
        <w:t xml:space="preserve"> на Съвета, и по-специално член 16 от него,</w:t>
      </w:r>
    </w:p>
    <w:p w14:paraId="7552FEE2"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324"/>
      </w:r>
      <w:r w:rsidRPr="00192FCB">
        <w:t>, и по-специално член 105 от него,</w:t>
      </w:r>
    </w:p>
    <w:p w14:paraId="0C091120"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52E2B730"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5E9A9FFA"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6CF8171B" w14:textId="77777777" w:rsidR="00443B04" w:rsidRPr="00192FCB" w:rsidRDefault="00443B04" w:rsidP="00443B04">
      <w:pPr>
        <w:pStyle w:val="NormalHanging12a"/>
      </w:pPr>
      <w:r w:rsidRPr="00192FCB">
        <w:t>1.</w:t>
      </w:r>
      <w:r w:rsidRPr="00192FCB">
        <w:tab/>
        <w:t>одобрява приключването на сметките на Европейската агенция за безопасност и здраве при работа за финансовата 2024 година;</w:t>
      </w:r>
    </w:p>
    <w:p w14:paraId="049B461F"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Европейската агенция за безопасност и здраве при работа,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53DDC889" w14:textId="77777777" w:rsidR="00443B04" w:rsidRPr="00192FCB" w:rsidRDefault="00443B04" w:rsidP="00443B04"/>
    <w:p w14:paraId="7E630F3A" w14:textId="77777777" w:rsidR="00443B04" w:rsidRPr="00192FCB" w:rsidRDefault="00443B04" w:rsidP="00443B04"/>
    <w:p w14:paraId="394C0DA5" w14:textId="6AC20DB4" w:rsidR="00443B04" w:rsidRPr="00192FCB" w:rsidRDefault="00443B04" w:rsidP="00443B04">
      <w:pPr>
        <w:pStyle w:val="PageHeadingDec"/>
      </w:pPr>
    </w:p>
    <w:p w14:paraId="35B44A3C" w14:textId="77777777" w:rsidR="00443B04" w:rsidRPr="00192FCB" w:rsidRDefault="00443B04" w:rsidP="00443B04">
      <w:pPr>
        <w:pStyle w:val="PageHeadingDec"/>
        <w:sectPr w:rsidR="00443B04" w:rsidRPr="00192FCB" w:rsidSect="00192FCB">
          <w:footerReference w:type="first" r:id="rId6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B4D4FD2" w14:textId="77777777" w:rsidR="005F53B9" w:rsidRDefault="005F53B9" w:rsidP="005F53B9">
      <w:pPr>
        <w:pStyle w:val="ATHeading3"/>
      </w:pPr>
      <w:r>
        <w:lastRenderedPageBreak/>
        <w:t>55. Решение на Европейския парламент от 29 април 2026 г. относно освобождаването от отговорност във връзка с изпълнението на бюджета на Европейската фондация за подобряване на условията на живот и труд за финансовата 2024 година (2025/2156(DEC))</w:t>
      </w:r>
    </w:p>
    <w:p w14:paraId="5F0EDB6F" w14:textId="77777777" w:rsidR="00443B04" w:rsidRPr="00192FCB" w:rsidRDefault="00443B04" w:rsidP="00443B04">
      <w:pPr>
        <w:pStyle w:val="EPComma"/>
      </w:pPr>
      <w:r w:rsidRPr="00192FCB">
        <w:rPr>
          <w:i/>
          <w:iCs/>
        </w:rPr>
        <w:t>Европейският парламент</w:t>
      </w:r>
      <w:r w:rsidRPr="00192FCB">
        <w:t>,</w:t>
      </w:r>
    </w:p>
    <w:p w14:paraId="5805076A"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фондация за подобряване на условията на живот и труд за финансовата 2024 година,</w:t>
      </w:r>
    </w:p>
    <w:p w14:paraId="53FA6265"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25"/>
      </w:r>
      <w:r w:rsidRPr="00192FCB">
        <w:t>,</w:t>
      </w:r>
    </w:p>
    <w:p w14:paraId="479DA451"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26"/>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05B59949"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Фондацията във връзка с изпълнението на бюджета за финансовата 2024 година (05750/2026 – C10-0148/2026),</w:t>
      </w:r>
    </w:p>
    <w:p w14:paraId="22C6418A"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2ACD1191"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27"/>
      </w:r>
      <w:r w:rsidRPr="00192FCB">
        <w:t>, и по-специално член 70 от него,</w:t>
      </w:r>
    </w:p>
    <w:p w14:paraId="1827B7A1" w14:textId="55A8FAC2"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328"/>
      </w:r>
      <w:r w:rsidRPr="00192FCB">
        <w:t>, и по-специално член 70 от него,</w:t>
      </w:r>
    </w:p>
    <w:p w14:paraId="46BC47B2" w14:textId="77777777" w:rsidR="00443B04" w:rsidRPr="00192FCB" w:rsidRDefault="00443B04" w:rsidP="00443B04">
      <w:pPr>
        <w:pStyle w:val="NormalHanging12a"/>
      </w:pPr>
      <w:r w:rsidRPr="00192FCB">
        <w:t>–</w:t>
      </w:r>
      <w:r w:rsidRPr="00192FCB">
        <w:tab/>
        <w:t>като взе предвид Регламент (ЕС) 2019/127 на Европейския парламент и на Съвета от 16 януари 2019 г. относно създаването на Европейската фондация за подобряване на условията на живот и труд (</w:t>
      </w:r>
      <w:proofErr w:type="spellStart"/>
      <w:r w:rsidRPr="00192FCB">
        <w:t>Eurofound</w:t>
      </w:r>
      <w:proofErr w:type="spellEnd"/>
      <w:r w:rsidRPr="00192FCB">
        <w:t>) и за отмяна на Регламент (ЕИО) № 1365/75</w:t>
      </w:r>
      <w:r w:rsidRPr="00192FCB">
        <w:rPr>
          <w:rStyle w:val="FootnoteReference"/>
        </w:rPr>
        <w:footnoteReference w:id="329"/>
      </w:r>
      <w:r w:rsidRPr="00192FCB">
        <w:t xml:space="preserve"> на Съвета, и по-специално член 16 от него,</w:t>
      </w:r>
    </w:p>
    <w:p w14:paraId="401757F2"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330"/>
      </w:r>
      <w:r w:rsidRPr="00192FCB">
        <w:t xml:space="preserve">, и по-специално член </w:t>
      </w:r>
      <w:r w:rsidRPr="00192FCB">
        <w:lastRenderedPageBreak/>
        <w:t>105 от него,</w:t>
      </w:r>
    </w:p>
    <w:p w14:paraId="5A95C869"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3F365AC2"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23448C8F"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17D119C0"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Европейската фондация за подобряване на условията на живот и труд във връзка с изпълнението на бюджета на Фондацията за финансовата 2024 година;</w:t>
      </w:r>
    </w:p>
    <w:p w14:paraId="4BD59F62"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5D505B20" w14:textId="77777777" w:rsidR="00443B04" w:rsidRPr="00192FCB" w:rsidRDefault="00443B04" w:rsidP="00443B04">
      <w:pPr>
        <w:pStyle w:val="NormalHanging12a"/>
      </w:pPr>
      <w:r w:rsidRPr="00192FCB">
        <w:t>3.</w:t>
      </w:r>
      <w:r w:rsidRPr="00192FCB">
        <w:tab/>
        <w:t>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фондация за подобряване на условията на живот и труд (</w:t>
      </w:r>
      <w:proofErr w:type="spellStart"/>
      <w:r w:rsidRPr="00192FCB">
        <w:t>Eurofound</w:t>
      </w:r>
      <w:proofErr w:type="spellEnd"/>
      <w:r w:rsidRPr="00192FCB">
        <w:t xml:space="preserve">),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6EC4C35F" w14:textId="77777777" w:rsidR="00443B04" w:rsidRPr="00192FCB" w:rsidRDefault="00443B04" w:rsidP="00443B04"/>
    <w:p w14:paraId="0D88112B" w14:textId="77777777" w:rsidR="00443B04" w:rsidRPr="00192FCB" w:rsidRDefault="00443B04" w:rsidP="00443B04">
      <w:pPr>
        <w:pStyle w:val="PageHeadingDec"/>
        <w:sectPr w:rsidR="00443B04" w:rsidRPr="00192FCB" w:rsidSect="00192FCB">
          <w:footerReference w:type="first" r:id="rId6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DC0EF8" w14:textId="77777777" w:rsidR="005F53B9" w:rsidRDefault="005F53B9" w:rsidP="005F53B9">
      <w:pPr>
        <w:pStyle w:val="ATHeading3"/>
      </w:pPr>
      <w:r>
        <w:lastRenderedPageBreak/>
        <w:t>56. Решение на Европейския парламент от 29 април 2026 г. относно приключването на сметките на Европейската фондация за подобряване на условията на живот и труд за финансовата 2024 година (2025/2156(DEC))</w:t>
      </w:r>
    </w:p>
    <w:p w14:paraId="08AABDC3" w14:textId="77777777" w:rsidR="00443B04" w:rsidRPr="00192FCB" w:rsidRDefault="00443B04" w:rsidP="00443B04">
      <w:pPr>
        <w:pStyle w:val="EPComma"/>
      </w:pPr>
      <w:r w:rsidRPr="00192FCB">
        <w:rPr>
          <w:i/>
          <w:iCs/>
        </w:rPr>
        <w:t>Европейският парламент</w:t>
      </w:r>
      <w:r w:rsidRPr="00192FCB">
        <w:t>,</w:t>
      </w:r>
    </w:p>
    <w:p w14:paraId="193E8DFA"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фондация за подобряване на условията на живот и труд за финансовата 2024 година,</w:t>
      </w:r>
    </w:p>
    <w:p w14:paraId="0FD962C6"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31"/>
      </w:r>
      <w:r w:rsidRPr="00192FCB">
        <w:t>,</w:t>
      </w:r>
    </w:p>
    <w:p w14:paraId="21AF0D30"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32"/>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5399BA4F"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Фондацията във връзка с изпълнението на бюджета за финансовата 2024 година (05750/2026 – C10-0148/2026),</w:t>
      </w:r>
    </w:p>
    <w:p w14:paraId="4B8D5AAA"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08DC102A"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33"/>
      </w:r>
      <w:r w:rsidRPr="00192FCB">
        <w:t>, и по-специално член 70 от него,</w:t>
      </w:r>
    </w:p>
    <w:p w14:paraId="7D64DE04" w14:textId="4EA8D1DF"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334"/>
      </w:r>
      <w:r w:rsidRPr="00192FCB">
        <w:t>, и по-специално член 70 от него,</w:t>
      </w:r>
    </w:p>
    <w:p w14:paraId="21A63997" w14:textId="77777777" w:rsidR="00443B04" w:rsidRPr="00192FCB" w:rsidRDefault="00443B04" w:rsidP="00443B04">
      <w:pPr>
        <w:pStyle w:val="NormalHanging12a"/>
      </w:pPr>
      <w:r w:rsidRPr="00192FCB">
        <w:t>–</w:t>
      </w:r>
      <w:r w:rsidRPr="00192FCB">
        <w:tab/>
        <w:t>като взе предвид Регламент (ЕС) 2019/127 на Европейския парламент и на Съвета от 16 януари 2019 г. относно създаването на Европейската фондация за подобряване на условията на живот и труд (</w:t>
      </w:r>
      <w:proofErr w:type="spellStart"/>
      <w:r w:rsidRPr="00192FCB">
        <w:t>Eurofound</w:t>
      </w:r>
      <w:proofErr w:type="spellEnd"/>
      <w:r w:rsidRPr="00192FCB">
        <w:t>) и за отмяна на Регламент (ЕИО) № 1365/75</w:t>
      </w:r>
      <w:r w:rsidRPr="00192FCB">
        <w:rPr>
          <w:rStyle w:val="FootnoteReference"/>
        </w:rPr>
        <w:footnoteReference w:id="335"/>
      </w:r>
      <w:r w:rsidRPr="00192FCB">
        <w:t xml:space="preserve"> на Съвета, и по-специално член 16 от него,</w:t>
      </w:r>
    </w:p>
    <w:p w14:paraId="00FC0C55"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336"/>
      </w:r>
      <w:r w:rsidRPr="00192FCB">
        <w:t>, и по-специално член 105 от него,</w:t>
      </w:r>
    </w:p>
    <w:p w14:paraId="6071CE60"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09072D3E"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735F65D5"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2DD29311" w14:textId="77777777" w:rsidR="00443B04" w:rsidRPr="00192FCB" w:rsidRDefault="00443B04" w:rsidP="00443B04">
      <w:pPr>
        <w:pStyle w:val="NormalHanging12a"/>
      </w:pPr>
      <w:r w:rsidRPr="00192FCB">
        <w:t>1.</w:t>
      </w:r>
      <w:r w:rsidRPr="00192FCB">
        <w:tab/>
        <w:t>одобрява приключването на сметките на Европейската фондация за подобряване на условията на живот и труд за финансовата 2024 година;</w:t>
      </w:r>
    </w:p>
    <w:p w14:paraId="0260C23B" w14:textId="77777777" w:rsidR="00443B04" w:rsidRPr="00192FCB" w:rsidRDefault="00443B04" w:rsidP="00443B04">
      <w:pPr>
        <w:pStyle w:val="NormalHanging12a"/>
      </w:pPr>
      <w:r w:rsidRPr="00192FCB">
        <w:t>2.</w:t>
      </w:r>
      <w:r w:rsidRPr="00192FCB">
        <w:tab/>
        <w:t>възлага на своя председател да предаде настоящото решение на изпълнителния директор на Европейската фондация за подобряване на условията на живот и труд (</w:t>
      </w:r>
      <w:proofErr w:type="spellStart"/>
      <w:r w:rsidRPr="00192FCB">
        <w:t>Eurofound</w:t>
      </w:r>
      <w:proofErr w:type="spellEnd"/>
      <w:r w:rsidRPr="00192FCB">
        <w:t xml:space="preserve">), на Комисията и на Сметната палата и да осигури публикуването му в </w:t>
      </w:r>
      <w:r w:rsidRPr="00192FCB">
        <w:rPr>
          <w:i/>
        </w:rPr>
        <w:t>Официален вестник на Европейския съюз</w:t>
      </w:r>
      <w:r w:rsidRPr="00192FCB">
        <w:t xml:space="preserve"> (серия L).</w:t>
      </w:r>
    </w:p>
    <w:p w14:paraId="5507F6BF" w14:textId="77777777" w:rsidR="00443B04" w:rsidRPr="00192FCB" w:rsidRDefault="00443B04" w:rsidP="00443B04"/>
    <w:p w14:paraId="2D91E8C3" w14:textId="77777777" w:rsidR="00443B04" w:rsidRPr="00192FCB" w:rsidRDefault="00443B04" w:rsidP="00443B04"/>
    <w:p w14:paraId="519B567B" w14:textId="363A56A6" w:rsidR="00443B04" w:rsidRPr="00192FCB" w:rsidRDefault="00443B04" w:rsidP="00443B04">
      <w:pPr>
        <w:pStyle w:val="PageHeadingDec"/>
      </w:pPr>
    </w:p>
    <w:p w14:paraId="4F519E20" w14:textId="77777777" w:rsidR="00443B04" w:rsidRPr="00192FCB" w:rsidRDefault="00443B04" w:rsidP="00443B04">
      <w:pPr>
        <w:pStyle w:val="PageHeadingDec"/>
        <w:sectPr w:rsidR="00443B04" w:rsidRPr="00192FCB" w:rsidSect="00192FCB">
          <w:footerReference w:type="first" r:id="rId6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369C9E0" w14:textId="77777777" w:rsidR="005F53B9" w:rsidRDefault="005F53B9" w:rsidP="005F53B9">
      <w:pPr>
        <w:pStyle w:val="ATHeading3"/>
      </w:pPr>
      <w:r>
        <w:lastRenderedPageBreak/>
        <w:t>57. Решение на Европейския парламент от 29 април 2026 г. относно освобождаването от отговорност във връзка с изпълнението на бюджета на Агенцията на Европейския съюз за сътрудничество в областта на наказателното правосъдие за финансовата 2024 година (2025/2156(DEC))</w:t>
      </w:r>
    </w:p>
    <w:p w14:paraId="7AAC0D67" w14:textId="77777777" w:rsidR="00443B04" w:rsidRPr="00192FCB" w:rsidRDefault="00443B04" w:rsidP="00443B04">
      <w:pPr>
        <w:pStyle w:val="EPComma"/>
      </w:pPr>
      <w:r w:rsidRPr="00192FCB">
        <w:rPr>
          <w:i/>
          <w:iCs/>
        </w:rPr>
        <w:t>Европейският парламент</w:t>
      </w:r>
      <w:r w:rsidRPr="00192FCB">
        <w:t>,</w:t>
      </w:r>
    </w:p>
    <w:p w14:paraId="358B1A76"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за сътрудничество в областта на наказателното правосъдие за финансовата 2024 година,</w:t>
      </w:r>
    </w:p>
    <w:p w14:paraId="3482E607"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37"/>
      </w:r>
      <w:r w:rsidRPr="00192FCB">
        <w:t>,</w:t>
      </w:r>
    </w:p>
    <w:p w14:paraId="1CBF671F"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38"/>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75E3DC29"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4182112C"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35D99DA0"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39"/>
      </w:r>
      <w:r w:rsidRPr="00192FCB">
        <w:t>, и по-специално член 70 от него,</w:t>
      </w:r>
    </w:p>
    <w:p w14:paraId="7880D864" w14:textId="3D883958"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340"/>
      </w:r>
      <w:r w:rsidRPr="00192FCB">
        <w:t>, и по-специално член 70 от него,</w:t>
      </w:r>
    </w:p>
    <w:p w14:paraId="01FA694C" w14:textId="77777777" w:rsidR="00443B04" w:rsidRPr="00192FCB" w:rsidRDefault="00443B04" w:rsidP="00443B04">
      <w:pPr>
        <w:pStyle w:val="NormalHanging12a"/>
      </w:pPr>
      <w:r w:rsidRPr="00192FCB">
        <w:t>–</w:t>
      </w:r>
      <w:r w:rsidRPr="00192FCB">
        <w:tab/>
        <w:t>като взе предвид Регламент (ЕС) 2018/1727 на Европейския парламент и на Съвета от 14 ноември 2018 г. относно Агенцията на Европейския съюз за сътрудничество в областта на наказателното правосъдие (Евроюст) и за замяна и отмяна на Решение 2002/187/ПВР</w:t>
      </w:r>
      <w:r w:rsidRPr="00192FCB">
        <w:rPr>
          <w:rStyle w:val="FootnoteReference"/>
        </w:rPr>
        <w:footnoteReference w:id="341"/>
      </w:r>
      <w:r w:rsidRPr="00192FCB">
        <w:t xml:space="preserve"> на Съвета, и по-специално член 63 от него,</w:t>
      </w:r>
    </w:p>
    <w:p w14:paraId="7EA62A8C"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342"/>
      </w:r>
      <w:r w:rsidRPr="00192FCB">
        <w:t xml:space="preserve">, и по-специално член </w:t>
      </w:r>
      <w:r w:rsidRPr="00192FCB">
        <w:lastRenderedPageBreak/>
        <w:t>105 от него,</w:t>
      </w:r>
    </w:p>
    <w:p w14:paraId="47BB47EE"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76C344CF"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3C33A0C0"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23AAC0CA" w14:textId="77777777" w:rsidR="00443B04" w:rsidRPr="00192FCB" w:rsidRDefault="00443B04" w:rsidP="00443B04">
      <w:pPr>
        <w:pStyle w:val="NormalHanging12a"/>
      </w:pPr>
      <w:r w:rsidRPr="00192FCB">
        <w:t>1.</w:t>
      </w:r>
      <w:r w:rsidRPr="00192FCB">
        <w:tab/>
        <w:t>освобождава от отговорност административния директор на Агенцията на Европейския съюз за сътрудничество в областта на наказателното правосъдие във връзка с изпълнението на бюджета на Агенцията за финансовата 2024 година;</w:t>
      </w:r>
    </w:p>
    <w:p w14:paraId="68B2D375"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2F6713AF"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административния директор на Агенцията на Европейския съюз за сътрудничество в областта на наказателното правосъдие (Евроюст),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206AF4CC" w14:textId="77777777" w:rsidR="00443B04" w:rsidRPr="00192FCB" w:rsidRDefault="00443B04" w:rsidP="00443B04"/>
    <w:p w14:paraId="423DEFE1" w14:textId="77777777" w:rsidR="00443B04" w:rsidRPr="00192FCB" w:rsidRDefault="00443B04" w:rsidP="00443B04">
      <w:pPr>
        <w:pStyle w:val="PageHeadingDec"/>
        <w:sectPr w:rsidR="00443B04" w:rsidRPr="00192FCB" w:rsidSect="00192FCB">
          <w:footerReference w:type="first" r:id="rId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D505F44" w14:textId="77777777" w:rsidR="005F53B9" w:rsidRDefault="005F53B9" w:rsidP="005F53B9">
      <w:pPr>
        <w:pStyle w:val="ATHeading3"/>
      </w:pPr>
      <w:r>
        <w:lastRenderedPageBreak/>
        <w:t>58. Решение на Европейския парламент от 29 април 2026 г. относно приключването на сметките на Агенцията на Европейския съюз за сътрудничество в областта на наказателното правосъдие за финансовата 2024 година (2025/2156(DEC))</w:t>
      </w:r>
    </w:p>
    <w:p w14:paraId="58620727" w14:textId="77777777" w:rsidR="00443B04" w:rsidRPr="00192FCB" w:rsidRDefault="00443B04" w:rsidP="00443B04">
      <w:pPr>
        <w:pStyle w:val="EPComma"/>
      </w:pPr>
      <w:r w:rsidRPr="00192FCB">
        <w:rPr>
          <w:i/>
          <w:iCs/>
        </w:rPr>
        <w:t>Европейският парламент</w:t>
      </w:r>
      <w:r w:rsidRPr="00192FCB">
        <w:t>,</w:t>
      </w:r>
    </w:p>
    <w:p w14:paraId="43B95103"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за сътрудничество в областта на наказателното правосъдие за финансовата 2024 година,</w:t>
      </w:r>
    </w:p>
    <w:p w14:paraId="3765C4DF"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43"/>
      </w:r>
      <w:r w:rsidRPr="00192FCB">
        <w:t>,</w:t>
      </w:r>
    </w:p>
    <w:p w14:paraId="563E5E40"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44"/>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1B2A2C7"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2D1B8ADB"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14AAAFE1"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45"/>
      </w:r>
      <w:r w:rsidRPr="00192FCB">
        <w:t>, и по-специално член 70 от него,</w:t>
      </w:r>
    </w:p>
    <w:p w14:paraId="732A06AE" w14:textId="2E0CBCF0"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346"/>
      </w:r>
      <w:r w:rsidRPr="00192FCB">
        <w:t>, и по-специално член 70 от него,</w:t>
      </w:r>
    </w:p>
    <w:p w14:paraId="2E4F270A" w14:textId="77777777" w:rsidR="00443B04" w:rsidRPr="00192FCB" w:rsidRDefault="00443B04" w:rsidP="00443B04">
      <w:pPr>
        <w:pStyle w:val="NormalHanging12a"/>
      </w:pPr>
      <w:r w:rsidRPr="00192FCB">
        <w:t>–</w:t>
      </w:r>
      <w:r w:rsidRPr="00192FCB">
        <w:tab/>
        <w:t>като взе предвид Регламент (ЕС) 2018/1727 на Европейския парламент и на Съвета от 14 ноември 2018 г. относно Агенцията на Европейския съюз за сътрудничество в областта на наказателното правосъдие (Евроюст) и за замяна и отмяна на Решение 2002/187/ПВР</w:t>
      </w:r>
      <w:r w:rsidRPr="00192FCB">
        <w:rPr>
          <w:rStyle w:val="FootnoteReference"/>
        </w:rPr>
        <w:footnoteReference w:id="347"/>
      </w:r>
      <w:r w:rsidRPr="00192FCB">
        <w:t xml:space="preserve"> на Съвета, и по-специално член 63 от него,</w:t>
      </w:r>
    </w:p>
    <w:p w14:paraId="2D997EC7"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348"/>
      </w:r>
      <w:r w:rsidRPr="00192FCB">
        <w:t xml:space="preserve">, и по-специално член </w:t>
      </w:r>
      <w:r w:rsidRPr="00192FCB">
        <w:lastRenderedPageBreak/>
        <w:t>105 от него,</w:t>
      </w:r>
    </w:p>
    <w:p w14:paraId="74A17174"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708A752F"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0ABE8AA2"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4AD91462" w14:textId="77777777" w:rsidR="00443B04" w:rsidRPr="00192FCB" w:rsidRDefault="00443B04" w:rsidP="00443B04">
      <w:pPr>
        <w:pStyle w:val="NormalHanging12a"/>
      </w:pPr>
      <w:r w:rsidRPr="00192FCB">
        <w:t>1.</w:t>
      </w:r>
      <w:r w:rsidRPr="00192FCB">
        <w:tab/>
        <w:t>одобрява приключването на сметките на Агенцията на Европейския съюз за сътрудничество в областта на наказателното правосъдие за финансовата 2024 година;</w:t>
      </w:r>
    </w:p>
    <w:p w14:paraId="04EFE1E6"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административния директор на Агенцията на Европейския съюз за сътрудничество в областта на наказателното правосъдие (Евроюст), на Комисията и на Сметната палата и да осигури публикуването му в </w:t>
      </w:r>
      <w:r w:rsidRPr="00192FCB">
        <w:rPr>
          <w:i/>
        </w:rPr>
        <w:t>Официален вестник на Европейския съюз</w:t>
      </w:r>
      <w:r w:rsidRPr="00192FCB">
        <w:t xml:space="preserve"> (серия L).</w:t>
      </w:r>
    </w:p>
    <w:p w14:paraId="01B9F66C" w14:textId="77777777" w:rsidR="00443B04" w:rsidRPr="00192FCB" w:rsidRDefault="00443B04" w:rsidP="00443B04"/>
    <w:p w14:paraId="562F33BF" w14:textId="77777777" w:rsidR="00443B04" w:rsidRPr="00192FCB" w:rsidRDefault="00443B04" w:rsidP="00443B04"/>
    <w:p w14:paraId="6BE10E2A" w14:textId="794A171A" w:rsidR="00443B04" w:rsidRPr="00192FCB" w:rsidRDefault="00443B04" w:rsidP="00443B04">
      <w:pPr>
        <w:pStyle w:val="PageHeadingDec"/>
      </w:pPr>
    </w:p>
    <w:p w14:paraId="33E941B1" w14:textId="77777777" w:rsidR="00443B04" w:rsidRPr="00192FCB" w:rsidRDefault="00443B04" w:rsidP="00443B04">
      <w:pPr>
        <w:pStyle w:val="PageHeadingDec"/>
        <w:sectPr w:rsidR="00443B04" w:rsidRPr="00192FCB" w:rsidSect="00192FCB">
          <w:footerReference w:type="first" r:id="rId6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170FC9A" w14:textId="77777777" w:rsidR="005F53B9" w:rsidRDefault="005F53B9" w:rsidP="005F53B9">
      <w:pPr>
        <w:pStyle w:val="ATHeading3"/>
      </w:pPr>
      <w:r>
        <w:lastRenderedPageBreak/>
        <w:t>59. Решение на Европейския парламент от 29 април 2026 г. относно освобождаването от отговорност във връзка с изпълнението на бюджета на Агенцията на Европейския съюз за сътрудничество в областта на правоприлагането за финансовата 2024 година (2025/2156(DEC))</w:t>
      </w:r>
    </w:p>
    <w:p w14:paraId="6ABAF5C8" w14:textId="77777777" w:rsidR="00443B04" w:rsidRPr="00192FCB" w:rsidRDefault="00443B04" w:rsidP="00443B04">
      <w:pPr>
        <w:pStyle w:val="EPComma"/>
      </w:pPr>
      <w:r w:rsidRPr="00192FCB">
        <w:rPr>
          <w:i/>
          <w:iCs/>
        </w:rPr>
        <w:t>Европейският парламент</w:t>
      </w:r>
      <w:r w:rsidRPr="00192FCB">
        <w:t>,</w:t>
      </w:r>
    </w:p>
    <w:p w14:paraId="2173DE4A"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за сътрудничество в областта на правоприлагането за финансовата 2024 година,</w:t>
      </w:r>
    </w:p>
    <w:p w14:paraId="75238530"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49"/>
      </w:r>
      <w:r w:rsidRPr="00192FCB">
        <w:t>,</w:t>
      </w:r>
    </w:p>
    <w:p w14:paraId="6EB96723"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50"/>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59B6AEB6"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505965D7"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10A4CE43"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51"/>
      </w:r>
      <w:r w:rsidRPr="00192FCB">
        <w:t>, и по-специално член 70 от него,</w:t>
      </w:r>
    </w:p>
    <w:p w14:paraId="1D899C0F" w14:textId="39B9001B"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352"/>
      </w:r>
      <w:r w:rsidRPr="00192FCB">
        <w:t>, и по-специално член 70 от него,</w:t>
      </w:r>
    </w:p>
    <w:p w14:paraId="4334BC5F" w14:textId="77777777" w:rsidR="00443B04" w:rsidRPr="00192FCB" w:rsidRDefault="00443B04" w:rsidP="00443B04">
      <w:pPr>
        <w:pStyle w:val="NormalHanging12a"/>
      </w:pPr>
      <w:r w:rsidRPr="00192FCB">
        <w:t>–</w:t>
      </w:r>
      <w:r w:rsidRPr="00192FCB">
        <w:tab/>
        <w:t>като взе предвид Регламент (ЕС) 2016/794 на Европейския парламент и на Съвета от 11 май 2016 г. относно Агенцията на Европейския съюз за сътрудничество в областта на правоприлагането (Европол) и за замяна и отмяна на решения 2009/371/ПВР, 2009/934/ПВР, 2009/935/ПВР, 2009/936/ПВР и 2009/968/ПВР</w:t>
      </w:r>
      <w:r w:rsidRPr="00192FCB">
        <w:rPr>
          <w:rStyle w:val="FootnoteReference"/>
        </w:rPr>
        <w:footnoteReference w:id="353"/>
      </w:r>
      <w:r w:rsidRPr="00192FCB">
        <w:t xml:space="preserve"> на Съвета, и по-специално член 60 от него,</w:t>
      </w:r>
    </w:p>
    <w:p w14:paraId="592B68F1" w14:textId="77777777" w:rsidR="00443B04" w:rsidRPr="00192FCB" w:rsidRDefault="00443B04" w:rsidP="00443B04">
      <w:pPr>
        <w:pStyle w:val="NormalHanging12a"/>
      </w:pPr>
      <w:r w:rsidRPr="00192FCB">
        <w:t>–</w:t>
      </w:r>
      <w:r w:rsidRPr="00192FCB">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w:t>
      </w:r>
      <w:r w:rsidRPr="00192FCB">
        <w:lastRenderedPageBreak/>
        <w:t>Евратом) 2018/1046 на Европейския парламент и на Съвета</w:t>
      </w:r>
      <w:r w:rsidRPr="00192FCB">
        <w:rPr>
          <w:rStyle w:val="FootnoteReference"/>
        </w:rPr>
        <w:footnoteReference w:id="354"/>
      </w:r>
      <w:r w:rsidRPr="00192FCB">
        <w:t>, и по-специално член 105 от него,</w:t>
      </w:r>
    </w:p>
    <w:p w14:paraId="7165DCFC"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6BDB9DEA"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63460946"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10DEB898"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Агенцията на Европейския съюз за сътрудничество в областта на правоприлагането във връзка с изпълнението на бюджета на Агенцията за финансовата 2024 година;</w:t>
      </w:r>
    </w:p>
    <w:p w14:paraId="4B5C63DA"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326F8AB9"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на Европейския съюз за сътрудничество в областта на правоприлагането,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7C299D97" w14:textId="77777777" w:rsidR="00443B04" w:rsidRPr="00192FCB" w:rsidRDefault="00443B04" w:rsidP="00443B04"/>
    <w:p w14:paraId="638FA782" w14:textId="77777777" w:rsidR="00443B04" w:rsidRPr="00192FCB" w:rsidRDefault="00443B04" w:rsidP="00443B04">
      <w:pPr>
        <w:pStyle w:val="PageHeadingDec"/>
        <w:sectPr w:rsidR="00443B04" w:rsidRPr="00192FCB" w:rsidSect="00192FCB">
          <w:footerReference w:type="first" r:id="rId6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9EC572" w14:textId="77777777" w:rsidR="005F53B9" w:rsidRDefault="005F53B9" w:rsidP="005F53B9">
      <w:pPr>
        <w:pStyle w:val="ATHeading3"/>
      </w:pPr>
      <w:r>
        <w:lastRenderedPageBreak/>
        <w:t>60. Решение на Европейския парламент от 29 април 2026 г. относно приключването на сметките на Агенцията на Европейския съюз за сътрудничество в областта на правоприлагането за финансовата 2024 година (2025/2156(DEC))</w:t>
      </w:r>
    </w:p>
    <w:p w14:paraId="0959E39B" w14:textId="77777777" w:rsidR="00443B04" w:rsidRPr="00192FCB" w:rsidRDefault="00443B04" w:rsidP="00443B04">
      <w:pPr>
        <w:pStyle w:val="EPComma"/>
      </w:pPr>
      <w:r w:rsidRPr="00192FCB">
        <w:rPr>
          <w:i/>
          <w:iCs/>
        </w:rPr>
        <w:t>Европейският парламент</w:t>
      </w:r>
      <w:r w:rsidRPr="00192FCB">
        <w:t>,</w:t>
      </w:r>
    </w:p>
    <w:p w14:paraId="587D5D71"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за сътрудничество в областта на правоприлагането за финансовата 2024 година,</w:t>
      </w:r>
    </w:p>
    <w:p w14:paraId="5C76915D"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55"/>
      </w:r>
      <w:r w:rsidRPr="00192FCB">
        <w:t>,</w:t>
      </w:r>
    </w:p>
    <w:p w14:paraId="4BB38A68"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56"/>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41D187A8"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1E4E03A3"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31EE4242"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57"/>
      </w:r>
      <w:r w:rsidRPr="00192FCB">
        <w:t>, и по-специално член 70 от него,</w:t>
      </w:r>
    </w:p>
    <w:p w14:paraId="1C70A0BD" w14:textId="0945D923"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358"/>
      </w:r>
      <w:r w:rsidRPr="00192FCB">
        <w:t>, и по-специално член 70 от него,</w:t>
      </w:r>
    </w:p>
    <w:p w14:paraId="27D3466F" w14:textId="77777777" w:rsidR="00443B04" w:rsidRPr="00192FCB" w:rsidRDefault="00443B04" w:rsidP="00443B04">
      <w:pPr>
        <w:pStyle w:val="NormalHanging12a"/>
      </w:pPr>
      <w:r w:rsidRPr="00192FCB">
        <w:t>–</w:t>
      </w:r>
      <w:r w:rsidRPr="00192FCB">
        <w:tab/>
        <w:t>като взе предвид Регламент (ЕС) 2016/794 на Европейския парламент и на Съвета от 11 май 2016 г. относно Агенцията на Европейския съюз за сътрудничество в областта на правоприлагането (Европол) и за замяна и отмяна на решения 2009/371/ПВР, 2009/934/ПВР, 2009/935/ПВР, 2009/936/ПВР и 2009/968/ПВР</w:t>
      </w:r>
      <w:r w:rsidRPr="00192FCB">
        <w:rPr>
          <w:rStyle w:val="FootnoteReference"/>
        </w:rPr>
        <w:footnoteReference w:id="359"/>
      </w:r>
      <w:r w:rsidRPr="00192FCB">
        <w:t xml:space="preserve"> на Съвета, и по-специално член 60 от него,</w:t>
      </w:r>
    </w:p>
    <w:p w14:paraId="6F41C6A5" w14:textId="77777777" w:rsidR="00443B04" w:rsidRPr="00192FCB" w:rsidRDefault="00443B04" w:rsidP="00443B04">
      <w:pPr>
        <w:pStyle w:val="NormalHanging12a"/>
      </w:pPr>
      <w:r w:rsidRPr="00192FCB">
        <w:t>–</w:t>
      </w:r>
      <w:r w:rsidRPr="00192FCB">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w:t>
      </w:r>
      <w:r w:rsidRPr="00192FCB">
        <w:lastRenderedPageBreak/>
        <w:t>Евратом) 2018/1046 на Европейския парламент и на Съвета</w:t>
      </w:r>
      <w:r w:rsidRPr="00192FCB">
        <w:rPr>
          <w:rStyle w:val="FootnoteReference"/>
        </w:rPr>
        <w:footnoteReference w:id="360"/>
      </w:r>
      <w:r w:rsidRPr="00192FCB">
        <w:t>, и по-специално член 105 от него,</w:t>
      </w:r>
    </w:p>
    <w:p w14:paraId="496E9C3B"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336C59AD"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5EB91E4F"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7ECC9C14" w14:textId="77777777" w:rsidR="00443B04" w:rsidRPr="00192FCB" w:rsidRDefault="00443B04" w:rsidP="00443B04">
      <w:pPr>
        <w:pStyle w:val="NormalHanging12a"/>
      </w:pPr>
      <w:r w:rsidRPr="00192FCB">
        <w:t>1.</w:t>
      </w:r>
      <w:r w:rsidRPr="00192FCB">
        <w:tab/>
        <w:t>одобрява приключването на сметките на Агенцията на Европейския съюз за сътрудничество в областта на правоприлагането за финансовата 2024 година;</w:t>
      </w:r>
    </w:p>
    <w:p w14:paraId="0A8CB43D"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Агенцията на Европейския съюз за сътрудничество в областта на правоприлагането,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52EB3D22" w14:textId="77777777" w:rsidR="00443B04" w:rsidRPr="00192FCB" w:rsidRDefault="00443B04" w:rsidP="00443B04"/>
    <w:p w14:paraId="25952B4D" w14:textId="77777777" w:rsidR="00443B04" w:rsidRPr="00192FCB" w:rsidRDefault="00443B04" w:rsidP="00443B04"/>
    <w:p w14:paraId="66AAFCAA" w14:textId="3794A54D" w:rsidR="00443B04" w:rsidRPr="00192FCB" w:rsidRDefault="00443B04" w:rsidP="00443B04">
      <w:pPr>
        <w:pStyle w:val="PageHeadingDec"/>
      </w:pPr>
    </w:p>
    <w:p w14:paraId="48AC01D7" w14:textId="77777777" w:rsidR="00443B04" w:rsidRPr="00192FCB" w:rsidRDefault="00443B04" w:rsidP="00443B04">
      <w:pPr>
        <w:pStyle w:val="PageHeadingDec"/>
        <w:sectPr w:rsidR="00443B04" w:rsidRPr="00192FCB" w:rsidSect="00192FCB">
          <w:footerReference w:type="first" r:id="rId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0FC3090" w14:textId="77777777" w:rsidR="005F53B9" w:rsidRDefault="005F53B9" w:rsidP="005F53B9">
      <w:pPr>
        <w:pStyle w:val="ATHeading3"/>
      </w:pPr>
      <w:r>
        <w:lastRenderedPageBreak/>
        <w:t>61. Решение на Европейския парламент от 29 април 2026 г. относно освобождаването от отговорност във връзка с изпълнението на бюджета на Агенцията на Европейския съюз за космическата програма за финансовата 2024 година (2025/2156(DEC))</w:t>
      </w:r>
    </w:p>
    <w:p w14:paraId="085CE151" w14:textId="77777777" w:rsidR="00443B04" w:rsidRPr="00192FCB" w:rsidRDefault="00443B04" w:rsidP="00443B04">
      <w:pPr>
        <w:pStyle w:val="EPComma"/>
      </w:pPr>
      <w:r w:rsidRPr="00192FCB">
        <w:rPr>
          <w:i/>
          <w:iCs/>
        </w:rPr>
        <w:t>Европейският парламент</w:t>
      </w:r>
      <w:r w:rsidRPr="00192FCB">
        <w:t>,</w:t>
      </w:r>
    </w:p>
    <w:p w14:paraId="6E3CA1C3"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за космическата програма за финансовата 2024 година,</w:t>
      </w:r>
    </w:p>
    <w:p w14:paraId="27169EAB"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61"/>
      </w:r>
      <w:r w:rsidRPr="00192FCB">
        <w:t>,</w:t>
      </w:r>
    </w:p>
    <w:p w14:paraId="29D1BE18"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62"/>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6E766C7E"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502D0C71"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6B432FD4"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63"/>
      </w:r>
      <w:r w:rsidRPr="00192FCB">
        <w:t>, и по-специално член 70 от него,</w:t>
      </w:r>
    </w:p>
    <w:p w14:paraId="0B8EBD9F" w14:textId="57A7D893"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364"/>
      </w:r>
      <w:r w:rsidRPr="00192FCB">
        <w:t>, и по-специално член 70 от него,</w:t>
      </w:r>
    </w:p>
    <w:p w14:paraId="7E0D3BEC" w14:textId="77777777" w:rsidR="00443B04" w:rsidRPr="00192FCB" w:rsidRDefault="00443B04" w:rsidP="00443B04">
      <w:pPr>
        <w:pStyle w:val="NormalHanging12a"/>
      </w:pPr>
      <w:r w:rsidRPr="00192FCB">
        <w:t>–</w:t>
      </w:r>
      <w:r w:rsidRPr="00192FCB">
        <w:tab/>
        <w:t>като взе предвид Регламент (ЕС) 2021/696 на Европейския парламент и на Съвета от 28 април 2021 г. за създаване на космическа програма на Съюза и Агенция на Европейския съюз за космическата програма и за отмяна на регламенти (ЕС) № 912/2010, (ЕС) № 1285/2013 и (ЕС) № 377/2014 и на Решение № 541/2014/ЕС</w:t>
      </w:r>
      <w:r w:rsidRPr="00192FCB">
        <w:rPr>
          <w:rStyle w:val="FootnoteReference"/>
        </w:rPr>
        <w:footnoteReference w:id="365"/>
      </w:r>
      <w:r w:rsidRPr="00192FCB">
        <w:t>, и по-специално членове 85 и 86 от него,</w:t>
      </w:r>
    </w:p>
    <w:p w14:paraId="5CC0D1A8"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366"/>
      </w:r>
      <w:r w:rsidRPr="00192FCB">
        <w:t xml:space="preserve">, и по-специално член </w:t>
      </w:r>
      <w:r w:rsidRPr="00192FCB">
        <w:lastRenderedPageBreak/>
        <w:t>105 от него,</w:t>
      </w:r>
    </w:p>
    <w:p w14:paraId="6C37FCDC"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3AEC742A"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1C314CFF"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2A638F08"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Агенцията на Европейския съюз за космическата програма във връзка с изпълнението на бюджета на агенцията за финансовата 2024 година;</w:t>
      </w:r>
    </w:p>
    <w:p w14:paraId="4872E8D1"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7B5A7BA1"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на Европейския съюз за космическата програма,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5945CA4B" w14:textId="77777777" w:rsidR="00443B04" w:rsidRPr="00192FCB" w:rsidRDefault="00443B04" w:rsidP="00443B04"/>
    <w:p w14:paraId="656E945B" w14:textId="77777777" w:rsidR="00443B04" w:rsidRPr="00192FCB" w:rsidRDefault="00443B04" w:rsidP="00443B04">
      <w:pPr>
        <w:pStyle w:val="PageHeadingDec"/>
        <w:sectPr w:rsidR="00443B04" w:rsidRPr="00192FCB" w:rsidSect="00192FCB">
          <w:footerReference w:type="first" r:id="rId6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B95716" w14:textId="77777777" w:rsidR="005F53B9" w:rsidRDefault="005F53B9" w:rsidP="005F53B9">
      <w:pPr>
        <w:pStyle w:val="ATHeading3"/>
      </w:pPr>
      <w:r>
        <w:lastRenderedPageBreak/>
        <w:t>62. Решение на Европейския парламент от 29 април 2026 г. относно приключването на сметките на Агенцията на Европейския съюз за космическата програма за финансовата 2024 година (2025/2156(DEC))</w:t>
      </w:r>
    </w:p>
    <w:p w14:paraId="0CAF3DFA" w14:textId="77777777" w:rsidR="00443B04" w:rsidRPr="00192FCB" w:rsidRDefault="00443B04" w:rsidP="00443B04">
      <w:pPr>
        <w:pStyle w:val="EPComma"/>
      </w:pPr>
      <w:r w:rsidRPr="00192FCB">
        <w:rPr>
          <w:i/>
          <w:iCs/>
        </w:rPr>
        <w:t>Европейският парламент</w:t>
      </w:r>
      <w:r w:rsidRPr="00192FCB">
        <w:t>,</w:t>
      </w:r>
    </w:p>
    <w:p w14:paraId="39E95851"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за космическата програма за финансовата 2024 година,</w:t>
      </w:r>
    </w:p>
    <w:p w14:paraId="47EDF39E"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67"/>
      </w:r>
      <w:r w:rsidRPr="00192FCB">
        <w:t>,</w:t>
      </w:r>
    </w:p>
    <w:p w14:paraId="0EA7C639"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68"/>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556C39AB"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33ED4178"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2FF56519"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69"/>
      </w:r>
      <w:r w:rsidRPr="00192FCB">
        <w:t>, и по-специално член 70 от него,</w:t>
      </w:r>
    </w:p>
    <w:p w14:paraId="74343503" w14:textId="5D2C5678"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370"/>
      </w:r>
      <w:r w:rsidRPr="00192FCB">
        <w:t>, и по-специално член 70 от него,</w:t>
      </w:r>
    </w:p>
    <w:p w14:paraId="11E2B87E" w14:textId="77777777" w:rsidR="00443B04" w:rsidRPr="00192FCB" w:rsidRDefault="00443B04" w:rsidP="00443B04">
      <w:pPr>
        <w:pStyle w:val="NormalHanging12a"/>
      </w:pPr>
      <w:r w:rsidRPr="00192FCB">
        <w:t>–</w:t>
      </w:r>
      <w:r w:rsidRPr="00192FCB">
        <w:tab/>
        <w:t>като взе предвид Регламент (ЕС) 2021/696 на Европейския парламент и на Съвета от 28 април 2021 г. за създаване на космическа програма на Съюза и Агенция на Европейския съюз за космическата програма и за отмяна на регламенти (ЕС) № 912/2010, (ЕС) № 1285/2013 и (ЕС) № 377/2014 и на Решение № 541/2014/ЕС</w:t>
      </w:r>
      <w:r w:rsidRPr="00192FCB">
        <w:rPr>
          <w:rStyle w:val="FootnoteReference"/>
        </w:rPr>
        <w:footnoteReference w:id="371"/>
      </w:r>
      <w:r w:rsidRPr="00192FCB">
        <w:t>, и по-специално членове 85 и 86 от него,</w:t>
      </w:r>
    </w:p>
    <w:p w14:paraId="41CC6BC0"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372"/>
      </w:r>
      <w:r w:rsidRPr="00192FCB">
        <w:t xml:space="preserve">, и по-специално член </w:t>
      </w:r>
      <w:r w:rsidRPr="00192FCB">
        <w:lastRenderedPageBreak/>
        <w:t>105 от него,</w:t>
      </w:r>
    </w:p>
    <w:p w14:paraId="5A4E8482"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113E4E50"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1E4F19CC"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5B9D6C91" w14:textId="77777777" w:rsidR="00443B04" w:rsidRPr="00192FCB" w:rsidRDefault="00443B04" w:rsidP="00443B04">
      <w:pPr>
        <w:pStyle w:val="NormalHanging12a"/>
      </w:pPr>
      <w:r w:rsidRPr="00192FCB">
        <w:t>1.</w:t>
      </w:r>
      <w:r w:rsidRPr="00192FCB">
        <w:tab/>
        <w:t>одобрява приключването на сметките на Агенцията на Европейския съюз за космическата програма за финансовата 2024 година,</w:t>
      </w:r>
    </w:p>
    <w:p w14:paraId="415ADF20"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Агенцията на Европейския съюз за космическата програма,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562EB068" w14:textId="77777777" w:rsidR="00443B04" w:rsidRPr="00192FCB" w:rsidRDefault="00443B04" w:rsidP="00443B04"/>
    <w:p w14:paraId="58326131" w14:textId="77777777" w:rsidR="00443B04" w:rsidRPr="00192FCB" w:rsidRDefault="00443B04" w:rsidP="00443B04"/>
    <w:p w14:paraId="1FC785B8" w14:textId="2F340ECE" w:rsidR="00443B04" w:rsidRPr="00192FCB" w:rsidRDefault="00443B04" w:rsidP="00443B04">
      <w:pPr>
        <w:pStyle w:val="PageHeadingDec"/>
      </w:pPr>
    </w:p>
    <w:p w14:paraId="4461B36B" w14:textId="77777777" w:rsidR="00443B04" w:rsidRPr="00192FCB" w:rsidRDefault="00443B04" w:rsidP="00443B04">
      <w:pPr>
        <w:pStyle w:val="PageHeadingDec"/>
        <w:sectPr w:rsidR="00443B04" w:rsidRPr="00192FCB" w:rsidSect="00192FCB">
          <w:footerReference w:type="first" r:id="rId7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E8E7F02" w14:textId="77777777" w:rsidR="005F53B9" w:rsidRDefault="005F53B9" w:rsidP="005F53B9">
      <w:pPr>
        <w:pStyle w:val="ATHeading3"/>
      </w:pPr>
      <w:r>
        <w:lastRenderedPageBreak/>
        <w:t>63. Решение на Европейския парламент от 29 април 2026 г. относно освобождаването от отговорност във връзка с изпълнението на бюджета на Агенцията на Европейския съюз за основните права за финансовата 2024 година (2025/2156(DEC))</w:t>
      </w:r>
    </w:p>
    <w:p w14:paraId="30BE5205" w14:textId="77777777" w:rsidR="00443B04" w:rsidRPr="00192FCB" w:rsidRDefault="00443B04" w:rsidP="00443B04">
      <w:pPr>
        <w:pStyle w:val="EPComma"/>
      </w:pPr>
      <w:r w:rsidRPr="00192FCB">
        <w:rPr>
          <w:i/>
          <w:iCs/>
        </w:rPr>
        <w:t>Европейският парламент</w:t>
      </w:r>
      <w:r w:rsidRPr="00192FCB">
        <w:t>,</w:t>
      </w:r>
    </w:p>
    <w:p w14:paraId="105D45D6"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за основните права за финансовата 2024 година,</w:t>
      </w:r>
    </w:p>
    <w:p w14:paraId="654CE92C"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73"/>
      </w:r>
      <w:r w:rsidRPr="00192FCB">
        <w:t>,</w:t>
      </w:r>
    </w:p>
    <w:p w14:paraId="529A334C"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74"/>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00AEBD2F"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4A9C6DFE"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6E3492C5"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75"/>
      </w:r>
      <w:r w:rsidRPr="00192FCB">
        <w:t>, и по-специално член 70 от него,</w:t>
      </w:r>
    </w:p>
    <w:p w14:paraId="71EF91A4" w14:textId="08FE15FC"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376"/>
      </w:r>
      <w:r w:rsidRPr="00192FCB">
        <w:t>, и по-специално член 70 от него,</w:t>
      </w:r>
    </w:p>
    <w:p w14:paraId="0EB32702" w14:textId="77777777" w:rsidR="00443B04" w:rsidRPr="00192FCB" w:rsidRDefault="00443B04" w:rsidP="00443B04">
      <w:pPr>
        <w:pStyle w:val="NormalHanging12a"/>
      </w:pPr>
      <w:r w:rsidRPr="00192FCB">
        <w:t>–</w:t>
      </w:r>
      <w:r w:rsidRPr="00192FCB">
        <w:tab/>
        <w:t>като взе предвид Регламент (ЕО) № 168/2007 на Европейския парламент и на Съвета от 15 февруари 2007 г. за създаване на Агенция на Европейския съюз за основните права</w:t>
      </w:r>
      <w:r w:rsidRPr="00192FCB">
        <w:rPr>
          <w:rStyle w:val="FootnoteReference"/>
        </w:rPr>
        <w:footnoteReference w:id="377"/>
      </w:r>
      <w:r w:rsidRPr="00192FCB">
        <w:t>, и по-специално член 21 от него,</w:t>
      </w:r>
    </w:p>
    <w:p w14:paraId="09EC36E5"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378"/>
      </w:r>
      <w:r w:rsidRPr="00192FCB">
        <w:t>, и по-специално член 105 от него,</w:t>
      </w:r>
    </w:p>
    <w:p w14:paraId="4602A763"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6EDC63A5"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17E79340"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2A08BDB7" w14:textId="77777777" w:rsidR="00443B04" w:rsidRPr="00192FCB" w:rsidRDefault="00443B04" w:rsidP="00443B04">
      <w:pPr>
        <w:pStyle w:val="NormalHanging12a"/>
      </w:pPr>
      <w:r w:rsidRPr="00192FCB">
        <w:t>1.</w:t>
      </w:r>
      <w:r w:rsidRPr="00192FCB">
        <w:tab/>
        <w:t>освобождава от отговорност директора на Агенцията на Европейския съюз за основните права във връзка с изпълнението на бюджета на Агенцията за финансовата 2024 година;</w:t>
      </w:r>
    </w:p>
    <w:p w14:paraId="2C62E98D"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69A6986B"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директора на Агенцията на Европейския съюз за основните права,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373224AD" w14:textId="77777777" w:rsidR="00443B04" w:rsidRPr="00192FCB" w:rsidRDefault="00443B04" w:rsidP="00443B04"/>
    <w:p w14:paraId="19B5D897" w14:textId="77777777" w:rsidR="00443B04" w:rsidRPr="00192FCB" w:rsidRDefault="00443B04" w:rsidP="00443B04">
      <w:pPr>
        <w:pStyle w:val="PageHeadingDec"/>
        <w:sectPr w:rsidR="00443B04" w:rsidRPr="00192FCB" w:rsidSect="00192FCB">
          <w:footerReference w:type="first" r:id="rId7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E4A059" w14:textId="77777777" w:rsidR="005F53B9" w:rsidRDefault="005F53B9" w:rsidP="005F53B9">
      <w:pPr>
        <w:pStyle w:val="ATHeading3"/>
      </w:pPr>
      <w:r>
        <w:lastRenderedPageBreak/>
        <w:t>64. Решение на Европейския парламент от 29 април 2026 г. относно приключването на сметките на Агенцията на Европейския съюз за основните права за финансовата 2024 година (2025/2156(DEC))</w:t>
      </w:r>
    </w:p>
    <w:p w14:paraId="3D33F9ED" w14:textId="77777777" w:rsidR="00443B04" w:rsidRPr="00192FCB" w:rsidRDefault="00443B04" w:rsidP="00443B04">
      <w:pPr>
        <w:pStyle w:val="EPComma"/>
      </w:pPr>
      <w:r w:rsidRPr="00192FCB">
        <w:rPr>
          <w:i/>
          <w:iCs/>
        </w:rPr>
        <w:t>Европейският парламент</w:t>
      </w:r>
      <w:r w:rsidRPr="00192FCB">
        <w:t>,</w:t>
      </w:r>
    </w:p>
    <w:p w14:paraId="0E07C275" w14:textId="77777777" w:rsidR="00443B04" w:rsidRPr="00192FCB" w:rsidRDefault="00443B04" w:rsidP="00443B04">
      <w:pPr>
        <w:pStyle w:val="NormalHanging12a"/>
      </w:pPr>
      <w:r w:rsidRPr="00192FCB">
        <w:t>–</w:t>
      </w:r>
      <w:r w:rsidRPr="00192FCB">
        <w:tab/>
        <w:t>като взе предвид окончателните годишни отчети на Агенцията на Европейския съюз за основните права за финансовата 2024 година,</w:t>
      </w:r>
    </w:p>
    <w:p w14:paraId="5ABBAF4F"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79"/>
      </w:r>
      <w:r w:rsidRPr="00192FCB">
        <w:t>,</w:t>
      </w:r>
    </w:p>
    <w:p w14:paraId="6D415B5D"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80"/>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7F5AEDAD"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5E5CFF74"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30C0FDDA"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81"/>
      </w:r>
      <w:r w:rsidRPr="00192FCB">
        <w:t>, и по-специално член 70 от него,</w:t>
      </w:r>
    </w:p>
    <w:p w14:paraId="76D75F92" w14:textId="169E169A"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382"/>
      </w:r>
      <w:r w:rsidRPr="00192FCB">
        <w:t>, и по-специално член 70 от него,</w:t>
      </w:r>
    </w:p>
    <w:p w14:paraId="3F7A59E7" w14:textId="77777777" w:rsidR="00443B04" w:rsidRPr="00192FCB" w:rsidRDefault="00443B04" w:rsidP="00443B04">
      <w:pPr>
        <w:pStyle w:val="NormalHanging12a"/>
      </w:pPr>
      <w:r w:rsidRPr="00192FCB">
        <w:t>–</w:t>
      </w:r>
      <w:r w:rsidRPr="00192FCB">
        <w:tab/>
        <w:t>като взе предвид Регламент (ЕО) № 168/2007 на Европейския парламент и на Съвета от 15 февруари 2007 г. за създаване на Агенция на Европейския съюз за основните права</w:t>
      </w:r>
      <w:r w:rsidRPr="00192FCB">
        <w:rPr>
          <w:rStyle w:val="FootnoteReference"/>
        </w:rPr>
        <w:footnoteReference w:id="383"/>
      </w:r>
      <w:r w:rsidRPr="00192FCB">
        <w:t>, и по-специално член 21 от него,</w:t>
      </w:r>
    </w:p>
    <w:p w14:paraId="53D7C21E"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384"/>
      </w:r>
      <w:r w:rsidRPr="00192FCB">
        <w:t>, и по-специално член 105 от него,</w:t>
      </w:r>
    </w:p>
    <w:p w14:paraId="173ED284"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601ECEB8"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18ED4E99"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62ED10AE" w14:textId="77777777" w:rsidR="00443B04" w:rsidRPr="00192FCB" w:rsidRDefault="00443B04" w:rsidP="00443B04">
      <w:pPr>
        <w:pStyle w:val="NormalHanging12a"/>
      </w:pPr>
      <w:r w:rsidRPr="00192FCB">
        <w:t>1.</w:t>
      </w:r>
      <w:r w:rsidRPr="00192FCB">
        <w:tab/>
        <w:t>одобрява приключването на сметките на Агенцията на Европейския съюз за основните права за финансовата 2024 година;</w:t>
      </w:r>
    </w:p>
    <w:p w14:paraId="3BA5DFE4"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директора на Агенцията на Европейския съюз за основните права,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658B1142" w14:textId="77777777" w:rsidR="00443B04" w:rsidRPr="00192FCB" w:rsidRDefault="00443B04" w:rsidP="00443B04"/>
    <w:p w14:paraId="2321EC3E" w14:textId="77777777" w:rsidR="00443B04" w:rsidRPr="00192FCB" w:rsidRDefault="00443B04" w:rsidP="00443B04"/>
    <w:p w14:paraId="6770C323" w14:textId="7C0C6909" w:rsidR="00443B04" w:rsidRPr="00192FCB" w:rsidRDefault="00443B04" w:rsidP="00443B04">
      <w:pPr>
        <w:pStyle w:val="PageHeadingDec"/>
      </w:pPr>
    </w:p>
    <w:p w14:paraId="6BFB13E4" w14:textId="77777777" w:rsidR="00443B04" w:rsidRPr="00192FCB" w:rsidRDefault="00443B04" w:rsidP="00443B04">
      <w:pPr>
        <w:pStyle w:val="PageHeadingDec"/>
        <w:sectPr w:rsidR="00443B04" w:rsidRPr="00192FCB" w:rsidSect="00192FCB">
          <w:footerReference w:type="first" r:id="rId7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1ED9BE9" w14:textId="77777777" w:rsidR="005F53B9" w:rsidRDefault="005F53B9" w:rsidP="005F53B9">
      <w:pPr>
        <w:pStyle w:val="ATHeading3"/>
      </w:pPr>
      <w:r>
        <w:lastRenderedPageBreak/>
        <w:t>65. Решение на Европейския парламент от 29 април 2026 г. относно освобождаването от отговорност във връзка с изпълнението на бюджета на Европейската агенция за гранична и брегова охрана за финансовата 2024 година (2025/2156(DEC))</w:t>
      </w:r>
    </w:p>
    <w:p w14:paraId="4452737B" w14:textId="77777777" w:rsidR="00443B04" w:rsidRPr="00192FCB" w:rsidRDefault="00443B04" w:rsidP="00443B04">
      <w:pPr>
        <w:pStyle w:val="EPComma"/>
      </w:pPr>
      <w:r w:rsidRPr="00192FCB">
        <w:rPr>
          <w:i/>
          <w:iCs/>
        </w:rPr>
        <w:t>Европейският парламент</w:t>
      </w:r>
      <w:r w:rsidRPr="00192FCB">
        <w:t>,</w:t>
      </w:r>
    </w:p>
    <w:p w14:paraId="2A25154B"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агенция за гранична и брегова охрана за финансовата 2024 година,</w:t>
      </w:r>
    </w:p>
    <w:p w14:paraId="6BAEAF64"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85"/>
      </w:r>
      <w:r w:rsidRPr="00192FCB">
        <w:t>,</w:t>
      </w:r>
    </w:p>
    <w:p w14:paraId="278B84AB"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86"/>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2E6D58FB"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33FB6C40"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4F74AFA3"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87"/>
      </w:r>
      <w:r w:rsidRPr="00192FCB">
        <w:t>, и по-специално член 70 от него,</w:t>
      </w:r>
    </w:p>
    <w:p w14:paraId="4A82D8A1" w14:textId="49D5D24F"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388"/>
      </w:r>
      <w:r w:rsidRPr="00192FCB">
        <w:t>, и по-специално член 70 от него,</w:t>
      </w:r>
    </w:p>
    <w:p w14:paraId="18BD7F38" w14:textId="77777777" w:rsidR="00443B04" w:rsidRPr="00192FCB" w:rsidRDefault="00443B04" w:rsidP="00443B04">
      <w:pPr>
        <w:pStyle w:val="NormalHanging12a"/>
      </w:pPr>
      <w:r w:rsidRPr="00192FCB">
        <w:t>–</w:t>
      </w:r>
      <w:r w:rsidRPr="00192FCB">
        <w:tab/>
        <w:t>като взе предвид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w:t>
      </w:r>
      <w:r w:rsidRPr="00192FCB">
        <w:rPr>
          <w:rStyle w:val="FootnoteReference"/>
        </w:rPr>
        <w:footnoteReference w:id="389"/>
      </w:r>
      <w:r w:rsidRPr="00192FCB">
        <w:t>, и по-специално член 116 от него,</w:t>
      </w:r>
    </w:p>
    <w:p w14:paraId="38C63BF2"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390"/>
      </w:r>
      <w:r w:rsidRPr="00192FCB">
        <w:t xml:space="preserve">, и по-специално член </w:t>
      </w:r>
      <w:r w:rsidRPr="00192FCB">
        <w:lastRenderedPageBreak/>
        <w:t>105 от него,</w:t>
      </w:r>
    </w:p>
    <w:p w14:paraId="27F67A06"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35B3FA1E"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548F24BE"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128170AE" w14:textId="77777777" w:rsidR="00443B04" w:rsidRPr="00192FCB" w:rsidRDefault="00443B04" w:rsidP="00443B04">
      <w:pPr>
        <w:pStyle w:val="NormalHanging12a"/>
      </w:pPr>
      <w:r w:rsidRPr="00192FCB">
        <w:t>1.</w:t>
      </w:r>
      <w:r w:rsidRPr="00192FCB">
        <w:tab/>
        <w:t>освобождава от отговорност изпълнителния директор на Европейската агенция за гранична и брегова охрана във връзка с изпълнението на бюджета на агенцията за финансовата 2024 година;</w:t>
      </w:r>
    </w:p>
    <w:p w14:paraId="0ACC8D05" w14:textId="77777777" w:rsidR="00443B04" w:rsidRPr="00192FCB" w:rsidRDefault="00443B04" w:rsidP="00443B04">
      <w:pPr>
        <w:pStyle w:val="NormalHanging12a"/>
      </w:pPr>
      <w:r w:rsidRPr="00192FCB">
        <w:t>2.</w:t>
      </w:r>
      <w:r w:rsidRPr="00192FCB">
        <w:tab/>
        <w:t>представя своите забележки в резолюцията по-долу;</w:t>
      </w:r>
    </w:p>
    <w:p w14:paraId="644AA911" w14:textId="77777777" w:rsidR="00443B04" w:rsidRPr="00192FCB" w:rsidRDefault="00443B04" w:rsidP="00443B04">
      <w:pPr>
        <w:pStyle w:val="NormalHanging12a"/>
      </w:pPr>
      <w:r w:rsidRPr="00192FCB">
        <w:t>3.</w:t>
      </w:r>
      <w:r w:rsidRPr="00192FC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за гранична и брегова охрана, на Съвета, Комисията и Сметната палата и да осигури публикуването им в </w:t>
      </w:r>
      <w:r w:rsidRPr="00192FCB">
        <w:rPr>
          <w:i/>
        </w:rPr>
        <w:t>Официален вестник на Европейския съюз</w:t>
      </w:r>
      <w:r w:rsidRPr="00192FCB">
        <w:t xml:space="preserve"> (серия L).</w:t>
      </w:r>
    </w:p>
    <w:p w14:paraId="1F44F07B" w14:textId="77777777" w:rsidR="00443B04" w:rsidRPr="00192FCB" w:rsidRDefault="00443B04" w:rsidP="00443B04"/>
    <w:p w14:paraId="32CA6977" w14:textId="77777777" w:rsidR="00443B04" w:rsidRPr="00192FCB" w:rsidRDefault="00443B04" w:rsidP="00443B04">
      <w:pPr>
        <w:pStyle w:val="PageHeadingDec"/>
        <w:sectPr w:rsidR="00443B04" w:rsidRPr="00192FCB" w:rsidSect="00192FCB">
          <w:footerReference w:type="first" r:id="rId7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82D3B19" w14:textId="77777777" w:rsidR="005F53B9" w:rsidRDefault="005F53B9" w:rsidP="005F53B9">
      <w:pPr>
        <w:pStyle w:val="ATHeading3"/>
      </w:pPr>
      <w:r>
        <w:lastRenderedPageBreak/>
        <w:t>66. Решение на Европейския парламент от 29 април 2026 г. относно приключването на сметките на Европейската агенция за гранична и брегова охрана за финансовата 2024 година (2025/2156(DEC))</w:t>
      </w:r>
    </w:p>
    <w:p w14:paraId="3D9584EE" w14:textId="77777777" w:rsidR="00443B04" w:rsidRPr="00192FCB" w:rsidRDefault="00443B04" w:rsidP="00443B04">
      <w:pPr>
        <w:pStyle w:val="EPComma"/>
      </w:pPr>
      <w:r w:rsidRPr="00192FCB">
        <w:rPr>
          <w:i/>
          <w:iCs/>
        </w:rPr>
        <w:t>Европейският парламент</w:t>
      </w:r>
      <w:r w:rsidRPr="00192FCB">
        <w:t>,</w:t>
      </w:r>
    </w:p>
    <w:p w14:paraId="2C1968DE" w14:textId="77777777" w:rsidR="00443B04" w:rsidRPr="00192FCB" w:rsidRDefault="00443B04" w:rsidP="00443B04">
      <w:pPr>
        <w:pStyle w:val="NormalHanging12a"/>
      </w:pPr>
      <w:r w:rsidRPr="00192FCB">
        <w:t>–</w:t>
      </w:r>
      <w:r w:rsidRPr="00192FCB">
        <w:tab/>
        <w:t>като взе предвид окончателните годишни отчети на Европейската агенция за гранична и брегова охрана за финансовата 2024 година,</w:t>
      </w:r>
    </w:p>
    <w:p w14:paraId="65D8CE49" w14:textId="77777777" w:rsidR="00443B04" w:rsidRPr="00192FCB" w:rsidRDefault="00443B04" w:rsidP="00443B04">
      <w:pPr>
        <w:pStyle w:val="NormalHanging12a"/>
      </w:pPr>
      <w:r w:rsidRPr="00192FCB">
        <w:t>–</w:t>
      </w:r>
      <w:r w:rsidRPr="00192FCB">
        <w:tab/>
        <w:t>като взе предвид годишния доклад на Сметната палата относно агенциите на ЕС за финансовата 2024 година, придружен от отговорите на агенциите</w:t>
      </w:r>
      <w:r w:rsidRPr="00192FCB">
        <w:rPr>
          <w:rStyle w:val="FootnoteReference"/>
        </w:rPr>
        <w:footnoteReference w:id="391"/>
      </w:r>
      <w:r w:rsidRPr="00192FCB">
        <w:t>,</w:t>
      </w:r>
    </w:p>
    <w:p w14:paraId="496EA4DB" w14:textId="77777777" w:rsidR="00443B04" w:rsidRPr="00192FCB" w:rsidRDefault="00443B04" w:rsidP="00443B04">
      <w:pPr>
        <w:pStyle w:val="NormalHanging12a"/>
      </w:pPr>
      <w:r w:rsidRPr="00192FCB">
        <w:t>–</w:t>
      </w:r>
      <w:r w:rsidRPr="00192FCB">
        <w:tab/>
        <w:t>като взе предвид декларацията за достоверност</w:t>
      </w:r>
      <w:r w:rsidRPr="00192FCB">
        <w:rPr>
          <w:rStyle w:val="FootnoteReference"/>
        </w:rPr>
        <w:footnoteReference w:id="392"/>
      </w:r>
      <w:r w:rsidRPr="00192FC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4B73356" w14:textId="77777777" w:rsidR="00443B04" w:rsidRPr="00192FCB" w:rsidRDefault="00443B04" w:rsidP="00443B04">
      <w:pPr>
        <w:pStyle w:val="NormalHanging12a"/>
      </w:pPr>
      <w:r w:rsidRPr="00192FCB">
        <w:t>–</w:t>
      </w:r>
      <w:r w:rsidRPr="00192FCB">
        <w:tab/>
        <w:t>като взе предвид препоръката на Съвета от 2 март 2026 г. относно освобождаването от отговорност на Агенцията във връзка с изпълнението на бюджета за финансовата 2024 година (05750/2026 – C10-0148/2026),</w:t>
      </w:r>
    </w:p>
    <w:p w14:paraId="7339328C" w14:textId="77777777" w:rsidR="00443B04" w:rsidRPr="00192FCB" w:rsidRDefault="00443B04" w:rsidP="00443B04">
      <w:pPr>
        <w:pStyle w:val="NormalHanging12a"/>
      </w:pPr>
      <w:r w:rsidRPr="00192FCB">
        <w:t>–</w:t>
      </w:r>
      <w:r w:rsidRPr="00192FCB">
        <w:tab/>
        <w:t>като взе предвид член 319 от Договора за функционирането на Европейския съюз,</w:t>
      </w:r>
    </w:p>
    <w:p w14:paraId="7455098F" w14:textId="77777777" w:rsidR="00443B04" w:rsidRPr="00192FCB" w:rsidRDefault="00443B04" w:rsidP="00443B04">
      <w:pPr>
        <w:pStyle w:val="NormalHanging12a"/>
      </w:pPr>
      <w:r w:rsidRPr="00192FCB">
        <w:t>–</w:t>
      </w:r>
      <w:r w:rsidRPr="00192FC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192FCB">
        <w:rPr>
          <w:rStyle w:val="FootnoteReference"/>
        </w:rPr>
        <w:footnoteReference w:id="393"/>
      </w:r>
      <w:r w:rsidRPr="00192FCB">
        <w:t>, и по-специално член 70 от него,</w:t>
      </w:r>
    </w:p>
    <w:p w14:paraId="7D5CB7F2" w14:textId="2AF1FBAA" w:rsidR="00443B04" w:rsidRPr="00192FCB" w:rsidRDefault="00443B04" w:rsidP="00443B04">
      <w:pPr>
        <w:pStyle w:val="NormalHanging12a"/>
      </w:pPr>
      <w:r w:rsidRPr="00192FCB">
        <w:t>–</w:t>
      </w:r>
      <w:r w:rsidRPr="00192FCB">
        <w:tab/>
        <w:t xml:space="preserve">като взе предвид Регламент (ЕС, Евратом) </w:t>
      </w:r>
      <w:r w:rsidR="00C503AF">
        <w:t>2024/2509</w:t>
      </w:r>
      <w:r w:rsidRPr="00192FCB">
        <w:t xml:space="preserve"> на Европейския парламент и на Съвета от 23 септември 2024 г. за финансовите правила, приложими за общия бюджет на Съюза</w:t>
      </w:r>
      <w:r w:rsidRPr="00192FCB">
        <w:rPr>
          <w:rStyle w:val="FootnoteReference"/>
        </w:rPr>
        <w:footnoteReference w:id="394"/>
      </w:r>
      <w:r w:rsidRPr="00192FCB">
        <w:t>, и по-специално член 70 от него,</w:t>
      </w:r>
    </w:p>
    <w:p w14:paraId="6909A8A3" w14:textId="77777777" w:rsidR="00443B04" w:rsidRPr="00192FCB" w:rsidRDefault="00443B04" w:rsidP="00443B04">
      <w:pPr>
        <w:pStyle w:val="NormalHanging12a"/>
      </w:pPr>
      <w:r w:rsidRPr="00192FCB">
        <w:t>–</w:t>
      </w:r>
      <w:r w:rsidRPr="00192FCB">
        <w:tab/>
        <w:t>като взе предвид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w:t>
      </w:r>
      <w:r w:rsidRPr="00192FCB">
        <w:rPr>
          <w:rStyle w:val="FootnoteReference"/>
        </w:rPr>
        <w:footnoteReference w:id="395"/>
      </w:r>
      <w:r w:rsidRPr="00192FCB">
        <w:t>, и по-специално член 116 от него,</w:t>
      </w:r>
    </w:p>
    <w:p w14:paraId="32975A72" w14:textId="77777777" w:rsidR="00443B04" w:rsidRPr="00192FCB" w:rsidRDefault="00443B04" w:rsidP="00443B04">
      <w:pPr>
        <w:pStyle w:val="NormalHanging12a"/>
      </w:pPr>
      <w:r w:rsidRPr="00192FCB">
        <w:t>–</w:t>
      </w:r>
      <w:r w:rsidRPr="00192FC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192FCB">
        <w:rPr>
          <w:rStyle w:val="FootnoteReference"/>
        </w:rPr>
        <w:footnoteReference w:id="396"/>
      </w:r>
      <w:r w:rsidRPr="00192FCB">
        <w:t>, и по-специално член 105 от него,</w:t>
      </w:r>
    </w:p>
    <w:p w14:paraId="73758A19" w14:textId="77777777" w:rsidR="00443B04" w:rsidRPr="00192FCB" w:rsidRDefault="00443B04" w:rsidP="00443B04">
      <w:pPr>
        <w:pStyle w:val="NormalHanging12a"/>
      </w:pPr>
      <w:r w:rsidRPr="00192FCB">
        <w:lastRenderedPageBreak/>
        <w:t>–</w:t>
      </w:r>
      <w:r w:rsidRPr="00192FCB">
        <w:tab/>
        <w:t>като взе предвид член 102 и приложение V към своя Правилник за дейността,</w:t>
      </w:r>
    </w:p>
    <w:p w14:paraId="7F3FD43E"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4EBE55C5"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76ED3B28" w14:textId="77777777" w:rsidR="00443B04" w:rsidRPr="00192FCB" w:rsidRDefault="00443B04" w:rsidP="00443B04">
      <w:pPr>
        <w:pStyle w:val="NormalHanging12a"/>
      </w:pPr>
      <w:r w:rsidRPr="00192FCB">
        <w:t>1.</w:t>
      </w:r>
      <w:r w:rsidRPr="00192FCB">
        <w:tab/>
        <w:t>одобрява приключването на сметките на Европейската агенция за гранична и брегова охрана за финансовата 2024 година,</w:t>
      </w:r>
    </w:p>
    <w:p w14:paraId="06037082" w14:textId="77777777" w:rsidR="00443B04" w:rsidRPr="00192FCB" w:rsidRDefault="00443B04" w:rsidP="00443B04">
      <w:pPr>
        <w:pStyle w:val="NormalHanging12a"/>
      </w:pPr>
      <w:r w:rsidRPr="00192FCB">
        <w:t>2.</w:t>
      </w:r>
      <w:r w:rsidRPr="00192FCB">
        <w:tab/>
        <w:t xml:space="preserve">възлага на своя председател да предаде настоящото решение на изпълнителния директор на Европейската агенция за гранична и брегова охрана, на Съвета, Комисията и Сметната палата и да осигури публикуването му в </w:t>
      </w:r>
      <w:r w:rsidRPr="00192FCB">
        <w:rPr>
          <w:i/>
        </w:rPr>
        <w:t>Официален вестник на Европейския съюз</w:t>
      </w:r>
      <w:r w:rsidRPr="00192FCB">
        <w:t xml:space="preserve"> (серия L).</w:t>
      </w:r>
    </w:p>
    <w:p w14:paraId="4CFFF22F" w14:textId="77777777" w:rsidR="00443B04" w:rsidRPr="00192FCB" w:rsidRDefault="00443B04" w:rsidP="00443B04"/>
    <w:p w14:paraId="11FACF71" w14:textId="77777777" w:rsidR="00443B04" w:rsidRPr="00192FCB" w:rsidRDefault="00443B04" w:rsidP="00443B04"/>
    <w:p w14:paraId="5DF4D7C6" w14:textId="3E2D0663" w:rsidR="00443B04" w:rsidRPr="00192FCB" w:rsidRDefault="00443B04" w:rsidP="00443B04">
      <w:pPr>
        <w:pStyle w:val="NormalHanging12a"/>
        <w:spacing w:after="120"/>
        <w:jc w:val="center"/>
      </w:pPr>
    </w:p>
    <w:p w14:paraId="1506A9D7" w14:textId="1F05D79B" w:rsidR="00443B04" w:rsidRPr="00192FCB" w:rsidRDefault="00443B04" w:rsidP="00443B04">
      <w:pPr>
        <w:pStyle w:val="NormalHanging12a"/>
        <w:spacing w:after="0"/>
        <w:jc w:val="center"/>
      </w:pPr>
    </w:p>
    <w:p w14:paraId="3BAE4797" w14:textId="77777777" w:rsidR="00443B04" w:rsidRPr="00192FCB" w:rsidRDefault="00443B04" w:rsidP="00443B04"/>
    <w:p w14:paraId="27FD4552" w14:textId="77777777" w:rsidR="00443B04" w:rsidRPr="00192FCB" w:rsidRDefault="00443B04" w:rsidP="00443B04">
      <w:pPr>
        <w:pStyle w:val="PageHeadingDec"/>
        <w:sectPr w:rsidR="00443B04" w:rsidRPr="00192FCB" w:rsidSect="00192FC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FB413DA" w14:textId="77777777" w:rsidR="005F53B9" w:rsidRDefault="005F53B9" w:rsidP="005F53B9">
      <w:pPr>
        <w:pStyle w:val="ATHeading3"/>
      </w:pPr>
      <w:r>
        <w:lastRenderedPageBreak/>
        <w:t>67. Резолюция на Европейския парламент от 29 април 2026 г., съдържаща забележките, които са неразделна част от решенията за освобождаване от отговорност във връзка с изпълнението на бюджета на агенциите на Европейския съюз за финансовата 2024 година (2025/2156(DEC))</w:t>
      </w:r>
    </w:p>
    <w:p w14:paraId="4B409E2C" w14:textId="77777777" w:rsidR="00443B04" w:rsidRPr="00192FCB" w:rsidRDefault="00443B04" w:rsidP="00443B04">
      <w:pPr>
        <w:pStyle w:val="EPComma"/>
      </w:pPr>
      <w:r w:rsidRPr="00192FCB">
        <w:rPr>
          <w:i/>
          <w:iCs/>
        </w:rPr>
        <w:t>Европейският парламент</w:t>
      </w:r>
      <w:r w:rsidRPr="00192FCB">
        <w:t>,</w:t>
      </w:r>
    </w:p>
    <w:p w14:paraId="0900E444"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Агенцията на Европейския съюз за сътрудничество между регулаторите на енергия за финансовата 2024 година,</w:t>
      </w:r>
    </w:p>
    <w:p w14:paraId="0241B5DC"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Агенцията за подкрепа на ОЕРЕС за финансовата 2024 година,</w:t>
      </w:r>
    </w:p>
    <w:p w14:paraId="2DEA7265"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Центъра за преводи за органите на Европейския съюз за финансовата 2024 година,</w:t>
      </w:r>
    </w:p>
    <w:p w14:paraId="16334C63"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Европейския център за развитие на професионалното обучение за финансовата 2024 година,</w:t>
      </w:r>
    </w:p>
    <w:p w14:paraId="49062537"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Агенцията на Европейския съюз за обучение в областта на правоприлагането за финансовата 2024 година,</w:t>
      </w:r>
    </w:p>
    <w:p w14:paraId="0BCE921D"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Агенцията за авиационна безопасност на Европейския съюз за финансовата 2024 година,</w:t>
      </w:r>
    </w:p>
    <w:p w14:paraId="0EC821EE"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Европейския банков орган за финансовата 2024 година,</w:t>
      </w:r>
    </w:p>
    <w:p w14:paraId="2ECA4E33"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Европейския център за профилактика и контрол върху заболяванията за финансовата 2024 година,</w:t>
      </w:r>
    </w:p>
    <w:p w14:paraId="2226D0D9"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Европейската агенция по химикали за финансовата 2024 година,</w:t>
      </w:r>
    </w:p>
    <w:p w14:paraId="4626D1E6"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Европейската агенция за околна среда за финансовата 2024 година,</w:t>
      </w:r>
    </w:p>
    <w:p w14:paraId="5A4F3FD1"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Европейската агенция за контрол на рибарството за финансовата 2024 година,</w:t>
      </w:r>
    </w:p>
    <w:p w14:paraId="2D5017E8" w14:textId="77777777" w:rsidR="00443B04" w:rsidRPr="00192FCB" w:rsidRDefault="00443B04" w:rsidP="00443B04">
      <w:pPr>
        <w:pStyle w:val="NormalHanging12a"/>
      </w:pPr>
      <w:r w:rsidRPr="00192FCB">
        <w:lastRenderedPageBreak/>
        <w:t>–</w:t>
      </w:r>
      <w:r w:rsidRPr="00192FCB">
        <w:tab/>
        <w:t>като взе предвид своето решение за освобождаване от отговорност във връзка с изпълнението на бюджета на Европейския орган за безопасност на храните за финансовата 2024 година,</w:t>
      </w:r>
    </w:p>
    <w:p w14:paraId="74B1F718"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Европейския институт за равенство между половете за финансовата 2024 година,</w:t>
      </w:r>
    </w:p>
    <w:p w14:paraId="6A614F6C"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Европейския орган за застраховане и професионално пенсионно осигуряване за финансовата 2024 година,</w:t>
      </w:r>
    </w:p>
    <w:p w14:paraId="3230DE3E"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Европейския институт за иновации и технологии за финансовата 2024 година,</w:t>
      </w:r>
    </w:p>
    <w:p w14:paraId="17CABB9B"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Европейския орган по труда за финансовата 2024 година,</w:t>
      </w:r>
    </w:p>
    <w:p w14:paraId="578BDCEF"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Европейската агенция по лекарствата за финансовата 2024 година,</w:t>
      </w:r>
    </w:p>
    <w:p w14:paraId="2BA79C6F"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Агенцията на Европейския съюз по наркотиците за финансовата 2024 година,</w:t>
      </w:r>
    </w:p>
    <w:p w14:paraId="58291F78"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Европейската агенция по морска безопасност за финансовата 2024 година,</w:t>
      </w:r>
    </w:p>
    <w:p w14:paraId="3CA933EF"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Агенцията на Европейския съюз за киберсигурност за финансовата 2024 година,</w:t>
      </w:r>
    </w:p>
    <w:p w14:paraId="423A1C89"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Агенцията за железопътен транспорт на Европейския съюз за финансовата 2024 година,</w:t>
      </w:r>
    </w:p>
    <w:p w14:paraId="4A657CE6"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Агенцията за снабдяване към Евратом за финансовата 2024 година,</w:t>
      </w:r>
    </w:p>
    <w:p w14:paraId="3275682F"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Европейския орган за ценни книжа и пазари за финансовата 2024 година,</w:t>
      </w:r>
    </w:p>
    <w:p w14:paraId="5D2AAABD"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Европейската фондация за обучение за финансовата 2024 година,</w:t>
      </w:r>
    </w:p>
    <w:p w14:paraId="48E5026E" w14:textId="77777777" w:rsidR="00443B04" w:rsidRPr="00192FCB" w:rsidRDefault="00443B04" w:rsidP="00443B04">
      <w:pPr>
        <w:pStyle w:val="NormalHanging12a"/>
      </w:pPr>
      <w:r w:rsidRPr="00192FCB">
        <w:lastRenderedPageBreak/>
        <w:t>–</w:t>
      </w:r>
      <w:r w:rsidRPr="00192FCB">
        <w:tab/>
        <w:t>като взе предвид своето решение за освобождаване от отговорност във връзка с изпълнението на бюджета на Агенцията на Европейския съюз в областта на убежището за финансовата 2024 година,</w:t>
      </w:r>
    </w:p>
    <w:p w14:paraId="149B13C6"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за финансовата 2024 година,</w:t>
      </w:r>
    </w:p>
    <w:p w14:paraId="1C52564B"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Европейската агенция за безопасност и здраве при работа за финансовата 2024 година,</w:t>
      </w:r>
    </w:p>
    <w:p w14:paraId="1DC53A0A"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Европейската фондация за подобряване на условията на живот и труд за финансовата 2024 година,</w:t>
      </w:r>
    </w:p>
    <w:p w14:paraId="32504D5A"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Агенцията на Европейския съюз за сътрудничество в областта на наказателното правосъдие за финансовата 2024 година,</w:t>
      </w:r>
    </w:p>
    <w:p w14:paraId="4DB4469E"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Агенцията на Европейския съюз за сътрудничество в областта на правоприлагането за финансовата 2024 година,</w:t>
      </w:r>
    </w:p>
    <w:p w14:paraId="1805FBD5" w14:textId="77777777" w:rsidR="00443B04" w:rsidRPr="00192FCB" w:rsidRDefault="00443B04" w:rsidP="00443B04">
      <w:pPr>
        <w:pStyle w:val="NormalHanging12a"/>
      </w:pPr>
      <w:r w:rsidRPr="00192FCB">
        <w:t>–</w:t>
      </w:r>
      <w:r w:rsidRPr="00192FCB">
        <w:tab/>
        <w:t>като взе предвид своето решение относно освобождаването от отговорност във връзка с изпълнението на бюджета на Агенцията на Европейския съюз за космическата програма за финансовата 2024 година,</w:t>
      </w:r>
    </w:p>
    <w:p w14:paraId="389AEB74"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Агенцията на Европейския съюз за основните права за финансовата 2024 година,</w:t>
      </w:r>
    </w:p>
    <w:p w14:paraId="2A478926" w14:textId="77777777" w:rsidR="00443B04" w:rsidRPr="00192FCB" w:rsidRDefault="00443B04" w:rsidP="00443B04">
      <w:pPr>
        <w:pStyle w:val="NormalHanging12a"/>
      </w:pPr>
      <w:r w:rsidRPr="00192FCB">
        <w:t>–</w:t>
      </w:r>
      <w:r w:rsidRPr="00192FCB">
        <w:tab/>
        <w:t>като взе предвид своето решение за освобождаване от отговорност във връзка с изпълнението на бюджета на Европейската агенция за гранична и брегова охрана за финансовата 2024 година,</w:t>
      </w:r>
    </w:p>
    <w:p w14:paraId="15653FA3" w14:textId="77777777" w:rsidR="00443B04" w:rsidRPr="00192FCB" w:rsidRDefault="00443B04" w:rsidP="00443B04">
      <w:pPr>
        <w:pStyle w:val="NormalHanging12a"/>
      </w:pPr>
      <w:r w:rsidRPr="00192FCB">
        <w:t>–</w:t>
      </w:r>
      <w:r w:rsidRPr="00192FCB">
        <w:tab/>
        <w:t>като взе предвид член 102 и приложение V към своя Правилник за дейността,</w:t>
      </w:r>
    </w:p>
    <w:p w14:paraId="684718F8" w14:textId="77777777" w:rsidR="00443B04" w:rsidRPr="00192FCB" w:rsidRDefault="00443B04" w:rsidP="00443B04">
      <w:pPr>
        <w:pStyle w:val="NormalHanging12a"/>
      </w:pPr>
      <w:r w:rsidRPr="00192FCB">
        <w:t>–</w:t>
      </w:r>
      <w:r w:rsidRPr="00192FCB">
        <w:tab/>
        <w:t>като взе предвид становищата на комисията по заетост и социални въпроси, комисията по околна среда, климат и безопасност на храните, комисията по обществено здраве, комисията по транспорт и туризъм, комисията по рибно стопанство, комисията по граждански свободи, правосъдие и вътрешни работи и комисията по правата на жените и равенството между половете,</w:t>
      </w:r>
    </w:p>
    <w:p w14:paraId="0A95CA3F" w14:textId="77777777" w:rsidR="00443B04" w:rsidRPr="00192FCB" w:rsidRDefault="00443B04" w:rsidP="00443B04">
      <w:pPr>
        <w:pStyle w:val="NormalHanging12a"/>
      </w:pPr>
      <w:r w:rsidRPr="00192FCB">
        <w:t>–</w:t>
      </w:r>
      <w:r w:rsidRPr="00192FCB">
        <w:tab/>
        <w:t>като взе предвид доклада на комисията по бюджетен контрол (A10-0087/2026),</w:t>
      </w:r>
    </w:p>
    <w:p w14:paraId="2F7C98CC" w14:textId="77777777" w:rsidR="00443B04" w:rsidRPr="00192FCB" w:rsidRDefault="00443B04" w:rsidP="00443B04">
      <w:pPr>
        <w:pStyle w:val="NormalHanging12a"/>
      </w:pPr>
      <w:r w:rsidRPr="00192FCB">
        <w:t>А.</w:t>
      </w:r>
      <w:r w:rsidRPr="00192FCB">
        <w:tab/>
        <w:t xml:space="preserve">като има предвид, че децентрализираните агенции, изпълнителните агенции и другите органи на Съюза са самостоятелни правни субекти, създадени за изпълнението на специфични технически, научни или управленски задачи, които подпомагат институциите на Съюза при изготвянето и изпълнението на политики; като има предвид, че те се намират в различни държави членки и имат съществено </w:t>
      </w:r>
      <w:r w:rsidRPr="00192FCB">
        <w:lastRenderedPageBreak/>
        <w:t>влияние в области от голямо значение за ежедневния живот на гражданите на Съюза, като например здравеопазването, безопасността, сигурността, свободата и правосъдието; припомня, че процедурата по освобождаване от отговорност не е просто техническа счетоводна процедура, а основен инструмент за демократична отчетност, чрез който Парламентът оценява дали органите на Съюза действат в съответствие с принципите на добро финансово управление;</w:t>
      </w:r>
    </w:p>
    <w:p w14:paraId="59FE8FA4" w14:textId="77777777" w:rsidR="00443B04" w:rsidRPr="00192FCB" w:rsidRDefault="00443B04" w:rsidP="00443B04">
      <w:pPr>
        <w:pStyle w:val="NormalHanging12a"/>
      </w:pPr>
      <w:r w:rsidRPr="00192FCB">
        <w:t>Б.</w:t>
      </w:r>
      <w:r w:rsidRPr="00192FCB">
        <w:tab/>
        <w:t>като има предвид, че настоящата резолюция съдържа по отношение на всеки орган, посочен в член 70 от Регламент (ЕС, Евратом) 2024/2509, и по отношение на Агенцията за снабдяване към Евратом хоризонтални забележки, придружаващи решенията за освобождаване от отговорност във връзка с изпълнението на бюджета съгласно член 268 от Регламент (ЕС, Евратом) 2024/2509 и член 3 от приложение V към Правилника за дейността на Европейския парламент;</w:t>
      </w:r>
    </w:p>
    <w:p w14:paraId="15D97600" w14:textId="77777777" w:rsidR="00443B04" w:rsidRPr="00192FCB" w:rsidRDefault="00443B04" w:rsidP="00443B04">
      <w:pPr>
        <w:pStyle w:val="NormalHanging12a"/>
      </w:pPr>
      <w:r w:rsidRPr="00192FCB">
        <w:t>В.</w:t>
      </w:r>
      <w:r w:rsidRPr="00192FCB">
        <w:tab/>
        <w:t>като има предвид, че децентрализираните агенции на Съюза и Агенцията за снабдяване към Евратом следва да се фокусират върху функции с ясна европейска добавена стойност и организацията на тези функции следва да се оптимизира с цел избягване на припокривания, в най-добрия интерес на данъкоплатците в Съюза;</w:t>
      </w:r>
    </w:p>
    <w:p w14:paraId="5290954C" w14:textId="77777777" w:rsidR="00443B04" w:rsidRPr="00192FCB" w:rsidRDefault="00443B04" w:rsidP="00443B04">
      <w:pPr>
        <w:pStyle w:val="NormalHanging12a"/>
      </w:pPr>
      <w:r w:rsidRPr="00192FCB">
        <w:t>Г.</w:t>
      </w:r>
      <w:r w:rsidRPr="00192FCB">
        <w:tab/>
        <w:t>като има предвид, че в контекста на процедурата по освобождаване от отговорност органът по освобождаване от отговорност цели да подчертае същественото значение на укрепването на демократичната легитимност на институциите на Съюза; като има предвид, че това включва повишаване на прозрачността и отчетността, както и прилагане на бюджетиране, основано на изпълнението, и осигуряване на добро управление на човешките ресурси;</w:t>
      </w:r>
    </w:p>
    <w:p w14:paraId="0FBC6066" w14:textId="77777777" w:rsidR="00443B04" w:rsidRPr="00192FCB" w:rsidRDefault="00443B04" w:rsidP="00443B04">
      <w:pPr>
        <w:pStyle w:val="NormalHanging12a"/>
      </w:pPr>
      <w:r w:rsidRPr="00192FCB">
        <w:t>Д.</w:t>
      </w:r>
      <w:r w:rsidRPr="00192FCB">
        <w:tab/>
        <w:t>като има предвид, че дейността на Съюза в областта на бюджетния контрол се основава на два принципа: от една страна, гарантиране на правилното и прозрачно изразходване на бюджета на Съюза, а от друга страна, защита на финансовите интереси на Съюза и борба с измамите;</w:t>
      </w:r>
    </w:p>
    <w:p w14:paraId="48CAF016" w14:textId="77777777" w:rsidR="00443B04" w:rsidRPr="00192FCB" w:rsidRDefault="00443B04" w:rsidP="00443B04">
      <w:pPr>
        <w:pStyle w:val="NormalHanging12a"/>
      </w:pPr>
      <w:r w:rsidRPr="00192FCB">
        <w:t>Е.</w:t>
      </w:r>
      <w:r w:rsidRPr="00192FCB">
        <w:tab/>
        <w:t>като има предвид, че през 2012 г. Европейският парламент, Съветът на Европейския съюз и Европейската комисия приеха съвместно изявление</w:t>
      </w:r>
      <w:r w:rsidRPr="00192FCB">
        <w:rPr>
          <w:vertAlign w:val="superscript"/>
        </w:rPr>
        <w:footnoteReference w:id="397"/>
      </w:r>
      <w:r w:rsidRPr="00192FCB">
        <w:t xml:space="preserve"> и цялостен набор от ръководни принципи („общ подход“ в приложението към това изявление) с цел осигуряване на по-голяма съгласуваност, ефективност и отчетност на агенциите; като има предвид, че Комисията се ангажира да предприеме последващи действия във връзка с това споразумение, по целесъобразност, в сътрудничество с агенциите;</w:t>
      </w:r>
    </w:p>
    <w:p w14:paraId="2C695D53" w14:textId="77777777" w:rsidR="00443B04" w:rsidRPr="00192FCB" w:rsidRDefault="00443B04" w:rsidP="00443B04">
      <w:pPr>
        <w:pStyle w:val="NormalHanging12a"/>
      </w:pPr>
      <w:r w:rsidRPr="00192FCB">
        <w:t>Ж.</w:t>
      </w:r>
      <w:r w:rsidRPr="00192FCB">
        <w:tab/>
        <w:t xml:space="preserve">като има предвид, че като признават правно </w:t>
      </w:r>
      <w:proofErr w:type="spellStart"/>
      <w:r w:rsidRPr="00192FCB">
        <w:t>необвързващия</w:t>
      </w:r>
      <w:proofErr w:type="spellEnd"/>
      <w:r w:rsidRPr="00192FCB">
        <w:t xml:space="preserve"> характер на съвместното изявление и на общия подход в приложението към него, и без да се засягат техните функции при законодателните и годишните бюджетни процедури, институциите следва да вземат предвид общия подход при всички свои бъдещи решения относно децентрализираните агенции на Съюза, след анализ на всички </w:t>
      </w:r>
      <w:r w:rsidRPr="00192FCB">
        <w:lastRenderedPageBreak/>
        <w:t>отделни случаи;</w:t>
      </w:r>
    </w:p>
    <w:p w14:paraId="612E111E" w14:textId="77777777" w:rsidR="00443B04" w:rsidRPr="00192FCB" w:rsidRDefault="00443B04" w:rsidP="00443B04">
      <w:pPr>
        <w:pStyle w:val="NormalHanging12a"/>
      </w:pPr>
      <w:r w:rsidRPr="00192FCB">
        <w:t>З.</w:t>
      </w:r>
      <w:r w:rsidRPr="00192FCB">
        <w:tab/>
        <w:t>като има предвид, че за финансовата 2024 година Сметната палата е изразила становища без резерви за почти всички агенции; като има предвид, че поддържането на високи стандарти на добро финансово управление, ефективни системи за вътрешен контрол и бюджетна дисциплина продължава да бъде от съществено значение за гарантиране на правилното и прозрачно използване на средствата на Съюза и за укрепване на доверието на гражданите в институциите на Съюза;</w:t>
      </w:r>
    </w:p>
    <w:p w14:paraId="3F538F2E" w14:textId="77777777" w:rsidR="00443B04" w:rsidRPr="00192FCB" w:rsidRDefault="00443B04" w:rsidP="00443B04">
      <w:pPr>
        <w:pStyle w:val="NormalHanging12a"/>
      </w:pPr>
      <w:r w:rsidRPr="00192FCB">
        <w:t>И.</w:t>
      </w:r>
      <w:r w:rsidRPr="00192FCB">
        <w:tab/>
        <w:t>като има предвид, че през последните години обхватът на отговорностите на агенциите на Съюза се увеличава; като има предвид, че са необходими адекватни и предвидими ресурси, съчетани със солидни управленски структури и ясни механизми за отчетност, за да могат те да изпълняват ефективно своите мандати и да се запази доверието в Съюза;</w:t>
      </w:r>
    </w:p>
    <w:p w14:paraId="03A8A50A" w14:textId="77777777" w:rsidR="00443B04" w:rsidRPr="00192FCB" w:rsidRDefault="00443B04" w:rsidP="00443B04">
      <w:pPr>
        <w:pStyle w:val="NormalHanging12a"/>
      </w:pPr>
      <w:r w:rsidRPr="00192FCB">
        <w:t>Й.</w:t>
      </w:r>
      <w:r w:rsidRPr="00192FCB">
        <w:tab/>
        <w:t>като има предвид, че инцидентът в областта на киберсигурността, който засегна една от агенциите през 2024 г., показва уязвимостта на органите на Съюза, които обработват чувствителни данни; като има предвид, че укрепването на киберсигурността, планирането на непрекъснатостта на дейността и системите за вътрешен контрол следва да се разглеждат като хоризонтален приоритет във всички агенции;</w:t>
      </w:r>
    </w:p>
    <w:p w14:paraId="77D0357D" w14:textId="77777777" w:rsidR="00443B04" w:rsidRPr="00192FCB" w:rsidRDefault="00443B04" w:rsidP="00443B04">
      <w:pPr>
        <w:pStyle w:val="Normal12Hanging"/>
        <w:rPr>
          <w:b/>
          <w:i/>
          <w:szCs w:val="24"/>
        </w:rPr>
      </w:pPr>
      <w:r w:rsidRPr="00192FCB">
        <w:rPr>
          <w:b/>
          <w:i/>
        </w:rPr>
        <w:t>Общи положения</w:t>
      </w:r>
    </w:p>
    <w:p w14:paraId="09A0F9D8" w14:textId="77777777" w:rsidR="00443B04" w:rsidRPr="00192FCB" w:rsidRDefault="00443B04" w:rsidP="00443B04">
      <w:pPr>
        <w:pStyle w:val="NormalHanging12a"/>
      </w:pPr>
      <w:r w:rsidRPr="00192FCB">
        <w:t>1.</w:t>
      </w:r>
      <w:r w:rsidRPr="00192FCB">
        <w:tab/>
        <w:t>отбелязва, че съществуват три вида агенции на ЕС — децентрализирани агенции, изпълнителни агенции и други органи; припомня, че настоящата резолюция обхваща 31 от 33-те децентрализирани агенции и два от другите четири органа (Европейския институт за иновации и технологии (EIT) и Агенцията за снабдяване към Евратом (ESA));</w:t>
      </w:r>
    </w:p>
    <w:p w14:paraId="7F9D89A3" w14:textId="77777777" w:rsidR="00443B04" w:rsidRPr="00192FCB" w:rsidRDefault="00443B04" w:rsidP="00443B04">
      <w:pPr>
        <w:pStyle w:val="NormalHanging12a"/>
      </w:pPr>
      <w:r w:rsidRPr="00192FCB">
        <w:t>2.</w:t>
      </w:r>
      <w:r w:rsidRPr="00192FCB">
        <w:tab/>
        <w:t>посочва, че макар създаването или разширяването на агенциите на ЕС да има за цел да укрепи капацитета на Съюза, важно е да се гарантира, че този процес се направлява чрез задълбочени оценки и строги анализи, оценки на въздействието и ясни доказателства за добавената стойност; с цел да могат да се извлекат поуки и да се обмисли прекратяването на техния мандат, ако това е необходимо; подчертава, че този подход не само ще гарантира по-добро регулиране, но и ще повиши ефективността, отчетността, прозрачността и съгласуваността на институционалната структура на Съюза; подчертава, че всяко обмисляне на сливания, консолидиране или прекратяване на мандати на агенции трябва да се основава на всеобхватна оценка, като по този начин се допълват съображенията, свързани с бюджета или ефективността;</w:t>
      </w:r>
    </w:p>
    <w:p w14:paraId="59B63EEE" w14:textId="77777777" w:rsidR="00443B04" w:rsidRPr="00192FCB" w:rsidRDefault="00443B04" w:rsidP="00443B04">
      <w:pPr>
        <w:pStyle w:val="NormalHanging12a"/>
      </w:pPr>
      <w:r w:rsidRPr="00192FCB">
        <w:t>3.</w:t>
      </w:r>
      <w:r w:rsidRPr="00192FCB">
        <w:tab/>
        <w:t>изразява загриженост във връзка с нарастващата тежест на обслужването на дълга на Съюза; отбелязва, че според годишния доклад на Европейската сметна палата непогасените заеми, взети от Съюза, биха могли да надхвърлят 900 милиарда евро до 2027 г., което е почти десет пъти повече от равнището на дълга от 2020 г.; предупреждава, че нарастващите разходи по заемите представляват риск за бъдещите бюджети и намаляват фискалното пространство за нови приоритети;</w:t>
      </w:r>
    </w:p>
    <w:p w14:paraId="3F990F19" w14:textId="77777777" w:rsidR="00443B04" w:rsidRPr="00192FCB" w:rsidRDefault="00443B04" w:rsidP="00443B04">
      <w:pPr>
        <w:spacing w:after="240"/>
        <w:ind w:left="567" w:hanging="567"/>
      </w:pPr>
      <w:r w:rsidRPr="00192FCB">
        <w:t>4.</w:t>
      </w:r>
      <w:r w:rsidRPr="00192FCB">
        <w:tab/>
        <w:t xml:space="preserve">подчертава, че прозрачността е не само задължение за спазване, но и </w:t>
      </w:r>
      <w:r w:rsidRPr="00192FCB">
        <w:lastRenderedPageBreak/>
        <w:t>предварително условие за общественото доверие в агенциите, които упражняват значителни регулаторни или оперативни правомощия; призовава агенциите да публикуват проактивно, своевременно и по лесен за ползване начин ключови документи с неповерително съдържание, като същевременно съблюдават принципа на пропорционалност, прилагат законодателството за защита на данните, вземат предвид опасенията, свързани със сигурността, както и правните, стратегическите и други съответни опасения, и като спазват регламента и мандата на съответната агенция;</w:t>
      </w:r>
    </w:p>
    <w:p w14:paraId="6DE4F55D" w14:textId="77777777" w:rsidR="00443B04" w:rsidRPr="00192FCB" w:rsidRDefault="00443B04" w:rsidP="00443B04">
      <w:pPr>
        <w:pStyle w:val="NormalHanging12a"/>
      </w:pPr>
      <w:r w:rsidRPr="00192FCB">
        <w:t>5.</w:t>
      </w:r>
      <w:r w:rsidRPr="00192FCB">
        <w:tab/>
        <w:t>припомня, че в параграф 60 от общия подход се посочва, че всяка агенция следва да бъде оценявана веднъж на всеки пет години; настоятелно призовава Комисията да проучи възможностите за допълнителни полезни взаимодействия и консолидиране на дейностите, както и за евентуално сливане на агенциите с допълващи се дейности, за да се осигури ефективност на разходите и да се рационализират функциите на агенциите, включително потенциални прегледи на мандата, когато има неефективност или дублиране; настоява, че в съответствие с принципите на пропорционалност, ефективност и фискална отговорност всички агенции на Съюза подлежат на периодични прегледи на изпълнението; насърчава, когато е необходимо, прилагането на клаузата за изтичане на срока на действие/преразглеждане, за да се запази ефективността и да се осигури оптималното използване на ресурсите; счита, че бюджетната ефективност е от основно значение за функционирането на агенциите; припомня в тази връзка препоръката на Палатата, посочена в Специален доклад № 22/20202, с която към Комисията се отправя съвет да използва по-често хоризонтални оценки на агенциите в контекста на проверките за пригодност, изготвяни от нея в различни области на политиката; отбелязва, че в Специален доклад № 22/2020 на Палатата се констатира, че измеримият принос на агенциите за постигането на целите на политиката на Съюза невинаги е ясно демонстриран; подчертава, че 33-те децентрализирани агенции управляват над 4,1 милиарда евро и че освен проверките за съответствие, Парламентът би могъл допълнително да обмисли как да оцени тяхното въздействие; насърчава докладването относно ограничен набор от показатели за резултатите и въздействието, и призовава Мрежата на агенциите на ЕС, в сътрудничество с Палатата, да проучи и по целесъобразност да разработи обща рамка за изпълнение, която да бъде представена на органа по освобождаване от отговорност;</w:t>
      </w:r>
    </w:p>
    <w:p w14:paraId="03A5F556" w14:textId="77777777" w:rsidR="00443B04" w:rsidRPr="00192FCB" w:rsidRDefault="00443B04" w:rsidP="00443B04">
      <w:pPr>
        <w:pStyle w:val="NormalHanging12a"/>
      </w:pPr>
      <w:r w:rsidRPr="00192FCB">
        <w:t>6.</w:t>
      </w:r>
      <w:r w:rsidRPr="00192FCB">
        <w:tab/>
        <w:t>подчертава, че зачитането на основните права и принципите на правовата държава представлява предпоставка за добро изпълнение и добро финансово управление; счита, че само агенциите, които гарантират пълно изпълнение на задълженията по отношение на основните права, могат да се разглеждат като добре функциониращи, независимо от степента на изпълнение на бюджета;</w:t>
      </w:r>
    </w:p>
    <w:p w14:paraId="10C1A429" w14:textId="77777777" w:rsidR="00443B04" w:rsidRPr="00192FCB" w:rsidRDefault="00443B04" w:rsidP="00443B04">
      <w:pPr>
        <w:pStyle w:val="NormalHanging12a"/>
      </w:pPr>
      <w:r w:rsidRPr="00192FCB">
        <w:t>7.</w:t>
      </w:r>
      <w:r w:rsidRPr="00192FCB">
        <w:tab/>
        <w:t>призовава всички агенции да продължат да гарантират спазването на основните права и защитата на данните при съответните си операции;</w:t>
      </w:r>
    </w:p>
    <w:p w14:paraId="6FC36A0B" w14:textId="77777777" w:rsidR="00443B04" w:rsidRPr="00192FCB" w:rsidRDefault="00443B04" w:rsidP="00443B04">
      <w:pPr>
        <w:pStyle w:val="NormalHanging12a"/>
      </w:pPr>
      <w:r w:rsidRPr="00192FCB">
        <w:t>8.</w:t>
      </w:r>
      <w:r w:rsidRPr="00192FCB">
        <w:tab/>
        <w:t xml:space="preserve">подчертава значението на процедурата по освобождаване от отговорност във връзка с изпълнението на бюджета, която не само е задължение, основано на Договорите, но и също така насърчава прозрачността, отчетността и открития диалог относно финансите на Съюза; счита, че практиката за освобождаване от отговорност чрез договорености за управление, определени в учредителните актове на някои агенции, като например Службата на Европейския съюз за </w:t>
      </w:r>
      <w:r w:rsidRPr="00192FCB">
        <w:lastRenderedPageBreak/>
        <w:t>интелектуална собственост (EUIPO), Службата на Общността за сортовете растения (CPVO) и Единния съвет за преструктуриране (ЕСП), отразява техните специфични правни и финансови рамки и гарантира подходяща оценка и контрол, като същевременно подкрепя прозрачността и публичната отчетност; припомня общия подход за изцяло самофинансиращите се агенции (точка 58), при който се призовава да се проучат механизмите за демократична отчетност, включително ежегодното докладване пред Парламента, Съвета и Комисията, както и разглеждането на техните препоръки, с цел да се гарантира обществен контрол върху агенциите, които изпълняват политиките на ЕС, без да се прибягва до общия бюджет на Съюза; въпреки това счита, че би било желателно изцяло самофинансиращите се агенции да бъдат включени в процедурата по освобождаване от отговорност във връзка с изпълнението на бюджета за агенциите, за които отговаря комисията по бюджетен контрол, или поне да подлежат на засилени задължения за докладване пред комисията по бюджетен контрол;</w:t>
      </w:r>
    </w:p>
    <w:p w14:paraId="36C82E32" w14:textId="77777777" w:rsidR="00443B04" w:rsidRPr="00192FCB" w:rsidRDefault="00443B04" w:rsidP="00443B04">
      <w:pPr>
        <w:pStyle w:val="NormalHanging12a"/>
      </w:pPr>
      <w:r w:rsidRPr="00192FCB">
        <w:t>9.</w:t>
      </w:r>
      <w:r w:rsidRPr="00192FCB">
        <w:tab/>
        <w:t>отбелязва със загриженост, че с течение на времето на децентрализираните агенции на Съюза се възлагат все повече задачи чрез преразгледани регламенти, ново законодателство или равнище на обслужване и споразумения за делегиране на задачи, сключвани с Комисията, често без наличието на съответни структурни ресурси или щатни длъжности; подчертава, че този повтарящ се модел създава оперативен натиск, който от своя страна може да допринесе за слабости при бюджетното управление и все по-голяма структурна зависимост от външни изпълнители, особено в сферата на информационните и комуникационните технологии (ИКТ), киберсигурността и други оперативни функции; предупреждава, че подобна дългосрочна зависимост може да подкопае институционалния капацитет, приемствеността и запазването на знанията, като същевременно това води до отслабване на цифровия суверенитет на Съюза и на личната неприкосновеност на гражданите; следователно призовава за извършването на редовна оценка за тази дългосрочна зависимост и за намаляване на структурната зависимост от външни консултанти, особено за основни функции; подчертава, че прекомерното възлагане на дейности на външни изпълнители подкопава институционалната памет, отчетността и икономическата ефективност; призовава Комисията да гарантира, че агенциите разполагат с достатъчно персонал, за да изпълняват своите мандати в рамките на институцията, когато това е възможно;</w:t>
      </w:r>
    </w:p>
    <w:p w14:paraId="38A0F3EE" w14:textId="77777777" w:rsidR="00443B04" w:rsidRPr="00192FCB" w:rsidRDefault="00443B04" w:rsidP="00443B04">
      <w:pPr>
        <w:pStyle w:val="NormalHanging12a"/>
      </w:pPr>
      <w:r w:rsidRPr="00192FCB">
        <w:t>10.</w:t>
      </w:r>
      <w:r w:rsidRPr="00192FCB">
        <w:tab/>
        <w:t>отбелязва, че пропуските по отношение на принципите на правовата държава в някои държави членки, включително отслабената независимост на съдебната власт и намаленият капацитет за наказателно преследване, могат да подкопаят рамките за сътрудничество, надеждността на данните и оперативния интегритет на агенциите; призовава Комисията да направи оценка и да предприеме действия за справяне с тези рискове;</w:t>
      </w:r>
    </w:p>
    <w:p w14:paraId="11BABB0B" w14:textId="77777777" w:rsidR="00443B04" w:rsidRDefault="00443B04" w:rsidP="00443B04">
      <w:pPr>
        <w:pStyle w:val="NormalHanging12a"/>
      </w:pPr>
      <w:r w:rsidRPr="00192FCB">
        <w:t>11.</w:t>
      </w:r>
      <w:r w:rsidRPr="00192FCB">
        <w:tab/>
        <w:t xml:space="preserve">подчертава, че прозрачността, строгият контрол по отношение на конфликтите на интереси и ясните правила, уреждащи взаимодействията със заинтересованите страни, са основни гаранции за независимостта, доверието в институциите и отчетността на децентрализираните агенции на Съюза, както и за общественото доверие в тяхното надеждно и стабилно функциониране; подчертава, че много агенции работят в сектори, в които е необходимо тясно сътрудничество с промишлеността, с консултантски фирми, технически експерти, </w:t>
      </w:r>
      <w:r w:rsidRPr="00192FCB">
        <w:lastRenderedPageBreak/>
        <w:t>неправителствени организации (НПО) или външни партньори, но в тези сектори продължава да има рискове от неправомерно влияние, небалансирани консултации или непрозрачност; подчертава, че прозрачните процедури, публичното оповестяване на срещите, балансираният и прозрачен подбор на експертите и непрекъснатият контрол по отношение на конфликтите на интереси са абсолютно необходими, за да се гарантира, че решенията на агенциите се основават единствено на обективни доказателства и на общия интерес на Съюза; настоятелно призовава всички агенции да въведат и да прилагат тези мерки, призовава за прозрачни гаранции, включително ясни и подходящи периоди на прекъсване, проактивен мониторинг и прозрачност на взаимодействията между заинтересованите страни; препоръчва провеждането на редовни независими прегледи на рамките за конфликти на интереси, като се зачита принципът на пропорционалност, и приканва Комисията и Мрежата на агенциите на ЕС да насърчават взаимното обучение с цел подобряване на стандартите за управление и прозрачност;</w:t>
      </w:r>
    </w:p>
    <w:p w14:paraId="729E4916" w14:textId="20506FDE" w:rsidR="00C503AF" w:rsidRPr="00192FCB" w:rsidRDefault="00C503AF" w:rsidP="00443B04">
      <w:pPr>
        <w:pStyle w:val="NormalHanging12a"/>
      </w:pPr>
      <w:r w:rsidRPr="00C503AF">
        <w:t>1</w:t>
      </w:r>
      <w:r>
        <w:t>2</w:t>
      </w:r>
      <w:r w:rsidRPr="00C503AF">
        <w:t>.</w:t>
      </w:r>
      <w:r w:rsidRPr="00C503AF">
        <w:tab/>
        <w:t>призовава Комисията да засили значително  прозрачността на процеса на експертна оценка и да обмисли подходящи механизми, насочени към повишаване на отчетността на експертите, при пълно зачитане на тяхната независимост;</w:t>
      </w:r>
    </w:p>
    <w:p w14:paraId="43A656B5" w14:textId="48E05996" w:rsidR="00443B04" w:rsidRPr="00192FCB" w:rsidRDefault="00347486" w:rsidP="00443B04">
      <w:pPr>
        <w:pStyle w:val="NormalHanging12a"/>
      </w:pPr>
      <w:r>
        <w:t>13</w:t>
      </w:r>
      <w:r w:rsidR="00443B04" w:rsidRPr="00192FCB">
        <w:t>.</w:t>
      </w:r>
      <w:r w:rsidR="00443B04" w:rsidRPr="00192FCB">
        <w:tab/>
        <w:t xml:space="preserve">признава, че експозицията на рискове от лобиране е различна за отделните децентрализирани агенции, в зависимост от техния мандат и оперативен контекст; отбелязва, че практиките за прозрачност се различават в отделните агенции; отбелязва, че например </w:t>
      </w:r>
      <w:proofErr w:type="spellStart"/>
      <w:r w:rsidR="00443B04" w:rsidRPr="00192FCB">
        <w:t>eu</w:t>
      </w:r>
      <w:proofErr w:type="spellEnd"/>
      <w:r w:rsidR="00443B04" w:rsidRPr="00192FCB">
        <w:t>-LISA поддържа специален регистър за прозрачност на своята уебстраница, който включва всички срещи на висшето ръководство на Агенцията с икономически оператори, Европейската агенция за гранична и брегова охрана (</w:t>
      </w:r>
      <w:proofErr w:type="spellStart"/>
      <w:r w:rsidR="00443B04" w:rsidRPr="00192FCB">
        <w:t>Frontex</w:t>
      </w:r>
      <w:proofErr w:type="spellEnd"/>
      <w:r w:rsidR="00443B04" w:rsidRPr="00192FCB">
        <w:t>) предоставя на своя уебсайт регистър с информация за срещите, свързани по-конкретно с въпросите за обществените поръчки, а ECHA публикува информация за срещите, проведени от висшите ръководители с организации на външни заинтересовани страни; счита, че един универсален модел не би бил нито пропорционален, нито оперативно значим, но че установяването на общи минимални стандарти би подобрило съгласуваността и отчетността; отбелязва отговорите, предоставени от агенциите при предишния цикъл на освобождаване от отговорност във връзка с изпълнението на бюджета, включително различното използване от тяхна страна на регистъра за прозрачност и факта, че няколко агенции вече са въвели вътрешни регистри за прозрачност или системи за конфликти на интереси, съобразени с техните мандати; призовава агенциите да приемат минимални стандарти, като например прилагането на принципа на 4-те очи, ясна стратегия за кодекс за поведение, включително ясни правила за избягване на конфликти на интереси, и прилагането на специални вътрешни регистри за прозрачност с ясни стандарти, отразяващи съответния им мандат и приложимите правила за защита на данните; подчертава, че тези регистри за прозрачност следва да бъдат достъпни за одиторите, за да могат те да проучват отделните случаи; счита, че тяхното прилагане следва да се осъществява постепенно, като се използват новите възможности в сферата на цифровите технологии, за да се избегне създаването на ненужна и/или допълнителна административна тежест за агенциите;</w:t>
      </w:r>
    </w:p>
    <w:p w14:paraId="5F59430E" w14:textId="61D9A356" w:rsidR="00443B04" w:rsidRPr="00192FCB" w:rsidRDefault="00347486" w:rsidP="00443B04">
      <w:pPr>
        <w:pStyle w:val="NormalHanging12a"/>
      </w:pPr>
      <w:r>
        <w:t>14</w:t>
      </w:r>
      <w:r w:rsidR="00443B04" w:rsidRPr="00192FCB">
        <w:t>.</w:t>
      </w:r>
      <w:r w:rsidR="00443B04" w:rsidRPr="00192FCB">
        <w:tab/>
        <w:t xml:space="preserve">отбелязва, че през 2024 г. 33-те децентрализирани агенции са докладвали, че в тях са работили общо 11 491 служители (в сравнение с 10 580 души през 2023 г.), в т.ч. длъжностни лица, срочно наети служители, договорно наети служители и </w:t>
      </w:r>
      <w:r w:rsidR="00443B04" w:rsidRPr="00192FCB">
        <w:lastRenderedPageBreak/>
        <w:t xml:space="preserve">командировани национални експерти, което представлява увеличение с 8,61% спрямо 2023 г.; отбелязва, че въпреки че балансът между половете в децентрализираните агенции на Съюза се подобрява, все още има значителни различия; подчертава, че в някои агенции, като например ACER, ЕААБ, EIGE, ERA, </w:t>
      </w:r>
      <w:proofErr w:type="spellStart"/>
      <w:r w:rsidR="00443B04" w:rsidRPr="00192FCB">
        <w:t>eu</w:t>
      </w:r>
      <w:proofErr w:type="spellEnd"/>
      <w:r w:rsidR="00443B04" w:rsidRPr="00192FCB">
        <w:t xml:space="preserve">-LISA и Европол, има по-голям процент служители мъже, докато в някои агенции като </w:t>
      </w:r>
      <w:proofErr w:type="spellStart"/>
      <w:r w:rsidR="00443B04" w:rsidRPr="00192FCB">
        <w:t>CdT</w:t>
      </w:r>
      <w:proofErr w:type="spellEnd"/>
      <w:r w:rsidR="00443B04" w:rsidRPr="00192FCB">
        <w:t>, ЕОБХ, EMA, ETF и Евроюст има повече служители жени; отбелязва, че процентът често е специфичен за съответния сектор; призовава агенциите да приемат корективни стратегии, включително прозрачни процедури за повишаване в длъжност и целенасочено развитие на лидерството; припомня, че ангажиментът на Съюза за насърчаване на равенството между половете на ръководни длъжности все още не е напълно изпълнен; подчертава, че усилията на Комисията в това отношение следва да бъдат подобрени; припомня, че според Регламент (ЕИО, Евратом, ЕОВС) № 259/68 (Правилника за длъжностните лица на ЕС</w:t>
      </w:r>
      <w:r w:rsidR="00443B04" w:rsidRPr="00192FCB">
        <w:rPr>
          <w:vertAlign w:val="superscript"/>
        </w:rPr>
        <w:t>3</w:t>
      </w:r>
      <w:r w:rsidR="00443B04" w:rsidRPr="00192FCB">
        <w:t>) набирането на служители следва да се извършва на базата на обективни, прозрачни и основани на заслуги критерии и да се основава също така на възможно най-голям географски баланс между гражданите на държавите членки; отбелязва, че е налице естествена тенденция да се наемат по-голям процент служители от държавата членка, в която се намира Агенцията; припомня, че агенциите, които са разположени в държави с относително нисък корекционен коефициент, са изправени пред непрекъснати предизвикателства при привличането на квалифициран и разнообразен в географско отношение персонал; насърчава агенциите да стимулират баланса между половете в стратегиите в областта на човешките ресурси и при комисиите за подбор на ръководни кадри; приканва Комисията и Мрежата на агенциите на ЕС да предоставят най-добрите практики и инструментите за сравнителен анализ с цел подкрепа на балансираното участие на жените и мъжете в управлението;</w:t>
      </w:r>
    </w:p>
    <w:p w14:paraId="7E6E601A" w14:textId="755BFDE5" w:rsidR="00443B04" w:rsidRPr="00192FCB" w:rsidRDefault="00347486" w:rsidP="00443B04">
      <w:pPr>
        <w:pStyle w:val="NormalHanging12a"/>
      </w:pPr>
      <w:r>
        <w:t>15</w:t>
      </w:r>
      <w:r w:rsidR="00443B04" w:rsidRPr="00192FCB">
        <w:t>.</w:t>
      </w:r>
      <w:r w:rsidR="00443B04" w:rsidRPr="00192FCB">
        <w:tab/>
        <w:t xml:space="preserve">отбелязва, че през 2024 г. текучеството на персонала е било над 5% в 16 от общо 33-те агенции (по-специално в Службата на ОЕРЕС, </w:t>
      </w:r>
      <w:proofErr w:type="spellStart"/>
      <w:r w:rsidR="00443B04" w:rsidRPr="00192FCB">
        <w:t>CdT</w:t>
      </w:r>
      <w:proofErr w:type="spellEnd"/>
      <w:r w:rsidR="00443B04" w:rsidRPr="00192FCB">
        <w:t xml:space="preserve">, </w:t>
      </w:r>
      <w:proofErr w:type="spellStart"/>
      <w:r w:rsidR="00443B04" w:rsidRPr="00192FCB">
        <w:t>Cedefop</w:t>
      </w:r>
      <w:proofErr w:type="spellEnd"/>
      <w:r w:rsidR="00443B04" w:rsidRPr="00192FCB">
        <w:t xml:space="preserve">, CEPOL, ECDC, ЕАОС, ЕОТ, </w:t>
      </w:r>
      <w:proofErr w:type="spellStart"/>
      <w:r w:rsidR="00443B04" w:rsidRPr="00192FCB">
        <w:t>eu</w:t>
      </w:r>
      <w:proofErr w:type="spellEnd"/>
      <w:r w:rsidR="00443B04" w:rsidRPr="00192FCB">
        <w:t xml:space="preserve">‑LISA, EU‑OSHA, </w:t>
      </w:r>
      <w:proofErr w:type="spellStart"/>
      <w:r w:rsidR="00443B04" w:rsidRPr="00192FCB">
        <w:t>Eurofound</w:t>
      </w:r>
      <w:proofErr w:type="spellEnd"/>
      <w:r w:rsidR="00443B04" w:rsidRPr="00192FCB">
        <w:t>, Евроюст, Европол и FRA) и че две от агенциите са надвишили 10% (а именно EIT и ETF); приветства агенциите за целенасочените мерки, които те са предприели за предотвратяването на голямо текучество сред служителите; призовава Комисията и държавите членки да им разрешат да назначават договорно наети служители за по-дълги периоди от време или да разрешат назначаването на повече срочно наети служители, за да се гарантира по-добра приемственост и запазване на знанията; счита, че професионалното изчерпване, текучеството и несигурната заетост крият рискове за институционалния интегритет, вътрешния контрол и доброто финансово управление; подчертава, че управителните съвети отговарят за почтеността и отчетността на агенциите, изразява съжаление относно недостатъчните действия, предприети във връзка с някои сериозни констатации, и призовава за по-голяма прозрачност спрямо органа по освобождаване от отговорност;</w:t>
      </w:r>
    </w:p>
    <w:p w14:paraId="6B69B47D" w14:textId="65282A5B" w:rsidR="00443B04" w:rsidRPr="00192FCB" w:rsidRDefault="00347486" w:rsidP="00443B04">
      <w:pPr>
        <w:pStyle w:val="NormalHanging12a"/>
      </w:pPr>
      <w:r>
        <w:t>16</w:t>
      </w:r>
      <w:r w:rsidR="00443B04" w:rsidRPr="00192FCB">
        <w:t>.</w:t>
      </w:r>
      <w:r w:rsidR="00443B04" w:rsidRPr="00192FCB">
        <w:tab/>
        <w:t>приветства факта, че през 2024 г. повечето агенции са приели и са приложили Хартата за многообразието и приобщаването</w:t>
      </w:r>
      <w:r w:rsidR="00443B04" w:rsidRPr="00192FCB">
        <w:rPr>
          <w:rStyle w:val="FootnoteReference"/>
        </w:rPr>
        <w:footnoteReference w:id="398"/>
      </w:r>
      <w:r w:rsidR="00443B04" w:rsidRPr="00192FCB">
        <w:t xml:space="preserve">, която насърчава равното третиране, многообразието и приобщаването на работното място и в социалния живот; силно насърчава агенциите, които все още не са се присъединили към </w:t>
      </w:r>
      <w:r w:rsidR="00443B04" w:rsidRPr="00192FCB">
        <w:lastRenderedPageBreak/>
        <w:t>Хартата, да разгледат възможността за незабавното ѝ приемане и прилагане;</w:t>
      </w:r>
    </w:p>
    <w:p w14:paraId="513E00BE" w14:textId="50EDE21D" w:rsidR="00443B04" w:rsidRPr="00192FCB" w:rsidRDefault="00347486" w:rsidP="00443B04">
      <w:pPr>
        <w:pStyle w:val="NormalHanging12a"/>
      </w:pPr>
      <w:r>
        <w:t>17</w:t>
      </w:r>
      <w:r w:rsidR="00443B04" w:rsidRPr="00192FCB">
        <w:t>.</w:t>
      </w:r>
      <w:r w:rsidR="00443B04" w:rsidRPr="00192FCB">
        <w:tab/>
        <w:t xml:space="preserve">подчертава, че създаването на ефективен механизъм за подаване на жалби за служителите в децентрализираните агенции на Съюза изисква съчетаване на силни гаранции за поверителност, включително анонимни канали за подаване на сигнали, с ясни и хармонизирани процедури, приведени в съответствие с Правилника за длъжностните лица на ЕС, които да се съобщават на служителите чрез редовни обучения; счита, че агенциите следва да назначат независими, професионално обучени служители за разглеждането на етични въпроси или жалби, или при по-малките агенции следва да се използват споделени междуведомствени структури, за да се гарантира безпристрастно разглеждане на молбите по член 90 от Правилника за длъжностните лица, както и на докладите за тормоз, конфликтите на интереси и сигналите за нередности; призовава агенциите да гарантират, че служителите имат достъп до външна процедура за предаване на информацията до по-високо равнище, както и до стабилна, независима и ефективна защита срещу всякакви ответни действия с цел отмъщение, като се провеждат системни последващи проверки; същевременно прозрачността следва да се повиши чрез </w:t>
      </w:r>
      <w:proofErr w:type="spellStart"/>
      <w:r w:rsidR="00443B04" w:rsidRPr="00192FCB">
        <w:t>анонимизирани</w:t>
      </w:r>
      <w:proofErr w:type="spellEnd"/>
      <w:r w:rsidR="00443B04" w:rsidRPr="00192FCB">
        <w:t xml:space="preserve"> годишни доклади за жалбите и съответните резултати от тях, а безпристрастността следва да се подобри чрез използването на междуведомствени комисии за разследване на чувствителните случаи; призовава за прилагането на механизми за защита срещу неверни обвинения и денонсиране;</w:t>
      </w:r>
    </w:p>
    <w:p w14:paraId="52AF5110" w14:textId="51085271" w:rsidR="00443B04" w:rsidRPr="00192FCB" w:rsidRDefault="00347486" w:rsidP="00443B04">
      <w:pPr>
        <w:pStyle w:val="NormalHanging12a"/>
      </w:pPr>
      <w:r>
        <w:t>18</w:t>
      </w:r>
      <w:r w:rsidR="00443B04" w:rsidRPr="00192FCB">
        <w:t>.</w:t>
      </w:r>
      <w:r w:rsidR="00443B04" w:rsidRPr="00192FCB">
        <w:tab/>
        <w:t>отбелязва важната роля на Мрежата на агенциите на ЕС (EUAN), и по-специално на нейния Консултативен комитет за ИКТ (ICTAC), за подкрепа на готовността на агенциите за прилагане на Регламента за киберсигурността чрез засилена координация, обмен на знания и сътрудничество с ГД „Информатика“, Службата за киберсигурност за институциите, органите, службите и агенциите на Съюза (CERT-EU) и Междуинституционалния комитет за цифрова трансформация; призовава EUAN и ICTAC да предоставят изчерпателна и редовна информация за степента на изпълнение във всички децентрализирани агенции, включително общите предизвикателства, идентифицираните рискове, нуждите от ресурси и планираните мерки за смекчаване на последиците, за да може да се упражнява ефективен надзор; подчертава необходимостта от стабилна киберсигурност и внимателно използване на изкуствения интелект (ИИ), като отбелязва възможностите, но също така и финансовите и оперативните рискове в тази връзка; призовава агенциите да направят оценка на подпомаганите от ИИ процеси във финансовата сфера, при възлагането на обществени поръчки или при вземането на решения, както и да гарантират прозрачността, документирането, проверимостта и пълното спазване на правилата на Съюза относно защитата на данните и киберсигурността;</w:t>
      </w:r>
    </w:p>
    <w:p w14:paraId="2AC5BD10" w14:textId="474FA612" w:rsidR="00443B04" w:rsidRPr="00192FCB" w:rsidRDefault="00347486" w:rsidP="00443B04">
      <w:pPr>
        <w:pStyle w:val="NormalHanging12a"/>
      </w:pPr>
      <w:r>
        <w:t>19</w:t>
      </w:r>
      <w:r w:rsidR="00443B04" w:rsidRPr="00192FCB">
        <w:t>.</w:t>
      </w:r>
      <w:r w:rsidR="00443B04" w:rsidRPr="00192FCB">
        <w:tab/>
        <w:t xml:space="preserve">подчертава значението на разработването на ясни, надеждни и съдържателни ключови показатели за ефективност (КПЕ) в годишните отчети за дейността на агенциите на ЕС, тъй като тези отчети представляват основен източник на информация за външните потребители; отбелязва, че при някои системи за КПЕ често липсват приемственост, стандартизация, оперативна задълбоченост, документирана методология за подбор, актуализиране и оттегляне на КПЕ, прозрачност, съпоставимост и многогодишно проследяване, което ограничава съпоставимостта и способността на външните потребители да направят обективна преценка за изпълнението; подчертава, че КПЕ следва да бъдат рационализирани и добре структурирани, да се основават на принципите за конкретни, измерими, </w:t>
      </w:r>
      <w:r w:rsidR="00443B04" w:rsidRPr="00192FCB">
        <w:lastRenderedPageBreak/>
        <w:t>постижими, относими и обвързани със срокове резултати (SMART) и да се прилагат последователно при циклите на докладване, което е важно за оценката на ефикасността, ефективността и напредъка към постигане на стратегическите цели; подчертава необходимостта от по-голямо използване на ориентирано към резултатите и въздействието докладване чрез фокусиране върху съществеността и пропорционалността, за да се намали административната тежест; подчертава, че показателите за изпълнение трябва да произтичат изрично от целите на учредителния мандат на всяка агенция и да обхващат крайните продукти, резултатите и най-вече – въздействията; призовава агенциите да включат анализ на разходите и ползите и прозрачно бюджетиране в своите рамки за изпълнението;</w:t>
      </w:r>
    </w:p>
    <w:p w14:paraId="7EF2D804" w14:textId="55A2E564" w:rsidR="00443B04" w:rsidRPr="00192FCB" w:rsidRDefault="00347486" w:rsidP="00443B04">
      <w:pPr>
        <w:pStyle w:val="NormalHanging12a"/>
      </w:pPr>
      <w:r>
        <w:t>20</w:t>
      </w:r>
      <w:r w:rsidR="00443B04" w:rsidRPr="00192FCB">
        <w:t>.</w:t>
      </w:r>
      <w:r w:rsidR="00443B04" w:rsidRPr="00192FCB">
        <w:tab/>
        <w:t>признава сътрудничеството с някои външни партньори, като например Организацията за икономическо сътрудничество и развитие и Мрежата на ООН за стратегическо планиране, с цел модернизиране на методологиите за КПЕ; подчертава, че някои агенции като ACER, ЕААБ и ECDC са разработили по-надеждни и оперативно значими показатели; призовава агенциите с неподходящи системи за КПЕ или такива, които не подлежат на измерване, да се възползват от тези по-надеждни модели и да споделят редовно най-добри практики чрез Мрежата на агенциите на ЕС, за да се увеличи съпоставимостта, да се повиши полезността на годишните отчети за дейността за външните потребители и да се подобри цялостната оценка на изпълнението за всички агенции; призовава Комисията да изисква при всички оценки на агенциите по параграф 60 от общия подход да се оценява систематично въздействието на всяка агенция върху съответната област на политиката, а програмите или дейностите, които не са показали ефективност в разумен срок, да бъдат прекратени, като средствата се преразпределят за по-ефективни мерки;</w:t>
      </w:r>
    </w:p>
    <w:p w14:paraId="4555FD0D" w14:textId="654719E6" w:rsidR="00443B04" w:rsidRPr="00192FCB" w:rsidRDefault="00347486" w:rsidP="00443B04">
      <w:pPr>
        <w:pStyle w:val="NormalHanging12a"/>
      </w:pPr>
      <w:r>
        <w:t>21</w:t>
      </w:r>
      <w:r w:rsidR="00443B04" w:rsidRPr="00192FCB">
        <w:t>.</w:t>
      </w:r>
      <w:r w:rsidR="00443B04" w:rsidRPr="00192FCB">
        <w:tab/>
        <w:t xml:space="preserve">обръща внимание на разследванията на Европейската служба за борба с измамите (OLAF), засягащи няколко агенции: ENISA (два случая от 2024 г. – един текущ и един прекратен случай, както и един случай, свързан с набиране на персонал от 2025 г.), </w:t>
      </w:r>
      <w:proofErr w:type="spellStart"/>
      <w:r w:rsidR="00443B04" w:rsidRPr="00192FCB">
        <w:t>eu</w:t>
      </w:r>
      <w:proofErr w:type="spellEnd"/>
      <w:r w:rsidR="00443B04" w:rsidRPr="00192FCB">
        <w:t xml:space="preserve">-LISA (конфликт на интереси и проучвания за обществени поръчки), EIT (три случая, свързани с ОЗИ, приключени чрез възстановяване на средства в размер на 15–20 милиона евро), </w:t>
      </w:r>
      <w:proofErr w:type="spellStart"/>
      <w:r w:rsidR="00443B04" w:rsidRPr="00192FCB">
        <w:t>Frontex</w:t>
      </w:r>
      <w:proofErr w:type="spellEnd"/>
      <w:r w:rsidR="00443B04" w:rsidRPr="00192FCB">
        <w:t xml:space="preserve"> (два текущи случая и осем приключени случая през периода 2023—2024 г.) и текущи разследвания в ACER и ЕАОС; настоятелно призовава всички агенции на ЕС да гарантират пълно сътрудничество с OLAF, да засилят вътрешния контрол, както и гаранциите във връзка с набирането на персонал и възлагането на обществени поръчки, и да предоставят допълнителна информация на органа по освобождаване от отговорност веднага след премахване на ограниченията относно поверителността;</w:t>
      </w:r>
    </w:p>
    <w:p w14:paraId="0ED9AF45" w14:textId="73B96DF5" w:rsidR="00443B04" w:rsidRPr="00192FCB" w:rsidRDefault="00347486" w:rsidP="00443B04">
      <w:pPr>
        <w:pStyle w:val="NormalHanging12a"/>
      </w:pPr>
      <w:r>
        <w:t>22</w:t>
      </w:r>
      <w:r w:rsidR="00443B04" w:rsidRPr="00192FCB">
        <w:t>.</w:t>
      </w:r>
      <w:r w:rsidR="00443B04" w:rsidRPr="00192FCB">
        <w:tab/>
        <w:t xml:space="preserve">припомня, че мандатът на </w:t>
      </w:r>
      <w:proofErr w:type="spellStart"/>
      <w:r w:rsidR="00443B04" w:rsidRPr="00192FCB">
        <w:t>Frontex</w:t>
      </w:r>
      <w:proofErr w:type="spellEnd"/>
      <w:r w:rsidR="00443B04" w:rsidRPr="00192FCB">
        <w:t xml:space="preserve"> беше значително разширен през 2019 г., когато с преразгледан регламент задачите на Агенцията бяха разширени и беше дадено разрешение за формирането на постоянен корпус от 10 000 гранични служители, със съответно увеличение на бюджета; подчертава, че увеличенията на бюджета, независимо от съответната агенция, трябва винаги да се съпътстват от подходящи разпоредби за отчетност и прозрачност;</w:t>
      </w:r>
    </w:p>
    <w:p w14:paraId="5025B1D9" w14:textId="2BBC554E" w:rsidR="00443B04" w:rsidRPr="00192FCB" w:rsidRDefault="00347486" w:rsidP="00443B04">
      <w:pPr>
        <w:pStyle w:val="NormalHanging12a"/>
      </w:pPr>
      <w:r>
        <w:t>23</w:t>
      </w:r>
      <w:r w:rsidR="00443B04" w:rsidRPr="00192FCB">
        <w:t>.</w:t>
      </w:r>
      <w:r w:rsidR="00443B04" w:rsidRPr="00192FCB">
        <w:tab/>
        <w:t xml:space="preserve">отбелязва, че липсата на клаузи за неучастие, които позволяват бързо прекратяване на договорите за наем, продължава да представлява финансов риск за агенциите на ЕС; припомня, че значението на включването на такива клаузи в </w:t>
      </w:r>
      <w:r w:rsidR="00443B04" w:rsidRPr="00192FCB">
        <w:lastRenderedPageBreak/>
        <w:t>договорите за наем стана очевидно във връзка с трудностите, с които се сблъска Европейската агенция по лекарствата (EMA) след излизането на Обединеното кралство от ЕС, като Агенцията не можа да прекрати дългосрочния си договор за наем на сграда в Лондон и в резултат на това трябваше да плаща наем както в Лондон, така и в Амстердам; признава, че от 2019 г. насам няколко агенции са въвели клаузи за спиране на изпълнението на договорите, но изразява съжаление, че не всички агенции са направили това, включително в някои случаи бяха подписани нови договори или бяха подновени договори за наем на сгради; настоятелно призовава агенциите и Комисията да въвеждат систематично клаузи за спиране на изпълнението на договорите при договарянето или подновяването на договори за наем на сгради, като се вземат предвид поуките, извлечени от миналия опит, с цел да се ограничи финансовата експозиция и да се гарантира по-голяма гъвкавост на бюджета;</w:t>
      </w:r>
    </w:p>
    <w:p w14:paraId="5124AC1F" w14:textId="77777777" w:rsidR="00443B04" w:rsidRPr="00192FCB" w:rsidRDefault="00443B04" w:rsidP="00443B04">
      <w:pPr>
        <w:pStyle w:val="NormalHanging12a"/>
        <w:rPr>
          <w:b/>
          <w:i/>
        </w:rPr>
      </w:pPr>
      <w:r w:rsidRPr="00192FCB">
        <w:rPr>
          <w:b/>
          <w:i/>
        </w:rPr>
        <w:t>Бюджетно и финансово управление</w:t>
      </w:r>
    </w:p>
    <w:p w14:paraId="06EBF662" w14:textId="73214A34" w:rsidR="00443B04" w:rsidRPr="00192FCB" w:rsidRDefault="00347486" w:rsidP="00443B04">
      <w:pPr>
        <w:pStyle w:val="NormalHanging12a"/>
        <w:rPr>
          <w:bCs/>
          <w:iCs/>
        </w:rPr>
      </w:pPr>
      <w:r>
        <w:t>24</w:t>
      </w:r>
      <w:r w:rsidR="00443B04" w:rsidRPr="00192FCB">
        <w:t>.</w:t>
      </w:r>
      <w:r w:rsidR="00443B04" w:rsidRPr="00192FCB">
        <w:tab/>
        <w:t>отбелязва, че общите окончателни приходи за 2024 г. (като се вземат предвид и коригиращите бюджети) и сравнителните данни за 2023 г. за 33-те агенции на ЕС, които са включени в настоящата резолюция, са разпределени както следва</w:t>
      </w:r>
      <w:r w:rsidR="00443B04" w:rsidRPr="00192FCB">
        <w:rPr>
          <w:bCs/>
          <w:iCs/>
          <w:vertAlign w:val="superscript"/>
        </w:rPr>
        <w:footnoteReference w:id="399"/>
      </w:r>
      <w:r w:rsidR="00443B04" w:rsidRPr="00192FCB">
        <w:t>:</w:t>
      </w:r>
    </w:p>
    <w:tbl>
      <w:tblPr>
        <w:tblW w:w="8428" w:type="dxa"/>
        <w:tblLook w:val="04A0" w:firstRow="1" w:lastRow="0" w:firstColumn="1" w:lastColumn="0" w:noHBand="0" w:noVBand="1"/>
      </w:tblPr>
      <w:tblGrid>
        <w:gridCol w:w="2122"/>
        <w:gridCol w:w="2126"/>
        <w:gridCol w:w="2126"/>
        <w:gridCol w:w="2054"/>
      </w:tblGrid>
      <w:tr w:rsidR="00443B04" w:rsidRPr="00192FCB" w14:paraId="06BC0CF9" w14:textId="77777777" w:rsidTr="009E7D18">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2557CE44" w14:textId="77777777" w:rsidR="00443B04" w:rsidRPr="00192FCB" w:rsidRDefault="00443B04" w:rsidP="009E7D18">
            <w:pPr>
              <w:pStyle w:val="NormalHanging12a"/>
              <w:rPr>
                <w:b/>
                <w:bCs/>
              </w:rPr>
            </w:pPr>
            <w:r w:rsidRPr="00192FCB">
              <w:rPr>
                <w:b/>
              </w:rPr>
              <w:t>Наименование</w:t>
            </w:r>
          </w:p>
        </w:tc>
        <w:tc>
          <w:tcPr>
            <w:tcW w:w="2126" w:type="dxa"/>
            <w:tcBorders>
              <w:top w:val="single" w:sz="4" w:space="0" w:color="auto"/>
              <w:left w:val="nil"/>
              <w:bottom w:val="single" w:sz="4" w:space="0" w:color="auto"/>
              <w:right w:val="single" w:sz="4" w:space="0" w:color="auto"/>
            </w:tcBorders>
            <w:noWrap/>
            <w:vAlign w:val="bottom"/>
            <w:hideMark/>
          </w:tcPr>
          <w:p w14:paraId="3490D72D" w14:textId="77777777" w:rsidR="00443B04" w:rsidRPr="00192FCB" w:rsidRDefault="00443B04" w:rsidP="009E7D18">
            <w:pPr>
              <w:pStyle w:val="NormalHanging12a"/>
              <w:rPr>
                <w:b/>
                <w:bCs/>
              </w:rPr>
            </w:pPr>
            <w:r w:rsidRPr="00192FCB">
              <w:rPr>
                <w:b/>
              </w:rPr>
              <w:t>Приходи за 2024 г.</w:t>
            </w:r>
          </w:p>
        </w:tc>
        <w:tc>
          <w:tcPr>
            <w:tcW w:w="2126" w:type="dxa"/>
            <w:tcBorders>
              <w:top w:val="single" w:sz="4" w:space="0" w:color="auto"/>
              <w:left w:val="nil"/>
              <w:bottom w:val="single" w:sz="4" w:space="0" w:color="auto"/>
              <w:right w:val="single" w:sz="4" w:space="0" w:color="auto"/>
            </w:tcBorders>
            <w:noWrap/>
            <w:vAlign w:val="bottom"/>
            <w:hideMark/>
          </w:tcPr>
          <w:p w14:paraId="339BB656" w14:textId="77777777" w:rsidR="00443B04" w:rsidRPr="00192FCB" w:rsidRDefault="00443B04" w:rsidP="009E7D18">
            <w:pPr>
              <w:pStyle w:val="NormalHanging12a"/>
              <w:rPr>
                <w:b/>
                <w:bCs/>
              </w:rPr>
            </w:pPr>
            <w:r w:rsidRPr="00192FCB">
              <w:rPr>
                <w:b/>
              </w:rPr>
              <w:t>Приходи за 2023 г.</w:t>
            </w:r>
          </w:p>
        </w:tc>
        <w:tc>
          <w:tcPr>
            <w:tcW w:w="2054" w:type="dxa"/>
            <w:tcBorders>
              <w:top w:val="single" w:sz="4" w:space="0" w:color="auto"/>
              <w:left w:val="nil"/>
              <w:bottom w:val="single" w:sz="4" w:space="0" w:color="auto"/>
              <w:right w:val="single" w:sz="4" w:space="0" w:color="auto"/>
            </w:tcBorders>
            <w:noWrap/>
            <w:vAlign w:val="bottom"/>
            <w:hideMark/>
          </w:tcPr>
          <w:p w14:paraId="77AEC4AD" w14:textId="77777777" w:rsidR="00443B04" w:rsidRPr="00192FCB" w:rsidRDefault="00443B04" w:rsidP="009E7D18">
            <w:pPr>
              <w:pStyle w:val="NormalHanging12a"/>
              <w:rPr>
                <w:b/>
                <w:bCs/>
              </w:rPr>
            </w:pPr>
            <w:r w:rsidRPr="00192FCB">
              <w:rPr>
                <w:b/>
              </w:rPr>
              <w:t>∆</w:t>
            </w:r>
          </w:p>
        </w:tc>
      </w:tr>
      <w:tr w:rsidR="00443B04" w:rsidRPr="00192FCB" w14:paraId="1DC49A23"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774A6420" w14:textId="77777777" w:rsidR="00443B04" w:rsidRPr="00192FCB" w:rsidRDefault="00443B04" w:rsidP="009E7D18">
            <w:pPr>
              <w:pStyle w:val="NormalHanging12a"/>
            </w:pPr>
            <w:r w:rsidRPr="00192FCB">
              <w:t>ACER</w:t>
            </w:r>
          </w:p>
        </w:tc>
        <w:tc>
          <w:tcPr>
            <w:tcW w:w="2126" w:type="dxa"/>
            <w:tcBorders>
              <w:top w:val="nil"/>
              <w:left w:val="nil"/>
              <w:bottom w:val="single" w:sz="4" w:space="0" w:color="auto"/>
              <w:right w:val="single" w:sz="4" w:space="0" w:color="auto"/>
            </w:tcBorders>
            <w:noWrap/>
            <w:vAlign w:val="bottom"/>
            <w:hideMark/>
          </w:tcPr>
          <w:p w14:paraId="7BF01E40" w14:textId="77777777" w:rsidR="00443B04" w:rsidRPr="00192FCB" w:rsidRDefault="00443B04" w:rsidP="009E7D18">
            <w:pPr>
              <w:pStyle w:val="NormalHanging12a"/>
            </w:pPr>
            <w:r w:rsidRPr="00192FCB">
              <w:t>34 689 993,00 €</w:t>
            </w:r>
          </w:p>
        </w:tc>
        <w:tc>
          <w:tcPr>
            <w:tcW w:w="2126" w:type="dxa"/>
            <w:tcBorders>
              <w:top w:val="nil"/>
              <w:left w:val="nil"/>
              <w:bottom w:val="single" w:sz="4" w:space="0" w:color="auto"/>
              <w:right w:val="single" w:sz="4" w:space="0" w:color="auto"/>
            </w:tcBorders>
            <w:noWrap/>
            <w:vAlign w:val="bottom"/>
            <w:hideMark/>
          </w:tcPr>
          <w:p w14:paraId="45C57C8E" w14:textId="77777777" w:rsidR="00443B04" w:rsidRPr="00192FCB" w:rsidRDefault="00443B04" w:rsidP="009E7D18">
            <w:pPr>
              <w:pStyle w:val="NormalHanging12a"/>
            </w:pPr>
            <w:r w:rsidRPr="00192FCB">
              <w:t>29 582 967,00 €</w:t>
            </w:r>
          </w:p>
        </w:tc>
        <w:tc>
          <w:tcPr>
            <w:tcW w:w="2054" w:type="dxa"/>
            <w:tcBorders>
              <w:top w:val="nil"/>
              <w:left w:val="nil"/>
              <w:bottom w:val="single" w:sz="4" w:space="0" w:color="auto"/>
              <w:right w:val="single" w:sz="4" w:space="0" w:color="auto"/>
            </w:tcBorders>
            <w:shd w:val="clear" w:color="auto" w:fill="FFFFFF"/>
            <w:noWrap/>
            <w:vAlign w:val="center"/>
            <w:hideMark/>
          </w:tcPr>
          <w:p w14:paraId="44481E70" w14:textId="77777777" w:rsidR="00443B04" w:rsidRPr="00192FCB" w:rsidRDefault="00443B04" w:rsidP="009E7D18">
            <w:pPr>
              <w:pStyle w:val="NormalHanging12a"/>
            </w:pPr>
            <w:r w:rsidRPr="00192FCB">
              <w:t>17,26%</w:t>
            </w:r>
          </w:p>
        </w:tc>
      </w:tr>
      <w:tr w:rsidR="00443B04" w:rsidRPr="00192FCB" w14:paraId="4932E900"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1A59F653" w14:textId="77777777" w:rsidR="00443B04" w:rsidRPr="00192FCB" w:rsidRDefault="00443B04" w:rsidP="009E7D18">
            <w:pPr>
              <w:pStyle w:val="NormalHanging12a"/>
            </w:pPr>
            <w:r w:rsidRPr="00192FCB">
              <w:t>Служба на BEREC</w:t>
            </w:r>
          </w:p>
        </w:tc>
        <w:tc>
          <w:tcPr>
            <w:tcW w:w="2126" w:type="dxa"/>
            <w:tcBorders>
              <w:top w:val="nil"/>
              <w:left w:val="nil"/>
              <w:bottom w:val="single" w:sz="4" w:space="0" w:color="auto"/>
              <w:right w:val="single" w:sz="4" w:space="0" w:color="auto"/>
            </w:tcBorders>
            <w:noWrap/>
            <w:vAlign w:val="bottom"/>
            <w:hideMark/>
          </w:tcPr>
          <w:p w14:paraId="084B9E2E" w14:textId="77777777" w:rsidR="00443B04" w:rsidRPr="00192FCB" w:rsidRDefault="00443B04" w:rsidP="009E7D18">
            <w:pPr>
              <w:pStyle w:val="NormalHanging12a"/>
            </w:pPr>
            <w:r w:rsidRPr="00192FCB">
              <w:t>7 932 805,00 €</w:t>
            </w:r>
          </w:p>
        </w:tc>
        <w:tc>
          <w:tcPr>
            <w:tcW w:w="2126" w:type="dxa"/>
            <w:tcBorders>
              <w:top w:val="nil"/>
              <w:left w:val="nil"/>
              <w:bottom w:val="single" w:sz="4" w:space="0" w:color="auto"/>
              <w:right w:val="single" w:sz="4" w:space="0" w:color="auto"/>
            </w:tcBorders>
            <w:noWrap/>
            <w:vAlign w:val="bottom"/>
            <w:hideMark/>
          </w:tcPr>
          <w:p w14:paraId="57FFFDE3" w14:textId="77777777" w:rsidR="00443B04" w:rsidRPr="00192FCB" w:rsidRDefault="00443B04" w:rsidP="009E7D18">
            <w:pPr>
              <w:pStyle w:val="NormalHanging12a"/>
            </w:pPr>
            <w:r w:rsidRPr="00192FCB">
              <w:t>7 697 264,87 €</w:t>
            </w:r>
          </w:p>
        </w:tc>
        <w:tc>
          <w:tcPr>
            <w:tcW w:w="2054" w:type="dxa"/>
            <w:tcBorders>
              <w:top w:val="nil"/>
              <w:left w:val="nil"/>
              <w:bottom w:val="single" w:sz="4" w:space="0" w:color="auto"/>
              <w:right w:val="single" w:sz="4" w:space="0" w:color="auto"/>
            </w:tcBorders>
            <w:shd w:val="clear" w:color="auto" w:fill="FFFFFF"/>
            <w:noWrap/>
            <w:vAlign w:val="center"/>
            <w:hideMark/>
          </w:tcPr>
          <w:p w14:paraId="12BBC9A1" w14:textId="77777777" w:rsidR="00443B04" w:rsidRPr="00192FCB" w:rsidRDefault="00443B04" w:rsidP="009E7D18">
            <w:pPr>
              <w:pStyle w:val="NormalHanging12a"/>
            </w:pPr>
            <w:r w:rsidRPr="00192FCB">
              <w:t>3,06%</w:t>
            </w:r>
          </w:p>
        </w:tc>
      </w:tr>
      <w:tr w:rsidR="00443B04" w:rsidRPr="00192FCB" w14:paraId="2D2223A7"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12171BA" w14:textId="77777777" w:rsidR="00443B04" w:rsidRPr="00192FCB" w:rsidRDefault="00443B04" w:rsidP="009E7D18">
            <w:pPr>
              <w:pStyle w:val="NormalHanging12a"/>
            </w:pPr>
            <w:r w:rsidRPr="00192FCB">
              <w:t>CDT</w:t>
            </w:r>
            <w:r w:rsidRPr="00192FCB">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3B14C669" w14:textId="77777777" w:rsidR="00443B04" w:rsidRPr="00192FCB" w:rsidRDefault="00443B04" w:rsidP="009E7D18">
            <w:pPr>
              <w:pStyle w:val="NormalHanging12a"/>
            </w:pPr>
            <w:r w:rsidRPr="00192FCB">
              <w:t>45 346 300,00 €</w:t>
            </w:r>
          </w:p>
        </w:tc>
        <w:tc>
          <w:tcPr>
            <w:tcW w:w="2126" w:type="dxa"/>
            <w:tcBorders>
              <w:top w:val="nil"/>
              <w:left w:val="nil"/>
              <w:bottom w:val="single" w:sz="4" w:space="0" w:color="auto"/>
              <w:right w:val="single" w:sz="4" w:space="0" w:color="auto"/>
            </w:tcBorders>
            <w:noWrap/>
            <w:vAlign w:val="bottom"/>
            <w:hideMark/>
          </w:tcPr>
          <w:p w14:paraId="270C7BD1" w14:textId="77777777" w:rsidR="00443B04" w:rsidRPr="00192FCB" w:rsidRDefault="00443B04" w:rsidP="009E7D18">
            <w:pPr>
              <w:pStyle w:val="NormalHanging12a"/>
            </w:pPr>
            <w:r w:rsidRPr="00192FCB">
              <w:t>47 140 900,00 €</w:t>
            </w:r>
          </w:p>
        </w:tc>
        <w:tc>
          <w:tcPr>
            <w:tcW w:w="2054" w:type="dxa"/>
            <w:tcBorders>
              <w:top w:val="nil"/>
              <w:left w:val="nil"/>
              <w:bottom w:val="single" w:sz="4" w:space="0" w:color="auto"/>
              <w:right w:val="single" w:sz="4" w:space="0" w:color="auto"/>
            </w:tcBorders>
            <w:shd w:val="clear" w:color="auto" w:fill="FFFFFF"/>
            <w:noWrap/>
            <w:vAlign w:val="center"/>
            <w:hideMark/>
          </w:tcPr>
          <w:p w14:paraId="24F6DA51" w14:textId="77777777" w:rsidR="00443B04" w:rsidRPr="00192FCB" w:rsidRDefault="00443B04" w:rsidP="009E7D18">
            <w:pPr>
              <w:pStyle w:val="NormalHanging12a"/>
            </w:pPr>
            <w:r w:rsidRPr="00192FCB">
              <w:t>-3,81%</w:t>
            </w:r>
          </w:p>
        </w:tc>
      </w:tr>
      <w:tr w:rsidR="00443B04" w:rsidRPr="00192FCB" w14:paraId="4F052475"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11BE896C" w14:textId="77777777" w:rsidR="00443B04" w:rsidRPr="00192FCB" w:rsidRDefault="00443B04" w:rsidP="009E7D18">
            <w:pPr>
              <w:pStyle w:val="NormalHanging12a"/>
            </w:pPr>
            <w:proofErr w:type="spellStart"/>
            <w:r w:rsidRPr="00192FCB">
              <w:t>Cedefop</w:t>
            </w:r>
            <w:proofErr w:type="spellEnd"/>
          </w:p>
        </w:tc>
        <w:tc>
          <w:tcPr>
            <w:tcW w:w="2126" w:type="dxa"/>
            <w:tcBorders>
              <w:top w:val="nil"/>
              <w:left w:val="nil"/>
              <w:bottom w:val="single" w:sz="4" w:space="0" w:color="auto"/>
              <w:right w:val="single" w:sz="4" w:space="0" w:color="auto"/>
            </w:tcBorders>
            <w:noWrap/>
            <w:vAlign w:val="bottom"/>
            <w:hideMark/>
          </w:tcPr>
          <w:p w14:paraId="55AAC036" w14:textId="77777777" w:rsidR="00443B04" w:rsidRPr="00192FCB" w:rsidRDefault="00443B04" w:rsidP="009E7D18">
            <w:pPr>
              <w:pStyle w:val="NormalHanging12a"/>
            </w:pPr>
            <w:r w:rsidRPr="00192FCB">
              <w:t>21 422 022,00 €</w:t>
            </w:r>
          </w:p>
        </w:tc>
        <w:tc>
          <w:tcPr>
            <w:tcW w:w="2126" w:type="dxa"/>
            <w:tcBorders>
              <w:top w:val="nil"/>
              <w:left w:val="nil"/>
              <w:bottom w:val="single" w:sz="4" w:space="0" w:color="auto"/>
              <w:right w:val="single" w:sz="4" w:space="0" w:color="auto"/>
            </w:tcBorders>
            <w:noWrap/>
            <w:vAlign w:val="bottom"/>
            <w:hideMark/>
          </w:tcPr>
          <w:p w14:paraId="129CB881" w14:textId="77777777" w:rsidR="00443B04" w:rsidRPr="00192FCB" w:rsidRDefault="00443B04" w:rsidP="009E7D18">
            <w:pPr>
              <w:pStyle w:val="NormalHanging12a"/>
            </w:pPr>
            <w:r w:rsidRPr="00192FCB">
              <w:t>20 140 610,00 €</w:t>
            </w:r>
          </w:p>
        </w:tc>
        <w:tc>
          <w:tcPr>
            <w:tcW w:w="2054" w:type="dxa"/>
            <w:tcBorders>
              <w:top w:val="nil"/>
              <w:left w:val="nil"/>
              <w:bottom w:val="single" w:sz="4" w:space="0" w:color="auto"/>
              <w:right w:val="single" w:sz="4" w:space="0" w:color="auto"/>
            </w:tcBorders>
            <w:shd w:val="clear" w:color="auto" w:fill="FFFFFF"/>
            <w:noWrap/>
            <w:vAlign w:val="center"/>
            <w:hideMark/>
          </w:tcPr>
          <w:p w14:paraId="215EDB05" w14:textId="77777777" w:rsidR="00443B04" w:rsidRPr="00192FCB" w:rsidRDefault="00443B04" w:rsidP="009E7D18">
            <w:pPr>
              <w:pStyle w:val="NormalHanging12a"/>
            </w:pPr>
            <w:r w:rsidRPr="00192FCB">
              <w:t>6,36%</w:t>
            </w:r>
          </w:p>
        </w:tc>
      </w:tr>
      <w:tr w:rsidR="00443B04" w:rsidRPr="00192FCB" w14:paraId="42CF55C6"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13548DF3" w14:textId="77777777" w:rsidR="00443B04" w:rsidRPr="00192FCB" w:rsidRDefault="00443B04" w:rsidP="009E7D18">
            <w:pPr>
              <w:pStyle w:val="NormalHanging12a"/>
            </w:pPr>
            <w:r w:rsidRPr="00192FCB">
              <w:t>CEPOL</w:t>
            </w:r>
          </w:p>
        </w:tc>
        <w:tc>
          <w:tcPr>
            <w:tcW w:w="2126" w:type="dxa"/>
            <w:tcBorders>
              <w:top w:val="nil"/>
              <w:left w:val="nil"/>
              <w:bottom w:val="single" w:sz="4" w:space="0" w:color="auto"/>
              <w:right w:val="single" w:sz="4" w:space="0" w:color="auto"/>
            </w:tcBorders>
            <w:noWrap/>
            <w:vAlign w:val="bottom"/>
            <w:hideMark/>
          </w:tcPr>
          <w:p w14:paraId="2DD656E8" w14:textId="77777777" w:rsidR="00443B04" w:rsidRPr="00192FCB" w:rsidRDefault="00443B04" w:rsidP="009E7D18">
            <w:pPr>
              <w:pStyle w:val="NormalHanging12a"/>
            </w:pPr>
            <w:r w:rsidRPr="00192FCB">
              <w:t>12 589 437,00 €</w:t>
            </w:r>
          </w:p>
        </w:tc>
        <w:tc>
          <w:tcPr>
            <w:tcW w:w="2126" w:type="dxa"/>
            <w:tcBorders>
              <w:top w:val="nil"/>
              <w:left w:val="nil"/>
              <w:bottom w:val="single" w:sz="4" w:space="0" w:color="auto"/>
              <w:right w:val="single" w:sz="4" w:space="0" w:color="auto"/>
            </w:tcBorders>
            <w:noWrap/>
            <w:vAlign w:val="bottom"/>
            <w:hideMark/>
          </w:tcPr>
          <w:p w14:paraId="12D0BB88" w14:textId="77777777" w:rsidR="00443B04" w:rsidRPr="00192FCB" w:rsidRDefault="00443B04" w:rsidP="009E7D18">
            <w:pPr>
              <w:pStyle w:val="NormalHanging12a"/>
            </w:pPr>
            <w:r w:rsidRPr="00192FCB">
              <w:t>14 211 723,00 €</w:t>
            </w:r>
          </w:p>
        </w:tc>
        <w:tc>
          <w:tcPr>
            <w:tcW w:w="2054" w:type="dxa"/>
            <w:tcBorders>
              <w:top w:val="nil"/>
              <w:left w:val="nil"/>
              <w:bottom w:val="single" w:sz="4" w:space="0" w:color="auto"/>
              <w:right w:val="single" w:sz="4" w:space="0" w:color="auto"/>
            </w:tcBorders>
            <w:shd w:val="clear" w:color="auto" w:fill="FFFFFF"/>
            <w:noWrap/>
            <w:vAlign w:val="center"/>
            <w:hideMark/>
          </w:tcPr>
          <w:p w14:paraId="6CB6FB30" w14:textId="77777777" w:rsidR="00443B04" w:rsidRPr="00192FCB" w:rsidRDefault="00443B04" w:rsidP="009E7D18">
            <w:pPr>
              <w:pStyle w:val="NormalHanging12a"/>
            </w:pPr>
            <w:r w:rsidRPr="00192FCB">
              <w:t>-11,42%</w:t>
            </w:r>
          </w:p>
        </w:tc>
      </w:tr>
      <w:tr w:rsidR="00443B04" w:rsidRPr="00192FCB" w14:paraId="611EA623"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271A7827" w14:textId="77777777" w:rsidR="00443B04" w:rsidRPr="00192FCB" w:rsidRDefault="00443B04" w:rsidP="009E7D18">
            <w:pPr>
              <w:pStyle w:val="NormalHanging12a"/>
            </w:pPr>
            <w:r w:rsidRPr="00192FCB">
              <w:t>ЕААБ</w:t>
            </w:r>
            <w:r w:rsidRPr="00192FCB">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3D80473C" w14:textId="77777777" w:rsidR="00443B04" w:rsidRPr="00192FCB" w:rsidRDefault="00443B04" w:rsidP="009E7D18">
            <w:pPr>
              <w:pStyle w:val="NormalHanging12a"/>
            </w:pPr>
            <w:r w:rsidRPr="00192FCB">
              <w:t>183 306 903,00 €</w:t>
            </w:r>
          </w:p>
        </w:tc>
        <w:tc>
          <w:tcPr>
            <w:tcW w:w="2126" w:type="dxa"/>
            <w:tcBorders>
              <w:top w:val="nil"/>
              <w:left w:val="nil"/>
              <w:bottom w:val="single" w:sz="4" w:space="0" w:color="auto"/>
              <w:right w:val="single" w:sz="4" w:space="0" w:color="auto"/>
            </w:tcBorders>
            <w:noWrap/>
            <w:vAlign w:val="bottom"/>
            <w:hideMark/>
          </w:tcPr>
          <w:p w14:paraId="7D39A52E" w14:textId="77777777" w:rsidR="00443B04" w:rsidRPr="00192FCB" w:rsidRDefault="00443B04" w:rsidP="009E7D18">
            <w:pPr>
              <w:pStyle w:val="NormalHanging12a"/>
            </w:pPr>
            <w:r w:rsidRPr="00192FCB">
              <w:t>169 665 375,00 €</w:t>
            </w:r>
          </w:p>
        </w:tc>
        <w:tc>
          <w:tcPr>
            <w:tcW w:w="2054" w:type="dxa"/>
            <w:tcBorders>
              <w:top w:val="nil"/>
              <w:left w:val="nil"/>
              <w:bottom w:val="single" w:sz="4" w:space="0" w:color="auto"/>
              <w:right w:val="single" w:sz="4" w:space="0" w:color="auto"/>
            </w:tcBorders>
            <w:shd w:val="clear" w:color="auto" w:fill="FFFFFF"/>
            <w:noWrap/>
            <w:vAlign w:val="center"/>
            <w:hideMark/>
          </w:tcPr>
          <w:p w14:paraId="2782D47E" w14:textId="77777777" w:rsidR="00443B04" w:rsidRPr="00192FCB" w:rsidRDefault="00443B04" w:rsidP="009E7D18">
            <w:pPr>
              <w:pStyle w:val="NormalHanging12a"/>
            </w:pPr>
            <w:r w:rsidRPr="00192FCB">
              <w:t>8,04%</w:t>
            </w:r>
          </w:p>
        </w:tc>
      </w:tr>
      <w:tr w:rsidR="00443B04" w:rsidRPr="00192FCB" w14:paraId="3BB6330E"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6FD867AD" w14:textId="77777777" w:rsidR="00443B04" w:rsidRPr="00192FCB" w:rsidRDefault="00443B04" w:rsidP="009E7D18">
            <w:pPr>
              <w:pStyle w:val="NormalHanging12a"/>
            </w:pPr>
            <w:r w:rsidRPr="00192FCB">
              <w:t>EБО</w:t>
            </w:r>
          </w:p>
        </w:tc>
        <w:tc>
          <w:tcPr>
            <w:tcW w:w="2126" w:type="dxa"/>
            <w:tcBorders>
              <w:top w:val="nil"/>
              <w:left w:val="nil"/>
              <w:bottom w:val="single" w:sz="4" w:space="0" w:color="auto"/>
              <w:right w:val="single" w:sz="4" w:space="0" w:color="auto"/>
            </w:tcBorders>
            <w:noWrap/>
            <w:vAlign w:val="bottom"/>
            <w:hideMark/>
          </w:tcPr>
          <w:p w14:paraId="5C0E4551" w14:textId="77777777" w:rsidR="00443B04" w:rsidRPr="00192FCB" w:rsidRDefault="00443B04" w:rsidP="009E7D18">
            <w:pPr>
              <w:pStyle w:val="NormalHanging12a"/>
            </w:pPr>
            <w:r w:rsidRPr="00192FCB">
              <w:t>56 906 201,00 €</w:t>
            </w:r>
          </w:p>
        </w:tc>
        <w:tc>
          <w:tcPr>
            <w:tcW w:w="2126" w:type="dxa"/>
            <w:tcBorders>
              <w:top w:val="nil"/>
              <w:left w:val="nil"/>
              <w:bottom w:val="single" w:sz="4" w:space="0" w:color="auto"/>
              <w:right w:val="single" w:sz="4" w:space="0" w:color="auto"/>
            </w:tcBorders>
            <w:noWrap/>
            <w:vAlign w:val="bottom"/>
            <w:hideMark/>
          </w:tcPr>
          <w:p w14:paraId="2A861CCD" w14:textId="77777777" w:rsidR="00443B04" w:rsidRPr="00192FCB" w:rsidRDefault="00443B04" w:rsidP="009E7D18">
            <w:pPr>
              <w:pStyle w:val="NormalHanging12a"/>
            </w:pPr>
            <w:r w:rsidRPr="00192FCB">
              <w:t>52 672 001,66 €</w:t>
            </w:r>
          </w:p>
        </w:tc>
        <w:tc>
          <w:tcPr>
            <w:tcW w:w="2054" w:type="dxa"/>
            <w:tcBorders>
              <w:top w:val="nil"/>
              <w:left w:val="nil"/>
              <w:bottom w:val="single" w:sz="4" w:space="0" w:color="auto"/>
              <w:right w:val="single" w:sz="4" w:space="0" w:color="auto"/>
            </w:tcBorders>
            <w:shd w:val="clear" w:color="auto" w:fill="FFFFFF"/>
            <w:noWrap/>
            <w:vAlign w:val="center"/>
            <w:hideMark/>
          </w:tcPr>
          <w:p w14:paraId="760BBF48" w14:textId="77777777" w:rsidR="00443B04" w:rsidRPr="00192FCB" w:rsidRDefault="00443B04" w:rsidP="009E7D18">
            <w:pPr>
              <w:pStyle w:val="NormalHanging12a"/>
            </w:pPr>
            <w:r w:rsidRPr="00192FCB">
              <w:t>8,04%</w:t>
            </w:r>
          </w:p>
        </w:tc>
      </w:tr>
      <w:tr w:rsidR="00443B04" w:rsidRPr="00192FCB" w14:paraId="23D83770"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57D16A57" w14:textId="77777777" w:rsidR="00443B04" w:rsidRPr="00192FCB" w:rsidRDefault="00443B04" w:rsidP="009E7D18">
            <w:pPr>
              <w:pStyle w:val="NormalHanging12a"/>
            </w:pPr>
            <w:r w:rsidRPr="00192FCB">
              <w:t>ECDC</w:t>
            </w:r>
          </w:p>
        </w:tc>
        <w:tc>
          <w:tcPr>
            <w:tcW w:w="2126" w:type="dxa"/>
            <w:tcBorders>
              <w:top w:val="nil"/>
              <w:left w:val="nil"/>
              <w:bottom w:val="single" w:sz="4" w:space="0" w:color="auto"/>
              <w:right w:val="single" w:sz="4" w:space="0" w:color="auto"/>
            </w:tcBorders>
            <w:noWrap/>
            <w:vAlign w:val="bottom"/>
            <w:hideMark/>
          </w:tcPr>
          <w:p w14:paraId="17E965AC" w14:textId="77777777" w:rsidR="00443B04" w:rsidRPr="00192FCB" w:rsidRDefault="00443B04" w:rsidP="009E7D18">
            <w:pPr>
              <w:pStyle w:val="NormalHanging12a"/>
            </w:pPr>
            <w:r w:rsidRPr="00192FCB">
              <w:t>111 257 449,00 €</w:t>
            </w:r>
          </w:p>
        </w:tc>
        <w:tc>
          <w:tcPr>
            <w:tcW w:w="2126" w:type="dxa"/>
            <w:tcBorders>
              <w:top w:val="nil"/>
              <w:left w:val="nil"/>
              <w:bottom w:val="single" w:sz="4" w:space="0" w:color="auto"/>
              <w:right w:val="single" w:sz="4" w:space="0" w:color="auto"/>
            </w:tcBorders>
            <w:noWrap/>
            <w:vAlign w:val="bottom"/>
            <w:hideMark/>
          </w:tcPr>
          <w:p w14:paraId="6FEE37B2" w14:textId="77777777" w:rsidR="00443B04" w:rsidRPr="00192FCB" w:rsidRDefault="00443B04" w:rsidP="009E7D18">
            <w:pPr>
              <w:pStyle w:val="NormalHanging12a"/>
            </w:pPr>
            <w:r w:rsidRPr="00192FCB">
              <w:t>102 526 724,00 €</w:t>
            </w:r>
          </w:p>
        </w:tc>
        <w:tc>
          <w:tcPr>
            <w:tcW w:w="2054" w:type="dxa"/>
            <w:tcBorders>
              <w:top w:val="nil"/>
              <w:left w:val="nil"/>
              <w:bottom w:val="single" w:sz="4" w:space="0" w:color="auto"/>
              <w:right w:val="single" w:sz="4" w:space="0" w:color="auto"/>
            </w:tcBorders>
            <w:shd w:val="clear" w:color="auto" w:fill="FFFFFF"/>
            <w:noWrap/>
            <w:vAlign w:val="center"/>
            <w:hideMark/>
          </w:tcPr>
          <w:p w14:paraId="20DB9B0E" w14:textId="77777777" w:rsidR="00443B04" w:rsidRPr="00192FCB" w:rsidRDefault="00443B04" w:rsidP="009E7D18">
            <w:pPr>
              <w:pStyle w:val="NormalHanging12a"/>
            </w:pPr>
            <w:r w:rsidRPr="00192FCB">
              <w:t>8,52%</w:t>
            </w:r>
          </w:p>
        </w:tc>
      </w:tr>
      <w:tr w:rsidR="00443B04" w:rsidRPr="00192FCB" w14:paraId="41247283"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38D384E0" w14:textId="77777777" w:rsidR="00443B04" w:rsidRPr="00192FCB" w:rsidRDefault="00443B04" w:rsidP="009E7D18">
            <w:pPr>
              <w:pStyle w:val="NormalHanging12a"/>
            </w:pPr>
            <w:r w:rsidRPr="00192FCB">
              <w:t xml:space="preserve">ECHA </w:t>
            </w:r>
          </w:p>
        </w:tc>
        <w:tc>
          <w:tcPr>
            <w:tcW w:w="2126" w:type="dxa"/>
            <w:tcBorders>
              <w:top w:val="nil"/>
              <w:left w:val="nil"/>
              <w:bottom w:val="single" w:sz="4" w:space="0" w:color="auto"/>
              <w:right w:val="single" w:sz="4" w:space="0" w:color="auto"/>
            </w:tcBorders>
            <w:noWrap/>
            <w:vAlign w:val="bottom"/>
            <w:hideMark/>
          </w:tcPr>
          <w:p w14:paraId="259D6044" w14:textId="77777777" w:rsidR="00443B04" w:rsidRPr="00192FCB" w:rsidRDefault="00443B04" w:rsidP="009E7D18">
            <w:pPr>
              <w:pStyle w:val="NormalHanging12a"/>
            </w:pPr>
            <w:r w:rsidRPr="00192FCB">
              <w:t>128 712 666,00 €</w:t>
            </w:r>
          </w:p>
        </w:tc>
        <w:tc>
          <w:tcPr>
            <w:tcW w:w="2126" w:type="dxa"/>
            <w:tcBorders>
              <w:top w:val="nil"/>
              <w:left w:val="nil"/>
              <w:bottom w:val="single" w:sz="4" w:space="0" w:color="auto"/>
              <w:right w:val="single" w:sz="4" w:space="0" w:color="auto"/>
            </w:tcBorders>
            <w:noWrap/>
            <w:vAlign w:val="bottom"/>
            <w:hideMark/>
          </w:tcPr>
          <w:p w14:paraId="2182D0D8" w14:textId="77777777" w:rsidR="00443B04" w:rsidRPr="00192FCB" w:rsidRDefault="00443B04" w:rsidP="009E7D18">
            <w:pPr>
              <w:pStyle w:val="NormalHanging12a"/>
            </w:pPr>
            <w:r w:rsidRPr="00192FCB">
              <w:t>123 280 140,00 €</w:t>
            </w:r>
          </w:p>
        </w:tc>
        <w:tc>
          <w:tcPr>
            <w:tcW w:w="2054" w:type="dxa"/>
            <w:tcBorders>
              <w:top w:val="nil"/>
              <w:left w:val="nil"/>
              <w:bottom w:val="single" w:sz="4" w:space="0" w:color="auto"/>
              <w:right w:val="single" w:sz="4" w:space="0" w:color="auto"/>
            </w:tcBorders>
            <w:shd w:val="clear" w:color="auto" w:fill="FFFFFF"/>
            <w:noWrap/>
            <w:vAlign w:val="center"/>
            <w:hideMark/>
          </w:tcPr>
          <w:p w14:paraId="3292B487" w14:textId="77777777" w:rsidR="00443B04" w:rsidRPr="00192FCB" w:rsidRDefault="00443B04" w:rsidP="009E7D18">
            <w:pPr>
              <w:pStyle w:val="NormalHanging12a"/>
            </w:pPr>
            <w:r w:rsidRPr="00192FCB">
              <w:t>4,41%</w:t>
            </w:r>
          </w:p>
        </w:tc>
      </w:tr>
      <w:tr w:rsidR="00443B04" w:rsidRPr="00192FCB" w14:paraId="768D9F2E"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2E49F2C4" w14:textId="77777777" w:rsidR="00443B04" w:rsidRPr="00192FCB" w:rsidRDefault="00443B04" w:rsidP="009E7D18">
            <w:pPr>
              <w:pStyle w:val="NormalHanging12a"/>
            </w:pPr>
            <w:r w:rsidRPr="00192FCB">
              <w:t>ЕАОС</w:t>
            </w:r>
            <w:r w:rsidRPr="00192FCB">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65F3279C" w14:textId="77777777" w:rsidR="00443B04" w:rsidRPr="00192FCB" w:rsidRDefault="00443B04" w:rsidP="009E7D18">
            <w:pPr>
              <w:pStyle w:val="NormalHanging12a"/>
            </w:pPr>
            <w:r w:rsidRPr="00192FCB">
              <w:t>101 655 603,00 €</w:t>
            </w:r>
          </w:p>
        </w:tc>
        <w:tc>
          <w:tcPr>
            <w:tcW w:w="2126" w:type="dxa"/>
            <w:tcBorders>
              <w:top w:val="nil"/>
              <w:left w:val="nil"/>
              <w:bottom w:val="single" w:sz="4" w:space="0" w:color="auto"/>
              <w:right w:val="single" w:sz="4" w:space="0" w:color="auto"/>
            </w:tcBorders>
            <w:noWrap/>
            <w:vAlign w:val="bottom"/>
            <w:hideMark/>
          </w:tcPr>
          <w:p w14:paraId="3C4386C8" w14:textId="77777777" w:rsidR="00443B04" w:rsidRPr="00192FCB" w:rsidRDefault="00443B04" w:rsidP="009E7D18">
            <w:pPr>
              <w:pStyle w:val="NormalHanging12a"/>
            </w:pPr>
            <w:r w:rsidRPr="00192FCB">
              <w:t>76 114 130,00 €</w:t>
            </w:r>
          </w:p>
        </w:tc>
        <w:tc>
          <w:tcPr>
            <w:tcW w:w="2054" w:type="dxa"/>
            <w:tcBorders>
              <w:top w:val="nil"/>
              <w:left w:val="nil"/>
              <w:bottom w:val="single" w:sz="4" w:space="0" w:color="auto"/>
              <w:right w:val="single" w:sz="4" w:space="0" w:color="auto"/>
            </w:tcBorders>
            <w:shd w:val="clear" w:color="auto" w:fill="FFFFFF"/>
            <w:noWrap/>
            <w:vAlign w:val="center"/>
            <w:hideMark/>
          </w:tcPr>
          <w:p w14:paraId="05966AD8" w14:textId="77777777" w:rsidR="00443B04" w:rsidRPr="00192FCB" w:rsidRDefault="00443B04" w:rsidP="009E7D18">
            <w:pPr>
              <w:pStyle w:val="NormalHanging12a"/>
            </w:pPr>
            <w:r w:rsidRPr="00192FCB">
              <w:t>33,56%</w:t>
            </w:r>
          </w:p>
        </w:tc>
      </w:tr>
      <w:tr w:rsidR="00443B04" w:rsidRPr="00192FCB" w14:paraId="037AD817"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3220A930" w14:textId="77777777" w:rsidR="00443B04" w:rsidRPr="00192FCB" w:rsidRDefault="00443B04" w:rsidP="009E7D18">
            <w:pPr>
              <w:pStyle w:val="NormalHanging12a"/>
            </w:pPr>
            <w:r w:rsidRPr="00192FCB">
              <w:lastRenderedPageBreak/>
              <w:t>EFCA</w:t>
            </w:r>
          </w:p>
        </w:tc>
        <w:tc>
          <w:tcPr>
            <w:tcW w:w="2126" w:type="dxa"/>
            <w:tcBorders>
              <w:top w:val="nil"/>
              <w:left w:val="nil"/>
              <w:bottom w:val="single" w:sz="4" w:space="0" w:color="auto"/>
              <w:right w:val="single" w:sz="4" w:space="0" w:color="auto"/>
            </w:tcBorders>
            <w:noWrap/>
            <w:vAlign w:val="bottom"/>
            <w:hideMark/>
          </w:tcPr>
          <w:p w14:paraId="2A076B7C" w14:textId="77777777" w:rsidR="00443B04" w:rsidRPr="00192FCB" w:rsidRDefault="00443B04" w:rsidP="009E7D18">
            <w:pPr>
              <w:pStyle w:val="NormalHanging12a"/>
            </w:pPr>
            <w:r w:rsidRPr="00192FCB">
              <w:t>30 793 032,00 €</w:t>
            </w:r>
          </w:p>
        </w:tc>
        <w:tc>
          <w:tcPr>
            <w:tcW w:w="2126" w:type="dxa"/>
            <w:tcBorders>
              <w:top w:val="nil"/>
              <w:left w:val="nil"/>
              <w:bottom w:val="single" w:sz="4" w:space="0" w:color="auto"/>
              <w:right w:val="single" w:sz="4" w:space="0" w:color="auto"/>
            </w:tcBorders>
            <w:noWrap/>
            <w:vAlign w:val="bottom"/>
            <w:hideMark/>
          </w:tcPr>
          <w:p w14:paraId="79B32DBD" w14:textId="77777777" w:rsidR="00443B04" w:rsidRPr="00192FCB" w:rsidRDefault="00443B04" w:rsidP="009E7D18">
            <w:pPr>
              <w:pStyle w:val="NormalHanging12a"/>
            </w:pPr>
            <w:r w:rsidRPr="00192FCB">
              <w:t>30 862 554,00 €</w:t>
            </w:r>
          </w:p>
        </w:tc>
        <w:tc>
          <w:tcPr>
            <w:tcW w:w="2054" w:type="dxa"/>
            <w:tcBorders>
              <w:top w:val="nil"/>
              <w:left w:val="nil"/>
              <w:bottom w:val="single" w:sz="4" w:space="0" w:color="auto"/>
              <w:right w:val="single" w:sz="4" w:space="0" w:color="auto"/>
            </w:tcBorders>
            <w:shd w:val="clear" w:color="auto" w:fill="FFFFFF"/>
            <w:noWrap/>
            <w:vAlign w:val="center"/>
            <w:hideMark/>
          </w:tcPr>
          <w:p w14:paraId="69EEA69E" w14:textId="77777777" w:rsidR="00443B04" w:rsidRPr="00192FCB" w:rsidRDefault="00443B04" w:rsidP="009E7D18">
            <w:pPr>
              <w:pStyle w:val="NormalHanging12a"/>
            </w:pPr>
            <w:r w:rsidRPr="00192FCB">
              <w:t>-0,23%</w:t>
            </w:r>
          </w:p>
        </w:tc>
      </w:tr>
      <w:tr w:rsidR="00443B04" w:rsidRPr="00192FCB" w14:paraId="765018FE"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1AC091EC" w14:textId="77777777" w:rsidR="00443B04" w:rsidRPr="00192FCB" w:rsidRDefault="00443B04" w:rsidP="009E7D18">
            <w:pPr>
              <w:pStyle w:val="NormalHanging12a"/>
            </w:pPr>
            <w:r w:rsidRPr="00192FCB">
              <w:t>ЕОБХ</w:t>
            </w:r>
          </w:p>
        </w:tc>
        <w:tc>
          <w:tcPr>
            <w:tcW w:w="2126" w:type="dxa"/>
            <w:tcBorders>
              <w:top w:val="nil"/>
              <w:left w:val="nil"/>
              <w:bottom w:val="single" w:sz="4" w:space="0" w:color="auto"/>
              <w:right w:val="single" w:sz="4" w:space="0" w:color="auto"/>
            </w:tcBorders>
            <w:noWrap/>
            <w:vAlign w:val="bottom"/>
            <w:hideMark/>
          </w:tcPr>
          <w:p w14:paraId="68AABA9D" w14:textId="77777777" w:rsidR="00443B04" w:rsidRPr="00192FCB" w:rsidRDefault="00443B04" w:rsidP="009E7D18">
            <w:pPr>
              <w:pStyle w:val="NormalHanging12a"/>
            </w:pPr>
            <w:r w:rsidRPr="00192FCB">
              <w:t>154 939 697,00 €</w:t>
            </w:r>
          </w:p>
        </w:tc>
        <w:tc>
          <w:tcPr>
            <w:tcW w:w="2126" w:type="dxa"/>
            <w:tcBorders>
              <w:top w:val="nil"/>
              <w:left w:val="nil"/>
              <w:bottom w:val="single" w:sz="4" w:space="0" w:color="auto"/>
              <w:right w:val="single" w:sz="4" w:space="0" w:color="auto"/>
            </w:tcBorders>
            <w:noWrap/>
            <w:vAlign w:val="bottom"/>
            <w:hideMark/>
          </w:tcPr>
          <w:p w14:paraId="78C5F57E" w14:textId="77777777" w:rsidR="00443B04" w:rsidRPr="00192FCB" w:rsidRDefault="00443B04" w:rsidP="009E7D18">
            <w:pPr>
              <w:pStyle w:val="NormalHanging12a"/>
            </w:pPr>
            <w:r w:rsidRPr="00192FCB">
              <w:t>148 954 729,00 €</w:t>
            </w:r>
          </w:p>
        </w:tc>
        <w:tc>
          <w:tcPr>
            <w:tcW w:w="2054" w:type="dxa"/>
            <w:tcBorders>
              <w:top w:val="nil"/>
              <w:left w:val="nil"/>
              <w:bottom w:val="single" w:sz="4" w:space="0" w:color="auto"/>
              <w:right w:val="single" w:sz="4" w:space="0" w:color="auto"/>
            </w:tcBorders>
            <w:shd w:val="clear" w:color="auto" w:fill="FFFFFF"/>
            <w:noWrap/>
            <w:vAlign w:val="center"/>
            <w:hideMark/>
          </w:tcPr>
          <w:p w14:paraId="5D67E885" w14:textId="77777777" w:rsidR="00443B04" w:rsidRPr="00192FCB" w:rsidRDefault="00443B04" w:rsidP="009E7D18">
            <w:pPr>
              <w:pStyle w:val="NormalHanging12a"/>
            </w:pPr>
            <w:r w:rsidRPr="00192FCB">
              <w:t>4,02%</w:t>
            </w:r>
          </w:p>
        </w:tc>
      </w:tr>
      <w:tr w:rsidR="00443B04" w:rsidRPr="00192FCB" w14:paraId="21F1965A"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79DBD0F0" w14:textId="77777777" w:rsidR="00443B04" w:rsidRPr="00192FCB" w:rsidRDefault="00443B04" w:rsidP="009E7D18">
            <w:pPr>
              <w:pStyle w:val="NormalHanging12a"/>
            </w:pPr>
            <w:r w:rsidRPr="00192FCB">
              <w:t xml:space="preserve">EIGE </w:t>
            </w:r>
          </w:p>
        </w:tc>
        <w:tc>
          <w:tcPr>
            <w:tcW w:w="2126" w:type="dxa"/>
            <w:tcBorders>
              <w:top w:val="nil"/>
              <w:left w:val="nil"/>
              <w:bottom w:val="single" w:sz="4" w:space="0" w:color="auto"/>
              <w:right w:val="single" w:sz="4" w:space="0" w:color="auto"/>
            </w:tcBorders>
            <w:noWrap/>
            <w:vAlign w:val="bottom"/>
            <w:hideMark/>
          </w:tcPr>
          <w:p w14:paraId="00EB9362" w14:textId="77777777" w:rsidR="00443B04" w:rsidRPr="00192FCB" w:rsidRDefault="00443B04" w:rsidP="009E7D18">
            <w:pPr>
              <w:pStyle w:val="NormalHanging12a"/>
            </w:pPr>
            <w:r w:rsidRPr="00192FCB">
              <w:t>9 432 057,00 €</w:t>
            </w:r>
          </w:p>
        </w:tc>
        <w:tc>
          <w:tcPr>
            <w:tcW w:w="2126" w:type="dxa"/>
            <w:tcBorders>
              <w:top w:val="nil"/>
              <w:left w:val="nil"/>
              <w:bottom w:val="single" w:sz="4" w:space="0" w:color="auto"/>
              <w:right w:val="single" w:sz="4" w:space="0" w:color="auto"/>
            </w:tcBorders>
            <w:noWrap/>
            <w:vAlign w:val="bottom"/>
            <w:hideMark/>
          </w:tcPr>
          <w:p w14:paraId="6881C461" w14:textId="77777777" w:rsidR="00443B04" w:rsidRPr="00192FCB" w:rsidRDefault="00443B04" w:rsidP="009E7D18">
            <w:pPr>
              <w:pStyle w:val="NormalHanging12a"/>
            </w:pPr>
            <w:r w:rsidRPr="00192FCB">
              <w:t>9 358 919,46 €</w:t>
            </w:r>
          </w:p>
        </w:tc>
        <w:tc>
          <w:tcPr>
            <w:tcW w:w="2054" w:type="dxa"/>
            <w:tcBorders>
              <w:top w:val="nil"/>
              <w:left w:val="nil"/>
              <w:bottom w:val="single" w:sz="4" w:space="0" w:color="auto"/>
              <w:right w:val="single" w:sz="4" w:space="0" w:color="auto"/>
            </w:tcBorders>
            <w:shd w:val="clear" w:color="auto" w:fill="FFFFFF"/>
            <w:noWrap/>
            <w:vAlign w:val="center"/>
            <w:hideMark/>
          </w:tcPr>
          <w:p w14:paraId="5557BCC4" w14:textId="77777777" w:rsidR="00443B04" w:rsidRPr="00192FCB" w:rsidRDefault="00443B04" w:rsidP="009E7D18">
            <w:pPr>
              <w:pStyle w:val="NormalHanging12a"/>
            </w:pPr>
            <w:r w:rsidRPr="00192FCB">
              <w:t>0,78%</w:t>
            </w:r>
          </w:p>
        </w:tc>
      </w:tr>
      <w:tr w:rsidR="00443B04" w:rsidRPr="00192FCB" w14:paraId="34689394"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C21CACB" w14:textId="77777777" w:rsidR="00443B04" w:rsidRPr="00192FCB" w:rsidRDefault="00443B04" w:rsidP="009E7D18">
            <w:pPr>
              <w:pStyle w:val="NormalHanging12a"/>
            </w:pPr>
            <w:r w:rsidRPr="00192FCB">
              <w:t xml:space="preserve">ЕОЗППО </w:t>
            </w:r>
          </w:p>
        </w:tc>
        <w:tc>
          <w:tcPr>
            <w:tcW w:w="2126" w:type="dxa"/>
            <w:tcBorders>
              <w:top w:val="nil"/>
              <w:left w:val="nil"/>
              <w:bottom w:val="single" w:sz="4" w:space="0" w:color="auto"/>
              <w:right w:val="single" w:sz="4" w:space="0" w:color="auto"/>
            </w:tcBorders>
            <w:noWrap/>
            <w:vAlign w:val="bottom"/>
            <w:hideMark/>
          </w:tcPr>
          <w:p w14:paraId="476DAE41" w14:textId="77777777" w:rsidR="00443B04" w:rsidRPr="00192FCB" w:rsidRDefault="00443B04" w:rsidP="009E7D18">
            <w:pPr>
              <w:pStyle w:val="NormalHanging12a"/>
            </w:pPr>
            <w:r w:rsidRPr="00192FCB">
              <w:t>37 561 192,00 €</w:t>
            </w:r>
          </w:p>
        </w:tc>
        <w:tc>
          <w:tcPr>
            <w:tcW w:w="2126" w:type="dxa"/>
            <w:tcBorders>
              <w:top w:val="nil"/>
              <w:left w:val="nil"/>
              <w:bottom w:val="single" w:sz="4" w:space="0" w:color="auto"/>
              <w:right w:val="single" w:sz="4" w:space="0" w:color="auto"/>
            </w:tcBorders>
            <w:noWrap/>
            <w:vAlign w:val="bottom"/>
            <w:hideMark/>
          </w:tcPr>
          <w:p w14:paraId="55C2CBA7" w14:textId="77777777" w:rsidR="00443B04" w:rsidRPr="00192FCB" w:rsidRDefault="00443B04" w:rsidP="009E7D18">
            <w:pPr>
              <w:pStyle w:val="NormalHanging12a"/>
            </w:pPr>
            <w:r w:rsidRPr="00192FCB">
              <w:t>36 714 492,00 €</w:t>
            </w:r>
          </w:p>
        </w:tc>
        <w:tc>
          <w:tcPr>
            <w:tcW w:w="2054" w:type="dxa"/>
            <w:tcBorders>
              <w:top w:val="nil"/>
              <w:left w:val="nil"/>
              <w:bottom w:val="single" w:sz="4" w:space="0" w:color="auto"/>
              <w:right w:val="single" w:sz="4" w:space="0" w:color="auto"/>
            </w:tcBorders>
            <w:shd w:val="clear" w:color="auto" w:fill="FFFFFF"/>
            <w:noWrap/>
            <w:vAlign w:val="center"/>
            <w:hideMark/>
          </w:tcPr>
          <w:p w14:paraId="2D0BAFEB" w14:textId="77777777" w:rsidR="00443B04" w:rsidRPr="00192FCB" w:rsidRDefault="00443B04" w:rsidP="009E7D18">
            <w:pPr>
              <w:pStyle w:val="NormalHanging12a"/>
            </w:pPr>
            <w:r w:rsidRPr="00192FCB">
              <w:t>2,31%</w:t>
            </w:r>
          </w:p>
        </w:tc>
      </w:tr>
      <w:tr w:rsidR="00443B04" w:rsidRPr="00192FCB" w14:paraId="44D99DC4"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2AF25A00" w14:textId="77777777" w:rsidR="00443B04" w:rsidRPr="00192FCB" w:rsidRDefault="00443B04" w:rsidP="009E7D18">
            <w:pPr>
              <w:pStyle w:val="NormalHanging12a"/>
            </w:pPr>
            <w:r w:rsidRPr="00192FCB">
              <w:t>EIT</w:t>
            </w:r>
          </w:p>
        </w:tc>
        <w:tc>
          <w:tcPr>
            <w:tcW w:w="2126" w:type="dxa"/>
            <w:tcBorders>
              <w:top w:val="nil"/>
              <w:left w:val="nil"/>
              <w:bottom w:val="single" w:sz="4" w:space="0" w:color="auto"/>
              <w:right w:val="single" w:sz="4" w:space="0" w:color="auto"/>
            </w:tcBorders>
            <w:noWrap/>
            <w:vAlign w:val="bottom"/>
            <w:hideMark/>
          </w:tcPr>
          <w:p w14:paraId="2E73858C" w14:textId="77777777" w:rsidR="00443B04" w:rsidRPr="00192FCB" w:rsidRDefault="00443B04" w:rsidP="009E7D18">
            <w:pPr>
              <w:pStyle w:val="NormalHanging12a"/>
            </w:pPr>
            <w:r w:rsidRPr="00192FCB">
              <w:t>463 576 047,00 €</w:t>
            </w:r>
          </w:p>
        </w:tc>
        <w:tc>
          <w:tcPr>
            <w:tcW w:w="2126" w:type="dxa"/>
            <w:tcBorders>
              <w:top w:val="nil"/>
              <w:left w:val="nil"/>
              <w:bottom w:val="single" w:sz="4" w:space="0" w:color="auto"/>
              <w:right w:val="single" w:sz="4" w:space="0" w:color="auto"/>
            </w:tcBorders>
            <w:noWrap/>
            <w:vAlign w:val="bottom"/>
            <w:hideMark/>
          </w:tcPr>
          <w:p w14:paraId="20D713A5" w14:textId="77777777" w:rsidR="00443B04" w:rsidRPr="00192FCB" w:rsidRDefault="00443B04" w:rsidP="009E7D18">
            <w:pPr>
              <w:pStyle w:val="NormalHanging12a"/>
            </w:pPr>
            <w:r w:rsidRPr="00192FCB">
              <w:t>367 607 241,00 €</w:t>
            </w:r>
          </w:p>
        </w:tc>
        <w:tc>
          <w:tcPr>
            <w:tcW w:w="2054" w:type="dxa"/>
            <w:tcBorders>
              <w:top w:val="nil"/>
              <w:left w:val="nil"/>
              <w:bottom w:val="single" w:sz="4" w:space="0" w:color="auto"/>
              <w:right w:val="single" w:sz="4" w:space="0" w:color="auto"/>
            </w:tcBorders>
            <w:shd w:val="clear" w:color="auto" w:fill="FFFFFF"/>
            <w:noWrap/>
            <w:vAlign w:val="center"/>
            <w:hideMark/>
          </w:tcPr>
          <w:p w14:paraId="761954DD" w14:textId="77777777" w:rsidR="00443B04" w:rsidRPr="00192FCB" w:rsidRDefault="00443B04" w:rsidP="009E7D18">
            <w:pPr>
              <w:pStyle w:val="NormalHanging12a"/>
            </w:pPr>
            <w:r w:rsidRPr="00192FCB">
              <w:t>26,11%</w:t>
            </w:r>
          </w:p>
        </w:tc>
      </w:tr>
      <w:tr w:rsidR="00443B04" w:rsidRPr="00192FCB" w14:paraId="27838B68"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6B864F3A" w14:textId="77777777" w:rsidR="00443B04" w:rsidRPr="00192FCB" w:rsidRDefault="00443B04" w:rsidP="009E7D18">
            <w:pPr>
              <w:pStyle w:val="NormalHanging12a"/>
            </w:pPr>
            <w:r w:rsidRPr="00192FCB">
              <w:t>ЕОТ</w:t>
            </w:r>
          </w:p>
        </w:tc>
        <w:tc>
          <w:tcPr>
            <w:tcW w:w="2126" w:type="dxa"/>
            <w:tcBorders>
              <w:top w:val="nil"/>
              <w:left w:val="nil"/>
              <w:bottom w:val="single" w:sz="4" w:space="0" w:color="auto"/>
              <w:right w:val="single" w:sz="4" w:space="0" w:color="auto"/>
            </w:tcBorders>
            <w:noWrap/>
            <w:vAlign w:val="bottom"/>
            <w:hideMark/>
          </w:tcPr>
          <w:p w14:paraId="1A9A5AE9" w14:textId="77777777" w:rsidR="00443B04" w:rsidRPr="00192FCB" w:rsidRDefault="00443B04" w:rsidP="009E7D18">
            <w:pPr>
              <w:pStyle w:val="NormalHanging12a"/>
            </w:pPr>
            <w:r w:rsidRPr="00192FCB">
              <w:t>48 693 555,00 €</w:t>
            </w:r>
          </w:p>
        </w:tc>
        <w:tc>
          <w:tcPr>
            <w:tcW w:w="2126" w:type="dxa"/>
            <w:tcBorders>
              <w:top w:val="nil"/>
              <w:left w:val="nil"/>
              <w:bottom w:val="single" w:sz="4" w:space="0" w:color="auto"/>
              <w:right w:val="single" w:sz="4" w:space="0" w:color="auto"/>
            </w:tcBorders>
            <w:noWrap/>
            <w:vAlign w:val="bottom"/>
            <w:hideMark/>
          </w:tcPr>
          <w:p w14:paraId="2E9E536B" w14:textId="77777777" w:rsidR="00443B04" w:rsidRPr="00192FCB" w:rsidRDefault="00443B04" w:rsidP="009E7D18">
            <w:pPr>
              <w:pStyle w:val="NormalHanging12a"/>
            </w:pPr>
            <w:r w:rsidRPr="00192FCB">
              <w:t>39 973 330,00 €</w:t>
            </w:r>
          </w:p>
        </w:tc>
        <w:tc>
          <w:tcPr>
            <w:tcW w:w="2054" w:type="dxa"/>
            <w:tcBorders>
              <w:top w:val="nil"/>
              <w:left w:val="nil"/>
              <w:bottom w:val="single" w:sz="4" w:space="0" w:color="auto"/>
              <w:right w:val="single" w:sz="4" w:space="0" w:color="auto"/>
            </w:tcBorders>
            <w:shd w:val="clear" w:color="auto" w:fill="FFFFFF"/>
            <w:noWrap/>
            <w:vAlign w:val="center"/>
            <w:hideMark/>
          </w:tcPr>
          <w:p w14:paraId="0AF3013F" w14:textId="77777777" w:rsidR="00443B04" w:rsidRPr="00192FCB" w:rsidRDefault="00443B04" w:rsidP="009E7D18">
            <w:pPr>
              <w:pStyle w:val="NormalHanging12a"/>
            </w:pPr>
            <w:r w:rsidRPr="00192FCB">
              <w:t>21,82%</w:t>
            </w:r>
          </w:p>
        </w:tc>
      </w:tr>
      <w:tr w:rsidR="00443B04" w:rsidRPr="00192FCB" w14:paraId="631E7EF5"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7C87CD20" w14:textId="77777777" w:rsidR="00443B04" w:rsidRPr="00192FCB" w:rsidRDefault="00443B04" w:rsidP="009E7D18">
            <w:pPr>
              <w:pStyle w:val="NormalHanging12a"/>
            </w:pPr>
            <w:r w:rsidRPr="00192FCB">
              <w:t xml:space="preserve">EMA </w:t>
            </w:r>
          </w:p>
        </w:tc>
        <w:tc>
          <w:tcPr>
            <w:tcW w:w="2126" w:type="dxa"/>
            <w:tcBorders>
              <w:top w:val="nil"/>
              <w:left w:val="nil"/>
              <w:bottom w:val="single" w:sz="4" w:space="0" w:color="auto"/>
              <w:right w:val="single" w:sz="4" w:space="0" w:color="auto"/>
            </w:tcBorders>
            <w:noWrap/>
            <w:vAlign w:val="bottom"/>
            <w:hideMark/>
          </w:tcPr>
          <w:p w14:paraId="00D5353F" w14:textId="77777777" w:rsidR="00443B04" w:rsidRPr="00192FCB" w:rsidRDefault="00443B04" w:rsidP="009E7D18">
            <w:pPr>
              <w:pStyle w:val="NormalHanging12a"/>
            </w:pPr>
            <w:r w:rsidRPr="00192FCB">
              <w:t>491 862 000,00 €</w:t>
            </w:r>
          </w:p>
        </w:tc>
        <w:tc>
          <w:tcPr>
            <w:tcW w:w="2126" w:type="dxa"/>
            <w:tcBorders>
              <w:top w:val="nil"/>
              <w:left w:val="nil"/>
              <w:bottom w:val="single" w:sz="4" w:space="0" w:color="auto"/>
              <w:right w:val="single" w:sz="4" w:space="0" w:color="auto"/>
            </w:tcBorders>
            <w:noWrap/>
            <w:vAlign w:val="bottom"/>
            <w:hideMark/>
          </w:tcPr>
          <w:p w14:paraId="0E6865AA" w14:textId="77777777" w:rsidR="00443B04" w:rsidRPr="00192FCB" w:rsidRDefault="00443B04" w:rsidP="009E7D18">
            <w:pPr>
              <w:pStyle w:val="NormalHanging12a"/>
            </w:pPr>
            <w:r w:rsidRPr="00192FCB">
              <w:t>448 603 000,00 €</w:t>
            </w:r>
          </w:p>
        </w:tc>
        <w:tc>
          <w:tcPr>
            <w:tcW w:w="2054" w:type="dxa"/>
            <w:tcBorders>
              <w:top w:val="nil"/>
              <w:left w:val="nil"/>
              <w:bottom w:val="single" w:sz="4" w:space="0" w:color="auto"/>
              <w:right w:val="single" w:sz="4" w:space="0" w:color="auto"/>
            </w:tcBorders>
            <w:shd w:val="clear" w:color="auto" w:fill="FFFFFF"/>
            <w:noWrap/>
            <w:vAlign w:val="center"/>
            <w:hideMark/>
          </w:tcPr>
          <w:p w14:paraId="5610F1F1" w14:textId="77777777" w:rsidR="00443B04" w:rsidRPr="00192FCB" w:rsidRDefault="00443B04" w:rsidP="009E7D18">
            <w:pPr>
              <w:pStyle w:val="NormalHanging12a"/>
            </w:pPr>
            <w:r w:rsidRPr="00192FCB">
              <w:t>9,64%</w:t>
            </w:r>
          </w:p>
        </w:tc>
      </w:tr>
      <w:tr w:rsidR="00443B04" w:rsidRPr="00192FCB" w14:paraId="6C286E9F"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23F95B6A" w14:textId="77777777" w:rsidR="00443B04" w:rsidRPr="00192FCB" w:rsidRDefault="00443B04" w:rsidP="009E7D18">
            <w:pPr>
              <w:pStyle w:val="NormalHanging12a"/>
            </w:pPr>
            <w:r w:rsidRPr="00192FCB">
              <w:t>ЕАМБ</w:t>
            </w:r>
          </w:p>
        </w:tc>
        <w:tc>
          <w:tcPr>
            <w:tcW w:w="2126" w:type="dxa"/>
            <w:tcBorders>
              <w:top w:val="nil"/>
              <w:left w:val="nil"/>
              <w:bottom w:val="single" w:sz="4" w:space="0" w:color="auto"/>
              <w:right w:val="single" w:sz="4" w:space="0" w:color="auto"/>
            </w:tcBorders>
            <w:noWrap/>
            <w:vAlign w:val="bottom"/>
            <w:hideMark/>
          </w:tcPr>
          <w:p w14:paraId="3034C641" w14:textId="77777777" w:rsidR="00443B04" w:rsidRPr="00192FCB" w:rsidRDefault="00443B04" w:rsidP="009E7D18">
            <w:pPr>
              <w:pStyle w:val="NormalHanging12a"/>
            </w:pPr>
            <w:r w:rsidRPr="00192FCB">
              <w:t>121 648 764,00 €</w:t>
            </w:r>
          </w:p>
        </w:tc>
        <w:tc>
          <w:tcPr>
            <w:tcW w:w="2126" w:type="dxa"/>
            <w:tcBorders>
              <w:top w:val="nil"/>
              <w:left w:val="nil"/>
              <w:bottom w:val="single" w:sz="4" w:space="0" w:color="auto"/>
              <w:right w:val="single" w:sz="4" w:space="0" w:color="auto"/>
            </w:tcBorders>
            <w:noWrap/>
            <w:vAlign w:val="bottom"/>
            <w:hideMark/>
          </w:tcPr>
          <w:p w14:paraId="73A66FCC" w14:textId="77777777" w:rsidR="00443B04" w:rsidRPr="00192FCB" w:rsidRDefault="00443B04" w:rsidP="009E7D18">
            <w:pPr>
              <w:pStyle w:val="NormalHanging12a"/>
            </w:pPr>
            <w:r w:rsidRPr="00192FCB">
              <w:t>111 954 231,00 €</w:t>
            </w:r>
          </w:p>
        </w:tc>
        <w:tc>
          <w:tcPr>
            <w:tcW w:w="2054" w:type="dxa"/>
            <w:tcBorders>
              <w:top w:val="nil"/>
              <w:left w:val="nil"/>
              <w:bottom w:val="single" w:sz="4" w:space="0" w:color="auto"/>
              <w:right w:val="single" w:sz="4" w:space="0" w:color="auto"/>
            </w:tcBorders>
            <w:shd w:val="clear" w:color="auto" w:fill="FFFFFF"/>
            <w:noWrap/>
            <w:vAlign w:val="center"/>
            <w:hideMark/>
          </w:tcPr>
          <w:p w14:paraId="531BCA30" w14:textId="77777777" w:rsidR="00443B04" w:rsidRPr="00192FCB" w:rsidRDefault="00443B04" w:rsidP="009E7D18">
            <w:pPr>
              <w:pStyle w:val="NormalHanging12a"/>
            </w:pPr>
            <w:r w:rsidRPr="00192FCB">
              <w:t>8,66%</w:t>
            </w:r>
          </w:p>
        </w:tc>
      </w:tr>
      <w:tr w:rsidR="00443B04" w:rsidRPr="00192FCB" w14:paraId="137BF80E"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6628CC23" w14:textId="77777777" w:rsidR="00443B04" w:rsidRPr="00192FCB" w:rsidRDefault="00443B04" w:rsidP="009E7D18">
            <w:pPr>
              <w:pStyle w:val="NormalHanging12a"/>
            </w:pPr>
            <w:r w:rsidRPr="00192FCB">
              <w:t>ENISA</w:t>
            </w:r>
            <w:r w:rsidRPr="00192FCB">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462C36A7" w14:textId="77777777" w:rsidR="00443B04" w:rsidRPr="00192FCB" w:rsidRDefault="00443B04" w:rsidP="009E7D18">
            <w:pPr>
              <w:pStyle w:val="NormalHanging12a"/>
            </w:pPr>
            <w:r w:rsidRPr="00192FCB">
              <w:t>42 219 801,00 €</w:t>
            </w:r>
          </w:p>
        </w:tc>
        <w:tc>
          <w:tcPr>
            <w:tcW w:w="2126" w:type="dxa"/>
            <w:tcBorders>
              <w:top w:val="nil"/>
              <w:left w:val="nil"/>
              <w:bottom w:val="single" w:sz="4" w:space="0" w:color="auto"/>
              <w:right w:val="single" w:sz="4" w:space="0" w:color="auto"/>
            </w:tcBorders>
            <w:noWrap/>
            <w:vAlign w:val="bottom"/>
            <w:hideMark/>
          </w:tcPr>
          <w:p w14:paraId="293979A3" w14:textId="77777777" w:rsidR="00443B04" w:rsidRPr="00192FCB" w:rsidRDefault="00443B04" w:rsidP="009E7D18">
            <w:pPr>
              <w:pStyle w:val="NormalHanging12a"/>
            </w:pPr>
            <w:r w:rsidRPr="00192FCB">
              <w:t>25 183 495,00 €</w:t>
            </w:r>
          </w:p>
        </w:tc>
        <w:tc>
          <w:tcPr>
            <w:tcW w:w="2054" w:type="dxa"/>
            <w:tcBorders>
              <w:top w:val="nil"/>
              <w:left w:val="nil"/>
              <w:bottom w:val="single" w:sz="4" w:space="0" w:color="auto"/>
              <w:right w:val="single" w:sz="4" w:space="0" w:color="auto"/>
            </w:tcBorders>
            <w:shd w:val="clear" w:color="auto" w:fill="FFFFFF"/>
            <w:noWrap/>
            <w:vAlign w:val="center"/>
            <w:hideMark/>
          </w:tcPr>
          <w:p w14:paraId="1CFC3B4F" w14:textId="77777777" w:rsidR="00443B04" w:rsidRPr="00192FCB" w:rsidRDefault="00443B04" w:rsidP="009E7D18">
            <w:pPr>
              <w:pStyle w:val="NormalHanging12a"/>
            </w:pPr>
            <w:r w:rsidRPr="00192FCB">
              <w:t>67,65%</w:t>
            </w:r>
          </w:p>
        </w:tc>
      </w:tr>
      <w:tr w:rsidR="00443B04" w:rsidRPr="00192FCB" w14:paraId="7DB9A3EF"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15E7E6F6" w14:textId="77777777" w:rsidR="00443B04" w:rsidRPr="00192FCB" w:rsidRDefault="00443B04" w:rsidP="009E7D18">
            <w:pPr>
              <w:pStyle w:val="NormalHanging12a"/>
            </w:pPr>
            <w:r w:rsidRPr="00192FCB">
              <w:t>ERA</w:t>
            </w:r>
          </w:p>
        </w:tc>
        <w:tc>
          <w:tcPr>
            <w:tcW w:w="2126" w:type="dxa"/>
            <w:tcBorders>
              <w:top w:val="nil"/>
              <w:left w:val="nil"/>
              <w:bottom w:val="single" w:sz="4" w:space="0" w:color="auto"/>
              <w:right w:val="single" w:sz="4" w:space="0" w:color="auto"/>
            </w:tcBorders>
            <w:noWrap/>
            <w:vAlign w:val="bottom"/>
            <w:hideMark/>
          </w:tcPr>
          <w:p w14:paraId="7C9435D8" w14:textId="77777777" w:rsidR="00443B04" w:rsidRPr="00192FCB" w:rsidRDefault="00443B04" w:rsidP="009E7D18">
            <w:pPr>
              <w:pStyle w:val="NormalHanging12a"/>
            </w:pPr>
            <w:r w:rsidRPr="00192FCB">
              <w:t>41 936 376,00 €</w:t>
            </w:r>
          </w:p>
        </w:tc>
        <w:tc>
          <w:tcPr>
            <w:tcW w:w="2126" w:type="dxa"/>
            <w:tcBorders>
              <w:top w:val="nil"/>
              <w:left w:val="nil"/>
              <w:bottom w:val="single" w:sz="4" w:space="0" w:color="auto"/>
              <w:right w:val="single" w:sz="4" w:space="0" w:color="auto"/>
            </w:tcBorders>
            <w:noWrap/>
            <w:vAlign w:val="bottom"/>
            <w:hideMark/>
          </w:tcPr>
          <w:p w14:paraId="5CE28E70" w14:textId="77777777" w:rsidR="00443B04" w:rsidRPr="00192FCB" w:rsidRDefault="00443B04" w:rsidP="009E7D18">
            <w:pPr>
              <w:pStyle w:val="NormalHanging12a"/>
            </w:pPr>
            <w:r w:rsidRPr="00192FCB">
              <w:t>38 532 447,00 €</w:t>
            </w:r>
          </w:p>
        </w:tc>
        <w:tc>
          <w:tcPr>
            <w:tcW w:w="2054" w:type="dxa"/>
            <w:tcBorders>
              <w:top w:val="nil"/>
              <w:left w:val="nil"/>
              <w:bottom w:val="single" w:sz="4" w:space="0" w:color="auto"/>
              <w:right w:val="single" w:sz="4" w:space="0" w:color="auto"/>
            </w:tcBorders>
            <w:shd w:val="clear" w:color="auto" w:fill="FFFFFF"/>
            <w:noWrap/>
            <w:vAlign w:val="center"/>
            <w:hideMark/>
          </w:tcPr>
          <w:p w14:paraId="7A7F38F9" w14:textId="77777777" w:rsidR="00443B04" w:rsidRPr="00192FCB" w:rsidRDefault="00443B04" w:rsidP="009E7D18">
            <w:pPr>
              <w:pStyle w:val="NormalHanging12a"/>
            </w:pPr>
            <w:r w:rsidRPr="00192FCB">
              <w:t>8,83%</w:t>
            </w:r>
          </w:p>
        </w:tc>
      </w:tr>
      <w:tr w:rsidR="00443B04" w:rsidRPr="00192FCB" w14:paraId="58190EA2"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55D31537" w14:textId="77777777" w:rsidR="00443B04" w:rsidRPr="00192FCB" w:rsidRDefault="00443B04" w:rsidP="009E7D18">
            <w:pPr>
              <w:pStyle w:val="NormalHanging12a"/>
            </w:pPr>
            <w:r w:rsidRPr="00192FCB">
              <w:t xml:space="preserve">AAE </w:t>
            </w:r>
          </w:p>
        </w:tc>
        <w:tc>
          <w:tcPr>
            <w:tcW w:w="2126" w:type="dxa"/>
            <w:tcBorders>
              <w:top w:val="nil"/>
              <w:left w:val="nil"/>
              <w:bottom w:val="single" w:sz="4" w:space="0" w:color="auto"/>
              <w:right w:val="single" w:sz="4" w:space="0" w:color="auto"/>
            </w:tcBorders>
            <w:shd w:val="clear" w:color="auto" w:fill="FFFFFF"/>
            <w:noWrap/>
            <w:vAlign w:val="bottom"/>
            <w:hideMark/>
          </w:tcPr>
          <w:p w14:paraId="1DE1AF88" w14:textId="77777777" w:rsidR="00443B04" w:rsidRPr="00192FCB" w:rsidRDefault="00443B04" w:rsidP="009E7D18">
            <w:pPr>
              <w:pStyle w:val="NormalHanging12a"/>
            </w:pPr>
            <w:r w:rsidRPr="00192FCB">
              <w:t>270 000,00 €</w:t>
            </w:r>
          </w:p>
        </w:tc>
        <w:tc>
          <w:tcPr>
            <w:tcW w:w="2126" w:type="dxa"/>
            <w:tcBorders>
              <w:top w:val="nil"/>
              <w:left w:val="nil"/>
              <w:bottom w:val="single" w:sz="4" w:space="0" w:color="auto"/>
              <w:right w:val="single" w:sz="4" w:space="0" w:color="auto"/>
            </w:tcBorders>
            <w:noWrap/>
            <w:vAlign w:val="bottom"/>
            <w:hideMark/>
          </w:tcPr>
          <w:p w14:paraId="7617B1FF" w14:textId="77777777" w:rsidR="00443B04" w:rsidRPr="00192FCB" w:rsidRDefault="00443B04" w:rsidP="009E7D18">
            <w:pPr>
              <w:pStyle w:val="NormalHanging12a"/>
            </w:pPr>
            <w:r w:rsidRPr="00192FCB">
              <w:t>258 160,00 €</w:t>
            </w:r>
          </w:p>
        </w:tc>
        <w:tc>
          <w:tcPr>
            <w:tcW w:w="2054" w:type="dxa"/>
            <w:tcBorders>
              <w:top w:val="nil"/>
              <w:left w:val="nil"/>
              <w:bottom w:val="single" w:sz="4" w:space="0" w:color="auto"/>
              <w:right w:val="single" w:sz="4" w:space="0" w:color="auto"/>
            </w:tcBorders>
            <w:shd w:val="clear" w:color="auto" w:fill="FFFFFF"/>
            <w:noWrap/>
            <w:vAlign w:val="center"/>
            <w:hideMark/>
          </w:tcPr>
          <w:p w14:paraId="06146951" w14:textId="77777777" w:rsidR="00443B04" w:rsidRPr="00192FCB" w:rsidRDefault="00443B04" w:rsidP="009E7D18">
            <w:pPr>
              <w:pStyle w:val="NormalHanging12a"/>
            </w:pPr>
            <w:r w:rsidRPr="00192FCB">
              <w:t>4,59%</w:t>
            </w:r>
          </w:p>
        </w:tc>
      </w:tr>
      <w:tr w:rsidR="00443B04" w:rsidRPr="00192FCB" w14:paraId="575A2478"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54533E42" w14:textId="77777777" w:rsidR="00443B04" w:rsidRPr="00192FCB" w:rsidRDefault="00443B04" w:rsidP="009E7D18">
            <w:pPr>
              <w:pStyle w:val="NormalHanging12a"/>
            </w:pPr>
            <w:r w:rsidRPr="00192FCB">
              <w:t>ESMA</w:t>
            </w:r>
          </w:p>
        </w:tc>
        <w:tc>
          <w:tcPr>
            <w:tcW w:w="2126" w:type="dxa"/>
            <w:tcBorders>
              <w:top w:val="nil"/>
              <w:left w:val="nil"/>
              <w:bottom w:val="single" w:sz="4" w:space="0" w:color="auto"/>
              <w:right w:val="single" w:sz="4" w:space="0" w:color="auto"/>
            </w:tcBorders>
            <w:noWrap/>
            <w:vAlign w:val="bottom"/>
            <w:hideMark/>
          </w:tcPr>
          <w:p w14:paraId="188848EA" w14:textId="77777777" w:rsidR="00443B04" w:rsidRPr="00192FCB" w:rsidRDefault="00443B04" w:rsidP="009E7D18">
            <w:pPr>
              <w:pStyle w:val="NormalHanging12a"/>
            </w:pPr>
            <w:r w:rsidRPr="00192FCB">
              <w:t>76 055 579,00 €</w:t>
            </w:r>
          </w:p>
        </w:tc>
        <w:tc>
          <w:tcPr>
            <w:tcW w:w="2126" w:type="dxa"/>
            <w:tcBorders>
              <w:top w:val="nil"/>
              <w:left w:val="nil"/>
              <w:bottom w:val="single" w:sz="4" w:space="0" w:color="auto"/>
              <w:right w:val="single" w:sz="4" w:space="0" w:color="auto"/>
            </w:tcBorders>
            <w:noWrap/>
            <w:vAlign w:val="bottom"/>
            <w:hideMark/>
          </w:tcPr>
          <w:p w14:paraId="3F61F1CE" w14:textId="77777777" w:rsidR="00443B04" w:rsidRPr="00192FCB" w:rsidRDefault="00443B04" w:rsidP="009E7D18">
            <w:pPr>
              <w:pStyle w:val="NormalHanging12a"/>
            </w:pPr>
            <w:r w:rsidRPr="00192FCB">
              <w:t>72 509 657,00 €</w:t>
            </w:r>
          </w:p>
        </w:tc>
        <w:tc>
          <w:tcPr>
            <w:tcW w:w="2054" w:type="dxa"/>
            <w:tcBorders>
              <w:top w:val="nil"/>
              <w:left w:val="nil"/>
              <w:bottom w:val="single" w:sz="4" w:space="0" w:color="auto"/>
              <w:right w:val="single" w:sz="4" w:space="0" w:color="auto"/>
            </w:tcBorders>
            <w:shd w:val="clear" w:color="auto" w:fill="FFFFFF"/>
            <w:noWrap/>
            <w:vAlign w:val="center"/>
            <w:hideMark/>
          </w:tcPr>
          <w:p w14:paraId="2B86398A" w14:textId="77777777" w:rsidR="00443B04" w:rsidRPr="00192FCB" w:rsidRDefault="00443B04" w:rsidP="009E7D18">
            <w:pPr>
              <w:pStyle w:val="NormalHanging12a"/>
            </w:pPr>
            <w:r w:rsidRPr="00192FCB">
              <w:t>4,89%</w:t>
            </w:r>
          </w:p>
        </w:tc>
      </w:tr>
      <w:tr w:rsidR="00443B04" w:rsidRPr="00192FCB" w14:paraId="304BCD1F"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3835F86B" w14:textId="77777777" w:rsidR="00443B04" w:rsidRPr="00192FCB" w:rsidRDefault="00443B04" w:rsidP="009E7D18">
            <w:pPr>
              <w:pStyle w:val="NormalHanging12a"/>
            </w:pPr>
            <w:r w:rsidRPr="00192FCB">
              <w:t xml:space="preserve">ETF </w:t>
            </w:r>
          </w:p>
        </w:tc>
        <w:tc>
          <w:tcPr>
            <w:tcW w:w="2126" w:type="dxa"/>
            <w:tcBorders>
              <w:top w:val="nil"/>
              <w:left w:val="nil"/>
              <w:bottom w:val="single" w:sz="4" w:space="0" w:color="auto"/>
              <w:right w:val="single" w:sz="4" w:space="0" w:color="auto"/>
            </w:tcBorders>
            <w:noWrap/>
            <w:vAlign w:val="bottom"/>
            <w:hideMark/>
          </w:tcPr>
          <w:p w14:paraId="0987FF22" w14:textId="77777777" w:rsidR="00443B04" w:rsidRPr="00192FCB" w:rsidRDefault="00443B04" w:rsidP="009E7D18">
            <w:pPr>
              <w:pStyle w:val="NormalHanging12a"/>
            </w:pPr>
            <w:r w:rsidRPr="00192FCB">
              <w:t>28 330 702,00 €</w:t>
            </w:r>
          </w:p>
        </w:tc>
        <w:tc>
          <w:tcPr>
            <w:tcW w:w="2126" w:type="dxa"/>
            <w:tcBorders>
              <w:top w:val="nil"/>
              <w:left w:val="nil"/>
              <w:bottom w:val="single" w:sz="4" w:space="0" w:color="auto"/>
              <w:right w:val="single" w:sz="4" w:space="0" w:color="auto"/>
            </w:tcBorders>
            <w:noWrap/>
            <w:vAlign w:val="bottom"/>
            <w:hideMark/>
          </w:tcPr>
          <w:p w14:paraId="41538229" w14:textId="77777777" w:rsidR="00443B04" w:rsidRPr="00192FCB" w:rsidRDefault="00443B04" w:rsidP="009E7D18">
            <w:pPr>
              <w:pStyle w:val="NormalHanging12a"/>
            </w:pPr>
            <w:r w:rsidRPr="00192FCB">
              <w:t>28 542 956,00 €</w:t>
            </w:r>
          </w:p>
        </w:tc>
        <w:tc>
          <w:tcPr>
            <w:tcW w:w="2054" w:type="dxa"/>
            <w:tcBorders>
              <w:top w:val="nil"/>
              <w:left w:val="nil"/>
              <w:bottom w:val="single" w:sz="4" w:space="0" w:color="auto"/>
              <w:right w:val="single" w:sz="4" w:space="0" w:color="auto"/>
            </w:tcBorders>
            <w:shd w:val="clear" w:color="auto" w:fill="FFFFFF"/>
            <w:noWrap/>
            <w:vAlign w:val="center"/>
            <w:hideMark/>
          </w:tcPr>
          <w:p w14:paraId="3BB52B52" w14:textId="77777777" w:rsidR="00443B04" w:rsidRPr="00192FCB" w:rsidRDefault="00443B04" w:rsidP="009E7D18">
            <w:pPr>
              <w:pStyle w:val="NormalHanging12a"/>
            </w:pPr>
            <w:r w:rsidRPr="00192FCB">
              <w:t>-0,74%</w:t>
            </w:r>
          </w:p>
        </w:tc>
      </w:tr>
      <w:tr w:rsidR="00443B04" w:rsidRPr="00192FCB" w14:paraId="78C7F6F4"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6708DA0D" w14:textId="77777777" w:rsidR="00443B04" w:rsidRPr="00192FCB" w:rsidRDefault="00443B04" w:rsidP="009E7D18">
            <w:pPr>
              <w:pStyle w:val="NormalHanging12a"/>
            </w:pPr>
            <w:r w:rsidRPr="00192FCB">
              <w:t>EUAA</w:t>
            </w:r>
          </w:p>
        </w:tc>
        <w:tc>
          <w:tcPr>
            <w:tcW w:w="2126" w:type="dxa"/>
            <w:tcBorders>
              <w:top w:val="nil"/>
              <w:left w:val="nil"/>
              <w:bottom w:val="single" w:sz="4" w:space="0" w:color="auto"/>
              <w:right w:val="single" w:sz="4" w:space="0" w:color="auto"/>
            </w:tcBorders>
            <w:noWrap/>
            <w:vAlign w:val="bottom"/>
            <w:hideMark/>
          </w:tcPr>
          <w:p w14:paraId="59A222FA" w14:textId="77777777" w:rsidR="00443B04" w:rsidRPr="00192FCB" w:rsidRDefault="00443B04" w:rsidP="009E7D18">
            <w:pPr>
              <w:pStyle w:val="NormalHanging12a"/>
            </w:pPr>
            <w:r w:rsidRPr="00192FCB">
              <w:t>181 443 839,00 €</w:t>
            </w:r>
          </w:p>
        </w:tc>
        <w:tc>
          <w:tcPr>
            <w:tcW w:w="2126" w:type="dxa"/>
            <w:tcBorders>
              <w:top w:val="nil"/>
              <w:left w:val="nil"/>
              <w:bottom w:val="single" w:sz="4" w:space="0" w:color="auto"/>
              <w:right w:val="single" w:sz="4" w:space="0" w:color="auto"/>
            </w:tcBorders>
            <w:noWrap/>
            <w:vAlign w:val="bottom"/>
            <w:hideMark/>
          </w:tcPr>
          <w:p w14:paraId="3C24AD22" w14:textId="77777777" w:rsidR="00443B04" w:rsidRPr="00192FCB" w:rsidRDefault="00443B04" w:rsidP="009E7D18">
            <w:pPr>
              <w:pStyle w:val="NormalHanging12a"/>
            </w:pPr>
            <w:r w:rsidRPr="00192FCB">
              <w:t>170 135 127,00 €</w:t>
            </w:r>
          </w:p>
        </w:tc>
        <w:tc>
          <w:tcPr>
            <w:tcW w:w="2054" w:type="dxa"/>
            <w:tcBorders>
              <w:top w:val="nil"/>
              <w:left w:val="nil"/>
              <w:bottom w:val="single" w:sz="4" w:space="0" w:color="auto"/>
              <w:right w:val="single" w:sz="4" w:space="0" w:color="auto"/>
            </w:tcBorders>
            <w:shd w:val="clear" w:color="auto" w:fill="FFFFFF"/>
            <w:noWrap/>
            <w:vAlign w:val="center"/>
            <w:hideMark/>
          </w:tcPr>
          <w:p w14:paraId="6612C2CC" w14:textId="77777777" w:rsidR="00443B04" w:rsidRPr="00192FCB" w:rsidRDefault="00443B04" w:rsidP="009E7D18">
            <w:pPr>
              <w:pStyle w:val="NormalHanging12a"/>
            </w:pPr>
            <w:r w:rsidRPr="00192FCB">
              <w:t>6,65%</w:t>
            </w:r>
          </w:p>
        </w:tc>
      </w:tr>
      <w:tr w:rsidR="00443B04" w:rsidRPr="00192FCB" w14:paraId="2F6DEEF0"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2A59EF98" w14:textId="77777777" w:rsidR="00443B04" w:rsidRPr="00192FCB" w:rsidRDefault="00443B04" w:rsidP="009E7D18">
            <w:pPr>
              <w:pStyle w:val="NormalHanging12a"/>
            </w:pPr>
            <w:r w:rsidRPr="00192FCB">
              <w:t>EUDA (EMCDDA)</w:t>
            </w:r>
          </w:p>
        </w:tc>
        <w:tc>
          <w:tcPr>
            <w:tcW w:w="2126" w:type="dxa"/>
            <w:tcBorders>
              <w:top w:val="nil"/>
              <w:left w:val="nil"/>
              <w:bottom w:val="single" w:sz="4" w:space="0" w:color="auto"/>
              <w:right w:val="single" w:sz="4" w:space="0" w:color="auto"/>
            </w:tcBorders>
            <w:noWrap/>
            <w:vAlign w:val="bottom"/>
            <w:hideMark/>
          </w:tcPr>
          <w:p w14:paraId="574964EC" w14:textId="77777777" w:rsidR="00443B04" w:rsidRPr="00192FCB" w:rsidRDefault="00443B04" w:rsidP="009E7D18">
            <w:pPr>
              <w:pStyle w:val="NormalHanging12a"/>
            </w:pPr>
            <w:r w:rsidRPr="00192FCB">
              <w:t>32 723 728,00 €</w:t>
            </w:r>
          </w:p>
        </w:tc>
        <w:tc>
          <w:tcPr>
            <w:tcW w:w="2126" w:type="dxa"/>
            <w:tcBorders>
              <w:top w:val="nil"/>
              <w:left w:val="nil"/>
              <w:bottom w:val="single" w:sz="4" w:space="0" w:color="auto"/>
              <w:right w:val="single" w:sz="4" w:space="0" w:color="auto"/>
            </w:tcBorders>
            <w:noWrap/>
            <w:vAlign w:val="bottom"/>
            <w:hideMark/>
          </w:tcPr>
          <w:p w14:paraId="35B18F3F" w14:textId="77777777" w:rsidR="00443B04" w:rsidRPr="00192FCB" w:rsidRDefault="00443B04" w:rsidP="009E7D18">
            <w:pPr>
              <w:pStyle w:val="NormalHanging12a"/>
            </w:pPr>
            <w:r w:rsidRPr="00192FCB">
              <w:t>22 082 074,00 €</w:t>
            </w:r>
          </w:p>
        </w:tc>
        <w:tc>
          <w:tcPr>
            <w:tcW w:w="2054" w:type="dxa"/>
            <w:tcBorders>
              <w:top w:val="nil"/>
              <w:left w:val="nil"/>
              <w:bottom w:val="single" w:sz="4" w:space="0" w:color="auto"/>
              <w:right w:val="single" w:sz="4" w:space="0" w:color="auto"/>
            </w:tcBorders>
            <w:shd w:val="clear" w:color="auto" w:fill="FFFFFF"/>
            <w:noWrap/>
            <w:vAlign w:val="center"/>
            <w:hideMark/>
          </w:tcPr>
          <w:p w14:paraId="77D131BC" w14:textId="77777777" w:rsidR="00443B04" w:rsidRPr="00192FCB" w:rsidRDefault="00443B04" w:rsidP="009E7D18">
            <w:pPr>
              <w:pStyle w:val="NormalHanging12a"/>
            </w:pPr>
            <w:r w:rsidRPr="00192FCB">
              <w:t>48,19%</w:t>
            </w:r>
          </w:p>
        </w:tc>
      </w:tr>
      <w:tr w:rsidR="00443B04" w:rsidRPr="00192FCB" w14:paraId="4B54C56F"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2774278F" w14:textId="77777777" w:rsidR="00443B04" w:rsidRPr="00192FCB" w:rsidRDefault="00443B04" w:rsidP="009E7D18">
            <w:pPr>
              <w:pStyle w:val="NormalHanging12a"/>
            </w:pPr>
            <w:r w:rsidRPr="00192FCB">
              <w:t xml:space="preserve">EU-LISA </w:t>
            </w:r>
          </w:p>
        </w:tc>
        <w:tc>
          <w:tcPr>
            <w:tcW w:w="2126" w:type="dxa"/>
            <w:tcBorders>
              <w:top w:val="nil"/>
              <w:left w:val="nil"/>
              <w:bottom w:val="single" w:sz="4" w:space="0" w:color="auto"/>
              <w:right w:val="single" w:sz="4" w:space="0" w:color="auto"/>
            </w:tcBorders>
            <w:noWrap/>
            <w:vAlign w:val="bottom"/>
            <w:hideMark/>
          </w:tcPr>
          <w:p w14:paraId="2E1E5F88" w14:textId="77777777" w:rsidR="00443B04" w:rsidRPr="00192FCB" w:rsidRDefault="00443B04" w:rsidP="009E7D18">
            <w:pPr>
              <w:pStyle w:val="NormalHanging12a"/>
            </w:pPr>
            <w:r w:rsidRPr="00192FCB">
              <w:t>273 679 741,00 €</w:t>
            </w:r>
          </w:p>
        </w:tc>
        <w:tc>
          <w:tcPr>
            <w:tcW w:w="2126" w:type="dxa"/>
            <w:tcBorders>
              <w:top w:val="nil"/>
              <w:left w:val="nil"/>
              <w:bottom w:val="single" w:sz="4" w:space="0" w:color="auto"/>
              <w:right w:val="single" w:sz="4" w:space="0" w:color="auto"/>
            </w:tcBorders>
            <w:noWrap/>
            <w:vAlign w:val="bottom"/>
            <w:hideMark/>
          </w:tcPr>
          <w:p w14:paraId="5E43C24A" w14:textId="77777777" w:rsidR="00443B04" w:rsidRPr="00192FCB" w:rsidRDefault="00443B04" w:rsidP="009E7D18">
            <w:pPr>
              <w:pStyle w:val="NormalHanging12a"/>
            </w:pPr>
            <w:r w:rsidRPr="00192FCB">
              <w:t>300 524 142,00 €</w:t>
            </w:r>
          </w:p>
        </w:tc>
        <w:tc>
          <w:tcPr>
            <w:tcW w:w="2054" w:type="dxa"/>
            <w:tcBorders>
              <w:top w:val="nil"/>
              <w:left w:val="nil"/>
              <w:bottom w:val="single" w:sz="4" w:space="0" w:color="auto"/>
              <w:right w:val="single" w:sz="4" w:space="0" w:color="auto"/>
            </w:tcBorders>
            <w:shd w:val="clear" w:color="auto" w:fill="FFFFFF"/>
            <w:noWrap/>
            <w:vAlign w:val="center"/>
            <w:hideMark/>
          </w:tcPr>
          <w:p w14:paraId="68818193" w14:textId="77777777" w:rsidR="00443B04" w:rsidRPr="00192FCB" w:rsidRDefault="00443B04" w:rsidP="009E7D18">
            <w:pPr>
              <w:pStyle w:val="NormalHanging12a"/>
            </w:pPr>
            <w:r w:rsidRPr="00192FCB">
              <w:t>-8,93%</w:t>
            </w:r>
          </w:p>
        </w:tc>
      </w:tr>
      <w:tr w:rsidR="00443B04" w:rsidRPr="00192FCB" w14:paraId="0902B380"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0E2715C9" w14:textId="77777777" w:rsidR="00443B04" w:rsidRPr="00192FCB" w:rsidRDefault="00443B04" w:rsidP="009E7D18">
            <w:pPr>
              <w:pStyle w:val="NormalHanging12a"/>
            </w:pPr>
            <w:r w:rsidRPr="00192FCB">
              <w:t>EU-OSHA</w:t>
            </w:r>
          </w:p>
        </w:tc>
        <w:tc>
          <w:tcPr>
            <w:tcW w:w="2126" w:type="dxa"/>
            <w:tcBorders>
              <w:top w:val="nil"/>
              <w:left w:val="nil"/>
              <w:bottom w:val="single" w:sz="4" w:space="0" w:color="auto"/>
              <w:right w:val="single" w:sz="4" w:space="0" w:color="auto"/>
            </w:tcBorders>
            <w:noWrap/>
            <w:vAlign w:val="bottom"/>
            <w:hideMark/>
          </w:tcPr>
          <w:p w14:paraId="0C7B6710" w14:textId="77777777" w:rsidR="00443B04" w:rsidRPr="00192FCB" w:rsidRDefault="00443B04" w:rsidP="009E7D18">
            <w:pPr>
              <w:pStyle w:val="NormalHanging12a"/>
            </w:pPr>
            <w:r w:rsidRPr="00192FCB">
              <w:t>17 618 795,00 €</w:t>
            </w:r>
          </w:p>
        </w:tc>
        <w:tc>
          <w:tcPr>
            <w:tcW w:w="2126" w:type="dxa"/>
            <w:tcBorders>
              <w:top w:val="nil"/>
              <w:left w:val="nil"/>
              <w:bottom w:val="single" w:sz="4" w:space="0" w:color="auto"/>
              <w:right w:val="single" w:sz="4" w:space="0" w:color="auto"/>
            </w:tcBorders>
            <w:noWrap/>
            <w:vAlign w:val="bottom"/>
            <w:hideMark/>
          </w:tcPr>
          <w:p w14:paraId="752D7646" w14:textId="77777777" w:rsidR="00443B04" w:rsidRPr="00192FCB" w:rsidRDefault="00443B04" w:rsidP="009E7D18">
            <w:pPr>
              <w:pStyle w:val="NormalHanging12a"/>
            </w:pPr>
            <w:r w:rsidRPr="00192FCB">
              <w:t>17 038 950,00 €</w:t>
            </w:r>
          </w:p>
        </w:tc>
        <w:tc>
          <w:tcPr>
            <w:tcW w:w="2054" w:type="dxa"/>
            <w:tcBorders>
              <w:top w:val="nil"/>
              <w:left w:val="nil"/>
              <w:bottom w:val="single" w:sz="4" w:space="0" w:color="auto"/>
              <w:right w:val="single" w:sz="4" w:space="0" w:color="auto"/>
            </w:tcBorders>
            <w:shd w:val="clear" w:color="auto" w:fill="FFFFFF"/>
            <w:noWrap/>
            <w:vAlign w:val="center"/>
            <w:hideMark/>
          </w:tcPr>
          <w:p w14:paraId="6C1F54BC" w14:textId="77777777" w:rsidR="00443B04" w:rsidRPr="00192FCB" w:rsidRDefault="00443B04" w:rsidP="009E7D18">
            <w:pPr>
              <w:pStyle w:val="NormalHanging12a"/>
            </w:pPr>
            <w:r w:rsidRPr="00192FCB">
              <w:t>3,40%</w:t>
            </w:r>
          </w:p>
        </w:tc>
      </w:tr>
      <w:tr w:rsidR="00443B04" w:rsidRPr="00192FCB" w14:paraId="7C12A721"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7ACEB13" w14:textId="77777777" w:rsidR="00443B04" w:rsidRPr="00192FCB" w:rsidRDefault="00443B04" w:rsidP="009E7D18">
            <w:pPr>
              <w:pStyle w:val="NormalHanging12a"/>
            </w:pPr>
            <w:r w:rsidRPr="00192FCB">
              <w:t>EUROFOUND</w:t>
            </w:r>
          </w:p>
        </w:tc>
        <w:tc>
          <w:tcPr>
            <w:tcW w:w="2126" w:type="dxa"/>
            <w:tcBorders>
              <w:top w:val="nil"/>
              <w:left w:val="nil"/>
              <w:bottom w:val="single" w:sz="4" w:space="0" w:color="auto"/>
              <w:right w:val="single" w:sz="4" w:space="0" w:color="auto"/>
            </w:tcBorders>
            <w:noWrap/>
            <w:vAlign w:val="bottom"/>
            <w:hideMark/>
          </w:tcPr>
          <w:p w14:paraId="4FC30CDF" w14:textId="77777777" w:rsidR="00443B04" w:rsidRPr="00192FCB" w:rsidRDefault="00443B04" w:rsidP="009E7D18">
            <w:pPr>
              <w:pStyle w:val="NormalHanging12a"/>
            </w:pPr>
            <w:r w:rsidRPr="00192FCB">
              <w:t>24 965 993,00 €</w:t>
            </w:r>
          </w:p>
        </w:tc>
        <w:tc>
          <w:tcPr>
            <w:tcW w:w="2126" w:type="dxa"/>
            <w:tcBorders>
              <w:top w:val="nil"/>
              <w:left w:val="nil"/>
              <w:bottom w:val="single" w:sz="4" w:space="0" w:color="auto"/>
              <w:right w:val="single" w:sz="4" w:space="0" w:color="auto"/>
            </w:tcBorders>
            <w:noWrap/>
            <w:vAlign w:val="bottom"/>
            <w:hideMark/>
          </w:tcPr>
          <w:p w14:paraId="08D1A01B" w14:textId="77777777" w:rsidR="00443B04" w:rsidRPr="00192FCB" w:rsidRDefault="00443B04" w:rsidP="009E7D18">
            <w:pPr>
              <w:pStyle w:val="NormalHanging12a"/>
            </w:pPr>
            <w:r w:rsidRPr="00192FCB">
              <w:t>25 369 931,00 €</w:t>
            </w:r>
          </w:p>
        </w:tc>
        <w:tc>
          <w:tcPr>
            <w:tcW w:w="2054" w:type="dxa"/>
            <w:tcBorders>
              <w:top w:val="nil"/>
              <w:left w:val="nil"/>
              <w:bottom w:val="single" w:sz="4" w:space="0" w:color="auto"/>
              <w:right w:val="single" w:sz="4" w:space="0" w:color="auto"/>
            </w:tcBorders>
            <w:shd w:val="clear" w:color="auto" w:fill="FFFFFF"/>
            <w:noWrap/>
            <w:vAlign w:val="center"/>
            <w:hideMark/>
          </w:tcPr>
          <w:p w14:paraId="6CF7DE28" w14:textId="77777777" w:rsidR="00443B04" w:rsidRPr="00192FCB" w:rsidRDefault="00443B04" w:rsidP="009E7D18">
            <w:pPr>
              <w:pStyle w:val="NormalHanging12a"/>
            </w:pPr>
            <w:r w:rsidRPr="00192FCB">
              <w:t>-1,59%</w:t>
            </w:r>
          </w:p>
        </w:tc>
      </w:tr>
      <w:tr w:rsidR="00443B04" w:rsidRPr="00192FCB" w14:paraId="245C7586"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72A28DE7" w14:textId="77777777" w:rsidR="00443B04" w:rsidRPr="00192FCB" w:rsidRDefault="00443B04" w:rsidP="009E7D18">
            <w:pPr>
              <w:pStyle w:val="NormalHanging12a"/>
            </w:pPr>
            <w:r w:rsidRPr="00192FCB">
              <w:t xml:space="preserve">ЕВРОЮСТ </w:t>
            </w:r>
          </w:p>
        </w:tc>
        <w:tc>
          <w:tcPr>
            <w:tcW w:w="2126" w:type="dxa"/>
            <w:tcBorders>
              <w:top w:val="nil"/>
              <w:left w:val="nil"/>
              <w:bottom w:val="single" w:sz="4" w:space="0" w:color="auto"/>
              <w:right w:val="single" w:sz="4" w:space="0" w:color="auto"/>
            </w:tcBorders>
            <w:noWrap/>
            <w:vAlign w:val="bottom"/>
            <w:hideMark/>
          </w:tcPr>
          <w:p w14:paraId="612ACCEE" w14:textId="77777777" w:rsidR="00443B04" w:rsidRPr="00192FCB" w:rsidRDefault="00443B04" w:rsidP="009E7D18">
            <w:pPr>
              <w:pStyle w:val="NormalHanging12a"/>
            </w:pPr>
            <w:r w:rsidRPr="00192FCB">
              <w:t>65 355 970,00 €</w:t>
            </w:r>
          </w:p>
        </w:tc>
        <w:tc>
          <w:tcPr>
            <w:tcW w:w="2126" w:type="dxa"/>
            <w:tcBorders>
              <w:top w:val="nil"/>
              <w:left w:val="nil"/>
              <w:bottom w:val="single" w:sz="4" w:space="0" w:color="auto"/>
              <w:right w:val="single" w:sz="4" w:space="0" w:color="auto"/>
            </w:tcBorders>
            <w:noWrap/>
            <w:vAlign w:val="bottom"/>
            <w:hideMark/>
          </w:tcPr>
          <w:p w14:paraId="4204A399" w14:textId="77777777" w:rsidR="00443B04" w:rsidRPr="00192FCB" w:rsidRDefault="00443B04" w:rsidP="009E7D18">
            <w:pPr>
              <w:pStyle w:val="NormalHanging12a"/>
            </w:pPr>
            <w:r w:rsidRPr="00192FCB">
              <w:t>59 324 460,00 €</w:t>
            </w:r>
          </w:p>
        </w:tc>
        <w:tc>
          <w:tcPr>
            <w:tcW w:w="2054" w:type="dxa"/>
            <w:tcBorders>
              <w:top w:val="nil"/>
              <w:left w:val="nil"/>
              <w:bottom w:val="single" w:sz="4" w:space="0" w:color="auto"/>
              <w:right w:val="single" w:sz="4" w:space="0" w:color="auto"/>
            </w:tcBorders>
            <w:shd w:val="clear" w:color="auto" w:fill="FFFFFF"/>
            <w:noWrap/>
            <w:vAlign w:val="center"/>
            <w:hideMark/>
          </w:tcPr>
          <w:p w14:paraId="4704F5F4" w14:textId="77777777" w:rsidR="00443B04" w:rsidRPr="00192FCB" w:rsidRDefault="00443B04" w:rsidP="009E7D18">
            <w:pPr>
              <w:pStyle w:val="NormalHanging12a"/>
            </w:pPr>
            <w:r w:rsidRPr="00192FCB">
              <w:t>10,17%</w:t>
            </w:r>
          </w:p>
        </w:tc>
      </w:tr>
      <w:tr w:rsidR="00443B04" w:rsidRPr="00192FCB" w14:paraId="14008F15"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0A154E08" w14:textId="77777777" w:rsidR="00443B04" w:rsidRPr="00192FCB" w:rsidRDefault="00443B04" w:rsidP="009E7D18">
            <w:pPr>
              <w:pStyle w:val="NormalHanging12a"/>
            </w:pPr>
            <w:r w:rsidRPr="00192FCB">
              <w:t>ЕВРОПОЛ</w:t>
            </w:r>
          </w:p>
        </w:tc>
        <w:tc>
          <w:tcPr>
            <w:tcW w:w="2126" w:type="dxa"/>
            <w:tcBorders>
              <w:top w:val="nil"/>
              <w:left w:val="nil"/>
              <w:bottom w:val="single" w:sz="4" w:space="0" w:color="auto"/>
              <w:right w:val="single" w:sz="4" w:space="0" w:color="auto"/>
            </w:tcBorders>
            <w:noWrap/>
            <w:vAlign w:val="bottom"/>
            <w:hideMark/>
          </w:tcPr>
          <w:p w14:paraId="6E5F2CCB" w14:textId="77777777" w:rsidR="00443B04" w:rsidRPr="00192FCB" w:rsidRDefault="00443B04" w:rsidP="009E7D18">
            <w:pPr>
              <w:pStyle w:val="NormalHanging12a"/>
            </w:pPr>
            <w:r w:rsidRPr="00192FCB">
              <w:t>225 228 057,00 €</w:t>
            </w:r>
          </w:p>
        </w:tc>
        <w:tc>
          <w:tcPr>
            <w:tcW w:w="2126" w:type="dxa"/>
            <w:tcBorders>
              <w:top w:val="nil"/>
              <w:left w:val="nil"/>
              <w:bottom w:val="single" w:sz="4" w:space="0" w:color="auto"/>
              <w:right w:val="single" w:sz="4" w:space="0" w:color="auto"/>
            </w:tcBorders>
            <w:noWrap/>
            <w:vAlign w:val="bottom"/>
            <w:hideMark/>
          </w:tcPr>
          <w:p w14:paraId="5446682C" w14:textId="77777777" w:rsidR="00443B04" w:rsidRPr="00192FCB" w:rsidRDefault="00443B04" w:rsidP="009E7D18">
            <w:pPr>
              <w:pStyle w:val="NormalHanging12a"/>
            </w:pPr>
            <w:r w:rsidRPr="00192FCB">
              <w:t>212 925 809,00 €</w:t>
            </w:r>
          </w:p>
        </w:tc>
        <w:tc>
          <w:tcPr>
            <w:tcW w:w="2054" w:type="dxa"/>
            <w:tcBorders>
              <w:top w:val="nil"/>
              <w:left w:val="nil"/>
              <w:bottom w:val="single" w:sz="4" w:space="0" w:color="auto"/>
              <w:right w:val="single" w:sz="4" w:space="0" w:color="auto"/>
            </w:tcBorders>
            <w:shd w:val="clear" w:color="auto" w:fill="FFFFFF"/>
            <w:noWrap/>
            <w:vAlign w:val="center"/>
            <w:hideMark/>
          </w:tcPr>
          <w:p w14:paraId="2C1746B6" w14:textId="77777777" w:rsidR="00443B04" w:rsidRPr="00192FCB" w:rsidRDefault="00443B04" w:rsidP="009E7D18">
            <w:pPr>
              <w:pStyle w:val="NormalHanging12a"/>
            </w:pPr>
            <w:r w:rsidRPr="00192FCB">
              <w:t>5,78%</w:t>
            </w:r>
          </w:p>
        </w:tc>
      </w:tr>
      <w:tr w:rsidR="00443B04" w:rsidRPr="00192FCB" w14:paraId="39A3386B"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747DDFBC" w14:textId="77777777" w:rsidR="00443B04" w:rsidRPr="00192FCB" w:rsidRDefault="00443B04" w:rsidP="009E7D18">
            <w:pPr>
              <w:pStyle w:val="NormalHanging12a"/>
            </w:pPr>
            <w:r w:rsidRPr="00192FCB">
              <w:t>EUSPA</w:t>
            </w:r>
          </w:p>
        </w:tc>
        <w:tc>
          <w:tcPr>
            <w:tcW w:w="2126" w:type="dxa"/>
            <w:tcBorders>
              <w:top w:val="nil"/>
              <w:left w:val="nil"/>
              <w:bottom w:val="single" w:sz="4" w:space="0" w:color="auto"/>
              <w:right w:val="single" w:sz="4" w:space="0" w:color="auto"/>
            </w:tcBorders>
            <w:noWrap/>
            <w:vAlign w:val="bottom"/>
            <w:hideMark/>
          </w:tcPr>
          <w:p w14:paraId="1BFD1799" w14:textId="77777777" w:rsidR="00443B04" w:rsidRPr="00192FCB" w:rsidRDefault="00443B04" w:rsidP="009E7D18">
            <w:pPr>
              <w:pStyle w:val="NormalHanging12a"/>
            </w:pPr>
            <w:r w:rsidRPr="00192FCB">
              <w:t>85 410 390,00 €</w:t>
            </w:r>
          </w:p>
        </w:tc>
        <w:tc>
          <w:tcPr>
            <w:tcW w:w="2126" w:type="dxa"/>
            <w:tcBorders>
              <w:top w:val="nil"/>
              <w:left w:val="nil"/>
              <w:bottom w:val="single" w:sz="4" w:space="0" w:color="auto"/>
              <w:right w:val="single" w:sz="4" w:space="0" w:color="auto"/>
            </w:tcBorders>
            <w:noWrap/>
            <w:vAlign w:val="bottom"/>
            <w:hideMark/>
          </w:tcPr>
          <w:p w14:paraId="577F1C6D" w14:textId="77777777" w:rsidR="00443B04" w:rsidRPr="00192FCB" w:rsidRDefault="00443B04" w:rsidP="009E7D18">
            <w:pPr>
              <w:pStyle w:val="NormalHanging12a"/>
            </w:pPr>
            <w:r w:rsidRPr="00192FCB">
              <w:t>76 922 866,00 €</w:t>
            </w:r>
          </w:p>
        </w:tc>
        <w:tc>
          <w:tcPr>
            <w:tcW w:w="2054" w:type="dxa"/>
            <w:tcBorders>
              <w:top w:val="nil"/>
              <w:left w:val="nil"/>
              <w:bottom w:val="single" w:sz="4" w:space="0" w:color="auto"/>
              <w:right w:val="single" w:sz="4" w:space="0" w:color="auto"/>
            </w:tcBorders>
            <w:shd w:val="clear" w:color="auto" w:fill="FFFFFF"/>
            <w:noWrap/>
            <w:vAlign w:val="center"/>
            <w:hideMark/>
          </w:tcPr>
          <w:p w14:paraId="42726541" w14:textId="77777777" w:rsidR="00443B04" w:rsidRPr="00192FCB" w:rsidRDefault="00443B04" w:rsidP="009E7D18">
            <w:pPr>
              <w:pStyle w:val="NormalHanging12a"/>
            </w:pPr>
            <w:r w:rsidRPr="00192FCB">
              <w:t>11,03%</w:t>
            </w:r>
          </w:p>
        </w:tc>
      </w:tr>
      <w:tr w:rsidR="00443B04" w:rsidRPr="00192FCB" w14:paraId="50174A7E"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5B8377D" w14:textId="77777777" w:rsidR="00443B04" w:rsidRPr="00192FCB" w:rsidRDefault="00443B04" w:rsidP="009E7D18">
            <w:pPr>
              <w:pStyle w:val="NormalHanging12a"/>
            </w:pPr>
            <w:r w:rsidRPr="00192FCB">
              <w:t>FRA</w:t>
            </w:r>
          </w:p>
        </w:tc>
        <w:tc>
          <w:tcPr>
            <w:tcW w:w="2126" w:type="dxa"/>
            <w:tcBorders>
              <w:top w:val="nil"/>
              <w:left w:val="nil"/>
              <w:bottom w:val="single" w:sz="4" w:space="0" w:color="auto"/>
              <w:right w:val="single" w:sz="4" w:space="0" w:color="auto"/>
            </w:tcBorders>
            <w:noWrap/>
            <w:vAlign w:val="bottom"/>
            <w:hideMark/>
          </w:tcPr>
          <w:p w14:paraId="47358F5A" w14:textId="77777777" w:rsidR="00443B04" w:rsidRPr="00192FCB" w:rsidRDefault="00443B04" w:rsidP="009E7D18">
            <w:pPr>
              <w:pStyle w:val="NormalHanging12a"/>
            </w:pPr>
            <w:r w:rsidRPr="00192FCB">
              <w:t>28 052 521,00 €</w:t>
            </w:r>
          </w:p>
        </w:tc>
        <w:tc>
          <w:tcPr>
            <w:tcW w:w="2126" w:type="dxa"/>
            <w:tcBorders>
              <w:top w:val="nil"/>
              <w:left w:val="nil"/>
              <w:bottom w:val="single" w:sz="4" w:space="0" w:color="auto"/>
              <w:right w:val="single" w:sz="4" w:space="0" w:color="auto"/>
            </w:tcBorders>
            <w:noWrap/>
            <w:vAlign w:val="bottom"/>
            <w:hideMark/>
          </w:tcPr>
          <w:p w14:paraId="6CC93A79" w14:textId="77777777" w:rsidR="00443B04" w:rsidRPr="00192FCB" w:rsidRDefault="00443B04" w:rsidP="009E7D18">
            <w:pPr>
              <w:pStyle w:val="NormalHanging12a"/>
            </w:pPr>
            <w:r w:rsidRPr="00192FCB">
              <w:t>26 191 030,72 €</w:t>
            </w:r>
          </w:p>
        </w:tc>
        <w:tc>
          <w:tcPr>
            <w:tcW w:w="2054" w:type="dxa"/>
            <w:tcBorders>
              <w:top w:val="nil"/>
              <w:left w:val="nil"/>
              <w:bottom w:val="single" w:sz="4" w:space="0" w:color="auto"/>
              <w:right w:val="single" w:sz="4" w:space="0" w:color="auto"/>
            </w:tcBorders>
            <w:shd w:val="clear" w:color="auto" w:fill="FFFFFF"/>
            <w:noWrap/>
            <w:vAlign w:val="center"/>
            <w:hideMark/>
          </w:tcPr>
          <w:p w14:paraId="7ED5186F" w14:textId="77777777" w:rsidR="00443B04" w:rsidRPr="00192FCB" w:rsidRDefault="00443B04" w:rsidP="009E7D18">
            <w:pPr>
              <w:pStyle w:val="NormalHanging12a"/>
            </w:pPr>
            <w:r w:rsidRPr="00192FCB">
              <w:t>7,11%</w:t>
            </w:r>
          </w:p>
        </w:tc>
      </w:tr>
      <w:tr w:rsidR="00443B04" w:rsidRPr="00192FCB" w14:paraId="795FB13E"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28919A78" w14:textId="77777777" w:rsidR="00443B04" w:rsidRPr="00192FCB" w:rsidRDefault="00443B04" w:rsidP="009E7D18">
            <w:pPr>
              <w:pStyle w:val="NormalHanging12a"/>
            </w:pPr>
            <w:r w:rsidRPr="00192FCB">
              <w:lastRenderedPageBreak/>
              <w:t>FRONTEX</w:t>
            </w:r>
          </w:p>
        </w:tc>
        <w:tc>
          <w:tcPr>
            <w:tcW w:w="2126" w:type="dxa"/>
            <w:tcBorders>
              <w:top w:val="nil"/>
              <w:left w:val="nil"/>
              <w:bottom w:val="single" w:sz="4" w:space="0" w:color="auto"/>
              <w:right w:val="single" w:sz="4" w:space="0" w:color="auto"/>
            </w:tcBorders>
            <w:noWrap/>
            <w:vAlign w:val="bottom"/>
            <w:hideMark/>
          </w:tcPr>
          <w:p w14:paraId="74DFA723" w14:textId="77777777" w:rsidR="00443B04" w:rsidRPr="00192FCB" w:rsidRDefault="00443B04" w:rsidP="009E7D18">
            <w:pPr>
              <w:pStyle w:val="NormalHanging12a"/>
            </w:pPr>
            <w:r w:rsidRPr="00192FCB">
              <w:t>922 074 136,00 €</w:t>
            </w:r>
          </w:p>
        </w:tc>
        <w:tc>
          <w:tcPr>
            <w:tcW w:w="2126" w:type="dxa"/>
            <w:tcBorders>
              <w:top w:val="nil"/>
              <w:left w:val="nil"/>
              <w:bottom w:val="single" w:sz="4" w:space="0" w:color="auto"/>
              <w:right w:val="single" w:sz="4" w:space="0" w:color="auto"/>
            </w:tcBorders>
            <w:noWrap/>
            <w:vAlign w:val="bottom"/>
            <w:hideMark/>
          </w:tcPr>
          <w:p w14:paraId="431BD6BC" w14:textId="77777777" w:rsidR="00443B04" w:rsidRPr="00192FCB" w:rsidRDefault="00443B04" w:rsidP="009E7D18">
            <w:pPr>
              <w:pStyle w:val="NormalHanging12a"/>
            </w:pPr>
            <w:r w:rsidRPr="00192FCB">
              <w:t>829 352 752,00 €</w:t>
            </w:r>
          </w:p>
        </w:tc>
        <w:tc>
          <w:tcPr>
            <w:tcW w:w="2054" w:type="dxa"/>
            <w:tcBorders>
              <w:top w:val="nil"/>
              <w:left w:val="nil"/>
              <w:bottom w:val="single" w:sz="4" w:space="0" w:color="auto"/>
              <w:right w:val="single" w:sz="4" w:space="0" w:color="auto"/>
            </w:tcBorders>
            <w:shd w:val="clear" w:color="auto" w:fill="FFFFFF"/>
            <w:noWrap/>
            <w:vAlign w:val="center"/>
            <w:hideMark/>
          </w:tcPr>
          <w:p w14:paraId="1E09CF3A" w14:textId="77777777" w:rsidR="00443B04" w:rsidRPr="00192FCB" w:rsidRDefault="00443B04" w:rsidP="009E7D18">
            <w:pPr>
              <w:pStyle w:val="NormalHanging12a"/>
            </w:pPr>
            <w:r w:rsidRPr="00192FCB">
              <w:t>11,18%</w:t>
            </w:r>
          </w:p>
        </w:tc>
      </w:tr>
      <w:tr w:rsidR="00443B04" w:rsidRPr="00192FCB" w14:paraId="7F9E06B9" w14:textId="77777777" w:rsidTr="009E7D18">
        <w:trPr>
          <w:trHeight w:val="288"/>
        </w:trPr>
        <w:tc>
          <w:tcPr>
            <w:tcW w:w="2122" w:type="dxa"/>
            <w:tcBorders>
              <w:top w:val="nil"/>
              <w:left w:val="single" w:sz="4" w:space="0" w:color="auto"/>
              <w:bottom w:val="single" w:sz="4" w:space="0" w:color="auto"/>
              <w:right w:val="single" w:sz="4" w:space="0" w:color="auto"/>
            </w:tcBorders>
            <w:noWrap/>
            <w:vAlign w:val="bottom"/>
            <w:hideMark/>
          </w:tcPr>
          <w:p w14:paraId="671F9B2C" w14:textId="77777777" w:rsidR="00443B04" w:rsidRPr="00192FCB" w:rsidRDefault="00443B04" w:rsidP="009E7D18">
            <w:pPr>
              <w:pStyle w:val="NormalHanging12a"/>
              <w:rPr>
                <w:b/>
                <w:bCs/>
              </w:rPr>
            </w:pPr>
            <w:r w:rsidRPr="00192FCB">
              <w:rPr>
                <w:b/>
              </w:rPr>
              <w:t>ОБЩО</w:t>
            </w:r>
          </w:p>
        </w:tc>
        <w:tc>
          <w:tcPr>
            <w:tcW w:w="2126" w:type="dxa"/>
            <w:tcBorders>
              <w:top w:val="nil"/>
              <w:left w:val="nil"/>
              <w:bottom w:val="single" w:sz="4" w:space="0" w:color="auto"/>
              <w:right w:val="single" w:sz="4" w:space="0" w:color="auto"/>
            </w:tcBorders>
            <w:noWrap/>
            <w:vAlign w:val="bottom"/>
            <w:hideMark/>
          </w:tcPr>
          <w:p w14:paraId="4290C65E" w14:textId="77777777" w:rsidR="00443B04" w:rsidRPr="00192FCB" w:rsidRDefault="00443B04" w:rsidP="009E7D18">
            <w:pPr>
              <w:pStyle w:val="NormalHanging12a"/>
              <w:rPr>
                <w:b/>
                <w:bCs/>
              </w:rPr>
            </w:pPr>
            <w:r w:rsidRPr="00192FCB">
              <w:rPr>
                <w:b/>
              </w:rPr>
              <w:t>4 112 799 136,00 €</w:t>
            </w:r>
          </w:p>
        </w:tc>
        <w:tc>
          <w:tcPr>
            <w:tcW w:w="2126" w:type="dxa"/>
            <w:tcBorders>
              <w:top w:val="nil"/>
              <w:left w:val="nil"/>
              <w:bottom w:val="single" w:sz="4" w:space="0" w:color="auto"/>
              <w:right w:val="single" w:sz="4" w:space="0" w:color="auto"/>
            </w:tcBorders>
            <w:noWrap/>
            <w:vAlign w:val="bottom"/>
            <w:hideMark/>
          </w:tcPr>
          <w:p w14:paraId="4716E6C1" w14:textId="77777777" w:rsidR="00443B04" w:rsidRPr="00192FCB" w:rsidRDefault="00443B04" w:rsidP="009E7D18">
            <w:pPr>
              <w:pStyle w:val="NormalHanging12a"/>
              <w:rPr>
                <w:b/>
                <w:bCs/>
              </w:rPr>
            </w:pPr>
            <w:r w:rsidRPr="00192FCB">
              <w:rPr>
                <w:b/>
              </w:rPr>
              <w:t>3 741 954 188,71 €</w:t>
            </w:r>
          </w:p>
        </w:tc>
        <w:tc>
          <w:tcPr>
            <w:tcW w:w="2054" w:type="dxa"/>
            <w:tcBorders>
              <w:top w:val="nil"/>
              <w:left w:val="nil"/>
              <w:bottom w:val="single" w:sz="4" w:space="0" w:color="auto"/>
              <w:right w:val="single" w:sz="4" w:space="0" w:color="auto"/>
            </w:tcBorders>
            <w:shd w:val="clear" w:color="auto" w:fill="FFFFFF"/>
            <w:noWrap/>
            <w:vAlign w:val="center"/>
            <w:hideMark/>
          </w:tcPr>
          <w:p w14:paraId="549F5573" w14:textId="77777777" w:rsidR="00443B04" w:rsidRPr="00192FCB" w:rsidRDefault="00443B04" w:rsidP="009E7D18">
            <w:pPr>
              <w:pStyle w:val="NormalHanging12a"/>
              <w:rPr>
                <w:b/>
                <w:bCs/>
              </w:rPr>
            </w:pPr>
            <w:r w:rsidRPr="00192FCB">
              <w:rPr>
                <w:b/>
              </w:rPr>
              <w:t>9,91%</w:t>
            </w:r>
          </w:p>
        </w:tc>
      </w:tr>
    </w:tbl>
    <w:p w14:paraId="6C74E143" w14:textId="5F28A7EC" w:rsidR="00443B04" w:rsidRPr="00192FCB" w:rsidRDefault="00347486" w:rsidP="002054A3">
      <w:pPr>
        <w:pStyle w:val="NormalHanging12a"/>
        <w:spacing w:before="240"/>
      </w:pPr>
      <w:r>
        <w:t>25</w:t>
      </w:r>
      <w:r w:rsidR="00443B04" w:rsidRPr="00192FCB">
        <w:t>.</w:t>
      </w:r>
      <w:r w:rsidR="00443B04" w:rsidRPr="00192FCB">
        <w:tab/>
        <w:t>отбелязва, че бюджетът на 33 агенции на ЕС се е увеличил от 3,6 милиарда евро през 2023 г. на 4,1 милиарда евро през 2024 г.; призовава Комисията да анализира петгодишните кумулативни разходи, като разграничи обусловения от мандата растеж от административното разширяване, и да обоснове допълнителните увеличения с доказуема добавена стойност; подчертава, че увеличението на бюджета трябва да се съпътства от по-силно управление, вътрешен контрол, персонал и планиране на усвояването на средствата, за да се избегнат нередности, преноси и неефективни разходи;</w:t>
      </w:r>
      <w:r w:rsidR="00C503AF">
        <w:t xml:space="preserve"> </w:t>
      </w:r>
      <w:r w:rsidR="00C503AF" w:rsidRPr="00C503AF">
        <w:t>подчертава, че всички допълнителни ресурси за агенциите трябва да бъдат придружени от измерими цели за изпълнение и редовно докладване относно постигнатите конкретни резултати, така че органът по освобождаване от отговорност да може да оцени икономическата ефективност; настоява, че преди да бъде одобрено допълнително финансиране, агенциите трябва най-напред да докажат, че съществуващите ресурси се използват ефективно;</w:t>
      </w:r>
    </w:p>
    <w:p w14:paraId="5AF2C37F" w14:textId="35BEEC77" w:rsidR="00443B04" w:rsidRPr="00192FCB" w:rsidRDefault="00347486" w:rsidP="00443B04">
      <w:pPr>
        <w:pStyle w:val="NormalHanging12a"/>
      </w:pPr>
      <w:r>
        <w:t>26</w:t>
      </w:r>
      <w:r w:rsidR="00443B04" w:rsidRPr="00192FCB">
        <w:t>.</w:t>
      </w:r>
      <w:r w:rsidR="00443B04" w:rsidRPr="00192FCB">
        <w:tab/>
        <w:t>отбелязва, че Агенцията на Европейския съюз за основните права (FRA) и други агенции на ЕС подпомагат европейските институции във връзка с прилагането на правото на Съюза в областта на основните права; призовава Комисията и бюджетния орган да предоставят на всички агенции на ЕС подходящи и предвидими ресурси;</w:t>
      </w:r>
    </w:p>
    <w:p w14:paraId="2E42B83A" w14:textId="78826200" w:rsidR="00443B04" w:rsidRPr="00192FCB" w:rsidRDefault="00347486" w:rsidP="00443B04">
      <w:pPr>
        <w:pStyle w:val="NormalHanging12a"/>
      </w:pPr>
      <w:r>
        <w:t>27</w:t>
      </w:r>
      <w:r w:rsidR="00443B04" w:rsidRPr="00192FCB">
        <w:t>.</w:t>
      </w:r>
      <w:r w:rsidR="00443B04" w:rsidRPr="00192FCB">
        <w:tab/>
        <w:t>подчертава, че увеличението на приходите в периода 2023 – 2024 г. е значително за някои агенции, включително ЕАОС, EIT, ЕОТ, ENISA и EUDA, като увеличението на бюджета е над 21%;</w:t>
      </w:r>
    </w:p>
    <w:p w14:paraId="50A261C9" w14:textId="3CF692DC" w:rsidR="00443B04" w:rsidRPr="00192FCB" w:rsidRDefault="00347486" w:rsidP="00443B04">
      <w:pPr>
        <w:pStyle w:val="NormalHanging12a"/>
      </w:pPr>
      <w:r>
        <w:t>28</w:t>
      </w:r>
      <w:r w:rsidR="00443B04" w:rsidRPr="00192FCB">
        <w:t>.</w:t>
      </w:r>
      <w:r w:rsidR="00443B04" w:rsidRPr="00192FCB">
        <w:tab/>
        <w:t>отбелязва, че увеличението на бюджета на ЕАОС за 2024 г. отразява разширяването на нейните законодателни мандати и оперативни отговорности, произтичащи от прилагането на политиките във връзка с Европейския зелен пакт, като например Регламента за възстановяване на природата (приет в края на 2024 г.), преработения текст на Регламента за Европейския регистър за изпускането и преноса на замърсители (ЕРИПЗ), сертифицирането на ЕС във връзка с поглъщането на въглерод и въглеродното земеделие (ПВВЗ) и инициативата за разширен мониторинг на емисиите от тежкотоварни превозни средства, което беше подкрепено чрез набирането на персонал; отбелязва освен това, че Агенцията също така е изпълнявала задачи по преразгледания Регламент относно земеползването, промените в земеползването и горското стопанство (2023 г.); разбира също така, че новите споразумения за нивото на обслужване с ГД „Морско дело и рибарство“, ГД „Здравеопазване и безопасност на храните“ и ГД „Научни изследвания и иновации“ са разширили ролята на Агенцията във връзка с възстановяването на океаните и водите, заплахите за здравето и интегрирането на данните за околната среда, предоставяйки данни и анализи, които да послужат като основа за политиката на Съюза в областта на околната среда;</w:t>
      </w:r>
    </w:p>
    <w:p w14:paraId="008E3843" w14:textId="5A6CDB4F" w:rsidR="00443B04" w:rsidRPr="00192FCB" w:rsidRDefault="00347486" w:rsidP="00443B04">
      <w:pPr>
        <w:pStyle w:val="NormalHanging12a"/>
      </w:pPr>
      <w:r>
        <w:t>29</w:t>
      </w:r>
      <w:r w:rsidR="00443B04" w:rsidRPr="00192FCB">
        <w:t>.</w:t>
      </w:r>
      <w:r w:rsidR="00443B04" w:rsidRPr="00192FCB">
        <w:tab/>
        <w:t xml:space="preserve">отбелязва, че увеличението на бюджета на EIT се обяснява с няколко фактора, включително повече бюджетни кредити за програма „Хоризонт Европа“ </w:t>
      </w:r>
      <w:r w:rsidR="00443B04" w:rsidRPr="00192FCB">
        <w:lastRenderedPageBreak/>
        <w:t>(+10,25%), 24,6 милиона евро за ново финансиране за инициативата за висшите учебни заведения (ВУЗ) и 16,7 милиона евро за нови споразумения за финансов принос с генерални дирекции на Комисията;</w:t>
      </w:r>
    </w:p>
    <w:p w14:paraId="6B110674" w14:textId="1D265A4A" w:rsidR="00443B04" w:rsidRPr="00192FCB" w:rsidRDefault="00347486" w:rsidP="00443B04">
      <w:pPr>
        <w:pStyle w:val="NormalHanging12a"/>
      </w:pPr>
      <w:r>
        <w:t>30</w:t>
      </w:r>
      <w:r w:rsidR="00443B04" w:rsidRPr="00192FCB">
        <w:t>.</w:t>
      </w:r>
      <w:r w:rsidR="00443B04" w:rsidRPr="00192FCB">
        <w:tab/>
        <w:t>отбелязва, че увеличението на бюджета на ЕОТ през 2024 г. се обяснява предимно с прехода на Агенцията към пълен оперативен капацитет, което изисква значително подобряване на човешките ресурси и оперативните способности; подчертава, че това включва адаптиране на персонала (9,5 милиона евро, 44%), например преобразуване на 15 длъжности за командировани национални експерти в длъжности за срочно наети служители и корекция на възнагражденията, последвано от разширяване на оперативните дейности (7 милиона евро, 33%) във връзка с дейностите по актуализиране на Европейския портал за трудова мобилност и инспекционните дейности, както и разходи във връзка с инфлацията (1,2 милиона евро, 15%) за ИКТ/киберсигурност и инфлационен натиск;</w:t>
      </w:r>
    </w:p>
    <w:p w14:paraId="07317F1D" w14:textId="636294A2" w:rsidR="00443B04" w:rsidRPr="00192FCB" w:rsidRDefault="00347486" w:rsidP="00443B04">
      <w:pPr>
        <w:pStyle w:val="NormalHanging12a"/>
        <w:rPr>
          <w:iCs/>
        </w:rPr>
      </w:pPr>
      <w:r>
        <w:t>31</w:t>
      </w:r>
      <w:r w:rsidR="00443B04" w:rsidRPr="00192FCB">
        <w:t>.</w:t>
      </w:r>
      <w:r w:rsidR="00443B04" w:rsidRPr="00192FCB">
        <w:tab/>
        <w:t>отбелязва, че увеличението на бюджета на ENISA се дължи на първата вноска от 16 милиона евро, получена през февруари 2024 г. във връзка със споразумение за финансов принос, подписано в края на декември 2023 г. между ГД „Съобщителни мрежи, съдържание и технологии“ и ENISA, с което се предоставят общо 20 милиона евро за изпълнението на дейности по киберподкрепа и ситуационен център през периода 2024—2026 г.; разбира, че през 2024 г. Агенцията е работила с бюджет от 26,2 милиона евро, спрямо бюджета от 25,2 милиона евро за 2023 г.;</w:t>
      </w:r>
    </w:p>
    <w:p w14:paraId="10E63B01" w14:textId="57ECFD31" w:rsidR="00443B04" w:rsidRPr="00192FCB" w:rsidRDefault="00347486" w:rsidP="00443B04">
      <w:pPr>
        <w:pStyle w:val="NormalHanging12a"/>
        <w:rPr>
          <w:iCs/>
        </w:rPr>
      </w:pPr>
      <w:r>
        <w:t>32</w:t>
      </w:r>
      <w:r w:rsidR="00443B04" w:rsidRPr="00192FCB">
        <w:t>.</w:t>
      </w:r>
      <w:r w:rsidR="00443B04" w:rsidRPr="00192FCB">
        <w:tab/>
        <w:t>изразява загриженост за това, че ENISA се намира в критично положение поради все по-сложните потребности на Съюза в областта на киберсигурността, продължаващата ескалация на киберзаплахите и липсата на пропорционално финансиране и подходящ персонал; подкрепя заключенията на Съвета относно ENISA от декември 2024 г., в които се подчертава централната роля на ENISA в системата за киберсигурност на Съюза и необходимостта от привеждане на финансирането и ресурсите в съответствие с разширения мандат на Агенцията; подчертава, че допълнителните ресурси трябва да бъдат придружени от измерими цели за изпълнение и редовно докладване относно постигнатите конкретни резултати;</w:t>
      </w:r>
    </w:p>
    <w:p w14:paraId="6B724311" w14:textId="39BA21AF" w:rsidR="00443B04" w:rsidRPr="00192FCB" w:rsidRDefault="00347486" w:rsidP="00443B04">
      <w:pPr>
        <w:pStyle w:val="NormalHanging12a"/>
        <w:rPr>
          <w:iCs/>
        </w:rPr>
      </w:pPr>
      <w:r>
        <w:t>33</w:t>
      </w:r>
      <w:r w:rsidR="00443B04" w:rsidRPr="00192FCB">
        <w:t>.</w:t>
      </w:r>
      <w:r w:rsidR="00443B04" w:rsidRPr="00192FCB">
        <w:tab/>
        <w:t>отбелязва, че при EUDA увеличението се дължи главно на влизането в сила на Регламент (ЕС) 2023/1322, който предвижда целенасочено преразглеждане на мандата на Агенцията, за да може тя да играе по-важна роля при идентифицирането и справянето с настоящите и бъдещите предизвикателства във връзка с незаконните наркотици в Съюза; отбелязва, че това ще доведе до задълбочаване на настоящия мандат на Агенцията, както и до нови задачи и увеличение на ресурсите, предоставяни за обезпечаване на необходимото изпълнение от 2024 г. нататък;</w:t>
      </w:r>
    </w:p>
    <w:p w14:paraId="1983DBBD" w14:textId="34AB0B18" w:rsidR="00443B04" w:rsidRPr="00192FCB" w:rsidRDefault="00347486" w:rsidP="00443B04">
      <w:pPr>
        <w:pStyle w:val="NormalHanging12a"/>
      </w:pPr>
      <w:r>
        <w:t>34</w:t>
      </w:r>
      <w:r w:rsidR="00443B04" w:rsidRPr="00192FCB">
        <w:t>.</w:t>
      </w:r>
      <w:r w:rsidR="00443B04" w:rsidRPr="00192FCB">
        <w:tab/>
        <w:t xml:space="preserve">отбелязва постепенното разширяване на мандата на Европол, включително наскоро приетите и предложени мерки за повишен капацитет за борба с тежката и организираната престъпност, като например контрабандата на мигранти, трафика на хора, киберпрестъпността и тероризма; припомня, че тези промени включват, наред с другото, засилено сътрудничество с частни организации чрез пряк обмен на данни, повишен капацитет за широкомащабен анализ на данни и подобрена оперативна помощ за държавите членки чрез специализирани екипи за подкрепа; подчертава, че ефективното изпълнение на тези допълнителни задачи изисква </w:t>
      </w:r>
      <w:r w:rsidR="00443B04" w:rsidRPr="00192FCB">
        <w:lastRenderedPageBreak/>
        <w:t xml:space="preserve">съответно увеличение на човешките ресурси в Европол, но също така и стабилни вътрешни гаранции, достатъчен капацитет за спазване на изискванията и засилени механизми за надзор; отбелязва, че през 2024 г. бюджетът на Европол се е увеличил с 5,78%, спрямо 2023 г.; призовава настоятелно за допълнително увеличение на бюджета на Европол, за да се преодолее трайният недостиг на персонал и да се гарантира, че финансовите средства на Европол са съизмерими с неговите все по-големи отговорности; подчертава ключовата роля на Европол в борбата с контрабандата на мигранти, трафика на хора, трансграничната престъпност и тероризма; подчертава, че </w:t>
      </w:r>
      <w:proofErr w:type="spellStart"/>
      <w:r w:rsidR="00443B04" w:rsidRPr="00192FCB">
        <w:t>Frontex</w:t>
      </w:r>
      <w:proofErr w:type="spellEnd"/>
      <w:r w:rsidR="00443B04" w:rsidRPr="00192FCB">
        <w:t xml:space="preserve"> следва да се фокусира върху основните си операции; и приветства продължаващите усилия на </w:t>
      </w:r>
      <w:proofErr w:type="spellStart"/>
      <w:r w:rsidR="00443B04" w:rsidRPr="00192FCB">
        <w:t>Frontex</w:t>
      </w:r>
      <w:proofErr w:type="spellEnd"/>
      <w:r w:rsidR="00443B04" w:rsidRPr="00192FCB">
        <w:t xml:space="preserve"> за подпомагане на служителя на тази агенция по въпросите на основните права;</w:t>
      </w:r>
    </w:p>
    <w:p w14:paraId="72919F2C" w14:textId="20D56D5D" w:rsidR="00443B04" w:rsidRPr="00192FCB" w:rsidRDefault="00347486" w:rsidP="00443B04">
      <w:pPr>
        <w:pStyle w:val="NormalHanging12a"/>
      </w:pPr>
      <w:r>
        <w:t>35</w:t>
      </w:r>
      <w:r w:rsidR="00443B04" w:rsidRPr="00192FCB">
        <w:t>.</w:t>
      </w:r>
      <w:r w:rsidR="00443B04" w:rsidRPr="00192FCB">
        <w:tab/>
        <w:t>призовава за увеличаване на персонала на Евроюст с оглед на предвидения му разширен мандат, така че да бъдат включени и трети държави, особено след започването на руската агресивна война срещу Украйна през 2022 г., което да осигури възможност за Евроюст да събира, да съхранява и да анализира доказателства за сериозни международни престъпления (военни престъпления, геноцид, престъпления срещу човечеството) и да споделя тези доказателства с национални и международни органи, включително и Международния наказателен съд, като за целта се създаде специална база данни с доказателства за сериозни международни престъпления и по този начин се премине от обикновена подкрепа за разследванията към активна защита на важните доказателства за бъдещи разследвания; същевременно отбелязва, че бюджетът за 2024 г. показва само скромно процентно увеличение спрямо бюджета за 2023 г., и настоятелно призовава за съответно увеличение на финансирането за служителите, заедно с общия бюджет, с оглед на очаквания бъдещ мандат;</w:t>
      </w:r>
    </w:p>
    <w:p w14:paraId="5794600E" w14:textId="36D153DD" w:rsidR="00443B04" w:rsidRPr="00192FCB" w:rsidRDefault="00347486" w:rsidP="00443B04">
      <w:pPr>
        <w:pStyle w:val="NormalHanging12a"/>
      </w:pPr>
      <w:r>
        <w:t>36</w:t>
      </w:r>
      <w:r w:rsidR="00443B04" w:rsidRPr="00192FCB">
        <w:t>.</w:t>
      </w:r>
      <w:r w:rsidR="00443B04" w:rsidRPr="00192FCB">
        <w:tab/>
        <w:t>припомня, че по-голямата част от агенциите на ЕС се финансират изцяло от вноски от бюджета на Съюза; отбелязва обаче, че някои агенции се финансират изцяло или частично чрез алтернативни източници на приходи, включително дейности като издаване на сертификати и разрешения, регистрация на вещества, вноски, събиране на данни, наблюдение на пазара, надзор и други услуги, като например предоставяните от Центъра за преводи за органите на Европейския съюз (</w:t>
      </w:r>
      <w:proofErr w:type="spellStart"/>
      <w:r w:rsidR="00443B04" w:rsidRPr="00192FCB">
        <w:t>CdT</w:t>
      </w:r>
      <w:proofErr w:type="spellEnd"/>
      <w:r w:rsidR="00443B04" w:rsidRPr="00192FCB">
        <w:t>) услуги по превод и терминология;</w:t>
      </w:r>
    </w:p>
    <w:p w14:paraId="7235E9B3" w14:textId="178B1F47" w:rsidR="00443B04" w:rsidRPr="00192FCB" w:rsidRDefault="00347486" w:rsidP="00443B04">
      <w:pPr>
        <w:pStyle w:val="NormalHanging12a"/>
      </w:pPr>
      <w:r>
        <w:t>37</w:t>
      </w:r>
      <w:r w:rsidR="00443B04" w:rsidRPr="00192FCB">
        <w:t>.</w:t>
      </w:r>
      <w:r w:rsidR="00443B04" w:rsidRPr="00192FCB">
        <w:tab/>
        <w:t>отбелязва по-специално, че:</w:t>
      </w:r>
    </w:p>
    <w:p w14:paraId="19537875" w14:textId="77777777" w:rsidR="00443B04" w:rsidRPr="00192FCB" w:rsidRDefault="00443B04" w:rsidP="00443B04">
      <w:pPr>
        <w:pStyle w:val="NormalHanging12a"/>
        <w:ind w:left="1134"/>
      </w:pPr>
      <w:r w:rsidRPr="00192FCB">
        <w:t>–</w:t>
      </w:r>
      <w:r w:rsidRPr="00192FCB">
        <w:tab/>
        <w:t>частично самофинансиращите се агенции включват Агенцията за сътрудничество между регулаторите на енергия (ACER), Европейската агенция за авиационна безопасност (ЕААБ), Европейската агенция по химикали (ECHA), Европейската агенция по лекарствата (EMA) и Агенцията за железопътен транспорт на Европейския съюз (ERA);</w:t>
      </w:r>
    </w:p>
    <w:p w14:paraId="3240E0DE" w14:textId="77777777" w:rsidR="00443B04" w:rsidRPr="00192FCB" w:rsidRDefault="00443B04" w:rsidP="00443B04">
      <w:pPr>
        <w:pStyle w:val="NormalHanging12a"/>
        <w:ind w:left="1134"/>
      </w:pPr>
      <w:r w:rsidRPr="00192FCB">
        <w:t>–</w:t>
      </w:r>
      <w:r w:rsidRPr="00192FCB">
        <w:tab/>
        <w:t xml:space="preserve">изцяло самофинансиращите се агенции включват и </w:t>
      </w:r>
      <w:proofErr w:type="spellStart"/>
      <w:r w:rsidRPr="00192FCB">
        <w:t>CdT</w:t>
      </w:r>
      <w:proofErr w:type="spellEnd"/>
      <w:r w:rsidRPr="00192FCB">
        <w:t>;</w:t>
      </w:r>
    </w:p>
    <w:p w14:paraId="7DFF7F9C" w14:textId="77777777" w:rsidR="00443B04" w:rsidRPr="00192FCB" w:rsidRDefault="00443B04" w:rsidP="00443B04">
      <w:pPr>
        <w:pStyle w:val="NormalHanging12a"/>
        <w:ind w:left="1134"/>
      </w:pPr>
      <w:r w:rsidRPr="00192FCB">
        <w:t>–</w:t>
      </w:r>
      <w:r w:rsidRPr="00192FCB">
        <w:tab/>
        <w:t>агенциите, които са частично съфинансирани от национални публични органи, включват Европейския банков орган (ЕБО), Европейския орган за застраховане и професионално пенсионно осигуряване (EIOPA) и Европейския орган за ценни книжа и пазари (ESMA);</w:t>
      </w:r>
    </w:p>
    <w:p w14:paraId="4DCF7124" w14:textId="4F3BA00A" w:rsidR="00443B04" w:rsidRPr="00192FCB" w:rsidRDefault="00347486" w:rsidP="00443B04">
      <w:pPr>
        <w:pStyle w:val="NormalHanging12a"/>
      </w:pPr>
      <w:r>
        <w:t>38</w:t>
      </w:r>
      <w:r w:rsidR="00443B04" w:rsidRPr="00192FCB">
        <w:t>.</w:t>
      </w:r>
      <w:r w:rsidR="00443B04" w:rsidRPr="00192FCB">
        <w:tab/>
        <w:t xml:space="preserve">отбелязва, че за 2024 г. източниците на финансиране за самофинансиращите се </w:t>
      </w:r>
      <w:r w:rsidR="00443B04" w:rsidRPr="00192FCB">
        <w:lastRenderedPageBreak/>
        <w:t>агенции, които са включени в настоящата резолюция, са разпределени както следва:</w:t>
      </w:r>
    </w:p>
    <w:tbl>
      <w:tblPr>
        <w:tblStyle w:val="TableGrid"/>
        <w:tblW w:w="9433" w:type="dxa"/>
        <w:tblLook w:val="04A0" w:firstRow="1" w:lastRow="0" w:firstColumn="1" w:lastColumn="0" w:noHBand="0" w:noVBand="1"/>
      </w:tblPr>
      <w:tblGrid>
        <w:gridCol w:w="1271"/>
        <w:gridCol w:w="1797"/>
        <w:gridCol w:w="1957"/>
        <w:gridCol w:w="656"/>
        <w:gridCol w:w="1780"/>
        <w:gridCol w:w="656"/>
        <w:gridCol w:w="1348"/>
      </w:tblGrid>
      <w:tr w:rsidR="00443B04" w:rsidRPr="00192FCB" w14:paraId="6E08F7D6" w14:textId="77777777" w:rsidTr="009E7D18">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2A345A74" w14:textId="77777777" w:rsidR="00443B04" w:rsidRPr="00192FCB" w:rsidRDefault="00443B04" w:rsidP="009E7D18">
            <w:pPr>
              <w:pStyle w:val="NormalHanging12a"/>
            </w:pPr>
          </w:p>
        </w:tc>
        <w:tc>
          <w:tcPr>
            <w:tcW w:w="1797" w:type="dxa"/>
            <w:tcBorders>
              <w:top w:val="single" w:sz="4" w:space="0" w:color="auto"/>
              <w:left w:val="single" w:sz="4" w:space="0" w:color="auto"/>
              <w:bottom w:val="single" w:sz="4" w:space="0" w:color="auto"/>
              <w:right w:val="single" w:sz="4" w:space="0" w:color="auto"/>
            </w:tcBorders>
            <w:noWrap/>
            <w:hideMark/>
          </w:tcPr>
          <w:p w14:paraId="357EEEF4" w14:textId="77777777" w:rsidR="00443B04" w:rsidRPr="00192FCB" w:rsidRDefault="00443B04" w:rsidP="009E7D18">
            <w:pPr>
              <w:pStyle w:val="NormalHanging12a"/>
              <w:rPr>
                <w:b/>
                <w:bCs/>
              </w:rPr>
            </w:pPr>
            <w:r w:rsidRPr="00192FCB">
              <w:rPr>
                <w:b/>
              </w:rPr>
              <w:t>Приходи за 2024 г.</w:t>
            </w:r>
          </w:p>
        </w:tc>
        <w:tc>
          <w:tcPr>
            <w:tcW w:w="1957" w:type="dxa"/>
            <w:tcBorders>
              <w:top w:val="single" w:sz="4" w:space="0" w:color="auto"/>
              <w:left w:val="single" w:sz="4" w:space="0" w:color="auto"/>
              <w:bottom w:val="single" w:sz="4" w:space="0" w:color="auto"/>
              <w:right w:val="single" w:sz="4" w:space="0" w:color="auto"/>
            </w:tcBorders>
            <w:noWrap/>
            <w:hideMark/>
          </w:tcPr>
          <w:p w14:paraId="61A1E62C" w14:textId="77777777" w:rsidR="00443B04" w:rsidRPr="00192FCB" w:rsidRDefault="00443B04" w:rsidP="009E7D18">
            <w:pPr>
              <w:pStyle w:val="NormalHanging12a"/>
              <w:rPr>
                <w:b/>
                <w:bCs/>
              </w:rPr>
            </w:pPr>
            <w:r w:rsidRPr="00192FCB">
              <w:rPr>
                <w:b/>
              </w:rPr>
              <w:t xml:space="preserve">Принос на ЕС </w:t>
            </w:r>
          </w:p>
        </w:tc>
        <w:tc>
          <w:tcPr>
            <w:tcW w:w="640" w:type="dxa"/>
            <w:tcBorders>
              <w:top w:val="single" w:sz="4" w:space="0" w:color="auto"/>
              <w:left w:val="single" w:sz="4" w:space="0" w:color="auto"/>
              <w:bottom w:val="single" w:sz="4" w:space="0" w:color="auto"/>
              <w:right w:val="single" w:sz="4" w:space="0" w:color="auto"/>
            </w:tcBorders>
            <w:noWrap/>
            <w:hideMark/>
          </w:tcPr>
          <w:p w14:paraId="1B081687" w14:textId="77777777" w:rsidR="00443B04" w:rsidRPr="00192FCB" w:rsidRDefault="00443B04" w:rsidP="009E7D18">
            <w:pPr>
              <w:pStyle w:val="NormalHanging12a"/>
              <w:rPr>
                <w:b/>
                <w:bCs/>
              </w:rPr>
            </w:pPr>
            <w:r w:rsidRPr="00192FCB">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20550C24" w14:textId="77777777" w:rsidR="00443B04" w:rsidRPr="00192FCB" w:rsidRDefault="00443B04" w:rsidP="009E7D18">
            <w:pPr>
              <w:pStyle w:val="NormalHanging12a"/>
              <w:rPr>
                <w:b/>
                <w:bCs/>
              </w:rPr>
            </w:pPr>
            <w:r w:rsidRPr="00192FCB">
              <w:rPr>
                <w:b/>
              </w:rPr>
              <w:t>Собствени приходи</w:t>
            </w:r>
            <w:r w:rsidRPr="00192FCB">
              <w:rPr>
                <w:vertAlign w:val="superscript"/>
              </w:rPr>
              <w:t xml:space="preserve"> </w:t>
            </w:r>
            <w:r w:rsidRPr="00192FCB">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79BF8569" w14:textId="77777777" w:rsidR="00443B04" w:rsidRPr="00192FCB" w:rsidRDefault="00443B04" w:rsidP="009E7D18">
            <w:pPr>
              <w:pStyle w:val="NormalHanging12a"/>
              <w:rPr>
                <w:b/>
                <w:bCs/>
              </w:rPr>
            </w:pPr>
            <w:r w:rsidRPr="00192FCB">
              <w:rPr>
                <w:b/>
              </w:rPr>
              <w:t>%</w:t>
            </w:r>
          </w:p>
        </w:tc>
        <w:tc>
          <w:tcPr>
            <w:tcW w:w="1348" w:type="dxa"/>
            <w:tcBorders>
              <w:top w:val="single" w:sz="4" w:space="0" w:color="auto"/>
              <w:left w:val="single" w:sz="4" w:space="0" w:color="auto"/>
              <w:bottom w:val="single" w:sz="4" w:space="0" w:color="auto"/>
              <w:right w:val="single" w:sz="4" w:space="0" w:color="auto"/>
            </w:tcBorders>
            <w:noWrap/>
            <w:hideMark/>
          </w:tcPr>
          <w:p w14:paraId="436E0029" w14:textId="77777777" w:rsidR="00443B04" w:rsidRPr="00192FCB" w:rsidRDefault="00443B04" w:rsidP="009E7D18">
            <w:pPr>
              <w:pStyle w:val="NormalHanging12a"/>
              <w:rPr>
                <w:b/>
                <w:bCs/>
              </w:rPr>
            </w:pPr>
            <w:r w:rsidRPr="00192FCB">
              <w:rPr>
                <w:b/>
              </w:rPr>
              <w:t>Други</w:t>
            </w:r>
          </w:p>
        </w:tc>
      </w:tr>
      <w:tr w:rsidR="00443B04" w:rsidRPr="00192FCB" w14:paraId="4E06324E" w14:textId="77777777" w:rsidTr="009E7D1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6918CFDD" w14:textId="77777777" w:rsidR="00443B04" w:rsidRPr="00192FCB" w:rsidRDefault="00443B04" w:rsidP="009E7D18">
            <w:pPr>
              <w:pStyle w:val="NormalHanging12a"/>
            </w:pPr>
            <w:r w:rsidRPr="00192FCB">
              <w:t>ACER</w:t>
            </w:r>
          </w:p>
        </w:tc>
        <w:tc>
          <w:tcPr>
            <w:tcW w:w="1797" w:type="dxa"/>
            <w:tcBorders>
              <w:top w:val="single" w:sz="4" w:space="0" w:color="auto"/>
              <w:left w:val="single" w:sz="4" w:space="0" w:color="auto"/>
              <w:bottom w:val="single" w:sz="4" w:space="0" w:color="auto"/>
              <w:right w:val="single" w:sz="4" w:space="0" w:color="auto"/>
            </w:tcBorders>
            <w:noWrap/>
            <w:hideMark/>
          </w:tcPr>
          <w:p w14:paraId="77EB4CB0" w14:textId="77777777" w:rsidR="00443B04" w:rsidRPr="00192FCB" w:rsidRDefault="00443B04" w:rsidP="009E7D18">
            <w:pPr>
              <w:pStyle w:val="NormalHanging12a"/>
            </w:pPr>
            <w:r w:rsidRPr="00192FCB">
              <w:t>34 679 976 €</w:t>
            </w:r>
          </w:p>
        </w:tc>
        <w:tc>
          <w:tcPr>
            <w:tcW w:w="1957" w:type="dxa"/>
            <w:tcBorders>
              <w:top w:val="single" w:sz="4" w:space="0" w:color="auto"/>
              <w:left w:val="single" w:sz="4" w:space="0" w:color="auto"/>
              <w:bottom w:val="single" w:sz="4" w:space="0" w:color="auto"/>
              <w:right w:val="single" w:sz="4" w:space="0" w:color="auto"/>
            </w:tcBorders>
            <w:noWrap/>
            <w:hideMark/>
          </w:tcPr>
          <w:p w14:paraId="18EA025D" w14:textId="77777777" w:rsidR="00443B04" w:rsidRPr="00192FCB" w:rsidRDefault="00443B04" w:rsidP="009E7D18">
            <w:pPr>
              <w:pStyle w:val="NormalHanging12a"/>
            </w:pPr>
            <w:r w:rsidRPr="00192FCB">
              <w:t>23 012 293 €</w:t>
            </w:r>
          </w:p>
        </w:tc>
        <w:tc>
          <w:tcPr>
            <w:tcW w:w="640" w:type="dxa"/>
            <w:tcBorders>
              <w:top w:val="single" w:sz="4" w:space="0" w:color="auto"/>
              <w:left w:val="single" w:sz="4" w:space="0" w:color="auto"/>
              <w:bottom w:val="single" w:sz="4" w:space="0" w:color="auto"/>
              <w:right w:val="single" w:sz="4" w:space="0" w:color="auto"/>
            </w:tcBorders>
            <w:noWrap/>
            <w:hideMark/>
          </w:tcPr>
          <w:p w14:paraId="6469582A" w14:textId="77777777" w:rsidR="00443B04" w:rsidRPr="00192FCB" w:rsidRDefault="00443B04" w:rsidP="009E7D18">
            <w:pPr>
              <w:pStyle w:val="NormalHanging12a"/>
            </w:pPr>
            <w:r w:rsidRPr="00192FCB">
              <w:t>66%</w:t>
            </w:r>
          </w:p>
        </w:tc>
        <w:tc>
          <w:tcPr>
            <w:tcW w:w="1780" w:type="dxa"/>
            <w:tcBorders>
              <w:top w:val="single" w:sz="4" w:space="0" w:color="auto"/>
              <w:left w:val="single" w:sz="4" w:space="0" w:color="auto"/>
              <w:bottom w:val="single" w:sz="4" w:space="0" w:color="auto"/>
              <w:right w:val="single" w:sz="4" w:space="0" w:color="auto"/>
            </w:tcBorders>
            <w:noWrap/>
            <w:hideMark/>
          </w:tcPr>
          <w:p w14:paraId="38682DCE" w14:textId="77777777" w:rsidR="00443B04" w:rsidRPr="00192FCB" w:rsidRDefault="00443B04" w:rsidP="009E7D18">
            <w:pPr>
              <w:pStyle w:val="NormalHanging12a"/>
            </w:pPr>
            <w:r w:rsidRPr="00192FCB">
              <w:t>11 667 683 €</w:t>
            </w:r>
          </w:p>
        </w:tc>
        <w:tc>
          <w:tcPr>
            <w:tcW w:w="640" w:type="dxa"/>
            <w:tcBorders>
              <w:top w:val="single" w:sz="4" w:space="0" w:color="auto"/>
              <w:left w:val="single" w:sz="4" w:space="0" w:color="auto"/>
              <w:bottom w:val="single" w:sz="4" w:space="0" w:color="auto"/>
              <w:right w:val="single" w:sz="4" w:space="0" w:color="auto"/>
            </w:tcBorders>
            <w:noWrap/>
            <w:hideMark/>
          </w:tcPr>
          <w:p w14:paraId="0FB21CEB" w14:textId="77777777" w:rsidR="00443B04" w:rsidRPr="00192FCB" w:rsidRDefault="00443B04" w:rsidP="009E7D18">
            <w:pPr>
              <w:pStyle w:val="NormalHanging12a"/>
            </w:pPr>
            <w:r w:rsidRPr="00192FCB">
              <w:t>34%</w:t>
            </w:r>
          </w:p>
        </w:tc>
        <w:tc>
          <w:tcPr>
            <w:tcW w:w="1348" w:type="dxa"/>
            <w:tcBorders>
              <w:top w:val="single" w:sz="4" w:space="0" w:color="auto"/>
              <w:left w:val="single" w:sz="4" w:space="0" w:color="auto"/>
              <w:bottom w:val="single" w:sz="4" w:space="0" w:color="auto"/>
              <w:right w:val="single" w:sz="4" w:space="0" w:color="auto"/>
            </w:tcBorders>
            <w:noWrap/>
            <w:hideMark/>
          </w:tcPr>
          <w:p w14:paraId="3F0C181F" w14:textId="77777777" w:rsidR="00443B04" w:rsidRPr="00192FCB" w:rsidRDefault="00443B04" w:rsidP="009E7D18">
            <w:pPr>
              <w:pStyle w:val="NormalHanging12a"/>
            </w:pPr>
            <w:r w:rsidRPr="00192FCB">
              <w:t>€0</w:t>
            </w:r>
          </w:p>
        </w:tc>
      </w:tr>
      <w:tr w:rsidR="00443B04" w:rsidRPr="00192FCB" w14:paraId="7541E8B6" w14:textId="77777777" w:rsidTr="009E7D1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EC4BA64" w14:textId="77777777" w:rsidR="00443B04" w:rsidRPr="00192FCB" w:rsidRDefault="00443B04" w:rsidP="009E7D18">
            <w:pPr>
              <w:pStyle w:val="NormalHanging12a"/>
            </w:pPr>
            <w:r w:rsidRPr="00192FCB">
              <w:t xml:space="preserve">CDT </w:t>
            </w:r>
          </w:p>
        </w:tc>
        <w:tc>
          <w:tcPr>
            <w:tcW w:w="1797" w:type="dxa"/>
            <w:tcBorders>
              <w:top w:val="single" w:sz="4" w:space="0" w:color="auto"/>
              <w:left w:val="single" w:sz="4" w:space="0" w:color="auto"/>
              <w:bottom w:val="single" w:sz="4" w:space="0" w:color="auto"/>
              <w:right w:val="single" w:sz="4" w:space="0" w:color="auto"/>
            </w:tcBorders>
            <w:noWrap/>
            <w:hideMark/>
          </w:tcPr>
          <w:p w14:paraId="3C2F8949" w14:textId="77777777" w:rsidR="00443B04" w:rsidRPr="00192FCB" w:rsidRDefault="00443B04" w:rsidP="009E7D18">
            <w:pPr>
              <w:pStyle w:val="NormalHanging12a"/>
            </w:pPr>
            <w:r w:rsidRPr="00192FCB">
              <w:t>45 346 300 €</w:t>
            </w:r>
          </w:p>
        </w:tc>
        <w:tc>
          <w:tcPr>
            <w:tcW w:w="1957" w:type="dxa"/>
            <w:tcBorders>
              <w:top w:val="single" w:sz="4" w:space="0" w:color="auto"/>
              <w:left w:val="single" w:sz="4" w:space="0" w:color="auto"/>
              <w:bottom w:val="single" w:sz="4" w:space="0" w:color="auto"/>
              <w:right w:val="single" w:sz="4" w:space="0" w:color="auto"/>
            </w:tcBorders>
            <w:noWrap/>
            <w:hideMark/>
          </w:tcPr>
          <w:p w14:paraId="06B29222" w14:textId="77777777" w:rsidR="00443B04" w:rsidRPr="00192FCB" w:rsidRDefault="00443B04" w:rsidP="009E7D18">
            <w:pPr>
              <w:pStyle w:val="NormalHanging12a"/>
            </w:pPr>
            <w:r w:rsidRPr="00192FCB">
              <w:t>€0</w:t>
            </w:r>
          </w:p>
        </w:tc>
        <w:tc>
          <w:tcPr>
            <w:tcW w:w="640" w:type="dxa"/>
            <w:tcBorders>
              <w:top w:val="single" w:sz="4" w:space="0" w:color="auto"/>
              <w:left w:val="single" w:sz="4" w:space="0" w:color="auto"/>
              <w:bottom w:val="single" w:sz="4" w:space="0" w:color="auto"/>
              <w:right w:val="single" w:sz="4" w:space="0" w:color="auto"/>
            </w:tcBorders>
            <w:noWrap/>
            <w:hideMark/>
          </w:tcPr>
          <w:p w14:paraId="0B9CE950" w14:textId="77777777" w:rsidR="00443B04" w:rsidRPr="00192FCB" w:rsidRDefault="00443B04" w:rsidP="009E7D18">
            <w:pPr>
              <w:pStyle w:val="NormalHanging12a"/>
            </w:pPr>
            <w:r w:rsidRPr="00192FCB">
              <w:t>0%</w:t>
            </w:r>
          </w:p>
        </w:tc>
        <w:tc>
          <w:tcPr>
            <w:tcW w:w="1780" w:type="dxa"/>
            <w:tcBorders>
              <w:top w:val="single" w:sz="4" w:space="0" w:color="auto"/>
              <w:left w:val="single" w:sz="4" w:space="0" w:color="auto"/>
              <w:bottom w:val="single" w:sz="4" w:space="0" w:color="auto"/>
              <w:right w:val="single" w:sz="4" w:space="0" w:color="auto"/>
            </w:tcBorders>
            <w:noWrap/>
            <w:hideMark/>
          </w:tcPr>
          <w:p w14:paraId="1DAF5611" w14:textId="77777777" w:rsidR="00443B04" w:rsidRPr="00192FCB" w:rsidRDefault="00443B04" w:rsidP="009E7D18">
            <w:pPr>
              <w:pStyle w:val="NormalHanging12a"/>
            </w:pPr>
            <w:r w:rsidRPr="00192FCB">
              <w:t>44 411 200 €</w:t>
            </w:r>
          </w:p>
        </w:tc>
        <w:tc>
          <w:tcPr>
            <w:tcW w:w="640" w:type="dxa"/>
            <w:tcBorders>
              <w:top w:val="single" w:sz="4" w:space="0" w:color="auto"/>
              <w:left w:val="single" w:sz="4" w:space="0" w:color="auto"/>
              <w:bottom w:val="single" w:sz="4" w:space="0" w:color="auto"/>
              <w:right w:val="single" w:sz="4" w:space="0" w:color="auto"/>
            </w:tcBorders>
            <w:noWrap/>
            <w:hideMark/>
          </w:tcPr>
          <w:p w14:paraId="6A857FE6" w14:textId="77777777" w:rsidR="00443B04" w:rsidRPr="00192FCB" w:rsidRDefault="00443B04" w:rsidP="009E7D18">
            <w:pPr>
              <w:pStyle w:val="NormalHanging12a"/>
            </w:pPr>
            <w:r w:rsidRPr="00192FCB">
              <w:t>98%</w:t>
            </w:r>
          </w:p>
        </w:tc>
        <w:tc>
          <w:tcPr>
            <w:tcW w:w="1348" w:type="dxa"/>
            <w:tcBorders>
              <w:top w:val="single" w:sz="4" w:space="0" w:color="auto"/>
              <w:left w:val="single" w:sz="4" w:space="0" w:color="auto"/>
              <w:bottom w:val="single" w:sz="4" w:space="0" w:color="auto"/>
              <w:right w:val="single" w:sz="4" w:space="0" w:color="auto"/>
            </w:tcBorders>
            <w:noWrap/>
            <w:hideMark/>
          </w:tcPr>
          <w:p w14:paraId="1E887D76" w14:textId="77777777" w:rsidR="00443B04" w:rsidRPr="00192FCB" w:rsidRDefault="00443B04" w:rsidP="009E7D18">
            <w:pPr>
              <w:pStyle w:val="NormalHanging12a"/>
            </w:pPr>
            <w:r w:rsidRPr="00192FCB">
              <w:t>935,100 €</w:t>
            </w:r>
          </w:p>
        </w:tc>
      </w:tr>
      <w:tr w:rsidR="00443B04" w:rsidRPr="00192FCB" w14:paraId="16658ABC" w14:textId="77777777" w:rsidTr="009E7D1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C898DF1" w14:textId="77777777" w:rsidR="00443B04" w:rsidRPr="00192FCB" w:rsidRDefault="00443B04" w:rsidP="009E7D18">
            <w:pPr>
              <w:pStyle w:val="NormalHanging12a"/>
            </w:pPr>
            <w:r w:rsidRPr="00192FCB">
              <w:t xml:space="preserve">ЕААБ </w:t>
            </w:r>
          </w:p>
        </w:tc>
        <w:tc>
          <w:tcPr>
            <w:tcW w:w="1797" w:type="dxa"/>
            <w:tcBorders>
              <w:top w:val="single" w:sz="4" w:space="0" w:color="auto"/>
              <w:left w:val="single" w:sz="4" w:space="0" w:color="auto"/>
              <w:bottom w:val="single" w:sz="4" w:space="0" w:color="auto"/>
              <w:right w:val="single" w:sz="4" w:space="0" w:color="auto"/>
            </w:tcBorders>
            <w:noWrap/>
            <w:hideMark/>
          </w:tcPr>
          <w:p w14:paraId="44175242" w14:textId="77777777" w:rsidR="00443B04" w:rsidRPr="00192FCB" w:rsidRDefault="00443B04" w:rsidP="009E7D18">
            <w:pPr>
              <w:pStyle w:val="NormalHanging12a"/>
            </w:pPr>
            <w:r w:rsidRPr="00192FCB">
              <w:t>183 306 903,00 €</w:t>
            </w:r>
          </w:p>
        </w:tc>
        <w:tc>
          <w:tcPr>
            <w:tcW w:w="1957" w:type="dxa"/>
            <w:tcBorders>
              <w:top w:val="single" w:sz="4" w:space="0" w:color="auto"/>
              <w:left w:val="single" w:sz="4" w:space="0" w:color="auto"/>
              <w:bottom w:val="single" w:sz="4" w:space="0" w:color="auto"/>
              <w:right w:val="single" w:sz="4" w:space="0" w:color="auto"/>
            </w:tcBorders>
            <w:noWrap/>
            <w:hideMark/>
          </w:tcPr>
          <w:p w14:paraId="4DBB839E" w14:textId="77777777" w:rsidR="00443B04" w:rsidRPr="00192FCB" w:rsidRDefault="00443B04" w:rsidP="009E7D18">
            <w:pPr>
              <w:pStyle w:val="NormalHanging12a"/>
            </w:pPr>
            <w:r w:rsidRPr="00192FCB">
              <w:t>44 984 486 €</w:t>
            </w:r>
          </w:p>
        </w:tc>
        <w:tc>
          <w:tcPr>
            <w:tcW w:w="640" w:type="dxa"/>
            <w:tcBorders>
              <w:top w:val="single" w:sz="4" w:space="0" w:color="auto"/>
              <w:left w:val="single" w:sz="4" w:space="0" w:color="auto"/>
              <w:bottom w:val="single" w:sz="4" w:space="0" w:color="auto"/>
              <w:right w:val="single" w:sz="4" w:space="0" w:color="auto"/>
            </w:tcBorders>
            <w:noWrap/>
            <w:hideMark/>
          </w:tcPr>
          <w:p w14:paraId="2DB535D7" w14:textId="77777777" w:rsidR="00443B04" w:rsidRPr="00192FCB" w:rsidRDefault="00443B04" w:rsidP="009E7D18">
            <w:pPr>
              <w:pStyle w:val="NormalHanging12a"/>
            </w:pPr>
            <w:r w:rsidRPr="00192FCB">
              <w:t>25%</w:t>
            </w:r>
          </w:p>
        </w:tc>
        <w:tc>
          <w:tcPr>
            <w:tcW w:w="1780" w:type="dxa"/>
            <w:tcBorders>
              <w:top w:val="single" w:sz="4" w:space="0" w:color="auto"/>
              <w:left w:val="single" w:sz="4" w:space="0" w:color="auto"/>
              <w:bottom w:val="single" w:sz="4" w:space="0" w:color="auto"/>
              <w:right w:val="single" w:sz="4" w:space="0" w:color="auto"/>
            </w:tcBorders>
            <w:noWrap/>
            <w:hideMark/>
          </w:tcPr>
          <w:p w14:paraId="1BDF5319" w14:textId="77777777" w:rsidR="00443B04" w:rsidRPr="00192FCB" w:rsidRDefault="00443B04" w:rsidP="009E7D18">
            <w:pPr>
              <w:pStyle w:val="NormalHanging12a"/>
            </w:pPr>
            <w:r w:rsidRPr="00192FCB">
              <w:t>135 687 417 €</w:t>
            </w:r>
          </w:p>
        </w:tc>
        <w:tc>
          <w:tcPr>
            <w:tcW w:w="640" w:type="dxa"/>
            <w:tcBorders>
              <w:top w:val="single" w:sz="4" w:space="0" w:color="auto"/>
              <w:left w:val="single" w:sz="4" w:space="0" w:color="auto"/>
              <w:bottom w:val="single" w:sz="4" w:space="0" w:color="auto"/>
              <w:right w:val="single" w:sz="4" w:space="0" w:color="auto"/>
            </w:tcBorders>
            <w:noWrap/>
            <w:hideMark/>
          </w:tcPr>
          <w:p w14:paraId="61839F53" w14:textId="77777777" w:rsidR="00443B04" w:rsidRPr="00192FCB" w:rsidRDefault="00443B04" w:rsidP="009E7D18">
            <w:pPr>
              <w:pStyle w:val="NormalHanging12a"/>
            </w:pPr>
            <w:r w:rsidRPr="00192FCB">
              <w:t>74%</w:t>
            </w:r>
          </w:p>
        </w:tc>
        <w:tc>
          <w:tcPr>
            <w:tcW w:w="1348" w:type="dxa"/>
            <w:tcBorders>
              <w:top w:val="single" w:sz="4" w:space="0" w:color="auto"/>
              <w:left w:val="single" w:sz="4" w:space="0" w:color="auto"/>
              <w:bottom w:val="single" w:sz="4" w:space="0" w:color="auto"/>
              <w:right w:val="single" w:sz="4" w:space="0" w:color="auto"/>
            </w:tcBorders>
            <w:noWrap/>
            <w:hideMark/>
          </w:tcPr>
          <w:p w14:paraId="11842AAB" w14:textId="77777777" w:rsidR="00443B04" w:rsidRPr="00192FCB" w:rsidRDefault="00443B04" w:rsidP="009E7D18">
            <w:pPr>
              <w:pStyle w:val="NormalHanging12a"/>
            </w:pPr>
            <w:r w:rsidRPr="00192FCB">
              <w:t>2 635 000 €</w:t>
            </w:r>
          </w:p>
        </w:tc>
      </w:tr>
      <w:tr w:rsidR="00443B04" w:rsidRPr="00192FCB" w14:paraId="76B9C8F5" w14:textId="77777777" w:rsidTr="009E7D1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0881301" w14:textId="77777777" w:rsidR="00443B04" w:rsidRPr="00192FCB" w:rsidRDefault="00443B04" w:rsidP="009E7D18">
            <w:pPr>
              <w:pStyle w:val="NormalHanging12a"/>
            </w:pPr>
            <w:r w:rsidRPr="00192FCB">
              <w:t xml:space="preserve">EБО </w:t>
            </w:r>
            <w:r w:rsidRPr="00192FCB">
              <w:rPr>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0F4DFCDC" w14:textId="77777777" w:rsidR="00443B04" w:rsidRPr="00192FCB" w:rsidRDefault="00443B04" w:rsidP="009E7D18">
            <w:pPr>
              <w:pStyle w:val="NormalHanging12a"/>
            </w:pPr>
            <w:r w:rsidRPr="00192FCB">
              <w:t>56 906 201 €</w:t>
            </w:r>
          </w:p>
        </w:tc>
        <w:tc>
          <w:tcPr>
            <w:tcW w:w="1957" w:type="dxa"/>
            <w:tcBorders>
              <w:top w:val="single" w:sz="4" w:space="0" w:color="auto"/>
              <w:left w:val="single" w:sz="4" w:space="0" w:color="auto"/>
              <w:bottom w:val="single" w:sz="4" w:space="0" w:color="auto"/>
              <w:right w:val="single" w:sz="4" w:space="0" w:color="auto"/>
            </w:tcBorders>
            <w:noWrap/>
            <w:hideMark/>
          </w:tcPr>
          <w:p w14:paraId="3DEA4230" w14:textId="77777777" w:rsidR="00443B04" w:rsidRPr="00192FCB" w:rsidRDefault="00443B04" w:rsidP="009E7D18">
            <w:pPr>
              <w:pStyle w:val="NormalHanging12a"/>
            </w:pPr>
            <w:r w:rsidRPr="00192FCB">
              <w:t>20 857 871 €</w:t>
            </w:r>
          </w:p>
        </w:tc>
        <w:tc>
          <w:tcPr>
            <w:tcW w:w="640" w:type="dxa"/>
            <w:tcBorders>
              <w:top w:val="single" w:sz="4" w:space="0" w:color="auto"/>
              <w:left w:val="single" w:sz="4" w:space="0" w:color="auto"/>
              <w:bottom w:val="single" w:sz="4" w:space="0" w:color="auto"/>
              <w:right w:val="single" w:sz="4" w:space="0" w:color="auto"/>
            </w:tcBorders>
            <w:noWrap/>
            <w:hideMark/>
          </w:tcPr>
          <w:p w14:paraId="5EFA031A" w14:textId="77777777" w:rsidR="00443B04" w:rsidRPr="00192FCB" w:rsidRDefault="00443B04" w:rsidP="009E7D18">
            <w:pPr>
              <w:pStyle w:val="NormalHanging12a"/>
            </w:pPr>
            <w:r w:rsidRPr="00192FCB">
              <w:t>37%</w:t>
            </w:r>
          </w:p>
        </w:tc>
        <w:tc>
          <w:tcPr>
            <w:tcW w:w="1780" w:type="dxa"/>
            <w:tcBorders>
              <w:top w:val="single" w:sz="4" w:space="0" w:color="auto"/>
              <w:left w:val="single" w:sz="4" w:space="0" w:color="auto"/>
              <w:bottom w:val="single" w:sz="4" w:space="0" w:color="auto"/>
              <w:right w:val="single" w:sz="4" w:space="0" w:color="auto"/>
            </w:tcBorders>
            <w:noWrap/>
            <w:hideMark/>
          </w:tcPr>
          <w:p w14:paraId="3855EA37" w14:textId="77777777" w:rsidR="00443B04" w:rsidRPr="00192FCB" w:rsidRDefault="00443B04" w:rsidP="009E7D18">
            <w:pPr>
              <w:pStyle w:val="NormalHanging12a"/>
            </w:pPr>
            <w:r w:rsidRPr="00192FCB">
              <w:t>34 062 640 €</w:t>
            </w:r>
          </w:p>
        </w:tc>
        <w:tc>
          <w:tcPr>
            <w:tcW w:w="640" w:type="dxa"/>
            <w:tcBorders>
              <w:top w:val="single" w:sz="4" w:space="0" w:color="auto"/>
              <w:left w:val="single" w:sz="4" w:space="0" w:color="auto"/>
              <w:bottom w:val="single" w:sz="4" w:space="0" w:color="auto"/>
              <w:right w:val="single" w:sz="4" w:space="0" w:color="auto"/>
            </w:tcBorders>
            <w:noWrap/>
            <w:hideMark/>
          </w:tcPr>
          <w:p w14:paraId="53071DCA" w14:textId="77777777" w:rsidR="00443B04" w:rsidRPr="00192FCB" w:rsidRDefault="00443B04" w:rsidP="009E7D18">
            <w:pPr>
              <w:pStyle w:val="NormalHanging12a"/>
            </w:pPr>
            <w:r w:rsidRPr="00192FCB">
              <w:t>60%</w:t>
            </w:r>
          </w:p>
        </w:tc>
        <w:tc>
          <w:tcPr>
            <w:tcW w:w="1348" w:type="dxa"/>
            <w:tcBorders>
              <w:top w:val="single" w:sz="4" w:space="0" w:color="auto"/>
              <w:left w:val="single" w:sz="4" w:space="0" w:color="auto"/>
              <w:bottom w:val="single" w:sz="4" w:space="0" w:color="auto"/>
              <w:right w:val="single" w:sz="4" w:space="0" w:color="auto"/>
            </w:tcBorders>
            <w:noWrap/>
            <w:hideMark/>
          </w:tcPr>
          <w:p w14:paraId="530EB81B" w14:textId="77777777" w:rsidR="00443B04" w:rsidRPr="00192FCB" w:rsidRDefault="00443B04" w:rsidP="009E7D18">
            <w:pPr>
              <w:pStyle w:val="NormalHanging12a"/>
            </w:pPr>
            <w:r w:rsidRPr="00192FCB">
              <w:t>1 985 690 €</w:t>
            </w:r>
          </w:p>
        </w:tc>
      </w:tr>
      <w:tr w:rsidR="00443B04" w:rsidRPr="00192FCB" w14:paraId="33784552" w14:textId="77777777" w:rsidTr="009E7D1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05F6773" w14:textId="77777777" w:rsidR="00443B04" w:rsidRPr="00192FCB" w:rsidRDefault="00443B04" w:rsidP="009E7D18">
            <w:pPr>
              <w:pStyle w:val="NormalHanging12a"/>
            </w:pPr>
            <w:r w:rsidRPr="00192FCB">
              <w:t xml:space="preserve">ECHA </w:t>
            </w:r>
          </w:p>
        </w:tc>
        <w:tc>
          <w:tcPr>
            <w:tcW w:w="1797" w:type="dxa"/>
            <w:tcBorders>
              <w:top w:val="single" w:sz="4" w:space="0" w:color="auto"/>
              <w:left w:val="single" w:sz="4" w:space="0" w:color="auto"/>
              <w:bottom w:val="single" w:sz="4" w:space="0" w:color="auto"/>
              <w:right w:val="single" w:sz="4" w:space="0" w:color="auto"/>
            </w:tcBorders>
            <w:noWrap/>
            <w:hideMark/>
          </w:tcPr>
          <w:p w14:paraId="771077C6" w14:textId="77777777" w:rsidR="00443B04" w:rsidRPr="00192FCB" w:rsidRDefault="00443B04" w:rsidP="009E7D18">
            <w:pPr>
              <w:pStyle w:val="NormalHanging12a"/>
            </w:pPr>
            <w:r w:rsidRPr="00192FCB">
              <w:t>128 712 666 €</w:t>
            </w:r>
          </w:p>
        </w:tc>
        <w:tc>
          <w:tcPr>
            <w:tcW w:w="1957" w:type="dxa"/>
            <w:tcBorders>
              <w:top w:val="single" w:sz="4" w:space="0" w:color="auto"/>
              <w:left w:val="single" w:sz="4" w:space="0" w:color="auto"/>
              <w:bottom w:val="single" w:sz="4" w:space="0" w:color="auto"/>
              <w:right w:val="single" w:sz="4" w:space="0" w:color="auto"/>
            </w:tcBorders>
            <w:noWrap/>
            <w:hideMark/>
          </w:tcPr>
          <w:p w14:paraId="4DCFCE55" w14:textId="77777777" w:rsidR="00443B04" w:rsidRPr="00192FCB" w:rsidRDefault="00443B04" w:rsidP="009E7D18">
            <w:pPr>
              <w:pStyle w:val="NormalHanging12a"/>
            </w:pPr>
            <w:r w:rsidRPr="00192FCB">
              <w:t>88 028 813 €</w:t>
            </w:r>
          </w:p>
        </w:tc>
        <w:tc>
          <w:tcPr>
            <w:tcW w:w="640" w:type="dxa"/>
            <w:tcBorders>
              <w:top w:val="single" w:sz="4" w:space="0" w:color="auto"/>
              <w:left w:val="single" w:sz="4" w:space="0" w:color="auto"/>
              <w:bottom w:val="single" w:sz="4" w:space="0" w:color="auto"/>
              <w:right w:val="single" w:sz="4" w:space="0" w:color="auto"/>
            </w:tcBorders>
            <w:noWrap/>
            <w:hideMark/>
          </w:tcPr>
          <w:p w14:paraId="382B5FD5" w14:textId="77777777" w:rsidR="00443B04" w:rsidRPr="00192FCB" w:rsidRDefault="00443B04" w:rsidP="009E7D18">
            <w:pPr>
              <w:pStyle w:val="NormalHanging12a"/>
            </w:pPr>
            <w:r w:rsidRPr="00192FCB">
              <w:t>68%</w:t>
            </w:r>
          </w:p>
        </w:tc>
        <w:tc>
          <w:tcPr>
            <w:tcW w:w="1780" w:type="dxa"/>
            <w:tcBorders>
              <w:top w:val="single" w:sz="4" w:space="0" w:color="auto"/>
              <w:left w:val="single" w:sz="4" w:space="0" w:color="auto"/>
              <w:bottom w:val="single" w:sz="4" w:space="0" w:color="auto"/>
              <w:right w:val="single" w:sz="4" w:space="0" w:color="auto"/>
            </w:tcBorders>
            <w:noWrap/>
            <w:hideMark/>
          </w:tcPr>
          <w:p w14:paraId="730836C2" w14:textId="77777777" w:rsidR="00443B04" w:rsidRPr="00192FCB" w:rsidRDefault="00443B04" w:rsidP="009E7D18">
            <w:pPr>
              <w:pStyle w:val="NormalHanging12a"/>
            </w:pPr>
            <w:r w:rsidRPr="00192FCB">
              <w:t>34 117 052 €</w:t>
            </w:r>
          </w:p>
        </w:tc>
        <w:tc>
          <w:tcPr>
            <w:tcW w:w="640" w:type="dxa"/>
            <w:tcBorders>
              <w:top w:val="single" w:sz="4" w:space="0" w:color="auto"/>
              <w:left w:val="single" w:sz="4" w:space="0" w:color="auto"/>
              <w:bottom w:val="single" w:sz="4" w:space="0" w:color="auto"/>
              <w:right w:val="single" w:sz="4" w:space="0" w:color="auto"/>
            </w:tcBorders>
            <w:noWrap/>
            <w:hideMark/>
          </w:tcPr>
          <w:p w14:paraId="1D299C27" w14:textId="77777777" w:rsidR="00443B04" w:rsidRPr="00192FCB" w:rsidRDefault="00443B04" w:rsidP="009E7D18">
            <w:pPr>
              <w:pStyle w:val="NormalHanging12a"/>
            </w:pPr>
            <w:r w:rsidRPr="00192FCB">
              <w:t>27%</w:t>
            </w:r>
          </w:p>
        </w:tc>
        <w:tc>
          <w:tcPr>
            <w:tcW w:w="1348" w:type="dxa"/>
            <w:tcBorders>
              <w:top w:val="single" w:sz="4" w:space="0" w:color="auto"/>
              <w:left w:val="single" w:sz="4" w:space="0" w:color="auto"/>
              <w:bottom w:val="single" w:sz="4" w:space="0" w:color="auto"/>
              <w:right w:val="single" w:sz="4" w:space="0" w:color="auto"/>
            </w:tcBorders>
            <w:noWrap/>
            <w:hideMark/>
          </w:tcPr>
          <w:p w14:paraId="60583864" w14:textId="77777777" w:rsidR="00443B04" w:rsidRPr="00192FCB" w:rsidRDefault="00443B04" w:rsidP="009E7D18">
            <w:pPr>
              <w:pStyle w:val="NormalHanging12a"/>
            </w:pPr>
            <w:r w:rsidRPr="00192FCB">
              <w:t>6 566 801 €</w:t>
            </w:r>
          </w:p>
        </w:tc>
      </w:tr>
      <w:tr w:rsidR="00443B04" w:rsidRPr="00192FCB" w14:paraId="5DAE34BC" w14:textId="77777777" w:rsidTr="009E7D1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8083155" w14:textId="77777777" w:rsidR="00443B04" w:rsidRPr="00192FCB" w:rsidRDefault="00443B04" w:rsidP="009E7D18">
            <w:pPr>
              <w:pStyle w:val="NormalHanging12a"/>
            </w:pPr>
            <w:r w:rsidRPr="00192FCB">
              <w:t xml:space="preserve">ЕОЗППО </w:t>
            </w:r>
          </w:p>
        </w:tc>
        <w:tc>
          <w:tcPr>
            <w:tcW w:w="1797" w:type="dxa"/>
            <w:tcBorders>
              <w:top w:val="single" w:sz="4" w:space="0" w:color="auto"/>
              <w:left w:val="single" w:sz="4" w:space="0" w:color="auto"/>
              <w:bottom w:val="single" w:sz="4" w:space="0" w:color="auto"/>
              <w:right w:val="single" w:sz="4" w:space="0" w:color="auto"/>
            </w:tcBorders>
            <w:noWrap/>
            <w:hideMark/>
          </w:tcPr>
          <w:p w14:paraId="5D595BD9" w14:textId="77777777" w:rsidR="00443B04" w:rsidRPr="00192FCB" w:rsidRDefault="00443B04" w:rsidP="009E7D18">
            <w:pPr>
              <w:pStyle w:val="NormalHanging12a"/>
            </w:pPr>
            <w:r w:rsidRPr="00192FCB">
              <w:t>37 561 192 €</w:t>
            </w:r>
          </w:p>
        </w:tc>
        <w:tc>
          <w:tcPr>
            <w:tcW w:w="1957" w:type="dxa"/>
            <w:tcBorders>
              <w:top w:val="single" w:sz="4" w:space="0" w:color="auto"/>
              <w:left w:val="single" w:sz="4" w:space="0" w:color="auto"/>
              <w:bottom w:val="single" w:sz="4" w:space="0" w:color="auto"/>
              <w:right w:val="single" w:sz="4" w:space="0" w:color="auto"/>
            </w:tcBorders>
            <w:noWrap/>
            <w:hideMark/>
          </w:tcPr>
          <w:p w14:paraId="48258918" w14:textId="77777777" w:rsidR="00443B04" w:rsidRPr="00192FCB" w:rsidRDefault="00443B04" w:rsidP="009E7D18">
            <w:pPr>
              <w:pStyle w:val="NormalHanging12a"/>
            </w:pPr>
            <w:r w:rsidRPr="00192FCB">
              <w:t>13 886 130 €</w:t>
            </w:r>
          </w:p>
        </w:tc>
        <w:tc>
          <w:tcPr>
            <w:tcW w:w="640" w:type="dxa"/>
            <w:tcBorders>
              <w:top w:val="single" w:sz="4" w:space="0" w:color="auto"/>
              <w:left w:val="single" w:sz="4" w:space="0" w:color="auto"/>
              <w:bottom w:val="single" w:sz="4" w:space="0" w:color="auto"/>
              <w:right w:val="single" w:sz="4" w:space="0" w:color="auto"/>
            </w:tcBorders>
            <w:noWrap/>
            <w:hideMark/>
          </w:tcPr>
          <w:p w14:paraId="630941D2" w14:textId="77777777" w:rsidR="00443B04" w:rsidRPr="00192FCB" w:rsidRDefault="00443B04" w:rsidP="009E7D18">
            <w:pPr>
              <w:pStyle w:val="NormalHanging12a"/>
            </w:pPr>
            <w:r w:rsidRPr="00192FCB">
              <w:t>37%</w:t>
            </w:r>
          </w:p>
        </w:tc>
        <w:tc>
          <w:tcPr>
            <w:tcW w:w="1780" w:type="dxa"/>
            <w:tcBorders>
              <w:top w:val="single" w:sz="4" w:space="0" w:color="auto"/>
              <w:left w:val="single" w:sz="4" w:space="0" w:color="auto"/>
              <w:bottom w:val="single" w:sz="4" w:space="0" w:color="auto"/>
              <w:right w:val="single" w:sz="4" w:space="0" w:color="auto"/>
            </w:tcBorders>
            <w:noWrap/>
            <w:hideMark/>
          </w:tcPr>
          <w:p w14:paraId="752F08E7" w14:textId="77777777" w:rsidR="00443B04" w:rsidRPr="00192FCB" w:rsidRDefault="00443B04" w:rsidP="009E7D18">
            <w:pPr>
              <w:pStyle w:val="NormalHanging12a"/>
            </w:pPr>
            <w:r w:rsidRPr="00192FCB">
              <w:t>23 035 010 €</w:t>
            </w:r>
          </w:p>
        </w:tc>
        <w:tc>
          <w:tcPr>
            <w:tcW w:w="640" w:type="dxa"/>
            <w:tcBorders>
              <w:top w:val="single" w:sz="4" w:space="0" w:color="auto"/>
              <w:left w:val="single" w:sz="4" w:space="0" w:color="auto"/>
              <w:bottom w:val="single" w:sz="4" w:space="0" w:color="auto"/>
              <w:right w:val="single" w:sz="4" w:space="0" w:color="auto"/>
            </w:tcBorders>
            <w:noWrap/>
            <w:hideMark/>
          </w:tcPr>
          <w:p w14:paraId="28756A2C" w14:textId="77777777" w:rsidR="00443B04" w:rsidRPr="00192FCB" w:rsidRDefault="00443B04" w:rsidP="009E7D18">
            <w:pPr>
              <w:pStyle w:val="NormalHanging12a"/>
            </w:pPr>
            <w:r w:rsidRPr="00192FCB">
              <w:t>61%</w:t>
            </w:r>
          </w:p>
        </w:tc>
        <w:tc>
          <w:tcPr>
            <w:tcW w:w="1348" w:type="dxa"/>
            <w:tcBorders>
              <w:top w:val="single" w:sz="4" w:space="0" w:color="auto"/>
              <w:left w:val="single" w:sz="4" w:space="0" w:color="auto"/>
              <w:bottom w:val="single" w:sz="4" w:space="0" w:color="auto"/>
              <w:right w:val="single" w:sz="4" w:space="0" w:color="auto"/>
            </w:tcBorders>
            <w:noWrap/>
            <w:hideMark/>
          </w:tcPr>
          <w:p w14:paraId="3B76F553" w14:textId="77777777" w:rsidR="00443B04" w:rsidRPr="00192FCB" w:rsidRDefault="00443B04" w:rsidP="009E7D18">
            <w:pPr>
              <w:pStyle w:val="NormalHanging12a"/>
            </w:pPr>
            <w:r w:rsidRPr="00192FCB">
              <w:t>640,052 €</w:t>
            </w:r>
          </w:p>
        </w:tc>
      </w:tr>
      <w:tr w:rsidR="00443B04" w:rsidRPr="00192FCB" w14:paraId="7875A436" w14:textId="77777777" w:rsidTr="009E7D1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F2A0A5A" w14:textId="77777777" w:rsidR="00443B04" w:rsidRPr="00192FCB" w:rsidRDefault="00443B04" w:rsidP="009E7D18">
            <w:pPr>
              <w:pStyle w:val="NormalHanging12a"/>
            </w:pPr>
            <w:r w:rsidRPr="00192FCB">
              <w:t>EMA</w:t>
            </w:r>
            <w:r w:rsidRPr="00192FCB">
              <w:rPr>
                <w:vertAlign w:val="superscript"/>
              </w:rPr>
              <w:footnoteReference w:id="406"/>
            </w:r>
            <w:r w:rsidRPr="00192FCB">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0ADC1AC8" w14:textId="77777777" w:rsidR="00443B04" w:rsidRPr="00192FCB" w:rsidRDefault="00443B04" w:rsidP="009E7D18">
            <w:pPr>
              <w:pStyle w:val="NormalHanging12a"/>
            </w:pPr>
            <w:r w:rsidRPr="00192FCB">
              <w:t>491 862 000 €</w:t>
            </w:r>
          </w:p>
        </w:tc>
        <w:tc>
          <w:tcPr>
            <w:tcW w:w="1957" w:type="dxa"/>
            <w:tcBorders>
              <w:top w:val="single" w:sz="4" w:space="0" w:color="auto"/>
              <w:left w:val="single" w:sz="4" w:space="0" w:color="auto"/>
              <w:bottom w:val="single" w:sz="4" w:space="0" w:color="auto"/>
              <w:right w:val="single" w:sz="4" w:space="0" w:color="auto"/>
            </w:tcBorders>
            <w:noWrap/>
            <w:hideMark/>
          </w:tcPr>
          <w:p w14:paraId="38FC1657" w14:textId="77777777" w:rsidR="00443B04" w:rsidRPr="00192FCB" w:rsidRDefault="00443B04" w:rsidP="009E7D18">
            <w:pPr>
              <w:pStyle w:val="NormalHanging12a"/>
            </w:pPr>
            <w:r w:rsidRPr="00192FCB">
              <w:t>35 826 000 €</w:t>
            </w:r>
          </w:p>
        </w:tc>
        <w:tc>
          <w:tcPr>
            <w:tcW w:w="640" w:type="dxa"/>
            <w:tcBorders>
              <w:top w:val="single" w:sz="4" w:space="0" w:color="auto"/>
              <w:left w:val="single" w:sz="4" w:space="0" w:color="auto"/>
              <w:bottom w:val="single" w:sz="4" w:space="0" w:color="auto"/>
              <w:right w:val="single" w:sz="4" w:space="0" w:color="auto"/>
            </w:tcBorders>
            <w:noWrap/>
            <w:hideMark/>
          </w:tcPr>
          <w:p w14:paraId="39F1DD79" w14:textId="77777777" w:rsidR="00443B04" w:rsidRPr="00192FCB" w:rsidRDefault="00443B04" w:rsidP="009E7D18">
            <w:pPr>
              <w:pStyle w:val="NormalHanging12a"/>
            </w:pPr>
            <w:r w:rsidRPr="00192FCB">
              <w:t>7%</w:t>
            </w:r>
          </w:p>
        </w:tc>
        <w:tc>
          <w:tcPr>
            <w:tcW w:w="1780" w:type="dxa"/>
            <w:tcBorders>
              <w:top w:val="single" w:sz="4" w:space="0" w:color="auto"/>
              <w:left w:val="single" w:sz="4" w:space="0" w:color="auto"/>
              <w:bottom w:val="single" w:sz="4" w:space="0" w:color="auto"/>
              <w:right w:val="single" w:sz="4" w:space="0" w:color="auto"/>
            </w:tcBorders>
            <w:noWrap/>
            <w:hideMark/>
          </w:tcPr>
          <w:p w14:paraId="0ECA4AF2" w14:textId="77777777" w:rsidR="00443B04" w:rsidRPr="00192FCB" w:rsidRDefault="00443B04" w:rsidP="009E7D18">
            <w:pPr>
              <w:pStyle w:val="NormalHanging12a"/>
            </w:pPr>
            <w:r w:rsidRPr="00192FCB">
              <w:t>441 910 000 €</w:t>
            </w:r>
          </w:p>
        </w:tc>
        <w:tc>
          <w:tcPr>
            <w:tcW w:w="640" w:type="dxa"/>
            <w:tcBorders>
              <w:top w:val="single" w:sz="4" w:space="0" w:color="auto"/>
              <w:left w:val="single" w:sz="4" w:space="0" w:color="auto"/>
              <w:bottom w:val="single" w:sz="4" w:space="0" w:color="auto"/>
              <w:right w:val="single" w:sz="4" w:space="0" w:color="auto"/>
            </w:tcBorders>
            <w:noWrap/>
            <w:hideMark/>
          </w:tcPr>
          <w:p w14:paraId="01A9CD2E" w14:textId="77777777" w:rsidR="00443B04" w:rsidRPr="00192FCB" w:rsidRDefault="00443B04" w:rsidP="009E7D18">
            <w:pPr>
              <w:pStyle w:val="NormalHanging12a"/>
            </w:pPr>
            <w:r w:rsidRPr="00192FCB">
              <w:t>90%</w:t>
            </w:r>
          </w:p>
        </w:tc>
        <w:tc>
          <w:tcPr>
            <w:tcW w:w="1348" w:type="dxa"/>
            <w:tcBorders>
              <w:top w:val="single" w:sz="4" w:space="0" w:color="auto"/>
              <w:left w:val="single" w:sz="4" w:space="0" w:color="auto"/>
              <w:bottom w:val="single" w:sz="4" w:space="0" w:color="auto"/>
              <w:right w:val="single" w:sz="4" w:space="0" w:color="auto"/>
            </w:tcBorders>
            <w:noWrap/>
            <w:hideMark/>
          </w:tcPr>
          <w:p w14:paraId="6A311814" w14:textId="77777777" w:rsidR="00443B04" w:rsidRPr="00192FCB" w:rsidRDefault="00443B04" w:rsidP="009E7D18">
            <w:pPr>
              <w:pStyle w:val="NormalHanging12a"/>
            </w:pPr>
            <w:r w:rsidRPr="00192FCB">
              <w:t>14 126 000 €</w:t>
            </w:r>
          </w:p>
        </w:tc>
      </w:tr>
      <w:tr w:rsidR="00443B04" w:rsidRPr="00192FCB" w14:paraId="30DD8E65" w14:textId="77777777" w:rsidTr="009E7D1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42994F7" w14:textId="77777777" w:rsidR="00443B04" w:rsidRPr="00192FCB" w:rsidRDefault="00443B04" w:rsidP="009E7D18">
            <w:pPr>
              <w:pStyle w:val="NormalHanging12a"/>
            </w:pPr>
            <w:r w:rsidRPr="00192FCB">
              <w:t>ERA</w:t>
            </w:r>
          </w:p>
        </w:tc>
        <w:tc>
          <w:tcPr>
            <w:tcW w:w="1797" w:type="dxa"/>
            <w:tcBorders>
              <w:top w:val="single" w:sz="4" w:space="0" w:color="auto"/>
              <w:left w:val="single" w:sz="4" w:space="0" w:color="auto"/>
              <w:bottom w:val="single" w:sz="4" w:space="0" w:color="auto"/>
              <w:right w:val="single" w:sz="4" w:space="0" w:color="auto"/>
            </w:tcBorders>
            <w:noWrap/>
            <w:hideMark/>
          </w:tcPr>
          <w:p w14:paraId="5A44B08E" w14:textId="77777777" w:rsidR="00443B04" w:rsidRPr="00192FCB" w:rsidRDefault="00443B04" w:rsidP="009E7D18">
            <w:pPr>
              <w:pStyle w:val="NormalHanging12a"/>
            </w:pPr>
            <w:r w:rsidRPr="00192FCB">
              <w:t>41 936 376 €</w:t>
            </w:r>
          </w:p>
        </w:tc>
        <w:tc>
          <w:tcPr>
            <w:tcW w:w="1957" w:type="dxa"/>
            <w:tcBorders>
              <w:top w:val="single" w:sz="4" w:space="0" w:color="auto"/>
              <w:left w:val="single" w:sz="4" w:space="0" w:color="auto"/>
              <w:bottom w:val="single" w:sz="4" w:space="0" w:color="auto"/>
              <w:right w:val="single" w:sz="4" w:space="0" w:color="auto"/>
            </w:tcBorders>
            <w:noWrap/>
            <w:hideMark/>
          </w:tcPr>
          <w:p w14:paraId="183615D9" w14:textId="77777777" w:rsidR="00443B04" w:rsidRPr="00192FCB" w:rsidRDefault="00443B04" w:rsidP="009E7D18">
            <w:pPr>
              <w:pStyle w:val="NormalHanging12a"/>
            </w:pPr>
            <w:r w:rsidRPr="00192FCB">
              <w:t>29 000 626 €</w:t>
            </w:r>
          </w:p>
        </w:tc>
        <w:tc>
          <w:tcPr>
            <w:tcW w:w="640" w:type="dxa"/>
            <w:tcBorders>
              <w:top w:val="single" w:sz="4" w:space="0" w:color="auto"/>
              <w:left w:val="single" w:sz="4" w:space="0" w:color="auto"/>
              <w:bottom w:val="single" w:sz="4" w:space="0" w:color="auto"/>
              <w:right w:val="single" w:sz="4" w:space="0" w:color="auto"/>
            </w:tcBorders>
            <w:noWrap/>
            <w:hideMark/>
          </w:tcPr>
          <w:p w14:paraId="6DF0ECA3" w14:textId="77777777" w:rsidR="00443B04" w:rsidRPr="00192FCB" w:rsidRDefault="00443B04" w:rsidP="009E7D18">
            <w:pPr>
              <w:pStyle w:val="NormalHanging12a"/>
            </w:pPr>
            <w:r w:rsidRPr="00192FCB">
              <w:t>69%</w:t>
            </w:r>
          </w:p>
        </w:tc>
        <w:tc>
          <w:tcPr>
            <w:tcW w:w="1780" w:type="dxa"/>
            <w:tcBorders>
              <w:top w:val="single" w:sz="4" w:space="0" w:color="auto"/>
              <w:left w:val="single" w:sz="4" w:space="0" w:color="auto"/>
              <w:bottom w:val="single" w:sz="4" w:space="0" w:color="auto"/>
              <w:right w:val="single" w:sz="4" w:space="0" w:color="auto"/>
            </w:tcBorders>
            <w:noWrap/>
            <w:hideMark/>
          </w:tcPr>
          <w:p w14:paraId="4EB31C01" w14:textId="77777777" w:rsidR="00443B04" w:rsidRPr="00192FCB" w:rsidRDefault="00443B04" w:rsidP="009E7D18">
            <w:pPr>
              <w:pStyle w:val="NormalHanging12a"/>
            </w:pPr>
            <w:r w:rsidRPr="00192FCB">
              <w:t>11 913 156 €</w:t>
            </w:r>
          </w:p>
        </w:tc>
        <w:tc>
          <w:tcPr>
            <w:tcW w:w="640" w:type="dxa"/>
            <w:tcBorders>
              <w:top w:val="single" w:sz="4" w:space="0" w:color="auto"/>
              <w:left w:val="single" w:sz="4" w:space="0" w:color="auto"/>
              <w:bottom w:val="single" w:sz="4" w:space="0" w:color="auto"/>
              <w:right w:val="single" w:sz="4" w:space="0" w:color="auto"/>
            </w:tcBorders>
            <w:noWrap/>
            <w:hideMark/>
          </w:tcPr>
          <w:p w14:paraId="484636B1" w14:textId="77777777" w:rsidR="00443B04" w:rsidRPr="00192FCB" w:rsidRDefault="00443B04" w:rsidP="009E7D18">
            <w:pPr>
              <w:pStyle w:val="NormalHanging12a"/>
            </w:pPr>
            <w:r w:rsidRPr="00192FCB">
              <w:t>28%</w:t>
            </w:r>
          </w:p>
        </w:tc>
        <w:tc>
          <w:tcPr>
            <w:tcW w:w="1348" w:type="dxa"/>
            <w:tcBorders>
              <w:top w:val="single" w:sz="4" w:space="0" w:color="auto"/>
              <w:left w:val="single" w:sz="4" w:space="0" w:color="auto"/>
              <w:bottom w:val="single" w:sz="4" w:space="0" w:color="auto"/>
              <w:right w:val="single" w:sz="4" w:space="0" w:color="auto"/>
            </w:tcBorders>
            <w:noWrap/>
            <w:hideMark/>
          </w:tcPr>
          <w:p w14:paraId="48AD0675" w14:textId="77777777" w:rsidR="00443B04" w:rsidRPr="00192FCB" w:rsidRDefault="00443B04" w:rsidP="009E7D18">
            <w:pPr>
              <w:pStyle w:val="NormalHanging12a"/>
            </w:pPr>
            <w:r w:rsidRPr="00192FCB">
              <w:t>1 022 594 €</w:t>
            </w:r>
          </w:p>
        </w:tc>
      </w:tr>
      <w:tr w:rsidR="00443B04" w:rsidRPr="00192FCB" w14:paraId="6223F7B1" w14:textId="77777777" w:rsidTr="009E7D1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EAC9501" w14:textId="77777777" w:rsidR="00443B04" w:rsidRPr="00192FCB" w:rsidRDefault="00443B04" w:rsidP="009E7D18">
            <w:pPr>
              <w:pStyle w:val="NormalHanging12a"/>
            </w:pPr>
            <w:r w:rsidRPr="00192FCB">
              <w:t>ESMA</w:t>
            </w:r>
            <w:r w:rsidRPr="00192FCB">
              <w:rPr>
                <w:vertAlign w:val="superscript"/>
              </w:rPr>
              <w:footnoteReference w:id="407"/>
            </w:r>
            <w:r w:rsidRPr="00192FCB">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7DDD18CF" w14:textId="77777777" w:rsidR="00443B04" w:rsidRPr="00192FCB" w:rsidRDefault="00443B04" w:rsidP="009E7D18">
            <w:pPr>
              <w:pStyle w:val="NormalHanging12a"/>
            </w:pPr>
            <w:r w:rsidRPr="00192FCB">
              <w:t>76 055 579 €</w:t>
            </w:r>
          </w:p>
        </w:tc>
        <w:tc>
          <w:tcPr>
            <w:tcW w:w="1957" w:type="dxa"/>
            <w:tcBorders>
              <w:top w:val="single" w:sz="4" w:space="0" w:color="auto"/>
              <w:left w:val="single" w:sz="4" w:space="0" w:color="auto"/>
              <w:bottom w:val="single" w:sz="4" w:space="0" w:color="auto"/>
              <w:right w:val="single" w:sz="4" w:space="0" w:color="auto"/>
            </w:tcBorders>
            <w:noWrap/>
            <w:hideMark/>
          </w:tcPr>
          <w:p w14:paraId="260DA80D" w14:textId="77777777" w:rsidR="00443B04" w:rsidRPr="00192FCB" w:rsidRDefault="00443B04" w:rsidP="009E7D18">
            <w:pPr>
              <w:pStyle w:val="NormalHanging12a"/>
            </w:pPr>
            <w:r w:rsidRPr="00192FCB">
              <w:t>19 938 075 €</w:t>
            </w:r>
          </w:p>
        </w:tc>
        <w:tc>
          <w:tcPr>
            <w:tcW w:w="640" w:type="dxa"/>
            <w:tcBorders>
              <w:top w:val="single" w:sz="4" w:space="0" w:color="auto"/>
              <w:left w:val="single" w:sz="4" w:space="0" w:color="auto"/>
              <w:bottom w:val="single" w:sz="4" w:space="0" w:color="auto"/>
              <w:right w:val="single" w:sz="4" w:space="0" w:color="auto"/>
            </w:tcBorders>
            <w:noWrap/>
            <w:hideMark/>
          </w:tcPr>
          <w:p w14:paraId="74F4AF18" w14:textId="77777777" w:rsidR="00443B04" w:rsidRPr="00192FCB" w:rsidRDefault="00443B04" w:rsidP="009E7D18">
            <w:pPr>
              <w:pStyle w:val="NormalHanging12a"/>
            </w:pPr>
            <w:r w:rsidRPr="00192FCB">
              <w:t>26%</w:t>
            </w:r>
          </w:p>
        </w:tc>
        <w:tc>
          <w:tcPr>
            <w:tcW w:w="1780" w:type="dxa"/>
            <w:tcBorders>
              <w:top w:val="single" w:sz="4" w:space="0" w:color="auto"/>
              <w:left w:val="single" w:sz="4" w:space="0" w:color="auto"/>
              <w:bottom w:val="single" w:sz="4" w:space="0" w:color="auto"/>
              <w:right w:val="single" w:sz="4" w:space="0" w:color="auto"/>
            </w:tcBorders>
            <w:noWrap/>
            <w:hideMark/>
          </w:tcPr>
          <w:p w14:paraId="69EE2AA5" w14:textId="77777777" w:rsidR="00443B04" w:rsidRPr="00192FCB" w:rsidRDefault="00443B04" w:rsidP="009E7D18">
            <w:pPr>
              <w:pStyle w:val="NormalHanging12a"/>
            </w:pPr>
            <w:r w:rsidRPr="00192FCB">
              <w:t>54 015 802 €</w:t>
            </w:r>
          </w:p>
        </w:tc>
        <w:tc>
          <w:tcPr>
            <w:tcW w:w="640" w:type="dxa"/>
            <w:tcBorders>
              <w:top w:val="single" w:sz="4" w:space="0" w:color="auto"/>
              <w:left w:val="single" w:sz="4" w:space="0" w:color="auto"/>
              <w:bottom w:val="single" w:sz="4" w:space="0" w:color="auto"/>
              <w:right w:val="single" w:sz="4" w:space="0" w:color="auto"/>
            </w:tcBorders>
            <w:noWrap/>
            <w:hideMark/>
          </w:tcPr>
          <w:p w14:paraId="70E6F0C0" w14:textId="77777777" w:rsidR="00443B04" w:rsidRPr="00192FCB" w:rsidRDefault="00443B04" w:rsidP="009E7D18">
            <w:pPr>
              <w:pStyle w:val="NormalHanging12a"/>
            </w:pPr>
            <w:r w:rsidRPr="00192FCB">
              <w:t>71%</w:t>
            </w:r>
          </w:p>
        </w:tc>
        <w:tc>
          <w:tcPr>
            <w:tcW w:w="1348" w:type="dxa"/>
            <w:tcBorders>
              <w:top w:val="single" w:sz="4" w:space="0" w:color="auto"/>
              <w:left w:val="single" w:sz="4" w:space="0" w:color="auto"/>
              <w:bottom w:val="single" w:sz="4" w:space="0" w:color="auto"/>
              <w:right w:val="single" w:sz="4" w:space="0" w:color="auto"/>
            </w:tcBorders>
            <w:noWrap/>
            <w:hideMark/>
          </w:tcPr>
          <w:p w14:paraId="66AEFCC5" w14:textId="77777777" w:rsidR="00443B04" w:rsidRPr="00192FCB" w:rsidRDefault="00443B04" w:rsidP="009E7D18">
            <w:pPr>
              <w:pStyle w:val="NormalHanging12a"/>
            </w:pPr>
            <w:r w:rsidRPr="00192FCB">
              <w:t>2 101 702 €</w:t>
            </w:r>
          </w:p>
        </w:tc>
      </w:tr>
      <w:tr w:rsidR="00443B04" w:rsidRPr="00192FCB" w14:paraId="7FECC7AC" w14:textId="77777777" w:rsidTr="009E7D1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8E2313F" w14:textId="77777777" w:rsidR="00443B04" w:rsidRPr="00192FCB" w:rsidRDefault="00443B04" w:rsidP="009E7D18">
            <w:pPr>
              <w:pStyle w:val="NormalHanging12a"/>
            </w:pPr>
            <w:r w:rsidRPr="00192FCB">
              <w:t>ОБЩО</w:t>
            </w:r>
          </w:p>
        </w:tc>
        <w:tc>
          <w:tcPr>
            <w:tcW w:w="1797" w:type="dxa"/>
            <w:tcBorders>
              <w:top w:val="single" w:sz="4" w:space="0" w:color="auto"/>
              <w:left w:val="single" w:sz="4" w:space="0" w:color="auto"/>
              <w:bottom w:val="single" w:sz="4" w:space="0" w:color="auto"/>
              <w:right w:val="single" w:sz="4" w:space="0" w:color="auto"/>
            </w:tcBorders>
            <w:noWrap/>
            <w:hideMark/>
          </w:tcPr>
          <w:p w14:paraId="3887FF9A" w14:textId="77777777" w:rsidR="00443B04" w:rsidRPr="00192FCB" w:rsidRDefault="00443B04" w:rsidP="009E7D18">
            <w:pPr>
              <w:pStyle w:val="NormalHanging12a"/>
            </w:pPr>
            <w:r w:rsidRPr="00192FCB">
              <w:t>1 096 367 193 €</w:t>
            </w:r>
          </w:p>
        </w:tc>
        <w:tc>
          <w:tcPr>
            <w:tcW w:w="1957" w:type="dxa"/>
            <w:tcBorders>
              <w:top w:val="single" w:sz="4" w:space="0" w:color="auto"/>
              <w:left w:val="single" w:sz="4" w:space="0" w:color="auto"/>
              <w:bottom w:val="single" w:sz="4" w:space="0" w:color="auto"/>
              <w:right w:val="single" w:sz="4" w:space="0" w:color="auto"/>
            </w:tcBorders>
            <w:noWrap/>
            <w:hideMark/>
          </w:tcPr>
          <w:p w14:paraId="546575E2" w14:textId="77777777" w:rsidR="00443B04" w:rsidRPr="00192FCB" w:rsidRDefault="00443B04" w:rsidP="009E7D18">
            <w:pPr>
              <w:pStyle w:val="NormalHanging12a"/>
            </w:pPr>
            <w:r w:rsidRPr="00192FCB">
              <w:t>275 534 294 €</w:t>
            </w:r>
          </w:p>
        </w:tc>
        <w:tc>
          <w:tcPr>
            <w:tcW w:w="640" w:type="dxa"/>
            <w:tcBorders>
              <w:top w:val="single" w:sz="4" w:space="0" w:color="auto"/>
              <w:left w:val="single" w:sz="4" w:space="0" w:color="auto"/>
              <w:bottom w:val="single" w:sz="4" w:space="0" w:color="auto"/>
              <w:right w:val="single" w:sz="4" w:space="0" w:color="auto"/>
            </w:tcBorders>
            <w:noWrap/>
            <w:hideMark/>
          </w:tcPr>
          <w:p w14:paraId="53684F1E" w14:textId="77777777" w:rsidR="00443B04" w:rsidRPr="00192FCB" w:rsidRDefault="00443B04" w:rsidP="009E7D18">
            <w:pPr>
              <w:pStyle w:val="NormalHanging12a"/>
            </w:pPr>
            <w:r w:rsidRPr="00192FCB">
              <w:t> </w:t>
            </w:r>
          </w:p>
        </w:tc>
        <w:tc>
          <w:tcPr>
            <w:tcW w:w="1780" w:type="dxa"/>
            <w:tcBorders>
              <w:top w:val="single" w:sz="4" w:space="0" w:color="auto"/>
              <w:left w:val="single" w:sz="4" w:space="0" w:color="auto"/>
              <w:bottom w:val="single" w:sz="4" w:space="0" w:color="auto"/>
              <w:right w:val="single" w:sz="4" w:space="0" w:color="auto"/>
            </w:tcBorders>
            <w:noWrap/>
            <w:hideMark/>
          </w:tcPr>
          <w:p w14:paraId="63B020F1" w14:textId="77777777" w:rsidR="00443B04" w:rsidRPr="00192FCB" w:rsidRDefault="00443B04" w:rsidP="009E7D18">
            <w:pPr>
              <w:pStyle w:val="NormalHanging12a"/>
            </w:pPr>
            <w:r w:rsidRPr="00192FCB">
              <w:t>790 819 960 €</w:t>
            </w:r>
          </w:p>
        </w:tc>
        <w:tc>
          <w:tcPr>
            <w:tcW w:w="640" w:type="dxa"/>
            <w:tcBorders>
              <w:top w:val="single" w:sz="4" w:space="0" w:color="auto"/>
              <w:left w:val="single" w:sz="4" w:space="0" w:color="auto"/>
              <w:bottom w:val="single" w:sz="4" w:space="0" w:color="auto"/>
              <w:right w:val="single" w:sz="4" w:space="0" w:color="auto"/>
            </w:tcBorders>
            <w:noWrap/>
            <w:hideMark/>
          </w:tcPr>
          <w:p w14:paraId="76EC9EBB" w14:textId="77777777" w:rsidR="00443B04" w:rsidRPr="00192FCB" w:rsidRDefault="00443B04" w:rsidP="009E7D18">
            <w:pPr>
              <w:pStyle w:val="NormalHanging12a"/>
            </w:pPr>
            <w:r w:rsidRPr="00192FCB">
              <w:t> </w:t>
            </w:r>
          </w:p>
        </w:tc>
        <w:tc>
          <w:tcPr>
            <w:tcW w:w="1348" w:type="dxa"/>
            <w:tcBorders>
              <w:top w:val="single" w:sz="4" w:space="0" w:color="auto"/>
              <w:left w:val="single" w:sz="4" w:space="0" w:color="auto"/>
              <w:bottom w:val="single" w:sz="4" w:space="0" w:color="auto"/>
              <w:right w:val="single" w:sz="4" w:space="0" w:color="auto"/>
            </w:tcBorders>
            <w:noWrap/>
            <w:hideMark/>
          </w:tcPr>
          <w:p w14:paraId="6E925C53" w14:textId="77777777" w:rsidR="00443B04" w:rsidRPr="00192FCB" w:rsidRDefault="00443B04" w:rsidP="009E7D18">
            <w:pPr>
              <w:pStyle w:val="NormalHanging12a"/>
            </w:pPr>
            <w:r w:rsidRPr="00192FCB">
              <w:t>30 012 939 €</w:t>
            </w:r>
          </w:p>
        </w:tc>
      </w:tr>
    </w:tbl>
    <w:p w14:paraId="39B50480" w14:textId="77777777" w:rsidR="00443B04" w:rsidRPr="00192FCB" w:rsidRDefault="00443B04" w:rsidP="00443B04">
      <w:pPr>
        <w:pStyle w:val="NormalHanging12a"/>
      </w:pPr>
    </w:p>
    <w:p w14:paraId="707A7571" w14:textId="3D7770C8" w:rsidR="00443B04" w:rsidRPr="00192FCB" w:rsidRDefault="00347486" w:rsidP="00443B04">
      <w:pPr>
        <w:pStyle w:val="NormalHanging12a"/>
      </w:pPr>
      <w:r>
        <w:t>39</w:t>
      </w:r>
      <w:r w:rsidR="00443B04" w:rsidRPr="00192FCB">
        <w:t>.</w:t>
      </w:r>
      <w:r w:rsidR="00443B04" w:rsidRPr="00192FCB">
        <w:tab/>
        <w:t xml:space="preserve">припомня, че в резолюцията за освобождаване от отговорност във връзка с изпълнението на бюджета за 2023 г. вече беше отбелязано значението на укрепването на европейските надзорни органи (ЕБО, ЕОЗППО и ЕОЦКП); знае, че техните учредителни регламенти не предвиждат разделение между дейностите, които се финансират чрез вноски от Съюза, и дейностите, които се финансират чрез национални вноски, и че общият механизъм за споделяне на разходите не изисква диференциация на ниво отделни дейности, което води до това органите да не правят разлика между разходите, покривани от бюджета на Съюза, и </w:t>
      </w:r>
      <w:r w:rsidR="00443B04" w:rsidRPr="00192FCB">
        <w:lastRenderedPageBreak/>
        <w:t>разходите, финансирани от държавите членки, както се подчертава в годишния доклад на Палатата за 2023 г.;</w:t>
      </w:r>
    </w:p>
    <w:p w14:paraId="24F8732D" w14:textId="2A2E77A2" w:rsidR="00443B04" w:rsidRPr="00192FCB" w:rsidRDefault="00347486" w:rsidP="00443B04">
      <w:pPr>
        <w:pStyle w:val="NormalHanging12a"/>
      </w:pPr>
      <w:r>
        <w:t>40</w:t>
      </w:r>
      <w:r w:rsidR="00443B04" w:rsidRPr="00192FCB">
        <w:t>.</w:t>
      </w:r>
      <w:r w:rsidR="00443B04" w:rsidRPr="00192FCB">
        <w:tab/>
        <w:t>счита, че повишаването на прозрачността при бюджетирането и отчитането по дейности би допринесло за подобряване на надзора и отчетността, по-специално за агенциите, които се финансират чрез множество потоци от приходи, което ще позволи на заинтересованите страни, включително държавите членки, финансовите институции и данъкоплатците, да оценяват по-добре ефикасността и справедливостта; подчертава, че яснотата по отношение на връзката между източниците на приходи и дейностите укрепва доверието в правилното използване на средствата на Съюза, като същевременно се спазва правната рамка, определена в учредителните регламенти на агенциите;</w:t>
      </w:r>
    </w:p>
    <w:p w14:paraId="6A675A64" w14:textId="53B0468F" w:rsidR="00443B04" w:rsidRPr="00192FCB" w:rsidRDefault="00347486" w:rsidP="00443B04">
      <w:pPr>
        <w:pStyle w:val="NormalHanging12a"/>
      </w:pPr>
      <w:r>
        <w:t>41</w:t>
      </w:r>
      <w:r w:rsidR="00443B04" w:rsidRPr="00192FCB">
        <w:t>.</w:t>
      </w:r>
      <w:r w:rsidR="00443B04" w:rsidRPr="00192FCB">
        <w:tab/>
        <w:t>отбелязва предложението на Комисията за Регламент относно Европейската агенция по химикали, с което се въвеждат мерки за укрепване на финансовата устойчивост на Агенцията, включително възможността за създаване на ограничен резерв с цел абсорбиране на колебанията в приходите от такси и намаляване на зависимостта от повтарящи се коригиращи бюджети; подчертава обаче, че създаването на такъв резерв изисква солидни предпазни мерки, тъй като това води до някои рискове, включително структурен излишък на събираните такси и възможността за използване на натрупаните средства за цели, различни от краткосрочното стабилизиране; счита, че следователно прозрачността на разходите и на връзката между таксите и извършваните дейности е важна, включително чрез докладване по дейности, като се прави разграничение между задачите, които се финансират чрез такси, и тези, които се финансират от Съюза; препоръчва резервите над тавана да се връщат обратно в бюджета на Съюза чрез възстановяване на средствата или намаляване на вноската на Съюза за следващата година, с цел да се избегне натрупването на средства и да се спазват основните бюджетни принципи;</w:t>
      </w:r>
    </w:p>
    <w:p w14:paraId="1A038E64" w14:textId="2C8FCB72" w:rsidR="00443B04" w:rsidRPr="00192FCB" w:rsidRDefault="00347486" w:rsidP="00443B04">
      <w:pPr>
        <w:pStyle w:val="NormalHanging12a"/>
      </w:pPr>
      <w:r>
        <w:t>42</w:t>
      </w:r>
      <w:r w:rsidR="00443B04" w:rsidRPr="00192FCB">
        <w:t>.</w:t>
      </w:r>
      <w:r w:rsidR="00443B04" w:rsidRPr="00192FCB">
        <w:tab/>
        <w:t xml:space="preserve">изразява загриженост във връзка с отрицателния икономически резултат на </w:t>
      </w:r>
      <w:proofErr w:type="spellStart"/>
      <w:r w:rsidR="00443B04" w:rsidRPr="00192FCB">
        <w:t>CdT</w:t>
      </w:r>
      <w:proofErr w:type="spellEnd"/>
      <w:r w:rsidR="00443B04" w:rsidRPr="00192FCB">
        <w:t xml:space="preserve"> в размер на 5,7 милиона евро и продължаващия спад на оперативните приходи, свързан главно с намаляването на фактурираните страници с 11,4% за 2024 г. и със 17,6% за 2023 г.; отбелязва, че резервът за стабилност на цените, който беше създаден през 2011 г., за да се компенсират колебанията в обема на поръчките от клиенти и да се подпомогне </w:t>
      </w:r>
      <w:proofErr w:type="spellStart"/>
      <w:r w:rsidR="00443B04" w:rsidRPr="00192FCB">
        <w:t>CdT</w:t>
      </w:r>
      <w:proofErr w:type="spellEnd"/>
      <w:r w:rsidR="00443B04" w:rsidRPr="00192FCB">
        <w:t xml:space="preserve"> да си осигури бюджетна и ценова стабилност, достигна до най-високата си стойност от 15,6 милиона евро през 2014 г. и спадна до 8,9 милиона евро през 2024 г. (намаление с 42,9% от 2014 г. насам); съзнава, че след като резервът бъде напълно изчерпан, всички по-нататъшни дефицити ще трябва да бъдат покривани със субсидии от бюджета на Съюза, както е предвидено в учредителния регламент на </w:t>
      </w:r>
      <w:proofErr w:type="spellStart"/>
      <w:r w:rsidR="00443B04" w:rsidRPr="00192FCB">
        <w:t>CdT</w:t>
      </w:r>
      <w:proofErr w:type="spellEnd"/>
      <w:r w:rsidR="00443B04" w:rsidRPr="00192FCB">
        <w:t xml:space="preserve">; отбелязва последващия отговор на </w:t>
      </w:r>
      <w:proofErr w:type="spellStart"/>
      <w:r w:rsidR="00443B04" w:rsidRPr="00192FCB">
        <w:t>CdT</w:t>
      </w:r>
      <w:proofErr w:type="spellEnd"/>
      <w:r w:rsidR="00443B04" w:rsidRPr="00192FCB">
        <w:t xml:space="preserve"> във връзка с процедурата по освобождаване от отговорност за 2023 г. и призовава управителния съвет да продължи да докладва на органа по освобождаване от отговорност за евентуални промени в тези планове, предвид непрекъснатото намаляване на приходите; насърчава </w:t>
      </w:r>
      <w:proofErr w:type="spellStart"/>
      <w:r w:rsidR="00443B04" w:rsidRPr="00192FCB">
        <w:t>CdT</w:t>
      </w:r>
      <w:proofErr w:type="spellEnd"/>
      <w:r w:rsidR="00443B04" w:rsidRPr="00192FCB">
        <w:t xml:space="preserve"> да идентифицира нови услуги, които той би могъл да предоставя, както и нови източници на приходи, предвид широкото разпространение на нови технологии за безплатен превод, които биха могли да засегнат броя на заявките за преводи;</w:t>
      </w:r>
    </w:p>
    <w:p w14:paraId="157A4090" w14:textId="237C92AE" w:rsidR="00443B04" w:rsidRPr="00192FCB" w:rsidRDefault="00347486" w:rsidP="00443B04">
      <w:pPr>
        <w:pStyle w:val="NormalHanging12a"/>
      </w:pPr>
      <w:r>
        <w:t>43</w:t>
      </w:r>
      <w:r w:rsidR="00443B04" w:rsidRPr="00192FCB">
        <w:t>.</w:t>
      </w:r>
      <w:r w:rsidR="00443B04" w:rsidRPr="00192FCB">
        <w:tab/>
        <w:t xml:space="preserve">настоява върху факта, че макар Финансовият регламент да не поставя таван за преноса на бюджетни кредити, често отчитаното високо равнище на преноси на </w:t>
      </w:r>
      <w:r w:rsidR="00443B04" w:rsidRPr="00192FCB">
        <w:lastRenderedPageBreak/>
        <w:t xml:space="preserve">бюджетни кредити нарушава </w:t>
      </w:r>
      <w:bookmarkStart w:id="6" w:name="_Hlk215651058"/>
      <w:r w:rsidR="00443B04" w:rsidRPr="00192FCB">
        <w:t xml:space="preserve">бюджетния принцип за </w:t>
      </w:r>
      <w:proofErr w:type="spellStart"/>
      <w:r w:rsidR="00443B04" w:rsidRPr="00192FCB">
        <w:t>ежегодност</w:t>
      </w:r>
      <w:bookmarkEnd w:id="6"/>
      <w:proofErr w:type="spellEnd"/>
      <w:r w:rsidR="00443B04" w:rsidRPr="00192FCB">
        <w:t xml:space="preserve"> и това може да е показателно за наличието на структурни проблеми при бюджетния процес и цикъла на изпълнение;</w:t>
      </w:r>
    </w:p>
    <w:p w14:paraId="0E0B8A90" w14:textId="7D13F4E0" w:rsidR="00443B04" w:rsidRPr="00192FCB" w:rsidRDefault="00347486" w:rsidP="00443B04">
      <w:pPr>
        <w:pStyle w:val="NormalHanging12a"/>
      </w:pPr>
      <w:r>
        <w:t>44</w:t>
      </w:r>
      <w:r w:rsidR="00443B04" w:rsidRPr="00192FCB">
        <w:t>.</w:t>
      </w:r>
      <w:r w:rsidR="00443B04" w:rsidRPr="00192FCB">
        <w:tab/>
        <w:t xml:space="preserve">отбелязва, че през 2024 г. 11 агенции (ACER, ECDC, EEA, EFCA, EIGE, ENISA, EU-OSHA, </w:t>
      </w:r>
      <w:proofErr w:type="spellStart"/>
      <w:r w:rsidR="00443B04" w:rsidRPr="00192FCB">
        <w:t>Eurofound</w:t>
      </w:r>
      <w:proofErr w:type="spellEnd"/>
      <w:r w:rsidR="00443B04" w:rsidRPr="00192FCB">
        <w:t xml:space="preserve">, EUSPA, FRA и </w:t>
      </w:r>
      <w:proofErr w:type="spellStart"/>
      <w:r w:rsidR="00443B04" w:rsidRPr="00192FCB">
        <w:t>Frontex</w:t>
      </w:r>
      <w:proofErr w:type="spellEnd"/>
      <w:r w:rsidR="00443B04" w:rsidRPr="00192FCB">
        <w:t xml:space="preserve">) са имали равнище на преносите, надвишаващо 15%, при комбинираните бюджетни дялове, с повтарящи се тенденции; отбелязва, че в случая на </w:t>
      </w:r>
      <w:proofErr w:type="spellStart"/>
      <w:r w:rsidR="00443B04" w:rsidRPr="00192FCB">
        <w:t>Frontex</w:t>
      </w:r>
      <w:proofErr w:type="spellEnd"/>
      <w:r w:rsidR="00443B04" w:rsidRPr="00192FCB">
        <w:t xml:space="preserve"> и ESA преносите надхвърлят съответно 40% и 30%; призовава агенциите да подобрят многогодишното планиране, планирането на обществените поръчки и прогнозирането на поетите задължения, за да подкрепят по-добре усвояването на бюджетните кредити в рамките на финансовата година, за която те са разрешени; призовава Комисията да изиска от агенциите с повтарящи се преноси на бюджетни кредити да представят планове за корективни мерки; припомня, че в своя годишен доклад относно агенциите на ЕС за финансовата 2024 година Палатата подчерта, че повтарящите се високи равнища на преноси подкопават принципа на </w:t>
      </w:r>
      <w:proofErr w:type="spellStart"/>
      <w:r w:rsidR="00443B04" w:rsidRPr="00192FCB">
        <w:t>ежегодност</w:t>
      </w:r>
      <w:proofErr w:type="spellEnd"/>
      <w:r w:rsidR="00443B04" w:rsidRPr="00192FCB">
        <w:t xml:space="preserve"> на бюджета;</w:t>
      </w:r>
    </w:p>
    <w:p w14:paraId="6BCF7D44" w14:textId="01A62326" w:rsidR="00443B04" w:rsidRPr="00192FCB" w:rsidRDefault="00347486" w:rsidP="00443B04">
      <w:pPr>
        <w:pStyle w:val="NormalHanging12a"/>
      </w:pPr>
      <w:r>
        <w:t>45</w:t>
      </w:r>
      <w:r w:rsidR="00443B04" w:rsidRPr="00192FCB">
        <w:t>.</w:t>
      </w:r>
      <w:r w:rsidR="00443B04" w:rsidRPr="00192FCB">
        <w:tab/>
        <w:t>счита, че в някои случаи преносите биха могли да се дължат на многогодишния характер на операциите или да бъдат причинени от фактори извън контрола на съответните агенции; отбелязва изявлението на Палатата, направено по време на изслушването от 1 декември 2025 г., според което при новия си одитен подход тя ще се стреми да предоставя по-ясен цялостен преглед за естеството на преносите в бъдещите си доклади, като същевременно признава пояснението на Палатата, че поради методологични и ресурсни ограничения не може да се направи диференцирана разбивка по агенции на причините за преносите; приветства готовността на Палатата да подчертае повтарящите се схеми и системните фактори, които допринасят за прекомерните преноси на средства; въпреки това подчертава, че трайно високите и повтарящи се равнища на преноси могат да сочат основни структурни предизвикателства при планирането, изпълнението или разпределението на ресурсите; призовава агенциите да подобрят своето бюджетно прогнозиране и планирането на проектите, с цел да се сведат до минимум непланираните преноси и да се гарантира, че бюджетните кредити се използват ефективно в рамките на финансовата година;</w:t>
      </w:r>
    </w:p>
    <w:p w14:paraId="12059A6F" w14:textId="5D9F2053" w:rsidR="00443B04" w:rsidRPr="00192FCB" w:rsidRDefault="00347486" w:rsidP="00443B04">
      <w:pPr>
        <w:pStyle w:val="NormalHanging12a"/>
      </w:pPr>
      <w:r>
        <w:t>46</w:t>
      </w:r>
      <w:r w:rsidR="00443B04" w:rsidRPr="00192FCB">
        <w:t>.</w:t>
      </w:r>
      <w:r w:rsidR="00443B04" w:rsidRPr="00192FCB">
        <w:tab/>
        <w:t xml:space="preserve">припомня, че регулаторната рамка изисква агенциите да извършват плащанията в рамките на определени срокове; отбелязва, че неспазването на тези срокове може да доведе до допълнителни разходи, например начисляването на лихва за забава от кредиторите; отбелязва, че Палатата е докладвала за 2024 г., че при 11 агенции (ACER, </w:t>
      </w:r>
      <w:proofErr w:type="spellStart"/>
      <w:r w:rsidR="00443B04" w:rsidRPr="00192FCB">
        <w:t>Cedefop</w:t>
      </w:r>
      <w:proofErr w:type="spellEnd"/>
      <w:r w:rsidR="00443B04" w:rsidRPr="00192FCB">
        <w:t xml:space="preserve">, CEPOL, ЕАОС, ЕОТ, ENISA, ETF, EUDA, Евроюст, FRA и </w:t>
      </w:r>
      <w:proofErr w:type="spellStart"/>
      <w:r w:rsidR="00443B04" w:rsidRPr="00192FCB">
        <w:t>Frontex</w:t>
      </w:r>
      <w:proofErr w:type="spellEnd"/>
      <w:r w:rsidR="00443B04" w:rsidRPr="00192FCB">
        <w:t>) над 5% от плащанията са били извършени след крайния срок; изразява загриженост за увеличението на забавените плащания от 2022 г. насам, като данните показват увеличение спрямо 2023 г. (девет агенции) и спрямо 2022 г. (пет агенции);</w:t>
      </w:r>
    </w:p>
    <w:p w14:paraId="7C024A32" w14:textId="77777777" w:rsidR="00443B04" w:rsidRPr="00192FCB" w:rsidRDefault="00443B04" w:rsidP="00443B04">
      <w:pPr>
        <w:pStyle w:val="NormalHanging12a"/>
        <w:rPr>
          <w:i/>
          <w:iCs/>
        </w:rPr>
      </w:pPr>
      <w:r w:rsidRPr="00192FCB">
        <w:rPr>
          <w:i/>
        </w:rPr>
        <w:t>Препоръки</w:t>
      </w:r>
    </w:p>
    <w:p w14:paraId="7EE55101" w14:textId="3CA800D9" w:rsidR="00443B04" w:rsidRPr="00192FCB" w:rsidRDefault="00347486" w:rsidP="00443B04">
      <w:pPr>
        <w:pStyle w:val="NormalHanging12a"/>
      </w:pPr>
      <w:r>
        <w:t>47</w:t>
      </w:r>
      <w:r w:rsidR="00443B04" w:rsidRPr="00192FCB">
        <w:t>.</w:t>
      </w:r>
      <w:r w:rsidR="00443B04" w:rsidRPr="00192FCB">
        <w:tab/>
        <w:t xml:space="preserve">настоява, че е необходимо да се гарантира спазването на законоустановените срокове за плащанията, и отбелязва, че твърде честото забавяне на плащанията може да окаже неблагоприятно въздействие върху репутацията на агенциите; призовава съответните агенции да предприемат мерки за избягване на бъдещи </w:t>
      </w:r>
      <w:r w:rsidR="00443B04" w:rsidRPr="00192FCB">
        <w:lastRenderedPageBreak/>
        <w:t>забавяния на плащанията, както и лихви за закъснели плащания, и да гарантират своевременно уреждане на задълженията; припомня, че спазването на сроковете за плащане съгласно Финансовия регламент е правно задължение и основен елемент от финансовото управление; призовава агенциите да приложат корективни мерки в случаите, когато забавените плащания се проточват в продължение на няколко години, като се гарантира системно спазване на законоустановените срокове;</w:t>
      </w:r>
    </w:p>
    <w:p w14:paraId="3E61827B" w14:textId="14354AF8" w:rsidR="00443B04" w:rsidRPr="00192FCB" w:rsidRDefault="00347486" w:rsidP="00443B04">
      <w:pPr>
        <w:pStyle w:val="NormalHanging12a"/>
        <w:rPr>
          <w:u w:val="single"/>
        </w:rPr>
      </w:pPr>
      <w:r>
        <w:t>48</w:t>
      </w:r>
      <w:r w:rsidR="00443B04" w:rsidRPr="00192FCB">
        <w:t>.</w:t>
      </w:r>
      <w:r w:rsidR="00443B04" w:rsidRPr="00192FCB">
        <w:tab/>
        <w:t>призовава европейските надзорни органи (ЕБО, ЕОЗППО и ЕОЦКП) да осигурят по-голяма прозрачност при техните дейности, финансирани чрез различни потоци от приходи, с цел подобряване на счетоводния контрол, както бе препоръчано от ЕСП във връзка с управлението на приходите и структурите за финансиране;</w:t>
      </w:r>
    </w:p>
    <w:p w14:paraId="3DD790E9" w14:textId="77777777" w:rsidR="00443B04" w:rsidRPr="00192FCB" w:rsidRDefault="00443B04" w:rsidP="00443B04">
      <w:pPr>
        <w:pStyle w:val="NormalHanging12a"/>
        <w:rPr>
          <w:b/>
          <w:i/>
        </w:rPr>
      </w:pPr>
      <w:r w:rsidRPr="00192FCB">
        <w:rPr>
          <w:b/>
          <w:i/>
        </w:rPr>
        <w:t>Основни рискове, установени от Палатата, и преглед на резултатите от одита</w:t>
      </w:r>
    </w:p>
    <w:p w14:paraId="11DF0786" w14:textId="5B89C02B" w:rsidR="00443B04" w:rsidRPr="00192FCB" w:rsidRDefault="00347486" w:rsidP="00443B04">
      <w:pPr>
        <w:pStyle w:val="NormalHanging12a"/>
      </w:pPr>
      <w:bookmarkStart w:id="7" w:name="_Hlk225770236"/>
      <w:r>
        <w:t>49</w:t>
      </w:r>
      <w:r w:rsidR="00443B04" w:rsidRPr="00192FCB">
        <w:t>.</w:t>
      </w:r>
      <w:r w:rsidR="00443B04" w:rsidRPr="00192FCB">
        <w:tab/>
      </w:r>
      <w:bookmarkStart w:id="8" w:name="_Hlk214996918"/>
      <w:r w:rsidR="00443B04" w:rsidRPr="00192FCB">
        <w:t>отбелязва заключението на Палатата в нейния годишен доклад относно агенциите на ЕС за финансовата 2024 година („доклада на Палатата“), че резултатите от одита на Палатата са сходни с тези от предходни години, като слабостите при обществените поръчки се отбелязват като основен източник на нередовни плащания; призовава съответните агенции да засилят своя предварителен контрол, да подобрят документирането на критериите за възлагане на поръчки и да гарантират строга обосновка за процедурите на договаряне без предварително обявление; призовава Комисията да предостави целеви насоки и обучение за агенциите, при които има повтарящи се слабости при възлагането на обществени поръчки; призовава агенциите да гарантират пълна проследимост, конкурентни процедури и правилно водене на документацията за всички операции по възлагане на обществени поръчки и приканва службите за вътрешен одит на агенциите да отдадат приоритет на прегледите на обществените поръчки;</w:t>
      </w:r>
    </w:p>
    <w:bookmarkEnd w:id="7"/>
    <w:bookmarkEnd w:id="8"/>
    <w:p w14:paraId="34306118" w14:textId="0B31DBD6" w:rsidR="00443B04" w:rsidRPr="00192FCB" w:rsidRDefault="00347486" w:rsidP="00443B04">
      <w:pPr>
        <w:pStyle w:val="NormalHanging12a"/>
      </w:pPr>
      <w:r>
        <w:t>50</w:t>
      </w:r>
      <w:r w:rsidR="00443B04" w:rsidRPr="00192FCB">
        <w:t>.</w:t>
      </w:r>
      <w:r w:rsidR="00443B04" w:rsidRPr="00192FCB">
        <w:tab/>
        <w:t>отбелязва въз основа на доклада на Палатата, че като цяло общият риск за надеждността на отчетите на агенциите остава нисък, а рискът във връзка със законосъобразността и редовността на приходите в отчетите на агенциите също е нисък за повечето агенции; отбелязва освен това, че този риск се оценява като среден за частично самофинансиращите се агенции поради специфичните разпоредби, уреждащи събирането на такси и другите приходи, като тази ситуация се наблюдава и през предходните години;</w:t>
      </w:r>
    </w:p>
    <w:p w14:paraId="3F099F26" w14:textId="12CB61DC" w:rsidR="00443B04" w:rsidRPr="00192FCB" w:rsidRDefault="00347486" w:rsidP="00443B04">
      <w:pPr>
        <w:pStyle w:val="NormalHanging12a"/>
      </w:pPr>
      <w:r>
        <w:t>51</w:t>
      </w:r>
      <w:r w:rsidR="00443B04" w:rsidRPr="00192FCB">
        <w:t>.</w:t>
      </w:r>
      <w:r w:rsidR="00443B04" w:rsidRPr="00192FCB">
        <w:tab/>
        <w:t>отбелязва, че според Палатата рискът за законосъобразността и редовността на плащанията, свързани с отчетите на агенциите, като цяло е среден, като той варира от нисък до висок за отделните бюджетни дялове; отбелязва, че според Палатата рискът за дял I (разходи за персонал) като цяло е нисък, за дял II (административни разходи) той е среден, а за дял III (оперативни разходи) той варира от нисък до висок, в зависимост от съответната агенция и естеството на нейните оперативни разходи; посочва, че според Палатата рискът по отношение на дял III е подобен на риска по дял II, но тъй като размерът на сумите по дял III е много по-висок, въздействието се счита за по-голямо;</w:t>
      </w:r>
    </w:p>
    <w:p w14:paraId="6F2B4EF1" w14:textId="1F75E27B" w:rsidR="00443B04" w:rsidRPr="00192FCB" w:rsidRDefault="00347486" w:rsidP="00443B04">
      <w:pPr>
        <w:pStyle w:val="NormalHanging12a"/>
      </w:pPr>
      <w:r>
        <w:t>52</w:t>
      </w:r>
      <w:r w:rsidR="00443B04" w:rsidRPr="00192FCB">
        <w:t>.</w:t>
      </w:r>
      <w:r w:rsidR="00443B04" w:rsidRPr="00192FCB">
        <w:tab/>
        <w:t>отбелязва, че както и през предходни години, Палатата счита, че рискът за доброто финансово управление е среден и е свързан предимно с процедурите за възлагане на обществени поръчки;</w:t>
      </w:r>
    </w:p>
    <w:p w14:paraId="6B806118" w14:textId="087E4CF2" w:rsidR="00443B04" w:rsidRPr="00192FCB" w:rsidRDefault="00347486" w:rsidP="00443B04">
      <w:pPr>
        <w:pStyle w:val="NormalHanging12a"/>
      </w:pPr>
      <w:r>
        <w:lastRenderedPageBreak/>
        <w:t>53</w:t>
      </w:r>
      <w:r w:rsidR="00443B04" w:rsidRPr="00192FCB">
        <w:t>.</w:t>
      </w:r>
      <w:r w:rsidR="00443B04" w:rsidRPr="00192FCB">
        <w:tab/>
        <w:t>отбелязва, че Палатата определя риска за управлението на бюджета като нисък, като одитът на Палатата показва слабости, свързани основно с автоматичното пренасяне на недиференцирани бюджетни кредити и закъснели плащания; подчертава, че слабостите в системите за управление и контрол касаят някои въпроси, като например липсата на задоволителни последващи/предварителни проверки, обществени поръчки във връзка с оперативната дейност, обявени без необходимите решения за финансиране, разходи, изпълнени без надлежно делегиране на правомощия от разпоредител с бюджетни кредити, слабости в управлението на безвъзмездната финансова помощ, както и закъснения при оценката на една агенция от страна на Комисията; подчертава, че тези слабости, изброени от Палатата, подкопават доброто финансово управление и излагат агенциите на финансови рискове и рискове за репутацията им; призовава съответните агенции да гарантират пълно спазване на Финансовия регламент и да предприемат необходимите корективни мерки, и приканва Комисията да следи отблизо тяхното прилагане;</w:t>
      </w:r>
    </w:p>
    <w:p w14:paraId="3719C523" w14:textId="705AA598" w:rsidR="00443B04" w:rsidRPr="00192FCB" w:rsidRDefault="00347486" w:rsidP="00443B04">
      <w:pPr>
        <w:pStyle w:val="NormalHanging12a"/>
      </w:pPr>
      <w:r>
        <w:t>54</w:t>
      </w:r>
      <w:r w:rsidR="00443B04" w:rsidRPr="00192FCB">
        <w:t>.</w:t>
      </w:r>
      <w:r w:rsidR="00443B04" w:rsidRPr="00192FCB">
        <w:tab/>
        <w:t>отбелязва, че през 2024 г. Палатата е направила общо 72 констатации, отнасящи се до различни въпроси в областта на обществените поръчки (34 констатации), системите за управление и контрол (11 констатации) (различни от въпросите, свързани с обществените поръчки и човешките ресурси) и управлението на бюджета (27 констатации);</w:t>
      </w:r>
    </w:p>
    <w:p w14:paraId="72ACAD73" w14:textId="608FB592" w:rsidR="00443B04" w:rsidRPr="00192FCB" w:rsidRDefault="00347486" w:rsidP="00443B04">
      <w:pPr>
        <w:pStyle w:val="NormalHanging12a"/>
      </w:pPr>
      <w:r>
        <w:t>55</w:t>
      </w:r>
      <w:r w:rsidR="00443B04" w:rsidRPr="00192FCB">
        <w:t>.</w:t>
      </w:r>
      <w:r w:rsidR="00443B04" w:rsidRPr="00192FCB">
        <w:tab/>
        <w:t>отбелязва, че Палатата е изразила одитно становище без резерви относно надеждността на отчетите на всички агенции; отбелязва, че Палатата е изразила становище без резерви относно законосъобразността и редовността на приходите, свързани с отчетите, за всички агенции;</w:t>
      </w:r>
    </w:p>
    <w:p w14:paraId="6586F788" w14:textId="04359DE6" w:rsidR="00443B04" w:rsidRPr="00192FCB" w:rsidRDefault="00347486" w:rsidP="00443B04">
      <w:pPr>
        <w:pStyle w:val="NormalHanging12a"/>
      </w:pPr>
      <w:r>
        <w:t>56</w:t>
      </w:r>
      <w:r w:rsidR="00443B04" w:rsidRPr="00192FCB">
        <w:t>.</w:t>
      </w:r>
      <w:r w:rsidR="00443B04" w:rsidRPr="00192FCB">
        <w:tab/>
        <w:t>отбелязва, че за всички агенции, с изключение на Европейския орган по труда (ЕОТ), бе изразено становище без резерви относно законосъобразността и редовността на плащанията, свързани с отчетите;</w:t>
      </w:r>
    </w:p>
    <w:p w14:paraId="05D305D6" w14:textId="17F73DB3" w:rsidR="00443B04" w:rsidRPr="00192FCB" w:rsidRDefault="00347486" w:rsidP="00443B04">
      <w:pPr>
        <w:pStyle w:val="NormalHanging12a"/>
      </w:pPr>
      <w:r>
        <w:t>57</w:t>
      </w:r>
      <w:r w:rsidR="00443B04" w:rsidRPr="00192FCB">
        <w:t>.</w:t>
      </w:r>
      <w:r w:rsidR="00443B04" w:rsidRPr="00192FCB">
        <w:tab/>
        <w:t xml:space="preserve">отбелязва, че по отношение на ЕОТ резервите се отнасят до плащания в размер на 2,6 милиона евро, извършени през 2024 г., което представлява 5,7% от общия размер на наличните бюджетни кредити за плащания; отбелязва, че тази сума включва 2,2 милиона евро, свързани с поръчка, определена като нередовна в одитния доклад за 2022 г. поради това, че нейната стойност надвишава определения в тръжните спецификации праг, в нарушение на разпоредбите на точка 12.3, буква а) от приложение I към Финансовия регламент, както и 0,4 милиона евро, свързани със слабости при предварителните проверки по изпълнението на договорите; отбелязва отговора на ЕОТ, даден по време на изслушването от 1 декември 2025 г., според който въпреки неправомерното възлагане на поръчката, действителните плащания по договора са останали в рамките на тавана от 6 милиона евро, определен в тръжните спецификации, както и че договорът е бил важен за гарантиране на непрекъснатостта на дейността на Органа по време на началната му фаза на създаване; отбелязва освен това, че нередовният договор е приключил през февруари 2024 г. и не е бил подновен; приветства уверенията на Органа, че са приложени корективни мерки, включително преразгледана тръжна документация, подобрени процедури за възлагане на обществени поръчки и актуализирани вътрешни контролни списъци, с цел предотвратяване на подобни нередности в бъдеще; настоятелно призовава ЕОТ да укрепи механизмите за планиране и определяне на приоритети, за да се </w:t>
      </w:r>
      <w:r w:rsidR="00443B04" w:rsidRPr="00192FCB">
        <w:lastRenderedPageBreak/>
        <w:t>гарантира ефективно използване на бюджетните кредити и навременно изпълнение на оперативните дейности в бъдеще;</w:t>
      </w:r>
    </w:p>
    <w:p w14:paraId="0B9385AA" w14:textId="0306B7E6" w:rsidR="00443B04" w:rsidRPr="00192FCB" w:rsidRDefault="00347486" w:rsidP="00443B04">
      <w:pPr>
        <w:pStyle w:val="NormalHanging12a"/>
      </w:pPr>
      <w:r>
        <w:t>58</w:t>
      </w:r>
      <w:r w:rsidR="00443B04" w:rsidRPr="00192FCB">
        <w:t>.</w:t>
      </w:r>
      <w:r w:rsidR="00443B04" w:rsidRPr="00192FCB">
        <w:tab/>
        <w:t xml:space="preserve">подчертава, че в своите доклади Палатата включва параграфи за обръщане на внимание, в които насочва вниманието към въпроси, представени или оповестени в отчетите, които са изключително важни за разбирането на тези отчети или на свързаните с тях приходи или плащания; отбелязва освен това, че за финансовата 2024 година Палатата е включила параграфи за обръщане на внимание за следните агенции, които са част от настоящата резолюция: </w:t>
      </w:r>
      <w:proofErr w:type="spellStart"/>
      <w:r w:rsidR="00443B04" w:rsidRPr="00192FCB">
        <w:t>CdT</w:t>
      </w:r>
      <w:proofErr w:type="spellEnd"/>
      <w:r w:rsidR="00443B04" w:rsidRPr="00192FCB">
        <w:t>, CEPOL, ЕБО, EIT, EMA и ЕОЦКП;</w:t>
      </w:r>
    </w:p>
    <w:p w14:paraId="357B7099" w14:textId="33C9AB0D" w:rsidR="00443B04" w:rsidRPr="00192FCB" w:rsidRDefault="00347486" w:rsidP="00443B04">
      <w:pPr>
        <w:pStyle w:val="NormalHanging12a"/>
        <w:rPr>
          <w:bCs/>
          <w:iCs/>
        </w:rPr>
      </w:pPr>
      <w:r>
        <w:t>59</w:t>
      </w:r>
      <w:r w:rsidR="00443B04" w:rsidRPr="00192FCB">
        <w:t>.</w:t>
      </w:r>
      <w:r w:rsidR="00443B04" w:rsidRPr="00192FCB">
        <w:tab/>
        <w:t>отбелязва, че „констатациите“ в специфичните годишни доклади на агенциите всъщност са „препоръки без конкретен срок“ на Палатата; отбелязва, че Палатата ежегодно проследява изпълнението във връзка с тези констатации, като оценява техния статут като „неприключени“ или „приключени“; счита обаче, че дългогодишните неприключени забележки следва да водят до навременни и конкретни корективни мерки, придружени от засилен надзор от страна на съответните управителни съвети, за да се предотвратят повтарящи се слабости;</w:t>
      </w:r>
    </w:p>
    <w:p w14:paraId="5B9B6D01" w14:textId="5AB3E9EA" w:rsidR="00443B04" w:rsidRPr="00192FCB" w:rsidRDefault="00347486" w:rsidP="00443B04">
      <w:pPr>
        <w:pStyle w:val="NormalHanging12a"/>
      </w:pPr>
      <w:r>
        <w:t>60</w:t>
      </w:r>
      <w:r w:rsidR="00443B04" w:rsidRPr="00192FCB">
        <w:t>.</w:t>
      </w:r>
      <w:r w:rsidR="00443B04" w:rsidRPr="00192FCB">
        <w:tab/>
        <w:t xml:space="preserve">отбелязва, че от 109-те констатации, направени от Палатата за предходни години по отношение на агенциите, които са част от настоящата резолюция, общо 66 констатации са били приключени през 2024 г., общо 39 констатации все още не са приключени, а две констатации са частично приключени; отбелязва, че броят на текущите констатации варира между отделните агенции, като за някои от тях няма неприключени констатации, какъвто е случаят със Службата на ОЕРЕС, </w:t>
      </w:r>
      <w:proofErr w:type="spellStart"/>
      <w:r w:rsidR="00443B04" w:rsidRPr="00192FCB">
        <w:t>CdT</w:t>
      </w:r>
      <w:proofErr w:type="spellEnd"/>
      <w:r w:rsidR="00443B04" w:rsidRPr="00192FCB">
        <w:t xml:space="preserve">, CEPOL, ЕААБ, ЕБО, ECHA, ЕОБХ, EMA, ЕАМБ, ERA, ESA и ЕОЦКП, а най-много неприключени констатации все още има за ACER (четири), ЕОТ (пет), </w:t>
      </w:r>
      <w:proofErr w:type="spellStart"/>
      <w:r w:rsidR="00443B04" w:rsidRPr="00192FCB">
        <w:t>eu</w:t>
      </w:r>
      <w:proofErr w:type="spellEnd"/>
      <w:r w:rsidR="00443B04" w:rsidRPr="00192FCB">
        <w:t xml:space="preserve">-LISA (пет) и </w:t>
      </w:r>
      <w:proofErr w:type="spellStart"/>
      <w:r w:rsidR="00443B04" w:rsidRPr="00192FCB">
        <w:t>Frontex</w:t>
      </w:r>
      <w:proofErr w:type="spellEnd"/>
      <w:r w:rsidR="00443B04" w:rsidRPr="00192FCB">
        <w:t xml:space="preserve"> (четири), в сравнение с ACER (три), ЕОТ (пет), </w:t>
      </w:r>
      <w:proofErr w:type="spellStart"/>
      <w:r w:rsidR="00443B04" w:rsidRPr="00192FCB">
        <w:t>eu</w:t>
      </w:r>
      <w:proofErr w:type="spellEnd"/>
      <w:r w:rsidR="00443B04" w:rsidRPr="00192FCB">
        <w:t xml:space="preserve">-LISA (осем) и </w:t>
      </w:r>
      <w:proofErr w:type="spellStart"/>
      <w:r w:rsidR="00443B04" w:rsidRPr="00192FCB">
        <w:t>Frontex</w:t>
      </w:r>
      <w:proofErr w:type="spellEnd"/>
      <w:r w:rsidR="00443B04" w:rsidRPr="00192FCB">
        <w:t xml:space="preserve"> (седем) през 2023 г.; признава извършените подобрения и насърчава агенциите да продължат да работят за разрешаване на нерешените въпроси;</w:t>
      </w:r>
    </w:p>
    <w:p w14:paraId="74B1ADE1" w14:textId="43219ED5" w:rsidR="00443B04" w:rsidRPr="00192FCB" w:rsidRDefault="00347486" w:rsidP="00443B04">
      <w:pPr>
        <w:pStyle w:val="NormalHanging12a"/>
        <w:rPr>
          <w:u w:val="single"/>
        </w:rPr>
      </w:pPr>
      <w:r>
        <w:t>61</w:t>
      </w:r>
      <w:r w:rsidR="00443B04" w:rsidRPr="00192FCB">
        <w:t>.</w:t>
      </w:r>
      <w:r w:rsidR="00443B04" w:rsidRPr="00192FCB">
        <w:tab/>
        <w:t xml:space="preserve">отбелязва, че седем от 39-те неприключени констатации (53 през 2023 г.) се отнасят до високото равнище на преносите (ACER, ECDC, EFCA, EIGE, </w:t>
      </w:r>
      <w:proofErr w:type="spellStart"/>
      <w:r w:rsidR="00443B04" w:rsidRPr="00192FCB">
        <w:t>Eurofound</w:t>
      </w:r>
      <w:proofErr w:type="spellEnd"/>
      <w:r w:rsidR="00443B04" w:rsidRPr="00192FCB">
        <w:t xml:space="preserve">, FRA и </w:t>
      </w:r>
      <w:proofErr w:type="spellStart"/>
      <w:r w:rsidR="00443B04" w:rsidRPr="00192FCB">
        <w:t>Frontex</w:t>
      </w:r>
      <w:proofErr w:type="spellEnd"/>
      <w:r w:rsidR="00443B04" w:rsidRPr="00192FCB">
        <w:t xml:space="preserve">); признава, че ЕОТ и </w:t>
      </w:r>
      <w:proofErr w:type="spellStart"/>
      <w:r w:rsidR="00443B04" w:rsidRPr="00192FCB">
        <w:t>eu</w:t>
      </w:r>
      <w:proofErr w:type="spellEnd"/>
      <w:r w:rsidR="00443B04" w:rsidRPr="00192FCB">
        <w:t>-LISA са намалили процента на преносите до 15%, което е прагът за докладване на Палатата</w:t>
      </w:r>
      <w:r w:rsidR="00443B04" w:rsidRPr="00192FCB">
        <w:rPr>
          <w:u w:val="single"/>
        </w:rPr>
        <w:t>;</w:t>
      </w:r>
    </w:p>
    <w:p w14:paraId="5F688DDE" w14:textId="77777777" w:rsidR="00443B04" w:rsidRPr="00192FCB" w:rsidRDefault="00443B04" w:rsidP="00443B04">
      <w:pPr>
        <w:pStyle w:val="NormalHanging12a"/>
        <w:rPr>
          <w:i/>
          <w:iCs/>
        </w:rPr>
      </w:pPr>
      <w:r w:rsidRPr="00192FCB">
        <w:rPr>
          <w:b/>
          <w:i/>
        </w:rPr>
        <w:t>Агенции в областта на икономическите и финансовите въпроси</w:t>
      </w:r>
      <w:r w:rsidRPr="00192FCB">
        <w:rPr>
          <w:b/>
          <w:bCs/>
          <w:i/>
          <w:iCs/>
          <w:vertAlign w:val="superscript"/>
        </w:rPr>
        <w:footnoteReference w:id="408"/>
      </w:r>
    </w:p>
    <w:p w14:paraId="491764AD" w14:textId="7BD72FA3" w:rsidR="00443B04" w:rsidRPr="00192FCB" w:rsidRDefault="00347486" w:rsidP="00443B04">
      <w:pPr>
        <w:pStyle w:val="NormalHanging12a"/>
      </w:pPr>
      <w:r>
        <w:t>62</w:t>
      </w:r>
      <w:r w:rsidR="00443B04" w:rsidRPr="00192FCB">
        <w:t>.</w:t>
      </w:r>
      <w:r w:rsidR="00443B04" w:rsidRPr="00192FCB">
        <w:tab/>
        <w:t>отбелязва констатациите на Палатата относно управлението на договорите от страна на ЕОЦКП, и по-специално шест инцидента през 2024 г., при които услугите са били предоставени преди подписването на договора, в нарушение на член 172, параграф 1 от Финансовия регламент; признава, че плащанията в размер на 30 556 EUR са били нередовни, въпреки че ЕОЦКП подчертава ниската степен на същественост (0,04% от общия размер на плащанията), и отбелязва, че тези случаи са били разкрити от самата Агенция; отбелязва, че всички плащания (30 606 EUR) са били извършени съгласно съществуващите рамкови договори, което намалява правния риск;</w:t>
      </w:r>
    </w:p>
    <w:p w14:paraId="217E1153" w14:textId="094B6D64" w:rsidR="00443B04" w:rsidRPr="00192FCB" w:rsidRDefault="00347486" w:rsidP="00443B04">
      <w:pPr>
        <w:pStyle w:val="NormalHanging12a"/>
      </w:pPr>
      <w:r>
        <w:lastRenderedPageBreak/>
        <w:t>63</w:t>
      </w:r>
      <w:r w:rsidR="00443B04" w:rsidRPr="00192FCB">
        <w:t>.</w:t>
      </w:r>
      <w:r w:rsidR="00443B04" w:rsidRPr="00192FCB">
        <w:tab/>
        <w:t xml:space="preserve">обръща внимание на значителното въздействие на Акта за оперативната устойчивост на цифровите технологии (DORA), както и на Регламента относно пазарите на </w:t>
      </w:r>
      <w:proofErr w:type="spellStart"/>
      <w:r w:rsidR="00443B04" w:rsidRPr="00192FCB">
        <w:t>криптоактиви</w:t>
      </w:r>
      <w:proofErr w:type="spellEnd"/>
      <w:r w:rsidR="00443B04" w:rsidRPr="00192FCB">
        <w:t xml:space="preserve"> (</w:t>
      </w:r>
      <w:proofErr w:type="spellStart"/>
      <w:r w:rsidR="00443B04" w:rsidRPr="00192FCB">
        <w:t>MiCAR</w:t>
      </w:r>
      <w:proofErr w:type="spellEnd"/>
      <w:r w:rsidR="00443B04" w:rsidRPr="00192FCB">
        <w:t>) върху оперативните мандати и задачи на Европейския банков орган (ЕБО); отбелязва със загриженост, че в първоначалните разпоредби не е предвидено подходящото финансиране, необходимо за определянето на функциите или етапите на подготовка и изпълнение на съответните политики; напълно подкрепя становището на Органа, че в бъдещите законодателни финансови обосновки трябва да се предвиждат и обезпечават подходящи ресурси за навременното и ефективно изготвяне на тези сложни мандати; настоятелно призовава да се осигури подходящо финансиране за разширяването на този мандат;</w:t>
      </w:r>
    </w:p>
    <w:p w14:paraId="7C6B53C6" w14:textId="2DB03B78" w:rsidR="00443B04" w:rsidRPr="00192FCB" w:rsidRDefault="00347486" w:rsidP="00443B04">
      <w:pPr>
        <w:pStyle w:val="NormalHanging12a"/>
      </w:pPr>
      <w:r>
        <w:t>64</w:t>
      </w:r>
      <w:r w:rsidR="00443B04" w:rsidRPr="00192FCB">
        <w:t>.</w:t>
      </w:r>
      <w:r w:rsidR="00443B04" w:rsidRPr="00192FCB">
        <w:tab/>
        <w:t>отбелязва, че ръководената от ЕОЦКП процедура за възлагане на обществена поръчка, в която ЕБО участва като възлагащ орган, е довела до възлагането на рамков договор с таван от 40,2 милиона евро през декември 2022 г.; отбелязва, че през януари 2023 г. е била подадена жалба относно резултатите от процедурата, с която се иска отмяна на решението за възлагане на обществената поръчка и изплащане на обезщетение; приветства факта, че с решението на Съда на Европейския съюз от 29 октомври 2025 г. бяха изцяло отхвърлени исканията на жалбоподателя за отмяна на обществената поръчка и за изплащане на обезщетение за нанесени щети;</w:t>
      </w:r>
    </w:p>
    <w:p w14:paraId="3C79BCBB" w14:textId="77777777" w:rsidR="00443B04" w:rsidRPr="00192FCB" w:rsidRDefault="00443B04" w:rsidP="00443B04">
      <w:pPr>
        <w:pStyle w:val="NormalHanging12a"/>
        <w:rPr>
          <w:i/>
          <w:iCs/>
        </w:rPr>
      </w:pPr>
      <w:r w:rsidRPr="00192FCB">
        <w:rPr>
          <w:i/>
        </w:rPr>
        <w:t>Препоръки</w:t>
      </w:r>
    </w:p>
    <w:p w14:paraId="254A17B2" w14:textId="5CE62F87" w:rsidR="00443B04" w:rsidRPr="00192FCB" w:rsidRDefault="00347486" w:rsidP="00443B04">
      <w:pPr>
        <w:pStyle w:val="NormalHanging12a"/>
      </w:pPr>
      <w:r>
        <w:t>65</w:t>
      </w:r>
      <w:r w:rsidR="00443B04" w:rsidRPr="00192FCB">
        <w:t>.</w:t>
      </w:r>
      <w:r w:rsidR="00443B04" w:rsidRPr="00192FCB">
        <w:tab/>
        <w:t>призовава агенциите, и по-специално:</w:t>
      </w:r>
    </w:p>
    <w:p w14:paraId="267BBF43" w14:textId="77777777" w:rsidR="00443B04" w:rsidRPr="00192FCB" w:rsidRDefault="00443B04" w:rsidP="00443B04">
      <w:pPr>
        <w:pStyle w:val="NormalHanging12a"/>
        <w:ind w:left="1134"/>
      </w:pPr>
      <w:r w:rsidRPr="00192FCB">
        <w:t>–</w:t>
      </w:r>
      <w:r w:rsidRPr="00192FCB">
        <w:tab/>
        <w:t>ЕОЦКП, да подобри предварителните проверки, да оптимизира инструментите за мониторинг и да осигури обучение, с цел да се предотврати повтарянето на подобни случаи в бъдеще;</w:t>
      </w:r>
    </w:p>
    <w:p w14:paraId="74653EA2" w14:textId="77777777" w:rsidR="00443B04" w:rsidRPr="00192FCB" w:rsidRDefault="00443B04" w:rsidP="00443B04">
      <w:pPr>
        <w:pStyle w:val="NormalHanging12a"/>
        <w:rPr>
          <w:b/>
          <w:bCs/>
          <w:i/>
          <w:iCs/>
        </w:rPr>
      </w:pPr>
      <w:r w:rsidRPr="00192FCB">
        <w:rPr>
          <w:b/>
          <w:i/>
        </w:rPr>
        <w:t>Агенции в областта на правосъдието и вътрешните работи</w:t>
      </w:r>
      <w:r w:rsidRPr="00192FCB">
        <w:rPr>
          <w:b/>
          <w:bCs/>
          <w:i/>
          <w:iCs/>
          <w:vertAlign w:val="superscript"/>
        </w:rPr>
        <w:footnoteReference w:id="409"/>
      </w:r>
    </w:p>
    <w:p w14:paraId="6B20D020" w14:textId="05BA2C15" w:rsidR="00443B04" w:rsidRPr="00192FCB" w:rsidRDefault="00347486" w:rsidP="00443B04">
      <w:pPr>
        <w:pStyle w:val="NormalHanging12a"/>
      </w:pPr>
      <w:r>
        <w:t>66</w:t>
      </w:r>
      <w:r w:rsidR="00443B04" w:rsidRPr="00192FCB">
        <w:t>.</w:t>
      </w:r>
      <w:r w:rsidR="00443B04" w:rsidRPr="00192FCB">
        <w:tab/>
        <w:t xml:space="preserve">отбелязва, че през юни 2024 г. Агенцията на Европейския съюз за обучение в областта на правоприлагането (CEPOL) претърпя значителна кибератака, която засегна всички области на дейност, като доведе до отмяната на 10 дейности за обучение на място и до спирането на всички онлайн обучения за остатъка от годината; отбелязва освен това, че това събитие не само значително наруши оперативните дейности на CEPOL, но и доведе до допълнителни непланирани разходи, свързани с действията за реакция във връзка с инцидента, възстановяването на системата и засилените мерки за киберсигурност; отбелязва, че пробивът в сигурността е пряк резултат от сложна кибератака, насочена срещу цифровата инфраструктура на CEPOL, и че неоправомощени лица са получили достъп до значителен обем лични данни, което е компрометирало тяхната поверителност, цялост и наличност; подчертава, че поради киберинцидента приблизително 99 000 лица е трябвало да бъдат уведомени пряко за нарушението на сигурността на личните им данни и че атаката е довела до наказателно разследване, подкрепено от CERT-EU и Европол; изразява загриженост, че въпреки някои косвени доказателства, участникът в заплахата не е бил окончателно идентифициран; обръща внимание на съветите на Службата за </w:t>
      </w:r>
      <w:r w:rsidR="00443B04" w:rsidRPr="00192FCB">
        <w:lastRenderedPageBreak/>
        <w:t xml:space="preserve">киберсигурност за институциите, органите, службите и агенциите на Съюза (CERT-EU) за възстановяването на инфраструктурата, което доведе до въвеждането от ГД „Цифрови услуги“ на инфраструктура за подход на нулево доверие и на информационна среда изцяло в облак с ново оборудване, в срок от три седмици; отбелязва, че понастоящем CEPOL изпълнява 42 задачи и проекта в областта на киберсигурността, като част от своя план за киберсигурност; подчертава, че като част от стандартната практика за целия персонал, са проведени сесии за повишаване на осведомеността и обучение в областта на сигурността на ИКТ, допълнени от редовни уведомления и актуализации в интранет; подчертава, че пробивите в областта на киберсигурността пораждат не само оперативни, но и </w:t>
      </w:r>
      <w:proofErr w:type="spellStart"/>
      <w:r w:rsidR="00443B04" w:rsidRPr="00192FCB">
        <w:t>репутационни</w:t>
      </w:r>
      <w:proofErr w:type="spellEnd"/>
      <w:r w:rsidR="00443B04" w:rsidRPr="00192FCB">
        <w:t>, финансови и правни рискове за агенциите; призовава за въвеждане на задължителни минимални стандарти за киберсигурност и за осигуряване на подходящо, стабилно финансиране, за да се гарантира ефективното им прилагане;</w:t>
      </w:r>
    </w:p>
    <w:p w14:paraId="64DD3E74" w14:textId="5239D388" w:rsidR="00443B04" w:rsidRPr="00192FCB" w:rsidRDefault="00347486" w:rsidP="00443B04">
      <w:pPr>
        <w:pStyle w:val="NormalHanging12a"/>
      </w:pPr>
      <w:r>
        <w:t>67</w:t>
      </w:r>
      <w:r w:rsidR="00443B04" w:rsidRPr="00192FCB">
        <w:t>.</w:t>
      </w:r>
      <w:r w:rsidR="00443B04" w:rsidRPr="00192FCB">
        <w:tab/>
        <w:t>подчертава, че когато агенциите извършват дейност извън територията на Съюза или си сътрудничат с органи от трети държави, те остават изцяло обвързани от правото на Съюза; призовава Комисията да гарантира, че споразуменията за сътрудничество, оперативните договорености и рамките за обмен на данни включват приложими гаранции, механизми за мониторинг и ясни задължения за докладване на органа по освобождаване от отговорност;</w:t>
      </w:r>
    </w:p>
    <w:p w14:paraId="16B1D876" w14:textId="5A86D0F9" w:rsidR="00443B04" w:rsidRPr="00192FCB" w:rsidRDefault="00347486" w:rsidP="00443B04">
      <w:pPr>
        <w:pStyle w:val="NormalHanging12a"/>
        <w:rPr>
          <w:i/>
          <w:iCs/>
        </w:rPr>
      </w:pPr>
      <w:r>
        <w:t>68</w:t>
      </w:r>
      <w:r w:rsidR="00443B04" w:rsidRPr="00192FCB">
        <w:t>.</w:t>
      </w:r>
      <w:r w:rsidR="00443B04" w:rsidRPr="00192FCB">
        <w:tab/>
        <w:t>припомня, че с Регламент (ЕС, Евратом) 2023/284</w:t>
      </w:r>
      <w:r w:rsidR="003251E4">
        <w:t>1</w:t>
      </w:r>
      <w:r w:rsidR="00443B04" w:rsidRPr="00192FCB">
        <w:rPr>
          <w:rStyle w:val="FootnoteReference"/>
        </w:rPr>
        <w:footnoteReference w:id="410"/>
      </w:r>
      <w:r w:rsidR="00443B04" w:rsidRPr="00192FCB">
        <w:t xml:space="preserve"> се установява обвързваща и амбициозна рамка за киберсигурност за всички децентрализирани агенции, обхващаща финансовите механизми, оперативните платформи и чувствителните данни, както и прилагането на солидни технически и организационни мерки във всички ИКТ среди, постепенния преход към структура с нулево доверие, засиленото сътрудничество със CERT-EU, ГД „Цифрови услуги“ и други съответни междуинституционални органи, както и строги задължения за докладване на инциденти; отбелязва, че някои от тези основни изисквания продължават да бъдат предизвикателство, предвид настоящата различна степен на готовност сред агенциите; подчертава, че инцидентът в областта на киберсигурността, засягащ CEPOL, показва ежедневните киберзаплахи, на които са изложени агенциите, и тяхната уязвимост при боравенето с чувствителни данни; призовава за ускорено прилагане във всички агенции на разпоредбите за киберсигурност на Регламент (ЕС, Евратом) 2023/284</w:t>
      </w:r>
      <w:r w:rsidR="003251E4">
        <w:t>1</w:t>
      </w:r>
      <w:r w:rsidR="00443B04" w:rsidRPr="00192FCB">
        <w:t xml:space="preserve"> и за редовни стрес тестове на информационните системи на агенциите; настоятелно призовава агенциите да подобрят проследяването на заплахите в реално време, способностите за реагиране и обучението на служителите в областта на киберсигурността;</w:t>
      </w:r>
    </w:p>
    <w:p w14:paraId="3FC9E50F" w14:textId="11F01E5F" w:rsidR="00443B04" w:rsidRPr="00192FCB" w:rsidRDefault="00347486" w:rsidP="00443B04">
      <w:pPr>
        <w:pStyle w:val="NormalHanging12a"/>
      </w:pPr>
      <w:r>
        <w:t>69</w:t>
      </w:r>
      <w:r w:rsidR="00443B04" w:rsidRPr="00192FCB">
        <w:t>.</w:t>
      </w:r>
      <w:r w:rsidR="00443B04" w:rsidRPr="00192FCB">
        <w:tab/>
        <w:t>отбелязва недостатъчното представителство на мъжете сред служителите на EIGE — едва 29% и 21% (8 мъже) в управителния съвет; насърчава EIGE да постигне по-балансирано представителство на половете при бъдещото наемане на служители;</w:t>
      </w:r>
    </w:p>
    <w:p w14:paraId="3F654126" w14:textId="43C9E8DF" w:rsidR="00443B04" w:rsidRPr="00192FCB" w:rsidRDefault="00347486" w:rsidP="00443B04">
      <w:pPr>
        <w:pStyle w:val="NormalHanging12a"/>
      </w:pPr>
      <w:r>
        <w:t>70</w:t>
      </w:r>
      <w:r w:rsidR="00443B04" w:rsidRPr="00192FCB">
        <w:t>.</w:t>
      </w:r>
      <w:r w:rsidR="00443B04" w:rsidRPr="00192FCB">
        <w:tab/>
        <w:t xml:space="preserve">отбелязва констатациите на Палатата относно системите за управление и контрол </w:t>
      </w:r>
      <w:r w:rsidR="00443B04" w:rsidRPr="00192FCB">
        <w:lastRenderedPageBreak/>
        <w:t>на Европейския институт за равенство между половете (EIGE), включително:</w:t>
      </w:r>
    </w:p>
    <w:p w14:paraId="2A811A56" w14:textId="77777777" w:rsidR="00443B04" w:rsidRPr="00192FCB" w:rsidRDefault="00443B04" w:rsidP="00443B04">
      <w:pPr>
        <w:pStyle w:val="NormalHanging12a"/>
        <w:ind w:left="1134"/>
      </w:pPr>
      <w:r w:rsidRPr="00192FCB">
        <w:t>–</w:t>
      </w:r>
      <w:r w:rsidRPr="00192FCB">
        <w:tab/>
        <w:t xml:space="preserve">нередности при възлагането на обществени поръчки: посочва, че през 2024 г. EIGE е приложил прекомерни изисквания за финансов капацитет и ограничителни критерии за подбор при тръжна процедура за услуги по почистване, които според Палатата може да са разубедили или дори да са попречили на потенциалните оференти да участват; потвърждава, че EIGE подчертава, че ограничителните критерии са били поискани от </w:t>
      </w:r>
      <w:proofErr w:type="spellStart"/>
      <w:r w:rsidRPr="00192FCB">
        <w:t>съвъзлагащите</w:t>
      </w:r>
      <w:proofErr w:type="spellEnd"/>
      <w:r w:rsidRPr="00192FCB">
        <w:t xml:space="preserve"> органи (Комисията и Парламента) и че нито един потенциален оферент не се е оплакал от критериите за подбор;</w:t>
      </w:r>
    </w:p>
    <w:p w14:paraId="35DC0C51" w14:textId="77777777" w:rsidR="00443B04" w:rsidRPr="00192FCB" w:rsidRDefault="00443B04" w:rsidP="00443B04">
      <w:pPr>
        <w:pStyle w:val="NormalHanging12a"/>
        <w:ind w:left="1134"/>
      </w:pPr>
      <w:r w:rsidRPr="00192FCB">
        <w:t>–</w:t>
      </w:r>
      <w:r w:rsidRPr="00192FCB">
        <w:tab/>
        <w:t>неадекватна оценка на офертите: отбелязва, че при две обществени поръчки (на стойност 220 000 EUR и 193 175 EUR) комисиите за оценка на EIGE не са оценили правилно способността на оферентите да управляват експертни екипи, тъй като в тръжните спецификации EIGE не е изискал от оферентите да представят подходящи доказателства в това отношение, което създава риск от предоставяне на некачествени услуги;</w:t>
      </w:r>
    </w:p>
    <w:p w14:paraId="55D1464F" w14:textId="77777777" w:rsidR="00443B04" w:rsidRPr="00192FCB" w:rsidRDefault="00443B04" w:rsidP="00443B04">
      <w:pPr>
        <w:pStyle w:val="NormalHanging12a"/>
        <w:ind w:left="1134"/>
      </w:pPr>
      <w:r w:rsidRPr="00192FCB">
        <w:t>–</w:t>
      </w:r>
      <w:r w:rsidRPr="00192FCB">
        <w:tab/>
        <w:t>слаб надзор върху договорите: признава, че EIGE е платил фактури, изпълнени по три договора на база „изработено време и използвани ресурси“, без да провери действително отработените дни, като е нарушил член 45, параграф 5 от своя финансов регламент и се е изложил на риск от надплащане; отбелязва, че EIGE ще засили съответно предварителните проверки;</w:t>
      </w:r>
    </w:p>
    <w:p w14:paraId="58831818" w14:textId="33F77BFE" w:rsidR="00443B04" w:rsidRPr="00192FCB" w:rsidRDefault="00347486" w:rsidP="00443B04">
      <w:pPr>
        <w:pStyle w:val="NormalHanging12a"/>
      </w:pPr>
      <w:r>
        <w:t>71</w:t>
      </w:r>
      <w:r w:rsidR="00443B04" w:rsidRPr="00192FCB">
        <w:t>.</w:t>
      </w:r>
      <w:r w:rsidR="00443B04" w:rsidRPr="00192FCB">
        <w:tab/>
        <w:t>отбелязва констатациите на Палатата относно Агенцията на Европейския съюз за оперативното управление на широкомащабни информационни системи в пространството на свобода, сигурност и правосъдие (</w:t>
      </w:r>
      <w:proofErr w:type="spellStart"/>
      <w:r w:rsidR="00443B04" w:rsidRPr="00192FCB">
        <w:t>eu</w:t>
      </w:r>
      <w:proofErr w:type="spellEnd"/>
      <w:r w:rsidR="00443B04" w:rsidRPr="00192FCB">
        <w:t>-LISA), повечето от които се отнасят до нередности в областта на обществените поръчки, стартирали през предходни години, които са довели до нередовни плащания през 2024 г., включително:</w:t>
      </w:r>
    </w:p>
    <w:p w14:paraId="384030ED" w14:textId="77777777" w:rsidR="00443B04" w:rsidRPr="00192FCB" w:rsidRDefault="00443B04" w:rsidP="00443B04">
      <w:pPr>
        <w:pStyle w:val="NormalHanging12a"/>
        <w:ind w:left="1134"/>
      </w:pPr>
      <w:r w:rsidRPr="00192FCB">
        <w:t>–</w:t>
      </w:r>
      <w:r w:rsidRPr="00192FCB">
        <w:tab/>
        <w:t>нередности при процедура на договаряне, започнала през 2019 г. и приключила през 2020 г., за наемане на помещения в Страсбург, при която площта на помещенията и броят на работните места са били под нуждите, определени в тръжните спецификации, а качеството на офертата е било оценено като много ниско, но не е било отхвърлено; отбелязва освен това, че критериите за възлагане впоследствие също са били договорени с оферента в нарушение на член 167, параграф 3 и точка 6.5 от приложение I към Финансовия регламент; изтъква, че процедурата на договаряне и произтичащият от нея договор за наем са нередовни, както и свързаните с него плащания, които през 2024 г. възлизат на 850 000 евро;</w:t>
      </w:r>
    </w:p>
    <w:p w14:paraId="11A1D6A2" w14:textId="77777777" w:rsidR="00443B04" w:rsidRPr="00192FCB" w:rsidRDefault="00443B04" w:rsidP="00443B04">
      <w:pPr>
        <w:pStyle w:val="NormalHanging12a"/>
        <w:ind w:left="1134"/>
      </w:pPr>
      <w:r w:rsidRPr="00192FCB">
        <w:t>–</w:t>
      </w:r>
      <w:r w:rsidRPr="00192FCB">
        <w:tab/>
        <w:t>изменения на финансовите оферти на оферентите в хода на процедура за възлагане на обществена поръчка за електрически и строителни работи в Страсбург, които засягат резултата от процедурата и водят до нередовен договор и свързани с него плащания в размер на 150 000 EUR през 2024 г.;</w:t>
      </w:r>
    </w:p>
    <w:p w14:paraId="08B3B2DC" w14:textId="77777777" w:rsidR="00443B04" w:rsidRPr="00192FCB" w:rsidRDefault="00443B04" w:rsidP="00443B04">
      <w:pPr>
        <w:pStyle w:val="NormalHanging12a"/>
        <w:ind w:left="1134"/>
      </w:pPr>
      <w:r w:rsidRPr="00192FCB">
        <w:t>–</w:t>
      </w:r>
      <w:r w:rsidRPr="00192FCB">
        <w:tab/>
        <w:t xml:space="preserve">промени в ценообразуващите елементи на финансовите оферти извън корекциите, разрешени съгласно член 151 от Финансовия регламент, които оказват съществено въздействие върху резултата от тръжната процедура и </w:t>
      </w:r>
      <w:r w:rsidRPr="00192FCB">
        <w:lastRenderedPageBreak/>
        <w:t>водят до нередовни договори и свързани с тях плащания на обща стойност 1,4 милиона евро през 2024 г.;</w:t>
      </w:r>
    </w:p>
    <w:p w14:paraId="70E169A0" w14:textId="77777777" w:rsidR="00443B04" w:rsidRPr="00192FCB" w:rsidRDefault="00443B04" w:rsidP="00443B04">
      <w:pPr>
        <w:pStyle w:val="NormalHanging12a"/>
        <w:ind w:left="1134"/>
      </w:pPr>
      <w:r w:rsidRPr="00192FCB">
        <w:t>–</w:t>
      </w:r>
      <w:r w:rsidRPr="00192FCB">
        <w:tab/>
        <w:t xml:space="preserve">подновяване на състезателната процедура за услуги за мониторинг и поддръжка във връзка с Визовата информационна система; изразява загриженост във връзка с факта, че офертата на спечелилия оферент (47,8 милиона евро) е била пет пъти по-ниска от втората най-евтина оферта (243,4 милиона евро) и 50 пъти по-ниска от тази на най-високия оферент (2,4 милиарда евро), което поражда опасения относно нейната валидност; обръща внимание на факта, че </w:t>
      </w:r>
      <w:proofErr w:type="spellStart"/>
      <w:r w:rsidRPr="00192FCB">
        <w:t>eu</w:t>
      </w:r>
      <w:proofErr w:type="spellEnd"/>
      <w:r w:rsidRPr="00192FCB">
        <w:noBreakHyphen/>
        <w:t>LISA създаде работна група за преглед на подновяването на конкурса, която потвърди оценката на финансовите служители, но докладва за оперативни и договорни рискове, свързани с факта, че агенцията ще трябва да плати предварително по-голямата част от договорната цена; подчертава, че Палатата счита този риск за значителен;</w:t>
      </w:r>
    </w:p>
    <w:p w14:paraId="129E18D0" w14:textId="77777777" w:rsidR="00443B04" w:rsidRPr="00192FCB" w:rsidRDefault="00443B04" w:rsidP="00443B04">
      <w:pPr>
        <w:pStyle w:val="NormalHanging12a"/>
        <w:ind w:left="1134"/>
      </w:pPr>
      <w:r w:rsidRPr="00192FCB">
        <w:t>–</w:t>
      </w:r>
      <w:r w:rsidRPr="00192FCB">
        <w:tab/>
        <w:t xml:space="preserve">припомня, че след забавяне на въвеждането на Системата за влизане/излизане (СВИ) възникна спор, при който изпълнителят отказа да покрие допълнителните разходи за поддръжка на някои ИТ продукти, което доведе до прекъсване на услугите по поддръжката между ноември 2022 г. и април 2023 г. и изложи </w:t>
      </w:r>
      <w:proofErr w:type="spellStart"/>
      <w:r w:rsidRPr="00192FCB">
        <w:t>eu</w:t>
      </w:r>
      <w:proofErr w:type="spellEnd"/>
      <w:r w:rsidRPr="00192FCB">
        <w:t xml:space="preserve">-LISA на оперативни рискове; припомня, че за да се справи с непосредствения риск за непрекъснатостта на дейността, през 2023 г. </w:t>
      </w:r>
      <w:proofErr w:type="spellStart"/>
      <w:r w:rsidRPr="00192FCB">
        <w:t>eu</w:t>
      </w:r>
      <w:proofErr w:type="spellEnd"/>
      <w:r w:rsidRPr="00192FCB">
        <w:t xml:space="preserve">-LISA измени рамковия договор за хоризонтални операции (TOF), така че да включи таксите за възстановяване, санкциите, налагани, когато поддръжката не се подновява навреме, и впоследствие плати 5,3 милиона евро през 2023 г. и 1,3 милиона евро през 2024 г. за подновяване на поддръжката на софтуера и свързаните с това разходи за възстановяване, които според тълкуването на Агенцията е трябвало да бъдат поети от изпълнителя на СВИ; припомня освен това, че въпреки размера на оспорваните суми и продължаващия статут на констатацията на Палатата като неприключена, към края на 2024 г. </w:t>
      </w:r>
      <w:proofErr w:type="spellStart"/>
      <w:r w:rsidRPr="00192FCB">
        <w:t>eu</w:t>
      </w:r>
      <w:proofErr w:type="spellEnd"/>
      <w:r w:rsidRPr="00192FCB">
        <w:t>-LISA не е започнала съдебно производство срещу изпълнителя на СВИ;</w:t>
      </w:r>
    </w:p>
    <w:p w14:paraId="562A9670" w14:textId="385C95F7" w:rsidR="00443B04" w:rsidRPr="00192FCB" w:rsidRDefault="00347486" w:rsidP="00443B04">
      <w:pPr>
        <w:pStyle w:val="NormalHanging12a"/>
      </w:pPr>
      <w:r>
        <w:t>72</w:t>
      </w:r>
      <w:r w:rsidR="00443B04" w:rsidRPr="00192FCB">
        <w:t>.</w:t>
      </w:r>
      <w:r w:rsidR="00443B04" w:rsidRPr="00192FCB">
        <w:tab/>
        <w:t xml:space="preserve">изразява загриженост, че продължаващите нередности, които се установяват в процедурите на </w:t>
      </w:r>
      <w:proofErr w:type="spellStart"/>
      <w:r w:rsidR="00443B04" w:rsidRPr="00192FCB">
        <w:t>eu</w:t>
      </w:r>
      <w:proofErr w:type="spellEnd"/>
      <w:r w:rsidR="00443B04" w:rsidRPr="00192FCB">
        <w:noBreakHyphen/>
        <w:t xml:space="preserve">LISA за възлагане на обществени поръчки, показват системни слабости в рамката на Агенцията за възлагане на обществени поръчки; отбелязва, че </w:t>
      </w:r>
      <w:proofErr w:type="spellStart"/>
      <w:r w:rsidR="00443B04" w:rsidRPr="00192FCB">
        <w:t>eu</w:t>
      </w:r>
      <w:proofErr w:type="spellEnd"/>
      <w:r w:rsidR="00443B04" w:rsidRPr="00192FCB">
        <w:noBreakHyphen/>
        <w:t xml:space="preserve">LISA признава тези въпроси и полага усилия за укрепване на своите практики; насърчава </w:t>
      </w:r>
      <w:proofErr w:type="spellStart"/>
      <w:r w:rsidR="00443B04" w:rsidRPr="00192FCB">
        <w:t>eu</w:t>
      </w:r>
      <w:proofErr w:type="spellEnd"/>
      <w:r w:rsidR="00443B04" w:rsidRPr="00192FCB">
        <w:t xml:space="preserve">-LISA да формулира стратегия за подобряване на своята рамка за възлагане на обществени поръчки, която да бъде споделена по време на изслушванията относно освобождаването от отговорност във връзка с изпълнението на бюджета през следващата година; насърчава </w:t>
      </w:r>
      <w:proofErr w:type="spellStart"/>
      <w:r w:rsidR="00443B04" w:rsidRPr="00192FCB">
        <w:t>eu</w:t>
      </w:r>
      <w:proofErr w:type="spellEnd"/>
      <w:r w:rsidR="00443B04" w:rsidRPr="00192FCB">
        <w:t xml:space="preserve">-LISA да осигури яснота и прозрачност относно условията, при които повторната тръжна процедура може да не се счита за подходяща; насърчава </w:t>
      </w:r>
      <w:proofErr w:type="spellStart"/>
      <w:r w:rsidR="00443B04" w:rsidRPr="00192FCB">
        <w:t>eu</w:t>
      </w:r>
      <w:proofErr w:type="spellEnd"/>
      <w:r w:rsidR="00443B04" w:rsidRPr="00192FCB">
        <w:t>-LISA да се консултира с експерти при формулирането на тази нова стратегия, както и с останалите агенции във връзка с най-добрите практики;</w:t>
      </w:r>
    </w:p>
    <w:p w14:paraId="3ADA2D57" w14:textId="52F204A3" w:rsidR="00443B04" w:rsidRPr="00192FCB" w:rsidRDefault="00347486" w:rsidP="00443B04">
      <w:pPr>
        <w:pStyle w:val="NormalHanging12a"/>
      </w:pPr>
      <w:r>
        <w:t>73</w:t>
      </w:r>
      <w:r w:rsidR="00443B04" w:rsidRPr="00192FCB">
        <w:t>.</w:t>
      </w:r>
      <w:r w:rsidR="00443B04" w:rsidRPr="00192FCB">
        <w:tab/>
        <w:t xml:space="preserve">признава, че </w:t>
      </w:r>
      <w:proofErr w:type="spellStart"/>
      <w:r w:rsidR="00443B04" w:rsidRPr="00192FCB">
        <w:t>eu</w:t>
      </w:r>
      <w:proofErr w:type="spellEnd"/>
      <w:r w:rsidR="00443B04" w:rsidRPr="00192FCB">
        <w:t>-LISA е изправена пред значителни предизвикателства и подчертава необходимостта от увеличаване на нейния персонал, за да се справи ефективно с тези предизвикателства и да гарантира непрекъснатостта на дейността си, както и че това следва да бъде финансирано по съответния начин;</w:t>
      </w:r>
    </w:p>
    <w:p w14:paraId="5F0A3699" w14:textId="29A8CE3D" w:rsidR="00443B04" w:rsidRPr="00192FCB" w:rsidRDefault="00347486" w:rsidP="00443B04">
      <w:pPr>
        <w:pStyle w:val="NormalHanging12a"/>
      </w:pPr>
      <w:r>
        <w:t>74</w:t>
      </w:r>
      <w:r w:rsidR="00443B04" w:rsidRPr="00192FCB">
        <w:t>.</w:t>
      </w:r>
      <w:r w:rsidR="00443B04" w:rsidRPr="00192FCB">
        <w:tab/>
        <w:t xml:space="preserve">отбелязва констатацията на Палатата относно възлагането на обществени </w:t>
      </w:r>
      <w:r w:rsidR="00443B04" w:rsidRPr="00192FCB">
        <w:lastRenderedPageBreak/>
        <w:t>поръчки, че през 2020 г. Евроюст е сключил рамков договор за лизинг на превозни средства с един икономически оператор, което не е било подходящо за естеството на изискваните услуги; отбелязва, че следователно възложеният конкретен договор, както и всички свързани с него плащания (64 000 EUR през 2024 г.), са нередовни; отбелязва отговора на Евроюст, че рамковият договор, посочен в доклада на ЕСП за 2020 г., е изтекъл на 10 май 2024 г. и че от 25 ноември 2024 г. насам е в сила нов рамков договор за лизинг на превозни средства;</w:t>
      </w:r>
    </w:p>
    <w:p w14:paraId="25DD7D2D" w14:textId="4BFCB8A6" w:rsidR="00443B04" w:rsidRPr="00192FCB" w:rsidRDefault="00347486" w:rsidP="00443B04">
      <w:pPr>
        <w:pStyle w:val="NormalHanging12a"/>
      </w:pPr>
      <w:r>
        <w:t>75</w:t>
      </w:r>
      <w:r w:rsidR="00443B04" w:rsidRPr="00192FCB">
        <w:t>.</w:t>
      </w:r>
      <w:r w:rsidR="00443B04" w:rsidRPr="00192FCB">
        <w:tab/>
        <w:t>изразява загриженост във връзка със забележките на Палатата, че Евроюст не е актуализирал своите планове за непрекъснатост на дейността от 2021 г. насам въпреки значителните промени, засягащи неговите ресурси и персонал за ключови процеси, включително въвеждането на SUMMA като нова бюджетна, счетоводна и финансова система; изтъква, че освен това Евроюст не е извършвала изпитвания с честотата, предвидена в най-актуалния план за непрекъснатост на дейността, и понастоящем не разполага с координиран и съгласуван план за възстановяване след бедствия за своите информационни системи;</w:t>
      </w:r>
      <w:bookmarkStart w:id="9" w:name="_Hlk219798619"/>
    </w:p>
    <w:p w14:paraId="3D17E8E9" w14:textId="3944A4E0" w:rsidR="00443B04" w:rsidRPr="00192FCB" w:rsidRDefault="00347486" w:rsidP="00443B04">
      <w:pPr>
        <w:pStyle w:val="NormalHanging12a"/>
      </w:pPr>
      <w:r>
        <w:t>76</w:t>
      </w:r>
      <w:r w:rsidR="00443B04" w:rsidRPr="00192FCB">
        <w:t>.</w:t>
      </w:r>
      <w:r w:rsidR="00443B04" w:rsidRPr="00192FCB">
        <w:tab/>
        <w:t>отбелязва, че мандатът на Евроюст се очаква да се разшири в бъдеще, включително до трета държава, и че Агенцията разглежда ежегодно все по-голям брой наказателни дела; потвърждава, че с оглед на тези промени Евроюст трябва да увеличи числеността на персонала си, за да гарантира цялостно обхващане на случаите и непрекъснатост на дейността си, и че следва да се предостави съответното финансиране;</w:t>
      </w:r>
      <w:bookmarkEnd w:id="9"/>
    </w:p>
    <w:p w14:paraId="594F0A02" w14:textId="6D1832B3" w:rsidR="00443B04" w:rsidRPr="00192FCB" w:rsidRDefault="00347486" w:rsidP="00443B04">
      <w:pPr>
        <w:pStyle w:val="NormalHanging12a"/>
      </w:pPr>
      <w:r>
        <w:t>77</w:t>
      </w:r>
      <w:r w:rsidR="00443B04" w:rsidRPr="00192FCB">
        <w:t>.</w:t>
      </w:r>
      <w:r w:rsidR="00443B04" w:rsidRPr="00192FCB">
        <w:tab/>
        <w:t>освен това отбелязва констатацията на Палатата, че Евроюст не е приел подходящо решение за финансиране преди започването на процедури за възлагане на обществени поръчки за оперативни разходи, което подкопава ефективното планиране и надзор и противоречи на член 32, параграф 1 и член 72, параграф 3, буква б) от финансовите правила на Евроюст; приветства ангажимента на Евроюст да публикува на своя уебсайт одобрен годишен план за възлагане на обществени поръчки за всички процедури, обхващащ както оперативните, така и административните разходи, считано от 2026 г.;</w:t>
      </w:r>
    </w:p>
    <w:p w14:paraId="483FE6FC" w14:textId="545DE866" w:rsidR="00443B04" w:rsidRPr="00192FCB" w:rsidRDefault="00347486" w:rsidP="00443B04">
      <w:pPr>
        <w:pStyle w:val="NormalHanging12a"/>
      </w:pPr>
      <w:r>
        <w:t>78</w:t>
      </w:r>
      <w:r w:rsidR="00443B04" w:rsidRPr="00192FCB">
        <w:t>.</w:t>
      </w:r>
      <w:r w:rsidR="00443B04" w:rsidRPr="00192FCB">
        <w:tab/>
        <w:t>отбелязва, че през октомври 2025 г. Общият съд на Европейския съюз</w:t>
      </w:r>
      <w:r w:rsidR="00443B04" w:rsidRPr="00192FCB">
        <w:rPr>
          <w:vertAlign w:val="superscript"/>
        </w:rPr>
        <w:footnoteReference w:id="411"/>
      </w:r>
      <w:r w:rsidR="00443B04" w:rsidRPr="00192FCB">
        <w:t xml:space="preserve"> („Общият съд“) отмени две решения на Евроюст, с които се отхвърля искане за съдействие на срочно нает служител поради предполагаем психически тормоз от страна на десетима колеги, включително неговия административен директор; е информиран, че Съдът е постановил, че Евроюст е нарушила задължението си за полагане на дължима грижа съгласно член 24 от Правилника за длъжностните лица, като е разделила разследването във връзка с този служител на два отделни административни процеса, като по този начин не е провела цялостно, контекстуално разследване на взаимосвързани твърдения за тормоз; отбелязва, че въпреки че Съдът е отменил решенията, за да позволи подходяща преоценка, той е отхвърлил исковете за обезщетение;</w:t>
      </w:r>
    </w:p>
    <w:p w14:paraId="568D3FD7" w14:textId="31A97622" w:rsidR="00443B04" w:rsidRPr="00192FCB" w:rsidRDefault="00347486" w:rsidP="00443B04">
      <w:pPr>
        <w:pStyle w:val="NormalHanging12a"/>
        <w:rPr>
          <w:bCs/>
        </w:rPr>
      </w:pPr>
      <w:r>
        <w:t>79</w:t>
      </w:r>
      <w:r w:rsidR="00443B04" w:rsidRPr="00192FCB">
        <w:t>.</w:t>
      </w:r>
      <w:r w:rsidR="00443B04" w:rsidRPr="00192FCB">
        <w:tab/>
        <w:t xml:space="preserve">подчертава, че в рамките на агенциите следва да бъдат разработени вътрешни механизми, за да се гарантира както правилното вътрешно разглеждане на жалби, </w:t>
      </w:r>
      <w:r w:rsidR="00443B04" w:rsidRPr="00192FCB">
        <w:lastRenderedPageBreak/>
        <w:t xml:space="preserve">така и предотвратяването на инциденти, включително случаи на психически </w:t>
      </w:r>
      <w:r w:rsidR="00C503AF" w:rsidRPr="00C503AF">
        <w:t xml:space="preserve">и сексуален </w:t>
      </w:r>
      <w:r w:rsidR="00443B04" w:rsidRPr="00192FCB">
        <w:t>тормоз, особено когато са засегнати множество страни;</w:t>
      </w:r>
    </w:p>
    <w:p w14:paraId="03D70356" w14:textId="4D25D177" w:rsidR="00443B04" w:rsidRPr="00192FCB" w:rsidRDefault="00347486" w:rsidP="00443B04">
      <w:pPr>
        <w:pStyle w:val="NormalHanging12a"/>
      </w:pPr>
      <w:r>
        <w:t>80</w:t>
      </w:r>
      <w:r w:rsidR="00443B04" w:rsidRPr="00192FCB">
        <w:t>.</w:t>
      </w:r>
      <w:r w:rsidR="00443B04" w:rsidRPr="00192FCB">
        <w:tab/>
        <w:t>отбелязва констатацията на Палатата, че Европол неправомерно е възстановила данъка върху добавената стойност (ДДС) по безвъзмездни средства за оперативни разходи, изплатени на националните полицейски сили, действащи като публични органи, в нарушение на член 186, параграф 4, буква в) от Финансовия регламент, който не позволява възстановяване на ДДС на публични субекти, действащи в това си качество; отбелязва обяснението на Европол, че по това време е следвала насоките на Комисията, които са позволявали ДДС да се счита за допустим при отпускането на безвъзмездни средства за оперативни разходи, и приветства решението за изключване на ДДС от всички нови споразумения за отпускане на безвъзмездни средства, започнати преди края на 2024 г.;</w:t>
      </w:r>
    </w:p>
    <w:p w14:paraId="6AA7A0C1" w14:textId="3EE19746" w:rsidR="00443B04" w:rsidRPr="00192FCB" w:rsidRDefault="00347486" w:rsidP="00443B04">
      <w:pPr>
        <w:pStyle w:val="NormalHanging12a"/>
      </w:pPr>
      <w:r>
        <w:t>81</w:t>
      </w:r>
      <w:r w:rsidR="00443B04" w:rsidRPr="00192FCB">
        <w:t>.</w:t>
      </w:r>
      <w:r w:rsidR="00443B04" w:rsidRPr="00192FCB">
        <w:tab/>
        <w:t xml:space="preserve">приветства факта, че механизмите на оперативните работни групи (ОРГ) и съвместните екипи за разследване (СЕР) на Европол изиграха важна роля за разбиването на криптираната комуникационна платформа </w:t>
      </w:r>
      <w:proofErr w:type="spellStart"/>
      <w:r w:rsidR="00443B04" w:rsidRPr="00192FCB">
        <w:t>Matrix</w:t>
      </w:r>
      <w:proofErr w:type="spellEnd"/>
      <w:r w:rsidR="00443B04" w:rsidRPr="00192FCB">
        <w:t>, като демонстрираха своята допълваща се, но същевременно специфична роля в борбата с транснационалната организирана престъпност; отбелязва, че операцията започна като оперативна работна група през юни 2024 г. между Нидерландия, Франция, Литва, Италия и Испания, като улесни обмена на разузнавателна информация и мониторинга на престъпната дейност; подчертава, че преходът към съвместни екипи за разследване в рамките на Евроюст даде възможност за официална координация на разследванията, което доведе до арести, изземвания и декриптиране на 2,3 милиона съобщения на 33 езика; отбелязва, че германските органи са предоставили техническа подкрепа, докато испанската, френската и нидерландската полиция са сътрудничили по време на разследването; счита, че този случай подчертава ефективността на трансграничното сътрудничество за разбиване на незаконните мрежи и необходимостта от устойчиви инвестиции в капацитет за правоприлагане за справяне с променящите се престъпни тактики;</w:t>
      </w:r>
    </w:p>
    <w:p w14:paraId="3BCEF3E4" w14:textId="6F75387C" w:rsidR="00443B04" w:rsidRPr="00192FCB" w:rsidRDefault="00347486" w:rsidP="00443B04">
      <w:pPr>
        <w:pStyle w:val="NormalHanging12a"/>
      </w:pPr>
      <w:r>
        <w:t>82</w:t>
      </w:r>
      <w:r w:rsidR="00443B04" w:rsidRPr="00192FCB">
        <w:t>.</w:t>
      </w:r>
      <w:r w:rsidR="00443B04" w:rsidRPr="00192FCB">
        <w:tab/>
        <w:t>отбелязва, че през май 2025 г. освобождаването от отговорност на Агенцията на Европейския съюз в областта на убежището (EUAA) беше отложено поради констатации на OLAF, свързани с управлението и стабилността; отбелязва, че при поверително разследване на OLAF е установено, че висшето ръководство на Агенцията на ЕС в областта на убежището е заобикаляло Правилника за длъжностните лица и че разследващите служители на OLAF са отбелязали, че подобни практики за наемане на работа са в нарушение на Правилника за длъжностните лица на Съюза;</w:t>
      </w:r>
    </w:p>
    <w:p w14:paraId="0D6F3B43" w14:textId="7F04E800" w:rsidR="00443B04" w:rsidRPr="00192FCB" w:rsidRDefault="00347486" w:rsidP="00443B04">
      <w:pPr>
        <w:pStyle w:val="NormalHanging12a"/>
      </w:pPr>
      <w:r>
        <w:t>83</w:t>
      </w:r>
      <w:r w:rsidR="00443B04" w:rsidRPr="00192FCB">
        <w:t>.</w:t>
      </w:r>
      <w:r w:rsidR="00443B04" w:rsidRPr="00192FCB">
        <w:tab/>
        <w:t xml:space="preserve">отбелязва доклада за състоянието на EUAA от 31 октомври 2025 г. относно изпълнението на корективните действия, договорени между изпълнителния директор и управителния съвет, като последващи действия във връзка с резолюцията на Парламента; отбелязва, че управителният съвет разглежда забележките на Парламента в съответствие със своите процедури и ще направи преглед на напредъка по неизпълнените мерки на заседанието си през ноември 2025 г.; настоятелно призовава Агенцията да изясни изцяло всички нерешени въпроси, да изпълни препоръките на OLAF по надежден и прозрачен начин и да установи механизми за солиден вътрешен контрол, етичен надзор и отчетност; призовава Агенцията да информира без ненужно забавяне органа по освобождаване от отговорност относно предприетите евентуални коригиращи </w:t>
      </w:r>
      <w:r w:rsidR="00443B04" w:rsidRPr="00192FCB">
        <w:lastRenderedPageBreak/>
        <w:t>мерки; подчертава, че приключването на разследванията на OLAF само по себе си не представлява приключване на управленските неуспехи; отново заявява, че органът по освобождаване от отговорност запазва пълни права за надзор, докато структурните слабости в управлението, прозрачността и разглеждането на конфликти на интереси не бъдат напълно отстранени и проверени;</w:t>
      </w:r>
    </w:p>
    <w:p w14:paraId="7F412D1D" w14:textId="7A454B0C" w:rsidR="00443B04" w:rsidRPr="00192FCB" w:rsidRDefault="00347486" w:rsidP="00443B04">
      <w:pPr>
        <w:pStyle w:val="NormalHanging12a"/>
      </w:pPr>
      <w:r>
        <w:t>84</w:t>
      </w:r>
      <w:r w:rsidR="00443B04" w:rsidRPr="00192FCB">
        <w:t>.</w:t>
      </w:r>
      <w:r w:rsidR="00443B04" w:rsidRPr="00192FCB">
        <w:tab/>
        <w:t>отбелязва, че въпреки че през 2024 г. са направени подобрения за укрепване на етичната рамка на Агенцията, осведомеността на служителите и вътрешните процедури относно конфликтите на интереси, структурният конфликт на интереси, установен от OLAF във връзка с жалби срещу изпълнителния директор, все още не е разрешен, тъй като правният отдел, отговарящ за подготовката на такива случаи, продължава да работи под прекия надзор на изпълнителния директор, което подкопава независимостта на процеса на подаване на жалби; отбелязва, че повечето корективни действия са планирани за 2025 и 2026 г., включително организационни промени, програма за оптимизиране, обучение за персонала и ръководителите, подобряване на документите, свързани с управлението, по-голяма прозрачност при докладването на нередности, преглед на вътрешните насоки относно исканията и жалбите по член 90 от Правилника за длъжностните лица, засилено сътрудничество с ГД „Човешки ресурси и сигурност“ за разглеждане на жалби и преглед на процедурите за искания за съдействие съгласно член 24 от Правилника за длъжностните лица;</w:t>
      </w:r>
    </w:p>
    <w:p w14:paraId="026C9F16" w14:textId="4F5CFFB9" w:rsidR="00443B04" w:rsidRPr="00192FCB" w:rsidRDefault="00347486" w:rsidP="00443B04">
      <w:pPr>
        <w:pStyle w:val="NormalHanging12a"/>
      </w:pPr>
      <w:r>
        <w:t>85</w:t>
      </w:r>
      <w:r w:rsidR="00443B04" w:rsidRPr="00192FCB">
        <w:t>.</w:t>
      </w:r>
      <w:r w:rsidR="00443B04" w:rsidRPr="00192FCB">
        <w:tab/>
        <w:t xml:space="preserve">освен това подчертава необходимостта от запазване на бдителността по отношение на процента на текучество и удовлетвореността на персонала на EUAA, строгото предотвратяване на </w:t>
      </w:r>
      <w:proofErr w:type="spellStart"/>
      <w:r w:rsidR="00443B04" w:rsidRPr="00192FCB">
        <w:t>непотизъм</w:t>
      </w:r>
      <w:proofErr w:type="spellEnd"/>
      <w:r w:rsidR="00443B04" w:rsidRPr="00192FCB">
        <w:t xml:space="preserve"> или привилегироване, както и от пълна прозрачност и основани на заслуги процедури при набирането на персонал и кариерното развитие;</w:t>
      </w:r>
    </w:p>
    <w:p w14:paraId="1C1FB1B0" w14:textId="3DCB397E" w:rsidR="00443B04" w:rsidRPr="00192FCB" w:rsidRDefault="00347486" w:rsidP="00443B04">
      <w:pPr>
        <w:pStyle w:val="NormalHanging12a"/>
      </w:pPr>
      <w:r>
        <w:t>86</w:t>
      </w:r>
      <w:r w:rsidR="00443B04" w:rsidRPr="00192FCB">
        <w:t>.</w:t>
      </w:r>
      <w:r w:rsidR="00443B04" w:rsidRPr="00192FCB">
        <w:tab/>
        <w:t>запазва си правото да обвързва с условия или да отлага бъдещи решения за освобождаване от отговорност в случаите, когато агенциите не успеят да осъществят пълни и проверими структурни реформи след сериозни констатации;</w:t>
      </w:r>
    </w:p>
    <w:p w14:paraId="06F0643E" w14:textId="77777777" w:rsidR="00443B04" w:rsidRPr="00192FCB" w:rsidRDefault="00443B04" w:rsidP="00443B04">
      <w:pPr>
        <w:pStyle w:val="NormalHanging12a"/>
        <w:rPr>
          <w:i/>
          <w:iCs/>
        </w:rPr>
      </w:pPr>
      <w:r w:rsidRPr="00192FCB">
        <w:rPr>
          <w:i/>
        </w:rPr>
        <w:t>Препоръки</w:t>
      </w:r>
    </w:p>
    <w:p w14:paraId="4F424496" w14:textId="38697615" w:rsidR="00443B04" w:rsidRPr="00192FCB" w:rsidRDefault="00347486" w:rsidP="00443B04">
      <w:pPr>
        <w:pStyle w:val="NormalHanging12a"/>
      </w:pPr>
      <w:r>
        <w:t>87</w:t>
      </w:r>
      <w:r w:rsidR="00443B04" w:rsidRPr="00192FCB">
        <w:t>.</w:t>
      </w:r>
      <w:r w:rsidR="00443B04" w:rsidRPr="00192FCB">
        <w:tab/>
        <w:t>призовава агенциите на ЕС да предприемат действия във връзка със забележките на Палатата, и по-специално:</w:t>
      </w:r>
    </w:p>
    <w:p w14:paraId="3C4E12D2" w14:textId="77777777" w:rsidR="00443B04" w:rsidRPr="00192FCB" w:rsidRDefault="00443B04" w:rsidP="00443B04">
      <w:pPr>
        <w:pStyle w:val="NormalHanging12a"/>
        <w:ind w:left="1134"/>
      </w:pPr>
      <w:r w:rsidRPr="00192FCB">
        <w:t>i)</w:t>
      </w:r>
      <w:r w:rsidRPr="00192FCB">
        <w:tab/>
        <w:t>EIGE да подобри практиките за възлагане на обществени поръчки, като преразгледа прекалено рестриктивните критерии за възлагане, укрепи процесите на оценка, така че да се оценяват способностите на оферентите за управление на екип, и като извършва строга проверка на договорите на база „изработено време и използвани ресурси“, за да се предотвратят случаите на надплащане;</w:t>
      </w:r>
    </w:p>
    <w:p w14:paraId="1A34E473" w14:textId="77777777" w:rsidR="00443B04" w:rsidRPr="00192FCB" w:rsidRDefault="00443B04" w:rsidP="00443B04">
      <w:pPr>
        <w:pStyle w:val="NormalHanging12a"/>
        <w:ind w:left="1134"/>
      </w:pPr>
      <w:r w:rsidRPr="00192FCB">
        <w:t>ii)</w:t>
      </w:r>
      <w:r w:rsidRPr="00192FCB">
        <w:tab/>
      </w:r>
      <w:proofErr w:type="spellStart"/>
      <w:r w:rsidRPr="00192FCB">
        <w:t>eu</w:t>
      </w:r>
      <w:proofErr w:type="spellEnd"/>
      <w:r w:rsidRPr="00192FCB">
        <w:t xml:space="preserve">-LISA да се справи със системните слабости при възлагането на обществени поръчки, включително нередовните договори за наем и неправилните изменения на финансовите оферти, като същевременно повиши прозрачността и мерките за смекчаване на риска при оценките на офертите; призовава </w:t>
      </w:r>
      <w:proofErr w:type="spellStart"/>
      <w:r w:rsidRPr="00192FCB">
        <w:t>eu</w:t>
      </w:r>
      <w:proofErr w:type="spellEnd"/>
      <w:r w:rsidRPr="00192FCB">
        <w:t xml:space="preserve">-LISA да предостави подробна информация относно спора, произтичащ от забавянето на прилагането на Системата за влизане/излизане (СВИ), по-специално относно вътрешната оценка, довела </w:t>
      </w:r>
      <w:r w:rsidRPr="00192FCB">
        <w:lastRenderedPageBreak/>
        <w:t>до поемането от Агенцията на разходи за възстановяване и подновяване на поддръжката в размер на 6,6 милиона евро през периода 2023</w:t>
      </w:r>
      <w:r w:rsidRPr="00192FCB">
        <w:noBreakHyphen/>
        <w:t xml:space="preserve">2024 г. съгласно рамковия договор за хоризонтални операции, въпреки че по договор тези разходи следва да се поемат от изпълнителя на СВИ; изисква разяснения относно причините, поради които към края на 2024 г. не е започнато съдебно производство, и относно това дали са проучени алтернативни действия за разрешаване на спорове или възстановяване на средства; препоръчва </w:t>
      </w:r>
      <w:proofErr w:type="spellStart"/>
      <w:r w:rsidRPr="00192FCB">
        <w:t>eu</w:t>
      </w:r>
      <w:proofErr w:type="spellEnd"/>
      <w:r w:rsidRPr="00192FCB">
        <w:t xml:space="preserve">-LISA да укрепи своите механизми за изпълнение на договорите и разрешаване на спорове, да установи ясни поетапни процедури и да гарантира, че подобни спорове се разрешават бързо и прозрачно, така че да се защитят финансовите интереси на Агенцията и оперативната приемственост; насърчава </w:t>
      </w:r>
      <w:proofErr w:type="spellStart"/>
      <w:r w:rsidRPr="00192FCB">
        <w:t>eu</w:t>
      </w:r>
      <w:proofErr w:type="spellEnd"/>
      <w:r w:rsidRPr="00192FCB">
        <w:t>-LISA да предостави становище относно условията, при които повторното провеждане на тръжна процедура може да не се счита за подходящо, и в кои ситуации би било разумно да се запази същият доставчик (или доставчици) с цел да се гарантира непрекъснатост на дейността;</w:t>
      </w:r>
    </w:p>
    <w:p w14:paraId="7A2CC14D" w14:textId="77777777" w:rsidR="00443B04" w:rsidRPr="00192FCB" w:rsidRDefault="00443B04" w:rsidP="00443B04">
      <w:pPr>
        <w:pStyle w:val="NormalHanging12a"/>
        <w:ind w:left="1134"/>
      </w:pPr>
      <w:r w:rsidRPr="00192FCB">
        <w:t>iii)</w:t>
      </w:r>
      <w:r w:rsidRPr="00192FCB">
        <w:tab/>
        <w:t>Евроюст спешно да актуализира плановете за непрекъснатост на дейността в срок от шест месеца, за да отрази текущите операции, включително изпълнението на SUMMA, да извършва редовни изпитвания за възстановяване при бедствия и да приема подходящи решения за финансиране преди започване на процедурите за възлагане на обществени поръчки; отправя искане към Евроюст да представи новите си планове за непрекъснатост на дейността в доклада за последващите действия във връзка с освобождаването от отговорност</w:t>
      </w:r>
      <w:bookmarkStart w:id="10" w:name="_Hlk219798582"/>
      <w:r w:rsidRPr="00192FCB">
        <w:t>;</w:t>
      </w:r>
      <w:bookmarkEnd w:id="10"/>
    </w:p>
    <w:p w14:paraId="2200A9A6" w14:textId="40E3DF44" w:rsidR="00443B04" w:rsidRPr="00192FCB" w:rsidRDefault="00347486" w:rsidP="00443B04">
      <w:pPr>
        <w:pStyle w:val="NormalHanging12a"/>
      </w:pPr>
      <w:r>
        <w:t>88</w:t>
      </w:r>
      <w:r w:rsidR="00443B04" w:rsidRPr="00192FCB">
        <w:t>.</w:t>
      </w:r>
      <w:r w:rsidR="00443B04" w:rsidRPr="00192FCB">
        <w:tab/>
        <w:t>освен това призовава следните агенции на ЕС:</w:t>
      </w:r>
    </w:p>
    <w:p w14:paraId="0E7916C1" w14:textId="77777777" w:rsidR="00443B04" w:rsidRPr="00192FCB" w:rsidRDefault="00443B04" w:rsidP="00443B04">
      <w:pPr>
        <w:pStyle w:val="NormalHanging12a"/>
        <w:ind w:left="1134"/>
      </w:pPr>
      <w:r w:rsidRPr="00192FCB">
        <w:t>i)</w:t>
      </w:r>
      <w:r w:rsidRPr="00192FCB">
        <w:tab/>
        <w:t>CEPOL и всички агенции на ЕС спешно да укрепят вътрешното си управление в областта на киберсигурността, да заделят подходящи и стабилни ресурси, да подобрят капацитета си за откриване и реагиране и да предприемат конкретни стъпки към архитектура с нулево доверие, за да се намалят уязвимостите и да се гарантира устойчивост срещу все по-сложни киберзаплахи;</w:t>
      </w:r>
    </w:p>
    <w:p w14:paraId="566AAE99" w14:textId="77777777" w:rsidR="00443B04" w:rsidRPr="00192FCB" w:rsidRDefault="00443B04" w:rsidP="00443B04">
      <w:pPr>
        <w:pStyle w:val="NormalHanging12a"/>
        <w:ind w:left="1134"/>
      </w:pPr>
      <w:r w:rsidRPr="00192FCB">
        <w:t>ii)</w:t>
      </w:r>
      <w:r w:rsidRPr="00192FCB">
        <w:tab/>
        <w:t>Европол да продължи да проявява бдителност, за да гарантира спазването на правилата за допустимост в бъдещите цикли на финансиране, след като предприеме бързи корективни действия във връзка с възстановяването на ДДС; настоятелно призовава Комисията да публикува ясни насоки относно прилагането на член 186, параграф 4, буква в) от Финансовия регламент, като се има предвид, че въпроси относно допустимостта на ДДС са възникнали и в други случаи през предходните години, което сочи, че са налице някои неясноти;</w:t>
      </w:r>
    </w:p>
    <w:p w14:paraId="55B8FE2B" w14:textId="77777777" w:rsidR="00443B04" w:rsidRPr="00192FCB" w:rsidRDefault="00443B04" w:rsidP="00443B04">
      <w:pPr>
        <w:pStyle w:val="NormalHanging12a"/>
        <w:ind w:left="1134"/>
      </w:pPr>
      <w:r w:rsidRPr="00192FCB">
        <w:t>iii)</w:t>
      </w:r>
      <w:r w:rsidRPr="00192FCB">
        <w:tab/>
        <w:t>EUAA да гарантира строг мониторинг на ключовите етапи, особено на тези, планирани за 2026 г., които представляват основата на усилията за реформи, и да докладва на органа по освобождаване от отговорност относно изпълнението на корективните действия;</w:t>
      </w:r>
    </w:p>
    <w:p w14:paraId="34FBA89D" w14:textId="77777777" w:rsidR="00443B04" w:rsidRPr="00192FCB" w:rsidRDefault="00443B04" w:rsidP="00443B04">
      <w:pPr>
        <w:pStyle w:val="NormalHanging12a"/>
        <w:ind w:left="1134"/>
      </w:pPr>
      <w:r w:rsidRPr="00192FCB">
        <w:t>iv)</w:t>
      </w:r>
      <w:r w:rsidRPr="00192FCB">
        <w:tab/>
        <w:t xml:space="preserve">агенциите на ЕС, и по-специално Евроюст, да установят ясни насоки за разглеждането на сложни случаи на тормоз и да гарантират </w:t>
      </w:r>
      <w:r w:rsidRPr="00192FCB">
        <w:lastRenderedPageBreak/>
        <w:t>последователното прилагане на член 24 от Правилника за длъжностните лица;</w:t>
      </w:r>
    </w:p>
    <w:p w14:paraId="35806594" w14:textId="77777777" w:rsidR="00443B04" w:rsidRPr="00192FCB" w:rsidRDefault="00443B04" w:rsidP="00443B04">
      <w:pPr>
        <w:pStyle w:val="NormalHanging12a"/>
        <w:ind w:left="1134"/>
      </w:pPr>
      <w:r w:rsidRPr="00192FCB">
        <w:t>v)</w:t>
      </w:r>
      <w:r w:rsidRPr="00192FCB">
        <w:tab/>
        <w:t>EUAA да въведе ефективен механизъм за разглеждане на жалби, като гарантира пълна безпристрастност и възстанови доверието в своето управление;</w:t>
      </w:r>
    </w:p>
    <w:p w14:paraId="19C5B0BD" w14:textId="77777777" w:rsidR="00443B04" w:rsidRPr="00192FCB" w:rsidRDefault="00443B04" w:rsidP="00443B04">
      <w:pPr>
        <w:pStyle w:val="NormalHanging12a"/>
        <w:ind w:left="1134"/>
      </w:pPr>
      <w:r w:rsidRPr="00192FCB">
        <w:t>vi)</w:t>
      </w:r>
      <w:r w:rsidRPr="00192FCB">
        <w:tab/>
      </w:r>
      <w:proofErr w:type="spellStart"/>
      <w:r w:rsidRPr="00192FCB">
        <w:t>Frontex</w:t>
      </w:r>
      <w:proofErr w:type="spellEnd"/>
      <w:r w:rsidRPr="00192FCB">
        <w:t xml:space="preserve"> да засили планирането и изпълнението на бюджета, за да гарантира спазването на принципа на </w:t>
      </w:r>
      <w:proofErr w:type="spellStart"/>
      <w:r w:rsidRPr="00192FCB">
        <w:t>ежегодност</w:t>
      </w:r>
      <w:proofErr w:type="spellEnd"/>
      <w:r w:rsidRPr="00192FCB">
        <w:t xml:space="preserve">; подчертава, че мащабът и сложността на мандата на Агенцията изискват стабилни вътрешни механизми, и приканва Агенцията да засили надзора върху процедурите за възлагане на обществени поръчки и управление на договорите; насърчава </w:t>
      </w:r>
      <w:proofErr w:type="spellStart"/>
      <w:r w:rsidRPr="00192FCB">
        <w:t>Frontex</w:t>
      </w:r>
      <w:proofErr w:type="spellEnd"/>
      <w:r w:rsidRPr="00192FCB">
        <w:t xml:space="preserve"> да засили процедурите за последващи действия във връзка с констатациите от одита и да докладва на органа по освобождаване от отговорност за постигнатия измерим напредък;</w:t>
      </w:r>
    </w:p>
    <w:p w14:paraId="501A118F" w14:textId="77777777" w:rsidR="00443B04" w:rsidRPr="00192FCB" w:rsidRDefault="00443B04" w:rsidP="00443B04">
      <w:pPr>
        <w:pStyle w:val="NormalHanging12a"/>
        <w:ind w:left="1134"/>
      </w:pPr>
      <w:r w:rsidRPr="00192FCB">
        <w:t>vii)</w:t>
      </w:r>
      <w:r w:rsidRPr="00192FCB">
        <w:tab/>
        <w:t>Евроюст да сподели с Комисията бъдещите бюджетни нужди по отношение на бъдещото разширяване на мандата и настоятелно призовава за осигуряване на подходящо финансиране и персонал за справяне с посоченото разширяване на мандата;</w:t>
      </w:r>
    </w:p>
    <w:p w14:paraId="13207F0E" w14:textId="77777777" w:rsidR="00443B04" w:rsidRPr="00192FCB" w:rsidRDefault="00443B04" w:rsidP="00443B04">
      <w:pPr>
        <w:pStyle w:val="NormalHanging12a"/>
        <w:rPr>
          <w:b/>
          <w:bCs/>
          <w:i/>
          <w:iCs/>
        </w:rPr>
      </w:pPr>
      <w:r w:rsidRPr="00192FCB">
        <w:rPr>
          <w:b/>
          <w:i/>
        </w:rPr>
        <w:t>Агенции в областта на заетостта, образованието и социалните въпроси</w:t>
      </w:r>
      <w:r w:rsidRPr="00192FCB">
        <w:rPr>
          <w:b/>
          <w:bCs/>
          <w:i/>
          <w:iCs/>
          <w:vertAlign w:val="superscript"/>
        </w:rPr>
        <w:footnoteReference w:id="412"/>
      </w:r>
    </w:p>
    <w:p w14:paraId="60B70956" w14:textId="00F9132A" w:rsidR="00443B04" w:rsidRPr="00192FCB" w:rsidRDefault="00347486" w:rsidP="00443B04">
      <w:pPr>
        <w:pStyle w:val="NormalHanging12a"/>
      </w:pPr>
      <w:r>
        <w:t>89</w:t>
      </w:r>
      <w:r w:rsidR="00443B04" w:rsidRPr="00192FCB">
        <w:t>.</w:t>
      </w:r>
      <w:r w:rsidR="00443B04" w:rsidRPr="00192FCB">
        <w:tab/>
        <w:t>подчертава неправилното класифициране от страна на Европейския орган по труда (ЕОТ) на коригиращ бюджет като външни целеви приходи в нарушение на членове 6, 12, 20, 21 и 34 от Финансовия регламент; отбелязва отговора на ЕОТ, в който се обяснява, че средствата са пристигнали със закъснение и поради тази причина ЕОТ временно е преразпределил собствения си бюджет, за да избегне забавяне на плащанията, след което е вписал средствата на Съюза като външни приходи, за да гарантира, че те се използват само за заплати;</w:t>
      </w:r>
    </w:p>
    <w:p w14:paraId="68EE0C7E" w14:textId="6E60F577" w:rsidR="00443B04" w:rsidRPr="00192FCB" w:rsidRDefault="00347486" w:rsidP="00443B04">
      <w:pPr>
        <w:pStyle w:val="NormalHanging12a"/>
        <w:rPr>
          <w:bCs/>
        </w:rPr>
      </w:pPr>
      <w:r>
        <w:t>90</w:t>
      </w:r>
      <w:r w:rsidR="00443B04" w:rsidRPr="00192FCB">
        <w:t>.</w:t>
      </w:r>
      <w:r w:rsidR="00443B04" w:rsidRPr="00192FCB">
        <w:tab/>
        <w:t>отбелязва заключенията от оценката</w:t>
      </w:r>
      <w:r w:rsidR="00443B04" w:rsidRPr="00192FCB">
        <w:rPr>
          <w:bCs/>
          <w:vertAlign w:val="superscript"/>
        </w:rPr>
        <w:footnoteReference w:id="413"/>
      </w:r>
      <w:r w:rsidR="00443B04" w:rsidRPr="00192FCB">
        <w:t xml:space="preserve"> на ЕОТ, в които се подчертава необходимостта Органът да подобри своята система за мониторинг въз основа на конкретни, измерими, постижими, относими и обвързани със срокове (SMART) цели и ключови показатели за ефективност; отбелязва със загриженост, че тази липса е възпрепятствала оценката на разходната ефективност на дейностите на ЕОТ и подкопава качеството на мониторинга на изпълнението; потвърждава, че ЕОТ има потенциала да укрепи своята система за мониторинг чрез прилагането на структурирани подходи;</w:t>
      </w:r>
    </w:p>
    <w:p w14:paraId="0F623F54" w14:textId="18B5D3D0" w:rsidR="00443B04" w:rsidRPr="00192FCB" w:rsidRDefault="00347486" w:rsidP="00443B04">
      <w:pPr>
        <w:pStyle w:val="NormalHanging12a"/>
        <w:rPr>
          <w:bCs/>
        </w:rPr>
      </w:pPr>
      <w:r>
        <w:t>91</w:t>
      </w:r>
      <w:r w:rsidR="00443B04" w:rsidRPr="00192FCB">
        <w:t>.</w:t>
      </w:r>
      <w:r w:rsidR="00443B04" w:rsidRPr="00192FCB">
        <w:tab/>
        <w:t xml:space="preserve">отбелязва със загриженост, че ЕОТ продължава да разчита прекомерно на временни работници, командировани национални експерти и служители, наети чрез агенции за временна заетост, за основните оперативни и финансови функции; отбелязва, че в края на 2022 г. временните работници са представлявали 58 % от работната сила на ЕОТ и въпреки лекото намаление делът е останал много висок — 47 % в края както на 2023 г., така и на 2024 г.; отбелязва освен това, че в нарушение на член 41, параграф 1 от финансовите правила на ЕОТ Органът е </w:t>
      </w:r>
      <w:r w:rsidR="00443B04" w:rsidRPr="00192FCB">
        <w:lastRenderedPageBreak/>
        <w:t>разчитал на служител, нает чрез агенция за временна заетост, и на стажант за извършването на основни финансови дейности, свързани с изпълнението на бюджета, между ноември 2022 г. и март 2023 г. — практика, която е продължила през 2023 г. и 2024 г. с продължаващото използване на служител, нает чрез агенция за временна заетост, за основни финансови задачи;</w:t>
      </w:r>
    </w:p>
    <w:p w14:paraId="47242F2A" w14:textId="128BA211" w:rsidR="00443B04" w:rsidRPr="00192FCB" w:rsidRDefault="00347486" w:rsidP="00443B04">
      <w:pPr>
        <w:pStyle w:val="NormalHanging12a"/>
        <w:rPr>
          <w:bCs/>
        </w:rPr>
      </w:pPr>
      <w:r>
        <w:t>92</w:t>
      </w:r>
      <w:r w:rsidR="00443B04" w:rsidRPr="00192FCB">
        <w:t>.</w:t>
      </w:r>
      <w:r w:rsidR="00443B04" w:rsidRPr="00192FCB">
        <w:tab/>
        <w:t>отбелязва обяснението, предоставено по време на изслушването, проведено на 1 декември 2025 г., от изпълнителния директор на ЕОТ относно структурно високия дял на срочно наетите работници, по-специално командировани национални експерти, които понастоящем представляват около 42‑50 % от оперативния персонал на ЕОТ и които по закон не могат да изпълняват основни функции, като по този начин се създава концентрация на отговорности и по-висок риск от грешки; подкрепя коригиране на щатното разписание, за да се замени ресурсното осигуряване, основано на командировани национални експерти, с допълнителни длъжности за срочно наети служители, които да бъдат заети чрез открити и състезателни процедури в рамките на съществуващия бюджетен таван; счита, че Органът по труда следва да бъде ролев модел в трудовите стандарти и да се стреми да предлага по-дълги договори, което би било в интерес на персонала, непрекъснатостта на дейността и запазването на знанията; призовава Органа да засили допълнително сътрудничеството с националните органи по труда, за да се избегне дублирането на дейности и да се подобри обменът на информация;</w:t>
      </w:r>
    </w:p>
    <w:p w14:paraId="52323A32" w14:textId="11D50EF1" w:rsidR="00443B04" w:rsidRPr="00192FCB" w:rsidRDefault="00347486" w:rsidP="00443B04">
      <w:pPr>
        <w:pStyle w:val="NormalHanging12a"/>
        <w:rPr>
          <w:bCs/>
        </w:rPr>
      </w:pPr>
      <w:r>
        <w:t>93</w:t>
      </w:r>
      <w:r w:rsidR="00443B04" w:rsidRPr="00192FCB">
        <w:t>.</w:t>
      </w:r>
      <w:r w:rsidR="00443B04" w:rsidRPr="00192FCB">
        <w:tab/>
        <w:t xml:space="preserve">обръща внимание на заключенията от Оценката на агенциите на ЕС: </w:t>
      </w:r>
      <w:proofErr w:type="spellStart"/>
      <w:r w:rsidR="00443B04" w:rsidRPr="00192FCB">
        <w:t>Cedefop</w:t>
      </w:r>
      <w:proofErr w:type="spellEnd"/>
      <w:r w:rsidR="00443B04" w:rsidRPr="00192FCB">
        <w:t>, EU</w:t>
      </w:r>
      <w:r w:rsidR="00443B04" w:rsidRPr="00192FCB">
        <w:noBreakHyphen/>
        <w:t xml:space="preserve">OSHA, </w:t>
      </w:r>
      <w:proofErr w:type="spellStart"/>
      <w:r w:rsidR="00443B04" w:rsidRPr="00192FCB">
        <w:t>Eurofound</w:t>
      </w:r>
      <w:proofErr w:type="spellEnd"/>
      <w:r w:rsidR="00443B04" w:rsidRPr="00192FCB">
        <w:t xml:space="preserve"> и ETF; отбелязва, че в оценката не са открити данни, които да променят заключенията от предишната оценка от 2019 г., в която се заключаваше, че вариантите за сливане се съпътстват от предизвикателства при постигането на баланс на ползите и недостатъците, докато подобрения на ефективността могат да бъдат постигнати чрез по-добро сътрудничество; подчертава необходимостта от по-тясно сътрудничество с Комисията по отношение на съвместните резултати с висока стойност, като например сътрудничеството между </w:t>
      </w:r>
      <w:proofErr w:type="spellStart"/>
      <w:r w:rsidR="00443B04" w:rsidRPr="00192FCB">
        <w:t>Eurofound</w:t>
      </w:r>
      <w:proofErr w:type="spellEnd"/>
      <w:r w:rsidR="00443B04" w:rsidRPr="00192FCB">
        <w:t xml:space="preserve"> и </w:t>
      </w:r>
      <w:proofErr w:type="spellStart"/>
      <w:r w:rsidR="00443B04" w:rsidRPr="00192FCB">
        <w:t>Cedefop</w:t>
      </w:r>
      <w:proofErr w:type="spellEnd"/>
      <w:r w:rsidR="00443B04" w:rsidRPr="00192FCB">
        <w:t xml:space="preserve"> във връзка с проучването на европейските дружества и привеждането на </w:t>
      </w:r>
      <w:proofErr w:type="spellStart"/>
      <w:r w:rsidR="00443B04" w:rsidRPr="00192FCB">
        <w:t>Cedefop</w:t>
      </w:r>
      <w:proofErr w:type="spellEnd"/>
      <w:r w:rsidR="00443B04" w:rsidRPr="00192FCB">
        <w:t xml:space="preserve"> и ETF в съответствие с мониторинга на политиките в областта на професионалното образование и обучение (ПОО); отбелязва, че е необходима по-добра координация между </w:t>
      </w:r>
      <w:proofErr w:type="spellStart"/>
      <w:r w:rsidR="00443B04" w:rsidRPr="00192FCB">
        <w:t>Cedefop</w:t>
      </w:r>
      <w:proofErr w:type="spellEnd"/>
      <w:r w:rsidR="00443B04" w:rsidRPr="00192FCB">
        <w:t xml:space="preserve">, ЕОТ и </w:t>
      </w:r>
      <w:proofErr w:type="spellStart"/>
      <w:r w:rsidR="00443B04" w:rsidRPr="00192FCB">
        <w:t>Eurofound</w:t>
      </w:r>
      <w:proofErr w:type="spellEnd"/>
      <w:r w:rsidR="00443B04" w:rsidRPr="00192FCB">
        <w:t>, за да се избегне дублиране при прогнозирането на уменията и анализа на пазара на труда;</w:t>
      </w:r>
    </w:p>
    <w:p w14:paraId="6BEF6521" w14:textId="35AADFD6" w:rsidR="00443B04" w:rsidRPr="00192FCB" w:rsidRDefault="00347486" w:rsidP="00443B04">
      <w:pPr>
        <w:pStyle w:val="NormalHanging12a"/>
        <w:rPr>
          <w:bCs/>
        </w:rPr>
      </w:pPr>
      <w:r>
        <w:t>94</w:t>
      </w:r>
      <w:r w:rsidR="00443B04" w:rsidRPr="00192FCB">
        <w:t>.</w:t>
      </w:r>
      <w:r w:rsidR="00443B04" w:rsidRPr="00192FCB">
        <w:tab/>
        <w:t>отбелязва, че системите за мониторинг във всички агенции, включително SMART целите и КПЕ, следва да бъдат укрепени, за да се подобри оценката на изпълнението и ангажираността на заинтересованите страни; подчертава, че пропуските в данните (особено в Европейската фондация за обучение, ETF), липсващите цели за ефективност и липсата на показатели на национално равнище подкопават ефективността; отбелязва, че тези предизвикателства изискват подобрена пълнота на данните, ясно от правна гледна точка определяне на целите и подобрени рамки за мониторинг, така че да се гарантират всеобхватни оценки на изпълнението и привеждане в съответствие с нуждите на заинтересованите страни; подчертава значението на прозрачните структури за управление и гаранциите във връзка с конфликтите на интереси с цел подкрепа на доверието на заинтересованите страни в тяхната работа;</w:t>
      </w:r>
    </w:p>
    <w:p w14:paraId="5A07A271" w14:textId="7759D5A1" w:rsidR="00443B04" w:rsidRPr="00192FCB" w:rsidRDefault="00347486" w:rsidP="00443B04">
      <w:pPr>
        <w:pStyle w:val="NormalHanging12a"/>
        <w:rPr>
          <w:bCs/>
        </w:rPr>
      </w:pPr>
      <w:r>
        <w:t>95</w:t>
      </w:r>
      <w:r w:rsidR="00443B04" w:rsidRPr="00192FCB">
        <w:t>.</w:t>
      </w:r>
      <w:r w:rsidR="00443B04" w:rsidRPr="00192FCB">
        <w:tab/>
        <w:t>отбелязва, че четирите агенции (</w:t>
      </w:r>
      <w:proofErr w:type="spellStart"/>
      <w:r w:rsidR="00443B04" w:rsidRPr="00192FCB">
        <w:t>Cedefop</w:t>
      </w:r>
      <w:proofErr w:type="spellEnd"/>
      <w:r w:rsidR="00443B04" w:rsidRPr="00192FCB">
        <w:t>, EU</w:t>
      </w:r>
      <w:r w:rsidR="00443B04" w:rsidRPr="00192FCB">
        <w:noBreakHyphen/>
        <w:t xml:space="preserve">OSHA, </w:t>
      </w:r>
      <w:proofErr w:type="spellStart"/>
      <w:r w:rsidR="00443B04" w:rsidRPr="00192FCB">
        <w:t>Eurofound</w:t>
      </w:r>
      <w:proofErr w:type="spellEnd"/>
      <w:r w:rsidR="00443B04" w:rsidRPr="00192FCB">
        <w:t xml:space="preserve"> и ETF) имат </w:t>
      </w:r>
      <w:r w:rsidR="00443B04" w:rsidRPr="00192FCB">
        <w:lastRenderedPageBreak/>
        <w:t>потенциала да намалят административната тежест и да подобрят ефективността чрез споделянето на услуги</w:t>
      </w:r>
      <w:r w:rsidR="00443B04" w:rsidRPr="00192FCB">
        <w:rPr>
          <w:vertAlign w:val="superscript"/>
        </w:rPr>
        <w:t>20</w:t>
      </w:r>
      <w:r w:rsidR="00443B04" w:rsidRPr="00192FCB">
        <w:t>; подчертава, че агенциите следва да намалят административната тежест за служителите, за да поддържат устойчиво работно натоварване, като споделят общи услуги за човешки ресурси, правни, ИТ и технически функции; посочва, че това би дало възможност на агенциите да намалят персонала, който се занимава с административни дейности, и да засилят акцента върху основните операции; призовава тези агенции, в тясно сътрудничество с Палатата, да разработят структуриран план за внедряване на споделени услуги с конкретни етапни цели, за да се улесни взаимният обмен на най-добри практики и препоръки между съответните агенции, както и в рамките на по-широката Мрежа на агенциите на ЕС, въз основа на одитните констатации и хоризонталните оценки на Палатата; призовава Комисията да докладва ежегодно на органа по освобождаване от отговорност относно напредъка, постигнат в рамките на този план;</w:t>
      </w:r>
    </w:p>
    <w:p w14:paraId="71EFA1D7" w14:textId="018048BC" w:rsidR="00443B04" w:rsidRPr="00192FCB" w:rsidRDefault="00347486" w:rsidP="00443B04">
      <w:pPr>
        <w:pStyle w:val="NormalHanging12a"/>
        <w:rPr>
          <w:bCs/>
        </w:rPr>
      </w:pPr>
      <w:r>
        <w:t>96</w:t>
      </w:r>
      <w:bookmarkStart w:id="11" w:name="_Hlk219817761"/>
      <w:bookmarkStart w:id="12" w:name="_Hlk219801757"/>
      <w:r w:rsidR="00443B04" w:rsidRPr="00192FCB">
        <w:t>.</w:t>
      </w:r>
      <w:r w:rsidR="00443B04" w:rsidRPr="00192FCB">
        <w:tab/>
        <w:t>отбелязва, че Европейският център за развитие на професионалното обучение (</w:t>
      </w:r>
      <w:proofErr w:type="spellStart"/>
      <w:r w:rsidR="00443B04" w:rsidRPr="00192FCB">
        <w:t>Cedefop</w:t>
      </w:r>
      <w:proofErr w:type="spellEnd"/>
      <w:r w:rsidR="00443B04" w:rsidRPr="00192FCB">
        <w:t xml:space="preserve">) е участвал в правен спор с бивш служител, чийто договор не е бил подновен през 2017 г.; припомня, че през 2020 г. Общият съд </w:t>
      </w:r>
      <w:r w:rsidR="00C82421" w:rsidRPr="00C82421">
        <w:t xml:space="preserve">на Европейския съюз </w:t>
      </w:r>
      <w:r w:rsidR="00443B04" w:rsidRPr="00192FCB">
        <w:t xml:space="preserve">отмени решението на </w:t>
      </w:r>
      <w:proofErr w:type="spellStart"/>
      <w:r w:rsidR="00443B04" w:rsidRPr="00192FCB">
        <w:t>Cedefop</w:t>
      </w:r>
      <w:proofErr w:type="spellEnd"/>
      <w:r w:rsidR="00443B04" w:rsidRPr="00192FCB">
        <w:t xml:space="preserve"> и разпореди изплащането на финансова компенсация, което беше изпълнено от </w:t>
      </w:r>
      <w:proofErr w:type="spellStart"/>
      <w:r w:rsidR="00443B04" w:rsidRPr="00192FCB">
        <w:t>Cedefop</w:t>
      </w:r>
      <w:proofErr w:type="spellEnd"/>
      <w:r w:rsidR="00443B04" w:rsidRPr="00192FCB">
        <w:t xml:space="preserve">; отбелязва, че последващо дело, заведено от бившия служител във връзка с изпълнението на това решение, е било отхвърлено от Общия съд </w:t>
      </w:r>
      <w:r w:rsidR="00C82421" w:rsidRPr="00C82421">
        <w:t xml:space="preserve">на Европейския съюз </w:t>
      </w:r>
      <w:r w:rsidR="00443B04" w:rsidRPr="00192FCB">
        <w:t>през февруари 2024 г.; отбелязва, че бившият служител е обжалвал това решение пред Съда на Европейския съюз (дело C-209/24 P) и че окончателното решение</w:t>
      </w:r>
      <w:r w:rsidR="00C82421">
        <w:t xml:space="preserve"> </w:t>
      </w:r>
      <w:r w:rsidR="00C82421" w:rsidRPr="00C82421">
        <w:t xml:space="preserve">на Съда на Европейския съюз отменя решението на Общия съд на Европейския съюз от 7 февруари 2024 г. (T-563/22), отменя решението на изпълнителния директор на </w:t>
      </w:r>
      <w:proofErr w:type="spellStart"/>
      <w:r w:rsidR="00C82421" w:rsidRPr="00C82421">
        <w:t>Cedefop</w:t>
      </w:r>
      <w:proofErr w:type="spellEnd"/>
      <w:r w:rsidR="00C82421" w:rsidRPr="00C82421">
        <w:t xml:space="preserve"> от 17 декември 2021 г. и решението на неговия комитет по жалбите от 17 юни 2022 г., разпорежда на </w:t>
      </w:r>
      <w:proofErr w:type="spellStart"/>
      <w:r w:rsidR="00C82421" w:rsidRPr="00C82421">
        <w:t>Cedefop</w:t>
      </w:r>
      <w:proofErr w:type="spellEnd"/>
      <w:r w:rsidR="00C82421" w:rsidRPr="00C82421">
        <w:t xml:space="preserve"> да заплати на жалбоподателя сумата от 15 000 EUR като обезщетение за неимуществените вреди и да понесе всички разноски, направени от жалбоподателя както в първоинстанционното производство, така и в производството по обжалване</w:t>
      </w:r>
      <w:r w:rsidR="00443B04" w:rsidRPr="00192FCB">
        <w:t xml:space="preserve">; припомня, че </w:t>
      </w:r>
      <w:r w:rsidR="00C82421" w:rsidRPr="00C82421">
        <w:t xml:space="preserve">в първоначалното решение на </w:t>
      </w:r>
      <w:r w:rsidR="00443B04" w:rsidRPr="00192FCB">
        <w:t xml:space="preserve">Общият съд </w:t>
      </w:r>
      <w:r w:rsidR="00C82421" w:rsidRPr="00C82421">
        <w:t xml:space="preserve">на Европейския съюз са установени </w:t>
      </w:r>
      <w:r w:rsidR="00443B04" w:rsidRPr="00192FCB">
        <w:t>нарушения на основните процесуални гаранции, включително правото на изслушване, правото на защита, задължението за полагане на дължима грижа и принципа на добра администрация;</w:t>
      </w:r>
      <w:r w:rsidR="00C82421">
        <w:t xml:space="preserve"> </w:t>
      </w:r>
      <w:r w:rsidR="00C82421" w:rsidRPr="00C82421">
        <w:t>отбелязва със загриженост, че вследствие на тези констатации изглежда не е започната дисциплинарна процедура срещу бившия изпълнителен директор или други отговорни членове на персонал</w:t>
      </w:r>
      <w:r w:rsidR="00C82421">
        <w:t>;</w:t>
      </w:r>
      <w:r w:rsidR="00443B04" w:rsidRPr="00192FCB">
        <w:t xml:space="preserve"> критикува прекомерната продължителност на процеса на вземане на решения, </w:t>
      </w:r>
      <w:r w:rsidR="00C82421" w:rsidRPr="00C82421">
        <w:t xml:space="preserve">която се дължи и на грешка от страна на общия съд въз основа на информация от агенцията; подчертава, че неимуществените вреди се дължат пряко на неспазването от страна на </w:t>
      </w:r>
      <w:proofErr w:type="spellStart"/>
      <w:r w:rsidR="00C82421" w:rsidRPr="00C82421">
        <w:t>Cedefop</w:t>
      </w:r>
      <w:proofErr w:type="spellEnd"/>
      <w:r w:rsidR="00C82421" w:rsidRPr="00C82421">
        <w:t xml:space="preserve"> на </w:t>
      </w:r>
      <w:proofErr w:type="spellStart"/>
      <w:r w:rsidR="00C82421" w:rsidRPr="00C82421">
        <w:t>отменителното</w:t>
      </w:r>
      <w:proofErr w:type="spellEnd"/>
      <w:r w:rsidR="00C82421" w:rsidRPr="00C82421">
        <w:t xml:space="preserve"> съдебно решение, с изключение на изплащането на обезщетение, и че следователно е установена причинно-следствена връзка между неправомерното поведение на </w:t>
      </w:r>
      <w:proofErr w:type="spellStart"/>
      <w:r w:rsidR="00C82421" w:rsidRPr="00C82421">
        <w:t>Cedefop</w:t>
      </w:r>
      <w:proofErr w:type="spellEnd"/>
      <w:r w:rsidR="00C82421" w:rsidRPr="00C82421">
        <w:t xml:space="preserve"> и вредата; подчертава, че сега </w:t>
      </w:r>
      <w:proofErr w:type="spellStart"/>
      <w:r w:rsidR="00C82421" w:rsidRPr="00C82421">
        <w:t>Cedefop</w:t>
      </w:r>
      <w:proofErr w:type="spellEnd"/>
      <w:r w:rsidR="00C82421" w:rsidRPr="00C82421">
        <w:t xml:space="preserve"> трябва да преразгледа искането за подновяване на договора, да възобнови процедурата от положението през 2017 г. и да приеме решение, което да замени отмененото решение; това преразглеждане следва да се извърши съгласно съответната процедура, предвидена в Правилника за длъжностните лица и вътрешните правила за наемане на персонал на </w:t>
      </w:r>
      <w:proofErr w:type="spellStart"/>
      <w:r w:rsidR="00C82421" w:rsidRPr="00C82421">
        <w:t>Cedefop</w:t>
      </w:r>
      <w:proofErr w:type="spellEnd"/>
      <w:r w:rsidR="00C82421" w:rsidRPr="00C82421">
        <w:t xml:space="preserve">, включително евентуално необходимото обезщетение; настоятелно призовава свързаните с персонала решения да се вземат своевременно по прозрачен и проследим начин въз основа </w:t>
      </w:r>
      <w:r w:rsidR="00C82421" w:rsidRPr="00C82421">
        <w:lastRenderedPageBreak/>
        <w:t>на всички правила, залегнали в Правилника за длъжностните лица</w:t>
      </w:r>
      <w:r w:rsidR="00443B04" w:rsidRPr="00192FCB">
        <w:t>;</w:t>
      </w:r>
    </w:p>
    <w:bookmarkEnd w:id="11"/>
    <w:bookmarkEnd w:id="12"/>
    <w:p w14:paraId="11209850" w14:textId="29F3C74C" w:rsidR="00443B04" w:rsidRPr="00192FCB" w:rsidRDefault="00347486" w:rsidP="00443B04">
      <w:pPr>
        <w:pStyle w:val="NormalHanging12a"/>
      </w:pPr>
      <w:r>
        <w:t>97</w:t>
      </w:r>
      <w:r w:rsidR="00443B04" w:rsidRPr="00192FCB">
        <w:t>.</w:t>
      </w:r>
      <w:r w:rsidR="00443B04" w:rsidRPr="00192FCB">
        <w:tab/>
        <w:t>отбелязва констатацията на Палатата, че Европейската агенция за безопасност и здраве при работа (EU</w:t>
      </w:r>
      <w:r w:rsidR="00443B04" w:rsidRPr="00192FCB">
        <w:noBreakHyphen/>
        <w:t>OSHA) е плащала за онлайн курсове, без да е проверила в достатъчна степен дали фактурираните часове съответстват на предоставените услуги, което е в противоречие с член 73 от финансовия регламент на Агенцията; отбелязва пояснението на Агенцията, че предварителните проверки се извършват рутинно и че в този случай става въпрос по-скоро за пропуск в документацията, отколкото за липса на контрол; приветства допълнителните мерки, въведени за осигуряване на пълна документация за предоставянето на услуги, и подчертава, че е важно да се поддържат солидна доказателствена следа за всички плащания, за да се гарантира законосъобразността и редовността;</w:t>
      </w:r>
    </w:p>
    <w:p w14:paraId="2A7FFB6C" w14:textId="083180BC" w:rsidR="00443B04" w:rsidRPr="00192FCB" w:rsidRDefault="00347486" w:rsidP="00443B04">
      <w:pPr>
        <w:pStyle w:val="NormalHanging12a"/>
      </w:pPr>
      <w:r>
        <w:t>98</w:t>
      </w:r>
      <w:r w:rsidR="00443B04" w:rsidRPr="00192FCB">
        <w:t>.</w:t>
      </w:r>
      <w:r w:rsidR="00443B04" w:rsidRPr="00192FCB">
        <w:tab/>
        <w:t>отбелязва, че 75 % от раковите заболявания, свързани с работата, се дължат на експозицията на азбест, признава приноса на EU-OSHA от 2024 г. за новите насоки на Комисията относно азбеста и насърчава EU-OSHA да продължи да обезпечава персонал и бюджетни средства за провеждането на информационни дейности относно азбеста и методите за справяне с широко разпространения проблем с азбеста в Европа;</w:t>
      </w:r>
    </w:p>
    <w:p w14:paraId="0ADD2738" w14:textId="6E2462C4" w:rsidR="00443B04" w:rsidRPr="00192FCB" w:rsidRDefault="00347486" w:rsidP="00443B04">
      <w:pPr>
        <w:pStyle w:val="NormalHanging12a"/>
      </w:pPr>
      <w:r>
        <w:t>99</w:t>
      </w:r>
      <w:r w:rsidR="00443B04" w:rsidRPr="00192FCB">
        <w:t>.</w:t>
      </w:r>
      <w:r w:rsidR="00443B04" w:rsidRPr="00192FCB">
        <w:tab/>
        <w:t>припомня две от нередностите, допуснати от ETF при възлагането на обществени поръчки и подчертани от Палатата през 2022 г., които са довели до нередовни плащания през 2024 г.; отбелязва, че в един случай ETF е възложила договор на стойност 1 милион евро за услуги за поддръжка на съдържание на оферент, който не достига изисквания праг на финансов оборот, като по този начин е направила договора и свързаните с него плащания (186 175 EUR през 2024 г.) нередовни; отбелязва, че в друг случай при открита процедура за възлагане на обществена поръчка на стойност 4 милиона евро за услуги за подкрепа на национално равнище спечелилият оферент не е успял да докаже достатъчен икономически и финансов капацитет, което е довело до допълнителни нередности при плащанията (252 714 EUR през 2024 г.); отбелязва освен това, че в търг от 2023 г. за LAN инфраструктура в нейните помещения ETF е наложила прекомерни изисквания за финансов капацитет без подходяща обосновка, което потенциално е обезкуражило конкуренцията; отбелязва, че ETF е признала тези проблеми и е преразгледала своята методология, но настоява, че ETF трябва да прилага по-строги механизми за съответствие, за да предотврати нарушения на правилата за възлагане на обществени поръчки в бъдеще;</w:t>
      </w:r>
    </w:p>
    <w:p w14:paraId="61363FAC" w14:textId="04EDFB6F" w:rsidR="00443B04" w:rsidRPr="00192FCB" w:rsidRDefault="00347486" w:rsidP="00443B04">
      <w:pPr>
        <w:pStyle w:val="NormalHanging12a"/>
      </w:pPr>
      <w:r>
        <w:t>100</w:t>
      </w:r>
      <w:r w:rsidR="00443B04" w:rsidRPr="00192FCB">
        <w:t>.</w:t>
      </w:r>
      <w:r w:rsidR="00443B04" w:rsidRPr="00192FCB">
        <w:tab/>
        <w:t>изразява загриженост, че няколко забележки от предходни години, свързани с възлагането на обществени поръчки, остават отворени както за ЕОТ (в основата на становище с резерви през 2023 г. и 2024 г.), така и за ETF;</w:t>
      </w:r>
    </w:p>
    <w:p w14:paraId="79358964" w14:textId="77777777" w:rsidR="00443B04" w:rsidRPr="00192FCB" w:rsidRDefault="00443B04" w:rsidP="00443B04">
      <w:pPr>
        <w:pStyle w:val="NormalHanging12a"/>
        <w:rPr>
          <w:bCs/>
          <w:i/>
          <w:iCs/>
        </w:rPr>
      </w:pPr>
      <w:r w:rsidRPr="00192FCB">
        <w:rPr>
          <w:i/>
        </w:rPr>
        <w:t>Препоръки</w:t>
      </w:r>
    </w:p>
    <w:p w14:paraId="15E4AE5A" w14:textId="38D3791D" w:rsidR="00443B04" w:rsidRPr="00192FCB" w:rsidRDefault="00347486" w:rsidP="00443B04">
      <w:pPr>
        <w:pStyle w:val="NormalHanging12a"/>
        <w:rPr>
          <w:bCs/>
        </w:rPr>
      </w:pPr>
      <w:r>
        <w:t>101</w:t>
      </w:r>
      <w:r w:rsidR="00443B04" w:rsidRPr="00192FCB">
        <w:t>.</w:t>
      </w:r>
      <w:r w:rsidR="00443B04" w:rsidRPr="00192FCB">
        <w:tab/>
        <w:t>призовава агенциите да предприемат действия във връзка със забележките на Палатата, и по-специално:</w:t>
      </w:r>
    </w:p>
    <w:p w14:paraId="01017144" w14:textId="77777777" w:rsidR="00443B04" w:rsidRPr="00192FCB" w:rsidRDefault="00443B04" w:rsidP="00443B04">
      <w:pPr>
        <w:pStyle w:val="NormalHanging12a"/>
        <w:ind w:left="1134"/>
        <w:rPr>
          <w:bCs/>
        </w:rPr>
      </w:pPr>
      <w:r w:rsidRPr="00192FCB">
        <w:t>i)</w:t>
      </w:r>
      <w:r w:rsidRPr="00192FCB">
        <w:tab/>
        <w:t>ЕОТ да подобри бюджетното си управление и да формализира план за действие при извънредни ситуации за адаптиране на заплатите, включително ранна координация на финансирането от Съюза;</w:t>
      </w:r>
    </w:p>
    <w:p w14:paraId="2F62E484" w14:textId="77777777" w:rsidR="00443B04" w:rsidRPr="00192FCB" w:rsidRDefault="00443B04" w:rsidP="00443B04">
      <w:pPr>
        <w:pStyle w:val="NormalHanging12a"/>
        <w:ind w:left="1134"/>
        <w:rPr>
          <w:bCs/>
        </w:rPr>
      </w:pPr>
      <w:r w:rsidRPr="00192FCB">
        <w:lastRenderedPageBreak/>
        <w:t>ii)</w:t>
      </w:r>
      <w:r w:rsidRPr="00192FCB">
        <w:tab/>
        <w:t>ЕОТ, ETF и EU</w:t>
      </w:r>
      <w:r w:rsidRPr="00192FCB">
        <w:noBreakHyphen/>
        <w:t>OSHA да укрепят допълнително своите системи за възлагане на обществени поръчки и вътрешен контрол, като гарантират, че всички плащания са подкрепени от пълни и проверими доказателства, че изискванията за финансов и технически капацитет се прилагат последователно и пропорционално и че предварителните и последващите проверки се документират систематично;</w:t>
      </w:r>
    </w:p>
    <w:p w14:paraId="7FE5793D" w14:textId="23DA1252" w:rsidR="00443B04" w:rsidRPr="00192FCB" w:rsidRDefault="00347486" w:rsidP="00443B04">
      <w:pPr>
        <w:pStyle w:val="NormalHanging12a"/>
        <w:rPr>
          <w:bCs/>
        </w:rPr>
      </w:pPr>
      <w:r>
        <w:t>102</w:t>
      </w:r>
      <w:r w:rsidR="00443B04" w:rsidRPr="00192FCB">
        <w:t>.</w:t>
      </w:r>
      <w:r w:rsidR="00443B04" w:rsidRPr="00192FCB">
        <w:tab/>
        <w:t xml:space="preserve">освен това призовава </w:t>
      </w:r>
      <w:proofErr w:type="spellStart"/>
      <w:r w:rsidR="00443B04" w:rsidRPr="00192FCB">
        <w:t>Cedefop</w:t>
      </w:r>
      <w:proofErr w:type="spellEnd"/>
      <w:r w:rsidR="00443B04" w:rsidRPr="00192FCB">
        <w:t xml:space="preserve">, ЕОТ, ETF, EU-OSHA и </w:t>
      </w:r>
      <w:proofErr w:type="spellStart"/>
      <w:r w:rsidR="00443B04" w:rsidRPr="00192FCB">
        <w:t>Eurofound</w:t>
      </w:r>
      <w:proofErr w:type="spellEnd"/>
      <w:r w:rsidR="00443B04" w:rsidRPr="00192FCB">
        <w:t>:</w:t>
      </w:r>
    </w:p>
    <w:p w14:paraId="216903F9" w14:textId="77777777" w:rsidR="00443B04" w:rsidRPr="00192FCB" w:rsidRDefault="00443B04" w:rsidP="00443B04">
      <w:pPr>
        <w:pStyle w:val="NormalHanging12a"/>
        <w:ind w:left="1134"/>
        <w:rPr>
          <w:bCs/>
        </w:rPr>
      </w:pPr>
      <w:r w:rsidRPr="00192FCB">
        <w:t>i)</w:t>
      </w:r>
      <w:r w:rsidRPr="00192FCB">
        <w:tab/>
        <w:t>да укрепят значително своите системи за мониторинг и измерване на резултатите чрез пълно интегриране на конкретни, измерими, постижими, относими и обвързани със срокове (SMART) цели и стабилни, ориентирани към резултатите ключови показатели за ефективност, преодоляване на пропуските в данните и привеждане на показателите в съответствие с оперативните приоритети с цел повишаване на разходната ефективност и отчетността на заинтересованите страни;</w:t>
      </w:r>
    </w:p>
    <w:p w14:paraId="54CA2B6B" w14:textId="77777777" w:rsidR="00443B04" w:rsidRPr="00192FCB" w:rsidRDefault="00443B04" w:rsidP="00443B04">
      <w:pPr>
        <w:pStyle w:val="NormalHanging12a"/>
        <w:ind w:left="1134"/>
      </w:pPr>
      <w:r w:rsidRPr="00192FCB">
        <w:t>ii)</w:t>
      </w:r>
      <w:r w:rsidRPr="00192FCB">
        <w:tab/>
        <w:t xml:space="preserve"> да приемат структурирани и съгласувани подходи за мониторинг, като осигурят пълнота и съпоставимост на данните между циклите на докладване, установят съгласувани показатели на национално равнище, когато е уместно, и подобрят практиките за определяне на цели, като същевременно укрепват междуведомственото сътрудничество, за да се избегне дублирането и да се засили основаната на факти подкрепа за политиката;</w:t>
      </w:r>
    </w:p>
    <w:p w14:paraId="6AF0780B" w14:textId="77777777" w:rsidR="00443B04" w:rsidRDefault="00443B04" w:rsidP="00443B04">
      <w:pPr>
        <w:pStyle w:val="NormalHanging12a"/>
        <w:ind w:left="1134"/>
      </w:pPr>
      <w:r w:rsidRPr="00192FCB">
        <w:t>iii)</w:t>
      </w:r>
      <w:r w:rsidRPr="00192FCB">
        <w:tab/>
        <w:t>да активизират усилията си за структуриран модел на споделени услуги, обхващащ човешките ресурси, правната, ИКТ, административната и техническата подкрепа, за да се увеличи полезното взаимодействие, да се намали административната тежест, да се гарантира устойчиво работно натоварване и да се освободи персонал за основни оперативни задачи; потвърждава, че това ще изисква внимателна стратегия, тъй като агенциите се намират в различни региони, а именно съответно в Солун, Братислава, Торино, Билбао и Дъблин;</w:t>
      </w:r>
    </w:p>
    <w:p w14:paraId="615B7E2F" w14:textId="24B3B9AF" w:rsidR="005B6B6C" w:rsidRDefault="005B6B6C" w:rsidP="00443B04">
      <w:pPr>
        <w:pStyle w:val="NormalHanging12a"/>
        <w:ind w:left="1134"/>
        <w:rPr>
          <w:bCs/>
          <w:lang w:val="en-GB"/>
        </w:rPr>
      </w:pPr>
      <w:r w:rsidRPr="005B6B6C">
        <w:rPr>
          <w:bCs/>
        </w:rPr>
        <w:t>i</w:t>
      </w:r>
      <w:r>
        <w:rPr>
          <w:bCs/>
          <w:lang w:val="en-GB"/>
        </w:rPr>
        <w:t>v</w:t>
      </w:r>
      <w:r w:rsidRPr="005B6B6C">
        <w:rPr>
          <w:bCs/>
        </w:rPr>
        <w:t>)</w:t>
      </w:r>
      <w:r w:rsidRPr="005B6B6C">
        <w:rPr>
          <w:bCs/>
        </w:rPr>
        <w:tab/>
        <w:t xml:space="preserve">настоятелно призовава </w:t>
      </w:r>
      <w:proofErr w:type="spellStart"/>
      <w:r w:rsidRPr="005B6B6C">
        <w:rPr>
          <w:bCs/>
        </w:rPr>
        <w:t>Cedefop</w:t>
      </w:r>
      <w:proofErr w:type="spellEnd"/>
      <w:r w:rsidRPr="005B6B6C">
        <w:rPr>
          <w:bCs/>
        </w:rPr>
        <w:t xml:space="preserve"> да приеме решение за замяна, с което изцяло да се изпълни решението на Съда на Европейския съюз от 12 март 2026 г., в съответствие с Правилника за длъжностните лица, съответните вътрешни процедури и правила, както и с правата на служител, кандидатстващ за подновяване на договора си; подчертава неотложната необходимост от избягване на по-нататъшни производства и допълнителни финансови разходи за Агенцията; призовава </w:t>
      </w:r>
      <w:proofErr w:type="spellStart"/>
      <w:r w:rsidRPr="005B6B6C">
        <w:rPr>
          <w:bCs/>
        </w:rPr>
        <w:t>Cedefop</w:t>
      </w:r>
      <w:proofErr w:type="spellEnd"/>
      <w:r w:rsidRPr="005B6B6C">
        <w:rPr>
          <w:bCs/>
        </w:rPr>
        <w:t xml:space="preserve"> да представи план за действие, който да включва: i) как ще бъде приложена процедурата за вземане на решение в съответствие с положението към 2017 г., включително график; ii) как </w:t>
      </w:r>
      <w:proofErr w:type="spellStart"/>
      <w:r w:rsidRPr="005B6B6C">
        <w:rPr>
          <w:bCs/>
        </w:rPr>
        <w:t>Cedefop</w:t>
      </w:r>
      <w:proofErr w:type="spellEnd"/>
      <w:r w:rsidRPr="005B6B6C">
        <w:rPr>
          <w:bCs/>
        </w:rPr>
        <w:t xml:space="preserve"> възнамерява да гарантира спазването на правилата съгласно Правилника за длъжностните лица, вътрешните процедури и всички права на служителите; iii) какъв вид компенсация ще се изплаща и на какви основания; iv) какви промени е въвел </w:t>
      </w:r>
      <w:proofErr w:type="spellStart"/>
      <w:r w:rsidRPr="005B6B6C">
        <w:rPr>
          <w:bCs/>
        </w:rPr>
        <w:t>Cedefop</w:t>
      </w:r>
      <w:proofErr w:type="spellEnd"/>
      <w:r w:rsidRPr="005B6B6C">
        <w:rPr>
          <w:bCs/>
        </w:rPr>
        <w:t xml:space="preserve"> или планира да подобри процедурите при наемане или удължаване на договорите на персонала; v) описание на всички видове разходи, направени по време на целия правен спор от 2017 г. насам, и да докладва на органа по освобождаване от отговорност относно напредъка по изпълнението не по-късно от началото на </w:t>
      </w:r>
      <w:r w:rsidRPr="005B6B6C">
        <w:rPr>
          <w:bCs/>
        </w:rPr>
        <w:lastRenderedPageBreak/>
        <w:t>септември;</w:t>
      </w:r>
    </w:p>
    <w:p w14:paraId="63E361C0" w14:textId="3A13F1DB" w:rsidR="005B6B6C" w:rsidRPr="005B6B6C" w:rsidRDefault="005B6B6C" w:rsidP="00443B04">
      <w:pPr>
        <w:pStyle w:val="NormalHanging12a"/>
        <w:ind w:left="1134"/>
        <w:rPr>
          <w:bCs/>
        </w:rPr>
      </w:pPr>
      <w:r w:rsidRPr="002054A3">
        <w:rPr>
          <w:bCs/>
        </w:rPr>
        <w:t>v)</w:t>
      </w:r>
      <w:r w:rsidRPr="002054A3">
        <w:rPr>
          <w:bCs/>
        </w:rPr>
        <w:tab/>
        <w:t>да укрепят своите политики по отношение на персонала, за да намалят прекомерната зависимост от временно наети служители, временни работници и стажанти, по-специално за основните и непрекъснатите функции; подчертава, че структурно несигурните договорености по отношение на персонала могат да увеличат натиска върху работното натоварване, да отслабят надзора и обучението и не допринасят за здравословни, безопасни и стабилни условия на труд; призовава агенциите да гарантират, че постоянните нужди се посрещат предимно чрез подходящо обучен редовен персонал, да предоставят по-дългосрочни и по-стабилни перспективи за заетост, когато е целесъобразно, и да гарантират, че стажантите не се използват за компенсиране на структурен недостиг на персонал или за изпълнение на основни функции;</w:t>
      </w:r>
    </w:p>
    <w:p w14:paraId="263A2579" w14:textId="77777777" w:rsidR="00443B04" w:rsidRPr="00192FCB" w:rsidRDefault="00443B04" w:rsidP="00443B04">
      <w:pPr>
        <w:pStyle w:val="NormalHanging12a"/>
        <w:rPr>
          <w:b/>
          <w:bCs/>
          <w:i/>
          <w:iCs/>
        </w:rPr>
      </w:pPr>
      <w:r w:rsidRPr="00192FCB">
        <w:rPr>
          <w:b/>
          <w:i/>
        </w:rPr>
        <w:t>Агенции в областта на здравето и безопасността на храните</w:t>
      </w:r>
      <w:r w:rsidRPr="00192FCB">
        <w:rPr>
          <w:b/>
          <w:bCs/>
          <w:i/>
          <w:iCs/>
          <w:vertAlign w:val="superscript"/>
        </w:rPr>
        <w:footnoteReference w:id="414"/>
      </w:r>
    </w:p>
    <w:p w14:paraId="1FBC66F4" w14:textId="7FFDA3E2" w:rsidR="00443B04" w:rsidRPr="00192FCB" w:rsidRDefault="00347486" w:rsidP="00443B04">
      <w:pPr>
        <w:pStyle w:val="NormalHanging12a"/>
      </w:pPr>
      <w:r>
        <w:t>103</w:t>
      </w:r>
      <w:r w:rsidR="00443B04" w:rsidRPr="00192FCB">
        <w:t>.</w:t>
      </w:r>
      <w:r w:rsidR="00443B04" w:rsidRPr="00192FCB">
        <w:tab/>
        <w:t xml:space="preserve">отбелязва със загриженост, че въпросът относно бившите помещения на EMA в Лондон продължава да съществува, като води до значителни финансови и оперативни предизвикателства; съзнава, че въпреки преместването на EMA поради излизането на Обединеното кралство от ЕС, тя продължава да носи финансова отговорност за тези помещения — положение, което се влошава от несигурното финансово положение на </w:t>
      </w:r>
      <w:proofErr w:type="spellStart"/>
      <w:r w:rsidR="00443B04" w:rsidRPr="00192FCB">
        <w:t>поднаемателя</w:t>
      </w:r>
      <w:proofErr w:type="spellEnd"/>
      <w:r w:rsidR="00443B04" w:rsidRPr="00192FCB">
        <w:t xml:space="preserve"> след обявяването на несъстоятелност на дружеството майка на </w:t>
      </w:r>
      <w:proofErr w:type="spellStart"/>
      <w:r w:rsidR="00443B04" w:rsidRPr="00192FCB">
        <w:t>WeWork</w:t>
      </w:r>
      <w:proofErr w:type="spellEnd"/>
      <w:r w:rsidR="00443B04" w:rsidRPr="00192FCB">
        <w:t xml:space="preserve"> през ноември 2023 г.; отбелязва, че максималната експозиция, в т.ч. задълженията във връзка с общинския данък, дължим от EMA в случай че помещенията останат незаети през оставащия период на договора за наем, възлиза на 543 млн. евро;</w:t>
      </w:r>
    </w:p>
    <w:p w14:paraId="19C669DF" w14:textId="40851BF9" w:rsidR="00443B04" w:rsidRPr="00192FCB" w:rsidRDefault="00347486" w:rsidP="00443B04">
      <w:pPr>
        <w:pStyle w:val="NormalHanging12a"/>
      </w:pPr>
      <w:r>
        <w:t>104</w:t>
      </w:r>
      <w:r w:rsidR="00443B04" w:rsidRPr="00192FCB">
        <w:t>.</w:t>
      </w:r>
      <w:r w:rsidR="00443B04" w:rsidRPr="00192FCB">
        <w:tab/>
        <w:t xml:space="preserve">отбелязва, че през октомври 2024 г., в съответствие с обсъжданията, проведени с бюджетните органи на ЕС, и със съгласието на своя наемодател, EMA е договорила с наемателя изменение на условията за преотдаване под наем и намаляване на наема, като обаче таксите за обслужване и застраховката на наемодателя остават изцяло дължими; отбелязва, че измененият договор включва разпоредби, съгласно които EMA или </w:t>
      </w:r>
      <w:proofErr w:type="spellStart"/>
      <w:r w:rsidR="00443B04" w:rsidRPr="00192FCB">
        <w:t>поднаемателят</w:t>
      </w:r>
      <w:proofErr w:type="spellEnd"/>
      <w:r w:rsidR="00443B04" w:rsidRPr="00192FCB">
        <w:t xml:space="preserve"> могат при определени условия да прекратят предсрочно преотдаването под наем, т.е. преди предвидената дата на изтичане на договора през юни 2039 г. отчита, че в това отношение EMA е предвидила </w:t>
      </w:r>
      <w:proofErr w:type="spellStart"/>
      <w:r w:rsidR="00443B04" w:rsidRPr="00192FCB">
        <w:t>провизия</w:t>
      </w:r>
      <w:proofErr w:type="spellEnd"/>
      <w:r w:rsidR="00443B04" w:rsidRPr="00192FCB">
        <w:t xml:space="preserve"> за обременяващ договор в размер на 122,1 млн. евро към 31 декември 2024 г.; отбелязва, че през 2024 г. EMA е получила възстановяване на парични средства от Европейската комисия в размер на 11,2 млн. евро, което е осчетоводено като приход; приветства проактивните стъпки и разумните мерки на EMA за смекчаване на част от финансовата тежест, причинена в резултат на този проблем;</w:t>
      </w:r>
    </w:p>
    <w:p w14:paraId="6BD85192" w14:textId="4D8EF77F" w:rsidR="00443B04" w:rsidRPr="00192FCB" w:rsidRDefault="00347486" w:rsidP="00443B04">
      <w:pPr>
        <w:pStyle w:val="NormalHanging12a"/>
      </w:pPr>
      <w:r>
        <w:t>105</w:t>
      </w:r>
      <w:r w:rsidR="00443B04" w:rsidRPr="00192FCB">
        <w:t>.</w:t>
      </w:r>
      <w:r w:rsidR="00443B04" w:rsidRPr="00192FCB">
        <w:tab/>
        <w:t xml:space="preserve">изтъква, че към момента на издаване на отчетите на EMA </w:t>
      </w:r>
      <w:proofErr w:type="spellStart"/>
      <w:r w:rsidR="00443B04" w:rsidRPr="00192FCB">
        <w:t>поднаемателят</w:t>
      </w:r>
      <w:proofErr w:type="spellEnd"/>
      <w:r w:rsidR="00443B04" w:rsidRPr="00192FCB">
        <w:t xml:space="preserve"> е изпълнил договорните си задължения, като е плащал наем и такси за услуги за периода до 30 юни 2025 г.;</w:t>
      </w:r>
    </w:p>
    <w:p w14:paraId="64BE4BC4" w14:textId="00B9AD64" w:rsidR="00443B04" w:rsidRPr="00192FCB" w:rsidRDefault="00347486" w:rsidP="00443B04">
      <w:pPr>
        <w:pStyle w:val="NormalHanging12a"/>
      </w:pPr>
      <w:r>
        <w:t>106</w:t>
      </w:r>
      <w:r w:rsidR="00443B04" w:rsidRPr="00192FCB">
        <w:t>.</w:t>
      </w:r>
      <w:r w:rsidR="00443B04" w:rsidRPr="00192FCB">
        <w:tab/>
        <w:t xml:space="preserve">изразява подкрепа за искането на управителния съвет на ЕМА за разрешаване на този въпрос на най-високо политическо равнище, като по този начин се даде </w:t>
      </w:r>
      <w:r w:rsidR="00443B04" w:rsidRPr="00192FCB">
        <w:lastRenderedPageBreak/>
        <w:t>възможност на ЕМА да съсредоточи ресурсите си върху официалния си мандат и да се посвети на приоритетите в областта на общественото здраве в целия Съюз;</w:t>
      </w:r>
    </w:p>
    <w:p w14:paraId="736D969C" w14:textId="6E3D782B" w:rsidR="00443B04" w:rsidRPr="00192FCB" w:rsidRDefault="00347486" w:rsidP="00443B04">
      <w:pPr>
        <w:pStyle w:val="NormalHanging12a"/>
      </w:pPr>
      <w:r>
        <w:t>107</w:t>
      </w:r>
      <w:r w:rsidR="00443B04" w:rsidRPr="00192FCB">
        <w:t>.</w:t>
      </w:r>
      <w:r w:rsidR="00443B04" w:rsidRPr="00192FCB">
        <w:tab/>
        <w:t>припомня две от нередностите, допуснати от EMA при възлагането на обществени поръчки и подчертани от Палатата през 2020 г., които са довели до нередовни плащания през 2024 г.; отбелязва, че EMA е превишила финансовите тавани на няколко рамкови договора в областта на информационните технологии, като увеличенията варират от 77 % до 124 %, в нарушение на член 172, параграф 3, буква а), подточка iii) от Финансовия регламент, което е довело до нередовни плащания в размер на 3,1 милиона евро през 2024 г.; отбелязва отговора на EMA, че увеличенията са били необходими, за да се отговори на извънредни оперативни нужди, произтичащи от непредвидени законодателни промени и промени в областта на общественото здраве, и че всички изменения на договорите са вписани в регистъра на изключенията;</w:t>
      </w:r>
    </w:p>
    <w:p w14:paraId="4E37DAE7" w14:textId="07B7CDF1" w:rsidR="00443B04" w:rsidRPr="00192FCB" w:rsidRDefault="00347486" w:rsidP="00443B04">
      <w:pPr>
        <w:pStyle w:val="NormalHanging12a"/>
      </w:pPr>
      <w:r>
        <w:t>108</w:t>
      </w:r>
      <w:r w:rsidR="00443B04" w:rsidRPr="00192FCB">
        <w:t>.</w:t>
      </w:r>
      <w:r w:rsidR="00443B04" w:rsidRPr="00192FCB">
        <w:tab/>
        <w:t>обръща внимание на Решението за изпълнение на Комисията от 28 юни 2024 г. за отмяна на Решение C(2018)4831 на Комисията, с което се отказва разрешение за търговия съгласно Регламент (ЕО) № 726/2004 за „</w:t>
      </w:r>
      <w:proofErr w:type="spellStart"/>
      <w:r w:rsidR="00443B04" w:rsidRPr="00192FCB">
        <w:t>Aplidin</w:t>
      </w:r>
      <w:proofErr w:type="spellEnd"/>
      <w:r w:rsidR="00443B04" w:rsidRPr="00192FCB">
        <w:t xml:space="preserve"> (</w:t>
      </w:r>
      <w:proofErr w:type="spellStart"/>
      <w:r w:rsidR="00443B04" w:rsidRPr="00192FCB">
        <w:t>plitidepsin</w:t>
      </w:r>
      <w:proofErr w:type="spellEnd"/>
      <w:r w:rsidR="00443B04" w:rsidRPr="00192FCB">
        <w:t>)“, лекарствен продукт за хуманна употреба; подчертава, че отнемането на посоченото разрешение се основава на констатирания конфликт на интереси по отношение на един от научните съветници, участвали в консултативната група, който е имал активна роля в разработването на конкурентен лекарствен продукт — обстоятелство, което е трябвало да го изключи от участие в съответствие с принципа на обективна безпристрастност; подчертава, че EMA значително е засилила своята политика за разглеждане на конкуриращи се интереси на членовете на научния комитет и експертите, приета от управителния съвет на EMA през декември 2024 г. и влязла в сила на 1 май 2025 г.;</w:t>
      </w:r>
    </w:p>
    <w:p w14:paraId="4FD5B00D" w14:textId="48C7446D" w:rsidR="00443B04" w:rsidRPr="00192FCB" w:rsidRDefault="00347486" w:rsidP="00443B04">
      <w:pPr>
        <w:pStyle w:val="NormalHanging12a"/>
      </w:pPr>
      <w:r>
        <w:t>109</w:t>
      </w:r>
      <w:r w:rsidR="00443B04" w:rsidRPr="00192FCB">
        <w:t>.</w:t>
      </w:r>
      <w:r w:rsidR="00443B04" w:rsidRPr="00192FCB">
        <w:tab/>
        <w:t xml:space="preserve">приветства работата на EMA за преодоляване на недостига на антибиотика </w:t>
      </w:r>
      <w:proofErr w:type="spellStart"/>
      <w:r w:rsidR="00443B04" w:rsidRPr="00192FCB">
        <w:t>амоксицилин</w:t>
      </w:r>
      <w:proofErr w:type="spellEnd"/>
      <w:r w:rsidR="00443B04" w:rsidRPr="00192FCB">
        <w:t xml:space="preserve"> в Европа и нейната съвместна работа с националните агенции по лекарствата с цел справяне с недостига на това лекарство, в резултат на което през 2024 г. </w:t>
      </w:r>
      <w:proofErr w:type="spellStart"/>
      <w:r w:rsidR="00443B04" w:rsidRPr="00192FCB">
        <w:t>амоксицилинът</w:t>
      </w:r>
      <w:proofErr w:type="spellEnd"/>
      <w:r w:rsidR="00443B04" w:rsidRPr="00192FCB">
        <w:t xml:space="preserve"> беше изваден от списъка на дефицитните лекарства; насърчава ЕМА да продължи да използва персонал и бюджетни средства за подобни цели;</w:t>
      </w:r>
    </w:p>
    <w:p w14:paraId="53CFBE49" w14:textId="1F98F6B2" w:rsidR="00443B04" w:rsidRPr="00192FCB" w:rsidRDefault="00347486" w:rsidP="00443B04">
      <w:pPr>
        <w:pStyle w:val="NormalHanging12a"/>
      </w:pPr>
      <w:r>
        <w:t>110</w:t>
      </w:r>
      <w:r w:rsidR="00443B04" w:rsidRPr="00192FCB">
        <w:t>.</w:t>
      </w:r>
      <w:r w:rsidR="00443B04" w:rsidRPr="00192FCB">
        <w:tab/>
        <w:t>отбелязва, че Сметната палата препоръча в своя Специален доклад № 12/2024 EMA да продължи да работи за това нейните съобщения да достигат лесно до широката общественост, така че тя да може да получи по-добра представа за използването на средствата на Съюза от тази агенция;</w:t>
      </w:r>
    </w:p>
    <w:p w14:paraId="63C3CF02" w14:textId="4A3CD01F" w:rsidR="00443B04" w:rsidRPr="00192FCB" w:rsidRDefault="00347486" w:rsidP="00443B04">
      <w:pPr>
        <w:pStyle w:val="NormalHanging12a"/>
      </w:pPr>
      <w:r>
        <w:t>111</w:t>
      </w:r>
      <w:r w:rsidR="00443B04" w:rsidRPr="00192FCB">
        <w:t>.</w:t>
      </w:r>
      <w:r w:rsidR="00443B04" w:rsidRPr="00192FCB">
        <w:tab/>
        <w:t>отбелязва, че в своя специален доклад от декември 2024 г. ЕСП препоръча EMA да се координира с Европейския център за профилактика и контрол върху заболяванията (ECDC) и Органа за готовност и реакция при извънредни здравни ситуации (HERA) за подобряване на готовността за пандемии чрез по-ясни роли, по-ефективно използване на средствата на Съюза и преглед на инструментите, процедурите и насоките, разработени по време на пандемията, за да се определи кои следва да бъдат запазени или адаптирани в съответствие с научния и технологичния напредък, и насърчава отпускането на подходящи ресурси в подкрепа на тези усилия;</w:t>
      </w:r>
    </w:p>
    <w:p w14:paraId="69E96D6B" w14:textId="1A091DB7" w:rsidR="00443B04" w:rsidRPr="00192FCB" w:rsidRDefault="00347486" w:rsidP="00443B04">
      <w:pPr>
        <w:pStyle w:val="NormalHanging12a"/>
      </w:pPr>
      <w:r>
        <w:t>112</w:t>
      </w:r>
      <w:r w:rsidR="00443B04" w:rsidRPr="00192FCB">
        <w:t>.</w:t>
      </w:r>
      <w:r w:rsidR="00443B04" w:rsidRPr="00192FCB">
        <w:tab/>
        <w:t xml:space="preserve">подчертава, че EMA е отбелязала, наред с другото, продължаващ недостиг на </w:t>
      </w:r>
      <w:r w:rsidR="00443B04" w:rsidRPr="00192FCB">
        <w:lastRenderedPageBreak/>
        <w:t>лекарства от критично значение в държавите — членки на Европейския съюз и ЕИП, включително ключови лекарства за рак (</w:t>
      </w:r>
      <w:proofErr w:type="spellStart"/>
      <w:r w:rsidR="00443B04" w:rsidRPr="00192FCB">
        <w:t>флударабин</w:t>
      </w:r>
      <w:proofErr w:type="spellEnd"/>
      <w:r w:rsidR="00443B04" w:rsidRPr="00192FCB">
        <w:t xml:space="preserve">, </w:t>
      </w:r>
      <w:proofErr w:type="spellStart"/>
      <w:r w:rsidR="00443B04" w:rsidRPr="00192FCB">
        <w:t>виндецин</w:t>
      </w:r>
      <w:proofErr w:type="spellEnd"/>
      <w:r w:rsidR="00443B04" w:rsidRPr="00192FCB">
        <w:t xml:space="preserve">, </w:t>
      </w:r>
      <w:proofErr w:type="spellStart"/>
      <w:r w:rsidR="00443B04" w:rsidRPr="00192FCB">
        <w:t>флуороурацил</w:t>
      </w:r>
      <w:proofErr w:type="spellEnd"/>
      <w:r w:rsidR="00443B04" w:rsidRPr="00192FCB">
        <w:t xml:space="preserve">, </w:t>
      </w:r>
      <w:proofErr w:type="spellStart"/>
      <w:r w:rsidR="00443B04" w:rsidRPr="00192FCB">
        <w:t>цисплатин</w:t>
      </w:r>
      <w:proofErr w:type="spellEnd"/>
      <w:r w:rsidR="00443B04" w:rsidRPr="00192FCB">
        <w:t xml:space="preserve">, </w:t>
      </w:r>
      <w:proofErr w:type="spellStart"/>
      <w:r w:rsidR="00443B04" w:rsidRPr="00192FCB">
        <w:t>топотекан</w:t>
      </w:r>
      <w:proofErr w:type="spellEnd"/>
      <w:r w:rsidR="00443B04" w:rsidRPr="00192FCB">
        <w:t xml:space="preserve">, </w:t>
      </w:r>
      <w:proofErr w:type="spellStart"/>
      <w:r w:rsidR="00443B04" w:rsidRPr="00192FCB">
        <w:t>метотрексат</w:t>
      </w:r>
      <w:proofErr w:type="spellEnd"/>
      <w:r w:rsidR="00443B04" w:rsidRPr="00192FCB">
        <w:t xml:space="preserve">) за левкемия, лимфом, рак за яйчниците и </w:t>
      </w:r>
      <w:proofErr w:type="spellStart"/>
      <w:r w:rsidR="00443B04" w:rsidRPr="00192FCB">
        <w:t>дребноклетъчен</w:t>
      </w:r>
      <w:proofErr w:type="spellEnd"/>
      <w:r w:rsidR="00443B04" w:rsidRPr="00192FCB">
        <w:t xml:space="preserve"> рак на белия дроб, както и основни лечения на диабет (различни </w:t>
      </w:r>
      <w:proofErr w:type="spellStart"/>
      <w:r w:rsidR="00443B04" w:rsidRPr="00192FCB">
        <w:t>инсулини</w:t>
      </w:r>
      <w:proofErr w:type="spellEnd"/>
      <w:r w:rsidR="00443B04" w:rsidRPr="00192FCB">
        <w:t xml:space="preserve">, </w:t>
      </w:r>
      <w:proofErr w:type="spellStart"/>
      <w:r w:rsidR="00443B04" w:rsidRPr="00192FCB">
        <w:t>лираглутид</w:t>
      </w:r>
      <w:proofErr w:type="spellEnd"/>
      <w:r w:rsidR="00443B04" w:rsidRPr="00192FCB">
        <w:t xml:space="preserve">, </w:t>
      </w:r>
      <w:proofErr w:type="spellStart"/>
      <w:r w:rsidR="00443B04" w:rsidRPr="00192FCB">
        <w:t>дулаглутид</w:t>
      </w:r>
      <w:proofErr w:type="spellEnd"/>
      <w:r w:rsidR="00443B04" w:rsidRPr="00192FCB">
        <w:t>), необходими за лечението на диабет тип 1 и тип 2;</w:t>
      </w:r>
    </w:p>
    <w:p w14:paraId="3B179F14" w14:textId="6AC5B0E5" w:rsidR="00443B04" w:rsidRPr="00192FCB" w:rsidRDefault="00347486" w:rsidP="00443B04">
      <w:pPr>
        <w:pStyle w:val="NormalHanging12a"/>
      </w:pPr>
      <w:r>
        <w:t>113</w:t>
      </w:r>
      <w:r w:rsidR="00443B04" w:rsidRPr="00192FCB">
        <w:t>.</w:t>
      </w:r>
      <w:r w:rsidR="00443B04" w:rsidRPr="00192FCB">
        <w:tab/>
        <w:t>изразява сериозна загриженост относно повтарящите се нарушения на Финансовия регламент, установени в процедурите за възлагане на обществени поръчки на Агенцията на Европейския съюз по наркотиците (EUDA), като отбелязва петте нередности, за които сигнализира Палатата през 2024 г.; подчертава, че тези нередности включват:</w:t>
      </w:r>
    </w:p>
    <w:p w14:paraId="143E89C0" w14:textId="77777777" w:rsidR="00443B04" w:rsidRPr="00192FCB" w:rsidRDefault="00443B04" w:rsidP="00443B04">
      <w:pPr>
        <w:pStyle w:val="NormalHanging12a"/>
        <w:ind w:left="1134"/>
      </w:pPr>
      <w:r w:rsidRPr="00192FCB">
        <w:t>–</w:t>
      </w:r>
      <w:r w:rsidRPr="00192FCB">
        <w:tab/>
        <w:t>неразрешено разделяне на договори и неправилно използване на процедури на договаряне без обосновка за три договора за събития в Лисабон (място на провеждане и кетъринг, на обща стойност 210 668 EUR), наред с липсата на ключова документация и неспазването на изискванията за публичност на обществените поръчки;</w:t>
      </w:r>
    </w:p>
    <w:p w14:paraId="3E37492A" w14:textId="77777777" w:rsidR="00443B04" w:rsidRPr="00192FCB" w:rsidRDefault="00443B04" w:rsidP="00443B04">
      <w:pPr>
        <w:pStyle w:val="NormalHanging12a"/>
        <w:ind w:left="1134"/>
      </w:pPr>
      <w:r w:rsidRPr="00192FCB">
        <w:t>–</w:t>
      </w:r>
      <w:r w:rsidRPr="00192FCB">
        <w:tab/>
        <w:t>сериозни недостатъци в договор на стойност 410 000 EUR за система за докладване относно трафика на наркотици, включително липса на подходящи тръжни спецификации, критерии за възлагане и комисия за оценка, което прави договора и плащането по него на стойност 60 000 EUR нередовни;</w:t>
      </w:r>
    </w:p>
    <w:p w14:paraId="69FEB5DC" w14:textId="77777777" w:rsidR="00443B04" w:rsidRPr="00192FCB" w:rsidRDefault="00443B04" w:rsidP="00443B04">
      <w:pPr>
        <w:pStyle w:val="NormalHanging12a"/>
        <w:ind w:left="1134"/>
      </w:pPr>
      <w:r w:rsidRPr="00192FCB">
        <w:t>–</w:t>
      </w:r>
      <w:r w:rsidRPr="00192FCB">
        <w:tab/>
        <w:t>прекомерни плащания в размер на 14 007 EUR над договорената стойност на договора за церемониите по откриване, в нарушение на член 73 от финансовия регламент на EUDA;</w:t>
      </w:r>
    </w:p>
    <w:p w14:paraId="6B939E73" w14:textId="77777777" w:rsidR="00443B04" w:rsidRPr="00192FCB" w:rsidRDefault="00443B04" w:rsidP="00443B04">
      <w:pPr>
        <w:pStyle w:val="NormalHanging12a"/>
        <w:ind w:left="1134"/>
      </w:pPr>
      <w:r w:rsidRPr="00192FCB">
        <w:t>–</w:t>
      </w:r>
      <w:r w:rsidRPr="00192FCB">
        <w:tab/>
        <w:t>неправилно проведена обществена поръчка за договор за събиране на данни на стойност 10 000 EUR в Украйна, в която липсваха критерии за възлагане и подходяща документация;</w:t>
      </w:r>
    </w:p>
    <w:p w14:paraId="19328057" w14:textId="77777777" w:rsidR="00443B04" w:rsidRPr="00192FCB" w:rsidRDefault="00443B04" w:rsidP="00443B04">
      <w:pPr>
        <w:pStyle w:val="NormalHanging12a"/>
        <w:ind w:left="1134"/>
      </w:pPr>
      <w:r w:rsidRPr="00192FCB">
        <w:t>–</w:t>
      </w:r>
      <w:r w:rsidRPr="00192FCB">
        <w:tab/>
        <w:t>неспазване на изискванията за публичност и декларации за конфликт на интереси при поръчка за временни услуги на стойност 100 000 EUR;</w:t>
      </w:r>
    </w:p>
    <w:p w14:paraId="41724613" w14:textId="3D2042F8" w:rsidR="00443B04" w:rsidRPr="00192FCB" w:rsidRDefault="00347486" w:rsidP="00443B04">
      <w:pPr>
        <w:pStyle w:val="NormalHanging12a"/>
      </w:pPr>
      <w:r>
        <w:t>114</w:t>
      </w:r>
      <w:r w:rsidR="00443B04" w:rsidRPr="00192FCB">
        <w:t>.</w:t>
      </w:r>
      <w:r w:rsidR="00443B04" w:rsidRPr="00192FCB">
        <w:tab/>
        <w:t>отбелязва отговора на EUDA, в който се признават както процедурните недостатъци, така и необходимостта от последващи действия, за да се осигури съответствие;</w:t>
      </w:r>
    </w:p>
    <w:p w14:paraId="57F710C8" w14:textId="19B5EEA6" w:rsidR="00443B04" w:rsidRPr="00192FCB" w:rsidRDefault="00347486" w:rsidP="00443B04">
      <w:pPr>
        <w:pStyle w:val="NormalHanging12a"/>
      </w:pPr>
      <w:r>
        <w:t>115</w:t>
      </w:r>
      <w:r w:rsidR="00443B04" w:rsidRPr="00192FCB">
        <w:t>.</w:t>
      </w:r>
      <w:r w:rsidR="00443B04" w:rsidRPr="00192FCB">
        <w:tab/>
        <w:t>отбелязва продължаващите забавяния в изпълнението от страна на EUDA на препоръките на Службата за вътрешен одит относно управлението на човешките ресурси и етиката, по-специално неизпълнената препоръка относно работното натоварване и управлението на изпълнението, която остава нерешена поради затруднения при изпълнението на оценката на работното натоварване и методите за управление по дейности за разпределението на персонала/ЕПРВ и бюджетирането на разходите; е информиран, че преразгледаният целеви срок на Агенцията за изпълнение е 31 декември 2025 г.;</w:t>
      </w:r>
    </w:p>
    <w:p w14:paraId="3C4BA63E" w14:textId="739125E0" w:rsidR="00443B04" w:rsidRPr="00192FCB" w:rsidRDefault="00347486" w:rsidP="00443B04">
      <w:pPr>
        <w:pStyle w:val="NormalHanging12a"/>
      </w:pPr>
      <w:r>
        <w:t>116</w:t>
      </w:r>
      <w:r w:rsidR="00443B04" w:rsidRPr="00192FCB">
        <w:t>.</w:t>
      </w:r>
      <w:r w:rsidR="00443B04" w:rsidRPr="00192FCB">
        <w:tab/>
        <w:t xml:space="preserve">отбелязва констатацията на Палатата, че три от процедурите за възлагане на обществени поръчки на Европейския център за профилактика и контрол върху </w:t>
      </w:r>
      <w:r w:rsidR="00443B04" w:rsidRPr="00192FCB">
        <w:lastRenderedPageBreak/>
        <w:t>заболяванията (ECDC) са били стартирани без предварителни решения за финансиране, което е в противоречие с член 72, параграф 3, буква б) от неговия финансов регламент; освен това отбелязва слабости в контрола при оценката на договор за конференции на стойност 2,8 милиона евро, включително недостатъчна проверка на критериите за подбор и липса на проверки на необичайно ниските оферти, което е в нарушение на членове 151 и 167 и раздел 23 от приложение I към Финансовия регламент; отбелязва отговора на Центъра, в който се очертават корективни мерки, включително засилване на предварителните проверки и подобрена документация за оценките на обществените поръчки;</w:t>
      </w:r>
    </w:p>
    <w:p w14:paraId="3D356D58" w14:textId="2266FED5" w:rsidR="00443B04" w:rsidRPr="00192FCB" w:rsidRDefault="00347486" w:rsidP="00443B04">
      <w:pPr>
        <w:pStyle w:val="NormalHanging12a"/>
      </w:pPr>
      <w:r>
        <w:t>117</w:t>
      </w:r>
      <w:r w:rsidR="00443B04" w:rsidRPr="00192FCB">
        <w:t>.</w:t>
      </w:r>
      <w:r w:rsidR="00443B04" w:rsidRPr="00192FCB">
        <w:tab/>
        <w:t>подчертава, че Сметната палата препоръчва работата на ECDC с държавите членки да служи за укрепване на хармонизирана система за наблюдение на инфекциозните заболявания в рамките на ЕС, подобряване на вътрешните процеси за предоставяне на по-навременни и по-практични насоки и по-ясна комуникация с обществеността, като се използва прост език с цел по-добро представяне на използването на средствата на Съюза, както бе отбелязано в Специален доклад № 12/2024 на Сметната палата;</w:t>
      </w:r>
    </w:p>
    <w:p w14:paraId="45B0941F" w14:textId="77777777" w:rsidR="00443B04" w:rsidRPr="00192FCB" w:rsidRDefault="00443B04" w:rsidP="00443B04">
      <w:pPr>
        <w:pStyle w:val="NormalHanging12a"/>
        <w:rPr>
          <w:bCs/>
          <w:i/>
          <w:iCs/>
        </w:rPr>
      </w:pPr>
      <w:r w:rsidRPr="00192FCB">
        <w:rPr>
          <w:i/>
        </w:rPr>
        <w:t>Препоръки</w:t>
      </w:r>
    </w:p>
    <w:p w14:paraId="222F4A39" w14:textId="644AFFFA" w:rsidR="00443B04" w:rsidRPr="00192FCB" w:rsidRDefault="00347486" w:rsidP="00443B04">
      <w:pPr>
        <w:pStyle w:val="NormalHanging12a"/>
        <w:rPr>
          <w:bCs/>
        </w:rPr>
      </w:pPr>
      <w:r>
        <w:t>118</w:t>
      </w:r>
      <w:r w:rsidR="00443B04" w:rsidRPr="00192FCB">
        <w:t>.</w:t>
      </w:r>
      <w:r w:rsidR="00443B04" w:rsidRPr="00192FCB">
        <w:tab/>
        <w:t>призовава агенциите да предприемат действия във връзка със забележките на Палатата, и по-специално:</w:t>
      </w:r>
    </w:p>
    <w:p w14:paraId="0B3F21D6" w14:textId="77777777" w:rsidR="00443B04" w:rsidRPr="00192FCB" w:rsidRDefault="00443B04" w:rsidP="00443B04">
      <w:pPr>
        <w:pStyle w:val="NormalHanging12a"/>
        <w:ind w:left="1134"/>
        <w:rPr>
          <w:bCs/>
        </w:rPr>
      </w:pPr>
      <w:r w:rsidRPr="00192FCB">
        <w:t>i)</w:t>
      </w:r>
      <w:r w:rsidRPr="00192FCB">
        <w:tab/>
        <w:t>EUDA да отстрани незабавно нередностите, да засили вътрешния контрол и да гарантира стриктно спазване на правилата за възлагане на обществени поръчки, за да се предотвратят по-нататъшни нарушения;</w:t>
      </w:r>
    </w:p>
    <w:p w14:paraId="1001B9E7" w14:textId="77777777" w:rsidR="00443B04" w:rsidRPr="00192FCB" w:rsidRDefault="00443B04" w:rsidP="00443B04">
      <w:pPr>
        <w:pStyle w:val="NormalHanging12a"/>
        <w:ind w:left="1134"/>
        <w:rPr>
          <w:bCs/>
        </w:rPr>
      </w:pPr>
      <w:r w:rsidRPr="00192FCB">
        <w:t>ii)</w:t>
      </w:r>
      <w:r w:rsidRPr="00192FCB">
        <w:tab/>
        <w:t>ЕМА да подобри своите процедури за установяване и предотвратяване на евентуални конфликти на интереси при подбора на членовете на консултативния съвет;</w:t>
      </w:r>
    </w:p>
    <w:p w14:paraId="2D459E5F" w14:textId="77777777" w:rsidR="00443B04" w:rsidRPr="00192FCB" w:rsidRDefault="00443B04" w:rsidP="00443B04">
      <w:pPr>
        <w:pStyle w:val="NormalHanging12a"/>
        <w:ind w:left="1134"/>
        <w:rPr>
          <w:bCs/>
        </w:rPr>
      </w:pPr>
      <w:r w:rsidRPr="00192FCB">
        <w:t>iii)</w:t>
      </w:r>
      <w:r w:rsidRPr="00192FCB">
        <w:tab/>
        <w:t>ECDC да гарантира последователно прилагане на правилата за възлагане на обществени поръчки, включително засилени предварителни проверки;</w:t>
      </w:r>
    </w:p>
    <w:p w14:paraId="62D978FA" w14:textId="77777777" w:rsidR="00443B04" w:rsidRPr="00192FCB" w:rsidRDefault="00443B04" w:rsidP="00443B04">
      <w:pPr>
        <w:pStyle w:val="NormalHanging12a"/>
        <w:ind w:left="1134"/>
        <w:rPr>
          <w:bCs/>
        </w:rPr>
      </w:pPr>
      <w:r w:rsidRPr="00192FCB">
        <w:t>iv)</w:t>
      </w:r>
      <w:r w:rsidRPr="00192FCB">
        <w:tab/>
        <w:t>да предлагат подходящо обучение на персонала си относно правилата за възлагане на обществени поръчки;</w:t>
      </w:r>
    </w:p>
    <w:p w14:paraId="4C030030" w14:textId="2C4B086A" w:rsidR="00443B04" w:rsidRPr="00192FCB" w:rsidRDefault="00347486" w:rsidP="00443B04">
      <w:pPr>
        <w:pStyle w:val="NormalHanging12a"/>
        <w:rPr>
          <w:bCs/>
        </w:rPr>
      </w:pPr>
      <w:r>
        <w:t>119</w:t>
      </w:r>
      <w:r w:rsidR="00443B04" w:rsidRPr="00192FCB">
        <w:t>.</w:t>
      </w:r>
      <w:r w:rsidR="00443B04" w:rsidRPr="00192FCB">
        <w:tab/>
        <w:t>освен това призовава следните агенции:</w:t>
      </w:r>
    </w:p>
    <w:p w14:paraId="2A2B0476" w14:textId="77777777" w:rsidR="00443B04" w:rsidRPr="00192FCB" w:rsidRDefault="00443B04" w:rsidP="00443B04">
      <w:pPr>
        <w:pStyle w:val="NormalHanging12a"/>
        <w:ind w:left="1134"/>
        <w:rPr>
          <w:bCs/>
        </w:rPr>
      </w:pPr>
      <w:r w:rsidRPr="00192FCB">
        <w:t>i)</w:t>
      </w:r>
      <w:r w:rsidRPr="00192FCB">
        <w:tab/>
        <w:t>EUDA да докладва на органа по освобождаване от отговорност относно подробностите за своя напредък в изпълнението на препоръките на Службата за вътрешен одит относно управлението на човешките ресурси и етиката, по-специално неизпълнената препоръка относно работното натоварване и управлението на изпълнението;</w:t>
      </w:r>
    </w:p>
    <w:p w14:paraId="4F56E03C" w14:textId="77777777" w:rsidR="00443B04" w:rsidRPr="00192FCB" w:rsidRDefault="00443B04" w:rsidP="00443B04">
      <w:pPr>
        <w:pStyle w:val="NormalHanging12a"/>
        <w:ind w:left="1134"/>
        <w:rPr>
          <w:bCs/>
        </w:rPr>
      </w:pPr>
      <w:r w:rsidRPr="00192FCB">
        <w:t>ii)</w:t>
      </w:r>
      <w:r w:rsidRPr="00192FCB">
        <w:tab/>
        <w:t>всички агенции да вземат под внимание констатациите на ЕСП, по-специално по отношение на правилата за възлагане на обществени поръчки, и да предприемат съответните действия, като изпълнят препоръките на ЕСП;</w:t>
      </w:r>
    </w:p>
    <w:p w14:paraId="52E52E92" w14:textId="77777777" w:rsidR="00443B04" w:rsidRPr="00192FCB" w:rsidRDefault="00443B04" w:rsidP="00443B04">
      <w:pPr>
        <w:pStyle w:val="NormalHanging12a"/>
        <w:ind w:left="1134"/>
      </w:pPr>
      <w:r w:rsidRPr="00192FCB">
        <w:t>iii)</w:t>
      </w:r>
      <w:r w:rsidRPr="00192FCB">
        <w:tab/>
        <w:t xml:space="preserve">ECDC и EMA да използват част от своя бюджет за изпълнение на препоръките, посочени от Палатата в Специален доклад № 12/2024 и </w:t>
      </w:r>
      <w:r w:rsidRPr="00192FCB">
        <w:lastRenderedPageBreak/>
        <w:t>изброени по-горе;</w:t>
      </w:r>
    </w:p>
    <w:p w14:paraId="3D386989" w14:textId="77777777" w:rsidR="00443B04" w:rsidRPr="00192FCB" w:rsidRDefault="00443B04" w:rsidP="00443B04">
      <w:pPr>
        <w:pStyle w:val="NormalHanging12a"/>
        <w:ind w:left="1134"/>
        <w:rPr>
          <w:bCs/>
        </w:rPr>
      </w:pPr>
      <w:r w:rsidRPr="00192FCB">
        <w:t>iv)</w:t>
      </w:r>
      <w:r w:rsidRPr="00192FCB">
        <w:tab/>
        <w:t>EMA, Комисията и държавите членки да предприемат незабавни мерки за преодоляване на продължаващия недостиг на горепосочените критично важни лекарства, и във връзка с това настоятелно призовава EMA да си сътрудничи тясно с националните органи и с Комисията за: i) разпределяне на достатъчно средства за справяне с проблема; ii) анализ и предложения за начини за справяне с причините за този недостиг, включително производството, веригата на доставки, предизвикателствата пред дистрибуцията и пречките на вътрешния пазар или националния протекционизъм, включително необходимостта от производство на европейски лекарства; iii) разработване на планове за действие при извънредни ситуации, за да се гарантира непрекъснат достъп за пациентите, включително даване на приоритет на случаите на остра нужда; подчертава, че незабавните и координирани действия са много важни за предотвратяване на евентуални забавяния при лечението, за избягване на влошени резултати за пациентите и за защита на общественото доверие в европейската здравна система; насърчава ЕМА да използва допълнителни вътрешни средства от своя бюджет за постигането на тази цел;</w:t>
      </w:r>
    </w:p>
    <w:p w14:paraId="38358616" w14:textId="77777777" w:rsidR="00443B04" w:rsidRPr="00192FCB" w:rsidRDefault="00443B04" w:rsidP="00443B04">
      <w:pPr>
        <w:pStyle w:val="NormalHanging12a"/>
        <w:rPr>
          <w:b/>
          <w:bCs/>
          <w:i/>
          <w:iCs/>
        </w:rPr>
      </w:pPr>
      <w:r w:rsidRPr="00192FCB">
        <w:rPr>
          <w:b/>
          <w:i/>
        </w:rPr>
        <w:t>Агенции в областта на транспорта и мобилността</w:t>
      </w:r>
      <w:r w:rsidRPr="00192FCB">
        <w:rPr>
          <w:b/>
          <w:bCs/>
          <w:i/>
          <w:iCs/>
          <w:vertAlign w:val="superscript"/>
        </w:rPr>
        <w:footnoteReference w:id="415"/>
      </w:r>
    </w:p>
    <w:p w14:paraId="7865C13F" w14:textId="558EA83E" w:rsidR="00443B04" w:rsidRPr="00192FCB" w:rsidRDefault="00347486" w:rsidP="00443B04">
      <w:pPr>
        <w:pStyle w:val="NormalHanging12a"/>
      </w:pPr>
      <w:r>
        <w:t>120</w:t>
      </w:r>
      <w:r w:rsidR="00443B04" w:rsidRPr="00192FCB">
        <w:t>.</w:t>
      </w:r>
      <w:r w:rsidR="00443B04" w:rsidRPr="00192FCB">
        <w:tab/>
        <w:t>отбелязва констатацията на Палатата, че ЕААБ е извършила нередовни плащания през 2024 г. на обща стойност 43 000 EUR по договор за услуга, която не е обхваната от договора; отбелязва отговора на Агенцията, в който се признава този проблем и се посочва, че Агенцията е предприела корективни действия и услугата е включена в рамковия договор, считано от 2025 г.;</w:t>
      </w:r>
    </w:p>
    <w:p w14:paraId="72B3841F" w14:textId="5CD93547" w:rsidR="00443B04" w:rsidRPr="00192FCB" w:rsidRDefault="00347486" w:rsidP="00443B04">
      <w:pPr>
        <w:pStyle w:val="NormalHanging12a"/>
      </w:pPr>
      <w:r>
        <w:t>121</w:t>
      </w:r>
      <w:r w:rsidR="00443B04" w:rsidRPr="00192FCB">
        <w:t>.</w:t>
      </w:r>
      <w:r w:rsidR="00443B04" w:rsidRPr="00192FCB">
        <w:tab/>
        <w:t>отбелязва констатациите на Палатата относно системите за управление и контрол на Агенцията за железопътен транспорт на Европейския съюз (ERA), включително:</w:t>
      </w:r>
    </w:p>
    <w:p w14:paraId="6BE08B60" w14:textId="77777777" w:rsidR="00443B04" w:rsidRPr="00192FCB" w:rsidRDefault="00443B04" w:rsidP="00443B04">
      <w:pPr>
        <w:pStyle w:val="NormalHanging12a"/>
        <w:ind w:left="1134"/>
      </w:pPr>
      <w:r w:rsidRPr="00192FCB">
        <w:t>–</w:t>
      </w:r>
      <w:r w:rsidRPr="00192FCB">
        <w:tab/>
        <w:t>недостатъчна документация, която е попречила на Агенцията да обоснове плащания в размер на 144 153 EUR за конференцията за Европейската система за управление на железопътното движение през 2024 г., което потенциално рискува да доведе до пълно събиране на приходите;</w:t>
      </w:r>
    </w:p>
    <w:p w14:paraId="204FD44B" w14:textId="77777777" w:rsidR="00443B04" w:rsidRPr="00192FCB" w:rsidRDefault="00443B04" w:rsidP="00443B04">
      <w:pPr>
        <w:pStyle w:val="NormalHanging12a"/>
        <w:ind w:left="1134"/>
      </w:pPr>
      <w:r w:rsidRPr="00192FCB">
        <w:t>–</w:t>
      </w:r>
      <w:r w:rsidRPr="00192FCB">
        <w:tab/>
        <w:t>късно издаване на дебитни известия в нарушение на член 43 от учредителния регламент на ERA, който изисква дебитните известия да се издават в срок от 60 дни от предоставянето на услугата;</w:t>
      </w:r>
    </w:p>
    <w:p w14:paraId="319002CF" w14:textId="77777777" w:rsidR="00443B04" w:rsidRPr="00192FCB" w:rsidRDefault="00443B04" w:rsidP="00443B04">
      <w:pPr>
        <w:pStyle w:val="NormalHanging12a"/>
        <w:rPr>
          <w:bCs/>
          <w:i/>
          <w:iCs/>
        </w:rPr>
      </w:pPr>
      <w:r w:rsidRPr="00192FCB">
        <w:rPr>
          <w:i/>
        </w:rPr>
        <w:t>Препоръки</w:t>
      </w:r>
    </w:p>
    <w:p w14:paraId="7CC89690" w14:textId="13DDCE12" w:rsidR="00443B04" w:rsidRPr="00192FCB" w:rsidRDefault="00347486" w:rsidP="00443B04">
      <w:pPr>
        <w:pStyle w:val="NormalHanging12a"/>
      </w:pPr>
      <w:r>
        <w:t>122</w:t>
      </w:r>
      <w:r w:rsidR="00443B04" w:rsidRPr="00192FCB">
        <w:t>.</w:t>
      </w:r>
      <w:r w:rsidR="00443B04" w:rsidRPr="00192FCB">
        <w:tab/>
        <w:t>призовава агенциите да предприемат действия във връзка със забележките на Палатата, и по-специално:</w:t>
      </w:r>
    </w:p>
    <w:p w14:paraId="36450A93" w14:textId="77777777" w:rsidR="00443B04" w:rsidRPr="00192FCB" w:rsidRDefault="00443B04" w:rsidP="00443B04">
      <w:pPr>
        <w:pStyle w:val="NormalHanging12a"/>
        <w:ind w:left="1134"/>
      </w:pPr>
      <w:r w:rsidRPr="00192FCB">
        <w:t>–</w:t>
      </w:r>
      <w:r w:rsidRPr="00192FCB">
        <w:tab/>
        <w:t xml:space="preserve">ERA да създаде и приложи стандартизирана система за проследяване за всички събития, свързани със заплащане на такси, и да въведе система за автоматизиране на процесите на фактуриране, за да се гарантира, че </w:t>
      </w:r>
      <w:r w:rsidRPr="00192FCB">
        <w:lastRenderedPageBreak/>
        <w:t>дебитните известия се издават в срок от 60 дни от предоставянето на услугите, като се намали зависимостта от ръчни механизми за задействане, да приложи вътрешен контрол и да включи навременността на фактурирането като ключов показател за ефективност (КПЕ) във финансовото отчитане;</w:t>
      </w:r>
    </w:p>
    <w:p w14:paraId="11B37169" w14:textId="77777777" w:rsidR="00443B04" w:rsidRPr="00192FCB" w:rsidRDefault="00443B04" w:rsidP="00443B04">
      <w:pPr>
        <w:pStyle w:val="NormalHanging12a"/>
        <w:rPr>
          <w:i/>
          <w:iCs/>
        </w:rPr>
      </w:pPr>
      <w:r w:rsidRPr="00192FCB">
        <w:rPr>
          <w:b/>
          <w:i/>
        </w:rPr>
        <w:t>Агенции в областта на околната среда и енергетиката</w:t>
      </w:r>
      <w:r w:rsidRPr="00192FCB">
        <w:rPr>
          <w:b/>
          <w:bCs/>
          <w:i/>
          <w:iCs/>
          <w:vertAlign w:val="superscript"/>
        </w:rPr>
        <w:footnoteReference w:id="416"/>
      </w:r>
    </w:p>
    <w:p w14:paraId="2C1291FA" w14:textId="3F3743E2" w:rsidR="00443B04" w:rsidRPr="00192FCB" w:rsidRDefault="00347486" w:rsidP="00443B04">
      <w:pPr>
        <w:pStyle w:val="NormalHanging12a"/>
      </w:pPr>
      <w:r>
        <w:t>123</w:t>
      </w:r>
      <w:r w:rsidR="00443B04" w:rsidRPr="00192FCB">
        <w:t>.</w:t>
      </w:r>
      <w:r w:rsidR="00443B04" w:rsidRPr="00192FCB">
        <w:tab/>
        <w:t>отбелязва трите констатации на Палатата относно нередности при възлагането на обществени поръчки в ЕАОС, включително:</w:t>
      </w:r>
    </w:p>
    <w:p w14:paraId="5F76EC93" w14:textId="77777777" w:rsidR="00443B04" w:rsidRPr="00192FCB" w:rsidRDefault="00443B04" w:rsidP="00443B04">
      <w:pPr>
        <w:pStyle w:val="NormalHanging12a"/>
        <w:ind w:left="1134"/>
      </w:pPr>
      <w:r w:rsidRPr="00192FCB">
        <w:t>–</w:t>
      </w:r>
      <w:r w:rsidRPr="00192FCB">
        <w:tab/>
        <w:t>нередовни плащания по рамков договор за столови и кетъринг услуги, възстановяване на 6 514 EUR без фактура, адресирана до Агенцията, в нарушение на член 111, параграф 2 от Финансовия регламент, и увеличаване на цените за обяд с 34 % над договорения механизъм за индексиране; отбелязва отговора на Агенцията, че това са изолирани инциденти, като впоследствие процедурите са били изяснени и укрепени, и че корекцията на цените се е дължала на извънредни инфлационни условия;</w:t>
      </w:r>
    </w:p>
    <w:p w14:paraId="705EAB8D" w14:textId="77777777" w:rsidR="00443B04" w:rsidRPr="00192FCB" w:rsidRDefault="00443B04" w:rsidP="00443B04">
      <w:pPr>
        <w:pStyle w:val="NormalHanging12a"/>
        <w:ind w:left="1134"/>
      </w:pPr>
      <w:r w:rsidRPr="00192FCB">
        <w:t>–</w:t>
      </w:r>
      <w:r w:rsidRPr="00192FCB">
        <w:tab/>
        <w:t>използване на вътрешната система за срещи на експерти за поръчване на кетъринг услуги вместо формулярите за поръчка, изисквани съгласно рамковия договор, като по този начин се предотвратява надеждният мониторинг на кумулативните разходи и се рискува превишаване на тавана на договорите в нарушение на член 111, параграфи 1 и 3 от Финансовия регламент; отбелязва отговора на ЕАОС, че системата за срещи на експерти осигурява рационализиран процес на контрол и че тя ще измени съответно рамковия договор; подчертава, че за да се отговори изцяло на опасенията на Палатата, системата за срещи на експерти следва да бъде интегрирана със счетоводната система, за да се гарантира, че всички поръчки за кетъринг услуги автоматично пораждат правно обвързващи ангажименти;</w:t>
      </w:r>
    </w:p>
    <w:p w14:paraId="7AE82C7E" w14:textId="77777777" w:rsidR="00443B04" w:rsidRPr="00192FCB" w:rsidRDefault="00443B04" w:rsidP="00443B04">
      <w:pPr>
        <w:pStyle w:val="NormalHanging12a"/>
        <w:ind w:left="1134"/>
      </w:pPr>
      <w:r w:rsidRPr="00192FCB">
        <w:t>–</w:t>
      </w:r>
      <w:r w:rsidRPr="00192FCB">
        <w:tab/>
        <w:t>вид договор: отбелязва, че ЕАОС не е уточнила вида на конкретния договор (с фиксирана цена или на база „изработено време и използвани ресурси“) за договор за консултантски услуги в областта на информационните технологии на стойност 731 000 EUR, в противоречие с раздел 1.1 от приложение I към Финансовия регламент, което прави невъзможно съпоставянето на общата сума на договора с цената за консултант; отбелязва обяснението на ЕАОС, че пропускът не е имал финансово отражение, и ангажимента да се гарантира, че тази информация е включена във всички бъдещи договори;</w:t>
      </w:r>
    </w:p>
    <w:p w14:paraId="37FFC9BF" w14:textId="4634098C" w:rsidR="00443B04" w:rsidRPr="00192FCB" w:rsidRDefault="00347486" w:rsidP="00443B04">
      <w:pPr>
        <w:pStyle w:val="NormalHanging12a"/>
      </w:pPr>
      <w:r>
        <w:t>124</w:t>
      </w:r>
      <w:r w:rsidR="00443B04" w:rsidRPr="00192FCB">
        <w:t>.</w:t>
      </w:r>
      <w:r w:rsidR="00443B04" w:rsidRPr="00192FCB">
        <w:tab/>
        <w:t xml:space="preserve">отбелязва констатацията на Палатата, че Европейската агенция по химикали (ECHA) е подписала конкретен договор за ИТ инфраструктура на стойност 8,1 милиона евро, което надвишава делегирания лимит на разпоредителя с бюджетни кредити с 1,3 милиона евро; отбелязва обяснението на Агенцията, че договорът се основава на </w:t>
      </w:r>
      <w:proofErr w:type="spellStart"/>
      <w:r w:rsidR="00443B04" w:rsidRPr="00192FCB">
        <w:t>необвързващи</w:t>
      </w:r>
      <w:proofErr w:type="spellEnd"/>
      <w:r w:rsidR="00443B04" w:rsidRPr="00192FCB">
        <w:t xml:space="preserve"> прогнози за обема на услугите в рамките на годишните бюджетни кредити и че действителните бюджетни задължения не надвишават делегираните правомощия; насърчава ECHA да гарантира ясно съответствие между финансовото делегиране и договорните ангажименти; </w:t>
      </w:r>
      <w:r w:rsidR="00443B04" w:rsidRPr="00192FCB">
        <w:lastRenderedPageBreak/>
        <w:t>призовава Агенцията да въведе подобрени, ориентирани към бъдещето механизми за проверка на външните изпълнители, които участват в работата по вземане на регулаторни решения от страна на Агенцията;</w:t>
      </w:r>
    </w:p>
    <w:p w14:paraId="6AEB747C" w14:textId="555F0E88" w:rsidR="00443B04" w:rsidRPr="00192FCB" w:rsidRDefault="00347486" w:rsidP="00443B04">
      <w:pPr>
        <w:pStyle w:val="NormalHanging12a"/>
      </w:pPr>
      <w:r>
        <w:t>125</w:t>
      </w:r>
      <w:r w:rsidR="00443B04" w:rsidRPr="00192FCB">
        <w:t>.</w:t>
      </w:r>
      <w:r w:rsidR="00443B04" w:rsidRPr="00192FCB">
        <w:tab/>
        <w:t xml:space="preserve">обръща внимание на опасенията, изразени от няколко организации на гражданското общество във връзка с потенциален професионален конфликт на интереси в случая на </w:t>
      </w:r>
      <w:proofErr w:type="spellStart"/>
      <w:r w:rsidR="00443B04" w:rsidRPr="00192FCB">
        <w:t>Ramboll</w:t>
      </w:r>
      <w:proofErr w:type="spellEnd"/>
      <w:r w:rsidR="00443B04" w:rsidRPr="00192FCB">
        <w:t xml:space="preserve"> </w:t>
      </w:r>
      <w:proofErr w:type="spellStart"/>
      <w:r w:rsidR="00443B04" w:rsidRPr="00192FCB">
        <w:t>Germany</w:t>
      </w:r>
      <w:proofErr w:type="spellEnd"/>
      <w:r w:rsidR="00443B04" w:rsidRPr="00192FCB">
        <w:t xml:space="preserve"> </w:t>
      </w:r>
      <w:proofErr w:type="spellStart"/>
      <w:r w:rsidR="00443B04" w:rsidRPr="00192FCB">
        <w:t>GmbH</w:t>
      </w:r>
      <w:proofErr w:type="spellEnd"/>
      <w:r w:rsidR="00443B04" w:rsidRPr="00192FCB">
        <w:t xml:space="preserve"> — консултантско дружество, което преди това е извършило технически проучвания за ECHA, като същевременно е предоставяло услуги на заинтересовани страни от сектора, стремящи се да повлияят на предстоящите ограничения на </w:t>
      </w:r>
      <w:proofErr w:type="spellStart"/>
      <w:r w:rsidR="00443B04" w:rsidRPr="00192FCB">
        <w:t>перфлуороалкилираните</w:t>
      </w:r>
      <w:proofErr w:type="spellEnd"/>
      <w:r w:rsidR="00443B04" w:rsidRPr="00192FCB">
        <w:t xml:space="preserve"> и </w:t>
      </w:r>
      <w:proofErr w:type="spellStart"/>
      <w:r w:rsidR="00443B04" w:rsidRPr="00192FCB">
        <w:t>полифлуороалкилираните</w:t>
      </w:r>
      <w:proofErr w:type="spellEnd"/>
      <w:r w:rsidR="00443B04" w:rsidRPr="00192FCB">
        <w:t xml:space="preserve"> съединения (PFAS); подчертава, че структурите за предоставяне на експертни консултации следва да отразяват балансирано представителство във връзка с експертния опит на субекти от научните среди, промишлеността и гражданското общество, за да се подобри легитимността и основаното на факти вземане на решения; потвърждава твърдението на организациите, че паралелните дейности на </w:t>
      </w:r>
      <w:proofErr w:type="spellStart"/>
      <w:r w:rsidR="00443B04" w:rsidRPr="00192FCB">
        <w:t>Ramboll</w:t>
      </w:r>
      <w:proofErr w:type="spellEnd"/>
      <w:r w:rsidR="00443B04" w:rsidRPr="00192FCB">
        <w:t xml:space="preserve"> биха могли да компрометират безпристрастността, изисквана съгласно член 2, параграф 56 и член 143, буква г), от Финансовия регламент; подчертава, че принципът на добро финансово управление изисква Агенцията да гарантира, че процедурите по възлагане на обществени поръчки и изпълнение на договори се провеждат така, че да се запази институционалната безпристрастност и общественото доверие; отбелязва, че неидентифицирани конфликти на интереси могат да засегнат доверието във финансираните от Съюза дейности, дори при липсата на процесуални нарушения; призовава за подходящи предпазни мерки, насочени към реалните и очевидните рискове;</w:t>
      </w:r>
    </w:p>
    <w:p w14:paraId="65E0998D" w14:textId="3ABD6CF8" w:rsidR="00443B04" w:rsidRPr="00192FCB" w:rsidRDefault="00347486" w:rsidP="00443B04">
      <w:pPr>
        <w:pStyle w:val="NormalHanging12a"/>
      </w:pPr>
      <w:r>
        <w:t>126</w:t>
      </w:r>
      <w:r w:rsidR="00443B04" w:rsidRPr="00192FCB">
        <w:t>.</w:t>
      </w:r>
      <w:r w:rsidR="00443B04" w:rsidRPr="00192FCB">
        <w:tab/>
        <w:t xml:space="preserve">отбелязва обаче пояснението на ECHA, че работата, извършена от </w:t>
      </w:r>
      <w:proofErr w:type="spellStart"/>
      <w:r w:rsidR="00443B04" w:rsidRPr="00192FCB">
        <w:t>Ramboll</w:t>
      </w:r>
      <w:proofErr w:type="spellEnd"/>
      <w:r w:rsidR="00443B04" w:rsidRPr="00192FCB">
        <w:t xml:space="preserve"> </w:t>
      </w:r>
      <w:proofErr w:type="spellStart"/>
      <w:r w:rsidR="00443B04" w:rsidRPr="00192FCB">
        <w:t>Deutschland</w:t>
      </w:r>
      <w:proofErr w:type="spellEnd"/>
      <w:r w:rsidR="00443B04" w:rsidRPr="00192FCB">
        <w:t xml:space="preserve"> за Агенцията във връзка с PFAS, е била извършена между 2020 г. и 2021 г., преди работата на консултантското дружество с промишления сектор през 2022 г., и че оценките на конфликтите на интереси са били извършени в съответствие с процедурите на ECHA към момента на възлагане на договора; отбелязва освен това, че съгласно настоящия рамков договор от 2024 г. </w:t>
      </w:r>
      <w:proofErr w:type="spellStart"/>
      <w:r w:rsidR="00443B04" w:rsidRPr="00192FCB">
        <w:t>Ramboll</w:t>
      </w:r>
      <w:proofErr w:type="spellEnd"/>
      <w:r w:rsidR="00443B04" w:rsidRPr="00192FCB">
        <w:t xml:space="preserve"> не е представил оферти за конкретни договори; приветства изявлението на ECHA, че е извършила подробен вътрешен преглед в отговор на исканията за достъп до документи и не е установила неуправляван конфликт на интереси; въпреки това подчертава, че е важно да се гарантират стабилни, проактивни и ориентирани към бъдещето проверки на конфликтите на интереси за всички външни изпълнители, особено за тези, които участват в техническа работа, служеща като основа за вземането на чувствителни регулаторни решения; подчертава, че сред членовете на експертните групи следва се поддържа баланс между различни сектори, включително частния сектор, научните сектори и гражданското общество, за да бъдат представени различни компетентности и гледни точки; приканва Агенцията да включи проверките за независимост на изпълнителите в своята по-широка рамка за вътрешен контрол и управление на риска; подчертава, че трябва да се гарантират стабилни и проактивни процедури за предотвратяване на всякакъв риск от конфликт на интереси и неправомерно влияние;</w:t>
      </w:r>
    </w:p>
    <w:p w14:paraId="746FB4A0" w14:textId="100A3FB6" w:rsidR="00443B04" w:rsidRPr="00192FCB" w:rsidRDefault="00347486" w:rsidP="00443B04">
      <w:pPr>
        <w:pStyle w:val="NormalHanging12a"/>
      </w:pPr>
      <w:r>
        <w:t>127</w:t>
      </w:r>
      <w:r w:rsidR="00443B04" w:rsidRPr="00192FCB">
        <w:t>.</w:t>
      </w:r>
      <w:r w:rsidR="00443B04" w:rsidRPr="00192FCB">
        <w:tab/>
        <w:t xml:space="preserve">отбелязва констатацията на Палатата, че EFCA е приложила формула за възлагане на обществени поръчки за ИТ услуги, която е довела до действителна тежест на ценовия критерий под минимума от 30 %, препоръчван в насоките на Комисията (приложение I, точка 21.2 от Финансовия регламент); отбелязва ангажимента на </w:t>
      </w:r>
      <w:r w:rsidR="00443B04" w:rsidRPr="00192FCB">
        <w:lastRenderedPageBreak/>
        <w:t>EFCA да не прилага тази формула при бъдещи процедури за възлагане на обществени поръчки;</w:t>
      </w:r>
    </w:p>
    <w:p w14:paraId="7C71485F" w14:textId="743AE5E2" w:rsidR="00443B04" w:rsidRPr="00192FCB" w:rsidRDefault="00347486" w:rsidP="00443B04">
      <w:pPr>
        <w:pStyle w:val="NormalHanging12a"/>
      </w:pPr>
      <w:r>
        <w:t>128</w:t>
      </w:r>
      <w:r w:rsidR="00443B04" w:rsidRPr="00192FCB">
        <w:t>.</w:t>
      </w:r>
      <w:r w:rsidR="00443B04" w:rsidRPr="00192FCB">
        <w:tab/>
        <w:t>отбелязва, че Палатата е направила две констатации за нередности, допуснати от Агенцията на Европейския съюз за сътрудничество между регулаторите на енергия (ACER) при провеждането на обществени поръчки, довели до нередовни плащания през 2024 г.; посочва, че след промяна в политиката по отношение на доставчиците ACER е поръчвала услуги за ИТ поддръжка без правно основание в продължение на шест седмици преди подписването на изменения договор, което е довело до нередовни плащания в размер на 8 179 EUR в нарушение на член 172, параграф 1, от Финансовия регламент; отбелязва отговора на Агенцията, че това изключение е било официално одобрено, за да се избегне прекъсване на услугите, и че плащанията са били за надлежно предоставени и документирани услуги;</w:t>
      </w:r>
    </w:p>
    <w:p w14:paraId="20F2543B" w14:textId="1291F4DB" w:rsidR="00443B04" w:rsidRPr="00192FCB" w:rsidRDefault="00347486" w:rsidP="00443B04">
      <w:pPr>
        <w:pStyle w:val="NormalHanging12a"/>
      </w:pPr>
      <w:r>
        <w:t>129</w:t>
      </w:r>
      <w:r w:rsidR="00443B04" w:rsidRPr="00192FCB">
        <w:t>.</w:t>
      </w:r>
      <w:r w:rsidR="00443B04" w:rsidRPr="00192FCB">
        <w:tab/>
        <w:t>отбелязва, че ACER е приела преразгледана финансова оферта в рамките на процедура на договаряне, като е увеличила стойността на договора от 51 450 EUR на 79 450 EUR след нейното представяне, в нарушение на членове 151, 160, параграф 1 и 170 от Финансовия регламент;</w:t>
      </w:r>
    </w:p>
    <w:p w14:paraId="0B962EAF" w14:textId="046B42D0" w:rsidR="00443B04" w:rsidRPr="00192FCB" w:rsidRDefault="00347486" w:rsidP="00443B04">
      <w:pPr>
        <w:pStyle w:val="NormalHanging12a"/>
        <w:rPr>
          <w:bCs/>
        </w:rPr>
      </w:pPr>
      <w:r>
        <w:t>130</w:t>
      </w:r>
      <w:r w:rsidR="00443B04" w:rsidRPr="00192FCB">
        <w:t>.</w:t>
      </w:r>
      <w:r w:rsidR="00443B04" w:rsidRPr="00192FCB">
        <w:tab/>
        <w:t>припомня, че забележката на Палатата относно структурната зависимост на ACER от временни работници остава неприключена от 2019 г. насам, като временните служители продължават да изпълняват дългосрочни задачи, които обикновено следва да се поемат от пряко наетите служители; отбелязва, че въпреки че броят на временните работници е намалял от 18 през 2023 г. на 16 през 2024 г., положението се е запазило и ACER възнамерява да възложи част от тези дейности на подизпълнители; отбелязва отговорите на Агенцията на въпросника, според които е необходимо мащабно възлагане на външни изпълнители поради недостатъчните вътрешни ресурси и специализиран експертен опит; отбелязва, че ACER възлага на външни изпълнители широк набор от функции, включително високоспециализирани консултантски услуги и проучвания в областта на енергийното регулиране, правни услуги, организиране на събития и различни общи услуги, но че най-значителната зависимост се отнася до областта на информационните технологии, където проектирането, разработването, внедряването, обслужването, поддръжката и сигурността на нейните системи се извършват до голяма степен от външни доставчици на услуги; във връзка с това подчертава, че повече от 100 външни експерти в областта на информационните технологии (не непременно на пълно работно време) са ангажирани с предоставянето на ИТ услуги на ACER в сравнение със само 17 вътрешни ИТ служители, което създава значителен структурен дисбаланс; отбелязва освен това, че ACER заявява, че този модел на възлагане на дейности на външни изпълнители е бил изрично препоръчан от Комисията с оглед на ограниченото щатно разписание на Агенцията и ограничените ресурси; подчертава обаче, че подобна постоянна зависимост от външни доставчици за основни ИТ способности, съчетана с продължаващото използване на временни работници за постоянни задачи, поражда опасения по отношение на запазването на знанията, оперативната приемственост и дългосрочния институционален капацитет; подчертава, че трябва незабавно да се обърне внимание на силната зависимост на Агенцията в сферата на ИТ, за да се гарантира запазването на знанията и оперативната приемственост; изисква от Комисията и от ACER да докладват на органа по освобождаване от отговорност относно приетите корективни мерки;</w:t>
      </w:r>
    </w:p>
    <w:p w14:paraId="1B899B7C" w14:textId="77777777" w:rsidR="00443B04" w:rsidRPr="00192FCB" w:rsidRDefault="00443B04" w:rsidP="00443B04">
      <w:pPr>
        <w:pStyle w:val="NormalHanging12a"/>
        <w:rPr>
          <w:i/>
          <w:iCs/>
        </w:rPr>
      </w:pPr>
      <w:r w:rsidRPr="00192FCB">
        <w:rPr>
          <w:i/>
        </w:rPr>
        <w:lastRenderedPageBreak/>
        <w:t>Препоръки</w:t>
      </w:r>
    </w:p>
    <w:p w14:paraId="091EA876" w14:textId="21EEE375" w:rsidR="00443B04" w:rsidRPr="00192FCB" w:rsidRDefault="00347486" w:rsidP="00443B04">
      <w:pPr>
        <w:pStyle w:val="NormalHanging12a"/>
        <w:rPr>
          <w:bCs/>
        </w:rPr>
      </w:pPr>
      <w:r>
        <w:t>131</w:t>
      </w:r>
      <w:r w:rsidR="00443B04" w:rsidRPr="00192FCB">
        <w:t>.</w:t>
      </w:r>
      <w:r w:rsidR="00443B04" w:rsidRPr="00192FCB">
        <w:tab/>
        <w:t>призовава агенциите да предприемат действия във връзка със забележките на Палатата, и по-специално:</w:t>
      </w:r>
    </w:p>
    <w:p w14:paraId="7831641F" w14:textId="77777777" w:rsidR="00443B04" w:rsidRPr="00192FCB" w:rsidRDefault="00443B04" w:rsidP="00443B04">
      <w:pPr>
        <w:pStyle w:val="NormalHanging12a"/>
        <w:ind w:left="1134"/>
        <w:rPr>
          <w:bCs/>
        </w:rPr>
      </w:pPr>
      <w:r w:rsidRPr="00192FCB">
        <w:t>i)</w:t>
      </w:r>
      <w:r w:rsidRPr="00192FCB">
        <w:tab/>
        <w:t>ЕАОС да укрепи своите процедури за възлагане на обществени поръчки и управление на договорите, за да предотврати подобни нередности, по-специално чрез систематично прилагане на изискванията на Финансовия регламент за фактуриране и индексиране на цените за всички рамкови договори, интегриране на системата за срещи на експерти със счетоводните системи и системите за поемане на задължения на ЕАОС, за да се гарантира, че поръчките за кетъринг услуги пораждат правно обвързващи ангажименти и дават възможност за надежден мониторинг на кумулативните разходи в съответствие с член 111, задължително включване на вида договор (с фиксирана цена или на база „изработено време и използвани ресурси“) във всички конкретни договори в съответствие с приложение I и извършване на редовни проверки, обучение на персонала и засилен надзорен контрол, като същевременно се документират изцяло всички предприети корективни мерки;</w:t>
      </w:r>
    </w:p>
    <w:p w14:paraId="19DAEE61" w14:textId="77777777" w:rsidR="00443B04" w:rsidRPr="00192FCB" w:rsidRDefault="00443B04" w:rsidP="00443B04">
      <w:pPr>
        <w:pStyle w:val="NormalHanging12a"/>
        <w:ind w:left="1134"/>
        <w:rPr>
          <w:bCs/>
        </w:rPr>
      </w:pPr>
      <w:r w:rsidRPr="00192FCB">
        <w:t>ii)</w:t>
      </w:r>
      <w:r w:rsidRPr="00192FCB">
        <w:tab/>
        <w:t>EFCA да гарантира стриктно спазване на правилата на Съюза за възлагане на обществени поръчки чрез запазване на тежестта на критерия за цената от най-малко 30 %, да осигури вътрешно обучение относно правилното прилагане на корекционните коефициенти при обществените поръчки, да въведе задължителни документни доказателства (напр. договори за наем), да извършва периодични одити на пребиваването и да засили контрола с цел предотвратяване на неправомерни плащания на надбавки, както и да докладва на органа по освобождаване от отговорност относно изпълнението;</w:t>
      </w:r>
    </w:p>
    <w:p w14:paraId="7EF7AF1D" w14:textId="77777777" w:rsidR="00443B04" w:rsidRPr="00192FCB" w:rsidRDefault="00443B04" w:rsidP="00443B04">
      <w:pPr>
        <w:pStyle w:val="NormalHanging12a"/>
        <w:ind w:left="1134"/>
        <w:rPr>
          <w:bCs/>
        </w:rPr>
      </w:pPr>
      <w:r w:rsidRPr="00192FCB">
        <w:t>iii)</w:t>
      </w:r>
      <w:r w:rsidRPr="00192FCB">
        <w:tab/>
        <w:t>ACER да предотвратява бъдещи нередности при възлагането на обществени поръчки и да гарантира пълно спазване на Финансовия регламент;</w:t>
      </w:r>
    </w:p>
    <w:p w14:paraId="7F05EE5B" w14:textId="77777777" w:rsidR="00443B04" w:rsidRPr="00192FCB" w:rsidRDefault="00443B04" w:rsidP="00443B04">
      <w:pPr>
        <w:pStyle w:val="NormalHanging12a"/>
        <w:rPr>
          <w:b/>
          <w:bCs/>
          <w:i/>
          <w:iCs/>
        </w:rPr>
      </w:pPr>
      <w:r w:rsidRPr="00192FCB">
        <w:rPr>
          <w:b/>
          <w:i/>
        </w:rPr>
        <w:t>Агенции в други области</w:t>
      </w:r>
      <w:r w:rsidRPr="00192FCB">
        <w:rPr>
          <w:b/>
          <w:bCs/>
          <w:i/>
          <w:iCs/>
          <w:vertAlign w:val="superscript"/>
        </w:rPr>
        <w:footnoteReference w:id="417"/>
      </w:r>
    </w:p>
    <w:p w14:paraId="21961EF5" w14:textId="6498B454" w:rsidR="00443B04" w:rsidRPr="00192FCB" w:rsidRDefault="00347486" w:rsidP="00443B04">
      <w:pPr>
        <w:pStyle w:val="NormalHanging12a"/>
      </w:pPr>
      <w:r>
        <w:t>132</w:t>
      </w:r>
      <w:r w:rsidR="00443B04" w:rsidRPr="00192FCB">
        <w:t>.</w:t>
      </w:r>
      <w:r w:rsidR="00443B04" w:rsidRPr="00192FCB">
        <w:tab/>
        <w:t>отбелязва, че при две процедури на договаряне Службата на ОЕРЕС не е посочила критерии за подбор в тръжните спецификации, което е в противоречие с точка 18.2 от приложение I към Финансовия регламент и поражда риск за Службата на ОЕРЕС изпълнителят да не разполага с капацитет за изпълнение на договорите; приема за сведение обяснението на Службата на ОЕРЕС, че капацитетът на изпълнителите е бил оценен чрез предварителни консултации и че тя ще гарантира, че критериите за подбор ще се посочват във всички бъдещи оферти;</w:t>
      </w:r>
    </w:p>
    <w:p w14:paraId="172E6743" w14:textId="514AD687" w:rsidR="00443B04" w:rsidRPr="00192FCB" w:rsidRDefault="00347486" w:rsidP="00443B04">
      <w:pPr>
        <w:pStyle w:val="NormalHanging12a"/>
      </w:pPr>
      <w:r>
        <w:t>133</w:t>
      </w:r>
      <w:r w:rsidR="00443B04" w:rsidRPr="00192FCB">
        <w:t>.</w:t>
      </w:r>
      <w:r w:rsidR="00443B04" w:rsidRPr="00192FCB">
        <w:tab/>
        <w:t xml:space="preserve">обръща внимание на факта, че до декември 2023 г. от Комисията се изискваше да завърши петгодишна оценка на Службата на ОЕРЕС съгласно член 48 от регламента за нейното създаване, предназначена да оцени потенциалните структурни промени или промени в мандата на Службата на ОЕРЕС, както и всички съответни финансови последици; отбелязва, че към края на 2024 г. Комисията все още не беше приключила тази оценка и по искане на член на ЕП Комисията уведоми Парламента, че докладът за оценка ще бъде представен през </w:t>
      </w:r>
      <w:r w:rsidR="00443B04" w:rsidRPr="00192FCB">
        <w:lastRenderedPageBreak/>
        <w:t>декември 2025 г.;</w:t>
      </w:r>
    </w:p>
    <w:p w14:paraId="6A3C290A" w14:textId="3F14D4FB" w:rsidR="00443B04" w:rsidRPr="00192FCB" w:rsidRDefault="00347486" w:rsidP="00443B04">
      <w:pPr>
        <w:pStyle w:val="NormalHanging12a"/>
      </w:pPr>
      <w:r>
        <w:t>134</w:t>
      </w:r>
      <w:r w:rsidR="00443B04" w:rsidRPr="00192FCB">
        <w:t>.</w:t>
      </w:r>
      <w:r w:rsidR="00443B04" w:rsidRPr="00192FCB">
        <w:tab/>
        <w:t xml:space="preserve">отбелязва констатацията на Палатата относно нередовността при възлагането на обществени поръчки от страна на </w:t>
      </w:r>
      <w:proofErr w:type="spellStart"/>
      <w:r w:rsidR="00443B04" w:rsidRPr="00192FCB">
        <w:t>CdT</w:t>
      </w:r>
      <w:proofErr w:type="spellEnd"/>
      <w:r w:rsidR="00443B04" w:rsidRPr="00192FCB">
        <w:t xml:space="preserve"> по договор за наем на шкафове за ИТ оборудване, възложен през 2016 г. чрез процедура на договаряне без предварително публикуване на обявление за обществена поръчка; подчертава, че договорът е бил подновяван 13 пъти, като неправилно се е разчитало на изключението за договорите за недвижими имоти съгласно член 134, параграф 1, буква з) от Делегиран регламент (ЕС) № 1268/2012 на Комисията — разпоредба, за която Съдът е определил, че не се прилага за наемите за ИТ шкафове;</w:t>
      </w:r>
    </w:p>
    <w:p w14:paraId="20FF4B36" w14:textId="1D3B7628" w:rsidR="00443B04" w:rsidRPr="00192FCB" w:rsidRDefault="00347486" w:rsidP="00443B04">
      <w:pPr>
        <w:pStyle w:val="NormalHanging12a"/>
      </w:pPr>
      <w:r>
        <w:t>135</w:t>
      </w:r>
      <w:r w:rsidR="00443B04" w:rsidRPr="00192FCB">
        <w:t>.</w:t>
      </w:r>
      <w:r w:rsidR="00443B04" w:rsidRPr="00192FCB">
        <w:tab/>
        <w:t>отбелязва, че Агенцията на Европейския съюз за киберсигурност (ENISA) не е приела подходящо решение за финансиране преди започването на процедури за възлагане на обществени поръчки за оперативни разходи, което подкопава ефективното планиране и надзор и противоречи на член 32, параграф 1 и член 72, параграф 3, буква б) от нейните финансови правила; отбелязва отговора на ENISA, че тя е съгласна с констатацията и е предприела необходимите стъпки за справяне с проблема;</w:t>
      </w:r>
    </w:p>
    <w:p w14:paraId="7CF523A4" w14:textId="0D308F43" w:rsidR="00443B04" w:rsidRPr="00192FCB" w:rsidRDefault="00347486" w:rsidP="00443B04">
      <w:pPr>
        <w:pStyle w:val="NormalHanging12a"/>
      </w:pPr>
      <w:r>
        <w:t>136</w:t>
      </w:r>
      <w:r w:rsidR="00443B04" w:rsidRPr="00192FCB">
        <w:t>.</w:t>
      </w:r>
      <w:r w:rsidR="00443B04" w:rsidRPr="00192FCB">
        <w:tab/>
        <w:t>отбелязва, че за четири конференции (2022</w:t>
      </w:r>
      <w:r w:rsidR="00443B04" w:rsidRPr="00192FCB">
        <w:noBreakHyphen/>
        <w:t>2024 г.) средните цени на хотелите на ENISA са надвишили приложимите тавани за персонала на Съюза, с високи такси за анулиране (30 % от общите разходи) за две прояви; подчертава липсата на насоки или предварителни проверки за организирането на конференции; отбелязва отговора на ENISA, че тя е съгласна и ще предприеме корективни действия;</w:t>
      </w:r>
    </w:p>
    <w:p w14:paraId="6365404A" w14:textId="1AF4AFB2" w:rsidR="00443B04" w:rsidRPr="00192FCB" w:rsidRDefault="00347486" w:rsidP="00443B04">
      <w:pPr>
        <w:pStyle w:val="NormalHanging12a"/>
      </w:pPr>
      <w:r>
        <w:t>137</w:t>
      </w:r>
      <w:r w:rsidR="00443B04" w:rsidRPr="00192FCB">
        <w:t>.</w:t>
      </w:r>
      <w:r w:rsidR="00443B04" w:rsidRPr="00192FCB">
        <w:tab/>
        <w:t>обръща внимание на процедура за възлагане на обществена поръчка за услуги в областта на научноизследователската и развойната дейност, при която липсва достатъчно документация, за да се обоснове прогнозната стойност на договора, и не са определени конкретни и измерими критерии за подбор, както се изисква в член 167 и приложение I, точка 18.2 от Финансовия регламент; отбелязва отговора на ENISA, че тя вече е разгледала въпроса;</w:t>
      </w:r>
    </w:p>
    <w:p w14:paraId="3E603E82" w14:textId="3804F58A" w:rsidR="00443B04" w:rsidRPr="00192FCB" w:rsidRDefault="00347486" w:rsidP="00443B04">
      <w:pPr>
        <w:pStyle w:val="NormalHanging12a"/>
      </w:pPr>
      <w:r>
        <w:t>138</w:t>
      </w:r>
      <w:r w:rsidR="00443B04" w:rsidRPr="00192FCB">
        <w:t>.</w:t>
      </w:r>
      <w:r w:rsidR="00443B04" w:rsidRPr="00192FCB">
        <w:tab/>
        <w:t xml:space="preserve">отбелязва забележката на Палатата относно Европейския институт за иновации и технологии (EIT), и по-специално външната последваща проверка на представителна извадка от разходни позиции в рамките на плащанията на безвъзмездна финансова помощ, довела до общ процент грешки в размер на 0,4 %; отбелязва, че Палатата е </w:t>
      </w:r>
      <w:proofErr w:type="spellStart"/>
      <w:r w:rsidR="00443B04" w:rsidRPr="00192FCB">
        <w:t>преизчислила</w:t>
      </w:r>
      <w:proofErr w:type="spellEnd"/>
      <w:r w:rsidR="00443B04" w:rsidRPr="00192FCB">
        <w:t xml:space="preserve"> общия процент грешки за извадката, като е включила допълнителна недопустима сума, установена при нейния одит, и е стигнала до заключението, че плащанията на безвъзмездна финансова помощ са засегнати от вероятен процент грешки в размер на 0,8 %, който се прилага за уравнените плащания на безвъзмездна финансова помощ от EIT в размер на 6 млн. евро през 2024 г., и посочва, че приблизително 50 000 EUR могат да бъдат засегнати от грешки;</w:t>
      </w:r>
    </w:p>
    <w:p w14:paraId="0D4AE316" w14:textId="314C799D" w:rsidR="00443B04" w:rsidRPr="00192FCB" w:rsidRDefault="00347486" w:rsidP="00443B04">
      <w:pPr>
        <w:pStyle w:val="NormalHanging12a"/>
      </w:pPr>
      <w:r>
        <w:t>139</w:t>
      </w:r>
      <w:r w:rsidR="00443B04" w:rsidRPr="00192FCB">
        <w:t>.</w:t>
      </w:r>
      <w:r w:rsidR="00443B04" w:rsidRPr="00192FCB">
        <w:tab/>
        <w:t xml:space="preserve">отбелязва, че през 2023 г. EIT е прехвърлил своите споразумения за отпускане на безвъзмездни средства от годишна към многогодишна структура; обръща внимание на факта, че тази промяна оказва въздействие върху оценката на Палатата на законосъобразността и редовността, която може да бъде извършена само по време на междинните и окончателните плащания; отбелязва, че през 2024 г. EIT е платил 412 милиона евро под формата на предварително </w:t>
      </w:r>
      <w:r w:rsidR="00443B04" w:rsidRPr="00192FCB">
        <w:lastRenderedPageBreak/>
        <w:t>финансиране за многогодишни споразумения, което представлява 92,9 % от общия размер на плащанията за годината; отбелязва, че законосъобразността и редовността на тези плащания ще бъдат оценени през следващите години; подчертава, че такъв висок дял на плащанията по линия на предварителното финансиране изисква засилени механизми за мониторинг и контрол, с цел да се намали рискът от бъдещи финансови корекции или възстановяване на средства;</w:t>
      </w:r>
    </w:p>
    <w:p w14:paraId="0CF67F03" w14:textId="5DE244A4" w:rsidR="00443B04" w:rsidRPr="00192FCB" w:rsidRDefault="00347486" w:rsidP="00443B04">
      <w:pPr>
        <w:pStyle w:val="NormalHanging12a"/>
      </w:pPr>
      <w:r>
        <w:t>140</w:t>
      </w:r>
      <w:r w:rsidR="00443B04" w:rsidRPr="00192FCB">
        <w:t>.</w:t>
      </w:r>
      <w:r w:rsidR="00443B04" w:rsidRPr="00192FCB">
        <w:tab/>
        <w:t>изразява загриженост относно разследванията на OLAF по три различни случая, приключени през 2024 г., и изказаните впоследствие от нея финансови и административни препоръки; отбелязва, че ОЛАФ е препоръчала на EIT да възстанови значителни суми от бенефициентите, които са обект на разследването; отбелязва, че сумата, която трябва да бъде възстановена, е свързана със договори за безвъзмездна финансова помощ, отпуснати от 2020 г. до 2023 г.; отбелязва, че през 2024 г. EIT е извършил плащане по предварително финансиране в размер на 52,1 милиона евро във връзка със споразумението за отпускане на безвъзмездни средства от 2023 г. и че то не е било част от одитната популация на Палатата през 2024 г.;</w:t>
      </w:r>
    </w:p>
    <w:p w14:paraId="67735C85" w14:textId="4C7021CB" w:rsidR="00443B04" w:rsidRPr="00192FCB" w:rsidRDefault="00347486" w:rsidP="00443B04">
      <w:pPr>
        <w:pStyle w:val="NormalHanging12a"/>
      </w:pPr>
      <w:r>
        <w:t>141</w:t>
      </w:r>
      <w:r w:rsidR="00443B04" w:rsidRPr="00192FCB">
        <w:t>.</w:t>
      </w:r>
      <w:r w:rsidR="00443B04" w:rsidRPr="00192FCB">
        <w:tab/>
        <w:t xml:space="preserve">отбелязва с особено внимание обясненията, предоставени от директора на EIT по време на изслушването, проведено на 1 декември 2025 г., че нередностите се отнасят до </w:t>
      </w:r>
      <w:proofErr w:type="spellStart"/>
      <w:r w:rsidR="00443B04" w:rsidRPr="00192FCB">
        <w:t>бенефициери</w:t>
      </w:r>
      <w:proofErr w:type="spellEnd"/>
      <w:r w:rsidR="00443B04" w:rsidRPr="00192FCB">
        <w:t xml:space="preserve"> на безвъзмездни средства от EIT, а не до служители на EIT, и че в двата основни случая нередностите са били открити и проактивно докладвани на OLAF от самата Агенция; отбелязва освен това, че след получаването на окончателните доклади на OLAF EIT е предприел незабавни корективни действия, по-специално по отношение на основната нередност, включително спиране на всички плащания към съответния </w:t>
      </w:r>
      <w:proofErr w:type="spellStart"/>
      <w:r w:rsidR="00443B04" w:rsidRPr="00192FCB">
        <w:t>бенефициер</w:t>
      </w:r>
      <w:proofErr w:type="spellEnd"/>
      <w:r w:rsidR="00443B04" w:rsidRPr="00192FCB">
        <w:t xml:space="preserve">, преждевременно прекратяване на текущото споразумение за отпускане на безвъзмездни средства и започване на процедури по събиране на вземания във връзка с предишни засегнати безвъзмездни средства, както и изискване </w:t>
      </w:r>
      <w:proofErr w:type="spellStart"/>
      <w:r w:rsidR="00443B04" w:rsidRPr="00192FCB">
        <w:t>бенефициерът</w:t>
      </w:r>
      <w:proofErr w:type="spellEnd"/>
      <w:r w:rsidR="00443B04" w:rsidRPr="00192FCB">
        <w:t xml:space="preserve"> да подобри своите процеси и процедури; очаква EIT да изпълни изцяло всички последващи действия, произтичащи от препоръките на OLAF, и да гарантира, че засилените механизми за контрол ефективно смекчават подобни рискове в бъдещите цикли на финансиране;</w:t>
      </w:r>
    </w:p>
    <w:p w14:paraId="4FB150A1" w14:textId="04CD36E6" w:rsidR="00443B04" w:rsidRPr="00192FCB" w:rsidRDefault="00347486" w:rsidP="00443B04">
      <w:pPr>
        <w:pStyle w:val="NormalHanging12a"/>
      </w:pPr>
      <w:r>
        <w:t>142</w:t>
      </w:r>
      <w:r w:rsidR="00443B04" w:rsidRPr="00192FCB">
        <w:t>.</w:t>
      </w:r>
      <w:r w:rsidR="00443B04" w:rsidRPr="00192FCB">
        <w:tab/>
        <w:t>посочва, че поради сложността на един от трите случая EIT работи в тясно сътрудничество с правните служби на Комисията, OLAF и ГД „Бюджет“ и прогнозната сума, която трябва да бъде възстановена, понастоящем се оценява на около 15</w:t>
      </w:r>
      <w:r w:rsidR="00443B04" w:rsidRPr="00192FCB">
        <w:noBreakHyphen/>
        <w:t>20 милиона евро;</w:t>
      </w:r>
    </w:p>
    <w:p w14:paraId="606F030F" w14:textId="4FBFDA57" w:rsidR="00443B04" w:rsidRPr="00192FCB" w:rsidRDefault="00347486" w:rsidP="00443B04">
      <w:pPr>
        <w:pStyle w:val="NormalHanging12a"/>
      </w:pPr>
      <w:r>
        <w:t>143</w:t>
      </w:r>
      <w:r w:rsidR="00443B04" w:rsidRPr="00192FCB">
        <w:t>.</w:t>
      </w:r>
      <w:r w:rsidR="00443B04" w:rsidRPr="00192FCB">
        <w:tab/>
        <w:t>потвърждава, че през 2024 г. EIT е извършил оценка на своя вътрешен контрол и е установил три основни риска с голяма вероятност от възникване и значително въздействие върху неговите дейности:</w:t>
      </w:r>
    </w:p>
    <w:p w14:paraId="1DD536BC" w14:textId="77777777" w:rsidR="00443B04" w:rsidRPr="00192FCB" w:rsidRDefault="00443B04" w:rsidP="00443B04">
      <w:pPr>
        <w:pStyle w:val="NormalHanging12a"/>
        <w:ind w:left="1134"/>
      </w:pPr>
      <w:r w:rsidRPr="00192FCB">
        <w:t>–</w:t>
      </w:r>
      <w:r w:rsidRPr="00192FCB">
        <w:tab/>
        <w:t>недостатъчни човешки ресурси: отбелязва, че Палатата и Службата за вътрешен одит на Комисията признават този риск, като подчертават нередностите, дължащи се на недостиг на персонал; настоятелно призовава за увеличаване на числеността на персонала и за съответно увеличаване на финансирането;</w:t>
      </w:r>
    </w:p>
    <w:p w14:paraId="17A18D6F" w14:textId="77777777" w:rsidR="00443B04" w:rsidRPr="00192FCB" w:rsidRDefault="00443B04" w:rsidP="00443B04">
      <w:pPr>
        <w:pStyle w:val="NormalHanging12a"/>
        <w:ind w:left="1134"/>
      </w:pPr>
      <w:r w:rsidRPr="00192FCB">
        <w:t>–</w:t>
      </w:r>
      <w:r w:rsidRPr="00192FCB">
        <w:tab/>
        <w:t xml:space="preserve">стратегически напредък на общностите на знания и иновации (ОЗИ): изразява съжаление, че общностите на знание и иновации (ОЗИ) може да не </w:t>
      </w:r>
      <w:r w:rsidRPr="00192FCB">
        <w:lastRenderedPageBreak/>
        <w:t>постигнат стратегическите цели поради липса на съответствие, измами или други фактори; изразява загриженост, че някои ОЗИ все още изостават в системите за борба с измамите, като текущи прегледи на разследвания на OLAF, свързани с ОЗИ, потенциално изискват възстановяване на средства;</w:t>
      </w:r>
    </w:p>
    <w:p w14:paraId="2BBBAB93" w14:textId="77777777" w:rsidR="00443B04" w:rsidRPr="00192FCB" w:rsidRDefault="00443B04" w:rsidP="00443B04">
      <w:pPr>
        <w:pStyle w:val="NormalHanging12a"/>
        <w:ind w:left="1134"/>
      </w:pPr>
      <w:r w:rsidRPr="00192FCB">
        <w:t>–</w:t>
      </w:r>
      <w:r w:rsidRPr="00192FCB">
        <w:tab/>
        <w:t>заплахи за киберсигурността: кибератаките представляват много висок риск, който може да окаже въздействие върху непрекъснатостта на дейността, да доведе до загуба на данни и да навреди на репутацията;</w:t>
      </w:r>
    </w:p>
    <w:p w14:paraId="59B1EE7B" w14:textId="0E280BB5" w:rsidR="00443B04" w:rsidRPr="00192FCB" w:rsidRDefault="00347486" w:rsidP="00443B04">
      <w:pPr>
        <w:pStyle w:val="NormalHanging12a"/>
      </w:pPr>
      <w:r>
        <w:t>144</w:t>
      </w:r>
      <w:r w:rsidR="00443B04" w:rsidRPr="00192FCB">
        <w:t>.</w:t>
      </w:r>
      <w:r w:rsidR="00443B04" w:rsidRPr="00192FCB">
        <w:tab/>
        <w:t>обръща внимание на две бюджетни нередности в коригиращия бюджет на EIT за 2025 г.:</w:t>
      </w:r>
    </w:p>
    <w:p w14:paraId="1A16DAD9" w14:textId="77777777" w:rsidR="00443B04" w:rsidRPr="00192FCB" w:rsidRDefault="00443B04" w:rsidP="00443B04">
      <w:pPr>
        <w:pStyle w:val="NormalHanging12a"/>
        <w:ind w:left="1134"/>
      </w:pPr>
      <w:r w:rsidRPr="00192FCB">
        <w:t>–</w:t>
      </w:r>
      <w:r w:rsidRPr="00192FCB">
        <w:tab/>
        <w:t>бюджетно равновесие: отбелязва, че първоначалната версия показва приходи в размер на 463,6 милиона евро спрямо разходи в размер на 446,7 милиона евро, което е в нарушение на членове 8 и 16 от Рамковия финансов регламент; потвърждава коригираната версия от 31 март 2025 г.;</w:t>
      </w:r>
    </w:p>
    <w:p w14:paraId="79D67B77" w14:textId="77777777" w:rsidR="00443B04" w:rsidRPr="00192FCB" w:rsidRDefault="00443B04" w:rsidP="00443B04">
      <w:pPr>
        <w:pStyle w:val="NormalHanging12a"/>
        <w:ind w:left="1134"/>
      </w:pPr>
      <w:r w:rsidRPr="00192FCB">
        <w:t>–</w:t>
      </w:r>
      <w:r w:rsidRPr="00192FCB">
        <w:tab/>
        <w:t>грешка в класификацията на приходите: отбелязва, че EIT е включил 16,7 милиона евро външни целеви приходи по дял 2 „Вноски“, вместо да създаде специална глава, което е в нарушение на членове 8, 20, 21 и 25; отбелязва, че впоследствие EIT се е ангажирал да преструктурира бюджета си, за да класифицира правилно тези приходи през 2025 г.;</w:t>
      </w:r>
    </w:p>
    <w:p w14:paraId="344B6CC2" w14:textId="3155D8E6" w:rsidR="00443B04" w:rsidRPr="00192FCB" w:rsidRDefault="00347486" w:rsidP="00443B04">
      <w:pPr>
        <w:pStyle w:val="NormalHanging12a"/>
      </w:pPr>
      <w:r>
        <w:t>145</w:t>
      </w:r>
      <w:r w:rsidR="00443B04" w:rsidRPr="00192FCB">
        <w:t>.</w:t>
      </w:r>
      <w:r w:rsidR="00443B04" w:rsidRPr="00192FCB">
        <w:tab/>
      </w:r>
      <w:bookmarkStart w:id="13" w:name="_Hlk216795090"/>
      <w:r w:rsidR="00443B04" w:rsidRPr="00192FCB">
        <w:t>отбелязва, че рамковият договор на EIT за пътнически услуги не е в съответствие с договорните условия, тъй като не се използват формуляри за заявка или конкретни договори при поръчка на пътнически услуги; отбелязва, че EIT разчита на командировъчните заповеди на служителите като правни задължения, но не ги съобщава на изпълнителя, като вместо това делегира пълна отговорност на пътуващите служители, от които се изисква да поръчват своите пътнически услуги директно по електронна поща</w:t>
      </w:r>
      <w:bookmarkEnd w:id="13"/>
      <w:r w:rsidR="00443B04" w:rsidRPr="00192FCB">
        <w:t>; подчертава три случая, в които командировъчните заповеди и декларациите за разходи не са били одобрени от надлежно упълномощен персонал и че EIT не разполага с надеждна система за мониторинг на спазването на тавана на договорите; отбелязва отговора на EIT, в който се потвърждава, че таванът на договорите не е надвишен, но призовава Агенцията да гарантира подходящо делегиране на правомощия на органа по одобряването и да въведе система за мониторинг с цел проследяване на спазването на тавана на договорите;</w:t>
      </w:r>
    </w:p>
    <w:p w14:paraId="4C9810F0" w14:textId="456EC798" w:rsidR="00443B04" w:rsidRPr="00192FCB" w:rsidRDefault="00347486" w:rsidP="00443B04">
      <w:pPr>
        <w:pStyle w:val="NormalHanging12a"/>
      </w:pPr>
      <w:r>
        <w:t>146</w:t>
      </w:r>
      <w:r w:rsidR="00443B04" w:rsidRPr="00192FCB">
        <w:t>.</w:t>
      </w:r>
      <w:r w:rsidR="00443B04" w:rsidRPr="00192FCB">
        <w:tab/>
        <w:t>отбелязва, че EIT е пренесъл бюджетни кредити за поети задължения за разходи за персонал в размер на 118 697 EUR, въпреки че член 12, параграф 5 от Рамковия финансов регламент изисква тези задължения да бъдат отменени до края на годината; отбелязва, че EIT признава проблема и се ангажира да засили вътрешния контрол с цел да предотврати негово повторно възникване;</w:t>
      </w:r>
    </w:p>
    <w:p w14:paraId="00CEA574" w14:textId="45EBFC78" w:rsidR="00443B04" w:rsidRPr="00192FCB" w:rsidRDefault="00347486" w:rsidP="00443B04">
      <w:pPr>
        <w:pStyle w:val="NormalHanging12a"/>
      </w:pPr>
      <w:r>
        <w:t>147</w:t>
      </w:r>
      <w:r w:rsidR="00443B04" w:rsidRPr="00192FCB">
        <w:t>.</w:t>
      </w:r>
      <w:r w:rsidR="00443B04" w:rsidRPr="00192FCB">
        <w:tab/>
        <w:t xml:space="preserve">отбелязва стратегическата роля на EUSPA като ключов стълб на космическата програма на ЕС за укрепване на промишлената база, конкурентоспособността и иновациите на Съюза; приканва Комисията при подготовката на следващата многогодишна финансова рамка (МФР) да гарантира, че EUSPA разполага с подходящи правомощия и ресурси, за да се подобри нейната ефективност и капацитет за изпълнение на задачите, в подкрепа на стратегическата автономност и суверенитета на Съюза, включително чрез изпълнението на нови задачи </w:t>
      </w:r>
      <w:r w:rsidR="00443B04" w:rsidRPr="00192FCB">
        <w:lastRenderedPageBreak/>
        <w:t>съгласно Акта на ЕС за космическото пространство; подчертава, че е важно да се отдава приоритет на европейските обществени поръчки в области, които са от решаващо значение за устойчивостта, сигурността и технологичната независимост на Съюза;</w:t>
      </w:r>
    </w:p>
    <w:p w14:paraId="12ADF396" w14:textId="094150CD" w:rsidR="00443B04" w:rsidRPr="00192FCB" w:rsidRDefault="00347486" w:rsidP="00443B04">
      <w:pPr>
        <w:pStyle w:val="NormalHanging12a"/>
      </w:pPr>
      <w:r>
        <w:t>148</w:t>
      </w:r>
      <w:r w:rsidR="00443B04" w:rsidRPr="00192FCB">
        <w:t>.</w:t>
      </w:r>
      <w:r w:rsidR="00443B04" w:rsidRPr="00192FCB">
        <w:tab/>
        <w:t>призовава агенциите да предприемат действия във връзка със забележките на Палатата, и по-специално:</w:t>
      </w:r>
    </w:p>
    <w:p w14:paraId="36668DEC" w14:textId="77777777" w:rsidR="00443B04" w:rsidRPr="00192FCB" w:rsidRDefault="00443B04" w:rsidP="00443B04">
      <w:pPr>
        <w:pStyle w:val="NormalHanging12a"/>
        <w:ind w:left="1134"/>
      </w:pPr>
      <w:r w:rsidRPr="00192FCB">
        <w:t>i)</w:t>
      </w:r>
      <w:r w:rsidRPr="00192FCB">
        <w:tab/>
        <w:t>службата на ОЕРЕС да гарантира пълно спазване на правилата за възлагане на обществени поръчки, като систематично определя критериите за подбор в процедурите на договаряне, и да укрепи механизмите за осигуряване на капацитет;</w:t>
      </w:r>
    </w:p>
    <w:p w14:paraId="175F6034" w14:textId="77777777" w:rsidR="00443B04" w:rsidRPr="00192FCB" w:rsidRDefault="00443B04" w:rsidP="00443B04">
      <w:pPr>
        <w:pStyle w:val="NormalHanging12a"/>
        <w:ind w:left="1134"/>
      </w:pPr>
      <w:r w:rsidRPr="00192FCB">
        <w:t>ii)</w:t>
      </w:r>
      <w:r w:rsidRPr="00192FCB">
        <w:tab/>
      </w:r>
      <w:proofErr w:type="spellStart"/>
      <w:r w:rsidRPr="00192FCB">
        <w:t>CdT</w:t>
      </w:r>
      <w:proofErr w:type="spellEnd"/>
      <w:r w:rsidRPr="00192FCB">
        <w:t xml:space="preserve"> да засили контрола върху обществените поръчки, за да се предотврати повторно неспазване на финансовите правила на Съюза и вътрешните финансови правила;</w:t>
      </w:r>
    </w:p>
    <w:p w14:paraId="40FA755F" w14:textId="77777777" w:rsidR="00443B04" w:rsidRPr="00192FCB" w:rsidRDefault="00443B04" w:rsidP="00443B04">
      <w:pPr>
        <w:pStyle w:val="NormalHanging12a"/>
        <w:ind w:left="1134"/>
        <w:rPr>
          <w:bCs/>
        </w:rPr>
      </w:pPr>
      <w:r w:rsidRPr="00192FCB">
        <w:t>iii)</w:t>
      </w:r>
      <w:r w:rsidRPr="00192FCB">
        <w:tab/>
        <w:t>ENISA да приема решения за финансиране преди възлагането на обществени поръчки, да въведе насоки и предварителни проверки за организирането на конференции и да гарантира пълна документация и измерими критерии за подбор във всички процедури;</w:t>
      </w:r>
    </w:p>
    <w:p w14:paraId="6375861E" w14:textId="77777777" w:rsidR="00443B04" w:rsidRPr="00192FCB" w:rsidRDefault="00443B04" w:rsidP="00443B04">
      <w:pPr>
        <w:pStyle w:val="NormalHanging12a"/>
        <w:ind w:left="1134"/>
      </w:pPr>
      <w:r w:rsidRPr="00192FCB">
        <w:t>iv)</w:t>
      </w:r>
      <w:r w:rsidRPr="00192FCB">
        <w:tab/>
        <w:t>EIT да засили надзора на външните проверители и да подобри контролните си списъци за преглед, да гарантира подходящо бюджетно равновесие и класификация на приходите, да подобри изпълнението на рамковия си договор за пътнически услуги и да засили вътрешния контрол, за да се избегнат неправомерни преноси;</w:t>
      </w:r>
    </w:p>
    <w:p w14:paraId="2EA7071D" w14:textId="29C58DB5" w:rsidR="00443B04" w:rsidRPr="00192FCB" w:rsidRDefault="00347486" w:rsidP="00443B04">
      <w:pPr>
        <w:pStyle w:val="NormalHanging12a"/>
      </w:pPr>
      <w:r>
        <w:t>149</w:t>
      </w:r>
      <w:r w:rsidR="00443B04" w:rsidRPr="00192FCB">
        <w:t>.</w:t>
      </w:r>
      <w:r w:rsidR="00443B04" w:rsidRPr="00192FCB">
        <w:tab/>
        <w:t>освен това призовава следните агенции:</w:t>
      </w:r>
    </w:p>
    <w:p w14:paraId="58C8B1AF" w14:textId="77777777" w:rsidR="00443B04" w:rsidRPr="00192FCB" w:rsidRDefault="00443B04" w:rsidP="00443B04">
      <w:pPr>
        <w:pStyle w:val="NormalHanging12a"/>
        <w:ind w:left="1134"/>
      </w:pPr>
      <w:r w:rsidRPr="00192FCB">
        <w:t>i)</w:t>
      </w:r>
      <w:r w:rsidRPr="00192FCB">
        <w:tab/>
        <w:t>Службата на ОЕРЕС да докладва на органа по освобождаване от отговорност относно навременното приключване и последващите действия във връзка с просрочената петгодишна оценка на Комисията;</w:t>
      </w:r>
    </w:p>
    <w:p w14:paraId="265571B9" w14:textId="77777777" w:rsidR="00443B04" w:rsidRPr="00192FCB" w:rsidRDefault="00443B04" w:rsidP="00443B04">
      <w:pPr>
        <w:pStyle w:val="NormalHanging12a"/>
        <w:ind w:left="1134"/>
      </w:pPr>
      <w:r w:rsidRPr="00192FCB">
        <w:t>ii)</w:t>
      </w:r>
      <w:r w:rsidRPr="00192FCB">
        <w:tab/>
        <w:t>ENISA да информира органа по освобождаване от отговорност за напредъка по изпълнението на корективните действия във връзка с планирането на обществени поръчки, управлението на конференции и документацията за процедурите за научноизследователска и развойна дейност;</w:t>
      </w:r>
    </w:p>
    <w:p w14:paraId="36F8964E" w14:textId="7F3C92B8" w:rsidR="00443B04" w:rsidRDefault="00443B04" w:rsidP="00443B04">
      <w:pPr>
        <w:pStyle w:val="NormalHanging12a"/>
        <w:ind w:left="1134"/>
        <w:rPr>
          <w:bCs/>
          <w:iCs/>
          <w:szCs w:val="24"/>
          <w:lang w:val="en-GB" w:eastAsia="en-US"/>
        </w:rPr>
      </w:pPr>
      <w:r w:rsidRPr="00192FCB">
        <w:t>iii)</w:t>
      </w:r>
      <w:r w:rsidRPr="00192FCB">
        <w:tab/>
        <w:t>EIT да предоставя на органа по освобождаване от отговорност актуална информация относно изпълнението на препоръките на OLAF и засилените механизми за контрол, за да се избегне повторение в бъдеще; да продължи да укрепва своето управление на киберсигурността в пълно съответствие с Регламент (ЕС, Евратом) 2023/2841, за да подобри допълнително вътрешните способности за киберустойчивост;</w:t>
      </w:r>
      <w:r w:rsidR="005B6B6C">
        <w:rPr>
          <w:lang w:val="en-GB"/>
        </w:rPr>
        <w:t xml:space="preserve"> </w:t>
      </w:r>
      <w:r w:rsidR="005B6B6C" w:rsidRPr="002054A3">
        <w:rPr>
          <w:bCs/>
          <w:iCs/>
          <w:szCs w:val="24"/>
          <w:lang w:eastAsia="en-US"/>
        </w:rPr>
        <w:t>да установи политика за достъп до документи, за да се даде възможност за парламентарен и обществен контрол върху използването на средствата на Съюза, по-специално по отношение на общностите на знание и иновации (ОЗИ);</w:t>
      </w:r>
    </w:p>
    <w:p w14:paraId="510227B5" w14:textId="2F39B938" w:rsidR="005B6B6C" w:rsidRPr="005B6B6C" w:rsidRDefault="005B6B6C" w:rsidP="00443B04">
      <w:pPr>
        <w:pStyle w:val="NormalHanging12a"/>
        <w:ind w:left="1134"/>
      </w:pPr>
      <w:r w:rsidRPr="002054A3">
        <w:t>iv)</w:t>
      </w:r>
      <w:r w:rsidRPr="002054A3">
        <w:tab/>
      </w:r>
      <w:proofErr w:type="spellStart"/>
      <w:r w:rsidRPr="002054A3">
        <w:t>CdT</w:t>
      </w:r>
      <w:proofErr w:type="spellEnd"/>
      <w:r w:rsidRPr="002054A3">
        <w:t xml:space="preserve"> да продължи да подобрява достъпността на документите на всички езици на Съюза, за да се гарантира равен достъп за всички граждани на Съюза;</w:t>
      </w:r>
    </w:p>
    <w:p w14:paraId="79AB0ED7" w14:textId="1ADA2C4D" w:rsidR="00443B04" w:rsidRPr="00192FCB" w:rsidRDefault="00347486" w:rsidP="00443B04">
      <w:pPr>
        <w:pStyle w:val="NormalHanging12a"/>
      </w:pPr>
      <w:r>
        <w:lastRenderedPageBreak/>
        <w:t>150</w:t>
      </w:r>
      <w:r w:rsidR="00443B04" w:rsidRPr="00192FCB">
        <w:t>.</w:t>
      </w:r>
      <w:r w:rsidR="00443B04" w:rsidRPr="00192FCB">
        <w:tab/>
        <w:t>призовава Комисията:</w:t>
      </w:r>
    </w:p>
    <w:p w14:paraId="32654C83" w14:textId="77777777" w:rsidR="00443B04" w:rsidRPr="00192FCB" w:rsidRDefault="00443B04" w:rsidP="00443B04">
      <w:pPr>
        <w:pStyle w:val="NormalHanging12a"/>
        <w:ind w:left="1134"/>
      </w:pPr>
      <w:r w:rsidRPr="00192FCB">
        <w:t>i)</w:t>
      </w:r>
      <w:r w:rsidRPr="00192FCB">
        <w:tab/>
        <w:t>да установи системните проблеми във всички агенции по отношение на възлагането на обществени поръчки за ИТ услуги, да проучи дали за гарантиране на непрекъснатост на дейността винаги са необходими нови покани за представяне на предложения за обществени поръчки, да проучи дали да се въведат специфични, по-гъвкави правила по отношение на възлагането на обществени поръчки в областта на информационните технологии, да осигури подкрепа и надзор за агенциите в това отношение;</w:t>
      </w:r>
    </w:p>
    <w:p w14:paraId="7335018C" w14:textId="673A74C8" w:rsidR="00192FCB" w:rsidRPr="00192FCB" w:rsidRDefault="00443B04" w:rsidP="00192FCB">
      <w:pPr>
        <w:pStyle w:val="NormalHanging12a"/>
        <w:ind w:left="1134"/>
      </w:pPr>
      <w:r w:rsidRPr="00192FCB">
        <w:t>ii)</w:t>
      </w:r>
      <w:r w:rsidRPr="00192FCB">
        <w:tab/>
        <w:t>да предоставя подходящо обучение относно правилата за възлагане на обществени поръчки; настоятелно призовава Комисията да анализира системните проблеми в процедурите за възлагане на обществени поръчки във всички агенции, да установи конкретни проблемни области и да предложи решения.</w:t>
      </w:r>
    </w:p>
    <w:p w14:paraId="262403FA" w14:textId="3A57D9DF" w:rsidR="00E365E1" w:rsidRPr="00192FCB" w:rsidRDefault="00E365E1" w:rsidP="00897CEE"/>
    <w:sectPr w:rsidR="00E365E1" w:rsidRPr="00192FCB" w:rsidSect="00192FCB">
      <w:headerReference w:type="even" r:id="rId74"/>
      <w:headerReference w:type="default" r:id="rId75"/>
      <w:footerReference w:type="even" r:id="rId76"/>
      <w:footerReference w:type="default" r:id="rId77"/>
      <w:headerReference w:type="first" r:id="rId78"/>
      <w:footerReference w:type="first" r:id="rId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89981" w14:textId="77777777" w:rsidR="00897CEE" w:rsidRPr="00192FCB" w:rsidRDefault="00897CEE">
      <w:r w:rsidRPr="00192FCB">
        <w:separator/>
      </w:r>
    </w:p>
  </w:endnote>
  <w:endnote w:type="continuationSeparator" w:id="0">
    <w:p w14:paraId="233C3958" w14:textId="77777777" w:rsidR="00897CEE" w:rsidRPr="00192FCB" w:rsidRDefault="00897CEE">
      <w:r w:rsidRPr="00192F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55089" w14:textId="77777777" w:rsidR="00443B04" w:rsidRPr="00192FCB" w:rsidRDefault="00443B04" w:rsidP="00806EEE">
    <w:pPr>
      <w:pStyle w:val="EPFooter"/>
    </w:pPr>
    <w:r w:rsidRPr="00192FCB">
      <w:rPr>
        <w:rStyle w:val="HideTWBExt"/>
      </w:rPr>
      <w:t>&lt;PathFdR&gt;</w:t>
    </w:r>
    <w:r w:rsidRPr="00192FCB">
      <w:t>PR\1326657EN.docx</w:t>
    </w:r>
    <w:r w:rsidRPr="00192FCB">
      <w:rPr>
        <w:rStyle w:val="HideTWBExt"/>
      </w:rPr>
      <w:t>&lt;/</w:t>
    </w:r>
    <w:proofErr w:type="spellStart"/>
    <w:r w:rsidRPr="00192FCB">
      <w:rPr>
        <w:rStyle w:val="HideTWBExt"/>
      </w:rPr>
      <w:t>PathFdR</w:t>
    </w:r>
    <w:proofErr w:type="spellEnd"/>
    <w:r w:rsidRPr="00192FCB">
      <w:rPr>
        <w:rStyle w:val="HideTWBExt"/>
      </w:rPr>
      <w:t>&gt;</w:t>
    </w:r>
    <w:r w:rsidRPr="00192FCB">
      <w:tab/>
    </w:r>
    <w:r w:rsidRPr="00192FCB">
      <w:fldChar w:fldCharType="begin"/>
    </w:r>
    <w:r w:rsidRPr="00192FCB">
      <w:instrText xml:space="preserve"> PAGE </w:instrText>
    </w:r>
    <w:r w:rsidRPr="00192FCB">
      <w:fldChar w:fldCharType="separate"/>
    </w:r>
    <w:r w:rsidRPr="00192FCB">
      <w:rPr>
        <w:noProof/>
      </w:rPr>
      <w:t>8</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Pr>
      <w:t>&lt;</w:t>
    </w:r>
    <w:proofErr w:type="spellStart"/>
    <w:r w:rsidRPr="00192FCB">
      <w:rPr>
        <w:rStyle w:val="HideTWBExt"/>
      </w:rPr>
      <w:t>NoPE</w:t>
    </w:r>
    <w:proofErr w:type="spellEnd"/>
    <w:r w:rsidRPr="00192FCB">
      <w:rPr>
        <w:rStyle w:val="HideTWBExt"/>
      </w:rPr>
      <w:t>&gt;</w:t>
    </w:r>
    <w:r w:rsidRPr="00192FCB">
      <w:t>776.806</w:t>
    </w:r>
    <w:r w:rsidRPr="00192FCB">
      <w:rPr>
        <w:rStyle w:val="HideTWBExt"/>
      </w:rPr>
      <w:t>&lt;/</w:t>
    </w:r>
    <w:proofErr w:type="spellStart"/>
    <w:r w:rsidRPr="00192FCB">
      <w:rPr>
        <w:rStyle w:val="HideTWBExt"/>
      </w:rPr>
      <w:t>NoPE</w:t>
    </w:r>
    <w:proofErr w:type="spellEnd"/>
    <w:r w:rsidRPr="00192FCB">
      <w:rPr>
        <w:rStyle w:val="HideTWBExt"/>
      </w:rPr>
      <w:t>&gt;&lt;Version&gt;</w:t>
    </w:r>
    <w:r w:rsidRPr="00192FCB">
      <w:t>v01-00</w:t>
    </w:r>
    <w:r w:rsidRPr="00192FCB">
      <w:rPr>
        <w:rStyle w:val="HideTWBExt"/>
      </w:rPr>
      <w:t>&lt;/</w:t>
    </w:r>
    <w:proofErr w:type="spellStart"/>
    <w:r w:rsidRPr="00192FCB">
      <w:rPr>
        <w:rStyle w:val="HideTWBExt"/>
      </w:rPr>
      <w:t>Version</w:t>
    </w:r>
    <w:proofErr w:type="spellEnd"/>
    <w:r w:rsidRPr="00192FCB">
      <w:rPr>
        <w:rStyle w:val="HideTWBExt"/>
      </w:rPr>
      <w:t>&gt;</w:t>
    </w:r>
  </w:p>
  <w:p w14:paraId="4B6F65EB"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0BA5D386" w14:textId="77777777" w:rsidR="00443B04" w:rsidRPr="00192FCB" w:rsidRDefault="00443B04" w:rsidP="00806E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7404"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2482957F"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AC862"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12</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7A964332"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719CCF12" w14:textId="77777777" w:rsidR="00443B04" w:rsidRPr="00192FCB" w:rsidRDefault="00443B04"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89ACF"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32A7CF2B"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1B875"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16</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5F8E4BBA"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70FBF5A2" w14:textId="77777777" w:rsidR="00443B04" w:rsidRPr="00192FCB" w:rsidRDefault="00443B04"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9CE71"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15B16606"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0AEE1"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20</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6571AC27"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54E639C5" w14:textId="77777777" w:rsidR="00443B04" w:rsidRPr="00192FCB" w:rsidRDefault="00443B04"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31747"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5C10E179"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ED0A"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24</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64B96894"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37EDEEB3" w14:textId="77777777" w:rsidR="00443B04" w:rsidRPr="00192FCB" w:rsidRDefault="00443B04"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CA534"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717A65C6"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B7D37"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28</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429F6AA4"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78CAF03D" w14:textId="77777777" w:rsidR="00443B04" w:rsidRPr="00192FCB" w:rsidRDefault="00443B04"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13C1"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3AAAD2CB"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95F3D"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32</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514772C3"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3D0A873F" w14:textId="77777777" w:rsidR="00443B04" w:rsidRPr="00192FCB" w:rsidRDefault="00443B04"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73A14"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753BC796"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803E6"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36</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5FFA6B04"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24E857D7" w14:textId="77777777" w:rsidR="00443B04" w:rsidRPr="00192FCB" w:rsidRDefault="00443B04" w:rsidP="00806EE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E24AC"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5AE19E12"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1CBB4"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40</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41907B27"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5ED15AF0" w14:textId="77777777" w:rsidR="00443B04" w:rsidRPr="00192FCB" w:rsidRDefault="00443B04" w:rsidP="00806EE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EB04C"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458E5037"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1106F"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44</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19905502"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5119E9BE" w14:textId="77777777" w:rsidR="00443B04" w:rsidRPr="00192FCB" w:rsidRDefault="00443B04" w:rsidP="00806EE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0EA3D"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2976F8BC"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56D7A"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48</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5D95D7EE"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5889B3FB" w14:textId="77777777" w:rsidR="00443B04" w:rsidRPr="00192FCB" w:rsidRDefault="00443B04" w:rsidP="00806EE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BA328"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0C0EF812"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71D78"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52</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74125164"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7DC9707F" w14:textId="77777777" w:rsidR="00443B04" w:rsidRPr="00192FCB" w:rsidRDefault="00443B04" w:rsidP="00806EE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E4890"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33628DFC"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5266A"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56</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0B0F7C44"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6C1EE251" w14:textId="77777777" w:rsidR="00443B04" w:rsidRPr="00192FCB" w:rsidRDefault="00443B04" w:rsidP="00806EE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914A"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5A32C6EE"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557DD"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60</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541891A0"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4D9786E2" w14:textId="77777777" w:rsidR="00443B04" w:rsidRPr="00192FCB" w:rsidRDefault="00443B04" w:rsidP="00806EE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2D72C"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1B057872"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46348"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64</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28219C92"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2C805798" w14:textId="77777777" w:rsidR="00443B04" w:rsidRPr="00192FCB" w:rsidRDefault="00443B04"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C0ED6"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3BB21CA2"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91E64"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68</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024FC4B7"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493A408D" w14:textId="77777777" w:rsidR="00443B04" w:rsidRPr="00192FCB" w:rsidRDefault="00443B04"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A4E8F"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32149B2B"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8184D"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72</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7DE92972"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74E7F4C5" w14:textId="77777777" w:rsidR="00443B04" w:rsidRPr="00192FCB" w:rsidRDefault="00443B04"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F9567"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3FC36AA2"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B925C"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76</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64FAB92C"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019EC074" w14:textId="77777777" w:rsidR="00443B04" w:rsidRPr="00192FCB" w:rsidRDefault="00443B04"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DC627"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1C778689"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C059E"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80</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71D066B2"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6300B4DF" w14:textId="77777777" w:rsidR="00443B04" w:rsidRPr="00192FCB" w:rsidRDefault="00443B04"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0F3CB"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2A95AB9B"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3EB61"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84</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3DF9DE7A"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35D8B9ED" w14:textId="77777777" w:rsidR="00443B04" w:rsidRPr="00192FCB" w:rsidRDefault="00443B04"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462D6"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32F0A5E0"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9767B"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88</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3D131AAF"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20F388CA" w14:textId="77777777" w:rsidR="00443B04" w:rsidRPr="00192FCB" w:rsidRDefault="00443B04" w:rsidP="00806EE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E2C2D"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3DF1BFCC"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0F2CD"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92</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18FF6071"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18238AD9" w14:textId="77777777" w:rsidR="00443B04" w:rsidRPr="00192FCB" w:rsidRDefault="00443B04" w:rsidP="00806EE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49DBC"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643406BE"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FF29A"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96</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237AC893"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386D85F2" w14:textId="77777777" w:rsidR="00443B04" w:rsidRPr="00192FCB" w:rsidRDefault="00443B04" w:rsidP="00806EE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FE15E"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788590E3"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E0B99"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100</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3BAFA860"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5CDB42C4" w14:textId="77777777" w:rsidR="00443B04" w:rsidRPr="00192FCB" w:rsidRDefault="00443B04" w:rsidP="00806EEE"/>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DA66"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553965E7"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02ADB"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104</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6C08EA19"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2D09B96B" w14:textId="77777777" w:rsidR="00443B04" w:rsidRPr="00192FCB" w:rsidRDefault="00443B04" w:rsidP="00806EE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B8569"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13C9F885"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BF25"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108</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2B08EDF9"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109E22EE" w14:textId="77777777" w:rsidR="00443B04" w:rsidRPr="00192FCB" w:rsidRDefault="00443B04" w:rsidP="00806EE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7CEC7"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44B4947D"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32AC8"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112</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356D17F1"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353C57DC" w14:textId="77777777" w:rsidR="00443B04" w:rsidRPr="00192FCB" w:rsidRDefault="00443B04"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54369"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09E7D65C"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6BFC0"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116</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78871F49"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72C81B25" w14:textId="77777777" w:rsidR="00443B04" w:rsidRPr="00192FCB" w:rsidRDefault="00443B04"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F1F0"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7E7C4D77"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799D5"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120</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3165495D"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15BC3C1F" w14:textId="77777777" w:rsidR="00443B04" w:rsidRPr="00192FCB" w:rsidRDefault="00443B04"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A3D81"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7F8662CA"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0852B"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124</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69D1AFDD"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2C54AB0C" w14:textId="77777777" w:rsidR="00443B04" w:rsidRPr="00192FCB" w:rsidRDefault="00443B04"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89E6B"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68E2699A"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D5784"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128</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25D333F4"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327CD8AE" w14:textId="77777777" w:rsidR="00443B04" w:rsidRPr="00192FCB" w:rsidRDefault="00443B04"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00BA4"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77FB5809"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C29C6"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132</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79EB7A47"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59BEEA01" w14:textId="77777777" w:rsidR="00443B04" w:rsidRPr="00192FCB" w:rsidRDefault="00443B04" w:rsidP="00806EEE"/>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2A674" w14:textId="77777777" w:rsidR="00443B04" w:rsidRPr="00192FCB" w:rsidRDefault="00443B04" w:rsidP="001A54A8">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5AD88B07" w14:textId="77777777" w:rsidR="00443B04" w:rsidRPr="00192FCB" w:rsidRDefault="00443B04" w:rsidP="00390068">
    <w:pPr>
      <w:pStyle w:val="EPFooter2"/>
      <w:tabs>
        <w:tab w:val="clear" w:pos="4535"/>
        <w:tab w:val="center" w:pos="4536"/>
      </w:tabs>
    </w:pPr>
    <w:r w:rsidRPr="00192FCB">
      <w:fldChar w:fldCharType="begin"/>
    </w:r>
    <w:r w:rsidRPr="00192FCB">
      <w:instrText xml:space="preserve"> DOCPROPERTY "&lt;Extension&gt;" </w:instrText>
    </w:r>
    <w:r w:rsidRPr="00192FCB">
      <w:fldChar w:fldCharType="separate"/>
    </w:r>
    <w:r w:rsidRPr="00192FCB">
      <w:t>BG</w:t>
    </w:r>
    <w:r w:rsidRPr="00192FCB">
      <w:fldChar w:fldCharType="end"/>
    </w:r>
    <w:r w:rsidRPr="00192FCB">
      <w:tab/>
    </w:r>
    <w:proofErr w:type="spellStart"/>
    <w:r w:rsidRPr="00192FCB">
      <w:rPr>
        <w:b w:val="0"/>
        <w:i/>
        <w:color w:val="C0C0C0"/>
        <w:sz w:val="22"/>
        <w:szCs w:val="22"/>
      </w:rPr>
      <w:t>United</w:t>
    </w:r>
    <w:proofErr w:type="spellEnd"/>
    <w:r w:rsidRPr="00192FCB">
      <w:rPr>
        <w:b w:val="0"/>
        <w:i/>
        <w:color w:val="C0C0C0"/>
        <w:sz w:val="22"/>
        <w:szCs w:val="22"/>
      </w:rPr>
      <w:t xml:space="preserve"> </w:t>
    </w:r>
    <w:proofErr w:type="spellStart"/>
    <w:r w:rsidRPr="00192FCB">
      <w:rPr>
        <w:b w:val="0"/>
        <w:i/>
        <w:color w:val="C0C0C0"/>
        <w:sz w:val="22"/>
        <w:szCs w:val="22"/>
      </w:rPr>
      <w:t>in</w:t>
    </w:r>
    <w:proofErr w:type="spellEnd"/>
    <w:r w:rsidRPr="00192FCB">
      <w:rPr>
        <w:b w:val="0"/>
        <w:i/>
        <w:color w:val="C0C0C0"/>
        <w:sz w:val="22"/>
        <w:szCs w:val="22"/>
      </w:rPr>
      <w:t xml:space="preserve"> </w:t>
    </w:r>
    <w:proofErr w:type="spellStart"/>
    <w:r w:rsidRPr="00192FCB">
      <w:rPr>
        <w:b w:val="0"/>
        <w:i/>
        <w:color w:val="C0C0C0"/>
        <w:sz w:val="22"/>
        <w:szCs w:val="22"/>
      </w:rPr>
      <w:t>diversity</w:t>
    </w:r>
    <w:proofErr w:type="spellEnd"/>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5FC6A" w14:textId="77777777" w:rsidR="00443B04" w:rsidRPr="00192FCB" w:rsidRDefault="00443B04" w:rsidP="00806EEE">
    <w:pPr>
      <w:pStyle w:val="EPFooter"/>
    </w:pPr>
    <w:r w:rsidRPr="00192FCB">
      <w:rPr>
        <w:rStyle w:val="HideTWBExt"/>
        <w:rFonts w:eastAsiaTheme="majorEastAsia"/>
      </w:rPr>
      <w:t>&lt;PathFdR&gt;</w:t>
    </w:r>
    <w:r w:rsidRPr="00192FCB">
      <w:t>PR\1326657EN.docx</w:t>
    </w:r>
    <w:r w:rsidRPr="00192FCB">
      <w:rPr>
        <w:rStyle w:val="HideTWBExt"/>
        <w:rFonts w:eastAsiaTheme="majorEastAsia"/>
      </w:rPr>
      <w:t>&lt;/</w:t>
    </w:r>
    <w:proofErr w:type="spellStart"/>
    <w:r w:rsidRPr="00192FCB">
      <w:rPr>
        <w:rStyle w:val="HideTWBExt"/>
        <w:rFonts w:eastAsiaTheme="majorEastAsia"/>
      </w:rPr>
      <w:t>PathFdR</w:t>
    </w:r>
    <w:proofErr w:type="spellEnd"/>
    <w:r w:rsidRPr="00192FCB">
      <w:rPr>
        <w:rStyle w:val="HideTWBExt"/>
        <w:rFonts w:eastAsiaTheme="majorEastAsia"/>
      </w:rPr>
      <w:t>&gt;</w:t>
    </w:r>
    <w:r w:rsidRPr="00192FCB">
      <w:tab/>
    </w:r>
    <w:r w:rsidRPr="00192FCB">
      <w:fldChar w:fldCharType="begin"/>
    </w:r>
    <w:r w:rsidRPr="00192FCB">
      <w:instrText xml:space="preserve"> PAGE </w:instrText>
    </w:r>
    <w:r w:rsidRPr="00192FCB">
      <w:fldChar w:fldCharType="separate"/>
    </w:r>
    <w:r w:rsidRPr="00192FCB">
      <w:rPr>
        <w:noProof/>
      </w:rPr>
      <w:t>138</w:t>
    </w:r>
    <w:r w:rsidRPr="00192FCB">
      <w:fldChar w:fldCharType="end"/>
    </w:r>
    <w:r w:rsidRPr="00192FCB">
      <w:t>/</w:t>
    </w:r>
    <w:r w:rsidRPr="00192FCB">
      <w:fldChar w:fldCharType="begin"/>
    </w:r>
    <w:r w:rsidRPr="00192FCB">
      <w:instrText xml:space="preserve"> NUMPAGES </w:instrText>
    </w:r>
    <w:r w:rsidRPr="00192FCB">
      <w:fldChar w:fldCharType="separate"/>
    </w:r>
    <w:r w:rsidRPr="00192FCB">
      <w:rPr>
        <w:noProof/>
      </w:rPr>
      <w:t>141</w:t>
    </w:r>
    <w:r w:rsidRPr="00192FCB">
      <w:rPr>
        <w:noProof/>
      </w:rPr>
      <w:fldChar w:fldCharType="end"/>
    </w:r>
    <w:r w:rsidRPr="00192FCB">
      <w:tab/>
      <w:t>PE</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w:t>
    </w:r>
    <w:r w:rsidRPr="00192FCB">
      <w:t>776.806</w:t>
    </w:r>
    <w:r w:rsidRPr="00192FCB">
      <w:rPr>
        <w:rStyle w:val="HideTWBExt"/>
        <w:rFonts w:eastAsiaTheme="majorEastAsia"/>
      </w:rPr>
      <w:t>&lt;/</w:t>
    </w:r>
    <w:proofErr w:type="spellStart"/>
    <w:r w:rsidRPr="00192FCB">
      <w:rPr>
        <w:rStyle w:val="HideTWBExt"/>
        <w:rFonts w:eastAsiaTheme="majorEastAsia"/>
      </w:rPr>
      <w:t>NoPE</w:t>
    </w:r>
    <w:proofErr w:type="spellEnd"/>
    <w:r w:rsidRPr="00192FCB">
      <w:rPr>
        <w:rStyle w:val="HideTWBExt"/>
        <w:rFonts w:eastAsiaTheme="majorEastAsia"/>
      </w:rPr>
      <w:t>&gt;&lt;Version&gt;</w:t>
    </w:r>
    <w:r w:rsidRPr="00192FCB">
      <w:t>v01-00</w:t>
    </w:r>
    <w:r w:rsidRPr="00192FCB">
      <w:rPr>
        <w:rStyle w:val="HideTWBExt"/>
        <w:rFonts w:eastAsiaTheme="majorEastAsia"/>
      </w:rPr>
      <w:t>&lt;/</w:t>
    </w:r>
    <w:proofErr w:type="spellStart"/>
    <w:r w:rsidRPr="00192FCB">
      <w:rPr>
        <w:rStyle w:val="HideTWBExt"/>
        <w:rFonts w:eastAsiaTheme="majorEastAsia"/>
      </w:rPr>
      <w:t>Version</w:t>
    </w:r>
    <w:proofErr w:type="spellEnd"/>
    <w:r w:rsidRPr="00192FCB">
      <w:rPr>
        <w:rStyle w:val="HideTWBExt"/>
        <w:rFonts w:eastAsiaTheme="majorEastAsia"/>
      </w:rPr>
      <w:t>&gt;</w:t>
    </w:r>
  </w:p>
  <w:p w14:paraId="74416857" w14:textId="77777777" w:rsidR="00443B04" w:rsidRPr="00192FCB" w:rsidRDefault="00443B04" w:rsidP="00806EEE">
    <w:pPr>
      <w:pStyle w:val="EPFooter2"/>
    </w:pPr>
    <w:r w:rsidRPr="00192FCB">
      <w:tab/>
    </w:r>
    <w:r w:rsidRPr="00192FCB">
      <w:tab/>
    </w:r>
    <w:r w:rsidRPr="00192FCB">
      <w:fldChar w:fldCharType="begin"/>
    </w:r>
    <w:r w:rsidRPr="00192FCB">
      <w:instrText xml:space="preserve"> DOCPROPERTY "&lt;Extension&gt;" </w:instrText>
    </w:r>
    <w:r w:rsidRPr="00192FCB">
      <w:fldChar w:fldCharType="separate"/>
    </w:r>
    <w:r w:rsidRPr="00192FCB">
      <w:t>BG</w:t>
    </w:r>
    <w:r w:rsidRPr="00192FCB">
      <w:fldChar w:fldCharType="end"/>
    </w:r>
  </w:p>
  <w:p w14:paraId="0C4CB8C9" w14:textId="77777777" w:rsidR="00443B04" w:rsidRPr="00192FCB" w:rsidRDefault="00443B04" w:rsidP="00806EEE"/>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20B7" w14:textId="77777777" w:rsidR="00064002" w:rsidRPr="00192FCB" w:rsidRDefault="00064002"/>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50F28" w14:textId="77777777" w:rsidR="00064002" w:rsidRPr="00192FCB" w:rsidRDefault="00064002"/>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98F33" w14:textId="77777777" w:rsidR="00064002" w:rsidRPr="00192F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A07B8" w14:textId="77777777" w:rsidR="00897CEE" w:rsidRPr="00192FCB" w:rsidRDefault="00897CEE">
      <w:r w:rsidRPr="00192FCB">
        <w:separator/>
      </w:r>
    </w:p>
  </w:footnote>
  <w:footnote w:type="continuationSeparator" w:id="0">
    <w:p w14:paraId="17BF938E" w14:textId="77777777" w:rsidR="00897CEE" w:rsidRPr="00192FCB" w:rsidRDefault="00897CEE">
      <w:r w:rsidRPr="00192FCB">
        <w:continuationSeparator/>
      </w:r>
    </w:p>
  </w:footnote>
  <w:footnote w:id="1">
    <w:p w14:paraId="55916051" w14:textId="6BEAE93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
    <w:p w14:paraId="4528E548" w14:textId="60CCBCB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
    <w:p w14:paraId="4CF0DD89" w14:textId="1735D1F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 w:history="1">
        <w:r w:rsidRPr="00192FCB">
          <w:rPr>
            <w:rStyle w:val="Hyperlink"/>
            <w:sz w:val="24"/>
            <w:lang w:val="bg-BG"/>
          </w:rPr>
          <w:t>http://data.europa.eu/eli/reg/2018/1046/oj</w:t>
        </w:r>
      </w:hyperlink>
      <w:r w:rsidRPr="00192FCB">
        <w:rPr>
          <w:sz w:val="24"/>
          <w:lang w:val="bg-BG"/>
        </w:rPr>
        <w:t>.</w:t>
      </w:r>
    </w:p>
  </w:footnote>
  <w:footnote w:id="4">
    <w:p w14:paraId="4F6FBD91" w14:textId="0FB797A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4" w:history="1">
        <w:r w:rsidRPr="00192FCB">
          <w:rPr>
            <w:rStyle w:val="Hyperlink"/>
            <w:sz w:val="24"/>
            <w:lang w:val="bg-BG"/>
          </w:rPr>
          <w:t>http://data.europa.eu/eli/reg/2024/2509/oj</w:t>
        </w:r>
      </w:hyperlink>
      <w:r w:rsidRPr="00192FCB">
        <w:rPr>
          <w:sz w:val="24"/>
          <w:lang w:val="bg-BG"/>
        </w:rPr>
        <w:t>.</w:t>
      </w:r>
    </w:p>
  </w:footnote>
  <w:footnote w:id="5">
    <w:p w14:paraId="0CC833A1" w14:textId="6B43408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158, 14.6.2019 г., стр. 22, ELI: </w:t>
      </w:r>
      <w:hyperlink r:id="rId5" w:history="1">
        <w:r w:rsidRPr="00192FCB">
          <w:rPr>
            <w:rStyle w:val="Hyperlink"/>
            <w:sz w:val="24"/>
            <w:lang w:val="bg-BG"/>
          </w:rPr>
          <w:t>https://data.europa.eu/eli/reg/2019/942/oj</w:t>
        </w:r>
      </w:hyperlink>
      <w:r w:rsidRPr="00192FCB">
        <w:rPr>
          <w:sz w:val="24"/>
          <w:lang w:val="bg-BG"/>
        </w:rPr>
        <w:t>.</w:t>
      </w:r>
    </w:p>
  </w:footnote>
  <w:footnote w:id="6">
    <w:p w14:paraId="777153B1" w14:textId="287309D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6" w:history="1">
        <w:r w:rsidRPr="00192FCB">
          <w:rPr>
            <w:rStyle w:val="Hyperlink"/>
            <w:sz w:val="24"/>
            <w:lang w:val="bg-BG"/>
          </w:rPr>
          <w:t>http://data.europa.eu/eli/reg_del/2019/715/oj</w:t>
        </w:r>
      </w:hyperlink>
      <w:r w:rsidRPr="00192FCB">
        <w:rPr>
          <w:sz w:val="24"/>
          <w:lang w:val="bg-BG"/>
        </w:rPr>
        <w:t>.</w:t>
      </w:r>
    </w:p>
  </w:footnote>
  <w:footnote w:id="7">
    <w:p w14:paraId="51A4B3F2" w14:textId="4725C16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8">
    <w:p w14:paraId="3698347D" w14:textId="1B1B56A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9">
    <w:p w14:paraId="082276A1" w14:textId="49FD93B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9" w:history="1">
        <w:r w:rsidRPr="00192FCB">
          <w:rPr>
            <w:rStyle w:val="Hyperlink"/>
            <w:sz w:val="24"/>
            <w:lang w:val="bg-BG"/>
          </w:rPr>
          <w:t>http://data.europa.eu/eli/reg/2018/1046/oj</w:t>
        </w:r>
      </w:hyperlink>
      <w:r w:rsidRPr="00192FCB">
        <w:rPr>
          <w:sz w:val="24"/>
          <w:lang w:val="bg-BG"/>
        </w:rPr>
        <w:t>.</w:t>
      </w:r>
    </w:p>
  </w:footnote>
  <w:footnote w:id="10">
    <w:p w14:paraId="2D2DC273" w14:textId="4FBAFF8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0" w:history="1">
        <w:r w:rsidRPr="00192FCB">
          <w:rPr>
            <w:rStyle w:val="Hyperlink"/>
            <w:sz w:val="24"/>
            <w:lang w:val="bg-BG"/>
          </w:rPr>
          <w:t>http://data.europa.eu/eli/reg/2024/2509/oj</w:t>
        </w:r>
      </w:hyperlink>
      <w:r w:rsidRPr="00192FCB">
        <w:rPr>
          <w:sz w:val="24"/>
          <w:lang w:val="bg-BG"/>
        </w:rPr>
        <w:t>.</w:t>
      </w:r>
    </w:p>
  </w:footnote>
  <w:footnote w:id="11">
    <w:p w14:paraId="4F8985F3" w14:textId="7908C30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158, 14.6.2019 г., стр. 22, ELI: </w:t>
      </w:r>
      <w:hyperlink r:id="rId11" w:history="1">
        <w:r w:rsidRPr="00192FCB">
          <w:rPr>
            <w:rStyle w:val="Hyperlink"/>
            <w:sz w:val="24"/>
            <w:lang w:val="bg-BG"/>
          </w:rPr>
          <w:t>https://data.europa.eu/eli/reg/2019/942/oj</w:t>
        </w:r>
      </w:hyperlink>
      <w:r w:rsidRPr="00192FCB">
        <w:rPr>
          <w:sz w:val="24"/>
          <w:lang w:val="bg-BG"/>
        </w:rPr>
        <w:t>.</w:t>
      </w:r>
    </w:p>
  </w:footnote>
  <w:footnote w:id="12">
    <w:p w14:paraId="69E4A2C0" w14:textId="548CFE7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2" w:history="1">
        <w:r w:rsidRPr="00192FCB">
          <w:rPr>
            <w:rStyle w:val="Hyperlink"/>
            <w:sz w:val="24"/>
            <w:lang w:val="bg-BG"/>
          </w:rPr>
          <w:t>http://data.europa.eu/eli/reg_del/2019/715/oj</w:t>
        </w:r>
      </w:hyperlink>
      <w:r w:rsidRPr="00192FCB">
        <w:rPr>
          <w:sz w:val="24"/>
          <w:lang w:val="bg-BG"/>
        </w:rPr>
        <w:t>.</w:t>
      </w:r>
    </w:p>
  </w:footnote>
  <w:footnote w:id="13">
    <w:p w14:paraId="03449A09" w14:textId="2E01D97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14">
    <w:p w14:paraId="79D60F87" w14:textId="225C231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1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15">
    <w:p w14:paraId="241E9A18" w14:textId="72FAF72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15" w:history="1">
        <w:r w:rsidRPr="00192FCB">
          <w:rPr>
            <w:rStyle w:val="Hyperlink"/>
            <w:sz w:val="24"/>
            <w:lang w:val="bg-BG"/>
          </w:rPr>
          <w:t>http://data.europa.eu/eli/reg/2018/1046/oj</w:t>
        </w:r>
      </w:hyperlink>
      <w:r w:rsidRPr="00192FCB">
        <w:rPr>
          <w:sz w:val="24"/>
          <w:lang w:val="bg-BG"/>
        </w:rPr>
        <w:t>.</w:t>
      </w:r>
    </w:p>
  </w:footnote>
  <w:footnote w:id="16">
    <w:p w14:paraId="450A526D" w14:textId="3FA18DB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6" w:history="1">
        <w:r w:rsidRPr="00192FCB">
          <w:rPr>
            <w:rStyle w:val="Hyperlink"/>
            <w:sz w:val="24"/>
            <w:lang w:val="bg-BG"/>
          </w:rPr>
          <w:t>http://data.europa.eu/eli/reg/2024/2509/oj</w:t>
        </w:r>
      </w:hyperlink>
      <w:r w:rsidRPr="00192FCB">
        <w:rPr>
          <w:sz w:val="24"/>
          <w:lang w:val="bg-BG"/>
        </w:rPr>
        <w:t>.</w:t>
      </w:r>
    </w:p>
  </w:footnote>
  <w:footnote w:id="17">
    <w:p w14:paraId="3808F2EB" w14:textId="5265133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321, 17.12.2018 г., стр. 1, ELI: </w:t>
      </w:r>
      <w:hyperlink r:id="rId17" w:history="1">
        <w:r w:rsidRPr="00192FCB">
          <w:rPr>
            <w:rStyle w:val="Hyperlink"/>
            <w:sz w:val="24"/>
            <w:lang w:val="bg-BG"/>
          </w:rPr>
          <w:t>https://data.europa.eu/eli/reg/2018/1971/oj</w:t>
        </w:r>
      </w:hyperlink>
      <w:r w:rsidRPr="00192FCB">
        <w:rPr>
          <w:sz w:val="24"/>
          <w:lang w:val="bg-BG"/>
        </w:rPr>
        <w:t>.</w:t>
      </w:r>
    </w:p>
  </w:footnote>
  <w:footnote w:id="18">
    <w:p w14:paraId="4A5BFA9C" w14:textId="079E3DB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8" w:history="1">
        <w:r w:rsidRPr="00192FCB">
          <w:rPr>
            <w:rStyle w:val="Hyperlink"/>
            <w:sz w:val="24"/>
            <w:lang w:val="bg-BG"/>
          </w:rPr>
          <w:t>http://data.europa.eu/eli/reg_del/2019/715/oj</w:t>
        </w:r>
      </w:hyperlink>
      <w:r w:rsidRPr="00192FCB">
        <w:rPr>
          <w:sz w:val="24"/>
          <w:lang w:val="bg-BG"/>
        </w:rPr>
        <w:t>.</w:t>
      </w:r>
    </w:p>
  </w:footnote>
  <w:footnote w:id="19">
    <w:p w14:paraId="45AA1953" w14:textId="718C7CD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0">
    <w:p w14:paraId="299A5926" w14:textId="6540AE2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1">
    <w:p w14:paraId="215AD209" w14:textId="0ED2822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1" w:history="1">
        <w:r w:rsidRPr="00192FCB">
          <w:rPr>
            <w:rStyle w:val="Hyperlink"/>
            <w:sz w:val="24"/>
            <w:lang w:val="bg-BG"/>
          </w:rPr>
          <w:t>http://data.europa.eu/eli/reg/2018/1046/oj</w:t>
        </w:r>
      </w:hyperlink>
      <w:r w:rsidRPr="00192FCB">
        <w:rPr>
          <w:sz w:val="24"/>
          <w:lang w:val="bg-BG"/>
        </w:rPr>
        <w:t>.</w:t>
      </w:r>
    </w:p>
  </w:footnote>
  <w:footnote w:id="22">
    <w:p w14:paraId="343864D5" w14:textId="7AF227D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2024/2509, 26.9.2024 г., ELI: </w:t>
      </w:r>
      <w:hyperlink r:id="rId22" w:history="1">
        <w:r w:rsidRPr="00192FCB">
          <w:rPr>
            <w:rStyle w:val="Hyperlink"/>
            <w:sz w:val="24"/>
            <w:lang w:val="bg-BG"/>
          </w:rPr>
          <w:t>http://data.europa.eu/eli/reg/2024/2509/oj</w:t>
        </w:r>
      </w:hyperlink>
      <w:r w:rsidRPr="00192FCB">
        <w:rPr>
          <w:sz w:val="24"/>
          <w:lang w:val="bg-BG"/>
        </w:rPr>
        <w:t>.</w:t>
      </w:r>
    </w:p>
  </w:footnote>
  <w:footnote w:id="23">
    <w:p w14:paraId="728116BE" w14:textId="2C1D6D9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321, 17.12.2018 г., стр. 1, ELI: </w:t>
      </w:r>
      <w:hyperlink r:id="rId23" w:history="1">
        <w:r w:rsidRPr="00192FCB">
          <w:rPr>
            <w:rStyle w:val="Hyperlink"/>
            <w:sz w:val="24"/>
            <w:lang w:val="bg-BG"/>
          </w:rPr>
          <w:t>https://data.europa.eu/eli/reg/2018/1971/oj</w:t>
        </w:r>
      </w:hyperlink>
      <w:r w:rsidRPr="00192FCB">
        <w:rPr>
          <w:sz w:val="24"/>
          <w:lang w:val="bg-BG"/>
        </w:rPr>
        <w:t>.</w:t>
      </w:r>
    </w:p>
  </w:footnote>
  <w:footnote w:id="24">
    <w:p w14:paraId="5D526F48" w14:textId="18084FF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24" w:history="1">
        <w:r w:rsidRPr="00192FCB">
          <w:rPr>
            <w:rStyle w:val="Hyperlink"/>
            <w:sz w:val="24"/>
            <w:lang w:val="bg-BG"/>
          </w:rPr>
          <w:t>http://data.europa.eu/eli/reg_del/2019/715/oj</w:t>
        </w:r>
      </w:hyperlink>
      <w:r w:rsidRPr="00192FCB">
        <w:rPr>
          <w:sz w:val="24"/>
          <w:lang w:val="bg-BG"/>
        </w:rPr>
        <w:t>.</w:t>
      </w:r>
    </w:p>
  </w:footnote>
  <w:footnote w:id="25">
    <w:p w14:paraId="3E840B87" w14:textId="5A79862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2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6">
    <w:p w14:paraId="6ABB02DF" w14:textId="0CAFC35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7">
    <w:p w14:paraId="236A1422" w14:textId="3833772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7" w:history="1">
        <w:r w:rsidRPr="00192FCB">
          <w:rPr>
            <w:rStyle w:val="Hyperlink"/>
            <w:sz w:val="24"/>
            <w:lang w:val="bg-BG"/>
          </w:rPr>
          <w:t>http://data.europa.eu/eli/reg/2018/1046/oj</w:t>
        </w:r>
      </w:hyperlink>
      <w:r w:rsidRPr="00192FCB">
        <w:rPr>
          <w:sz w:val="24"/>
          <w:lang w:val="bg-BG"/>
        </w:rPr>
        <w:t>.</w:t>
      </w:r>
    </w:p>
  </w:footnote>
  <w:footnote w:id="28">
    <w:p w14:paraId="37931E24" w14:textId="58E108C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8" w:history="1">
        <w:r w:rsidRPr="00192FCB">
          <w:rPr>
            <w:rStyle w:val="Hyperlink"/>
            <w:sz w:val="24"/>
            <w:lang w:val="bg-BG"/>
          </w:rPr>
          <w:t>http://data.europa.eu/eli/reg/2024/2509/oj</w:t>
        </w:r>
      </w:hyperlink>
      <w:r w:rsidRPr="00192FCB">
        <w:rPr>
          <w:sz w:val="24"/>
          <w:lang w:val="bg-BG"/>
        </w:rPr>
        <w:t>.</w:t>
      </w:r>
    </w:p>
  </w:footnote>
  <w:footnote w:id="29">
    <w:p w14:paraId="21F810FD" w14:textId="29EF49A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314, 7.12.1994 г., стр. 1, ELI: </w:t>
      </w:r>
      <w:hyperlink r:id="rId29" w:history="1">
        <w:r w:rsidRPr="00192FCB">
          <w:rPr>
            <w:rStyle w:val="Hyperlink"/>
            <w:sz w:val="24"/>
            <w:lang w:val="bg-BG"/>
          </w:rPr>
          <w:t>https://data.europa.eu/eli/reg/1994/2965/oj</w:t>
        </w:r>
      </w:hyperlink>
      <w:r w:rsidRPr="00192FCB">
        <w:rPr>
          <w:sz w:val="24"/>
          <w:lang w:val="bg-BG"/>
        </w:rPr>
        <w:t>.</w:t>
      </w:r>
    </w:p>
  </w:footnote>
  <w:footnote w:id="30">
    <w:p w14:paraId="44B07F72" w14:textId="673A38F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0" w:history="1">
        <w:r w:rsidRPr="00192FCB">
          <w:rPr>
            <w:rStyle w:val="Hyperlink"/>
            <w:sz w:val="24"/>
            <w:lang w:val="bg-BG"/>
          </w:rPr>
          <w:t>http://data.europa.eu/eli/reg_del/2019/715/oj</w:t>
        </w:r>
      </w:hyperlink>
      <w:r w:rsidRPr="00192FCB">
        <w:rPr>
          <w:sz w:val="24"/>
          <w:lang w:val="bg-BG"/>
        </w:rPr>
        <w:t>.</w:t>
      </w:r>
    </w:p>
  </w:footnote>
  <w:footnote w:id="31">
    <w:p w14:paraId="42160178" w14:textId="49315BD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2">
    <w:p w14:paraId="61433641" w14:textId="0EADFA9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3">
    <w:p w14:paraId="6A853766" w14:textId="682AE58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3" w:history="1">
        <w:r w:rsidRPr="00192FCB">
          <w:rPr>
            <w:rStyle w:val="Hyperlink"/>
            <w:sz w:val="24"/>
            <w:lang w:val="bg-BG"/>
          </w:rPr>
          <w:t>http://data.europa.eu/eli/reg/2018/1046/oj</w:t>
        </w:r>
      </w:hyperlink>
      <w:r w:rsidRPr="00192FCB">
        <w:rPr>
          <w:sz w:val="24"/>
          <w:lang w:val="bg-BG"/>
        </w:rPr>
        <w:t>.</w:t>
      </w:r>
    </w:p>
  </w:footnote>
  <w:footnote w:id="34">
    <w:p w14:paraId="13AB3174" w14:textId="61A632D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34" w:history="1">
        <w:r w:rsidRPr="00192FCB">
          <w:rPr>
            <w:rStyle w:val="Hyperlink"/>
            <w:sz w:val="24"/>
            <w:lang w:val="bg-BG"/>
          </w:rPr>
          <w:t>http://data.europa.eu/eli/reg/2024/2509/oj</w:t>
        </w:r>
      </w:hyperlink>
      <w:r w:rsidRPr="00192FCB">
        <w:rPr>
          <w:sz w:val="24"/>
          <w:lang w:val="bg-BG"/>
        </w:rPr>
        <w:t>.</w:t>
      </w:r>
    </w:p>
  </w:footnote>
  <w:footnote w:id="35">
    <w:p w14:paraId="2994EA1C" w14:textId="7B2066B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314, 7.12.1994 г., стр. 1, ELI: </w:t>
      </w:r>
      <w:hyperlink r:id="rId35" w:history="1">
        <w:r w:rsidRPr="00192FCB">
          <w:rPr>
            <w:rStyle w:val="Hyperlink"/>
            <w:sz w:val="24"/>
            <w:lang w:val="bg-BG"/>
          </w:rPr>
          <w:t>https://data.europa.eu/eli/reg/1994/2965/oj</w:t>
        </w:r>
      </w:hyperlink>
      <w:r w:rsidRPr="00192FCB">
        <w:rPr>
          <w:sz w:val="24"/>
          <w:lang w:val="bg-BG"/>
        </w:rPr>
        <w:t>.</w:t>
      </w:r>
    </w:p>
  </w:footnote>
  <w:footnote w:id="36">
    <w:p w14:paraId="50E60C23" w14:textId="49B833C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6" w:history="1">
        <w:r w:rsidRPr="00192FCB">
          <w:rPr>
            <w:rStyle w:val="Hyperlink"/>
            <w:sz w:val="24"/>
            <w:lang w:val="bg-BG"/>
          </w:rPr>
          <w:t>http://data.europa.eu/eli/reg_del/2019/715/oj</w:t>
        </w:r>
      </w:hyperlink>
      <w:r w:rsidRPr="00192FCB">
        <w:rPr>
          <w:sz w:val="24"/>
          <w:lang w:val="bg-BG"/>
        </w:rPr>
        <w:t>.</w:t>
      </w:r>
    </w:p>
  </w:footnote>
  <w:footnote w:id="37">
    <w:p w14:paraId="246C7DFF" w14:textId="4A76EA6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8">
    <w:p w14:paraId="712A6CF6" w14:textId="004EAD9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9">
    <w:p w14:paraId="03A30498" w14:textId="55B8266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9" w:history="1">
        <w:r w:rsidRPr="00192FCB">
          <w:rPr>
            <w:rStyle w:val="Hyperlink"/>
            <w:sz w:val="24"/>
            <w:lang w:val="bg-BG"/>
          </w:rPr>
          <w:t>http://data.europa.eu/eli/reg/2018/1046/oj</w:t>
        </w:r>
      </w:hyperlink>
      <w:r w:rsidRPr="00192FCB">
        <w:rPr>
          <w:sz w:val="24"/>
          <w:lang w:val="bg-BG"/>
        </w:rPr>
        <w:t>.</w:t>
      </w:r>
    </w:p>
  </w:footnote>
  <w:footnote w:id="40">
    <w:p w14:paraId="1FF3EC00" w14:textId="5C0A76C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40" w:history="1">
        <w:r w:rsidRPr="00192FCB">
          <w:rPr>
            <w:rStyle w:val="Hyperlink"/>
            <w:sz w:val="24"/>
            <w:lang w:val="bg-BG"/>
          </w:rPr>
          <w:t>http://data.europa.eu/eli/reg/2024/2509/oj</w:t>
        </w:r>
      </w:hyperlink>
      <w:r w:rsidRPr="00192FCB">
        <w:rPr>
          <w:sz w:val="24"/>
          <w:lang w:val="bg-BG"/>
        </w:rPr>
        <w:t>.</w:t>
      </w:r>
    </w:p>
  </w:footnote>
  <w:footnote w:id="41">
    <w:p w14:paraId="6BB178FD" w14:textId="0423D87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30, 31.1.2019 г., стр. 90, ELI: </w:t>
      </w:r>
      <w:hyperlink r:id="rId41" w:history="1">
        <w:r w:rsidRPr="00192FCB">
          <w:rPr>
            <w:rStyle w:val="Hyperlink"/>
            <w:sz w:val="24"/>
            <w:lang w:val="bg-BG"/>
          </w:rPr>
          <w:t>https://data.europa.eu/eli/reg/2019/128/oj</w:t>
        </w:r>
      </w:hyperlink>
      <w:r w:rsidRPr="00192FCB">
        <w:rPr>
          <w:sz w:val="24"/>
          <w:lang w:val="bg-BG"/>
        </w:rPr>
        <w:t>.</w:t>
      </w:r>
    </w:p>
  </w:footnote>
  <w:footnote w:id="42">
    <w:p w14:paraId="127B7C92" w14:textId="2FF4EFF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42" w:history="1">
        <w:r w:rsidRPr="00192FCB">
          <w:rPr>
            <w:rStyle w:val="Hyperlink"/>
            <w:sz w:val="24"/>
            <w:lang w:val="bg-BG"/>
          </w:rPr>
          <w:t>http://data.europa.eu/eli/reg_del/2019/715/oj</w:t>
        </w:r>
      </w:hyperlink>
      <w:r w:rsidRPr="00192FCB">
        <w:rPr>
          <w:sz w:val="24"/>
          <w:lang w:val="bg-BG"/>
        </w:rPr>
        <w:t>.</w:t>
      </w:r>
    </w:p>
  </w:footnote>
  <w:footnote w:id="43">
    <w:p w14:paraId="2666ADDB" w14:textId="2A89A90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4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44">
    <w:p w14:paraId="4C28629B" w14:textId="66B2C00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4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45">
    <w:p w14:paraId="445BA90D" w14:textId="170B830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45" w:history="1">
        <w:r w:rsidRPr="00192FCB">
          <w:rPr>
            <w:rStyle w:val="Hyperlink"/>
            <w:sz w:val="24"/>
            <w:lang w:val="bg-BG"/>
          </w:rPr>
          <w:t>http://data.europa.eu/eli/reg/2018/1046/oj</w:t>
        </w:r>
      </w:hyperlink>
      <w:r w:rsidRPr="00192FCB">
        <w:rPr>
          <w:sz w:val="24"/>
          <w:lang w:val="bg-BG"/>
        </w:rPr>
        <w:t>.</w:t>
      </w:r>
    </w:p>
  </w:footnote>
  <w:footnote w:id="46">
    <w:p w14:paraId="0B714246" w14:textId="456FA04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46" w:history="1">
        <w:r w:rsidRPr="00192FCB">
          <w:rPr>
            <w:rStyle w:val="Hyperlink"/>
            <w:sz w:val="24"/>
            <w:lang w:val="bg-BG"/>
          </w:rPr>
          <w:t>http://data.europa.eu/eli/reg/2024/2509/oj</w:t>
        </w:r>
      </w:hyperlink>
      <w:r w:rsidRPr="00192FCB">
        <w:rPr>
          <w:sz w:val="24"/>
          <w:lang w:val="bg-BG"/>
        </w:rPr>
        <w:t>.</w:t>
      </w:r>
    </w:p>
  </w:footnote>
  <w:footnote w:id="47">
    <w:p w14:paraId="13083626" w14:textId="3E102BD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30, 31.1.2019 г., стр. 90, ELI: </w:t>
      </w:r>
      <w:hyperlink r:id="rId47" w:history="1">
        <w:r w:rsidRPr="00192FCB">
          <w:rPr>
            <w:rStyle w:val="Hyperlink"/>
            <w:sz w:val="24"/>
            <w:lang w:val="bg-BG"/>
          </w:rPr>
          <w:t>https://data.europa.eu/eli/reg/2019/128/oj</w:t>
        </w:r>
      </w:hyperlink>
      <w:r w:rsidRPr="00192FCB">
        <w:rPr>
          <w:sz w:val="24"/>
          <w:lang w:val="bg-BG"/>
        </w:rPr>
        <w:t>.</w:t>
      </w:r>
    </w:p>
  </w:footnote>
  <w:footnote w:id="48">
    <w:p w14:paraId="3D12048E" w14:textId="4FDEE32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48" w:history="1">
        <w:r w:rsidRPr="00192FCB">
          <w:rPr>
            <w:rStyle w:val="Hyperlink"/>
            <w:sz w:val="24"/>
            <w:lang w:val="bg-BG"/>
          </w:rPr>
          <w:t>http://data.europa.eu/eli/reg_del/2019/715/oj</w:t>
        </w:r>
      </w:hyperlink>
      <w:r w:rsidRPr="00192FCB">
        <w:rPr>
          <w:sz w:val="24"/>
          <w:lang w:val="bg-BG"/>
        </w:rPr>
        <w:t>.</w:t>
      </w:r>
    </w:p>
  </w:footnote>
  <w:footnote w:id="49">
    <w:p w14:paraId="774590A0" w14:textId="23D50C7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4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50">
    <w:p w14:paraId="42CA508C" w14:textId="095C4B6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5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51">
    <w:p w14:paraId="6680DF9A" w14:textId="4A1A0E7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51" w:history="1">
        <w:r w:rsidRPr="00192FCB">
          <w:rPr>
            <w:rStyle w:val="Hyperlink"/>
            <w:sz w:val="24"/>
            <w:lang w:val="bg-BG"/>
          </w:rPr>
          <w:t>http://data.europa.eu/eli/reg/2018/1046/oj</w:t>
        </w:r>
      </w:hyperlink>
      <w:r w:rsidRPr="00192FCB">
        <w:rPr>
          <w:sz w:val="24"/>
          <w:lang w:val="bg-BG"/>
        </w:rPr>
        <w:t>.</w:t>
      </w:r>
    </w:p>
  </w:footnote>
  <w:footnote w:id="52">
    <w:p w14:paraId="790F017D" w14:textId="4185284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52" w:history="1">
        <w:r w:rsidRPr="00192FCB">
          <w:rPr>
            <w:rStyle w:val="Hyperlink"/>
            <w:sz w:val="24"/>
            <w:lang w:val="bg-BG"/>
          </w:rPr>
          <w:t>http://data.europa.eu/eli/reg/2024/2509/oj</w:t>
        </w:r>
      </w:hyperlink>
      <w:r w:rsidRPr="00192FCB">
        <w:rPr>
          <w:sz w:val="24"/>
          <w:lang w:val="bg-BG"/>
        </w:rPr>
        <w:t>.</w:t>
      </w:r>
    </w:p>
  </w:footnote>
  <w:footnote w:id="53">
    <w:p w14:paraId="4FB923DA" w14:textId="693D3C6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319, 4.12.2015 г., стр. 1, ELI: </w:t>
      </w:r>
      <w:hyperlink r:id="rId53" w:history="1">
        <w:r w:rsidRPr="00192FCB">
          <w:rPr>
            <w:rStyle w:val="Hyperlink"/>
            <w:sz w:val="24"/>
            <w:lang w:val="bg-BG"/>
          </w:rPr>
          <w:t>https://data.europa.eu/eli/reg/2015/2219/oj</w:t>
        </w:r>
      </w:hyperlink>
      <w:r w:rsidRPr="00192FCB">
        <w:rPr>
          <w:sz w:val="24"/>
          <w:lang w:val="bg-BG"/>
        </w:rPr>
        <w:t>.</w:t>
      </w:r>
    </w:p>
  </w:footnote>
  <w:footnote w:id="54">
    <w:p w14:paraId="0CA13D63" w14:textId="1E4E21E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54" w:history="1">
        <w:r w:rsidRPr="00192FCB">
          <w:rPr>
            <w:rStyle w:val="Hyperlink"/>
            <w:sz w:val="24"/>
            <w:lang w:val="bg-BG"/>
          </w:rPr>
          <w:t>http://data.europa.eu/eli/reg_del/2019/715/oj</w:t>
        </w:r>
      </w:hyperlink>
      <w:r w:rsidRPr="00192FCB">
        <w:rPr>
          <w:sz w:val="24"/>
          <w:lang w:val="bg-BG"/>
        </w:rPr>
        <w:t>.</w:t>
      </w:r>
    </w:p>
  </w:footnote>
  <w:footnote w:id="55">
    <w:p w14:paraId="20BCB49E" w14:textId="3241E00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5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56">
    <w:p w14:paraId="0269C6FA" w14:textId="1C18255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5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57">
    <w:p w14:paraId="2F03136D" w14:textId="5445693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57" w:history="1">
        <w:r w:rsidRPr="00192FCB">
          <w:rPr>
            <w:rStyle w:val="Hyperlink"/>
            <w:sz w:val="24"/>
            <w:lang w:val="bg-BG"/>
          </w:rPr>
          <w:t>http://data.europa.eu/eli/reg/2018/1046/oj</w:t>
        </w:r>
      </w:hyperlink>
      <w:r w:rsidRPr="00192FCB">
        <w:rPr>
          <w:sz w:val="24"/>
          <w:lang w:val="bg-BG"/>
        </w:rPr>
        <w:t>.</w:t>
      </w:r>
    </w:p>
  </w:footnote>
  <w:footnote w:id="58">
    <w:p w14:paraId="240D15B1" w14:textId="3429EA8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58" w:history="1">
        <w:r w:rsidRPr="00192FCB">
          <w:rPr>
            <w:rStyle w:val="Hyperlink"/>
            <w:sz w:val="24"/>
            <w:lang w:val="bg-BG"/>
          </w:rPr>
          <w:t>http://data.europa.eu/eli/reg/2024/2509/oj</w:t>
        </w:r>
      </w:hyperlink>
      <w:r w:rsidRPr="00192FCB">
        <w:rPr>
          <w:sz w:val="24"/>
          <w:lang w:val="bg-BG"/>
        </w:rPr>
        <w:t>.</w:t>
      </w:r>
    </w:p>
  </w:footnote>
  <w:footnote w:id="59">
    <w:p w14:paraId="2505F0A8" w14:textId="47EA771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319, 4.12.2015 г., стр. 1, ELI: </w:t>
      </w:r>
      <w:hyperlink r:id="rId59" w:history="1">
        <w:r w:rsidRPr="00192FCB">
          <w:rPr>
            <w:rStyle w:val="Hyperlink"/>
            <w:sz w:val="24"/>
            <w:lang w:val="bg-BG"/>
          </w:rPr>
          <w:t>https://data.europa.eu/eli/reg/2015/2219/oj</w:t>
        </w:r>
      </w:hyperlink>
      <w:r w:rsidRPr="00192FCB">
        <w:rPr>
          <w:sz w:val="24"/>
          <w:lang w:val="bg-BG"/>
        </w:rPr>
        <w:t>.</w:t>
      </w:r>
    </w:p>
  </w:footnote>
  <w:footnote w:id="60">
    <w:p w14:paraId="6FEE3033" w14:textId="775AF48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60" w:history="1">
        <w:r w:rsidRPr="00192FCB">
          <w:rPr>
            <w:rStyle w:val="Hyperlink"/>
            <w:sz w:val="24"/>
            <w:lang w:val="bg-BG"/>
          </w:rPr>
          <w:t>http://data.europa.eu/eli/reg_del/2019/715/oj</w:t>
        </w:r>
      </w:hyperlink>
      <w:r w:rsidRPr="00192FCB">
        <w:rPr>
          <w:sz w:val="24"/>
          <w:lang w:val="bg-BG"/>
        </w:rPr>
        <w:t>.</w:t>
      </w:r>
    </w:p>
  </w:footnote>
  <w:footnote w:id="61">
    <w:p w14:paraId="1FBC0632" w14:textId="3D1C3FA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6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62">
    <w:p w14:paraId="0B4674C6" w14:textId="5ECBDEE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6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63">
    <w:p w14:paraId="28FA83C8" w14:textId="4AB64D0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63" w:history="1">
        <w:r w:rsidRPr="00192FCB">
          <w:rPr>
            <w:rStyle w:val="Hyperlink"/>
            <w:sz w:val="24"/>
            <w:lang w:val="bg-BG"/>
          </w:rPr>
          <w:t>http://data.europa.eu/eli/reg/2018/1046/oj</w:t>
        </w:r>
      </w:hyperlink>
      <w:r w:rsidRPr="00192FCB">
        <w:rPr>
          <w:sz w:val="24"/>
          <w:lang w:val="bg-BG"/>
        </w:rPr>
        <w:t>.</w:t>
      </w:r>
    </w:p>
  </w:footnote>
  <w:footnote w:id="64">
    <w:p w14:paraId="2D9E5DCF" w14:textId="19FEDA0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64" w:history="1">
        <w:r w:rsidRPr="00192FCB">
          <w:rPr>
            <w:rStyle w:val="Hyperlink"/>
            <w:sz w:val="24"/>
            <w:lang w:val="bg-BG"/>
          </w:rPr>
          <w:t>http://data.europa.eu/eli/reg/2024/2509/oj</w:t>
        </w:r>
      </w:hyperlink>
      <w:r w:rsidRPr="00192FCB">
        <w:rPr>
          <w:sz w:val="24"/>
          <w:lang w:val="bg-BG"/>
        </w:rPr>
        <w:t>.</w:t>
      </w:r>
    </w:p>
  </w:footnote>
  <w:footnote w:id="65">
    <w:p w14:paraId="2F8192FC" w14:textId="61A5D22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212, 22.8.2018 г., стр. 1, ELI: </w:t>
      </w:r>
      <w:hyperlink r:id="rId65" w:history="1">
        <w:r w:rsidRPr="00192FCB">
          <w:rPr>
            <w:rStyle w:val="Hyperlink"/>
            <w:sz w:val="24"/>
            <w:lang w:val="bg-BG"/>
          </w:rPr>
          <w:t>https://data.europa.eu/eli/reg/2018/1139/oj</w:t>
        </w:r>
      </w:hyperlink>
      <w:r w:rsidRPr="00192FCB">
        <w:rPr>
          <w:sz w:val="24"/>
          <w:lang w:val="bg-BG"/>
        </w:rPr>
        <w:t>.</w:t>
      </w:r>
    </w:p>
  </w:footnote>
  <w:footnote w:id="66">
    <w:p w14:paraId="18F09DA6" w14:textId="6B125ED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66" w:history="1">
        <w:r w:rsidRPr="00192FCB">
          <w:rPr>
            <w:rStyle w:val="Hyperlink"/>
            <w:sz w:val="24"/>
            <w:lang w:val="bg-BG"/>
          </w:rPr>
          <w:t>http://data.europa.eu/eli/reg_del/2019/715/oj</w:t>
        </w:r>
      </w:hyperlink>
      <w:r w:rsidRPr="00192FCB">
        <w:rPr>
          <w:sz w:val="24"/>
          <w:lang w:val="bg-BG"/>
        </w:rPr>
        <w:t>.</w:t>
      </w:r>
    </w:p>
  </w:footnote>
  <w:footnote w:id="67">
    <w:p w14:paraId="61DCA373" w14:textId="6DF6821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6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68">
    <w:p w14:paraId="68774AD1" w14:textId="10F716F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6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69">
    <w:p w14:paraId="437E1E2D" w14:textId="1EA6DD7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69" w:history="1">
        <w:r w:rsidRPr="00192FCB">
          <w:rPr>
            <w:rStyle w:val="Hyperlink"/>
            <w:sz w:val="24"/>
            <w:lang w:val="bg-BG"/>
          </w:rPr>
          <w:t>http://data.europa.eu/eli/reg/2018/1046/oj</w:t>
        </w:r>
      </w:hyperlink>
      <w:r w:rsidRPr="00192FCB">
        <w:rPr>
          <w:sz w:val="24"/>
          <w:lang w:val="bg-BG"/>
        </w:rPr>
        <w:t>.</w:t>
      </w:r>
    </w:p>
  </w:footnote>
  <w:footnote w:id="70">
    <w:p w14:paraId="58586D8D" w14:textId="451BC60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70" w:history="1">
        <w:r w:rsidRPr="00192FCB">
          <w:rPr>
            <w:rStyle w:val="Hyperlink"/>
            <w:sz w:val="24"/>
            <w:lang w:val="bg-BG"/>
          </w:rPr>
          <w:t>http://data.europa.eu/eli/reg/2024/2509/oj</w:t>
        </w:r>
      </w:hyperlink>
      <w:r w:rsidRPr="00192FCB">
        <w:rPr>
          <w:sz w:val="24"/>
          <w:lang w:val="bg-BG"/>
        </w:rPr>
        <w:t>.</w:t>
      </w:r>
    </w:p>
  </w:footnote>
  <w:footnote w:id="71">
    <w:p w14:paraId="536FA5D2" w14:textId="07546B8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212, 22.8.2018 г., стр. 1, ELI: </w:t>
      </w:r>
      <w:hyperlink r:id="rId71" w:history="1">
        <w:r w:rsidRPr="00192FCB">
          <w:rPr>
            <w:rStyle w:val="Hyperlink"/>
            <w:sz w:val="24"/>
            <w:lang w:val="bg-BG"/>
          </w:rPr>
          <w:t>https://data.europa.eu/eli/reg/2018/1139/oj</w:t>
        </w:r>
      </w:hyperlink>
      <w:r w:rsidRPr="00192FCB">
        <w:rPr>
          <w:sz w:val="24"/>
          <w:lang w:val="bg-BG"/>
        </w:rPr>
        <w:t>.</w:t>
      </w:r>
    </w:p>
  </w:footnote>
  <w:footnote w:id="72">
    <w:p w14:paraId="7D393CD5" w14:textId="47949AF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72" w:history="1">
        <w:r w:rsidRPr="00192FCB">
          <w:rPr>
            <w:rStyle w:val="Hyperlink"/>
            <w:sz w:val="24"/>
            <w:lang w:val="bg-BG"/>
          </w:rPr>
          <w:t>http://data.europa.eu/eli/reg_del/2019/715/oj</w:t>
        </w:r>
      </w:hyperlink>
      <w:r w:rsidRPr="00192FCB">
        <w:rPr>
          <w:sz w:val="24"/>
          <w:lang w:val="bg-BG"/>
        </w:rPr>
        <w:t>.</w:t>
      </w:r>
    </w:p>
  </w:footnote>
  <w:footnote w:id="73">
    <w:p w14:paraId="17DFA587" w14:textId="5DD0A15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7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74">
    <w:p w14:paraId="79DDE01D" w14:textId="71E9DFF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7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75">
    <w:p w14:paraId="4FEBC1F4" w14:textId="4025D24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75" w:history="1">
        <w:r w:rsidRPr="00192FCB">
          <w:rPr>
            <w:rStyle w:val="Hyperlink"/>
            <w:sz w:val="24"/>
            <w:lang w:val="bg-BG"/>
          </w:rPr>
          <w:t>http://data.europa.eu/eli/reg/2018/1046/oj</w:t>
        </w:r>
      </w:hyperlink>
      <w:r w:rsidRPr="00192FCB">
        <w:rPr>
          <w:sz w:val="24"/>
          <w:lang w:val="bg-BG"/>
        </w:rPr>
        <w:t>.</w:t>
      </w:r>
    </w:p>
  </w:footnote>
  <w:footnote w:id="76">
    <w:p w14:paraId="227C8C94" w14:textId="2692CBC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76" w:history="1">
        <w:r w:rsidRPr="00192FCB">
          <w:rPr>
            <w:rStyle w:val="Hyperlink"/>
            <w:sz w:val="24"/>
            <w:lang w:val="bg-BG"/>
          </w:rPr>
          <w:t>http://data.europa.eu/eli/reg/2024/2509/oj</w:t>
        </w:r>
      </w:hyperlink>
      <w:r w:rsidRPr="00192FCB">
        <w:rPr>
          <w:sz w:val="24"/>
          <w:lang w:val="bg-BG"/>
        </w:rPr>
        <w:t>.</w:t>
      </w:r>
    </w:p>
  </w:footnote>
  <w:footnote w:id="77">
    <w:p w14:paraId="1F29C290" w14:textId="48B9018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331, 15.12.2010 г., стр. 12, ELI: </w:t>
      </w:r>
      <w:hyperlink r:id="rId77" w:history="1">
        <w:r w:rsidRPr="00192FCB">
          <w:rPr>
            <w:rStyle w:val="Hyperlink"/>
            <w:sz w:val="24"/>
            <w:lang w:val="bg-BG"/>
          </w:rPr>
          <w:t>https://data.europa.eu/eli/reg/2010/1093/oj</w:t>
        </w:r>
      </w:hyperlink>
      <w:r w:rsidRPr="00192FCB">
        <w:rPr>
          <w:sz w:val="24"/>
          <w:lang w:val="bg-BG"/>
        </w:rPr>
        <w:t>.</w:t>
      </w:r>
    </w:p>
  </w:footnote>
  <w:footnote w:id="78">
    <w:p w14:paraId="2019DC04" w14:textId="2B4E5CC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78" w:history="1">
        <w:r w:rsidRPr="00192FCB">
          <w:rPr>
            <w:rStyle w:val="Hyperlink"/>
            <w:sz w:val="24"/>
            <w:lang w:val="bg-BG"/>
          </w:rPr>
          <w:t>http://data.europa.eu/eli/reg_del/2019/715/oj</w:t>
        </w:r>
      </w:hyperlink>
      <w:r w:rsidRPr="00192FCB">
        <w:rPr>
          <w:sz w:val="24"/>
          <w:lang w:val="bg-BG"/>
        </w:rPr>
        <w:t>.</w:t>
      </w:r>
    </w:p>
  </w:footnote>
  <w:footnote w:id="79">
    <w:p w14:paraId="1B1A46CB" w14:textId="6FAB6C7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7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80">
    <w:p w14:paraId="5A1A9C35" w14:textId="14F1B11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8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81">
    <w:p w14:paraId="49E77B83" w14:textId="49D1479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81" w:history="1">
        <w:r w:rsidRPr="00192FCB">
          <w:rPr>
            <w:rStyle w:val="Hyperlink"/>
            <w:sz w:val="24"/>
            <w:lang w:val="bg-BG"/>
          </w:rPr>
          <w:t>http://data.europa.eu/eli/reg/2018/1046/oj</w:t>
        </w:r>
      </w:hyperlink>
      <w:r w:rsidRPr="00192FCB">
        <w:rPr>
          <w:sz w:val="24"/>
          <w:lang w:val="bg-BG"/>
        </w:rPr>
        <w:t>.</w:t>
      </w:r>
    </w:p>
  </w:footnote>
  <w:footnote w:id="82">
    <w:p w14:paraId="507A3DC2" w14:textId="2B6FFE6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82" w:history="1">
        <w:r w:rsidRPr="00192FCB">
          <w:rPr>
            <w:rStyle w:val="Hyperlink"/>
            <w:sz w:val="24"/>
            <w:lang w:val="bg-BG"/>
          </w:rPr>
          <w:t>http://data.europa.eu/eli/reg/2024/2509/oj</w:t>
        </w:r>
      </w:hyperlink>
      <w:r w:rsidRPr="00192FCB">
        <w:rPr>
          <w:sz w:val="24"/>
          <w:lang w:val="bg-BG"/>
        </w:rPr>
        <w:t>.</w:t>
      </w:r>
    </w:p>
  </w:footnote>
  <w:footnote w:id="83">
    <w:p w14:paraId="7CA02E43" w14:textId="0523653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331, 15.12.2010 г., стр. 12, ELI: </w:t>
      </w:r>
      <w:hyperlink r:id="rId83" w:history="1">
        <w:r w:rsidRPr="00192FCB">
          <w:rPr>
            <w:rStyle w:val="Hyperlink"/>
            <w:sz w:val="24"/>
            <w:lang w:val="bg-BG"/>
          </w:rPr>
          <w:t>https://data.europa.eu/eli/reg/2010/1093/oj</w:t>
        </w:r>
      </w:hyperlink>
      <w:r w:rsidRPr="00192FCB">
        <w:rPr>
          <w:sz w:val="24"/>
          <w:lang w:val="bg-BG"/>
        </w:rPr>
        <w:t>.</w:t>
      </w:r>
    </w:p>
  </w:footnote>
  <w:footnote w:id="84">
    <w:p w14:paraId="281BCB09" w14:textId="1754FEF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84" w:history="1">
        <w:r w:rsidRPr="00192FCB">
          <w:rPr>
            <w:rStyle w:val="Hyperlink"/>
            <w:sz w:val="24"/>
            <w:lang w:val="bg-BG"/>
          </w:rPr>
          <w:t>http://data.europa.eu/eli/reg_del/2019/715/oj</w:t>
        </w:r>
      </w:hyperlink>
      <w:r w:rsidRPr="00192FCB">
        <w:rPr>
          <w:sz w:val="24"/>
          <w:lang w:val="bg-BG"/>
        </w:rPr>
        <w:t>.</w:t>
      </w:r>
    </w:p>
  </w:footnote>
  <w:footnote w:id="85">
    <w:p w14:paraId="4D48D423" w14:textId="6E710DB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8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86">
    <w:p w14:paraId="7DFF2192" w14:textId="391936D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8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87">
    <w:p w14:paraId="3FB7DC98" w14:textId="52C3B76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87" w:history="1">
        <w:r w:rsidRPr="00192FCB">
          <w:rPr>
            <w:rStyle w:val="Hyperlink"/>
            <w:sz w:val="24"/>
            <w:lang w:val="bg-BG"/>
          </w:rPr>
          <w:t>http://data.europa.eu/eli/reg/2018/1046/oj</w:t>
        </w:r>
      </w:hyperlink>
      <w:r w:rsidRPr="00192FCB">
        <w:rPr>
          <w:sz w:val="24"/>
          <w:lang w:val="bg-BG"/>
        </w:rPr>
        <w:t>.</w:t>
      </w:r>
    </w:p>
  </w:footnote>
  <w:footnote w:id="88">
    <w:p w14:paraId="0B96851E" w14:textId="405496A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88" w:history="1">
        <w:r w:rsidRPr="00192FCB">
          <w:rPr>
            <w:rStyle w:val="Hyperlink"/>
            <w:sz w:val="24"/>
            <w:lang w:val="bg-BG"/>
          </w:rPr>
          <w:t>http://data.europa.eu/eli/reg/2024/2509/oj</w:t>
        </w:r>
      </w:hyperlink>
      <w:r w:rsidRPr="00192FCB">
        <w:rPr>
          <w:sz w:val="24"/>
          <w:lang w:val="bg-BG"/>
        </w:rPr>
        <w:t>.</w:t>
      </w:r>
    </w:p>
  </w:footnote>
  <w:footnote w:id="89">
    <w:p w14:paraId="287D97D5" w14:textId="297B4E0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142, 30.4.2004 г., стр. 1, ELI: </w:t>
      </w:r>
      <w:hyperlink r:id="rId89" w:history="1">
        <w:r w:rsidRPr="00192FCB">
          <w:rPr>
            <w:rStyle w:val="Hyperlink"/>
            <w:sz w:val="24"/>
            <w:lang w:val="bg-BG"/>
          </w:rPr>
          <w:t>https://data.europa.eu/eli/reg/2004/851/oj</w:t>
        </w:r>
      </w:hyperlink>
      <w:r w:rsidRPr="00192FCB">
        <w:rPr>
          <w:sz w:val="24"/>
          <w:lang w:val="bg-BG"/>
        </w:rPr>
        <w:t>.</w:t>
      </w:r>
    </w:p>
  </w:footnote>
  <w:footnote w:id="90">
    <w:p w14:paraId="7536883D" w14:textId="5003497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90" w:history="1">
        <w:r w:rsidRPr="00192FCB">
          <w:rPr>
            <w:rStyle w:val="Hyperlink"/>
            <w:sz w:val="24"/>
            <w:lang w:val="bg-BG"/>
          </w:rPr>
          <w:t>http://data.europa.eu/eli/reg_del/2019/715/oj</w:t>
        </w:r>
      </w:hyperlink>
      <w:r w:rsidRPr="00192FCB">
        <w:rPr>
          <w:sz w:val="24"/>
          <w:lang w:val="bg-BG"/>
        </w:rPr>
        <w:t>.</w:t>
      </w:r>
    </w:p>
  </w:footnote>
  <w:footnote w:id="91">
    <w:p w14:paraId="48157F66" w14:textId="7060547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9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92">
    <w:p w14:paraId="7BC553FA" w14:textId="44E7B47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9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93">
    <w:p w14:paraId="5C339B8C" w14:textId="55F98E4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93" w:history="1">
        <w:r w:rsidRPr="00192FCB">
          <w:rPr>
            <w:rStyle w:val="Hyperlink"/>
            <w:sz w:val="24"/>
            <w:lang w:val="bg-BG"/>
          </w:rPr>
          <w:t>http://data.europa.eu/eli/reg/2018/1046/oj</w:t>
        </w:r>
      </w:hyperlink>
      <w:r w:rsidRPr="00192FCB">
        <w:rPr>
          <w:sz w:val="24"/>
          <w:lang w:val="bg-BG"/>
        </w:rPr>
        <w:t>.</w:t>
      </w:r>
    </w:p>
  </w:footnote>
  <w:footnote w:id="94">
    <w:p w14:paraId="42E34245" w14:textId="02CEC2F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94" w:history="1">
        <w:r w:rsidRPr="00192FCB">
          <w:rPr>
            <w:rStyle w:val="Hyperlink"/>
            <w:sz w:val="24"/>
            <w:lang w:val="bg-BG"/>
          </w:rPr>
          <w:t>http://data.europa.eu/eli/reg/2024/2509/oj</w:t>
        </w:r>
      </w:hyperlink>
      <w:r w:rsidRPr="00192FCB">
        <w:rPr>
          <w:sz w:val="24"/>
          <w:lang w:val="bg-BG"/>
        </w:rPr>
        <w:t>.</w:t>
      </w:r>
    </w:p>
  </w:footnote>
  <w:footnote w:id="95">
    <w:p w14:paraId="237226F0" w14:textId="3C2543F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142, 30.4.2004 г., стр. 1, ELI: </w:t>
      </w:r>
      <w:hyperlink r:id="rId95" w:history="1">
        <w:r w:rsidRPr="00192FCB">
          <w:rPr>
            <w:rStyle w:val="Hyperlink"/>
            <w:sz w:val="24"/>
            <w:lang w:val="bg-BG"/>
          </w:rPr>
          <w:t>https://data.europa.eu/eli/reg/2004/851/oj</w:t>
        </w:r>
      </w:hyperlink>
      <w:r w:rsidRPr="00192FCB">
        <w:rPr>
          <w:sz w:val="24"/>
          <w:lang w:val="bg-BG"/>
        </w:rPr>
        <w:t>.</w:t>
      </w:r>
    </w:p>
  </w:footnote>
  <w:footnote w:id="96">
    <w:p w14:paraId="6D4C7ECE" w14:textId="1CFA79D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96" w:history="1">
        <w:r w:rsidRPr="00192FCB">
          <w:rPr>
            <w:rStyle w:val="Hyperlink"/>
            <w:sz w:val="24"/>
            <w:lang w:val="bg-BG"/>
          </w:rPr>
          <w:t>http://data.europa.eu/eli/reg_del/2019/715/oj</w:t>
        </w:r>
      </w:hyperlink>
      <w:r w:rsidRPr="00192FCB">
        <w:rPr>
          <w:sz w:val="24"/>
          <w:lang w:val="bg-BG"/>
        </w:rPr>
        <w:t>.</w:t>
      </w:r>
    </w:p>
  </w:footnote>
  <w:footnote w:id="97">
    <w:p w14:paraId="2AA998D4" w14:textId="03E332F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9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98">
    <w:p w14:paraId="4758B762" w14:textId="1A21CB9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9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99">
    <w:p w14:paraId="3180178C" w14:textId="6EB9CE7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99" w:history="1">
        <w:r w:rsidRPr="00192FCB">
          <w:rPr>
            <w:rStyle w:val="Hyperlink"/>
            <w:sz w:val="24"/>
            <w:lang w:val="bg-BG"/>
          </w:rPr>
          <w:t>http://data.europa.eu/eli/reg/2018/1046/oj</w:t>
        </w:r>
      </w:hyperlink>
      <w:r w:rsidRPr="00192FCB">
        <w:rPr>
          <w:sz w:val="24"/>
          <w:lang w:val="bg-BG"/>
        </w:rPr>
        <w:t>.</w:t>
      </w:r>
    </w:p>
  </w:footnote>
  <w:footnote w:id="100">
    <w:p w14:paraId="1A1433BF" w14:textId="17F0834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00" w:history="1">
        <w:r w:rsidRPr="00192FCB">
          <w:rPr>
            <w:rStyle w:val="Hyperlink"/>
            <w:sz w:val="24"/>
            <w:lang w:val="bg-BG"/>
          </w:rPr>
          <w:t>http://data.europa.eu/eli/reg/2024/2509/oj</w:t>
        </w:r>
      </w:hyperlink>
      <w:r w:rsidRPr="00192FCB">
        <w:rPr>
          <w:sz w:val="24"/>
          <w:lang w:val="bg-BG"/>
        </w:rPr>
        <w:t>.</w:t>
      </w:r>
    </w:p>
  </w:footnote>
  <w:footnote w:id="101">
    <w:p w14:paraId="1411F0B8" w14:textId="799FA42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396, 30.12.2006 г., стр. 1, ELI: </w:t>
      </w:r>
      <w:hyperlink r:id="rId101" w:history="1">
        <w:r w:rsidRPr="00192FCB">
          <w:rPr>
            <w:rStyle w:val="Hyperlink"/>
            <w:sz w:val="24"/>
            <w:lang w:val="bg-BG"/>
          </w:rPr>
          <w:t>https://data.europa.eu/eli/reg/2006/1907/oj</w:t>
        </w:r>
      </w:hyperlink>
      <w:r w:rsidRPr="00192FCB">
        <w:rPr>
          <w:sz w:val="24"/>
          <w:lang w:val="bg-BG"/>
        </w:rPr>
        <w:t>.</w:t>
      </w:r>
    </w:p>
  </w:footnote>
  <w:footnote w:id="102">
    <w:p w14:paraId="0F4C7D84" w14:textId="4053D98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02" w:history="1">
        <w:r w:rsidRPr="00192FCB">
          <w:rPr>
            <w:rStyle w:val="Hyperlink"/>
            <w:sz w:val="24"/>
            <w:lang w:val="bg-BG"/>
          </w:rPr>
          <w:t>http://data.europa.eu/eli/reg_del/2019/715/oj</w:t>
        </w:r>
      </w:hyperlink>
      <w:r w:rsidRPr="00192FCB">
        <w:rPr>
          <w:sz w:val="24"/>
          <w:lang w:val="bg-BG"/>
        </w:rPr>
        <w:t>.</w:t>
      </w:r>
    </w:p>
  </w:footnote>
  <w:footnote w:id="103">
    <w:p w14:paraId="0477ED0D" w14:textId="401EF7F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0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104">
    <w:p w14:paraId="07CDB2C4" w14:textId="60D9F58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10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105">
    <w:p w14:paraId="794FAEAA" w14:textId="618DA36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105" w:history="1">
        <w:r w:rsidRPr="00192FCB">
          <w:rPr>
            <w:rStyle w:val="Hyperlink"/>
            <w:sz w:val="24"/>
            <w:lang w:val="bg-BG"/>
          </w:rPr>
          <w:t>http://data.europa.eu/eli/reg/2018/1046/oj</w:t>
        </w:r>
      </w:hyperlink>
      <w:r w:rsidRPr="00192FCB">
        <w:rPr>
          <w:sz w:val="24"/>
          <w:lang w:val="bg-BG"/>
        </w:rPr>
        <w:t>.</w:t>
      </w:r>
    </w:p>
  </w:footnote>
  <w:footnote w:id="106">
    <w:p w14:paraId="00ECA912" w14:textId="262E1B4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06" w:history="1">
        <w:r w:rsidRPr="00192FCB">
          <w:rPr>
            <w:rStyle w:val="Hyperlink"/>
            <w:sz w:val="24"/>
            <w:lang w:val="bg-BG"/>
          </w:rPr>
          <w:t>http://data.europa.eu/eli/reg/2024/2509/oj</w:t>
        </w:r>
      </w:hyperlink>
      <w:r w:rsidRPr="00192FCB">
        <w:rPr>
          <w:sz w:val="24"/>
          <w:lang w:val="bg-BG"/>
        </w:rPr>
        <w:t>.</w:t>
      </w:r>
    </w:p>
  </w:footnote>
  <w:footnote w:id="107">
    <w:p w14:paraId="121ECE04" w14:textId="3CE959A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396, 30.12.2006 г., стр. 1, ELI: </w:t>
      </w:r>
      <w:hyperlink r:id="rId107" w:history="1">
        <w:r w:rsidRPr="00192FCB">
          <w:rPr>
            <w:rStyle w:val="Hyperlink"/>
            <w:sz w:val="24"/>
            <w:lang w:val="bg-BG"/>
          </w:rPr>
          <w:t>https://data.europa.eu/eli/reg/2006/1907/oj</w:t>
        </w:r>
      </w:hyperlink>
      <w:r w:rsidRPr="00192FCB">
        <w:rPr>
          <w:sz w:val="24"/>
          <w:lang w:val="bg-BG"/>
        </w:rPr>
        <w:t>.</w:t>
      </w:r>
    </w:p>
  </w:footnote>
  <w:footnote w:id="108">
    <w:p w14:paraId="42D224F4" w14:textId="79E0D4F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08" w:history="1">
        <w:r w:rsidRPr="00192FCB">
          <w:rPr>
            <w:rStyle w:val="Hyperlink"/>
            <w:sz w:val="24"/>
            <w:lang w:val="bg-BG"/>
          </w:rPr>
          <w:t>http://data.europa.eu/eli/reg_del/2019/715/oj</w:t>
        </w:r>
      </w:hyperlink>
      <w:r w:rsidRPr="00192FCB">
        <w:rPr>
          <w:sz w:val="24"/>
          <w:lang w:val="bg-BG"/>
        </w:rPr>
        <w:t>.</w:t>
      </w:r>
    </w:p>
  </w:footnote>
  <w:footnote w:id="109">
    <w:p w14:paraId="12E07E25" w14:textId="4BE32EE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0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110">
    <w:p w14:paraId="495416FA" w14:textId="6D1F35A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11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111">
    <w:p w14:paraId="3A023DE0" w14:textId="2389576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111" w:history="1">
        <w:r w:rsidRPr="00192FCB">
          <w:rPr>
            <w:rStyle w:val="Hyperlink"/>
            <w:sz w:val="24"/>
            <w:lang w:val="bg-BG"/>
          </w:rPr>
          <w:t>http://data.europa.eu/eli/reg/2018/1046/oj</w:t>
        </w:r>
      </w:hyperlink>
      <w:r w:rsidRPr="00192FCB">
        <w:rPr>
          <w:sz w:val="24"/>
          <w:lang w:val="bg-BG"/>
        </w:rPr>
        <w:t>.</w:t>
      </w:r>
    </w:p>
  </w:footnote>
  <w:footnote w:id="112">
    <w:p w14:paraId="030C980A" w14:textId="0FD6A14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12" w:history="1">
        <w:r w:rsidRPr="00192FCB">
          <w:rPr>
            <w:rStyle w:val="Hyperlink"/>
            <w:sz w:val="24"/>
            <w:lang w:val="bg-BG"/>
          </w:rPr>
          <w:t>http://data.europa.eu/eli/reg/2024/2509/oj</w:t>
        </w:r>
      </w:hyperlink>
      <w:r w:rsidRPr="00192FCB">
        <w:rPr>
          <w:sz w:val="24"/>
          <w:lang w:val="bg-BG"/>
        </w:rPr>
        <w:t>.</w:t>
      </w:r>
    </w:p>
  </w:footnote>
  <w:footnote w:id="113">
    <w:p w14:paraId="15316D0F" w14:textId="1CDBC19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126, 21.5.2009 г., стр. 13, ELI: </w:t>
      </w:r>
      <w:hyperlink r:id="rId113" w:history="1">
        <w:r w:rsidRPr="00192FCB">
          <w:rPr>
            <w:rStyle w:val="Hyperlink"/>
            <w:sz w:val="24"/>
            <w:lang w:val="bg-BG"/>
          </w:rPr>
          <w:t>https://data.europa.eu/eli/reg/2009/401/oj</w:t>
        </w:r>
      </w:hyperlink>
      <w:r w:rsidRPr="00192FCB">
        <w:rPr>
          <w:sz w:val="24"/>
          <w:lang w:val="bg-BG"/>
        </w:rPr>
        <w:t>.</w:t>
      </w:r>
    </w:p>
  </w:footnote>
  <w:footnote w:id="114">
    <w:p w14:paraId="24319F7C" w14:textId="7A9C8DD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14" w:history="1">
        <w:r w:rsidRPr="00192FCB">
          <w:rPr>
            <w:rStyle w:val="Hyperlink"/>
            <w:sz w:val="24"/>
            <w:lang w:val="bg-BG"/>
          </w:rPr>
          <w:t>http://data.europa.eu/eli/reg_del/2019/715/oj</w:t>
        </w:r>
      </w:hyperlink>
      <w:r w:rsidRPr="00192FCB">
        <w:rPr>
          <w:sz w:val="24"/>
          <w:lang w:val="bg-BG"/>
        </w:rPr>
        <w:t>.</w:t>
      </w:r>
    </w:p>
  </w:footnote>
  <w:footnote w:id="115">
    <w:p w14:paraId="1EC02A05" w14:textId="6828015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1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116">
    <w:p w14:paraId="4D18D0B7" w14:textId="2585201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11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117">
    <w:p w14:paraId="4C0BE096" w14:textId="2B01B3F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117" w:history="1">
        <w:r w:rsidRPr="00192FCB">
          <w:rPr>
            <w:rStyle w:val="Hyperlink"/>
            <w:sz w:val="24"/>
            <w:lang w:val="bg-BG"/>
          </w:rPr>
          <w:t>http://data.europa.eu/eli/reg/2018/1046/oj</w:t>
        </w:r>
      </w:hyperlink>
      <w:r w:rsidRPr="00192FCB">
        <w:rPr>
          <w:sz w:val="24"/>
          <w:lang w:val="bg-BG"/>
        </w:rPr>
        <w:t>.</w:t>
      </w:r>
    </w:p>
  </w:footnote>
  <w:footnote w:id="118">
    <w:p w14:paraId="7EB3A7BD" w14:textId="08EF69C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18" w:history="1">
        <w:r w:rsidRPr="00192FCB">
          <w:rPr>
            <w:rStyle w:val="Hyperlink"/>
            <w:sz w:val="24"/>
            <w:lang w:val="bg-BG"/>
          </w:rPr>
          <w:t>http://data.europa.eu/eli/reg/2024/2509/oj</w:t>
        </w:r>
      </w:hyperlink>
      <w:r w:rsidRPr="00192FCB">
        <w:rPr>
          <w:sz w:val="24"/>
          <w:lang w:val="bg-BG"/>
        </w:rPr>
        <w:t>.</w:t>
      </w:r>
    </w:p>
  </w:footnote>
  <w:footnote w:id="119">
    <w:p w14:paraId="4D370847" w14:textId="2371D1D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126, 21.5.2009 г., стр. 13, ELI: </w:t>
      </w:r>
      <w:hyperlink r:id="rId119" w:history="1">
        <w:r w:rsidRPr="00192FCB">
          <w:rPr>
            <w:rStyle w:val="Hyperlink"/>
            <w:sz w:val="24"/>
            <w:lang w:val="bg-BG"/>
          </w:rPr>
          <w:t>https://data.europa.eu/eli/reg/2009/401/oj</w:t>
        </w:r>
      </w:hyperlink>
      <w:r w:rsidRPr="00192FCB">
        <w:rPr>
          <w:sz w:val="24"/>
          <w:lang w:val="bg-BG"/>
        </w:rPr>
        <w:t>.</w:t>
      </w:r>
    </w:p>
  </w:footnote>
  <w:footnote w:id="120">
    <w:p w14:paraId="53456721" w14:textId="04F991A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20" w:history="1">
        <w:r w:rsidRPr="00192FCB">
          <w:rPr>
            <w:rStyle w:val="Hyperlink"/>
            <w:sz w:val="24"/>
            <w:lang w:val="bg-BG"/>
          </w:rPr>
          <w:t>http://data.europa.eu/eli/reg_del/2019/715/oj</w:t>
        </w:r>
      </w:hyperlink>
      <w:r w:rsidRPr="00192FCB">
        <w:rPr>
          <w:sz w:val="24"/>
          <w:lang w:val="bg-BG"/>
        </w:rPr>
        <w:t>.</w:t>
      </w:r>
    </w:p>
  </w:footnote>
  <w:footnote w:id="121">
    <w:p w14:paraId="289246F0" w14:textId="5F7570E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2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122">
    <w:p w14:paraId="0EB838E3" w14:textId="76E52D7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12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123">
    <w:p w14:paraId="4C6B0BD2" w14:textId="2B2914C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123" w:history="1">
        <w:r w:rsidRPr="00192FCB">
          <w:rPr>
            <w:rStyle w:val="Hyperlink"/>
            <w:sz w:val="24"/>
            <w:lang w:val="bg-BG"/>
          </w:rPr>
          <w:t>http://data.europa.eu/eli/reg/2018/1046/oj</w:t>
        </w:r>
      </w:hyperlink>
      <w:r w:rsidRPr="00192FCB">
        <w:rPr>
          <w:sz w:val="24"/>
          <w:lang w:val="bg-BG"/>
        </w:rPr>
        <w:t>.</w:t>
      </w:r>
    </w:p>
  </w:footnote>
  <w:footnote w:id="124">
    <w:p w14:paraId="41B14956" w14:textId="779D53C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24" w:history="1">
        <w:r w:rsidRPr="00192FCB">
          <w:rPr>
            <w:rStyle w:val="Hyperlink"/>
            <w:sz w:val="24"/>
            <w:lang w:val="bg-BG"/>
          </w:rPr>
          <w:t>http://data.europa.eu/eli/reg/2024/2509/oj</w:t>
        </w:r>
      </w:hyperlink>
      <w:r w:rsidRPr="00192FCB">
        <w:rPr>
          <w:sz w:val="24"/>
          <w:lang w:val="bg-BG"/>
        </w:rPr>
        <w:t>.</w:t>
      </w:r>
    </w:p>
  </w:footnote>
  <w:footnote w:id="125">
    <w:p w14:paraId="49573E1C" w14:textId="211D11B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83, 25.3.2019 г., стр. 18, ELI: </w:t>
      </w:r>
      <w:hyperlink r:id="rId125" w:history="1">
        <w:r w:rsidRPr="00192FCB">
          <w:rPr>
            <w:rStyle w:val="Hyperlink"/>
            <w:sz w:val="24"/>
            <w:lang w:val="bg-BG"/>
          </w:rPr>
          <w:t>https://data.europa.eu/eli/reg/2019/473/oj</w:t>
        </w:r>
      </w:hyperlink>
      <w:r w:rsidRPr="00192FCB">
        <w:rPr>
          <w:sz w:val="24"/>
          <w:lang w:val="bg-BG"/>
        </w:rPr>
        <w:t>.</w:t>
      </w:r>
    </w:p>
  </w:footnote>
  <w:footnote w:id="126">
    <w:p w14:paraId="32F69828" w14:textId="7C98684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26" w:history="1">
        <w:r w:rsidRPr="00192FCB">
          <w:rPr>
            <w:rStyle w:val="Hyperlink"/>
            <w:sz w:val="24"/>
            <w:lang w:val="bg-BG"/>
          </w:rPr>
          <w:t>http://data.europa.eu/eli/reg_del/2019/715/oj</w:t>
        </w:r>
      </w:hyperlink>
      <w:r w:rsidRPr="00192FCB">
        <w:rPr>
          <w:sz w:val="24"/>
          <w:lang w:val="bg-BG"/>
        </w:rPr>
        <w:t>.</w:t>
      </w:r>
    </w:p>
  </w:footnote>
  <w:footnote w:id="127">
    <w:p w14:paraId="39380428" w14:textId="0E382C7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2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128">
    <w:p w14:paraId="35045344" w14:textId="070EC20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12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129">
    <w:p w14:paraId="01FB1E4A" w14:textId="6C65F07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129" w:history="1">
        <w:r w:rsidRPr="00192FCB">
          <w:rPr>
            <w:rStyle w:val="Hyperlink"/>
            <w:sz w:val="24"/>
            <w:lang w:val="bg-BG"/>
          </w:rPr>
          <w:t>http://data.europa.eu/eli/reg/2018/1046/oj</w:t>
        </w:r>
      </w:hyperlink>
      <w:r w:rsidRPr="00192FCB">
        <w:rPr>
          <w:sz w:val="24"/>
          <w:lang w:val="bg-BG"/>
        </w:rPr>
        <w:t>.</w:t>
      </w:r>
    </w:p>
  </w:footnote>
  <w:footnote w:id="130">
    <w:p w14:paraId="19C5B468" w14:textId="161545B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30" w:history="1">
        <w:r w:rsidRPr="00192FCB">
          <w:rPr>
            <w:rStyle w:val="Hyperlink"/>
            <w:sz w:val="24"/>
            <w:lang w:val="bg-BG"/>
          </w:rPr>
          <w:t>http://data.europa.eu/eli/reg/2024/2509/oj</w:t>
        </w:r>
      </w:hyperlink>
      <w:r w:rsidRPr="00192FCB">
        <w:rPr>
          <w:sz w:val="24"/>
          <w:lang w:val="bg-BG"/>
        </w:rPr>
        <w:t>.</w:t>
      </w:r>
    </w:p>
  </w:footnote>
  <w:footnote w:id="131">
    <w:p w14:paraId="50A6C41D" w14:textId="3097B20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83, 25.3.2019 г., стр. 18, ELI: </w:t>
      </w:r>
      <w:hyperlink r:id="rId131" w:history="1">
        <w:r w:rsidRPr="00192FCB">
          <w:rPr>
            <w:rStyle w:val="Hyperlink"/>
            <w:sz w:val="24"/>
            <w:lang w:val="bg-BG"/>
          </w:rPr>
          <w:t>https://data.europa.eu/eli/reg/2019/473/oj</w:t>
        </w:r>
      </w:hyperlink>
      <w:r w:rsidRPr="00192FCB">
        <w:rPr>
          <w:sz w:val="24"/>
          <w:lang w:val="bg-BG"/>
        </w:rPr>
        <w:t>.</w:t>
      </w:r>
    </w:p>
  </w:footnote>
  <w:footnote w:id="132">
    <w:p w14:paraId="28BE5E35" w14:textId="2EB6238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32" w:history="1">
        <w:r w:rsidRPr="00192FCB">
          <w:rPr>
            <w:rStyle w:val="Hyperlink"/>
            <w:sz w:val="24"/>
            <w:lang w:val="bg-BG"/>
          </w:rPr>
          <w:t>http://data.europa.eu/eli/reg_del/2019/715/oj</w:t>
        </w:r>
      </w:hyperlink>
      <w:r w:rsidRPr="00192FCB">
        <w:rPr>
          <w:sz w:val="24"/>
          <w:lang w:val="bg-BG"/>
        </w:rPr>
        <w:t>.</w:t>
      </w:r>
    </w:p>
  </w:footnote>
  <w:footnote w:id="133">
    <w:p w14:paraId="2A30F0A5" w14:textId="3DE5550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3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134">
    <w:p w14:paraId="328CB82B" w14:textId="6C26CE3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13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135">
    <w:p w14:paraId="5B82155F" w14:textId="310C94B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135" w:history="1">
        <w:r w:rsidRPr="00192FCB">
          <w:rPr>
            <w:rStyle w:val="Hyperlink"/>
            <w:sz w:val="24"/>
            <w:lang w:val="bg-BG"/>
          </w:rPr>
          <w:t>http://data.europa.eu/eli/reg/2018/1046/oj</w:t>
        </w:r>
      </w:hyperlink>
      <w:r w:rsidRPr="00192FCB">
        <w:rPr>
          <w:sz w:val="24"/>
          <w:lang w:val="bg-BG"/>
        </w:rPr>
        <w:t>.</w:t>
      </w:r>
    </w:p>
  </w:footnote>
  <w:footnote w:id="136">
    <w:p w14:paraId="287ACFDB" w14:textId="4545919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36" w:history="1">
        <w:r w:rsidRPr="00192FCB">
          <w:rPr>
            <w:rStyle w:val="Hyperlink"/>
            <w:sz w:val="24"/>
            <w:lang w:val="bg-BG"/>
          </w:rPr>
          <w:t>http://data.europa.eu/eli/reg/2024/2509/oj</w:t>
        </w:r>
      </w:hyperlink>
      <w:r w:rsidRPr="00192FCB">
        <w:rPr>
          <w:sz w:val="24"/>
          <w:lang w:val="bg-BG"/>
        </w:rPr>
        <w:t>.</w:t>
      </w:r>
    </w:p>
  </w:footnote>
  <w:footnote w:id="137">
    <w:p w14:paraId="0A84BF15" w14:textId="47BFB73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31, 1.2.2002 г., стр. 1, ELI: </w:t>
      </w:r>
      <w:hyperlink r:id="rId137" w:history="1">
        <w:r w:rsidRPr="00192FCB">
          <w:rPr>
            <w:rStyle w:val="Hyperlink"/>
            <w:sz w:val="24"/>
            <w:lang w:val="bg-BG"/>
          </w:rPr>
          <w:t>https://data.europa.eu/eli/reg/2002/178/oj</w:t>
        </w:r>
      </w:hyperlink>
      <w:r w:rsidRPr="00192FCB">
        <w:rPr>
          <w:sz w:val="24"/>
          <w:lang w:val="bg-BG"/>
        </w:rPr>
        <w:t>.</w:t>
      </w:r>
    </w:p>
  </w:footnote>
  <w:footnote w:id="138">
    <w:p w14:paraId="21A336C9" w14:textId="2A2D37E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38" w:history="1">
        <w:r w:rsidRPr="00192FCB">
          <w:rPr>
            <w:rStyle w:val="Hyperlink"/>
            <w:sz w:val="24"/>
            <w:lang w:val="bg-BG"/>
          </w:rPr>
          <w:t>http://data.europa.eu/eli/reg_del/2019/715/oj</w:t>
        </w:r>
      </w:hyperlink>
      <w:r w:rsidRPr="00192FCB">
        <w:rPr>
          <w:sz w:val="24"/>
          <w:lang w:val="bg-BG"/>
        </w:rPr>
        <w:t>.</w:t>
      </w:r>
    </w:p>
  </w:footnote>
  <w:footnote w:id="139">
    <w:p w14:paraId="0D7992AA" w14:textId="45887F5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3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140">
    <w:p w14:paraId="0BFC4ED7" w14:textId="705DD7F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14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141">
    <w:p w14:paraId="696941BB" w14:textId="279AD41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141" w:history="1">
        <w:r w:rsidRPr="00192FCB">
          <w:rPr>
            <w:rStyle w:val="Hyperlink"/>
            <w:sz w:val="24"/>
            <w:lang w:val="bg-BG"/>
          </w:rPr>
          <w:t>http://data.europa.eu/eli/reg/2018/1046/oj</w:t>
        </w:r>
      </w:hyperlink>
      <w:r w:rsidRPr="00192FCB">
        <w:rPr>
          <w:sz w:val="24"/>
          <w:lang w:val="bg-BG"/>
        </w:rPr>
        <w:t>.</w:t>
      </w:r>
    </w:p>
  </w:footnote>
  <w:footnote w:id="142">
    <w:p w14:paraId="060B828C" w14:textId="06B15F9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42" w:history="1">
        <w:r w:rsidRPr="00192FCB">
          <w:rPr>
            <w:rStyle w:val="Hyperlink"/>
            <w:sz w:val="24"/>
            <w:lang w:val="bg-BG"/>
          </w:rPr>
          <w:t>http://data.europa.eu/eli/reg/2024/2509/oj</w:t>
        </w:r>
      </w:hyperlink>
      <w:r w:rsidRPr="00192FCB">
        <w:rPr>
          <w:sz w:val="24"/>
          <w:lang w:val="bg-BG"/>
        </w:rPr>
        <w:t>.</w:t>
      </w:r>
    </w:p>
  </w:footnote>
  <w:footnote w:id="143">
    <w:p w14:paraId="029BDFA6" w14:textId="3DEF782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31, 1.2.2002 г., стр. 1, ELI: </w:t>
      </w:r>
      <w:hyperlink r:id="rId143" w:history="1">
        <w:r w:rsidRPr="00192FCB">
          <w:rPr>
            <w:rStyle w:val="Hyperlink"/>
            <w:sz w:val="24"/>
            <w:lang w:val="bg-BG"/>
          </w:rPr>
          <w:t>https://data.europa.eu/eli/reg/2002/178/oj</w:t>
        </w:r>
      </w:hyperlink>
      <w:r w:rsidRPr="00192FCB">
        <w:rPr>
          <w:sz w:val="24"/>
          <w:lang w:val="bg-BG"/>
        </w:rPr>
        <w:t>.</w:t>
      </w:r>
    </w:p>
  </w:footnote>
  <w:footnote w:id="144">
    <w:p w14:paraId="30DF8BEB" w14:textId="71E4101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44" w:history="1">
        <w:r w:rsidRPr="00192FCB">
          <w:rPr>
            <w:rStyle w:val="Hyperlink"/>
            <w:sz w:val="24"/>
            <w:lang w:val="bg-BG"/>
          </w:rPr>
          <w:t>http://data.europa.eu/eli/reg_del/2019/715/oj</w:t>
        </w:r>
      </w:hyperlink>
      <w:r w:rsidRPr="00192FCB">
        <w:rPr>
          <w:sz w:val="24"/>
          <w:lang w:val="bg-BG"/>
        </w:rPr>
        <w:t>.</w:t>
      </w:r>
    </w:p>
  </w:footnote>
  <w:footnote w:id="145">
    <w:p w14:paraId="0B077B16" w14:textId="4FD1B98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4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146">
    <w:p w14:paraId="3909B4C3" w14:textId="0A68213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14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147">
    <w:p w14:paraId="44687867" w14:textId="3005C24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147" w:history="1">
        <w:r w:rsidRPr="00192FCB">
          <w:rPr>
            <w:rStyle w:val="Hyperlink"/>
            <w:sz w:val="24"/>
            <w:lang w:val="bg-BG"/>
          </w:rPr>
          <w:t>http://data.europa.eu/eli/reg/2018/1046/oj</w:t>
        </w:r>
      </w:hyperlink>
      <w:r w:rsidRPr="00192FCB">
        <w:rPr>
          <w:sz w:val="24"/>
          <w:lang w:val="bg-BG"/>
        </w:rPr>
        <w:t>.</w:t>
      </w:r>
    </w:p>
  </w:footnote>
  <w:footnote w:id="148">
    <w:p w14:paraId="76DFDFE8" w14:textId="683D8C5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48" w:history="1">
        <w:r w:rsidRPr="00192FCB">
          <w:rPr>
            <w:rStyle w:val="Hyperlink"/>
            <w:sz w:val="24"/>
            <w:lang w:val="bg-BG"/>
          </w:rPr>
          <w:t>http://data.europa.eu/eli/reg/2024/2509/oj</w:t>
        </w:r>
      </w:hyperlink>
      <w:r w:rsidRPr="00192FCB">
        <w:rPr>
          <w:sz w:val="24"/>
          <w:lang w:val="bg-BG"/>
        </w:rPr>
        <w:t>.</w:t>
      </w:r>
    </w:p>
  </w:footnote>
  <w:footnote w:id="149">
    <w:p w14:paraId="059DB4FB" w14:textId="5EC4D74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403, 30.12.2006 г., стр. 9, ELI: </w:t>
      </w:r>
      <w:hyperlink r:id="rId149" w:history="1">
        <w:r w:rsidRPr="00192FCB">
          <w:rPr>
            <w:rStyle w:val="Hyperlink"/>
            <w:sz w:val="24"/>
            <w:lang w:val="bg-BG"/>
          </w:rPr>
          <w:t>https://data.europa.eu/eli/reg/2006/1922/oj</w:t>
        </w:r>
      </w:hyperlink>
      <w:r w:rsidRPr="00192FCB">
        <w:rPr>
          <w:sz w:val="24"/>
          <w:lang w:val="bg-BG"/>
        </w:rPr>
        <w:t>.</w:t>
      </w:r>
    </w:p>
  </w:footnote>
  <w:footnote w:id="150">
    <w:p w14:paraId="0E34B1AA" w14:textId="1F51A82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50" w:history="1">
        <w:r w:rsidRPr="00192FCB">
          <w:rPr>
            <w:rStyle w:val="Hyperlink"/>
            <w:sz w:val="24"/>
            <w:lang w:val="bg-BG"/>
          </w:rPr>
          <w:t>http://data.europa.eu/eli/reg_del/2019/715/oj</w:t>
        </w:r>
      </w:hyperlink>
      <w:r w:rsidRPr="00192FCB">
        <w:rPr>
          <w:sz w:val="24"/>
          <w:lang w:val="bg-BG"/>
        </w:rPr>
        <w:t>.</w:t>
      </w:r>
    </w:p>
  </w:footnote>
  <w:footnote w:id="151">
    <w:p w14:paraId="16908E3E" w14:textId="2E2C9FC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5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152">
    <w:p w14:paraId="42AD9EF0" w14:textId="44CF86A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15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153">
    <w:p w14:paraId="19B742CB" w14:textId="272D8A8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153" w:history="1">
        <w:r w:rsidRPr="00192FCB">
          <w:rPr>
            <w:rStyle w:val="Hyperlink"/>
            <w:sz w:val="24"/>
            <w:lang w:val="bg-BG"/>
          </w:rPr>
          <w:t>http://data.europa.eu/eli/reg/2018/1046/oj</w:t>
        </w:r>
      </w:hyperlink>
      <w:r w:rsidRPr="00192FCB">
        <w:rPr>
          <w:sz w:val="24"/>
          <w:lang w:val="bg-BG"/>
        </w:rPr>
        <w:t>.</w:t>
      </w:r>
    </w:p>
  </w:footnote>
  <w:footnote w:id="154">
    <w:p w14:paraId="268A24EA" w14:textId="5570DA9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54" w:history="1">
        <w:r w:rsidRPr="00192FCB">
          <w:rPr>
            <w:rStyle w:val="Hyperlink"/>
            <w:sz w:val="24"/>
            <w:lang w:val="bg-BG"/>
          </w:rPr>
          <w:t>http://data.europa.eu/eli/reg/2024/2509/oj</w:t>
        </w:r>
      </w:hyperlink>
      <w:r w:rsidRPr="00192FCB">
        <w:rPr>
          <w:sz w:val="24"/>
          <w:lang w:val="bg-BG"/>
        </w:rPr>
        <w:t>.</w:t>
      </w:r>
    </w:p>
  </w:footnote>
  <w:footnote w:id="155">
    <w:p w14:paraId="1CB6DD35" w14:textId="53DDF73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403, 30.12.2006 г., стр. 9, ELI: </w:t>
      </w:r>
      <w:hyperlink r:id="rId155" w:history="1">
        <w:r w:rsidRPr="00192FCB">
          <w:rPr>
            <w:rStyle w:val="Hyperlink"/>
            <w:sz w:val="24"/>
            <w:lang w:val="bg-BG"/>
          </w:rPr>
          <w:t>https://data.europa.eu/eli/reg/2006/1922/oj</w:t>
        </w:r>
      </w:hyperlink>
      <w:r w:rsidRPr="00192FCB">
        <w:rPr>
          <w:sz w:val="24"/>
          <w:lang w:val="bg-BG"/>
        </w:rPr>
        <w:t>.</w:t>
      </w:r>
    </w:p>
  </w:footnote>
  <w:footnote w:id="156">
    <w:p w14:paraId="2E50F693" w14:textId="592F63D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56" w:history="1">
        <w:r w:rsidRPr="00192FCB">
          <w:rPr>
            <w:rStyle w:val="Hyperlink"/>
            <w:sz w:val="24"/>
            <w:lang w:val="bg-BG"/>
          </w:rPr>
          <w:t>http://data.europa.eu/eli/reg_del/2019/715/oj</w:t>
        </w:r>
      </w:hyperlink>
      <w:r w:rsidRPr="00192FCB">
        <w:rPr>
          <w:sz w:val="24"/>
          <w:lang w:val="bg-BG"/>
        </w:rPr>
        <w:t>.</w:t>
      </w:r>
    </w:p>
  </w:footnote>
  <w:footnote w:id="157">
    <w:p w14:paraId="73102158" w14:textId="76DB755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5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158">
    <w:p w14:paraId="4CDC12CC" w14:textId="13A5F3F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15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159">
    <w:p w14:paraId="31C9F041" w14:textId="6E4EBEB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159" w:history="1">
        <w:r w:rsidRPr="00192FCB">
          <w:rPr>
            <w:rStyle w:val="Hyperlink"/>
            <w:sz w:val="24"/>
            <w:lang w:val="bg-BG"/>
          </w:rPr>
          <w:t>http://data.europa.eu/eli/reg/2018/1046/oj</w:t>
        </w:r>
      </w:hyperlink>
      <w:r w:rsidRPr="00192FCB">
        <w:rPr>
          <w:sz w:val="24"/>
          <w:lang w:val="bg-BG"/>
        </w:rPr>
        <w:t>.</w:t>
      </w:r>
    </w:p>
  </w:footnote>
  <w:footnote w:id="160">
    <w:p w14:paraId="2B12C6C8" w14:textId="41A2F46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60" w:history="1">
        <w:r w:rsidRPr="00192FCB">
          <w:rPr>
            <w:rStyle w:val="Hyperlink"/>
            <w:sz w:val="24"/>
            <w:lang w:val="bg-BG"/>
          </w:rPr>
          <w:t>http://data.europa.eu/eli/reg/2024/2509/oj</w:t>
        </w:r>
      </w:hyperlink>
      <w:r w:rsidRPr="00192FCB">
        <w:rPr>
          <w:sz w:val="24"/>
          <w:lang w:val="bg-BG"/>
        </w:rPr>
        <w:t>.</w:t>
      </w:r>
    </w:p>
  </w:footnote>
  <w:footnote w:id="161">
    <w:p w14:paraId="0A609FFB" w14:textId="4083E0B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331, 15.12.2010 г., стр. 48, ELI: </w:t>
      </w:r>
      <w:hyperlink r:id="rId161" w:history="1">
        <w:r w:rsidRPr="00192FCB">
          <w:rPr>
            <w:rStyle w:val="Hyperlink"/>
            <w:sz w:val="24"/>
            <w:lang w:val="bg-BG"/>
          </w:rPr>
          <w:t>https://data.europa.eu/eli/reg/2010/1094/oj</w:t>
        </w:r>
      </w:hyperlink>
      <w:r w:rsidRPr="00192FCB">
        <w:rPr>
          <w:sz w:val="24"/>
          <w:lang w:val="bg-BG"/>
        </w:rPr>
        <w:t>.</w:t>
      </w:r>
    </w:p>
  </w:footnote>
  <w:footnote w:id="162">
    <w:p w14:paraId="37E611F0" w14:textId="7770FD1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62" w:history="1">
        <w:r w:rsidRPr="00192FCB">
          <w:rPr>
            <w:rStyle w:val="Hyperlink"/>
            <w:sz w:val="24"/>
            <w:lang w:val="bg-BG"/>
          </w:rPr>
          <w:t>http://data.europa.eu/eli/reg_del/2019/715/oj</w:t>
        </w:r>
      </w:hyperlink>
      <w:r w:rsidRPr="00192FCB">
        <w:rPr>
          <w:sz w:val="24"/>
          <w:lang w:val="bg-BG"/>
        </w:rPr>
        <w:t>.</w:t>
      </w:r>
    </w:p>
  </w:footnote>
  <w:footnote w:id="163">
    <w:p w14:paraId="104AEF0B" w14:textId="5491851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6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164">
    <w:p w14:paraId="25C13E15" w14:textId="2DD53BB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16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165">
    <w:p w14:paraId="0177713E" w14:textId="49EF32F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165" w:history="1">
        <w:r w:rsidRPr="00192FCB">
          <w:rPr>
            <w:rStyle w:val="Hyperlink"/>
            <w:sz w:val="24"/>
            <w:lang w:val="bg-BG"/>
          </w:rPr>
          <w:t>http://data.europa.eu/eli/reg/2018/1046/oj</w:t>
        </w:r>
      </w:hyperlink>
      <w:r w:rsidRPr="00192FCB">
        <w:rPr>
          <w:sz w:val="24"/>
          <w:lang w:val="bg-BG"/>
        </w:rPr>
        <w:t>.</w:t>
      </w:r>
    </w:p>
  </w:footnote>
  <w:footnote w:id="166">
    <w:p w14:paraId="5E40012F" w14:textId="4518FCF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66" w:history="1">
        <w:r w:rsidRPr="00192FCB">
          <w:rPr>
            <w:rStyle w:val="Hyperlink"/>
            <w:sz w:val="24"/>
            <w:lang w:val="bg-BG"/>
          </w:rPr>
          <w:t>http://data.europa.eu/eli/reg/2024/2509/oj</w:t>
        </w:r>
      </w:hyperlink>
      <w:r w:rsidRPr="00192FCB">
        <w:rPr>
          <w:sz w:val="24"/>
          <w:lang w:val="bg-BG"/>
        </w:rPr>
        <w:t>.</w:t>
      </w:r>
    </w:p>
  </w:footnote>
  <w:footnote w:id="167">
    <w:p w14:paraId="587A419D" w14:textId="04CEAB4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331, 15.12.2010 г., стр. 48, ELI: </w:t>
      </w:r>
      <w:hyperlink r:id="rId167" w:history="1">
        <w:r w:rsidRPr="00192FCB">
          <w:rPr>
            <w:rStyle w:val="Hyperlink"/>
            <w:sz w:val="24"/>
            <w:lang w:val="bg-BG"/>
          </w:rPr>
          <w:t>https://data.europa.eu/eli/reg/2010/1094/oj</w:t>
        </w:r>
      </w:hyperlink>
      <w:r w:rsidRPr="00192FCB">
        <w:rPr>
          <w:sz w:val="24"/>
          <w:lang w:val="bg-BG"/>
        </w:rPr>
        <w:t>.</w:t>
      </w:r>
    </w:p>
  </w:footnote>
  <w:footnote w:id="168">
    <w:p w14:paraId="65340BA9" w14:textId="0733309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68" w:history="1">
        <w:r w:rsidRPr="00192FCB">
          <w:rPr>
            <w:rStyle w:val="Hyperlink"/>
            <w:sz w:val="24"/>
            <w:lang w:val="bg-BG"/>
          </w:rPr>
          <w:t>http://data.europa.eu/eli/reg_del/2019/715/oj</w:t>
        </w:r>
      </w:hyperlink>
      <w:r w:rsidRPr="00192FCB">
        <w:rPr>
          <w:sz w:val="24"/>
          <w:lang w:val="bg-BG"/>
        </w:rPr>
        <w:t>.</w:t>
      </w:r>
    </w:p>
  </w:footnote>
  <w:footnote w:id="169">
    <w:p w14:paraId="18B03441" w14:textId="10A880C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6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170">
    <w:p w14:paraId="3AD15DA2" w14:textId="2FCB3CF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17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171">
    <w:p w14:paraId="0D01D64A" w14:textId="358AE22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171" w:history="1">
        <w:r w:rsidRPr="00192FCB">
          <w:rPr>
            <w:rStyle w:val="Hyperlink"/>
            <w:sz w:val="24"/>
            <w:lang w:val="bg-BG"/>
          </w:rPr>
          <w:t>http://data.europa.eu/eli/reg/2018/1046/oj</w:t>
        </w:r>
      </w:hyperlink>
      <w:r w:rsidRPr="00192FCB">
        <w:rPr>
          <w:sz w:val="24"/>
          <w:lang w:val="bg-BG"/>
        </w:rPr>
        <w:t>.</w:t>
      </w:r>
    </w:p>
  </w:footnote>
  <w:footnote w:id="172">
    <w:p w14:paraId="1A867E78" w14:textId="0BE095D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72" w:history="1">
        <w:r w:rsidRPr="00192FCB">
          <w:rPr>
            <w:rStyle w:val="Hyperlink"/>
            <w:sz w:val="24"/>
            <w:lang w:val="bg-BG"/>
          </w:rPr>
          <w:t>http://data.europa.eu/eli/reg/2024/2509/oj</w:t>
        </w:r>
      </w:hyperlink>
      <w:r w:rsidRPr="00192FCB">
        <w:rPr>
          <w:sz w:val="24"/>
          <w:lang w:val="bg-BG"/>
        </w:rPr>
        <w:t>.</w:t>
      </w:r>
    </w:p>
  </w:footnote>
  <w:footnote w:id="173">
    <w:p w14:paraId="34AE942A" w14:textId="12FD022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189, 28.5.2021 г., стр. 61, ELI: </w:t>
      </w:r>
      <w:hyperlink r:id="rId173" w:history="1">
        <w:r w:rsidRPr="00192FCB">
          <w:rPr>
            <w:rStyle w:val="Hyperlink"/>
            <w:sz w:val="24"/>
            <w:lang w:val="bg-BG"/>
          </w:rPr>
          <w:t>https://data.europa.eu/eli/reg/2021/819/oj</w:t>
        </w:r>
      </w:hyperlink>
      <w:r w:rsidRPr="00192FCB">
        <w:rPr>
          <w:sz w:val="24"/>
          <w:lang w:val="bg-BG"/>
        </w:rPr>
        <w:t>.</w:t>
      </w:r>
    </w:p>
  </w:footnote>
  <w:footnote w:id="174">
    <w:p w14:paraId="2876EF8B" w14:textId="7E1F087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74" w:history="1">
        <w:r w:rsidRPr="00192FCB">
          <w:rPr>
            <w:rStyle w:val="Hyperlink"/>
            <w:sz w:val="24"/>
            <w:lang w:val="bg-BG"/>
          </w:rPr>
          <w:t>http://data.europa.eu/eli/reg_del/2019/715/oj</w:t>
        </w:r>
      </w:hyperlink>
      <w:r w:rsidRPr="00192FCB">
        <w:rPr>
          <w:sz w:val="24"/>
          <w:lang w:val="bg-BG"/>
        </w:rPr>
        <w:t>.</w:t>
      </w:r>
    </w:p>
  </w:footnote>
  <w:footnote w:id="175">
    <w:p w14:paraId="75D06AA1" w14:textId="2B5F32D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7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176">
    <w:p w14:paraId="57979919" w14:textId="600A691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17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177">
    <w:p w14:paraId="6DD94299" w14:textId="1D80175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177" w:history="1">
        <w:r w:rsidRPr="00192FCB">
          <w:rPr>
            <w:rStyle w:val="Hyperlink"/>
            <w:sz w:val="24"/>
            <w:lang w:val="bg-BG"/>
          </w:rPr>
          <w:t>http://data.europa.eu/eli/reg/2018/1046/oj</w:t>
        </w:r>
      </w:hyperlink>
      <w:r w:rsidRPr="00192FCB">
        <w:rPr>
          <w:sz w:val="24"/>
          <w:lang w:val="bg-BG"/>
        </w:rPr>
        <w:t>.</w:t>
      </w:r>
    </w:p>
  </w:footnote>
  <w:footnote w:id="178">
    <w:p w14:paraId="42DCE4B6" w14:textId="7129DA7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78" w:history="1">
        <w:r w:rsidRPr="00192FCB">
          <w:rPr>
            <w:rStyle w:val="Hyperlink"/>
            <w:sz w:val="24"/>
            <w:lang w:val="bg-BG"/>
          </w:rPr>
          <w:t>http://data.europa.eu/eli/reg/2024/2509/oj</w:t>
        </w:r>
      </w:hyperlink>
      <w:r w:rsidRPr="00192FCB">
        <w:rPr>
          <w:sz w:val="24"/>
          <w:lang w:val="bg-BG"/>
        </w:rPr>
        <w:t>.</w:t>
      </w:r>
    </w:p>
  </w:footnote>
  <w:footnote w:id="179">
    <w:p w14:paraId="2F3F0125" w14:textId="120395B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189, 28.5.2021 г., стр. 61, ELI: </w:t>
      </w:r>
      <w:hyperlink r:id="rId179" w:history="1">
        <w:r w:rsidRPr="00192FCB">
          <w:rPr>
            <w:rStyle w:val="Hyperlink"/>
            <w:sz w:val="24"/>
            <w:lang w:val="bg-BG"/>
          </w:rPr>
          <w:t>https://data.europa.eu/eli/reg/2021/819/oj</w:t>
        </w:r>
      </w:hyperlink>
      <w:r w:rsidRPr="00192FCB">
        <w:rPr>
          <w:sz w:val="24"/>
          <w:lang w:val="bg-BG"/>
        </w:rPr>
        <w:t>.</w:t>
      </w:r>
    </w:p>
  </w:footnote>
  <w:footnote w:id="180">
    <w:p w14:paraId="1F1BB8EB" w14:textId="191230E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80" w:history="1">
        <w:r w:rsidRPr="00192FCB">
          <w:rPr>
            <w:rStyle w:val="Hyperlink"/>
            <w:sz w:val="24"/>
            <w:lang w:val="bg-BG"/>
          </w:rPr>
          <w:t>http://data.europa.eu/eli/reg_del/2019/715/oj</w:t>
        </w:r>
      </w:hyperlink>
      <w:r w:rsidRPr="00192FCB">
        <w:rPr>
          <w:sz w:val="24"/>
          <w:lang w:val="bg-BG"/>
        </w:rPr>
        <w:t>.</w:t>
      </w:r>
    </w:p>
  </w:footnote>
  <w:footnote w:id="181">
    <w:p w14:paraId="0591C5FF" w14:textId="34571E1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8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182">
    <w:p w14:paraId="44658B12" w14:textId="3987D9D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18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183">
    <w:p w14:paraId="06951DAA" w14:textId="3953269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183" w:history="1">
        <w:r w:rsidRPr="00192FCB">
          <w:rPr>
            <w:rStyle w:val="Hyperlink"/>
            <w:sz w:val="24"/>
            <w:lang w:val="bg-BG"/>
          </w:rPr>
          <w:t>http://data.europa.eu/eli/reg/2018/1046/oj</w:t>
        </w:r>
      </w:hyperlink>
      <w:r w:rsidRPr="00192FCB">
        <w:rPr>
          <w:sz w:val="24"/>
          <w:lang w:val="bg-BG"/>
        </w:rPr>
        <w:t>.</w:t>
      </w:r>
    </w:p>
  </w:footnote>
  <w:footnote w:id="184">
    <w:p w14:paraId="219FBA5B" w14:textId="329D70E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84" w:history="1">
        <w:r w:rsidRPr="00192FCB">
          <w:rPr>
            <w:rStyle w:val="Hyperlink"/>
            <w:sz w:val="24"/>
            <w:lang w:val="bg-BG"/>
          </w:rPr>
          <w:t>http://data.europa.eu/eli/reg/2024/2509/oj</w:t>
        </w:r>
      </w:hyperlink>
      <w:r w:rsidRPr="00192FCB">
        <w:rPr>
          <w:sz w:val="24"/>
          <w:lang w:val="bg-BG"/>
        </w:rPr>
        <w:t>.</w:t>
      </w:r>
    </w:p>
  </w:footnote>
  <w:footnote w:id="185">
    <w:p w14:paraId="07BD065C" w14:textId="5CED349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186, 11.7.2019 г., стр. 21, ELI: </w:t>
      </w:r>
      <w:hyperlink r:id="rId185" w:history="1">
        <w:r w:rsidRPr="00192FCB">
          <w:rPr>
            <w:rStyle w:val="Hyperlink"/>
            <w:sz w:val="24"/>
            <w:lang w:val="bg-BG"/>
          </w:rPr>
          <w:t>https://data.europa.eu/eli/reg/2019/1149/oj</w:t>
        </w:r>
      </w:hyperlink>
      <w:r w:rsidRPr="00192FCB">
        <w:rPr>
          <w:sz w:val="24"/>
          <w:lang w:val="bg-BG"/>
        </w:rPr>
        <w:t>.</w:t>
      </w:r>
    </w:p>
  </w:footnote>
  <w:footnote w:id="186">
    <w:p w14:paraId="79A9ADF7" w14:textId="1D9DECD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86" w:history="1">
        <w:r w:rsidRPr="00192FCB">
          <w:rPr>
            <w:rStyle w:val="Hyperlink"/>
            <w:sz w:val="24"/>
            <w:lang w:val="bg-BG"/>
          </w:rPr>
          <w:t>http://data.europa.eu/eli/reg_del/2019/715/oj</w:t>
        </w:r>
      </w:hyperlink>
      <w:r w:rsidRPr="00192FCB">
        <w:rPr>
          <w:sz w:val="24"/>
          <w:lang w:val="bg-BG"/>
        </w:rPr>
        <w:t>.</w:t>
      </w:r>
    </w:p>
  </w:footnote>
  <w:footnote w:id="187">
    <w:p w14:paraId="7D83E5EC" w14:textId="11FBB25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8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188">
    <w:p w14:paraId="48187F0D" w14:textId="034F0A6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18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189">
    <w:p w14:paraId="6ECEFA59" w14:textId="219B072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189" w:history="1">
        <w:r w:rsidRPr="00192FCB">
          <w:rPr>
            <w:rStyle w:val="Hyperlink"/>
            <w:sz w:val="24"/>
            <w:lang w:val="bg-BG"/>
          </w:rPr>
          <w:t>http://data.europa.eu/eli/reg/2018/1046/oj</w:t>
        </w:r>
      </w:hyperlink>
      <w:r w:rsidRPr="00192FCB">
        <w:rPr>
          <w:sz w:val="24"/>
          <w:lang w:val="bg-BG"/>
        </w:rPr>
        <w:t>.</w:t>
      </w:r>
    </w:p>
  </w:footnote>
  <w:footnote w:id="190">
    <w:p w14:paraId="1567265D" w14:textId="0DEF02B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90" w:history="1">
        <w:r w:rsidRPr="00192FCB">
          <w:rPr>
            <w:rStyle w:val="Hyperlink"/>
            <w:sz w:val="24"/>
            <w:lang w:val="bg-BG"/>
          </w:rPr>
          <w:t>http://data.europa.eu/eli/reg/2024/2509/oj</w:t>
        </w:r>
      </w:hyperlink>
      <w:r w:rsidRPr="00192FCB">
        <w:rPr>
          <w:sz w:val="24"/>
          <w:lang w:val="bg-BG"/>
        </w:rPr>
        <w:t>.</w:t>
      </w:r>
    </w:p>
  </w:footnote>
  <w:footnote w:id="191">
    <w:p w14:paraId="31378558" w14:textId="13C9045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186, 11.7.2019 г., стр. 21, ELI: </w:t>
      </w:r>
      <w:hyperlink r:id="rId191" w:history="1">
        <w:r w:rsidRPr="00192FCB">
          <w:rPr>
            <w:rStyle w:val="Hyperlink"/>
            <w:sz w:val="24"/>
            <w:lang w:val="bg-BG"/>
          </w:rPr>
          <w:t>https://data.europa.eu/eli/reg/2019/1149/oj</w:t>
        </w:r>
      </w:hyperlink>
      <w:r w:rsidRPr="00192FCB">
        <w:rPr>
          <w:sz w:val="24"/>
          <w:lang w:val="bg-BG"/>
        </w:rPr>
        <w:t>.</w:t>
      </w:r>
    </w:p>
  </w:footnote>
  <w:footnote w:id="192">
    <w:p w14:paraId="3A03465A" w14:textId="20273CB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92" w:history="1">
        <w:r w:rsidRPr="00192FCB">
          <w:rPr>
            <w:rStyle w:val="Hyperlink"/>
            <w:sz w:val="24"/>
            <w:lang w:val="bg-BG"/>
          </w:rPr>
          <w:t>http://data.europa.eu/eli/reg_del/2019/715/oj</w:t>
        </w:r>
      </w:hyperlink>
      <w:r w:rsidRPr="00192FCB">
        <w:rPr>
          <w:sz w:val="24"/>
          <w:lang w:val="bg-BG"/>
        </w:rPr>
        <w:t>.</w:t>
      </w:r>
    </w:p>
  </w:footnote>
  <w:footnote w:id="193">
    <w:p w14:paraId="2AAECC2E" w14:textId="051DE64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9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194">
    <w:p w14:paraId="0EDBC041" w14:textId="06B08EC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19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195">
    <w:p w14:paraId="1F6B324A" w14:textId="1905EAF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195" w:history="1">
        <w:r w:rsidRPr="00192FCB">
          <w:rPr>
            <w:rStyle w:val="Hyperlink"/>
            <w:sz w:val="24"/>
            <w:lang w:val="bg-BG"/>
          </w:rPr>
          <w:t>http://data.europa.eu/eli/reg/2018/1046/oj</w:t>
        </w:r>
      </w:hyperlink>
      <w:r w:rsidRPr="00192FCB">
        <w:rPr>
          <w:sz w:val="24"/>
          <w:lang w:val="bg-BG"/>
        </w:rPr>
        <w:t>.</w:t>
      </w:r>
    </w:p>
  </w:footnote>
  <w:footnote w:id="196">
    <w:p w14:paraId="6E750EF5" w14:textId="7E39B04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196" w:history="1">
        <w:r w:rsidRPr="00192FCB">
          <w:rPr>
            <w:rStyle w:val="Hyperlink"/>
            <w:sz w:val="24"/>
            <w:lang w:val="bg-BG"/>
          </w:rPr>
          <w:t>http://data.europa.eu/eli/reg/2024/2509/oj</w:t>
        </w:r>
      </w:hyperlink>
      <w:r w:rsidRPr="00192FCB">
        <w:rPr>
          <w:sz w:val="24"/>
          <w:lang w:val="bg-BG"/>
        </w:rPr>
        <w:t>.</w:t>
      </w:r>
    </w:p>
  </w:footnote>
  <w:footnote w:id="197">
    <w:p w14:paraId="1BCBB130" w14:textId="2EE2457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136, 30.4.2004 г., стр. 1, ELI: </w:t>
      </w:r>
      <w:hyperlink r:id="rId197" w:history="1">
        <w:r w:rsidRPr="00192FCB">
          <w:rPr>
            <w:rStyle w:val="Hyperlink"/>
            <w:sz w:val="24"/>
            <w:lang w:val="bg-BG"/>
          </w:rPr>
          <w:t>http://data.europa.eu/eli/reg/2004/726/oj</w:t>
        </w:r>
      </w:hyperlink>
      <w:r w:rsidRPr="00192FCB">
        <w:rPr>
          <w:sz w:val="24"/>
          <w:lang w:val="bg-BG"/>
        </w:rPr>
        <w:t>.</w:t>
      </w:r>
    </w:p>
  </w:footnote>
  <w:footnote w:id="198">
    <w:p w14:paraId="70592C5E" w14:textId="342BE45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198" w:history="1">
        <w:r w:rsidRPr="00192FCB">
          <w:rPr>
            <w:rStyle w:val="Hyperlink"/>
            <w:sz w:val="24"/>
            <w:lang w:val="bg-BG"/>
          </w:rPr>
          <w:t>http://data.europa.eu/eli/reg_del/2019/715/oj</w:t>
        </w:r>
      </w:hyperlink>
      <w:r w:rsidRPr="00192FCB">
        <w:rPr>
          <w:sz w:val="24"/>
          <w:lang w:val="bg-BG"/>
        </w:rPr>
        <w:t>.</w:t>
      </w:r>
    </w:p>
  </w:footnote>
  <w:footnote w:id="199">
    <w:p w14:paraId="2807F940" w14:textId="0569B75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19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00">
    <w:p w14:paraId="54F1E3B1" w14:textId="77D3114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0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01">
    <w:p w14:paraId="5EB8D62A" w14:textId="08D5199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01" w:history="1">
        <w:r w:rsidRPr="00192FCB">
          <w:rPr>
            <w:rStyle w:val="Hyperlink"/>
            <w:sz w:val="24"/>
            <w:lang w:val="bg-BG"/>
          </w:rPr>
          <w:t>http://data.europa.eu/eli/reg/2018/1046/oj</w:t>
        </w:r>
      </w:hyperlink>
      <w:r w:rsidRPr="00192FCB">
        <w:rPr>
          <w:sz w:val="24"/>
          <w:lang w:val="bg-BG"/>
        </w:rPr>
        <w:t>.</w:t>
      </w:r>
    </w:p>
  </w:footnote>
  <w:footnote w:id="202">
    <w:p w14:paraId="73FCF36E" w14:textId="1A92931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02" w:history="1">
        <w:r w:rsidRPr="00192FCB">
          <w:rPr>
            <w:rStyle w:val="Hyperlink"/>
            <w:sz w:val="24"/>
            <w:lang w:val="bg-BG"/>
          </w:rPr>
          <w:t>http://data.europa.eu/eli/reg/2024/2509/oj</w:t>
        </w:r>
      </w:hyperlink>
      <w:r w:rsidRPr="00192FCB">
        <w:rPr>
          <w:sz w:val="24"/>
          <w:lang w:val="bg-BG"/>
        </w:rPr>
        <w:t>.</w:t>
      </w:r>
    </w:p>
  </w:footnote>
  <w:footnote w:id="203">
    <w:p w14:paraId="4A13AB8F" w14:textId="5D21432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136, 30.4.2004 г., стр. 1, ELI: </w:t>
      </w:r>
      <w:hyperlink r:id="rId203" w:history="1">
        <w:r w:rsidRPr="00192FCB">
          <w:rPr>
            <w:rStyle w:val="Hyperlink"/>
            <w:sz w:val="24"/>
            <w:lang w:val="bg-BG"/>
          </w:rPr>
          <w:t>http://data.europa.eu/eli/reg/2004/726/oj</w:t>
        </w:r>
      </w:hyperlink>
      <w:r w:rsidRPr="00192FCB">
        <w:rPr>
          <w:sz w:val="24"/>
          <w:lang w:val="bg-BG"/>
        </w:rPr>
        <w:t>.</w:t>
      </w:r>
    </w:p>
  </w:footnote>
  <w:footnote w:id="204">
    <w:p w14:paraId="6FA97CAA" w14:textId="01ACB5C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204" w:history="1">
        <w:r w:rsidRPr="00192FCB">
          <w:rPr>
            <w:rStyle w:val="Hyperlink"/>
            <w:sz w:val="24"/>
            <w:lang w:val="bg-BG"/>
          </w:rPr>
          <w:t>http://data.europa.eu/eli/reg_del/2019/715/oj</w:t>
        </w:r>
      </w:hyperlink>
      <w:r w:rsidRPr="00192FCB">
        <w:rPr>
          <w:sz w:val="24"/>
          <w:lang w:val="bg-BG"/>
        </w:rPr>
        <w:t>.</w:t>
      </w:r>
    </w:p>
  </w:footnote>
  <w:footnote w:id="205">
    <w:p w14:paraId="54207F4A" w14:textId="43F3369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20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06">
    <w:p w14:paraId="7DC02BB2" w14:textId="3668DDC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0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07">
    <w:p w14:paraId="5059487E" w14:textId="3F64894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07" w:history="1">
        <w:r w:rsidRPr="00192FCB">
          <w:rPr>
            <w:rStyle w:val="Hyperlink"/>
            <w:sz w:val="24"/>
            <w:lang w:val="bg-BG"/>
          </w:rPr>
          <w:t>http://data.europa.eu/eli/reg/2018/1046/oj</w:t>
        </w:r>
      </w:hyperlink>
      <w:r w:rsidRPr="00192FCB">
        <w:rPr>
          <w:sz w:val="24"/>
          <w:lang w:val="bg-BG"/>
        </w:rPr>
        <w:t>.</w:t>
      </w:r>
    </w:p>
  </w:footnote>
  <w:footnote w:id="208">
    <w:p w14:paraId="0C3EFB4B" w14:textId="50CD112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08" w:history="1">
        <w:r w:rsidRPr="00192FCB">
          <w:rPr>
            <w:rStyle w:val="Hyperlink"/>
            <w:sz w:val="24"/>
            <w:lang w:val="bg-BG"/>
          </w:rPr>
          <w:t>http://data.europa.eu/eli/reg/2024/2509/oj</w:t>
        </w:r>
      </w:hyperlink>
      <w:r w:rsidRPr="00192FCB">
        <w:rPr>
          <w:sz w:val="24"/>
          <w:lang w:val="bg-BG"/>
        </w:rPr>
        <w:t>.</w:t>
      </w:r>
    </w:p>
  </w:footnote>
  <w:footnote w:id="209">
    <w:p w14:paraId="673B26D7" w14:textId="1143976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376, 27.12.2006 г., стр. 1, ELI: </w:t>
      </w:r>
      <w:hyperlink r:id="rId209" w:history="1">
        <w:r w:rsidRPr="00192FCB">
          <w:rPr>
            <w:rStyle w:val="Hyperlink"/>
            <w:sz w:val="24"/>
            <w:lang w:val="bg-BG"/>
          </w:rPr>
          <w:t>https://data.europa.eu/eli/reg/2006/1920/oj</w:t>
        </w:r>
      </w:hyperlink>
      <w:r w:rsidRPr="00192FCB">
        <w:rPr>
          <w:sz w:val="24"/>
          <w:lang w:val="bg-BG"/>
        </w:rPr>
        <w:t>.</w:t>
      </w:r>
    </w:p>
  </w:footnote>
  <w:footnote w:id="210">
    <w:p w14:paraId="634DE197" w14:textId="5BFA315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166, 30.6.2023 г., стр. 6, ELI: </w:t>
      </w:r>
      <w:hyperlink r:id="rId210" w:history="1">
        <w:r w:rsidRPr="00192FCB">
          <w:rPr>
            <w:rStyle w:val="Hyperlink"/>
            <w:sz w:val="24"/>
            <w:lang w:val="bg-BG"/>
          </w:rPr>
          <w:t>https://data.europa.eu/eli/reg/2023/1322/oj</w:t>
        </w:r>
      </w:hyperlink>
      <w:r w:rsidRPr="00192FCB">
        <w:rPr>
          <w:sz w:val="24"/>
          <w:lang w:val="bg-BG"/>
        </w:rPr>
        <w:t>.</w:t>
      </w:r>
    </w:p>
  </w:footnote>
  <w:footnote w:id="211">
    <w:p w14:paraId="3DD455BE" w14:textId="06FE38D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211" w:history="1">
        <w:r w:rsidRPr="00192FCB">
          <w:rPr>
            <w:rStyle w:val="Hyperlink"/>
            <w:sz w:val="24"/>
            <w:lang w:val="bg-BG"/>
          </w:rPr>
          <w:t>http://data.europa.eu/eli/reg_del/2019/715/oj</w:t>
        </w:r>
      </w:hyperlink>
      <w:r w:rsidRPr="00192FCB">
        <w:rPr>
          <w:sz w:val="24"/>
          <w:lang w:val="bg-BG"/>
        </w:rPr>
        <w:t>.</w:t>
      </w:r>
    </w:p>
  </w:footnote>
  <w:footnote w:id="212">
    <w:p w14:paraId="15EA257B" w14:textId="039B1B8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21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13">
    <w:p w14:paraId="52AC8FC9" w14:textId="16C75AE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1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14">
    <w:p w14:paraId="41150363" w14:textId="1FF309E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14" w:history="1">
        <w:r w:rsidRPr="00192FCB">
          <w:rPr>
            <w:rStyle w:val="Hyperlink"/>
            <w:sz w:val="24"/>
            <w:lang w:val="bg-BG"/>
          </w:rPr>
          <w:t>http://data.europa.eu/eli/reg/2018/1046/oj</w:t>
        </w:r>
      </w:hyperlink>
      <w:r w:rsidRPr="00192FCB">
        <w:rPr>
          <w:sz w:val="24"/>
          <w:lang w:val="bg-BG"/>
        </w:rPr>
        <w:t>.</w:t>
      </w:r>
    </w:p>
  </w:footnote>
  <w:footnote w:id="215">
    <w:p w14:paraId="5E2FBFFC" w14:textId="720E75D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15" w:history="1">
        <w:r w:rsidRPr="00192FCB">
          <w:rPr>
            <w:rStyle w:val="Hyperlink"/>
            <w:sz w:val="24"/>
            <w:lang w:val="bg-BG"/>
          </w:rPr>
          <w:t>http://data.europa.eu/eli/reg/2024/2509/oj</w:t>
        </w:r>
      </w:hyperlink>
      <w:r w:rsidRPr="00192FCB">
        <w:rPr>
          <w:sz w:val="24"/>
          <w:lang w:val="bg-BG"/>
        </w:rPr>
        <w:t>.</w:t>
      </w:r>
    </w:p>
  </w:footnote>
  <w:footnote w:id="216">
    <w:p w14:paraId="68E50A46" w14:textId="3E38B77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376, 27.12.2006 г., стр. 1, ELI: </w:t>
      </w:r>
      <w:hyperlink r:id="rId216" w:history="1">
        <w:r w:rsidRPr="00192FCB">
          <w:rPr>
            <w:rStyle w:val="Hyperlink"/>
            <w:sz w:val="24"/>
            <w:lang w:val="bg-BG"/>
          </w:rPr>
          <w:t>https://data.europa.eu/eli/reg/2006/1920/oj</w:t>
        </w:r>
      </w:hyperlink>
      <w:r w:rsidRPr="00192FCB">
        <w:rPr>
          <w:sz w:val="24"/>
          <w:lang w:val="bg-BG"/>
        </w:rPr>
        <w:t>.</w:t>
      </w:r>
    </w:p>
  </w:footnote>
  <w:footnote w:id="217">
    <w:p w14:paraId="35C81691" w14:textId="2B39150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166, 30.6.2023 г., стр. 6, ELI: </w:t>
      </w:r>
      <w:hyperlink r:id="rId217" w:history="1">
        <w:r w:rsidRPr="00192FCB">
          <w:rPr>
            <w:rStyle w:val="Hyperlink"/>
            <w:sz w:val="24"/>
            <w:lang w:val="bg-BG"/>
          </w:rPr>
          <w:t>https://data.europa.eu/eli/reg/2023/1322/oj</w:t>
        </w:r>
      </w:hyperlink>
      <w:r w:rsidRPr="00192FCB">
        <w:rPr>
          <w:sz w:val="24"/>
          <w:lang w:val="bg-BG"/>
        </w:rPr>
        <w:t>.</w:t>
      </w:r>
    </w:p>
  </w:footnote>
  <w:footnote w:id="218">
    <w:p w14:paraId="58168B2C" w14:textId="6045FC3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218" w:history="1">
        <w:r w:rsidRPr="00192FCB">
          <w:rPr>
            <w:rStyle w:val="Hyperlink"/>
            <w:sz w:val="24"/>
            <w:lang w:val="bg-BG"/>
          </w:rPr>
          <w:t>http://data.europa.eu/eli/reg_del/2019/715/oj</w:t>
        </w:r>
      </w:hyperlink>
      <w:r w:rsidRPr="00192FCB">
        <w:rPr>
          <w:sz w:val="24"/>
          <w:lang w:val="bg-BG"/>
        </w:rPr>
        <w:t>.</w:t>
      </w:r>
    </w:p>
  </w:footnote>
  <w:footnote w:id="219">
    <w:p w14:paraId="73E5F04C" w14:textId="5313810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21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20">
    <w:p w14:paraId="5740813A" w14:textId="071CDBB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2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21">
    <w:p w14:paraId="60AA8461" w14:textId="3E5FB00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21" w:history="1">
        <w:r w:rsidRPr="00192FCB">
          <w:rPr>
            <w:rStyle w:val="Hyperlink"/>
            <w:sz w:val="24"/>
            <w:lang w:val="bg-BG"/>
          </w:rPr>
          <w:t>http://data.europa.eu/eli/reg/2018/1046/oj</w:t>
        </w:r>
      </w:hyperlink>
      <w:r w:rsidRPr="00192FCB">
        <w:rPr>
          <w:sz w:val="24"/>
          <w:lang w:val="bg-BG"/>
        </w:rPr>
        <w:t>.</w:t>
      </w:r>
    </w:p>
  </w:footnote>
  <w:footnote w:id="222">
    <w:p w14:paraId="08A5762D" w14:textId="4546DE4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22" w:history="1">
        <w:r w:rsidRPr="00192FCB">
          <w:rPr>
            <w:rStyle w:val="Hyperlink"/>
            <w:sz w:val="24"/>
            <w:lang w:val="bg-BG"/>
          </w:rPr>
          <w:t>http://data.europa.eu/eli/reg/2024/2509/oj</w:t>
        </w:r>
      </w:hyperlink>
      <w:r w:rsidRPr="00192FCB">
        <w:rPr>
          <w:sz w:val="24"/>
          <w:lang w:val="bg-BG"/>
        </w:rPr>
        <w:t>.</w:t>
      </w:r>
    </w:p>
  </w:footnote>
  <w:footnote w:id="223">
    <w:p w14:paraId="4EB35644" w14:textId="4DBB81E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208, 5.8.2002 г., стр. 1, ELI: </w:t>
      </w:r>
      <w:hyperlink r:id="rId223" w:history="1">
        <w:r w:rsidRPr="00192FCB">
          <w:rPr>
            <w:rStyle w:val="Hyperlink"/>
            <w:sz w:val="24"/>
            <w:lang w:val="bg-BG"/>
          </w:rPr>
          <w:t>https://data.europa.eu/eli/reg/2002/1406/oj</w:t>
        </w:r>
      </w:hyperlink>
      <w:r w:rsidRPr="00192FCB">
        <w:rPr>
          <w:sz w:val="24"/>
          <w:lang w:val="bg-BG"/>
        </w:rPr>
        <w:t>.</w:t>
      </w:r>
    </w:p>
  </w:footnote>
  <w:footnote w:id="224">
    <w:p w14:paraId="51015834" w14:textId="7C8FD2A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224" w:history="1">
        <w:r w:rsidRPr="00192FCB">
          <w:rPr>
            <w:rStyle w:val="Hyperlink"/>
            <w:sz w:val="24"/>
            <w:lang w:val="bg-BG"/>
          </w:rPr>
          <w:t>http://data.europa.eu/eli/reg_del/2019/715/oj</w:t>
        </w:r>
      </w:hyperlink>
      <w:r w:rsidRPr="00192FCB">
        <w:rPr>
          <w:sz w:val="24"/>
          <w:lang w:val="bg-BG"/>
        </w:rPr>
        <w:t>.</w:t>
      </w:r>
    </w:p>
  </w:footnote>
  <w:footnote w:id="225">
    <w:p w14:paraId="3BA19324" w14:textId="141FDED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22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26">
    <w:p w14:paraId="40969429" w14:textId="3C3686A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2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27">
    <w:p w14:paraId="6BBEB8B1" w14:textId="53527E3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27" w:history="1">
        <w:r w:rsidRPr="00192FCB">
          <w:rPr>
            <w:rStyle w:val="Hyperlink"/>
            <w:sz w:val="24"/>
            <w:lang w:val="bg-BG"/>
          </w:rPr>
          <w:t>http://data.europa.eu/eli/reg/2018/1046/oj</w:t>
        </w:r>
      </w:hyperlink>
      <w:r w:rsidRPr="00192FCB">
        <w:rPr>
          <w:sz w:val="24"/>
          <w:lang w:val="bg-BG"/>
        </w:rPr>
        <w:t>.</w:t>
      </w:r>
    </w:p>
  </w:footnote>
  <w:footnote w:id="228">
    <w:p w14:paraId="0EC0494D" w14:textId="3CF9867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28" w:history="1">
        <w:r w:rsidRPr="00192FCB">
          <w:rPr>
            <w:rStyle w:val="Hyperlink"/>
            <w:sz w:val="24"/>
            <w:lang w:val="bg-BG"/>
          </w:rPr>
          <w:t>http://data.europa.eu/eli/reg/2024/2509/oj</w:t>
        </w:r>
      </w:hyperlink>
      <w:r w:rsidRPr="00192FCB">
        <w:rPr>
          <w:sz w:val="24"/>
          <w:lang w:val="bg-BG"/>
        </w:rPr>
        <w:t>.</w:t>
      </w:r>
    </w:p>
  </w:footnote>
  <w:footnote w:id="229">
    <w:p w14:paraId="01C8D123" w14:textId="79A16B8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208, 5.8.2002 г., стр. 1, ELI: </w:t>
      </w:r>
      <w:hyperlink r:id="rId229" w:history="1">
        <w:r w:rsidRPr="00192FCB">
          <w:rPr>
            <w:rStyle w:val="Hyperlink"/>
            <w:sz w:val="24"/>
            <w:lang w:val="bg-BG"/>
          </w:rPr>
          <w:t>https://data.europa.eu/eli/reg/2002/1406/oj</w:t>
        </w:r>
      </w:hyperlink>
      <w:r w:rsidRPr="00192FCB">
        <w:rPr>
          <w:sz w:val="24"/>
          <w:lang w:val="bg-BG"/>
        </w:rPr>
        <w:t>.</w:t>
      </w:r>
    </w:p>
  </w:footnote>
  <w:footnote w:id="230">
    <w:p w14:paraId="100BEE1B" w14:textId="23E9E5A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230" w:history="1">
        <w:r w:rsidRPr="00192FCB">
          <w:rPr>
            <w:rStyle w:val="Hyperlink"/>
            <w:sz w:val="24"/>
            <w:lang w:val="bg-BG"/>
          </w:rPr>
          <w:t>http://data.europa.eu/eli/reg_del/2019/715/oj</w:t>
        </w:r>
      </w:hyperlink>
      <w:r w:rsidRPr="00192FCB">
        <w:rPr>
          <w:sz w:val="24"/>
          <w:lang w:val="bg-BG"/>
        </w:rPr>
        <w:t>.</w:t>
      </w:r>
    </w:p>
  </w:footnote>
  <w:footnote w:id="231">
    <w:p w14:paraId="34BA32BD" w14:textId="2B41EB8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23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32">
    <w:p w14:paraId="66395E97" w14:textId="71295AA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3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33">
    <w:p w14:paraId="41EEB034" w14:textId="19559DD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33" w:history="1">
        <w:r w:rsidRPr="00192FCB">
          <w:rPr>
            <w:rStyle w:val="Hyperlink"/>
            <w:sz w:val="24"/>
            <w:lang w:val="bg-BG"/>
          </w:rPr>
          <w:t>http://data.europa.eu/eli/reg/2018/1046/oj</w:t>
        </w:r>
      </w:hyperlink>
      <w:r w:rsidRPr="00192FCB">
        <w:rPr>
          <w:sz w:val="24"/>
          <w:lang w:val="bg-BG"/>
        </w:rPr>
        <w:t>.</w:t>
      </w:r>
    </w:p>
  </w:footnote>
  <w:footnote w:id="234">
    <w:p w14:paraId="7CEAA390" w14:textId="6A8DBD9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34" w:history="1">
        <w:r w:rsidRPr="00192FCB">
          <w:rPr>
            <w:rStyle w:val="Hyperlink"/>
            <w:sz w:val="24"/>
            <w:lang w:val="bg-BG"/>
          </w:rPr>
          <w:t>http://data.europa.eu/eli/reg/2024/2509/oj</w:t>
        </w:r>
      </w:hyperlink>
      <w:r w:rsidRPr="00192FCB">
        <w:rPr>
          <w:sz w:val="24"/>
          <w:lang w:val="bg-BG"/>
        </w:rPr>
        <w:t>.</w:t>
      </w:r>
    </w:p>
  </w:footnote>
  <w:footnote w:id="235">
    <w:p w14:paraId="5091C200" w14:textId="14E6118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151, 7.6.2019 г., стр. 15, ELI: </w:t>
      </w:r>
      <w:hyperlink r:id="rId235" w:history="1">
        <w:r w:rsidRPr="00192FCB">
          <w:rPr>
            <w:rStyle w:val="Hyperlink"/>
            <w:sz w:val="24"/>
            <w:lang w:val="bg-BG"/>
          </w:rPr>
          <w:t>https://data.europa.eu/eli/reg/2019/881/oj</w:t>
        </w:r>
      </w:hyperlink>
      <w:r w:rsidRPr="00192FCB">
        <w:rPr>
          <w:sz w:val="24"/>
          <w:lang w:val="bg-BG"/>
        </w:rPr>
        <w:t>.</w:t>
      </w:r>
    </w:p>
  </w:footnote>
  <w:footnote w:id="236">
    <w:p w14:paraId="02CC490E" w14:textId="77C3DFE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236" w:history="1">
        <w:r w:rsidRPr="00192FCB">
          <w:rPr>
            <w:rStyle w:val="Hyperlink"/>
            <w:sz w:val="24"/>
            <w:lang w:val="bg-BG"/>
          </w:rPr>
          <w:t>http://data.europa.eu/eli/reg_del/2019/715/oj</w:t>
        </w:r>
      </w:hyperlink>
      <w:r w:rsidRPr="00192FCB">
        <w:rPr>
          <w:sz w:val="24"/>
          <w:lang w:val="bg-BG"/>
        </w:rPr>
        <w:t>.</w:t>
      </w:r>
    </w:p>
  </w:footnote>
  <w:footnote w:id="237">
    <w:p w14:paraId="721B4366" w14:textId="4849DD0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23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38">
    <w:p w14:paraId="1AF58B6F" w14:textId="0F4938A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3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39">
    <w:p w14:paraId="58F2D09A" w14:textId="244C34D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39" w:history="1">
        <w:r w:rsidRPr="00192FCB">
          <w:rPr>
            <w:rStyle w:val="Hyperlink"/>
            <w:sz w:val="24"/>
            <w:lang w:val="bg-BG"/>
          </w:rPr>
          <w:t>http://data.europa.eu/eli/reg/2018/1046/oj</w:t>
        </w:r>
      </w:hyperlink>
      <w:r w:rsidRPr="00192FCB">
        <w:rPr>
          <w:sz w:val="24"/>
          <w:lang w:val="bg-BG"/>
        </w:rPr>
        <w:t>.</w:t>
      </w:r>
    </w:p>
  </w:footnote>
  <w:footnote w:id="240">
    <w:p w14:paraId="76399562" w14:textId="1515BC3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40" w:history="1">
        <w:r w:rsidRPr="00192FCB">
          <w:rPr>
            <w:rStyle w:val="Hyperlink"/>
            <w:sz w:val="24"/>
            <w:lang w:val="bg-BG"/>
          </w:rPr>
          <w:t>http://data.europa.eu/eli/reg/2024/2509/oj</w:t>
        </w:r>
      </w:hyperlink>
      <w:r w:rsidRPr="00192FCB">
        <w:rPr>
          <w:sz w:val="24"/>
          <w:lang w:val="bg-BG"/>
        </w:rPr>
        <w:t>.</w:t>
      </w:r>
    </w:p>
  </w:footnote>
  <w:footnote w:id="241">
    <w:p w14:paraId="1A24D0F5" w14:textId="28B4852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151, 7.6.2019 г., стр. 15, ELI: </w:t>
      </w:r>
      <w:hyperlink r:id="rId241" w:history="1">
        <w:r w:rsidRPr="00192FCB">
          <w:rPr>
            <w:rStyle w:val="Hyperlink"/>
            <w:sz w:val="24"/>
            <w:lang w:val="bg-BG"/>
          </w:rPr>
          <w:t>https://data.europa.eu/eli/reg/2019/881/oj</w:t>
        </w:r>
      </w:hyperlink>
      <w:r w:rsidRPr="00192FCB">
        <w:rPr>
          <w:sz w:val="24"/>
          <w:lang w:val="bg-BG"/>
        </w:rPr>
        <w:t>.</w:t>
      </w:r>
    </w:p>
  </w:footnote>
  <w:footnote w:id="242">
    <w:p w14:paraId="11710054" w14:textId="52B9154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242" w:history="1">
        <w:r w:rsidRPr="00192FCB">
          <w:rPr>
            <w:rStyle w:val="Hyperlink"/>
            <w:sz w:val="24"/>
            <w:lang w:val="bg-BG"/>
          </w:rPr>
          <w:t>http://data.europa.eu/eli/reg_del/2019/715/oj</w:t>
        </w:r>
      </w:hyperlink>
      <w:r w:rsidRPr="00192FCB">
        <w:rPr>
          <w:sz w:val="24"/>
          <w:lang w:val="bg-BG"/>
        </w:rPr>
        <w:t>.</w:t>
      </w:r>
    </w:p>
  </w:footnote>
  <w:footnote w:id="243">
    <w:p w14:paraId="37264845" w14:textId="4F2F87F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24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44">
    <w:p w14:paraId="52AF49EB" w14:textId="1BB6105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4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45">
    <w:p w14:paraId="29B3A7D2" w14:textId="4FB1893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45" w:history="1">
        <w:r w:rsidRPr="00192FCB">
          <w:rPr>
            <w:rStyle w:val="Hyperlink"/>
            <w:sz w:val="24"/>
            <w:lang w:val="bg-BG"/>
          </w:rPr>
          <w:t>http://data.europa.eu/eli/reg/2018/1046/oj</w:t>
        </w:r>
      </w:hyperlink>
      <w:r w:rsidRPr="00192FCB">
        <w:rPr>
          <w:sz w:val="24"/>
          <w:lang w:val="bg-BG"/>
        </w:rPr>
        <w:t>.</w:t>
      </w:r>
    </w:p>
  </w:footnote>
  <w:footnote w:id="246">
    <w:p w14:paraId="6C39E8E5" w14:textId="7D2917F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46" w:history="1">
        <w:r w:rsidRPr="00192FCB">
          <w:rPr>
            <w:rStyle w:val="Hyperlink"/>
            <w:sz w:val="24"/>
            <w:lang w:val="bg-BG"/>
          </w:rPr>
          <w:t>http://data.europa.eu/eli/reg/2024/2509/oj</w:t>
        </w:r>
      </w:hyperlink>
      <w:r w:rsidRPr="00192FCB">
        <w:rPr>
          <w:sz w:val="24"/>
          <w:lang w:val="bg-BG"/>
        </w:rPr>
        <w:t>.</w:t>
      </w:r>
    </w:p>
  </w:footnote>
  <w:footnote w:id="247">
    <w:p w14:paraId="04A88F95" w14:textId="4D4F5DF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138, 26.5.2016 г., стр. 1, ELI: </w:t>
      </w:r>
      <w:hyperlink r:id="rId247" w:history="1">
        <w:r w:rsidRPr="00192FCB">
          <w:rPr>
            <w:rStyle w:val="Hyperlink"/>
            <w:sz w:val="24"/>
            <w:lang w:val="bg-BG"/>
          </w:rPr>
          <w:t>https://data.europa.eu/eli/reg/2016/796/oj</w:t>
        </w:r>
      </w:hyperlink>
      <w:r w:rsidRPr="00192FCB">
        <w:rPr>
          <w:sz w:val="24"/>
          <w:lang w:val="bg-BG"/>
        </w:rPr>
        <w:t>.</w:t>
      </w:r>
    </w:p>
  </w:footnote>
  <w:footnote w:id="248">
    <w:p w14:paraId="5198FA4E" w14:textId="22C3819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248" w:history="1">
        <w:r w:rsidRPr="00192FCB">
          <w:rPr>
            <w:rStyle w:val="Hyperlink"/>
            <w:sz w:val="24"/>
            <w:lang w:val="bg-BG"/>
          </w:rPr>
          <w:t>http://data.europa.eu/eli/reg_del/2019/715/oj</w:t>
        </w:r>
      </w:hyperlink>
      <w:r w:rsidRPr="00192FCB">
        <w:rPr>
          <w:sz w:val="24"/>
          <w:lang w:val="bg-BG"/>
        </w:rPr>
        <w:t>.</w:t>
      </w:r>
    </w:p>
  </w:footnote>
  <w:footnote w:id="249">
    <w:p w14:paraId="74C75E7F" w14:textId="065955D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24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50">
    <w:p w14:paraId="1F811803" w14:textId="0FEF673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5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51">
    <w:p w14:paraId="3682F7E4" w14:textId="00527B0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51" w:history="1">
        <w:r w:rsidRPr="00192FCB">
          <w:rPr>
            <w:rStyle w:val="Hyperlink"/>
            <w:sz w:val="24"/>
            <w:lang w:val="bg-BG"/>
          </w:rPr>
          <w:t>http://data.europa.eu/eli/reg/2018/1046/oj</w:t>
        </w:r>
      </w:hyperlink>
      <w:r w:rsidRPr="00192FCB">
        <w:rPr>
          <w:sz w:val="24"/>
          <w:lang w:val="bg-BG"/>
        </w:rPr>
        <w:t>.</w:t>
      </w:r>
    </w:p>
  </w:footnote>
  <w:footnote w:id="252">
    <w:p w14:paraId="596CC6A2" w14:textId="239E8BA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52" w:history="1">
        <w:r w:rsidRPr="00192FCB">
          <w:rPr>
            <w:rStyle w:val="Hyperlink"/>
            <w:sz w:val="24"/>
            <w:lang w:val="bg-BG"/>
          </w:rPr>
          <w:t>http://data.europa.eu/eli/reg/2024/2509/oj</w:t>
        </w:r>
      </w:hyperlink>
      <w:r w:rsidRPr="00192FCB">
        <w:rPr>
          <w:sz w:val="24"/>
          <w:lang w:val="bg-BG"/>
        </w:rPr>
        <w:t>.</w:t>
      </w:r>
    </w:p>
  </w:footnote>
  <w:footnote w:id="253">
    <w:p w14:paraId="3D0D28C4" w14:textId="562A8C2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138, 26.5.2016 г., стр. 1, ELI: </w:t>
      </w:r>
      <w:hyperlink r:id="rId253" w:history="1">
        <w:r w:rsidRPr="00192FCB">
          <w:rPr>
            <w:rStyle w:val="Hyperlink"/>
            <w:sz w:val="24"/>
            <w:lang w:val="bg-BG"/>
          </w:rPr>
          <w:t>https://data.europa.eu/eli/reg/2016/796/oj</w:t>
        </w:r>
      </w:hyperlink>
      <w:r w:rsidRPr="00192FCB">
        <w:rPr>
          <w:sz w:val="24"/>
          <w:lang w:val="bg-BG"/>
        </w:rPr>
        <w:t>.</w:t>
      </w:r>
    </w:p>
  </w:footnote>
  <w:footnote w:id="254">
    <w:p w14:paraId="3CE1C0F8" w14:textId="03FCCA5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254" w:history="1">
        <w:r w:rsidRPr="00192FCB">
          <w:rPr>
            <w:rStyle w:val="Hyperlink"/>
            <w:sz w:val="24"/>
            <w:lang w:val="bg-BG"/>
          </w:rPr>
          <w:t>http://data.europa.eu/eli/reg_del/2019/715/oj</w:t>
        </w:r>
      </w:hyperlink>
      <w:r w:rsidRPr="00192FCB">
        <w:rPr>
          <w:sz w:val="24"/>
          <w:lang w:val="bg-BG"/>
        </w:rPr>
        <w:t>.</w:t>
      </w:r>
    </w:p>
  </w:footnote>
  <w:footnote w:id="255">
    <w:p w14:paraId="3BB4B4CC" w14:textId="2FC44C3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25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56">
    <w:p w14:paraId="1E88D39F" w14:textId="2338EBB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5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57">
    <w:p w14:paraId="022B489E" w14:textId="184397F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57" w:history="1">
        <w:r w:rsidRPr="00192FCB">
          <w:rPr>
            <w:rStyle w:val="Hyperlink"/>
            <w:sz w:val="24"/>
            <w:lang w:val="bg-BG"/>
          </w:rPr>
          <w:t>http://data.europa.eu/eli/reg/2018/1046/oj</w:t>
        </w:r>
      </w:hyperlink>
      <w:r w:rsidRPr="00192FCB">
        <w:rPr>
          <w:sz w:val="24"/>
          <w:lang w:val="bg-BG"/>
        </w:rPr>
        <w:t>.</w:t>
      </w:r>
    </w:p>
  </w:footnote>
  <w:footnote w:id="258">
    <w:p w14:paraId="518D7E4F" w14:textId="3A235ED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58" w:history="1">
        <w:r w:rsidRPr="00192FCB">
          <w:rPr>
            <w:rStyle w:val="Hyperlink"/>
            <w:sz w:val="24"/>
            <w:lang w:val="bg-BG"/>
          </w:rPr>
          <w:t>http://data.europa.eu/eli/reg/2024/2509/oj</w:t>
        </w:r>
      </w:hyperlink>
      <w:r w:rsidRPr="00192FCB">
        <w:rPr>
          <w:sz w:val="24"/>
          <w:lang w:val="bg-BG"/>
        </w:rPr>
        <w:t>.</w:t>
      </w:r>
    </w:p>
  </w:footnote>
  <w:footnote w:id="259">
    <w:p w14:paraId="3C337D49" w14:textId="6911708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41, 15.2.2008 г., стр. 15, ELI: </w:t>
      </w:r>
      <w:hyperlink r:id="rId259" w:history="1">
        <w:r w:rsidRPr="00192FCB">
          <w:rPr>
            <w:rStyle w:val="Hyperlink"/>
            <w:sz w:val="24"/>
            <w:lang w:val="bg-BG"/>
          </w:rPr>
          <w:t>https://data.europa.eu/eli/dec/2008/114(1)/oj</w:t>
        </w:r>
      </w:hyperlink>
      <w:r w:rsidRPr="00192FCB">
        <w:rPr>
          <w:sz w:val="24"/>
          <w:lang w:val="bg-BG"/>
        </w:rPr>
        <w:t>.</w:t>
      </w:r>
    </w:p>
  </w:footnote>
  <w:footnote w:id="260">
    <w:p w14:paraId="1E5A292C" w14:textId="76F7A6D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26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61">
    <w:p w14:paraId="03EA33B0" w14:textId="2D4C5B0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6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62">
    <w:p w14:paraId="4ACD8AFA" w14:textId="7EE66FE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62" w:history="1">
        <w:r w:rsidRPr="00192FCB">
          <w:rPr>
            <w:rStyle w:val="Hyperlink"/>
            <w:sz w:val="24"/>
            <w:lang w:val="bg-BG"/>
          </w:rPr>
          <w:t>http://data.europa.eu/eli/reg/2018/1046/oj</w:t>
        </w:r>
      </w:hyperlink>
      <w:r w:rsidRPr="00192FCB">
        <w:rPr>
          <w:sz w:val="24"/>
          <w:lang w:val="bg-BG"/>
        </w:rPr>
        <w:t>.</w:t>
      </w:r>
    </w:p>
  </w:footnote>
  <w:footnote w:id="263">
    <w:p w14:paraId="4A5980D2" w14:textId="688A4F9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63" w:history="1">
        <w:r w:rsidRPr="00192FCB">
          <w:rPr>
            <w:rStyle w:val="Hyperlink"/>
            <w:sz w:val="24"/>
            <w:lang w:val="bg-BG"/>
          </w:rPr>
          <w:t>http://data.europa.eu/eli/reg/2024/2509/oj</w:t>
        </w:r>
      </w:hyperlink>
      <w:r w:rsidRPr="00192FCB">
        <w:rPr>
          <w:sz w:val="24"/>
          <w:lang w:val="bg-BG"/>
        </w:rPr>
        <w:t>.</w:t>
      </w:r>
    </w:p>
  </w:footnote>
  <w:footnote w:id="264">
    <w:p w14:paraId="66AFD69F" w14:textId="65E1A1F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41, 15.2.2008 г., стр. 15, ELI: </w:t>
      </w:r>
      <w:hyperlink r:id="rId264" w:history="1">
        <w:r w:rsidRPr="00192FCB">
          <w:rPr>
            <w:rStyle w:val="Hyperlink"/>
            <w:sz w:val="24"/>
            <w:lang w:val="bg-BG"/>
          </w:rPr>
          <w:t>https://data.europa.eu/eli/dec/2008/114(1)/oj</w:t>
        </w:r>
      </w:hyperlink>
      <w:r w:rsidRPr="00192FCB">
        <w:rPr>
          <w:sz w:val="24"/>
          <w:lang w:val="bg-BG"/>
        </w:rPr>
        <w:t>.</w:t>
      </w:r>
    </w:p>
  </w:footnote>
  <w:footnote w:id="265">
    <w:p w14:paraId="02C985E8" w14:textId="603921B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26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66">
    <w:p w14:paraId="0822B73A" w14:textId="18C8B51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6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67">
    <w:p w14:paraId="36DBEA6A" w14:textId="3A331BE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67" w:history="1">
        <w:r w:rsidRPr="00192FCB">
          <w:rPr>
            <w:rStyle w:val="Hyperlink"/>
            <w:sz w:val="24"/>
            <w:lang w:val="bg-BG"/>
          </w:rPr>
          <w:t>http://data.europa.eu/eli/reg/2018/1046/oj</w:t>
        </w:r>
      </w:hyperlink>
      <w:r w:rsidRPr="00192FCB">
        <w:rPr>
          <w:sz w:val="24"/>
          <w:lang w:val="bg-BG"/>
        </w:rPr>
        <w:t>.</w:t>
      </w:r>
    </w:p>
  </w:footnote>
  <w:footnote w:id="268">
    <w:p w14:paraId="2DBCB3C6" w14:textId="23185BB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68" w:history="1">
        <w:r w:rsidRPr="00192FCB">
          <w:rPr>
            <w:rStyle w:val="Hyperlink"/>
            <w:sz w:val="24"/>
            <w:lang w:val="bg-BG"/>
          </w:rPr>
          <w:t>http://data.europa.eu/eli/reg/2024/2509/oj</w:t>
        </w:r>
      </w:hyperlink>
      <w:r w:rsidRPr="00192FCB">
        <w:rPr>
          <w:sz w:val="24"/>
          <w:lang w:val="bg-BG"/>
        </w:rPr>
        <w:t>.</w:t>
      </w:r>
    </w:p>
  </w:footnote>
  <w:footnote w:id="269">
    <w:p w14:paraId="3B49843A" w14:textId="0975EFB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331, 15.12.2010 г., стр. 84, ELI: </w:t>
      </w:r>
      <w:hyperlink r:id="rId269" w:history="1">
        <w:r w:rsidRPr="00192FCB">
          <w:rPr>
            <w:rStyle w:val="Hyperlink"/>
            <w:sz w:val="24"/>
            <w:lang w:val="bg-BG"/>
          </w:rPr>
          <w:t>https://data.europa.eu/eli/reg/2010/1095/oj</w:t>
        </w:r>
      </w:hyperlink>
      <w:r w:rsidRPr="00192FCB">
        <w:rPr>
          <w:sz w:val="24"/>
          <w:lang w:val="bg-BG"/>
        </w:rPr>
        <w:t>.</w:t>
      </w:r>
    </w:p>
  </w:footnote>
  <w:footnote w:id="270">
    <w:p w14:paraId="0E6281FC" w14:textId="314ED56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270" w:history="1">
        <w:r w:rsidRPr="00192FCB">
          <w:rPr>
            <w:rStyle w:val="Hyperlink"/>
            <w:sz w:val="24"/>
            <w:lang w:val="bg-BG"/>
          </w:rPr>
          <w:t>http://data.europa.eu/eli/reg_del/2019/715/oj</w:t>
        </w:r>
      </w:hyperlink>
      <w:r w:rsidRPr="00192FCB">
        <w:rPr>
          <w:sz w:val="24"/>
          <w:lang w:val="bg-BG"/>
        </w:rPr>
        <w:t>.</w:t>
      </w:r>
    </w:p>
  </w:footnote>
  <w:footnote w:id="271">
    <w:p w14:paraId="74215D03" w14:textId="10D9817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27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72">
    <w:p w14:paraId="3EFA2C55" w14:textId="243D6B8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7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73">
    <w:p w14:paraId="1E83969E" w14:textId="51D0DFA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73" w:history="1">
        <w:r w:rsidRPr="00192FCB">
          <w:rPr>
            <w:rStyle w:val="Hyperlink"/>
            <w:sz w:val="24"/>
            <w:lang w:val="bg-BG"/>
          </w:rPr>
          <w:t>http://data.europa.eu/eli/reg/2018/1046/oj</w:t>
        </w:r>
      </w:hyperlink>
      <w:r w:rsidRPr="00192FCB">
        <w:rPr>
          <w:sz w:val="24"/>
          <w:lang w:val="bg-BG"/>
        </w:rPr>
        <w:t>.</w:t>
      </w:r>
    </w:p>
  </w:footnote>
  <w:footnote w:id="274">
    <w:p w14:paraId="3935E7CB" w14:textId="0A77917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74" w:history="1">
        <w:r w:rsidRPr="00192FCB">
          <w:rPr>
            <w:rStyle w:val="Hyperlink"/>
            <w:sz w:val="24"/>
            <w:lang w:val="bg-BG"/>
          </w:rPr>
          <w:t>http://data.europa.eu/eli/reg/2024/2509/oj</w:t>
        </w:r>
      </w:hyperlink>
      <w:r w:rsidRPr="00192FCB">
        <w:rPr>
          <w:sz w:val="24"/>
          <w:lang w:val="bg-BG"/>
        </w:rPr>
        <w:t>.</w:t>
      </w:r>
    </w:p>
  </w:footnote>
  <w:footnote w:id="275">
    <w:p w14:paraId="640A19A8" w14:textId="245B9EF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331, 15.12.2010 г., стр. 84, ELI: </w:t>
      </w:r>
      <w:hyperlink r:id="rId275" w:history="1">
        <w:r w:rsidRPr="00192FCB">
          <w:rPr>
            <w:rStyle w:val="Hyperlink"/>
            <w:sz w:val="24"/>
            <w:lang w:val="bg-BG"/>
          </w:rPr>
          <w:t>https://data.europa.eu/eli/reg/2010/1095/oj</w:t>
        </w:r>
      </w:hyperlink>
      <w:r w:rsidRPr="00192FCB">
        <w:rPr>
          <w:sz w:val="24"/>
          <w:lang w:val="bg-BG"/>
        </w:rPr>
        <w:t>.</w:t>
      </w:r>
    </w:p>
  </w:footnote>
  <w:footnote w:id="276">
    <w:p w14:paraId="728723BC" w14:textId="45E1557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276" w:history="1">
        <w:r w:rsidRPr="00192FCB">
          <w:rPr>
            <w:rStyle w:val="Hyperlink"/>
            <w:sz w:val="24"/>
            <w:lang w:val="bg-BG"/>
          </w:rPr>
          <w:t>http://data.europa.eu/eli/reg_del/2019/715/oj</w:t>
        </w:r>
      </w:hyperlink>
      <w:r w:rsidRPr="00192FCB">
        <w:rPr>
          <w:sz w:val="24"/>
          <w:lang w:val="bg-BG"/>
        </w:rPr>
        <w:t>.</w:t>
      </w:r>
    </w:p>
  </w:footnote>
  <w:footnote w:id="277">
    <w:p w14:paraId="4572DE1B" w14:textId="3B4C989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27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78">
    <w:p w14:paraId="62BF808E" w14:textId="6A5B90A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7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79">
    <w:p w14:paraId="67B3C41D" w14:textId="3F2CF49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79" w:history="1">
        <w:r w:rsidRPr="00192FCB">
          <w:rPr>
            <w:rStyle w:val="Hyperlink"/>
            <w:sz w:val="24"/>
            <w:lang w:val="bg-BG"/>
          </w:rPr>
          <w:t>http://data.europa.eu/eli/reg/2018/1046/oj</w:t>
        </w:r>
      </w:hyperlink>
      <w:r w:rsidRPr="00192FCB">
        <w:rPr>
          <w:sz w:val="24"/>
          <w:lang w:val="bg-BG"/>
        </w:rPr>
        <w:t>.</w:t>
      </w:r>
    </w:p>
  </w:footnote>
  <w:footnote w:id="280">
    <w:p w14:paraId="76778863" w14:textId="2736C0F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80" w:history="1">
        <w:r w:rsidRPr="00192FCB">
          <w:rPr>
            <w:rStyle w:val="Hyperlink"/>
            <w:sz w:val="24"/>
            <w:lang w:val="bg-BG"/>
          </w:rPr>
          <w:t>http://data.europa.eu/eli/reg/2024/2509/oj</w:t>
        </w:r>
      </w:hyperlink>
      <w:r w:rsidRPr="00192FCB">
        <w:rPr>
          <w:sz w:val="24"/>
          <w:lang w:val="bg-BG"/>
        </w:rPr>
        <w:t>.</w:t>
      </w:r>
    </w:p>
  </w:footnote>
  <w:footnote w:id="281">
    <w:p w14:paraId="62B847D5" w14:textId="464D6FC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354, 31.12.2008 г., стр. 82, ELI: </w:t>
      </w:r>
      <w:hyperlink r:id="rId281" w:history="1">
        <w:r w:rsidRPr="00192FCB">
          <w:rPr>
            <w:rStyle w:val="Hyperlink"/>
            <w:sz w:val="24"/>
            <w:lang w:val="bg-BG"/>
          </w:rPr>
          <w:t>https://data.europa.eu/eli/reg/2008/1339</w:t>
        </w:r>
      </w:hyperlink>
      <w:r w:rsidRPr="00192FCB">
        <w:rPr>
          <w:sz w:val="24"/>
          <w:lang w:val="bg-BG"/>
        </w:rPr>
        <w:t>.</w:t>
      </w:r>
    </w:p>
  </w:footnote>
  <w:footnote w:id="282">
    <w:p w14:paraId="52A8989C" w14:textId="71DEE1F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282" w:history="1">
        <w:r w:rsidRPr="00192FCB">
          <w:rPr>
            <w:rStyle w:val="Hyperlink"/>
            <w:sz w:val="24"/>
            <w:lang w:val="bg-BG"/>
          </w:rPr>
          <w:t>http://data.europa.eu/eli/reg_del/2019/715/oj</w:t>
        </w:r>
      </w:hyperlink>
      <w:r w:rsidRPr="00192FCB">
        <w:rPr>
          <w:sz w:val="24"/>
          <w:lang w:val="bg-BG"/>
        </w:rPr>
        <w:t>.</w:t>
      </w:r>
    </w:p>
  </w:footnote>
  <w:footnote w:id="283">
    <w:p w14:paraId="28F37788" w14:textId="2F9B3DF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28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84">
    <w:p w14:paraId="1F3D7499" w14:textId="729D4EB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8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85">
    <w:p w14:paraId="13AEE368" w14:textId="3C97DA0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85" w:history="1">
        <w:r w:rsidRPr="00192FCB">
          <w:rPr>
            <w:rStyle w:val="Hyperlink"/>
            <w:sz w:val="24"/>
            <w:lang w:val="bg-BG"/>
          </w:rPr>
          <w:t>http://data.europa.eu/eli/reg/2018/1046/oj</w:t>
        </w:r>
      </w:hyperlink>
      <w:r w:rsidRPr="00192FCB">
        <w:rPr>
          <w:sz w:val="24"/>
          <w:lang w:val="bg-BG"/>
        </w:rPr>
        <w:t>.</w:t>
      </w:r>
    </w:p>
  </w:footnote>
  <w:footnote w:id="286">
    <w:p w14:paraId="3756CDBF" w14:textId="0389BA1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86" w:history="1">
        <w:r w:rsidRPr="00192FCB">
          <w:rPr>
            <w:rStyle w:val="Hyperlink"/>
            <w:sz w:val="24"/>
            <w:lang w:val="bg-BG"/>
          </w:rPr>
          <w:t>http://data.europa.eu/eli/reg/2024/2509/oj</w:t>
        </w:r>
      </w:hyperlink>
      <w:r w:rsidRPr="00192FCB">
        <w:rPr>
          <w:sz w:val="24"/>
          <w:lang w:val="bg-BG"/>
        </w:rPr>
        <w:t>.</w:t>
      </w:r>
    </w:p>
  </w:footnote>
  <w:footnote w:id="287">
    <w:p w14:paraId="181FDE5F" w14:textId="605B0E2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354, 31.12.2008 г., стр. 82, ELI: </w:t>
      </w:r>
      <w:hyperlink r:id="rId287" w:history="1">
        <w:r w:rsidRPr="00192FCB">
          <w:rPr>
            <w:rStyle w:val="Hyperlink"/>
            <w:sz w:val="24"/>
            <w:lang w:val="bg-BG"/>
          </w:rPr>
          <w:t>https://data.europa.eu/eli/reg/2008/1339</w:t>
        </w:r>
      </w:hyperlink>
      <w:r w:rsidRPr="00192FCB">
        <w:rPr>
          <w:sz w:val="24"/>
          <w:lang w:val="bg-BG"/>
        </w:rPr>
        <w:t>.</w:t>
      </w:r>
    </w:p>
  </w:footnote>
  <w:footnote w:id="288">
    <w:p w14:paraId="19A2AF04" w14:textId="3123159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288" w:history="1">
        <w:r w:rsidRPr="00192FCB">
          <w:rPr>
            <w:rStyle w:val="Hyperlink"/>
            <w:sz w:val="24"/>
            <w:lang w:val="bg-BG"/>
          </w:rPr>
          <w:t>http://data.europa.eu/eli/reg_del/2019/715/oj</w:t>
        </w:r>
      </w:hyperlink>
      <w:r w:rsidRPr="00192FCB">
        <w:rPr>
          <w:sz w:val="24"/>
          <w:lang w:val="bg-BG"/>
        </w:rPr>
        <w:t>.</w:t>
      </w:r>
    </w:p>
  </w:footnote>
  <w:footnote w:id="289">
    <w:p w14:paraId="1120F164" w14:textId="32E8B44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28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90">
    <w:p w14:paraId="37D94100" w14:textId="521883D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9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91">
    <w:p w14:paraId="249F7544" w14:textId="4665C03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91" w:history="1">
        <w:r w:rsidRPr="00192FCB">
          <w:rPr>
            <w:rStyle w:val="Hyperlink"/>
            <w:sz w:val="24"/>
            <w:lang w:val="bg-BG"/>
          </w:rPr>
          <w:t>http://data.europa.eu/eli/reg/2018/1046/oj</w:t>
        </w:r>
      </w:hyperlink>
      <w:r w:rsidRPr="00192FCB">
        <w:rPr>
          <w:sz w:val="24"/>
          <w:lang w:val="bg-BG"/>
        </w:rPr>
        <w:t>.</w:t>
      </w:r>
    </w:p>
  </w:footnote>
  <w:footnote w:id="292">
    <w:p w14:paraId="14628A7F" w14:textId="4668F61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92" w:history="1">
        <w:r w:rsidRPr="00192FCB">
          <w:rPr>
            <w:rStyle w:val="Hyperlink"/>
            <w:sz w:val="24"/>
            <w:lang w:val="bg-BG"/>
          </w:rPr>
          <w:t>http://data.europa.eu/eli/reg/2024/2509/oj</w:t>
        </w:r>
      </w:hyperlink>
      <w:r w:rsidRPr="00192FCB">
        <w:rPr>
          <w:sz w:val="24"/>
          <w:lang w:val="bg-BG"/>
        </w:rPr>
        <w:t>.</w:t>
      </w:r>
    </w:p>
  </w:footnote>
  <w:footnote w:id="293">
    <w:p w14:paraId="2367E6FB" w14:textId="3750CB2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468, 30.12.2021 г., стр. 1, ELI: </w:t>
      </w:r>
      <w:hyperlink r:id="rId293" w:history="1">
        <w:r w:rsidRPr="00192FCB">
          <w:rPr>
            <w:rStyle w:val="Hyperlink"/>
            <w:sz w:val="24"/>
            <w:lang w:val="bg-BG"/>
          </w:rPr>
          <w:t>http://data.europa.eu/eli/reg/2021/2303/oj</w:t>
        </w:r>
      </w:hyperlink>
      <w:r w:rsidRPr="00192FCB">
        <w:rPr>
          <w:sz w:val="24"/>
          <w:lang w:val="bg-BG"/>
        </w:rPr>
        <w:t>.</w:t>
      </w:r>
    </w:p>
  </w:footnote>
  <w:footnote w:id="294">
    <w:p w14:paraId="6414F18A" w14:textId="0AABFB2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294" w:history="1">
        <w:r w:rsidRPr="00192FCB">
          <w:rPr>
            <w:rStyle w:val="Hyperlink"/>
            <w:sz w:val="24"/>
            <w:lang w:val="bg-BG"/>
          </w:rPr>
          <w:t>http://data.europa.eu/eli/reg_del/2019/715/oj</w:t>
        </w:r>
      </w:hyperlink>
      <w:r w:rsidRPr="00192FCB">
        <w:rPr>
          <w:sz w:val="24"/>
          <w:lang w:val="bg-BG"/>
        </w:rPr>
        <w:t>.</w:t>
      </w:r>
    </w:p>
  </w:footnote>
  <w:footnote w:id="295">
    <w:p w14:paraId="12832A7B" w14:textId="7BA9AD4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29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296">
    <w:p w14:paraId="4D016103" w14:textId="3376EF2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29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297">
    <w:p w14:paraId="48F38FFF" w14:textId="3CB657A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297" w:history="1">
        <w:r w:rsidRPr="00192FCB">
          <w:rPr>
            <w:rStyle w:val="Hyperlink"/>
            <w:sz w:val="24"/>
            <w:lang w:val="bg-BG"/>
          </w:rPr>
          <w:t>http://data.europa.eu/eli/reg/2018/1046/oj</w:t>
        </w:r>
      </w:hyperlink>
      <w:r w:rsidRPr="00192FCB">
        <w:rPr>
          <w:sz w:val="24"/>
          <w:lang w:val="bg-BG"/>
        </w:rPr>
        <w:t>.</w:t>
      </w:r>
    </w:p>
  </w:footnote>
  <w:footnote w:id="298">
    <w:p w14:paraId="42E816A8" w14:textId="1A2CA65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298" w:history="1">
        <w:r w:rsidRPr="00192FCB">
          <w:rPr>
            <w:rStyle w:val="Hyperlink"/>
            <w:sz w:val="24"/>
            <w:lang w:val="bg-BG"/>
          </w:rPr>
          <w:t>http://data.europa.eu/eli/reg/2024/2509/oj</w:t>
        </w:r>
      </w:hyperlink>
      <w:r w:rsidRPr="00192FCB">
        <w:rPr>
          <w:sz w:val="24"/>
          <w:lang w:val="bg-BG"/>
        </w:rPr>
        <w:t>.</w:t>
      </w:r>
    </w:p>
  </w:footnote>
  <w:footnote w:id="299">
    <w:p w14:paraId="5CBA0FE2" w14:textId="234623F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468, 30.12.2021 г., стр. 1, ELI: </w:t>
      </w:r>
      <w:hyperlink r:id="rId299" w:history="1">
        <w:r w:rsidRPr="00192FCB">
          <w:rPr>
            <w:rStyle w:val="Hyperlink"/>
            <w:sz w:val="24"/>
            <w:lang w:val="bg-BG"/>
          </w:rPr>
          <w:t>http://data.europa.eu/eli/reg/2021/2303/oj</w:t>
        </w:r>
      </w:hyperlink>
      <w:r w:rsidRPr="00192FCB">
        <w:rPr>
          <w:sz w:val="24"/>
          <w:lang w:val="bg-BG"/>
        </w:rPr>
        <w:t>.</w:t>
      </w:r>
    </w:p>
  </w:footnote>
  <w:footnote w:id="300">
    <w:p w14:paraId="69003DAC" w14:textId="3157E82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00" w:history="1">
        <w:r w:rsidRPr="00192FCB">
          <w:rPr>
            <w:rStyle w:val="Hyperlink"/>
            <w:sz w:val="24"/>
            <w:lang w:val="bg-BG"/>
          </w:rPr>
          <w:t>http://data.europa.eu/eli/reg_del/2019/715/oj</w:t>
        </w:r>
      </w:hyperlink>
      <w:r w:rsidRPr="00192FCB">
        <w:rPr>
          <w:sz w:val="24"/>
          <w:lang w:val="bg-BG"/>
        </w:rPr>
        <w:t>.</w:t>
      </w:r>
    </w:p>
  </w:footnote>
  <w:footnote w:id="301">
    <w:p w14:paraId="494AD0E4" w14:textId="29AEA26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0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02">
    <w:p w14:paraId="563C99C3" w14:textId="502DD89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0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03">
    <w:p w14:paraId="6DE3ACFF" w14:textId="2FA1015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03" w:history="1">
        <w:r w:rsidRPr="00192FCB">
          <w:rPr>
            <w:rStyle w:val="Hyperlink"/>
            <w:sz w:val="24"/>
            <w:lang w:val="bg-BG"/>
          </w:rPr>
          <w:t>http://data.europa.eu/eli/reg/2018/1046/oj</w:t>
        </w:r>
      </w:hyperlink>
      <w:r w:rsidRPr="00192FCB">
        <w:rPr>
          <w:sz w:val="24"/>
          <w:lang w:val="bg-BG"/>
        </w:rPr>
        <w:t>.</w:t>
      </w:r>
    </w:p>
  </w:footnote>
  <w:footnote w:id="304">
    <w:p w14:paraId="5270A6B3" w14:textId="275ABA2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304" w:history="1">
        <w:r w:rsidRPr="00192FCB">
          <w:rPr>
            <w:rStyle w:val="Hyperlink"/>
            <w:sz w:val="24"/>
            <w:lang w:val="bg-BG"/>
          </w:rPr>
          <w:t>http://data.europa.eu/eli/reg/2024/2509/oj</w:t>
        </w:r>
      </w:hyperlink>
      <w:r w:rsidRPr="00192FCB">
        <w:rPr>
          <w:sz w:val="24"/>
          <w:lang w:val="bg-BG"/>
        </w:rPr>
        <w:t>.</w:t>
      </w:r>
    </w:p>
  </w:footnote>
  <w:footnote w:id="305">
    <w:p w14:paraId="46B808CE" w14:textId="3589984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295, 21.11.2018 г., стр. 99, ELI: </w:t>
      </w:r>
      <w:hyperlink r:id="rId305" w:history="1">
        <w:r w:rsidRPr="00192FCB">
          <w:rPr>
            <w:rStyle w:val="Hyperlink"/>
            <w:sz w:val="24"/>
            <w:lang w:val="bg-BG"/>
          </w:rPr>
          <w:t>http://data.europa.eu/eli/reg/2018/1726/oj</w:t>
        </w:r>
      </w:hyperlink>
      <w:r w:rsidRPr="00192FCB">
        <w:rPr>
          <w:sz w:val="24"/>
          <w:lang w:val="bg-BG"/>
        </w:rPr>
        <w:t>.</w:t>
      </w:r>
    </w:p>
  </w:footnote>
  <w:footnote w:id="306">
    <w:p w14:paraId="1D369045" w14:textId="3D60C30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06" w:history="1">
        <w:r w:rsidRPr="00192FCB">
          <w:rPr>
            <w:rStyle w:val="Hyperlink"/>
            <w:sz w:val="24"/>
            <w:lang w:val="bg-BG"/>
          </w:rPr>
          <w:t>http://data.europa.eu/eli/reg_del/2019/715/oj</w:t>
        </w:r>
      </w:hyperlink>
      <w:r w:rsidRPr="00192FCB">
        <w:rPr>
          <w:sz w:val="24"/>
          <w:lang w:val="bg-BG"/>
        </w:rPr>
        <w:t>.</w:t>
      </w:r>
    </w:p>
  </w:footnote>
  <w:footnote w:id="307">
    <w:p w14:paraId="51495AD7" w14:textId="0ACF1BF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0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08">
    <w:p w14:paraId="062ED7A8" w14:textId="5FBECA8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0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09">
    <w:p w14:paraId="4E13EA93" w14:textId="5D07429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09" w:history="1">
        <w:r w:rsidRPr="00192FCB">
          <w:rPr>
            <w:rStyle w:val="Hyperlink"/>
            <w:sz w:val="24"/>
            <w:lang w:val="bg-BG"/>
          </w:rPr>
          <w:t>http://data.europa.eu/eli/reg/2018/1046/oj</w:t>
        </w:r>
      </w:hyperlink>
      <w:r w:rsidRPr="00192FCB">
        <w:rPr>
          <w:sz w:val="24"/>
          <w:lang w:val="bg-BG"/>
        </w:rPr>
        <w:t>.</w:t>
      </w:r>
    </w:p>
  </w:footnote>
  <w:footnote w:id="310">
    <w:p w14:paraId="6D1AD920" w14:textId="64A987F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310" w:history="1">
        <w:r w:rsidRPr="00192FCB">
          <w:rPr>
            <w:rStyle w:val="Hyperlink"/>
            <w:sz w:val="24"/>
            <w:lang w:val="bg-BG"/>
          </w:rPr>
          <w:t>http://data.europa.eu/eli/reg/2024/2509/oj</w:t>
        </w:r>
      </w:hyperlink>
      <w:r w:rsidRPr="00192FCB">
        <w:rPr>
          <w:sz w:val="24"/>
          <w:lang w:val="bg-BG"/>
        </w:rPr>
        <w:t>.</w:t>
      </w:r>
    </w:p>
  </w:footnote>
  <w:footnote w:id="311">
    <w:p w14:paraId="3A0884A8" w14:textId="6791417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295, 21.11.2018 г., стр. 99, ELI: </w:t>
      </w:r>
      <w:hyperlink r:id="rId311" w:history="1">
        <w:r w:rsidRPr="00192FCB">
          <w:rPr>
            <w:rStyle w:val="Hyperlink"/>
            <w:sz w:val="24"/>
            <w:lang w:val="bg-BG"/>
          </w:rPr>
          <w:t>http://data.europa.eu/eli/reg/2018/1726/oj</w:t>
        </w:r>
      </w:hyperlink>
      <w:r w:rsidRPr="00192FCB">
        <w:rPr>
          <w:sz w:val="24"/>
          <w:lang w:val="bg-BG"/>
        </w:rPr>
        <w:t>.</w:t>
      </w:r>
    </w:p>
  </w:footnote>
  <w:footnote w:id="312">
    <w:p w14:paraId="73D5E763" w14:textId="689CFBA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12" w:history="1">
        <w:r w:rsidRPr="00192FCB">
          <w:rPr>
            <w:rStyle w:val="Hyperlink"/>
            <w:sz w:val="24"/>
            <w:lang w:val="bg-BG"/>
          </w:rPr>
          <w:t>http://data.europa.eu/eli/reg_del/2019/715/oj</w:t>
        </w:r>
      </w:hyperlink>
      <w:r w:rsidRPr="00192FCB">
        <w:rPr>
          <w:sz w:val="24"/>
          <w:lang w:val="bg-BG"/>
        </w:rPr>
        <w:t>.</w:t>
      </w:r>
    </w:p>
  </w:footnote>
  <w:footnote w:id="313">
    <w:p w14:paraId="701AB04E" w14:textId="4C6D43A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1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14">
    <w:p w14:paraId="4AEA9D8A" w14:textId="1B57859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1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15">
    <w:p w14:paraId="25AAA50E" w14:textId="3CC6317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15" w:history="1">
        <w:r w:rsidRPr="00192FCB">
          <w:rPr>
            <w:rStyle w:val="Hyperlink"/>
            <w:sz w:val="24"/>
            <w:lang w:val="bg-BG"/>
          </w:rPr>
          <w:t>http://data.europa.eu/eli/reg/2018/1046/oj</w:t>
        </w:r>
      </w:hyperlink>
      <w:r w:rsidRPr="00192FCB">
        <w:rPr>
          <w:sz w:val="24"/>
          <w:lang w:val="bg-BG"/>
        </w:rPr>
        <w:t>.</w:t>
      </w:r>
    </w:p>
  </w:footnote>
  <w:footnote w:id="316">
    <w:p w14:paraId="1E8ACF79" w14:textId="04C68F8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316" w:history="1">
        <w:r w:rsidRPr="00192FCB">
          <w:rPr>
            <w:rStyle w:val="Hyperlink"/>
            <w:sz w:val="24"/>
            <w:lang w:val="bg-BG"/>
          </w:rPr>
          <w:t>http://data.europa.eu/eli/reg/2024/2509/oj</w:t>
        </w:r>
      </w:hyperlink>
      <w:r w:rsidRPr="00192FCB">
        <w:rPr>
          <w:sz w:val="24"/>
          <w:lang w:val="bg-BG"/>
        </w:rPr>
        <w:t>.</w:t>
      </w:r>
    </w:p>
  </w:footnote>
  <w:footnote w:id="317">
    <w:p w14:paraId="4E461013" w14:textId="2A7CAE5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30, 31.1.2019 г., стр. 58, ELI: </w:t>
      </w:r>
      <w:hyperlink r:id="rId317" w:history="1">
        <w:r w:rsidRPr="00192FCB">
          <w:rPr>
            <w:rStyle w:val="Hyperlink"/>
            <w:sz w:val="24"/>
            <w:lang w:val="bg-BG"/>
          </w:rPr>
          <w:t>http://data.europa.eu/eli/reg/2019/126/oj</w:t>
        </w:r>
      </w:hyperlink>
      <w:r w:rsidRPr="00192FCB">
        <w:rPr>
          <w:sz w:val="24"/>
          <w:lang w:val="bg-BG"/>
        </w:rPr>
        <w:t>.</w:t>
      </w:r>
    </w:p>
  </w:footnote>
  <w:footnote w:id="318">
    <w:p w14:paraId="70E38ECD" w14:textId="5E43894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18" w:history="1">
        <w:r w:rsidRPr="00192FCB">
          <w:rPr>
            <w:rStyle w:val="Hyperlink"/>
            <w:sz w:val="24"/>
            <w:lang w:val="bg-BG"/>
          </w:rPr>
          <w:t>http://data.europa.eu/eli/reg_del/2019/715/oj</w:t>
        </w:r>
      </w:hyperlink>
      <w:r w:rsidRPr="00192FCB">
        <w:rPr>
          <w:sz w:val="24"/>
          <w:lang w:val="bg-BG"/>
        </w:rPr>
        <w:t>.</w:t>
      </w:r>
    </w:p>
  </w:footnote>
  <w:footnote w:id="319">
    <w:p w14:paraId="64EA4FDF" w14:textId="4BA96A6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1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20">
    <w:p w14:paraId="0C071287" w14:textId="7706736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2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21">
    <w:p w14:paraId="065E89D5" w14:textId="41B9F2A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21" w:history="1">
        <w:r w:rsidRPr="00192FCB">
          <w:rPr>
            <w:rStyle w:val="Hyperlink"/>
            <w:sz w:val="24"/>
            <w:lang w:val="bg-BG"/>
          </w:rPr>
          <w:t>http://data.europa.eu/eli/reg/2018/1046/oj</w:t>
        </w:r>
      </w:hyperlink>
      <w:r w:rsidRPr="00192FCB">
        <w:rPr>
          <w:sz w:val="24"/>
          <w:lang w:val="bg-BG"/>
        </w:rPr>
        <w:t>.</w:t>
      </w:r>
    </w:p>
  </w:footnote>
  <w:footnote w:id="322">
    <w:p w14:paraId="73DA5A1C" w14:textId="71BBA9F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322" w:history="1">
        <w:r w:rsidRPr="00192FCB">
          <w:rPr>
            <w:rStyle w:val="Hyperlink"/>
            <w:sz w:val="24"/>
            <w:lang w:val="bg-BG"/>
          </w:rPr>
          <w:t>http://data.europa.eu/eli/reg/2024/2509/oj</w:t>
        </w:r>
      </w:hyperlink>
      <w:r w:rsidRPr="00192FCB">
        <w:rPr>
          <w:sz w:val="24"/>
          <w:lang w:val="bg-BG"/>
        </w:rPr>
        <w:t>.</w:t>
      </w:r>
    </w:p>
  </w:footnote>
  <w:footnote w:id="323">
    <w:p w14:paraId="1ABFEB0C" w14:textId="0C21DDC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30, 31.1.2019 г., стр. 58, ELI: </w:t>
      </w:r>
      <w:hyperlink r:id="rId323" w:history="1">
        <w:r w:rsidRPr="00192FCB">
          <w:rPr>
            <w:rStyle w:val="Hyperlink"/>
            <w:sz w:val="24"/>
            <w:lang w:val="bg-BG"/>
          </w:rPr>
          <w:t>http://data.europa.eu/eli/reg/2019/126/oj</w:t>
        </w:r>
      </w:hyperlink>
      <w:r w:rsidRPr="00192FCB">
        <w:rPr>
          <w:sz w:val="24"/>
          <w:lang w:val="bg-BG"/>
        </w:rPr>
        <w:t>.</w:t>
      </w:r>
    </w:p>
  </w:footnote>
  <w:footnote w:id="324">
    <w:p w14:paraId="4FA8DD09" w14:textId="3470F0C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24" w:history="1">
        <w:r w:rsidRPr="00192FCB">
          <w:rPr>
            <w:rStyle w:val="Hyperlink"/>
            <w:sz w:val="24"/>
            <w:lang w:val="bg-BG"/>
          </w:rPr>
          <w:t>http://data.europa.eu/eli/reg_del/2019/715/oj</w:t>
        </w:r>
      </w:hyperlink>
      <w:r w:rsidRPr="00192FCB">
        <w:rPr>
          <w:sz w:val="24"/>
          <w:lang w:val="bg-BG"/>
        </w:rPr>
        <w:t>.</w:t>
      </w:r>
    </w:p>
  </w:footnote>
  <w:footnote w:id="325">
    <w:p w14:paraId="1C348C85" w14:textId="68E3941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2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26">
    <w:p w14:paraId="26FF9386" w14:textId="5D1609A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2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27">
    <w:p w14:paraId="35CB40EA" w14:textId="43AD6D7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27" w:history="1">
        <w:r w:rsidRPr="00192FCB">
          <w:rPr>
            <w:rStyle w:val="Hyperlink"/>
            <w:sz w:val="24"/>
            <w:lang w:val="bg-BG"/>
          </w:rPr>
          <w:t>http://data.europa.eu/eli/reg/2018/1046/oj</w:t>
        </w:r>
      </w:hyperlink>
      <w:r w:rsidRPr="00192FCB">
        <w:rPr>
          <w:sz w:val="24"/>
          <w:lang w:val="bg-BG"/>
        </w:rPr>
        <w:t>.</w:t>
      </w:r>
    </w:p>
  </w:footnote>
  <w:footnote w:id="328">
    <w:p w14:paraId="5186248D" w14:textId="2A7149E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328" w:history="1">
        <w:r w:rsidRPr="00192FCB">
          <w:rPr>
            <w:rStyle w:val="Hyperlink"/>
            <w:sz w:val="24"/>
            <w:lang w:val="bg-BG"/>
          </w:rPr>
          <w:t>http://data.europa.eu/eli/reg/2024/2509/oj</w:t>
        </w:r>
      </w:hyperlink>
      <w:r w:rsidRPr="00192FCB">
        <w:rPr>
          <w:sz w:val="24"/>
          <w:lang w:val="bg-BG"/>
        </w:rPr>
        <w:t>.</w:t>
      </w:r>
    </w:p>
  </w:footnote>
  <w:footnote w:id="329">
    <w:p w14:paraId="2235235F" w14:textId="4298464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30, 31.1.2019 г., стр. 74, ELI: </w:t>
      </w:r>
      <w:hyperlink r:id="rId329" w:history="1">
        <w:r w:rsidRPr="00192FCB">
          <w:rPr>
            <w:rStyle w:val="Hyperlink"/>
            <w:sz w:val="24"/>
            <w:lang w:val="bg-BG"/>
          </w:rPr>
          <w:t>http://data.europa.eu/eli/reg/2019/127/oj</w:t>
        </w:r>
      </w:hyperlink>
      <w:r w:rsidRPr="00192FCB">
        <w:rPr>
          <w:sz w:val="24"/>
          <w:lang w:val="bg-BG"/>
        </w:rPr>
        <w:t>.</w:t>
      </w:r>
    </w:p>
  </w:footnote>
  <w:footnote w:id="330">
    <w:p w14:paraId="6B9AA76F" w14:textId="2A6B3BD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30" w:history="1">
        <w:r w:rsidRPr="00192FCB">
          <w:rPr>
            <w:rStyle w:val="Hyperlink"/>
            <w:sz w:val="24"/>
            <w:lang w:val="bg-BG"/>
          </w:rPr>
          <w:t>http://data.europa.eu/eli/reg_del/2019/715/oj</w:t>
        </w:r>
      </w:hyperlink>
      <w:r w:rsidRPr="00192FCB">
        <w:rPr>
          <w:sz w:val="24"/>
          <w:lang w:val="bg-BG"/>
        </w:rPr>
        <w:t>.</w:t>
      </w:r>
    </w:p>
  </w:footnote>
  <w:footnote w:id="331">
    <w:p w14:paraId="271648CF" w14:textId="5EFE4E0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3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32">
    <w:p w14:paraId="1CF3EDDD" w14:textId="7023F7C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3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33">
    <w:p w14:paraId="54F907C2" w14:textId="7F9722C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33" w:history="1">
        <w:r w:rsidRPr="00192FCB">
          <w:rPr>
            <w:rStyle w:val="Hyperlink"/>
            <w:sz w:val="24"/>
            <w:lang w:val="bg-BG"/>
          </w:rPr>
          <w:t>http://data.europa.eu/eli/reg/2018/1046/oj</w:t>
        </w:r>
      </w:hyperlink>
      <w:r w:rsidRPr="00192FCB">
        <w:rPr>
          <w:sz w:val="24"/>
          <w:lang w:val="bg-BG"/>
        </w:rPr>
        <w:t>.</w:t>
      </w:r>
    </w:p>
  </w:footnote>
  <w:footnote w:id="334">
    <w:p w14:paraId="70AB7A76" w14:textId="1FF775A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334" w:history="1">
        <w:r w:rsidRPr="00192FCB">
          <w:rPr>
            <w:rStyle w:val="Hyperlink"/>
            <w:sz w:val="24"/>
            <w:lang w:val="bg-BG"/>
          </w:rPr>
          <w:t>http://data.europa.eu/eli/reg/2024/2509/oj</w:t>
        </w:r>
      </w:hyperlink>
      <w:r w:rsidRPr="00192FCB">
        <w:rPr>
          <w:sz w:val="24"/>
          <w:lang w:val="bg-BG"/>
        </w:rPr>
        <w:t>.</w:t>
      </w:r>
    </w:p>
  </w:footnote>
  <w:footnote w:id="335">
    <w:p w14:paraId="7D85EAAA" w14:textId="0FBA603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30, 31.1.2019 г., стр. 74, ELI: </w:t>
      </w:r>
      <w:hyperlink r:id="rId335" w:history="1">
        <w:r w:rsidRPr="00192FCB">
          <w:rPr>
            <w:rStyle w:val="Hyperlink"/>
            <w:sz w:val="24"/>
            <w:lang w:val="bg-BG"/>
          </w:rPr>
          <w:t>http://data.europa.eu/eli/reg/2019/127/oj</w:t>
        </w:r>
      </w:hyperlink>
      <w:r w:rsidRPr="00192FCB">
        <w:rPr>
          <w:sz w:val="24"/>
          <w:lang w:val="bg-BG"/>
        </w:rPr>
        <w:t>.</w:t>
      </w:r>
    </w:p>
  </w:footnote>
  <w:footnote w:id="336">
    <w:p w14:paraId="158867E2" w14:textId="494CB7B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36" w:history="1">
        <w:r w:rsidRPr="00192FCB">
          <w:rPr>
            <w:rStyle w:val="Hyperlink"/>
            <w:sz w:val="24"/>
            <w:lang w:val="bg-BG"/>
          </w:rPr>
          <w:t>http://data.europa.eu/eli/reg_del/2019/715/oj</w:t>
        </w:r>
      </w:hyperlink>
      <w:r w:rsidRPr="00192FCB">
        <w:rPr>
          <w:sz w:val="24"/>
          <w:lang w:val="bg-BG"/>
        </w:rPr>
        <w:t>.</w:t>
      </w:r>
    </w:p>
  </w:footnote>
  <w:footnote w:id="337">
    <w:p w14:paraId="2D0600C6" w14:textId="773ECBC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3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38">
    <w:p w14:paraId="5A588432" w14:textId="16D5584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3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39">
    <w:p w14:paraId="10D44AF5" w14:textId="1207397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39" w:history="1">
        <w:r w:rsidRPr="00192FCB">
          <w:rPr>
            <w:rStyle w:val="Hyperlink"/>
            <w:sz w:val="24"/>
            <w:lang w:val="bg-BG"/>
          </w:rPr>
          <w:t>http://data.europa.eu/eli/reg/2018/1046/oj</w:t>
        </w:r>
      </w:hyperlink>
      <w:r w:rsidRPr="00192FCB">
        <w:rPr>
          <w:sz w:val="24"/>
          <w:lang w:val="bg-BG"/>
        </w:rPr>
        <w:t>.</w:t>
      </w:r>
    </w:p>
  </w:footnote>
  <w:footnote w:id="340">
    <w:p w14:paraId="3B4C55D9" w14:textId="2B10F45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340" w:history="1">
        <w:r w:rsidRPr="00192FCB">
          <w:rPr>
            <w:rStyle w:val="Hyperlink"/>
            <w:sz w:val="24"/>
            <w:lang w:val="bg-BG"/>
          </w:rPr>
          <w:t>http://data.europa.eu/eli/reg/2024/2509/oj</w:t>
        </w:r>
      </w:hyperlink>
      <w:r w:rsidRPr="00192FCB">
        <w:rPr>
          <w:sz w:val="24"/>
          <w:lang w:val="bg-BG"/>
        </w:rPr>
        <w:t>.</w:t>
      </w:r>
    </w:p>
  </w:footnote>
  <w:footnote w:id="341">
    <w:p w14:paraId="7A862C30" w14:textId="550DE38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295, 21.11.2018 г., стр. 138, ELI: </w:t>
      </w:r>
      <w:hyperlink r:id="rId341" w:history="1">
        <w:r w:rsidRPr="00192FCB">
          <w:rPr>
            <w:rStyle w:val="Hyperlink"/>
            <w:sz w:val="24"/>
            <w:lang w:val="bg-BG"/>
          </w:rPr>
          <w:t>http://data.europa.eu/eli/reg/2018/1727/oj</w:t>
        </w:r>
      </w:hyperlink>
      <w:r w:rsidRPr="00192FCB">
        <w:rPr>
          <w:sz w:val="24"/>
          <w:lang w:val="bg-BG"/>
        </w:rPr>
        <w:t>.</w:t>
      </w:r>
    </w:p>
  </w:footnote>
  <w:footnote w:id="342">
    <w:p w14:paraId="085A1CC9" w14:textId="49611B7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42" w:history="1">
        <w:r w:rsidRPr="00192FCB">
          <w:rPr>
            <w:rStyle w:val="Hyperlink"/>
            <w:sz w:val="24"/>
            <w:lang w:val="bg-BG"/>
          </w:rPr>
          <w:t>http://data.europa.eu/eli/reg_del/2019/715/oj</w:t>
        </w:r>
      </w:hyperlink>
      <w:r w:rsidRPr="00192FCB">
        <w:rPr>
          <w:sz w:val="24"/>
          <w:lang w:val="bg-BG"/>
        </w:rPr>
        <w:t>.</w:t>
      </w:r>
    </w:p>
  </w:footnote>
  <w:footnote w:id="343">
    <w:p w14:paraId="040EFB81" w14:textId="67E78E0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4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44">
    <w:p w14:paraId="4DD324FB" w14:textId="02E7B2D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4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45">
    <w:p w14:paraId="383E95F7" w14:textId="6C28A86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45" w:history="1">
        <w:r w:rsidRPr="00192FCB">
          <w:rPr>
            <w:rStyle w:val="Hyperlink"/>
            <w:sz w:val="24"/>
            <w:lang w:val="bg-BG"/>
          </w:rPr>
          <w:t>http://data.europa.eu/eli/reg/2018/1046/oj</w:t>
        </w:r>
      </w:hyperlink>
      <w:r w:rsidRPr="00192FCB">
        <w:rPr>
          <w:sz w:val="24"/>
          <w:lang w:val="bg-BG"/>
        </w:rPr>
        <w:t>.</w:t>
      </w:r>
    </w:p>
  </w:footnote>
  <w:footnote w:id="346">
    <w:p w14:paraId="540BE3F8" w14:textId="43A4ACC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346" w:history="1">
        <w:r w:rsidRPr="00192FCB">
          <w:rPr>
            <w:rStyle w:val="Hyperlink"/>
            <w:sz w:val="24"/>
            <w:lang w:val="bg-BG"/>
          </w:rPr>
          <w:t>http://data.europa.eu/eli/reg/2024/2509/oj</w:t>
        </w:r>
      </w:hyperlink>
      <w:r w:rsidRPr="00192FCB">
        <w:rPr>
          <w:sz w:val="24"/>
          <w:lang w:val="bg-BG"/>
        </w:rPr>
        <w:t>.</w:t>
      </w:r>
    </w:p>
  </w:footnote>
  <w:footnote w:id="347">
    <w:p w14:paraId="6735869F" w14:textId="3159097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295, 21.11.2018 г., стр. 138, ELI: </w:t>
      </w:r>
      <w:hyperlink r:id="rId347" w:history="1">
        <w:r w:rsidRPr="00192FCB">
          <w:rPr>
            <w:rStyle w:val="Hyperlink"/>
            <w:sz w:val="24"/>
            <w:lang w:val="bg-BG"/>
          </w:rPr>
          <w:t>http://data.europa.eu/eli/reg/2018/1727/oj</w:t>
        </w:r>
      </w:hyperlink>
      <w:r w:rsidRPr="00192FCB">
        <w:rPr>
          <w:sz w:val="24"/>
          <w:lang w:val="bg-BG"/>
        </w:rPr>
        <w:t>.</w:t>
      </w:r>
    </w:p>
  </w:footnote>
  <w:footnote w:id="348">
    <w:p w14:paraId="0B7A6053" w14:textId="25EB32F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48" w:history="1">
        <w:r w:rsidRPr="00192FCB">
          <w:rPr>
            <w:rStyle w:val="Hyperlink"/>
            <w:sz w:val="24"/>
            <w:lang w:val="bg-BG"/>
          </w:rPr>
          <w:t>http://data.europa.eu/eli/reg_del/2019/715/oj</w:t>
        </w:r>
      </w:hyperlink>
      <w:r w:rsidRPr="00192FCB">
        <w:rPr>
          <w:sz w:val="24"/>
          <w:lang w:val="bg-BG"/>
        </w:rPr>
        <w:t>.</w:t>
      </w:r>
    </w:p>
  </w:footnote>
  <w:footnote w:id="349">
    <w:p w14:paraId="70CE0C78" w14:textId="1F1BE53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4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50">
    <w:p w14:paraId="2BC139E7" w14:textId="5C356DE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5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51">
    <w:p w14:paraId="2ED71262" w14:textId="77CE7CC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51" w:history="1">
        <w:r w:rsidRPr="00192FCB">
          <w:rPr>
            <w:rStyle w:val="Hyperlink"/>
            <w:sz w:val="24"/>
            <w:lang w:val="bg-BG"/>
          </w:rPr>
          <w:t>http://data.europa.eu/eli/reg/2018/1046/oj</w:t>
        </w:r>
      </w:hyperlink>
      <w:r w:rsidRPr="00192FCB">
        <w:rPr>
          <w:sz w:val="24"/>
          <w:lang w:val="bg-BG"/>
        </w:rPr>
        <w:t>.</w:t>
      </w:r>
    </w:p>
  </w:footnote>
  <w:footnote w:id="352">
    <w:p w14:paraId="0BE90DAD" w14:textId="6D15393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352" w:history="1">
        <w:r w:rsidRPr="00192FCB">
          <w:rPr>
            <w:rStyle w:val="Hyperlink"/>
            <w:sz w:val="24"/>
            <w:lang w:val="bg-BG"/>
          </w:rPr>
          <w:t>http://data.europa.eu/eli/reg/2024/2509/oj</w:t>
        </w:r>
      </w:hyperlink>
      <w:r w:rsidRPr="00192FCB">
        <w:rPr>
          <w:sz w:val="24"/>
          <w:lang w:val="bg-BG"/>
        </w:rPr>
        <w:t>.</w:t>
      </w:r>
    </w:p>
  </w:footnote>
  <w:footnote w:id="353">
    <w:p w14:paraId="06BE51AF" w14:textId="43DD2C6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135, 24.5.2016 г., стр. 53, ELI: </w:t>
      </w:r>
      <w:hyperlink r:id="rId353" w:history="1">
        <w:r w:rsidRPr="00192FCB">
          <w:rPr>
            <w:rStyle w:val="Hyperlink"/>
            <w:sz w:val="24"/>
            <w:lang w:val="bg-BG"/>
          </w:rPr>
          <w:t>http://data.europa.eu/eli/reg/2016/794/oj</w:t>
        </w:r>
      </w:hyperlink>
      <w:r w:rsidRPr="00192FCB">
        <w:rPr>
          <w:sz w:val="24"/>
          <w:lang w:val="bg-BG"/>
        </w:rPr>
        <w:t>.</w:t>
      </w:r>
    </w:p>
  </w:footnote>
  <w:footnote w:id="354">
    <w:p w14:paraId="4E506404" w14:textId="510E930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54" w:history="1">
        <w:r w:rsidRPr="00192FCB">
          <w:rPr>
            <w:rStyle w:val="Hyperlink"/>
            <w:sz w:val="24"/>
            <w:lang w:val="bg-BG"/>
          </w:rPr>
          <w:t>http://data.europa.eu/eli/reg_del/2019/715/oj</w:t>
        </w:r>
      </w:hyperlink>
      <w:r w:rsidRPr="00192FCB">
        <w:rPr>
          <w:sz w:val="24"/>
          <w:lang w:val="bg-BG"/>
        </w:rPr>
        <w:t>.</w:t>
      </w:r>
    </w:p>
  </w:footnote>
  <w:footnote w:id="355">
    <w:p w14:paraId="7D19C531" w14:textId="1659F4A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5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56">
    <w:p w14:paraId="60AEDD8A" w14:textId="392D7B0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5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57">
    <w:p w14:paraId="2F75D0F9" w14:textId="78821E4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57" w:history="1">
        <w:r w:rsidRPr="00192FCB">
          <w:rPr>
            <w:rStyle w:val="Hyperlink"/>
            <w:sz w:val="24"/>
            <w:lang w:val="bg-BG"/>
          </w:rPr>
          <w:t>http://data.europa.eu/eli/reg/2018/1046/oj</w:t>
        </w:r>
      </w:hyperlink>
      <w:r w:rsidRPr="00192FCB">
        <w:rPr>
          <w:sz w:val="24"/>
          <w:lang w:val="bg-BG"/>
        </w:rPr>
        <w:t>.</w:t>
      </w:r>
    </w:p>
  </w:footnote>
  <w:footnote w:id="358">
    <w:p w14:paraId="55DEB221" w14:textId="613A7FA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358" w:history="1">
        <w:r w:rsidRPr="00192FCB">
          <w:rPr>
            <w:rStyle w:val="Hyperlink"/>
            <w:sz w:val="24"/>
            <w:lang w:val="bg-BG"/>
          </w:rPr>
          <w:t>http://data.europa.eu/eli/reg/2024/2509/oj</w:t>
        </w:r>
      </w:hyperlink>
      <w:r w:rsidRPr="00192FCB">
        <w:rPr>
          <w:sz w:val="24"/>
          <w:lang w:val="bg-BG"/>
        </w:rPr>
        <w:t>.</w:t>
      </w:r>
    </w:p>
  </w:footnote>
  <w:footnote w:id="359">
    <w:p w14:paraId="5B647560" w14:textId="0084FB2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135, 24.5.2016 г., стр. 53, ELI: </w:t>
      </w:r>
      <w:hyperlink r:id="rId359" w:history="1">
        <w:r w:rsidRPr="00192FCB">
          <w:rPr>
            <w:rStyle w:val="Hyperlink"/>
            <w:sz w:val="24"/>
            <w:lang w:val="bg-BG"/>
          </w:rPr>
          <w:t>http://data.europa.eu/eli/reg/2016/794/oj</w:t>
        </w:r>
      </w:hyperlink>
      <w:r w:rsidRPr="00192FCB">
        <w:rPr>
          <w:sz w:val="24"/>
          <w:lang w:val="bg-BG"/>
        </w:rPr>
        <w:t>.</w:t>
      </w:r>
    </w:p>
  </w:footnote>
  <w:footnote w:id="360">
    <w:p w14:paraId="37F7D877" w14:textId="4131780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60" w:history="1">
        <w:r w:rsidRPr="00192FCB">
          <w:rPr>
            <w:rStyle w:val="Hyperlink"/>
            <w:sz w:val="24"/>
            <w:lang w:val="bg-BG"/>
          </w:rPr>
          <w:t>http://data.europa.eu/eli/reg_del/2019/715/oj</w:t>
        </w:r>
      </w:hyperlink>
      <w:r w:rsidRPr="00192FCB">
        <w:rPr>
          <w:sz w:val="24"/>
          <w:lang w:val="bg-BG"/>
        </w:rPr>
        <w:t>.</w:t>
      </w:r>
    </w:p>
  </w:footnote>
  <w:footnote w:id="361">
    <w:p w14:paraId="3A3818FC" w14:textId="1DC4F19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6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62">
    <w:p w14:paraId="15234787" w14:textId="704C0797"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6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63">
    <w:p w14:paraId="057BC091" w14:textId="51AAC86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63" w:history="1">
        <w:r w:rsidRPr="00192FCB">
          <w:rPr>
            <w:rStyle w:val="Hyperlink"/>
            <w:sz w:val="24"/>
            <w:lang w:val="bg-BG"/>
          </w:rPr>
          <w:t>http://data.europa.eu/eli/reg/2018/1046/oj</w:t>
        </w:r>
      </w:hyperlink>
      <w:r w:rsidRPr="00192FCB">
        <w:rPr>
          <w:sz w:val="24"/>
          <w:lang w:val="bg-BG"/>
        </w:rPr>
        <w:t>.</w:t>
      </w:r>
    </w:p>
  </w:footnote>
  <w:footnote w:id="364">
    <w:p w14:paraId="779728D4" w14:textId="125C830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364" w:history="1">
        <w:r w:rsidRPr="00192FCB">
          <w:rPr>
            <w:rStyle w:val="Hyperlink"/>
            <w:sz w:val="24"/>
            <w:lang w:val="bg-BG"/>
          </w:rPr>
          <w:t>http://data.europa.eu/eli/reg/2024/2509/oj</w:t>
        </w:r>
      </w:hyperlink>
      <w:r w:rsidRPr="00192FCB">
        <w:rPr>
          <w:sz w:val="24"/>
          <w:lang w:val="bg-BG"/>
        </w:rPr>
        <w:t>.</w:t>
      </w:r>
    </w:p>
  </w:footnote>
  <w:footnote w:id="365">
    <w:p w14:paraId="7D064905" w14:textId="6CFEA06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170, 12.5.2021 г., стр. 69, ELI: </w:t>
      </w:r>
      <w:hyperlink r:id="rId365" w:history="1">
        <w:r w:rsidRPr="00192FCB">
          <w:rPr>
            <w:rStyle w:val="Hyperlink"/>
            <w:sz w:val="24"/>
            <w:lang w:val="bg-BG"/>
          </w:rPr>
          <w:t>http://data.europa.eu/eli/reg/2021/696/oj</w:t>
        </w:r>
      </w:hyperlink>
      <w:r w:rsidRPr="00192FCB">
        <w:rPr>
          <w:sz w:val="24"/>
          <w:lang w:val="bg-BG"/>
        </w:rPr>
        <w:t>.</w:t>
      </w:r>
    </w:p>
  </w:footnote>
  <w:footnote w:id="366">
    <w:p w14:paraId="752C3654" w14:textId="67ACE93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66" w:history="1">
        <w:r w:rsidRPr="00192FCB">
          <w:rPr>
            <w:rStyle w:val="Hyperlink"/>
            <w:sz w:val="24"/>
            <w:lang w:val="bg-BG"/>
          </w:rPr>
          <w:t>http://data.europa.eu/eli/reg_del/2019/715/oj</w:t>
        </w:r>
      </w:hyperlink>
      <w:r w:rsidRPr="00192FCB">
        <w:rPr>
          <w:sz w:val="24"/>
          <w:lang w:val="bg-BG"/>
        </w:rPr>
        <w:t>.</w:t>
      </w:r>
    </w:p>
  </w:footnote>
  <w:footnote w:id="367">
    <w:p w14:paraId="3C2D3BE9" w14:textId="21F1276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6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68">
    <w:p w14:paraId="2E603C2D" w14:textId="03AC470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6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69">
    <w:p w14:paraId="3CF15EB8" w14:textId="2E7CE0B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69" w:history="1">
        <w:r w:rsidRPr="00192FCB">
          <w:rPr>
            <w:rStyle w:val="Hyperlink"/>
            <w:sz w:val="24"/>
            <w:lang w:val="bg-BG"/>
          </w:rPr>
          <w:t>http://data.europa.eu/eli/reg/2018/1046/oj</w:t>
        </w:r>
      </w:hyperlink>
      <w:r w:rsidRPr="00192FCB">
        <w:rPr>
          <w:sz w:val="24"/>
          <w:lang w:val="bg-BG"/>
        </w:rPr>
        <w:t>.</w:t>
      </w:r>
    </w:p>
  </w:footnote>
  <w:footnote w:id="370">
    <w:p w14:paraId="12CB808E" w14:textId="450AE85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370" w:history="1">
        <w:r w:rsidRPr="00192FCB">
          <w:rPr>
            <w:rStyle w:val="Hyperlink"/>
            <w:sz w:val="24"/>
            <w:lang w:val="bg-BG"/>
          </w:rPr>
          <w:t>http://data.europa.eu/eli/reg/2024/2509/oj</w:t>
        </w:r>
      </w:hyperlink>
      <w:r w:rsidRPr="00192FCB">
        <w:rPr>
          <w:sz w:val="24"/>
          <w:lang w:val="bg-BG"/>
        </w:rPr>
        <w:t>.</w:t>
      </w:r>
    </w:p>
  </w:footnote>
  <w:footnote w:id="371">
    <w:p w14:paraId="240F748C" w14:textId="5131366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170, 12.5.2021 г., стр. 69, ELI: </w:t>
      </w:r>
      <w:hyperlink r:id="rId371" w:history="1">
        <w:r w:rsidRPr="00192FCB">
          <w:rPr>
            <w:rStyle w:val="Hyperlink"/>
            <w:sz w:val="24"/>
            <w:lang w:val="bg-BG"/>
          </w:rPr>
          <w:t>http://data.europa.eu/eli/reg/2021/696/oj</w:t>
        </w:r>
      </w:hyperlink>
      <w:r w:rsidRPr="00192FCB">
        <w:rPr>
          <w:sz w:val="24"/>
          <w:lang w:val="bg-BG"/>
        </w:rPr>
        <w:t>.</w:t>
      </w:r>
    </w:p>
  </w:footnote>
  <w:footnote w:id="372">
    <w:p w14:paraId="7FF6D1BB" w14:textId="79AB23E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72" w:history="1">
        <w:r w:rsidRPr="00192FCB">
          <w:rPr>
            <w:rStyle w:val="Hyperlink"/>
            <w:sz w:val="24"/>
            <w:lang w:val="bg-BG"/>
          </w:rPr>
          <w:t>http://data.europa.eu/eli/reg_del/2019/715/oj</w:t>
        </w:r>
      </w:hyperlink>
      <w:r w:rsidRPr="00192FCB">
        <w:rPr>
          <w:sz w:val="24"/>
          <w:lang w:val="bg-BG"/>
        </w:rPr>
        <w:t>.</w:t>
      </w:r>
    </w:p>
  </w:footnote>
  <w:footnote w:id="373">
    <w:p w14:paraId="3AD8FFF3" w14:textId="31F0EB2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7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74">
    <w:p w14:paraId="31DFE16C" w14:textId="0A0321F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7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75">
    <w:p w14:paraId="74D7C565" w14:textId="159CECD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75" w:history="1">
        <w:r w:rsidRPr="00192FCB">
          <w:rPr>
            <w:rStyle w:val="Hyperlink"/>
            <w:sz w:val="24"/>
            <w:lang w:val="bg-BG"/>
          </w:rPr>
          <w:t>http://data.europa.eu/eli/reg/2018/1046/oj</w:t>
        </w:r>
      </w:hyperlink>
      <w:r w:rsidRPr="00192FCB">
        <w:rPr>
          <w:sz w:val="24"/>
          <w:lang w:val="bg-BG"/>
        </w:rPr>
        <w:t>.</w:t>
      </w:r>
    </w:p>
  </w:footnote>
  <w:footnote w:id="376">
    <w:p w14:paraId="14BCB9BE" w14:textId="2CEE83F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376" w:history="1">
        <w:r w:rsidRPr="00192FCB">
          <w:rPr>
            <w:rStyle w:val="Hyperlink"/>
            <w:sz w:val="24"/>
            <w:lang w:val="bg-BG"/>
          </w:rPr>
          <w:t>http://data.europa.eu/eli/reg/2024/2509/oj</w:t>
        </w:r>
      </w:hyperlink>
      <w:r w:rsidRPr="00192FCB">
        <w:rPr>
          <w:sz w:val="24"/>
          <w:lang w:val="bg-BG"/>
        </w:rPr>
        <w:t>.</w:t>
      </w:r>
    </w:p>
  </w:footnote>
  <w:footnote w:id="377">
    <w:p w14:paraId="272E5FDA" w14:textId="3B893A6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53, 22.2.2007 г., стр. 1, ELI: </w:t>
      </w:r>
      <w:hyperlink r:id="rId377" w:history="1">
        <w:r w:rsidRPr="00192FCB">
          <w:rPr>
            <w:rStyle w:val="Hyperlink"/>
            <w:sz w:val="24"/>
            <w:lang w:val="bg-BG"/>
          </w:rPr>
          <w:t>http://data.europa.eu/eli/reg/2007/168/oj</w:t>
        </w:r>
      </w:hyperlink>
      <w:r w:rsidRPr="00192FCB">
        <w:rPr>
          <w:sz w:val="24"/>
          <w:lang w:val="bg-BG"/>
        </w:rPr>
        <w:t>.</w:t>
      </w:r>
    </w:p>
  </w:footnote>
  <w:footnote w:id="378">
    <w:p w14:paraId="39200005" w14:textId="00CAB91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78" w:history="1">
        <w:r w:rsidRPr="00192FCB">
          <w:rPr>
            <w:rStyle w:val="Hyperlink"/>
            <w:sz w:val="24"/>
            <w:lang w:val="bg-BG"/>
          </w:rPr>
          <w:t>http://data.europa.eu/eli/reg_del/2019/715/oj</w:t>
        </w:r>
      </w:hyperlink>
      <w:r w:rsidRPr="00192FCB">
        <w:rPr>
          <w:sz w:val="24"/>
          <w:lang w:val="bg-BG"/>
        </w:rPr>
        <w:t>.</w:t>
      </w:r>
    </w:p>
  </w:footnote>
  <w:footnote w:id="379">
    <w:p w14:paraId="1BAD80C8" w14:textId="1424862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7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80">
    <w:p w14:paraId="6A323EA3" w14:textId="16AA0AC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8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81">
    <w:p w14:paraId="2499E615" w14:textId="6F2446E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81" w:history="1">
        <w:r w:rsidRPr="00192FCB">
          <w:rPr>
            <w:rStyle w:val="Hyperlink"/>
            <w:sz w:val="24"/>
            <w:lang w:val="bg-BG"/>
          </w:rPr>
          <w:t>http://data.europa.eu/eli/reg/2018/1046/oj</w:t>
        </w:r>
      </w:hyperlink>
      <w:r w:rsidRPr="00192FCB">
        <w:rPr>
          <w:sz w:val="24"/>
          <w:lang w:val="bg-BG"/>
        </w:rPr>
        <w:t>.</w:t>
      </w:r>
    </w:p>
  </w:footnote>
  <w:footnote w:id="382">
    <w:p w14:paraId="3F1C7890" w14:textId="132B8B0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382" w:history="1">
        <w:r w:rsidRPr="00192FCB">
          <w:rPr>
            <w:rStyle w:val="Hyperlink"/>
            <w:sz w:val="24"/>
            <w:lang w:val="bg-BG"/>
          </w:rPr>
          <w:t>http://data.europa.eu/eli/reg/2024/2509/oj</w:t>
        </w:r>
      </w:hyperlink>
      <w:r w:rsidRPr="00192FCB">
        <w:rPr>
          <w:sz w:val="24"/>
          <w:lang w:val="bg-BG"/>
        </w:rPr>
        <w:t>.</w:t>
      </w:r>
    </w:p>
  </w:footnote>
  <w:footnote w:id="383">
    <w:p w14:paraId="424A0A59" w14:textId="6CE0670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53, 22.2.2007 г., стр. 1, ELI: </w:t>
      </w:r>
      <w:hyperlink r:id="rId383" w:history="1">
        <w:r w:rsidRPr="00192FCB">
          <w:rPr>
            <w:rStyle w:val="Hyperlink"/>
            <w:sz w:val="24"/>
            <w:lang w:val="bg-BG"/>
          </w:rPr>
          <w:t>http://data.europa.eu/eli/reg/2007/168/oj</w:t>
        </w:r>
      </w:hyperlink>
      <w:r w:rsidRPr="00192FCB">
        <w:rPr>
          <w:sz w:val="24"/>
          <w:lang w:val="bg-BG"/>
        </w:rPr>
        <w:t>.</w:t>
      </w:r>
    </w:p>
  </w:footnote>
  <w:footnote w:id="384">
    <w:p w14:paraId="2D7BD099" w14:textId="6B5AD0E0"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84" w:history="1">
        <w:r w:rsidRPr="00192FCB">
          <w:rPr>
            <w:rStyle w:val="Hyperlink"/>
            <w:sz w:val="24"/>
            <w:lang w:val="bg-BG"/>
          </w:rPr>
          <w:t>http://data.europa.eu/eli/reg_del/2019/715/oj</w:t>
        </w:r>
      </w:hyperlink>
      <w:r w:rsidRPr="00192FCB">
        <w:rPr>
          <w:sz w:val="24"/>
          <w:lang w:val="bg-BG"/>
        </w:rPr>
        <w:t>.</w:t>
      </w:r>
    </w:p>
  </w:footnote>
  <w:footnote w:id="385">
    <w:p w14:paraId="01FE5660" w14:textId="1BE6144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8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86">
    <w:p w14:paraId="15445DB8" w14:textId="2475CA8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8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87">
    <w:p w14:paraId="7ACC2233" w14:textId="72CD826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87" w:history="1">
        <w:r w:rsidRPr="00192FCB">
          <w:rPr>
            <w:rStyle w:val="Hyperlink"/>
            <w:sz w:val="24"/>
            <w:lang w:val="bg-BG"/>
          </w:rPr>
          <w:t>http://data.europa.eu/eli/reg/2018/1046/oj</w:t>
        </w:r>
      </w:hyperlink>
      <w:r w:rsidRPr="00192FCB">
        <w:rPr>
          <w:sz w:val="24"/>
          <w:lang w:val="bg-BG"/>
        </w:rPr>
        <w:t>.</w:t>
      </w:r>
    </w:p>
  </w:footnote>
  <w:footnote w:id="388">
    <w:p w14:paraId="044904E1" w14:textId="35E46466"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388" w:history="1">
        <w:r w:rsidRPr="00192FCB">
          <w:rPr>
            <w:rStyle w:val="Hyperlink"/>
            <w:sz w:val="24"/>
            <w:lang w:val="bg-BG"/>
          </w:rPr>
          <w:t>http://data.europa.eu/eli/reg/2024/2509/oj</w:t>
        </w:r>
      </w:hyperlink>
      <w:r w:rsidRPr="00192FCB">
        <w:rPr>
          <w:sz w:val="24"/>
          <w:lang w:val="bg-BG"/>
        </w:rPr>
        <w:t>.</w:t>
      </w:r>
    </w:p>
  </w:footnote>
  <w:footnote w:id="389">
    <w:p w14:paraId="004CD314" w14:textId="56B470C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295, 14.11.2019 г., стр. 1, ELI: </w:t>
      </w:r>
      <w:hyperlink r:id="rId389" w:history="1">
        <w:r w:rsidRPr="00192FCB">
          <w:rPr>
            <w:rStyle w:val="Hyperlink"/>
            <w:sz w:val="24"/>
            <w:lang w:val="bg-BG"/>
          </w:rPr>
          <w:t>http://data.europa.eu/eli/reg/2019/1896/oj</w:t>
        </w:r>
      </w:hyperlink>
      <w:r w:rsidRPr="00192FCB">
        <w:rPr>
          <w:sz w:val="24"/>
          <w:lang w:val="bg-BG"/>
        </w:rPr>
        <w:t>.</w:t>
      </w:r>
    </w:p>
  </w:footnote>
  <w:footnote w:id="390">
    <w:p w14:paraId="1E4A679B" w14:textId="6F09EE2F"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90" w:history="1">
        <w:r w:rsidRPr="00192FCB">
          <w:rPr>
            <w:rStyle w:val="Hyperlink"/>
            <w:sz w:val="24"/>
            <w:lang w:val="bg-BG"/>
          </w:rPr>
          <w:t>http://data.europa.eu/eli/reg_del/2019/715/oj</w:t>
        </w:r>
      </w:hyperlink>
      <w:r w:rsidRPr="00192FCB">
        <w:rPr>
          <w:sz w:val="24"/>
          <w:lang w:val="bg-BG"/>
        </w:rPr>
        <w:t>.</w:t>
      </w:r>
    </w:p>
  </w:footnote>
  <w:footnote w:id="391">
    <w:p w14:paraId="277567C6" w14:textId="04411E6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C/2025/5734, 30.10.2025 г., ELI: </w:t>
      </w:r>
      <w:hyperlink r:id="rId39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http://data.europa.eu/eli/C/2025/5734/oj</w:t>
        </w:r>
      </w:hyperlink>
      <w:r w:rsidRPr="00192FCB">
        <w:rPr>
          <w:sz w:val="24"/>
          <w:lang w:val="bg-BG"/>
        </w:rPr>
        <w:t>.</w:t>
      </w:r>
    </w:p>
  </w:footnote>
  <w:footnote w:id="392">
    <w:p w14:paraId="5E1ADD36" w14:textId="6C0CD39E"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ОВ C, C/2025/5407, 13.10.2025 г., ELI: </w:t>
      </w:r>
      <w:hyperlink r:id="rId39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92FCB">
          <w:rPr>
            <w:rStyle w:val="Hyperlink"/>
            <w:sz w:val="24"/>
            <w:lang w:val="bg-BG"/>
          </w:rPr>
          <w:t>http://data.europa.eu/eli/C/2025/5407/oj</w:t>
        </w:r>
      </w:hyperlink>
      <w:r w:rsidRPr="00192FCB">
        <w:rPr>
          <w:sz w:val="24"/>
          <w:lang w:val="bg-BG"/>
        </w:rPr>
        <w:t>.</w:t>
      </w:r>
    </w:p>
  </w:footnote>
  <w:footnote w:id="393">
    <w:p w14:paraId="47A548FE" w14:textId="272D2A0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ОВ L 193, 30.7.2018 г., стр. 1, ELI: </w:t>
      </w:r>
      <w:hyperlink r:id="rId393" w:history="1">
        <w:r w:rsidRPr="00192FCB">
          <w:rPr>
            <w:rStyle w:val="Hyperlink"/>
            <w:sz w:val="24"/>
            <w:lang w:val="bg-BG"/>
          </w:rPr>
          <w:t>http://data.europa.eu/eli/reg/2018/1046/oj</w:t>
        </w:r>
      </w:hyperlink>
      <w:r w:rsidRPr="00192FCB">
        <w:rPr>
          <w:sz w:val="24"/>
          <w:lang w:val="bg-BG"/>
        </w:rPr>
        <w:t>.</w:t>
      </w:r>
    </w:p>
  </w:footnote>
  <w:footnote w:id="394">
    <w:p w14:paraId="2AEE1317" w14:textId="3B6C669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2024/2509, 26.9.2024 г., ELI: </w:t>
      </w:r>
      <w:hyperlink r:id="rId394" w:history="1">
        <w:r w:rsidRPr="00192FCB">
          <w:rPr>
            <w:rStyle w:val="Hyperlink"/>
            <w:sz w:val="24"/>
            <w:lang w:val="bg-BG"/>
          </w:rPr>
          <w:t>http://data.europa.eu/eli/reg/2024/2509/oj</w:t>
        </w:r>
      </w:hyperlink>
      <w:r w:rsidRPr="00192FCB">
        <w:rPr>
          <w:sz w:val="24"/>
          <w:lang w:val="bg-BG"/>
        </w:rPr>
        <w:t>.</w:t>
      </w:r>
    </w:p>
  </w:footnote>
  <w:footnote w:id="395">
    <w:p w14:paraId="0A5F1288" w14:textId="14DDFBE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295, 14.11.2019 г., стр. 1, ELI: </w:t>
      </w:r>
      <w:hyperlink r:id="rId395" w:history="1">
        <w:r w:rsidRPr="00192FCB">
          <w:rPr>
            <w:rStyle w:val="Hyperlink"/>
            <w:sz w:val="24"/>
            <w:lang w:val="bg-BG"/>
          </w:rPr>
          <w:t>http://data.europa.eu/eli/reg/2019/1896/oj</w:t>
        </w:r>
      </w:hyperlink>
      <w:r w:rsidRPr="00192FCB">
        <w:rPr>
          <w:sz w:val="24"/>
          <w:lang w:val="bg-BG"/>
        </w:rPr>
        <w:t>.</w:t>
      </w:r>
    </w:p>
  </w:footnote>
  <w:footnote w:id="396">
    <w:p w14:paraId="7C568F38" w14:textId="184E861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OВ L 122, 10.5.2019 г., стр. 1, ELI: </w:t>
      </w:r>
      <w:hyperlink r:id="rId396" w:history="1">
        <w:r w:rsidRPr="00192FCB">
          <w:rPr>
            <w:rStyle w:val="Hyperlink"/>
            <w:sz w:val="24"/>
            <w:lang w:val="bg-BG"/>
          </w:rPr>
          <w:t>http://data.europa.eu/eli/reg_del/2019/715/oj</w:t>
        </w:r>
      </w:hyperlink>
      <w:r w:rsidRPr="00192FCB">
        <w:rPr>
          <w:sz w:val="24"/>
          <w:lang w:val="bg-BG"/>
        </w:rPr>
        <w:t>.</w:t>
      </w:r>
    </w:p>
  </w:footnote>
  <w:footnote w:id="397">
    <w:p w14:paraId="1FC150CE" w14:textId="7F80772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Съвместно изявление на Европейския парламент, Съвета на ЕС и Европейската комисия относно децентрализираните агенции от юли 2012 г.(</w:t>
      </w:r>
      <w:r>
        <w:fldChar w:fldCharType="begin"/>
      </w:r>
      <w:r>
        <w:instrText>HYPERLINK "https://european-union.europa.eu/document/download/d4199ff4-1e3d-45e6-af7e-90cf1a7b10bc_en?filename=joint_statement_on_decentralised_agencies_en.pdf"</w:instrText>
      </w:r>
      <w:r>
        <w:fldChar w:fldCharType="separate"/>
      </w:r>
      <w:r w:rsidRPr="00192FCB">
        <w:rPr>
          <w:rStyle w:val="Hyperlink"/>
          <w:sz w:val="24"/>
          <w:lang w:val="bg-BG"/>
        </w:rPr>
        <w:t>https://european-union.europa.eu/document/download/d4199ff4-1e3d-45e6-af7e-90cf1a7b10bc_en?filename=joint_statement_on_decentralised_agencies_en.pdf</w:t>
      </w:r>
      <w:r>
        <w:fldChar w:fldCharType="end"/>
      </w:r>
      <w:r w:rsidRPr="00192FCB">
        <w:rPr>
          <w:sz w:val="24"/>
          <w:lang w:val="bg-BG"/>
        </w:rPr>
        <w:t>).</w:t>
      </w:r>
    </w:p>
  </w:footnote>
  <w:footnote w:id="398">
    <w:p w14:paraId="5645B33F" w14:textId="4EEDE37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hyperlink r:id="rId397" w:history="1">
        <w:r w:rsidRPr="00192FCB">
          <w:rPr>
            <w:rStyle w:val="Hyperlink"/>
            <w:sz w:val="24"/>
            <w:lang w:val="bg-BG"/>
          </w:rPr>
          <w:t>https://agencies-network.europa.eu/document/download/04667fb8-be05-4818-9f62-0cb99f0c5538_en?filename=EUAN%20WG%25</w:t>
        </w:r>
      </w:hyperlink>
    </w:p>
  </w:footnote>
  <w:footnote w:id="399">
    <w:p w14:paraId="4AFA4B82" w14:textId="72DAB448"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Данни съгласно отчетите за приходите и разходите за финансовата 2024 година, публикувани в ОВ за всяка отделна агенция.</w:t>
      </w:r>
    </w:p>
  </w:footnote>
  <w:footnote w:id="400">
    <w:p w14:paraId="7F2F88F9" w14:textId="6B144B25"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Излишък, пренесен от предходната финансова година.</w:t>
      </w:r>
    </w:p>
  </w:footnote>
  <w:footnote w:id="401">
    <w:p w14:paraId="5DA6B4FD" w14:textId="12B7108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Бюджетни корекции, съответстващи на приспаднатия натрупан излишък.</w:t>
      </w:r>
    </w:p>
  </w:footnote>
  <w:footnote w:id="402">
    <w:p w14:paraId="5F7A238D" w14:textId="0F91B40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Приносът на ЕС и този на трети държави възлиза общо на 67,8 милиона евро. Приносът под формата на безвъзмездни средства и споразумение за нивото на обслужване възлиза общо на 33,8 милиона евро.</w:t>
      </w:r>
    </w:p>
  </w:footnote>
  <w:footnote w:id="403">
    <w:p w14:paraId="6BB2C9A9" w14:textId="7FC6FFB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През 2024 г. ENISA работи с бюджет от 26,2 милиона евро, спрямо бюджета за 2023 г. в размер на 25,2 милиона евро. В края на декември 2023 г. ГД „Съобщителни мрежи, съдържание и технологии“ и ENISA подписаха споразумение за финансов принос, с което бяха предоставени общо 20 милиона евро за изпълнението на дейности във връзка с киберподкрепа и ситуационен център за периода 2024—2026 г. През февруари 2024 г. беше получен първият транш от 16 милиона евро за изпълнението на договорените действия.</w:t>
      </w:r>
    </w:p>
  </w:footnote>
  <w:footnote w:id="404">
    <w:p w14:paraId="44EF58BF" w14:textId="33607C51" w:rsidR="00443B04" w:rsidRPr="00192FCB" w:rsidRDefault="00443B04" w:rsidP="00192FCB">
      <w:pPr>
        <w:pStyle w:val="FootnoteText"/>
        <w:ind w:left="567" w:hanging="567"/>
        <w:rPr>
          <w:sz w:val="24"/>
          <w:vertAlign w:val="superscript"/>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Собствените приходи са свързани с таксите, които се събират за сертификати, разрешения, регистрация на вещества, вноски, събиране на данни, наблюдение на пазара, надзор и други услуги.</w:t>
      </w:r>
    </w:p>
  </w:footnote>
  <w:footnote w:id="405">
    <w:p w14:paraId="2D2C7712" w14:textId="178DF5F0" w:rsidR="00443B04" w:rsidRPr="00192FCB" w:rsidRDefault="00192FCB" w:rsidP="00192FCB">
      <w:pPr>
        <w:pStyle w:val="FootnoteText"/>
        <w:ind w:left="567" w:hanging="567"/>
        <w:rPr>
          <w:sz w:val="24"/>
          <w:lang w:val="bg-BG"/>
        </w:rPr>
      </w:pPr>
      <w:r w:rsidRPr="00192FCB">
        <w:rPr>
          <w:sz w:val="24"/>
          <w:lang w:val="bg-BG"/>
        </w:rPr>
        <w:t xml:space="preserve"> </w:t>
      </w:r>
      <w:r w:rsidRPr="00192FCB">
        <w:rPr>
          <w:sz w:val="24"/>
          <w:lang w:val="bg-BG"/>
        </w:rPr>
        <w:tab/>
      </w:r>
      <w:r w:rsidR="00443B04" w:rsidRPr="00192FCB">
        <w:rPr>
          <w:sz w:val="24"/>
          <w:lang w:val="bg-BG"/>
        </w:rPr>
        <w:t>Собствените приходи са свързани с вноски от националните надзорни органи.</w:t>
      </w:r>
    </w:p>
  </w:footnote>
  <w:footnote w:id="406">
    <w:p w14:paraId="1DE0C5A8" w14:textId="4353B59D" w:rsidR="00443B04" w:rsidRPr="00192FCB" w:rsidRDefault="00443B04" w:rsidP="00192FCB">
      <w:pPr>
        <w:pStyle w:val="FootnoteText"/>
        <w:ind w:left="567" w:hanging="567"/>
        <w:rPr>
          <w:sz w:val="24"/>
          <w:lang w:val="bg-BG"/>
        </w:rPr>
      </w:pPr>
      <w:r w:rsidRPr="00192FCB">
        <w:rPr>
          <w:sz w:val="24"/>
          <w:vertAlign w:val="superscript"/>
          <w:lang w:val="bg-BG"/>
        </w:rPr>
        <w:footnoteRef/>
      </w:r>
      <w:r w:rsidR="00192FCB" w:rsidRPr="00192FCB">
        <w:rPr>
          <w:sz w:val="24"/>
          <w:lang w:val="bg-BG"/>
        </w:rPr>
        <w:t xml:space="preserve"> </w:t>
      </w:r>
      <w:r w:rsidR="00192FCB" w:rsidRPr="00192FCB">
        <w:rPr>
          <w:sz w:val="24"/>
          <w:lang w:val="bg-BG"/>
        </w:rPr>
        <w:tab/>
      </w:r>
      <w:r w:rsidRPr="00192FCB">
        <w:rPr>
          <w:sz w:val="24"/>
          <w:lang w:val="bg-BG"/>
        </w:rPr>
        <w:t>Собствените приходи са свързани с вноски от националните надзорни органи.</w:t>
      </w:r>
    </w:p>
  </w:footnote>
  <w:footnote w:id="407">
    <w:p w14:paraId="530B88E2" w14:textId="55A38809" w:rsidR="00443B04" w:rsidRPr="00192FCB" w:rsidRDefault="00443B04" w:rsidP="00192FCB">
      <w:pPr>
        <w:pStyle w:val="FootnoteText"/>
        <w:ind w:left="567" w:hanging="567"/>
        <w:rPr>
          <w:sz w:val="24"/>
          <w:lang w:val="bg-BG"/>
        </w:rPr>
      </w:pPr>
      <w:r w:rsidRPr="00192FCB">
        <w:rPr>
          <w:sz w:val="24"/>
          <w:vertAlign w:val="superscript"/>
          <w:lang w:val="bg-BG"/>
        </w:rPr>
        <w:footnoteRef/>
      </w:r>
      <w:r w:rsidR="00192FCB" w:rsidRPr="00192FCB">
        <w:rPr>
          <w:sz w:val="24"/>
          <w:lang w:val="bg-BG"/>
        </w:rPr>
        <w:t xml:space="preserve"> </w:t>
      </w:r>
      <w:r w:rsidR="00192FCB" w:rsidRPr="00192FCB">
        <w:rPr>
          <w:sz w:val="24"/>
          <w:lang w:val="bg-BG"/>
        </w:rPr>
        <w:tab/>
      </w:r>
      <w:r w:rsidRPr="00192FCB">
        <w:rPr>
          <w:sz w:val="24"/>
          <w:lang w:val="bg-BG"/>
        </w:rPr>
        <w:t>Собствените приходи включват вноски от националните надзорни органи и такси, плащани на Органа.</w:t>
      </w:r>
    </w:p>
  </w:footnote>
  <w:footnote w:id="408">
    <w:p w14:paraId="7C8F318C" w14:textId="5D61284C"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ЕБО, ЕОЗППО и ЕОЦКП.</w:t>
      </w:r>
    </w:p>
  </w:footnote>
  <w:footnote w:id="409">
    <w:p w14:paraId="1C6CB3D5" w14:textId="763C37A3"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CEPOL, EIGE, EUAA, </w:t>
      </w:r>
      <w:proofErr w:type="spellStart"/>
      <w:r w:rsidRPr="00192FCB">
        <w:rPr>
          <w:sz w:val="24"/>
          <w:lang w:val="bg-BG"/>
        </w:rPr>
        <w:t>eu</w:t>
      </w:r>
      <w:proofErr w:type="spellEnd"/>
      <w:r w:rsidRPr="00192FCB">
        <w:rPr>
          <w:sz w:val="24"/>
          <w:lang w:val="bg-BG"/>
        </w:rPr>
        <w:t xml:space="preserve">-LISA, Евроюст, Европол, FRA и </w:t>
      </w:r>
      <w:proofErr w:type="spellStart"/>
      <w:r w:rsidRPr="00192FCB">
        <w:rPr>
          <w:sz w:val="24"/>
          <w:lang w:val="bg-BG"/>
        </w:rPr>
        <w:t>Frontex</w:t>
      </w:r>
      <w:proofErr w:type="spellEnd"/>
      <w:r w:rsidRPr="00192FCB">
        <w:rPr>
          <w:sz w:val="24"/>
          <w:lang w:val="bg-BG"/>
        </w:rPr>
        <w:t>.</w:t>
      </w:r>
    </w:p>
  </w:footnote>
  <w:footnote w:id="410">
    <w:p w14:paraId="113BC27B" w14:textId="5E2AFD8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Регламент (ЕС, Евратом) 2023/2841 на Европейския парламент и на Съвета от 13 декември 2023 г. за определяне на мерки за високо общо ниво на киберсигурност в институциите, органите, службите и агенциите на Съюза (ОВ L, 2023/2841, 18.12.2023 г.</w:t>
      </w:r>
      <w:r w:rsidRPr="00192FCB">
        <w:rPr>
          <w:sz w:val="24"/>
          <w:lang w:val="bg-BG"/>
        </w:rPr>
        <w:t>, ELI: </w:t>
      </w:r>
      <w:hyperlink r:id="rId398" w:history="1">
        <w:r w:rsidRPr="003251E4">
          <w:rPr>
            <w:rStyle w:val="Hyperlink"/>
            <w:sz w:val="24"/>
            <w:lang w:val="bg-BG"/>
          </w:rPr>
          <w:t>http://data.europa.eu/eli/reg/2023/2841/oj</w:t>
        </w:r>
      </w:hyperlink>
      <w:r w:rsidRPr="00192FCB">
        <w:rPr>
          <w:sz w:val="24"/>
          <w:lang w:val="bg-BG"/>
        </w:rPr>
        <w:t>).</w:t>
      </w:r>
    </w:p>
  </w:footnote>
  <w:footnote w:id="411">
    <w:p w14:paraId="3CA0A2D4" w14:textId="23758001"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00982E92" w:rsidRPr="00192FCB">
        <w:rPr>
          <w:sz w:val="24"/>
          <w:lang w:val="bg-BG"/>
        </w:rPr>
        <w:t xml:space="preserve">Решение на Съда </w:t>
      </w:r>
      <w:r w:rsidRPr="00192FCB">
        <w:rPr>
          <w:sz w:val="24"/>
          <w:lang w:val="bg-BG"/>
        </w:rPr>
        <w:t>от 15 октомври 2025 г.</w:t>
      </w:r>
      <w:r w:rsidR="00982E92">
        <w:rPr>
          <w:sz w:val="24"/>
          <w:lang w:val="bg-BG"/>
        </w:rPr>
        <w:t xml:space="preserve">, </w:t>
      </w:r>
      <w:r w:rsidR="00982E92" w:rsidRPr="00982E92">
        <w:rPr>
          <w:sz w:val="24"/>
          <w:lang w:val="en-GB"/>
        </w:rPr>
        <w:t>WU</w:t>
      </w:r>
      <w:r w:rsidR="00982E92">
        <w:rPr>
          <w:sz w:val="24"/>
          <w:lang w:val="bg-BG"/>
        </w:rPr>
        <w:t>/</w:t>
      </w:r>
      <w:proofErr w:type="spellStart"/>
      <w:r w:rsidR="00982E92" w:rsidRPr="00982E92">
        <w:rPr>
          <w:sz w:val="24"/>
          <w:lang w:val="en-GB"/>
        </w:rPr>
        <w:t>Евроюст</w:t>
      </w:r>
      <w:proofErr w:type="spellEnd"/>
      <w:r w:rsidR="00982E92" w:rsidRPr="00980D3E">
        <w:rPr>
          <w:b/>
          <w:bCs/>
          <w:sz w:val="24"/>
          <w:lang w:val="en-GB"/>
        </w:rPr>
        <w:t xml:space="preserve">, </w:t>
      </w:r>
      <w:r w:rsidR="00982E92" w:rsidRPr="00980D3E">
        <w:rPr>
          <w:sz w:val="24"/>
          <w:lang w:val="en-GB"/>
        </w:rPr>
        <w:t>T</w:t>
      </w:r>
      <w:r w:rsidR="00982E92" w:rsidRPr="00980D3E">
        <w:rPr>
          <w:sz w:val="24"/>
          <w:lang w:val="en-GB"/>
        </w:rPr>
        <w:noBreakHyphen/>
        <w:t xml:space="preserve">295/23 </w:t>
      </w:r>
      <w:r w:rsidR="00982E92">
        <w:rPr>
          <w:sz w:val="24"/>
          <w:lang w:val="bg-BG"/>
        </w:rPr>
        <w:t>и</w:t>
      </w:r>
      <w:r w:rsidR="00982E92" w:rsidRPr="00980D3E">
        <w:rPr>
          <w:sz w:val="24"/>
          <w:lang w:val="en-GB"/>
        </w:rPr>
        <w:t xml:space="preserve"> T</w:t>
      </w:r>
      <w:r w:rsidR="00982E92" w:rsidRPr="00980D3E">
        <w:rPr>
          <w:sz w:val="24"/>
          <w:lang w:val="en-GB"/>
        </w:rPr>
        <w:noBreakHyphen/>
        <w:t>1176/23</w:t>
      </w:r>
      <w:r w:rsidR="00982E92">
        <w:rPr>
          <w:sz w:val="24"/>
          <w:lang w:val="en-GB"/>
        </w:rPr>
        <w:t xml:space="preserve">, </w:t>
      </w:r>
      <w:r w:rsidR="00982E92" w:rsidRPr="00980D3E">
        <w:rPr>
          <w:sz w:val="24"/>
          <w:lang w:val="en-IE"/>
        </w:rPr>
        <w:t>ECLI:</w:t>
      </w:r>
      <w:proofErr w:type="gramStart"/>
      <w:r w:rsidR="00982E92" w:rsidRPr="00980D3E">
        <w:rPr>
          <w:sz w:val="24"/>
          <w:lang w:val="en-IE"/>
        </w:rPr>
        <w:t>EU</w:t>
      </w:r>
      <w:r w:rsidR="00982E92" w:rsidRPr="001E63DA">
        <w:rPr>
          <w:sz w:val="24"/>
          <w:lang w:val="en-GB"/>
        </w:rPr>
        <w:t>:T</w:t>
      </w:r>
      <w:proofErr w:type="gramEnd"/>
      <w:r w:rsidR="00982E92" w:rsidRPr="001E63DA">
        <w:rPr>
          <w:sz w:val="24"/>
          <w:lang w:val="en-GB"/>
        </w:rPr>
        <w:t>:2025:963</w:t>
      </w:r>
      <w:r w:rsidRPr="00192FCB">
        <w:rPr>
          <w:sz w:val="24"/>
          <w:lang w:val="bg-BG"/>
        </w:rPr>
        <w:t>.</w:t>
      </w:r>
    </w:p>
  </w:footnote>
  <w:footnote w:id="412">
    <w:p w14:paraId="7993770E" w14:textId="2690F41B"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proofErr w:type="spellStart"/>
      <w:r w:rsidRPr="00192FCB">
        <w:rPr>
          <w:sz w:val="24"/>
          <w:lang w:val="bg-BG"/>
        </w:rPr>
        <w:t>Cedefop</w:t>
      </w:r>
      <w:proofErr w:type="spellEnd"/>
      <w:r w:rsidRPr="00192FCB">
        <w:rPr>
          <w:sz w:val="24"/>
          <w:lang w:val="bg-BG"/>
        </w:rPr>
        <w:t xml:space="preserve">, ЕОТ, ETF, </w:t>
      </w:r>
      <w:proofErr w:type="spellStart"/>
      <w:r w:rsidRPr="00192FCB">
        <w:rPr>
          <w:sz w:val="24"/>
          <w:lang w:val="bg-BG"/>
        </w:rPr>
        <w:t>Eurofound</w:t>
      </w:r>
      <w:proofErr w:type="spellEnd"/>
      <w:r w:rsidRPr="00192FCB">
        <w:rPr>
          <w:sz w:val="24"/>
          <w:lang w:val="bg-BG"/>
        </w:rPr>
        <w:t xml:space="preserve"> и EU-OSHA.</w:t>
      </w:r>
    </w:p>
  </w:footnote>
  <w:footnote w:id="413">
    <w:p w14:paraId="294B3E56" w14:textId="4476B709"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Оценка на Европейския орган по труда (ЕОТ), Брюксел, 26.5.2025 г., COM(2025)256 и SWD(2025)128.</w:t>
      </w:r>
    </w:p>
  </w:footnote>
  <w:footnote w:id="414">
    <w:p w14:paraId="46A33299" w14:textId="1C20AFCA"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ECDC, ЕОБХ, EMA и EUDA.</w:t>
      </w:r>
    </w:p>
  </w:footnote>
  <w:footnote w:id="415">
    <w:p w14:paraId="7DD8EAC0" w14:textId="348074CD"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ЕААБ, ЕАМБ и ERA.</w:t>
      </w:r>
    </w:p>
  </w:footnote>
  <w:footnote w:id="416">
    <w:p w14:paraId="05B2B96C" w14:textId="57F33992"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ACER, ECHA, ЕАОС и EFCA.</w:t>
      </w:r>
    </w:p>
  </w:footnote>
  <w:footnote w:id="417">
    <w:p w14:paraId="3480067A" w14:textId="1E954BF4" w:rsidR="00443B04" w:rsidRPr="00192FCB" w:rsidRDefault="00443B04" w:rsidP="00192FCB">
      <w:pPr>
        <w:pStyle w:val="FootnoteText"/>
        <w:ind w:left="567" w:hanging="567"/>
        <w:rPr>
          <w:sz w:val="24"/>
          <w:lang w:val="bg-BG"/>
        </w:rPr>
      </w:pPr>
      <w:r w:rsidRPr="00192FCB">
        <w:rPr>
          <w:rStyle w:val="FootnoteReference"/>
          <w:sz w:val="24"/>
          <w:lang w:val="bg-BG"/>
        </w:rPr>
        <w:footnoteRef/>
      </w:r>
      <w:r w:rsidR="00192FCB" w:rsidRPr="00192FCB">
        <w:rPr>
          <w:sz w:val="24"/>
          <w:lang w:val="bg-BG"/>
        </w:rPr>
        <w:t xml:space="preserve"> </w:t>
      </w:r>
      <w:r w:rsidR="00192FCB" w:rsidRPr="00192FCB">
        <w:rPr>
          <w:sz w:val="24"/>
          <w:lang w:val="bg-BG"/>
        </w:rPr>
        <w:tab/>
      </w:r>
      <w:r w:rsidRPr="00192FCB">
        <w:rPr>
          <w:sz w:val="24"/>
          <w:lang w:val="bg-BG"/>
        </w:rPr>
        <w:t xml:space="preserve">Служба на ОЕРЕС, </w:t>
      </w:r>
      <w:proofErr w:type="spellStart"/>
      <w:r w:rsidRPr="00192FCB">
        <w:rPr>
          <w:sz w:val="24"/>
          <w:lang w:val="bg-BG"/>
        </w:rPr>
        <w:t>CdT</w:t>
      </w:r>
      <w:proofErr w:type="spellEnd"/>
      <w:r w:rsidRPr="00192FCB">
        <w:rPr>
          <w:sz w:val="24"/>
          <w:lang w:val="bg-BG"/>
        </w:rPr>
        <w:t>, ENISA, EIT, EUSPA и ЕКА Евратом.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8095B" w14:textId="77777777" w:rsidR="00064002" w:rsidRPr="00192FC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3E7F8" w14:textId="77777777" w:rsidR="00064002" w:rsidRPr="00192FC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81E74" w14:textId="77777777" w:rsidR="00064002" w:rsidRPr="00192F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0612751">
    <w:abstractNumId w:val="0"/>
  </w:num>
  <w:num w:numId="2" w16cid:durableId="1238866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BG"/>
    <w:docVar w:name="dvnumam" w:val="0"/>
    <w:docVar w:name="dvpe" w:val="776.806"/>
    <w:docVar w:name="dvrapporteur" w:val="Докладчик: "/>
    <w:docVar w:name="dvtitre" w:val="1. Решение на Европейския парламент от ... 2026 г. относно освобождаването от отговорност във връзка с изпълнението на бюджета на агенциите на Европейския съюз за финансовата 2024 година(2025/2156(DEC))"/>
  </w:docVars>
  <w:rsids>
    <w:rsidRoot w:val="00897CEE"/>
    <w:rsid w:val="00002272"/>
    <w:rsid w:val="00064002"/>
    <w:rsid w:val="000677B9"/>
    <w:rsid w:val="00072D80"/>
    <w:rsid w:val="000831BA"/>
    <w:rsid w:val="000A42CC"/>
    <w:rsid w:val="000E7DD9"/>
    <w:rsid w:val="0010095E"/>
    <w:rsid w:val="00125B37"/>
    <w:rsid w:val="00187494"/>
    <w:rsid w:val="00192FCB"/>
    <w:rsid w:val="001F32AE"/>
    <w:rsid w:val="002054A3"/>
    <w:rsid w:val="002767FF"/>
    <w:rsid w:val="002B18FE"/>
    <w:rsid w:val="002B5493"/>
    <w:rsid w:val="003251E4"/>
    <w:rsid w:val="003345AC"/>
    <w:rsid w:val="00343214"/>
    <w:rsid w:val="00347486"/>
    <w:rsid w:val="00361C00"/>
    <w:rsid w:val="00364353"/>
    <w:rsid w:val="00376F7A"/>
    <w:rsid w:val="00395FA1"/>
    <w:rsid w:val="003E15D4"/>
    <w:rsid w:val="00411CCE"/>
    <w:rsid w:val="0041666E"/>
    <w:rsid w:val="00421060"/>
    <w:rsid w:val="00443B04"/>
    <w:rsid w:val="00471C19"/>
    <w:rsid w:val="00486778"/>
    <w:rsid w:val="004867E3"/>
    <w:rsid w:val="00494A28"/>
    <w:rsid w:val="004C0004"/>
    <w:rsid w:val="004C5D52"/>
    <w:rsid w:val="0050519A"/>
    <w:rsid w:val="005072A1"/>
    <w:rsid w:val="00514517"/>
    <w:rsid w:val="00545827"/>
    <w:rsid w:val="00560270"/>
    <w:rsid w:val="005A4340"/>
    <w:rsid w:val="005B6B6C"/>
    <w:rsid w:val="005C2568"/>
    <w:rsid w:val="005F1B17"/>
    <w:rsid w:val="005F53B9"/>
    <w:rsid w:val="006037C0"/>
    <w:rsid w:val="006631B6"/>
    <w:rsid w:val="00680577"/>
    <w:rsid w:val="006F74FA"/>
    <w:rsid w:val="00731ADD"/>
    <w:rsid w:val="00732715"/>
    <w:rsid w:val="00734777"/>
    <w:rsid w:val="00747932"/>
    <w:rsid w:val="00751A4A"/>
    <w:rsid w:val="00756632"/>
    <w:rsid w:val="00762C74"/>
    <w:rsid w:val="00786EC0"/>
    <w:rsid w:val="007D1690"/>
    <w:rsid w:val="007E22AD"/>
    <w:rsid w:val="00817416"/>
    <w:rsid w:val="008252F2"/>
    <w:rsid w:val="00842779"/>
    <w:rsid w:val="00865F67"/>
    <w:rsid w:val="00881A7B"/>
    <w:rsid w:val="008840E5"/>
    <w:rsid w:val="00887B3E"/>
    <w:rsid w:val="00897CEE"/>
    <w:rsid w:val="008C2AC6"/>
    <w:rsid w:val="00930C23"/>
    <w:rsid w:val="0093193B"/>
    <w:rsid w:val="009509D8"/>
    <w:rsid w:val="00950B64"/>
    <w:rsid w:val="00981893"/>
    <w:rsid w:val="00982E92"/>
    <w:rsid w:val="0099622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63F0"/>
    <w:rsid w:val="00C23CD4"/>
    <w:rsid w:val="00C503AF"/>
    <w:rsid w:val="00C61C0C"/>
    <w:rsid w:val="00C82421"/>
    <w:rsid w:val="00C941CB"/>
    <w:rsid w:val="00C96CC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3A5245"/>
  <w15:chartTrackingRefBased/>
  <w15:docId w15:val="{55667299-A8B2-4F02-90B4-FBC9EB9E3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43B04"/>
    <w:rPr>
      <w:b/>
      <w:kern w:val="28"/>
      <w:sz w:val="28"/>
      <w:lang w:val="fr-FR" w:eastAsia="fr-FR"/>
    </w:rPr>
  </w:style>
  <w:style w:type="character" w:customStyle="1" w:styleId="Heading2Char">
    <w:name w:val="Heading 2 Char"/>
    <w:basedOn w:val="DefaultParagraphFont"/>
    <w:link w:val="Heading2"/>
    <w:semiHidden/>
    <w:rsid w:val="00443B04"/>
    <w:rPr>
      <w:sz w:val="24"/>
      <w:lang w:val="fr-FR" w:eastAsia="fr-FR"/>
    </w:rPr>
  </w:style>
  <w:style w:type="character" w:customStyle="1" w:styleId="Heading3Char">
    <w:name w:val="Heading 3 Char"/>
    <w:basedOn w:val="DefaultParagraphFont"/>
    <w:link w:val="Heading3"/>
    <w:semiHidden/>
    <w:rsid w:val="00443B04"/>
    <w:rPr>
      <w:rFonts w:ascii="Arial" w:hAnsi="Arial"/>
      <w:sz w:val="24"/>
      <w:lang w:val="fr-FR" w:eastAsia="fr-FR"/>
    </w:rPr>
  </w:style>
  <w:style w:type="character" w:customStyle="1" w:styleId="Heading4Char">
    <w:name w:val="Heading 4 Char"/>
    <w:basedOn w:val="DefaultParagraphFont"/>
    <w:link w:val="Heading4"/>
    <w:semiHidden/>
    <w:rsid w:val="00443B04"/>
    <w:rPr>
      <w:sz w:val="24"/>
      <w:lang w:val="en-US" w:eastAsia="fr-FR"/>
    </w:rPr>
  </w:style>
  <w:style w:type="character" w:customStyle="1" w:styleId="Heading5Char">
    <w:name w:val="Heading 5 Char"/>
    <w:basedOn w:val="DefaultParagraphFont"/>
    <w:link w:val="Heading5"/>
    <w:semiHidden/>
    <w:rsid w:val="00443B04"/>
    <w:rPr>
      <w:sz w:val="24"/>
      <w:lang w:val="en-US" w:eastAsia="fr-FR"/>
    </w:rPr>
  </w:style>
  <w:style w:type="character" w:customStyle="1" w:styleId="Heading6Char">
    <w:name w:val="Heading 6 Char"/>
    <w:basedOn w:val="DefaultParagraphFont"/>
    <w:link w:val="Heading6"/>
    <w:semiHidden/>
    <w:rsid w:val="00443B04"/>
    <w:rPr>
      <w:i/>
      <w:sz w:val="22"/>
      <w:lang w:val="bg-BG"/>
    </w:rPr>
  </w:style>
  <w:style w:type="character" w:customStyle="1" w:styleId="Heading7Char">
    <w:name w:val="Heading 7 Char"/>
    <w:basedOn w:val="DefaultParagraphFont"/>
    <w:link w:val="Heading7"/>
    <w:semiHidden/>
    <w:rsid w:val="00443B04"/>
    <w:rPr>
      <w:rFonts w:ascii="Arial" w:hAnsi="Arial"/>
      <w:sz w:val="24"/>
      <w:lang w:val="bg-BG"/>
    </w:rPr>
  </w:style>
  <w:style w:type="character" w:customStyle="1" w:styleId="Heading8Char">
    <w:name w:val="Heading 8 Char"/>
    <w:basedOn w:val="DefaultParagraphFont"/>
    <w:link w:val="Heading8"/>
    <w:semiHidden/>
    <w:rsid w:val="00443B04"/>
    <w:rPr>
      <w:rFonts w:ascii="Arial" w:hAnsi="Arial"/>
      <w:i/>
      <w:sz w:val="24"/>
      <w:lang w:val="bg-BG"/>
    </w:rPr>
  </w:style>
  <w:style w:type="character" w:customStyle="1" w:styleId="Heading9Char">
    <w:name w:val="Heading 9 Char"/>
    <w:basedOn w:val="DefaultParagraphFont"/>
    <w:link w:val="Heading9"/>
    <w:semiHidden/>
    <w:rsid w:val="00443B04"/>
    <w:rPr>
      <w:rFonts w:ascii="Arial" w:hAnsi="Arial"/>
      <w:b/>
      <w:i/>
      <w:sz w:val="18"/>
      <w:lang w:val="bg-BG"/>
    </w:rPr>
  </w:style>
  <w:style w:type="paragraph" w:styleId="TOCHeading">
    <w:name w:val="TOC Heading"/>
    <w:basedOn w:val="Normal"/>
    <w:next w:val="Normal"/>
    <w:unhideWhenUsed/>
    <w:qFormat/>
    <w:rsid w:val="00443B04"/>
    <w:pPr>
      <w:widowControl/>
      <w:spacing w:after="240"/>
    </w:pPr>
    <w:rPr>
      <w:lang w:val="en-GB"/>
    </w:rPr>
  </w:style>
  <w:style w:type="paragraph" w:customStyle="1" w:styleId="EPFooter2">
    <w:name w:val="EPFooter2"/>
    <w:basedOn w:val="Normal"/>
    <w:next w:val="Normal"/>
    <w:link w:val="EPFooter2Char"/>
    <w:rsid w:val="00443B04"/>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443B04"/>
    <w:pPr>
      <w:spacing w:before="480" w:after="240"/>
    </w:pPr>
  </w:style>
  <w:style w:type="paragraph" w:customStyle="1" w:styleId="TOCPage">
    <w:name w:val="TOC Page"/>
    <w:basedOn w:val="Normal"/>
    <w:next w:val="TOC1"/>
    <w:rsid w:val="00443B04"/>
    <w:pPr>
      <w:keepNext/>
      <w:spacing w:after="240"/>
      <w:jc w:val="right"/>
    </w:pPr>
    <w:rPr>
      <w:rFonts w:ascii="Arial" w:hAnsi="Arial"/>
      <w:b/>
    </w:rPr>
  </w:style>
  <w:style w:type="paragraph" w:customStyle="1" w:styleId="PageHeading">
    <w:name w:val="PageHeading"/>
    <w:basedOn w:val="Normal"/>
    <w:link w:val="PageHeadingChar"/>
    <w:rsid w:val="00443B04"/>
    <w:pPr>
      <w:keepNext/>
      <w:spacing w:after="480"/>
      <w:jc w:val="center"/>
    </w:pPr>
    <w:rPr>
      <w:rFonts w:ascii="Arial" w:hAnsi="Arial" w:cs="Arial"/>
      <w:b/>
    </w:rPr>
  </w:style>
  <w:style w:type="paragraph" w:customStyle="1" w:styleId="NormalBold">
    <w:name w:val="NormalBold"/>
    <w:basedOn w:val="Normal"/>
    <w:rsid w:val="00443B04"/>
    <w:rPr>
      <w:b/>
    </w:rPr>
  </w:style>
  <w:style w:type="paragraph" w:customStyle="1" w:styleId="NormalHanging12a">
    <w:name w:val="NormalHanging12a"/>
    <w:basedOn w:val="Normal"/>
    <w:link w:val="NormalHanging12aChar"/>
    <w:rsid w:val="00443B04"/>
    <w:pPr>
      <w:spacing w:after="240"/>
      <w:ind w:left="567" w:hanging="567"/>
    </w:pPr>
  </w:style>
  <w:style w:type="paragraph" w:customStyle="1" w:styleId="CoverNormal24a">
    <w:name w:val="CoverNormal24a"/>
    <w:basedOn w:val="Normal"/>
    <w:rsid w:val="00443B04"/>
    <w:pPr>
      <w:spacing w:after="480"/>
      <w:ind w:left="1417"/>
    </w:pPr>
  </w:style>
  <w:style w:type="paragraph" w:customStyle="1" w:styleId="CoverNormal">
    <w:name w:val="CoverNormal"/>
    <w:basedOn w:val="Normal"/>
    <w:rsid w:val="00443B04"/>
    <w:pPr>
      <w:ind w:left="1418"/>
    </w:pPr>
  </w:style>
  <w:style w:type="paragraph" w:customStyle="1" w:styleId="NormalCenter12a">
    <w:name w:val="NormalCenter12a"/>
    <w:basedOn w:val="Normal"/>
    <w:rsid w:val="00443B04"/>
    <w:pPr>
      <w:spacing w:after="240"/>
      <w:jc w:val="center"/>
    </w:pPr>
  </w:style>
  <w:style w:type="paragraph" w:customStyle="1" w:styleId="CoverReference">
    <w:name w:val="CoverReference"/>
    <w:basedOn w:val="Normal"/>
    <w:rsid w:val="00443B04"/>
    <w:pPr>
      <w:spacing w:before="1080"/>
      <w:jc w:val="right"/>
    </w:pPr>
    <w:rPr>
      <w:rFonts w:ascii="Arial" w:hAnsi="Arial" w:cs="Arial"/>
      <w:b/>
    </w:rPr>
  </w:style>
  <w:style w:type="paragraph" w:customStyle="1" w:styleId="CoverDocType24a">
    <w:name w:val="CoverDocType24a"/>
    <w:basedOn w:val="Normal"/>
    <w:rsid w:val="00443B04"/>
    <w:pPr>
      <w:spacing w:after="480"/>
      <w:ind w:left="1418"/>
    </w:pPr>
    <w:rPr>
      <w:rFonts w:ascii="Arial" w:hAnsi="Arial"/>
      <w:b/>
      <w:sz w:val="48"/>
    </w:rPr>
  </w:style>
  <w:style w:type="paragraph" w:customStyle="1" w:styleId="CoverDate">
    <w:name w:val="CoverDate"/>
    <w:basedOn w:val="Normal"/>
    <w:rsid w:val="00443B04"/>
    <w:pPr>
      <w:spacing w:before="240" w:after="1200"/>
    </w:pPr>
  </w:style>
  <w:style w:type="paragraph" w:styleId="Header">
    <w:name w:val="header"/>
    <w:basedOn w:val="Normal"/>
    <w:link w:val="HeaderChar"/>
    <w:rsid w:val="00443B04"/>
    <w:pPr>
      <w:tabs>
        <w:tab w:val="center" w:pos="4513"/>
        <w:tab w:val="right" w:pos="9026"/>
      </w:tabs>
    </w:pPr>
  </w:style>
  <w:style w:type="character" w:customStyle="1" w:styleId="HeaderChar">
    <w:name w:val="Header Char"/>
    <w:basedOn w:val="DefaultParagraphFont"/>
    <w:link w:val="Header"/>
    <w:rsid w:val="00443B04"/>
    <w:rPr>
      <w:sz w:val="24"/>
      <w:lang w:val="bg-BG"/>
    </w:rPr>
  </w:style>
  <w:style w:type="paragraph" w:customStyle="1" w:styleId="EPBody">
    <w:name w:val="EPBody"/>
    <w:basedOn w:val="Normal"/>
    <w:rsid w:val="00443B04"/>
    <w:pPr>
      <w:jc w:val="center"/>
    </w:pPr>
    <w:rPr>
      <w:rFonts w:ascii="Arial" w:hAnsi="Arial" w:cs="Arial"/>
      <w:i/>
      <w:sz w:val="22"/>
      <w:szCs w:val="22"/>
    </w:rPr>
  </w:style>
  <w:style w:type="paragraph" w:customStyle="1" w:styleId="EPFooter">
    <w:name w:val="EPFooter"/>
    <w:basedOn w:val="Normal"/>
    <w:link w:val="EPFooterChar"/>
    <w:rsid w:val="00443B04"/>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443B04"/>
    <w:rPr>
      <w:sz w:val="24"/>
      <w:lang w:val="bg-BG"/>
    </w:rPr>
  </w:style>
  <w:style w:type="paragraph" w:customStyle="1" w:styleId="PageHeadingDec">
    <w:name w:val="PageHeadingDec"/>
    <w:basedOn w:val="PageHeading"/>
    <w:link w:val="PageHeadingDecChar"/>
    <w:qFormat/>
    <w:rsid w:val="00443B04"/>
  </w:style>
  <w:style w:type="character" w:customStyle="1" w:styleId="PageHeadingChar">
    <w:name w:val="PageHeading Char"/>
    <w:basedOn w:val="DefaultParagraphFont"/>
    <w:link w:val="PageHeading"/>
    <w:rsid w:val="00443B04"/>
    <w:rPr>
      <w:rFonts w:ascii="Arial" w:hAnsi="Arial" w:cs="Arial"/>
      <w:b/>
      <w:sz w:val="24"/>
      <w:lang w:val="bg-BG"/>
    </w:rPr>
  </w:style>
  <w:style w:type="character" w:customStyle="1" w:styleId="PageHeadingDecChar">
    <w:name w:val="PageHeadingDec Char"/>
    <w:basedOn w:val="PageHeadingChar"/>
    <w:link w:val="PageHeadingDec"/>
    <w:rsid w:val="00443B04"/>
    <w:rPr>
      <w:rFonts w:ascii="Arial" w:hAnsi="Arial" w:cs="Arial"/>
      <w:b/>
      <w:sz w:val="24"/>
      <w:lang w:val="bg-BG"/>
    </w:rPr>
  </w:style>
  <w:style w:type="paragraph" w:styleId="TOC9">
    <w:name w:val="toc 9"/>
    <w:basedOn w:val="Normal"/>
    <w:next w:val="Normal"/>
    <w:autoRedefine/>
    <w:uiPriority w:val="39"/>
    <w:rsid w:val="00443B04"/>
    <w:pPr>
      <w:spacing w:after="100"/>
      <w:jc w:val="center"/>
    </w:pPr>
  </w:style>
  <w:style w:type="paragraph" w:styleId="TOC8">
    <w:name w:val="toc 8"/>
    <w:basedOn w:val="Normal"/>
    <w:next w:val="Normal"/>
    <w:autoRedefine/>
    <w:uiPriority w:val="39"/>
    <w:rsid w:val="00443B04"/>
    <w:pPr>
      <w:spacing w:after="240"/>
    </w:pPr>
    <w:rPr>
      <w:b/>
    </w:rPr>
  </w:style>
  <w:style w:type="paragraph" w:customStyle="1" w:styleId="PageHeadingNotTOC">
    <w:name w:val="PageHeadingNotTOC"/>
    <w:basedOn w:val="Normal"/>
    <w:link w:val="PageHeadingNotTOCChar"/>
    <w:rsid w:val="00443B04"/>
    <w:pPr>
      <w:keepNext/>
      <w:spacing w:after="480"/>
      <w:jc w:val="center"/>
    </w:pPr>
    <w:rPr>
      <w:rFonts w:ascii="Arial" w:hAnsi="Arial" w:cs="Arial"/>
      <w:b/>
    </w:rPr>
  </w:style>
  <w:style w:type="paragraph" w:styleId="TOC7">
    <w:name w:val="toc 7"/>
    <w:basedOn w:val="Normal"/>
    <w:next w:val="Normal"/>
    <w:autoRedefine/>
    <w:uiPriority w:val="39"/>
    <w:rsid w:val="00443B04"/>
    <w:pPr>
      <w:tabs>
        <w:tab w:val="right" w:leader="dot" w:pos="9060"/>
      </w:tabs>
      <w:spacing w:after="240"/>
      <w:ind w:left="720" w:hanging="720"/>
    </w:pPr>
  </w:style>
  <w:style w:type="paragraph" w:styleId="BalloonText">
    <w:name w:val="Balloon Text"/>
    <w:basedOn w:val="Normal"/>
    <w:link w:val="BalloonTextChar"/>
    <w:uiPriority w:val="99"/>
    <w:unhideWhenUsed/>
    <w:rsid w:val="00443B04"/>
    <w:rPr>
      <w:rFonts w:ascii="Segoe UI" w:hAnsi="Segoe UI" w:cs="Segoe UI"/>
      <w:sz w:val="18"/>
      <w:szCs w:val="18"/>
    </w:rPr>
  </w:style>
  <w:style w:type="character" w:customStyle="1" w:styleId="BalloonTextChar">
    <w:name w:val="Balloon Text Char"/>
    <w:basedOn w:val="DefaultParagraphFont"/>
    <w:link w:val="BalloonText"/>
    <w:uiPriority w:val="99"/>
    <w:rsid w:val="00443B04"/>
    <w:rPr>
      <w:rFonts w:ascii="Segoe UI" w:hAnsi="Segoe UI" w:cs="Segoe UI"/>
      <w:sz w:val="18"/>
      <w:szCs w:val="18"/>
      <w:lang w:val="bg-BG"/>
    </w:rPr>
  </w:style>
  <w:style w:type="character" w:styleId="Hyperlink">
    <w:name w:val="Hyperlink"/>
    <w:basedOn w:val="DefaultParagraphFont"/>
    <w:rsid w:val="00443B04"/>
    <w:rPr>
      <w:color w:val="0563C1" w:themeColor="hyperlink"/>
      <w:u w:val="single"/>
    </w:rPr>
  </w:style>
  <w:style w:type="character" w:styleId="UnresolvedMention">
    <w:name w:val="Unresolved Mention"/>
    <w:basedOn w:val="DefaultParagraphFont"/>
    <w:uiPriority w:val="99"/>
    <w:semiHidden/>
    <w:unhideWhenUsed/>
    <w:rsid w:val="00443B04"/>
    <w:rPr>
      <w:color w:val="605E5C"/>
      <w:shd w:val="clear" w:color="auto" w:fill="E1DFDD"/>
    </w:rPr>
  </w:style>
  <w:style w:type="character" w:styleId="CommentReference">
    <w:name w:val="annotation reference"/>
    <w:basedOn w:val="DefaultParagraphFont"/>
    <w:rsid w:val="00443B04"/>
    <w:rPr>
      <w:sz w:val="16"/>
      <w:szCs w:val="16"/>
    </w:rPr>
  </w:style>
  <w:style w:type="paragraph" w:styleId="CommentText">
    <w:name w:val="annotation text"/>
    <w:basedOn w:val="Normal"/>
    <w:link w:val="CommentTextChar"/>
    <w:rsid w:val="00443B04"/>
    <w:rPr>
      <w:sz w:val="20"/>
    </w:rPr>
  </w:style>
  <w:style w:type="character" w:customStyle="1" w:styleId="CommentTextChar">
    <w:name w:val="Comment Text Char"/>
    <w:basedOn w:val="DefaultParagraphFont"/>
    <w:link w:val="CommentText"/>
    <w:rsid w:val="00443B04"/>
    <w:rPr>
      <w:lang w:val="bg-BG"/>
    </w:rPr>
  </w:style>
  <w:style w:type="paragraph" w:styleId="CommentSubject">
    <w:name w:val="annotation subject"/>
    <w:basedOn w:val="CommentText"/>
    <w:next w:val="CommentText"/>
    <w:link w:val="CommentSubjectChar"/>
    <w:unhideWhenUsed/>
    <w:rsid w:val="00443B04"/>
    <w:rPr>
      <w:b/>
      <w:bCs/>
    </w:rPr>
  </w:style>
  <w:style w:type="character" w:customStyle="1" w:styleId="CommentSubjectChar">
    <w:name w:val="Comment Subject Char"/>
    <w:basedOn w:val="CommentTextChar"/>
    <w:link w:val="CommentSubject"/>
    <w:rsid w:val="00443B04"/>
    <w:rPr>
      <w:b/>
      <w:bCs/>
      <w:lang w:val="bg-BG"/>
    </w:rPr>
  </w:style>
  <w:style w:type="paragraph" w:styleId="Revision">
    <w:name w:val="Revision"/>
    <w:hidden/>
    <w:uiPriority w:val="99"/>
    <w:semiHidden/>
    <w:rsid w:val="00443B04"/>
    <w:rPr>
      <w:sz w:val="24"/>
      <w:lang w:val="bg-BG"/>
    </w:rPr>
  </w:style>
  <w:style w:type="character" w:styleId="FollowedHyperlink">
    <w:name w:val="FollowedHyperlink"/>
    <w:basedOn w:val="DefaultParagraphFont"/>
    <w:uiPriority w:val="99"/>
    <w:rsid w:val="00443B04"/>
    <w:rPr>
      <w:color w:val="954F72" w:themeColor="followedHyperlink"/>
      <w:u w:val="single"/>
    </w:rPr>
  </w:style>
  <w:style w:type="paragraph" w:customStyle="1" w:styleId="Normal12Hanging">
    <w:name w:val="Normal12Hanging"/>
    <w:basedOn w:val="Normal"/>
    <w:rsid w:val="00443B04"/>
    <w:pPr>
      <w:spacing w:after="240"/>
      <w:ind w:left="567" w:hanging="567"/>
    </w:pPr>
  </w:style>
  <w:style w:type="paragraph" w:customStyle="1" w:styleId="Normal24a">
    <w:name w:val="Normal24a"/>
    <w:basedOn w:val="Normal"/>
    <w:rsid w:val="00443B04"/>
    <w:pPr>
      <w:spacing w:after="480"/>
    </w:pPr>
  </w:style>
  <w:style w:type="paragraph" w:customStyle="1" w:styleId="NormalBoldCenter">
    <w:name w:val="NormalBoldCenter"/>
    <w:basedOn w:val="Normal"/>
    <w:rsid w:val="00443B04"/>
    <w:pPr>
      <w:jc w:val="center"/>
    </w:pPr>
    <w:rPr>
      <w:b/>
    </w:rPr>
  </w:style>
  <w:style w:type="paragraph" w:customStyle="1" w:styleId="Footprint12b">
    <w:name w:val="Footprint12b"/>
    <w:basedOn w:val="Normal"/>
    <w:rsid w:val="00443B04"/>
    <w:pPr>
      <w:spacing w:before="240"/>
    </w:pPr>
    <w:rPr>
      <w:szCs w:val="24"/>
    </w:rPr>
  </w:style>
  <w:style w:type="paragraph" w:customStyle="1" w:styleId="NormalSingle">
    <w:name w:val="NormalSingle"/>
    <w:basedOn w:val="Normal"/>
    <w:qFormat/>
    <w:rsid w:val="00443B04"/>
    <w:rPr>
      <w:szCs w:val="24"/>
    </w:rPr>
  </w:style>
  <w:style w:type="paragraph" w:customStyle="1" w:styleId="Normal12a">
    <w:name w:val="Normal12a"/>
    <w:basedOn w:val="Normal"/>
    <w:rsid w:val="00443B04"/>
    <w:pPr>
      <w:spacing w:after="240"/>
    </w:pPr>
  </w:style>
  <w:style w:type="paragraph" w:customStyle="1" w:styleId="RollCallSymbols14pt">
    <w:name w:val="RollCallSymbols14pt"/>
    <w:basedOn w:val="Normal"/>
    <w:rsid w:val="00443B0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43B04"/>
    <w:pPr>
      <w:tabs>
        <w:tab w:val="center" w:pos="284"/>
        <w:tab w:val="left" w:pos="426"/>
      </w:tabs>
    </w:pPr>
    <w:rPr>
      <w:snapToGrid w:val="0"/>
      <w:lang w:eastAsia="en-US"/>
    </w:rPr>
  </w:style>
  <w:style w:type="paragraph" w:customStyle="1" w:styleId="RollCallVotes">
    <w:name w:val="RollCallVotes"/>
    <w:basedOn w:val="Normal"/>
    <w:rsid w:val="00443B04"/>
    <w:pPr>
      <w:spacing w:before="120" w:after="120"/>
      <w:jc w:val="center"/>
    </w:pPr>
    <w:rPr>
      <w:b/>
      <w:bCs/>
      <w:snapToGrid w:val="0"/>
      <w:sz w:val="16"/>
      <w:lang w:eastAsia="en-US"/>
    </w:rPr>
  </w:style>
  <w:style w:type="paragraph" w:customStyle="1" w:styleId="RollCallTable">
    <w:name w:val="RollCallTable"/>
    <w:basedOn w:val="Normal"/>
    <w:rsid w:val="00443B04"/>
    <w:pPr>
      <w:spacing w:before="120" w:after="120"/>
    </w:pPr>
    <w:rPr>
      <w:snapToGrid w:val="0"/>
      <w:sz w:val="16"/>
      <w:lang w:eastAsia="en-US"/>
    </w:rPr>
  </w:style>
  <w:style w:type="paragraph" w:customStyle="1" w:styleId="RollCallHeading">
    <w:name w:val="RollCallHeading"/>
    <w:basedOn w:val="Normal"/>
    <w:qFormat/>
    <w:rsid w:val="00443B04"/>
    <w:pPr>
      <w:snapToGrid w:val="0"/>
      <w:spacing w:before="480" w:after="480"/>
      <w:jc w:val="center"/>
    </w:pPr>
    <w:rPr>
      <w:b/>
      <w:sz w:val="28"/>
      <w:lang w:eastAsia="en-US"/>
    </w:rPr>
  </w:style>
  <w:style w:type="paragraph" w:customStyle="1" w:styleId="Normal12">
    <w:name w:val="Normal12"/>
    <w:basedOn w:val="Normal"/>
    <w:qFormat/>
    <w:rsid w:val="00443B04"/>
    <w:pPr>
      <w:snapToGrid w:val="0"/>
      <w:spacing w:after="240"/>
    </w:pPr>
    <w:rPr>
      <w:lang w:eastAsia="en-US"/>
    </w:rPr>
  </w:style>
  <w:style w:type="paragraph" w:customStyle="1" w:styleId="RollCallContents">
    <w:name w:val="RollCallContents"/>
    <w:basedOn w:val="Normal"/>
    <w:qFormat/>
    <w:rsid w:val="00443B04"/>
    <w:pPr>
      <w:snapToGrid w:val="0"/>
      <w:spacing w:before="480" w:after="480"/>
      <w:jc w:val="center"/>
    </w:pPr>
    <w:rPr>
      <w:b/>
      <w:lang w:eastAsia="en-US"/>
    </w:rPr>
  </w:style>
  <w:style w:type="paragraph" w:customStyle="1" w:styleId="RollCallSubtitle">
    <w:name w:val="RollCallSubtitle"/>
    <w:basedOn w:val="Normal"/>
    <w:link w:val="RollCallSubtitleChar"/>
    <w:qFormat/>
    <w:rsid w:val="00443B04"/>
    <w:pPr>
      <w:snapToGrid w:val="0"/>
      <w:spacing w:after="240"/>
    </w:pPr>
    <w:rPr>
      <w:lang w:eastAsia="en-US"/>
    </w:rPr>
  </w:style>
  <w:style w:type="paragraph" w:customStyle="1" w:styleId="NormalTabs">
    <w:name w:val="NormalTabs"/>
    <w:basedOn w:val="Normal"/>
    <w:qFormat/>
    <w:rsid w:val="00443B04"/>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443B04"/>
    <w:rPr>
      <w:rFonts w:ascii="Arial" w:hAnsi="Arial" w:cs="Arial"/>
      <w:b/>
      <w:sz w:val="24"/>
      <w:lang w:val="bg-BG"/>
    </w:rPr>
  </w:style>
  <w:style w:type="character" w:customStyle="1" w:styleId="RollCallSubtitleChar">
    <w:name w:val="RollCallSubtitle Char"/>
    <w:basedOn w:val="DefaultParagraphFont"/>
    <w:link w:val="RollCallSubtitle"/>
    <w:rsid w:val="00443B04"/>
    <w:rPr>
      <w:sz w:val="24"/>
      <w:lang w:val="bg-BG" w:eastAsia="en-US"/>
    </w:rPr>
  </w:style>
  <w:style w:type="character" w:customStyle="1" w:styleId="EPFooter2Char">
    <w:name w:val="EPFooter2 Char"/>
    <w:basedOn w:val="RollCallSubtitleChar"/>
    <w:link w:val="EPFooter2"/>
    <w:rsid w:val="00443B04"/>
    <w:rPr>
      <w:rFonts w:ascii="Arial" w:hAnsi="Arial" w:cs="Arial"/>
      <w:b/>
      <w:sz w:val="48"/>
      <w:lang w:val="bg-BG" w:eastAsia="en-US"/>
    </w:rPr>
  </w:style>
  <w:style w:type="character" w:customStyle="1" w:styleId="EPFooterChar">
    <w:name w:val="EPFooter Char"/>
    <w:basedOn w:val="RollCallSubtitleChar"/>
    <w:link w:val="EPFooter"/>
    <w:rsid w:val="00443B04"/>
    <w:rPr>
      <w:color w:val="010000"/>
      <w:sz w:val="22"/>
      <w:lang w:val="bg-BG" w:eastAsia="en-US"/>
    </w:rPr>
  </w:style>
  <w:style w:type="paragraph" w:customStyle="1" w:styleId="NormalBold0">
    <w:name w:val="Normal Bold"/>
    <w:basedOn w:val="Normal"/>
    <w:uiPriority w:val="99"/>
    <w:rsid w:val="00443B04"/>
    <w:pPr>
      <w:snapToGrid w:val="0"/>
    </w:pPr>
    <w:rPr>
      <w:b/>
      <w:lang w:eastAsia="en-US"/>
    </w:rPr>
  </w:style>
  <w:style w:type="paragraph" w:styleId="Title">
    <w:name w:val="Title"/>
    <w:basedOn w:val="Normal"/>
    <w:next w:val="Normal"/>
    <w:link w:val="TitleChar"/>
    <w:uiPriority w:val="10"/>
    <w:qFormat/>
    <w:rsid w:val="00443B04"/>
    <w:pPr>
      <w:widowControl/>
      <w:spacing w:before="240" w:after="60"/>
      <w:jc w:val="center"/>
      <w:outlineLvl w:val="0"/>
    </w:pPr>
    <w:rPr>
      <w:rFonts w:ascii="Arial" w:eastAsiaTheme="majorEastAsia" w:hAnsi="Arial" w:cs="Arial"/>
      <w:b/>
      <w:bCs/>
      <w:kern w:val="28"/>
      <w:sz w:val="32"/>
      <w:szCs w:val="32"/>
      <w:lang w:eastAsia="zh-CN"/>
      <w14:ligatures w14:val="standardContextual"/>
    </w:rPr>
  </w:style>
  <w:style w:type="character" w:customStyle="1" w:styleId="TitleChar">
    <w:name w:val="Title Char"/>
    <w:basedOn w:val="DefaultParagraphFont"/>
    <w:link w:val="Title"/>
    <w:uiPriority w:val="10"/>
    <w:rsid w:val="00443B04"/>
    <w:rPr>
      <w:rFonts w:ascii="Arial" w:eastAsiaTheme="majorEastAsia" w:hAnsi="Arial" w:cs="Arial"/>
      <w:b/>
      <w:bCs/>
      <w:kern w:val="28"/>
      <w:sz w:val="32"/>
      <w:szCs w:val="32"/>
      <w:lang w:val="bg-BG" w:eastAsia="zh-CN"/>
      <w14:ligatures w14:val="standardContextual"/>
    </w:rPr>
  </w:style>
  <w:style w:type="paragraph" w:styleId="Subtitle">
    <w:name w:val="Subtitle"/>
    <w:basedOn w:val="Normal"/>
    <w:next w:val="Normal"/>
    <w:link w:val="SubtitleChar"/>
    <w:uiPriority w:val="11"/>
    <w:qFormat/>
    <w:rsid w:val="00443B04"/>
    <w:pPr>
      <w:widowControl/>
      <w:spacing w:after="60"/>
      <w:jc w:val="center"/>
      <w:outlineLvl w:val="1"/>
    </w:pPr>
    <w:rPr>
      <w:rFonts w:ascii="Arial" w:eastAsiaTheme="majorEastAsia" w:hAnsi="Arial" w:cs="Arial"/>
      <w:kern w:val="2"/>
      <w:szCs w:val="24"/>
      <w:lang w:eastAsia="zh-CN"/>
      <w14:ligatures w14:val="standardContextual"/>
    </w:rPr>
  </w:style>
  <w:style w:type="character" w:customStyle="1" w:styleId="SubtitleChar">
    <w:name w:val="Subtitle Char"/>
    <w:basedOn w:val="DefaultParagraphFont"/>
    <w:link w:val="Subtitle"/>
    <w:uiPriority w:val="11"/>
    <w:rsid w:val="00443B04"/>
    <w:rPr>
      <w:rFonts w:ascii="Arial" w:eastAsiaTheme="majorEastAsia" w:hAnsi="Arial" w:cs="Arial"/>
      <w:kern w:val="2"/>
      <w:sz w:val="24"/>
      <w:szCs w:val="24"/>
      <w:lang w:val="bg-BG" w:eastAsia="zh-CN"/>
      <w14:ligatures w14:val="standardContextual"/>
    </w:rPr>
  </w:style>
  <w:style w:type="character" w:styleId="Strong">
    <w:name w:val="Strong"/>
    <w:basedOn w:val="DefaultParagraphFont"/>
    <w:uiPriority w:val="22"/>
    <w:qFormat/>
    <w:rsid w:val="00443B04"/>
    <w:rPr>
      <w:b/>
      <w:bCs/>
    </w:rPr>
  </w:style>
  <w:style w:type="character" w:styleId="Emphasis">
    <w:name w:val="Emphasis"/>
    <w:basedOn w:val="DefaultParagraphFont"/>
    <w:uiPriority w:val="20"/>
    <w:qFormat/>
    <w:rsid w:val="00443B04"/>
    <w:rPr>
      <w:rFonts w:asciiTheme="minorHAnsi" w:hAnsiTheme="minorHAnsi"/>
      <w:b/>
      <w:i/>
      <w:iCs/>
    </w:rPr>
  </w:style>
  <w:style w:type="paragraph" w:styleId="NoSpacing">
    <w:name w:val="No Spacing"/>
    <w:basedOn w:val="Normal"/>
    <w:uiPriority w:val="1"/>
    <w:qFormat/>
    <w:rsid w:val="00443B04"/>
    <w:pPr>
      <w:widowControl/>
      <w:jc w:val="both"/>
    </w:pPr>
    <w:rPr>
      <w:rFonts w:eastAsiaTheme="minorEastAsia"/>
      <w:kern w:val="2"/>
      <w:szCs w:val="32"/>
      <w:lang w:eastAsia="zh-CN"/>
      <w14:ligatures w14:val="standardContextual"/>
    </w:rPr>
  </w:style>
  <w:style w:type="paragraph" w:styleId="ListParagraph">
    <w:name w:val="List Paragraph"/>
    <w:basedOn w:val="Normal"/>
    <w:uiPriority w:val="34"/>
    <w:qFormat/>
    <w:rsid w:val="00443B04"/>
    <w:pPr>
      <w:widowControl/>
      <w:ind w:left="720"/>
      <w:contextualSpacing/>
      <w:jc w:val="both"/>
    </w:pPr>
    <w:rPr>
      <w:rFonts w:eastAsiaTheme="minorEastAsia"/>
      <w:kern w:val="2"/>
      <w:szCs w:val="24"/>
      <w:lang w:eastAsia="zh-CN"/>
      <w14:ligatures w14:val="standardContextual"/>
    </w:rPr>
  </w:style>
  <w:style w:type="paragraph" w:styleId="Quote">
    <w:name w:val="Quote"/>
    <w:basedOn w:val="Normal"/>
    <w:next w:val="Normal"/>
    <w:link w:val="QuoteChar"/>
    <w:uiPriority w:val="29"/>
    <w:qFormat/>
    <w:rsid w:val="00443B04"/>
    <w:pPr>
      <w:widowControl/>
      <w:jc w:val="both"/>
    </w:pPr>
    <w:rPr>
      <w:rFonts w:eastAsiaTheme="minorEastAsia"/>
      <w:i/>
      <w:kern w:val="2"/>
      <w:szCs w:val="24"/>
      <w:lang w:eastAsia="zh-CN"/>
      <w14:ligatures w14:val="standardContextual"/>
    </w:rPr>
  </w:style>
  <w:style w:type="character" w:customStyle="1" w:styleId="QuoteChar">
    <w:name w:val="Quote Char"/>
    <w:basedOn w:val="DefaultParagraphFont"/>
    <w:link w:val="Quote"/>
    <w:uiPriority w:val="29"/>
    <w:rsid w:val="00443B04"/>
    <w:rPr>
      <w:rFonts w:eastAsiaTheme="minorEastAsia"/>
      <w:i/>
      <w:kern w:val="2"/>
      <w:sz w:val="24"/>
      <w:szCs w:val="24"/>
      <w:lang w:val="bg-BG" w:eastAsia="zh-CN"/>
      <w14:ligatures w14:val="standardContextual"/>
    </w:rPr>
  </w:style>
  <w:style w:type="paragraph" w:styleId="IntenseQuote">
    <w:name w:val="Intense Quote"/>
    <w:basedOn w:val="Normal"/>
    <w:next w:val="Normal"/>
    <w:link w:val="IntenseQuoteChar"/>
    <w:uiPriority w:val="30"/>
    <w:qFormat/>
    <w:rsid w:val="00443B04"/>
    <w:pPr>
      <w:widowControl/>
      <w:ind w:left="720" w:right="720"/>
      <w:jc w:val="both"/>
    </w:pPr>
    <w:rPr>
      <w:rFonts w:eastAsiaTheme="minorEastAsia"/>
      <w:b/>
      <w:i/>
      <w:kern w:val="2"/>
      <w:szCs w:val="22"/>
      <w:lang w:eastAsia="zh-CN"/>
      <w14:ligatures w14:val="standardContextual"/>
    </w:rPr>
  </w:style>
  <w:style w:type="character" w:customStyle="1" w:styleId="IntenseQuoteChar">
    <w:name w:val="Intense Quote Char"/>
    <w:basedOn w:val="DefaultParagraphFont"/>
    <w:link w:val="IntenseQuote"/>
    <w:uiPriority w:val="30"/>
    <w:rsid w:val="00443B04"/>
    <w:rPr>
      <w:rFonts w:eastAsiaTheme="minorEastAsia"/>
      <w:b/>
      <w:i/>
      <w:kern w:val="2"/>
      <w:sz w:val="24"/>
      <w:szCs w:val="22"/>
      <w:lang w:val="bg-BG" w:eastAsia="zh-CN"/>
      <w14:ligatures w14:val="standardContextual"/>
    </w:rPr>
  </w:style>
  <w:style w:type="character" w:styleId="SubtleEmphasis">
    <w:name w:val="Subtle Emphasis"/>
    <w:uiPriority w:val="19"/>
    <w:qFormat/>
    <w:rsid w:val="00443B04"/>
    <w:rPr>
      <w:i/>
      <w:color w:val="5A5A5A" w:themeColor="text1" w:themeTint="A5"/>
    </w:rPr>
  </w:style>
  <w:style w:type="character" w:styleId="IntenseEmphasis">
    <w:name w:val="Intense Emphasis"/>
    <w:basedOn w:val="DefaultParagraphFont"/>
    <w:uiPriority w:val="21"/>
    <w:qFormat/>
    <w:rsid w:val="00443B04"/>
    <w:rPr>
      <w:b/>
      <w:i/>
      <w:sz w:val="24"/>
      <w:szCs w:val="24"/>
      <w:u w:val="single"/>
    </w:rPr>
  </w:style>
  <w:style w:type="character" w:styleId="SubtleReference">
    <w:name w:val="Subtle Reference"/>
    <w:basedOn w:val="DefaultParagraphFont"/>
    <w:uiPriority w:val="31"/>
    <w:qFormat/>
    <w:rsid w:val="00443B04"/>
    <w:rPr>
      <w:sz w:val="24"/>
      <w:szCs w:val="24"/>
      <w:u w:val="single"/>
    </w:rPr>
  </w:style>
  <w:style w:type="character" w:styleId="IntenseReference">
    <w:name w:val="Intense Reference"/>
    <w:basedOn w:val="DefaultParagraphFont"/>
    <w:uiPriority w:val="32"/>
    <w:qFormat/>
    <w:rsid w:val="00443B04"/>
    <w:rPr>
      <w:b/>
      <w:sz w:val="24"/>
      <w:u w:val="single"/>
    </w:rPr>
  </w:style>
  <w:style w:type="character" w:styleId="BookTitle">
    <w:name w:val="Book Title"/>
    <w:basedOn w:val="DefaultParagraphFont"/>
    <w:uiPriority w:val="33"/>
    <w:qFormat/>
    <w:rsid w:val="00443B04"/>
    <w:rPr>
      <w:rFonts w:asciiTheme="majorHAnsi" w:eastAsiaTheme="majorEastAsia" w:hAnsiTheme="majorHAnsi"/>
      <w:b/>
      <w:i/>
      <w:sz w:val="24"/>
      <w:szCs w:val="24"/>
    </w:rPr>
  </w:style>
  <w:style w:type="paragraph" w:styleId="Footer">
    <w:name w:val="footer"/>
    <w:basedOn w:val="Normal"/>
    <w:link w:val="FooterChar"/>
    <w:uiPriority w:val="99"/>
    <w:rsid w:val="00443B04"/>
    <w:pPr>
      <w:tabs>
        <w:tab w:val="center" w:pos="4513"/>
        <w:tab w:val="right" w:pos="9026"/>
      </w:tabs>
    </w:pPr>
  </w:style>
  <w:style w:type="character" w:customStyle="1" w:styleId="FooterChar">
    <w:name w:val="Footer Char"/>
    <w:basedOn w:val="DefaultParagraphFont"/>
    <w:link w:val="Footer"/>
    <w:uiPriority w:val="99"/>
    <w:rsid w:val="00443B04"/>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21" Type="http://schemas.openxmlformats.org/officeDocument/2006/relationships/footer" Target="footer13.xml"/><Relationship Id="rId42" Type="http://schemas.openxmlformats.org/officeDocument/2006/relationships/footer" Target="footer34.xml"/><Relationship Id="rId47" Type="http://schemas.openxmlformats.org/officeDocument/2006/relationships/footer" Target="footer39.xml"/><Relationship Id="rId63" Type="http://schemas.openxmlformats.org/officeDocument/2006/relationships/footer" Target="footer55.xml"/><Relationship Id="rId68" Type="http://schemas.openxmlformats.org/officeDocument/2006/relationships/footer" Target="footer60.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5.xml"/><Relationship Id="rId58" Type="http://schemas.openxmlformats.org/officeDocument/2006/relationships/footer" Target="footer50.xml"/><Relationship Id="rId74" Type="http://schemas.openxmlformats.org/officeDocument/2006/relationships/header" Target="header1.xml"/><Relationship Id="rId79" Type="http://schemas.openxmlformats.org/officeDocument/2006/relationships/footer" Target="footer68.xml"/><Relationship Id="rId5" Type="http://schemas.openxmlformats.org/officeDocument/2006/relationships/webSettings" Target="webSettings.xml"/><Relationship Id="rId61" Type="http://schemas.openxmlformats.org/officeDocument/2006/relationships/footer" Target="footer53.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6.xml"/><Relationship Id="rId69" Type="http://schemas.openxmlformats.org/officeDocument/2006/relationships/footer" Target="footer61.xml"/><Relationship Id="rId77" Type="http://schemas.openxmlformats.org/officeDocument/2006/relationships/footer" Target="footer67.xml"/><Relationship Id="rId8" Type="http://schemas.openxmlformats.org/officeDocument/2006/relationships/image" Target="media/image1.png"/><Relationship Id="rId51" Type="http://schemas.openxmlformats.org/officeDocument/2006/relationships/footer" Target="footer43.xml"/><Relationship Id="rId72" Type="http://schemas.openxmlformats.org/officeDocument/2006/relationships/footer" Target="footer6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9.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footer" Target="footer54.xml"/><Relationship Id="rId70" Type="http://schemas.openxmlformats.org/officeDocument/2006/relationships/footer" Target="footer62.xm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 Id="rId10" Type="http://schemas.openxmlformats.org/officeDocument/2006/relationships/footer" Target="footer2.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52.xml"/><Relationship Id="rId65" Type="http://schemas.openxmlformats.org/officeDocument/2006/relationships/footer" Target="footer57.xml"/><Relationship Id="rId73" Type="http://schemas.openxmlformats.org/officeDocument/2006/relationships/footer" Target="footer65.xm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1.xml"/><Relationship Id="rId34" Type="http://schemas.openxmlformats.org/officeDocument/2006/relationships/footer" Target="footer26.xml"/><Relationship Id="rId50" Type="http://schemas.openxmlformats.org/officeDocument/2006/relationships/footer" Target="footer42.xml"/><Relationship Id="rId55" Type="http://schemas.openxmlformats.org/officeDocument/2006/relationships/footer" Target="footer47.xml"/><Relationship Id="rId76" Type="http://schemas.openxmlformats.org/officeDocument/2006/relationships/footer" Target="footer66.xml"/><Relationship Id="rId7" Type="http://schemas.openxmlformats.org/officeDocument/2006/relationships/endnotes" Target="endnotes.xml"/><Relationship Id="rId71" Type="http://schemas.openxmlformats.org/officeDocument/2006/relationships/footer" Target="footer63.xml"/><Relationship Id="rId2" Type="http://schemas.openxmlformats.org/officeDocument/2006/relationships/numbering" Target="numbering.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2.xml"/><Relationship Id="rId45" Type="http://schemas.openxmlformats.org/officeDocument/2006/relationships/footer" Target="footer37.xml"/><Relationship Id="rId66" Type="http://schemas.openxmlformats.org/officeDocument/2006/relationships/footer" Target="footer58.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1/2303/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_del/2019/715/oj" TargetMode="External"/><Relationship Id="rId366" Type="http://schemas.openxmlformats.org/officeDocument/2006/relationships/hyperlink" Target="http://data.europa.eu/eli/reg_del/2019/715/oj" TargetMode="External"/><Relationship Id="rId170" Type="http://schemas.openxmlformats.org/officeDocument/2006/relationships/hyperlink" Target="http://data.europa.eu/eli/C/2025/5407/oj" TargetMode="External"/><Relationship Id="rId226" Type="http://schemas.openxmlformats.org/officeDocument/2006/relationships/hyperlink" Target="http://data.europa.eu/eli/C/2025/5407/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5/540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C/2025/5407/oj" TargetMode="External"/><Relationship Id="rId335" Type="http://schemas.openxmlformats.org/officeDocument/2006/relationships/hyperlink" Target="http://data.europa.eu/eli/reg/2019/127/oj" TargetMode="External"/><Relationship Id="rId377" Type="http://schemas.openxmlformats.org/officeDocument/2006/relationships/hyperlink" Target="http://data.europa.eu/eli/reg/2007/168/oj" TargetMode="External"/><Relationship Id="rId5" Type="http://schemas.openxmlformats.org/officeDocument/2006/relationships/hyperlink" Target="https://data.europa.eu/eli/reg/2019/942/oj" TargetMode="External"/><Relationship Id="rId181" Type="http://schemas.openxmlformats.org/officeDocument/2006/relationships/hyperlink" Target="http://data.europa.eu/eli/C/2025/5734/oj" TargetMode="External"/><Relationship Id="rId237" Type="http://schemas.openxmlformats.org/officeDocument/2006/relationships/hyperlink" Target="http://data.europa.eu/eli/C/2025/5734/oj"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5/5734/oj" TargetMode="External"/><Relationship Id="rId139" Type="http://schemas.openxmlformats.org/officeDocument/2006/relationships/hyperlink" Target="http://data.europa.eu/eli/C/2025/5734/oj" TargetMode="External"/><Relationship Id="rId290" Type="http://schemas.openxmlformats.org/officeDocument/2006/relationships/hyperlink" Target="http://data.europa.eu/eli/C/2025/5407/oj" TargetMode="External"/><Relationship Id="rId304" Type="http://schemas.openxmlformats.org/officeDocument/2006/relationships/hyperlink" Target="http://data.europa.eu/eli/reg/2024/2509/oj" TargetMode="External"/><Relationship Id="rId346" Type="http://schemas.openxmlformats.org/officeDocument/2006/relationships/hyperlink" Target="http://data.europa.eu/eli/reg/2024/2509/oj" TargetMode="External"/><Relationship Id="rId388" Type="http://schemas.openxmlformats.org/officeDocument/2006/relationships/hyperlink" Target="http://data.europa.eu/eli/reg/2024/2509/oj" TargetMode="External"/><Relationship Id="rId85" Type="http://schemas.openxmlformats.org/officeDocument/2006/relationships/hyperlink" Target="http://data.europa.eu/eli/C/2025/5734/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5/5407/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reg/2018/1046/oj." TargetMode="External"/><Relationship Id="rId357" Type="http://schemas.openxmlformats.org/officeDocument/2006/relationships/hyperlink" Target="http://data.europa.eu/eli/reg/2018/1046/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data.europa.eu/eli/reg/2023/1322/oj" TargetMode="External"/><Relationship Id="rId259" Type="http://schemas.openxmlformats.org/officeDocument/2006/relationships/hyperlink" Target="https://data.europa.eu/eli/dec/2008/114(1)/oj." TargetMode="External"/><Relationship Id="rId23" Type="http://schemas.openxmlformats.org/officeDocument/2006/relationships/hyperlink" Target="https://data.europa.eu/eli/reg/2018/1971/oj" TargetMode="External"/><Relationship Id="rId119" Type="http://schemas.openxmlformats.org/officeDocument/2006/relationships/hyperlink" Target="https://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C/2025/5407/oj" TargetMode="External"/><Relationship Id="rId65" Type="http://schemas.openxmlformats.org/officeDocument/2006/relationships/hyperlink" Target="https://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C/2025/5407/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08/1339" TargetMode="External"/><Relationship Id="rId337" Type="http://schemas.openxmlformats.org/officeDocument/2006/relationships/hyperlink" Target="http://data.europa.eu/eli/C/2025/5734/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C/2025/5734/oj" TargetMode="External"/><Relationship Id="rId7" Type="http://schemas.openxmlformats.org/officeDocument/2006/relationships/hyperlink" Target="http://data.europa.eu/eli/C/2025/5734/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_del/2019/715/oj" TargetMode="External"/><Relationship Id="rId250" Type="http://schemas.openxmlformats.org/officeDocument/2006/relationships/hyperlink" Target="http://data.europa.eu/eli/C/2025/5407/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_del/2019/715/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348" Type="http://schemas.openxmlformats.org/officeDocument/2006/relationships/hyperlink" Target="http://data.europa.eu/eli/reg_del/2019/715/oj" TargetMode="External"/><Relationship Id="rId152" Type="http://schemas.openxmlformats.org/officeDocument/2006/relationships/hyperlink" Target="http://data.europa.eu/eli/C/2025/5407/oj" TargetMode="External"/><Relationship Id="rId194" Type="http://schemas.openxmlformats.org/officeDocument/2006/relationships/hyperlink" Target="http://data.europa.eu/eli/C/2025/5407/oj" TargetMode="External"/><Relationship Id="rId208" Type="http://schemas.openxmlformats.org/officeDocument/2006/relationships/hyperlink" Target="http://data.europa.eu/eli/reg/2024/2509/oj" TargetMode="External"/><Relationship Id="rId261" Type="http://schemas.openxmlformats.org/officeDocument/2006/relationships/hyperlink" Target="http://data.europa.eu/eli/C/2025/5407/oj" TargetMode="External"/><Relationship Id="rId14" Type="http://schemas.openxmlformats.org/officeDocument/2006/relationships/hyperlink" Target="http://data.europa.eu/eli/C/2025/5407/oj" TargetMode="External"/><Relationship Id="rId56" Type="http://schemas.openxmlformats.org/officeDocument/2006/relationships/hyperlink" Target="http://data.europa.eu/eli/C/2025/5407/oj" TargetMode="External"/><Relationship Id="rId317" Type="http://schemas.openxmlformats.org/officeDocument/2006/relationships/hyperlink" Target="http://data.europa.eu/eli/reg/2019/126/oj" TargetMode="External"/><Relationship Id="rId359" Type="http://schemas.openxmlformats.org/officeDocument/2006/relationships/hyperlink" Target="http://data.europa.eu/eli/reg/2016/794/oj" TargetMode="External"/><Relationship Id="rId98" Type="http://schemas.openxmlformats.org/officeDocument/2006/relationships/hyperlink" Target="http://data.europa.eu/eli/C/2025/5407/oj" TargetMode="External"/><Relationship Id="rId121" Type="http://schemas.openxmlformats.org/officeDocument/2006/relationships/hyperlink" Target="http://data.europa.eu/eli/C/2025/5734/oj" TargetMode="External"/><Relationship Id="rId163" Type="http://schemas.openxmlformats.org/officeDocument/2006/relationships/hyperlink" Target="http://data.europa.eu/eli/C/2025/5734/oj" TargetMode="External"/><Relationship Id="rId219" Type="http://schemas.openxmlformats.org/officeDocument/2006/relationships/hyperlink" Target="http://data.europa.eu/eli/C/2025/5734/oj" TargetMode="External"/><Relationship Id="rId370" Type="http://schemas.openxmlformats.org/officeDocument/2006/relationships/hyperlink" Target="http://data.europa.eu/eli/reg/2024/2509/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5/5734/oj" TargetMode="External"/><Relationship Id="rId67" Type="http://schemas.openxmlformats.org/officeDocument/2006/relationships/hyperlink" Target="http://data.europa.eu/eli/C/2025/5734/oj" TargetMode="External"/><Relationship Id="rId272" Type="http://schemas.openxmlformats.org/officeDocument/2006/relationships/hyperlink" Target="http://data.europa.eu/eli/C/2025/5407/oj" TargetMode="External"/><Relationship Id="rId328" Type="http://schemas.openxmlformats.org/officeDocument/2006/relationships/hyperlink" Target="http://data.europa.eu/eli/reg/2024/2509/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reg/2018/1046/oj." TargetMode="External"/><Relationship Id="rId241" Type="http://schemas.openxmlformats.org/officeDocument/2006/relationships/hyperlink" Target="https://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5/5734/oj" TargetMode="External"/><Relationship Id="rId339" Type="http://schemas.openxmlformats.org/officeDocument/2006/relationships/hyperlink" Target="http://data.europa.eu/eli/reg/2018/1046/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s://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C/2025/5407/oj" TargetMode="External"/><Relationship Id="rId9" Type="http://schemas.openxmlformats.org/officeDocument/2006/relationships/hyperlink" Target="http://data.europa.eu/eli/reg/2018/1046/oj." TargetMode="External"/><Relationship Id="rId210" Type="http://schemas.openxmlformats.org/officeDocument/2006/relationships/hyperlink" Target="https://data.europa.eu/eli/reg/2023/1322/oj" TargetMode="External"/><Relationship Id="rId392" Type="http://schemas.openxmlformats.org/officeDocument/2006/relationships/hyperlink" Target="http://data.europa.eu/eli/C/2025/5407/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_del/2019/715/oj" TargetMode="External"/><Relationship Id="rId308" Type="http://schemas.openxmlformats.org/officeDocument/2006/relationships/hyperlink" Target="http://data.europa.eu/eli/C/2025/5407/oj" TargetMode="External"/><Relationship Id="rId47" Type="http://schemas.openxmlformats.org/officeDocument/2006/relationships/hyperlink" Target="https://data.europa.eu/eli/reg/2019/128/oj" TargetMode="External"/><Relationship Id="rId89" Type="http://schemas.openxmlformats.org/officeDocument/2006/relationships/hyperlink" Target="https://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C/2025/5734/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C/2025/5734/oj" TargetMode="External"/><Relationship Id="rId37" Type="http://schemas.openxmlformats.org/officeDocument/2006/relationships/hyperlink" Target="http://data.europa.eu/eli/C/2025/5734/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4/oj" TargetMode="External"/><Relationship Id="rId102" Type="http://schemas.openxmlformats.org/officeDocument/2006/relationships/hyperlink" Target="http://data.europa.eu/eli/reg_del/2019/715/oj" TargetMode="External"/><Relationship Id="rId123" Type="http://schemas.openxmlformats.org/officeDocument/2006/relationships/hyperlink" Target="http://data.europa.eu/eli/reg/2018/1046/oj." TargetMode="External"/><Relationship Id="rId144" Type="http://schemas.openxmlformats.org/officeDocument/2006/relationships/hyperlink" Target="http://data.europa.eu/eli/reg_del/2019/715/oj" TargetMode="External"/><Relationship Id="rId330"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65" Type="http://schemas.openxmlformats.org/officeDocument/2006/relationships/hyperlink" Target="http://data.europa.eu/eli/reg/2018/1046/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reg/2018/1046/oj." TargetMode="External"/><Relationship Id="rId372" Type="http://schemas.openxmlformats.org/officeDocument/2006/relationships/hyperlink" Target="http://data.europa.eu/eli/reg_del/2019/715/oj" TargetMode="External"/><Relationship Id="rId393" Type="http://schemas.openxmlformats.org/officeDocument/2006/relationships/hyperlink" Target="http://data.europa.eu/eli/reg/2018/1046/oj." TargetMode="External"/><Relationship Id="rId211" Type="http://schemas.openxmlformats.org/officeDocument/2006/relationships/hyperlink" Target="http://data.europa.eu/eli/reg_del/2019/715/oj" TargetMode="External"/><Relationship Id="rId232" Type="http://schemas.openxmlformats.org/officeDocument/2006/relationships/hyperlink" Target="http://data.europa.eu/eli/C/2025/5407/oj" TargetMode="External"/><Relationship Id="rId253" Type="http://schemas.openxmlformats.org/officeDocument/2006/relationships/hyperlink" Target="https://data.europa.eu/eli/reg/2016/796/oj" TargetMode="External"/><Relationship Id="rId274" Type="http://schemas.openxmlformats.org/officeDocument/2006/relationships/hyperlink" Target="http://data.europa.eu/eli/reg/2024/2509/oj" TargetMode="External"/><Relationship Id="rId295" Type="http://schemas.openxmlformats.org/officeDocument/2006/relationships/hyperlink" Target="http://data.europa.eu/eli/C/2025/5734/oj" TargetMode="External"/><Relationship Id="rId309" Type="http://schemas.openxmlformats.org/officeDocument/2006/relationships/hyperlink" Target="http://data.europa.eu/eli/reg/2018/1046/oj." TargetMode="External"/><Relationship Id="rId27" Type="http://schemas.openxmlformats.org/officeDocument/2006/relationships/hyperlink" Target="http://data.europa.eu/eli/reg/2018/1046/oj." TargetMode="External"/><Relationship Id="rId48" Type="http://schemas.openxmlformats.org/officeDocument/2006/relationships/hyperlink" Target="http://data.europa.eu/eli/reg_del/2019/715/oj" TargetMode="External"/><Relationship Id="rId69" Type="http://schemas.openxmlformats.org/officeDocument/2006/relationships/hyperlink" Target="http://data.europa.eu/eli/reg/2018/1046/oj." TargetMode="External"/><Relationship Id="rId113" Type="http://schemas.openxmlformats.org/officeDocument/2006/relationships/hyperlink" Target="https://data.europa.eu/eli/reg/2009/401/oj" TargetMode="External"/><Relationship Id="rId134" Type="http://schemas.openxmlformats.org/officeDocument/2006/relationships/hyperlink" Target="http://data.europa.eu/eli/C/2025/5407/oj" TargetMode="External"/><Relationship Id="rId320" Type="http://schemas.openxmlformats.org/officeDocument/2006/relationships/hyperlink" Target="http://data.europa.eu/eli/C/2025/5407/oj" TargetMode="External"/><Relationship Id="rId80" Type="http://schemas.openxmlformats.org/officeDocument/2006/relationships/hyperlink" Target="http://data.europa.eu/eli/C/2025/5407/oj" TargetMode="External"/><Relationship Id="rId155" Type="http://schemas.openxmlformats.org/officeDocument/2006/relationships/hyperlink" Target="https://data.europa.eu/eli/reg/2006/1922/oj" TargetMode="External"/><Relationship Id="rId176" Type="http://schemas.openxmlformats.org/officeDocument/2006/relationships/hyperlink" Target="http://data.europa.eu/eli/C/2025/5407/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727/oj" TargetMode="External"/><Relationship Id="rId362" Type="http://schemas.openxmlformats.org/officeDocument/2006/relationships/hyperlink" Target="http://data.europa.eu/eli/C/2025/5407/oj" TargetMode="External"/><Relationship Id="rId383" Type="http://schemas.openxmlformats.org/officeDocument/2006/relationships/hyperlink" Target="http://data.europa.eu/eli/reg/2007/168/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5/5734/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s://data.europa.eu/eli/reg/2018/1971/oj" TargetMode="External"/><Relationship Id="rId38" Type="http://schemas.openxmlformats.org/officeDocument/2006/relationships/hyperlink" Target="http://data.europa.eu/eli/C/2025/5407/oj" TargetMode="External"/><Relationship Id="rId59" Type="http://schemas.openxmlformats.org/officeDocument/2006/relationships/hyperlink" Target="https://data.europa.eu/eli/reg/2015/2219/oj" TargetMode="External"/><Relationship Id="rId103" Type="http://schemas.openxmlformats.org/officeDocument/2006/relationships/hyperlink" Target="http://data.europa.eu/eli/C/2025/5734/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reg/2024/2509/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5/5734/oj" TargetMode="External"/><Relationship Id="rId145" Type="http://schemas.openxmlformats.org/officeDocument/2006/relationships/hyperlink" Target="http://data.europa.eu/eli/C/2025/5734/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5/5734/oj" TargetMode="External"/><Relationship Id="rId331" Type="http://schemas.openxmlformats.org/officeDocument/2006/relationships/hyperlink" Target="http://data.europa.eu/eli/C/2025/5734/oj" TargetMode="External"/><Relationship Id="rId352" Type="http://schemas.openxmlformats.org/officeDocument/2006/relationships/hyperlink" Target="http://data.europa.eu/eli/reg/2024/2509/oj" TargetMode="External"/><Relationship Id="rId373" Type="http://schemas.openxmlformats.org/officeDocument/2006/relationships/hyperlink" Target="http://data.europa.eu/eli/C/2025/5734/oj" TargetMode="External"/><Relationship Id="rId394" Type="http://schemas.openxmlformats.org/officeDocument/2006/relationships/hyperlink" Target="http://data.europa.eu/eli/reg/2024/2509/oj" TargetMode="External"/><Relationship Id="rId1" Type="http://schemas.openxmlformats.org/officeDocument/2006/relationships/hyperlink" Target="http://data.europa.eu/eli/C/2025/5734/oj" TargetMode="External"/><Relationship Id="rId212" Type="http://schemas.openxmlformats.org/officeDocument/2006/relationships/hyperlink" Target="http://data.europa.eu/eli/C/2025/5734/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4/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data.europa.eu/eli/reg/2010/1095/oj" TargetMode="External"/><Relationship Id="rId296" Type="http://schemas.openxmlformats.org/officeDocument/2006/relationships/hyperlink" Target="http://data.europa.eu/eli/C/2025/5407/oj" TargetMode="External"/><Relationship Id="rId300" Type="http://schemas.openxmlformats.org/officeDocument/2006/relationships/hyperlink" Target="http://data.europa.eu/eli/reg_del/2019/715/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reg/2018/1046/oj." TargetMode="External"/><Relationship Id="rId342" Type="http://schemas.openxmlformats.org/officeDocument/2006/relationships/hyperlink" Target="http://data.europa.eu/eli/reg_del/2019/715/oj" TargetMode="External"/><Relationship Id="rId363" Type="http://schemas.openxmlformats.org/officeDocument/2006/relationships/hyperlink" Target="http://data.europa.eu/eli/reg/2018/1046/oj." TargetMode="External"/><Relationship Id="rId384" Type="http://schemas.openxmlformats.org/officeDocument/2006/relationships/hyperlink" Target="http://data.europa.eu/eli/reg_del/2019/715/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5/5407/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5/5734/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104" Type="http://schemas.openxmlformats.org/officeDocument/2006/relationships/hyperlink" Target="http://data.europa.eu/eli/C/2025/5407/oj" TargetMode="External"/><Relationship Id="rId125" Type="http://schemas.openxmlformats.org/officeDocument/2006/relationships/hyperlink" Target="https://data.europa.eu/eli/reg/2019/473/oj" TargetMode="External"/><Relationship Id="rId146" Type="http://schemas.openxmlformats.org/officeDocument/2006/relationships/hyperlink" Target="http://data.europa.eu/eli/C/2025/5407/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5/5407/oj" TargetMode="External"/><Relationship Id="rId311" Type="http://schemas.openxmlformats.org/officeDocument/2006/relationships/hyperlink" Target="http://data.europa.eu/eli/reg/2018/1726/oj" TargetMode="External"/><Relationship Id="rId332" Type="http://schemas.openxmlformats.org/officeDocument/2006/relationships/hyperlink" Target="http://data.europa.eu/eli/C/2025/5407/oj" TargetMode="External"/><Relationship Id="rId353" Type="http://schemas.openxmlformats.org/officeDocument/2006/relationships/hyperlink" Target="http://data.europa.eu/eli/reg/2016/794/oj" TargetMode="External"/><Relationship Id="rId374" Type="http://schemas.openxmlformats.org/officeDocument/2006/relationships/hyperlink" Target="http://data.europa.eu/eli/C/2025/5407/oj" TargetMode="External"/><Relationship Id="rId395" Type="http://schemas.openxmlformats.org/officeDocument/2006/relationships/hyperlink" Target="http://data.europa.eu/eli/reg/2019/1896/oj" TargetMode="External"/><Relationship Id="rId71" Type="http://schemas.openxmlformats.org/officeDocument/2006/relationships/hyperlink" Target="https://data.europa.eu/eli/reg/2018/1139/oj" TargetMode="External"/><Relationship Id="rId92" Type="http://schemas.openxmlformats.org/officeDocument/2006/relationships/hyperlink" Target="http://data.europa.eu/eli/C/2025/5407/oj" TargetMode="External"/><Relationship Id="rId213" Type="http://schemas.openxmlformats.org/officeDocument/2006/relationships/hyperlink" Target="http://data.europa.eu/eli/C/2025/5407/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5/5407/oj" TargetMode="External"/><Relationship Id="rId29" Type="http://schemas.openxmlformats.org/officeDocument/2006/relationships/hyperlink" Target="https://data.europa.eu/eli/reg/1994/2965/oj" TargetMode="External"/><Relationship Id="rId255" Type="http://schemas.openxmlformats.org/officeDocument/2006/relationships/hyperlink" Target="http://data.europa.eu/eli/C/2025/5734/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reg/2018/1046/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5/5734/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5/5734/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C/2025/5734/oj" TargetMode="External"/><Relationship Id="rId322" Type="http://schemas.openxmlformats.org/officeDocument/2006/relationships/hyperlink" Target="http://data.europa.eu/eli/reg/2024/2509/oj" TargetMode="External"/><Relationship Id="rId343" Type="http://schemas.openxmlformats.org/officeDocument/2006/relationships/hyperlink" Target="http://data.europa.eu/eli/C/2025/5734/oj" TargetMode="External"/><Relationship Id="rId364" Type="http://schemas.openxmlformats.org/officeDocument/2006/relationships/hyperlink" Target="http://data.europa.eu/eli/reg/2024/2509/oj" TargetMode="External"/><Relationship Id="rId61" Type="http://schemas.openxmlformats.org/officeDocument/2006/relationships/hyperlink" Target="http://data.europa.eu/eli/C/2025/5734/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5/5734/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C/2025/5734/oj" TargetMode="External"/><Relationship Id="rId19" Type="http://schemas.openxmlformats.org/officeDocument/2006/relationships/hyperlink" Target="http://data.europa.eu/eli/C/2025/5734/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5/5407/oj" TargetMode="External"/><Relationship Id="rId287" Type="http://schemas.openxmlformats.org/officeDocument/2006/relationships/hyperlink" Target="https://data.europa.eu/eli/reg/2008/1339"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_del/2019/715/oj" TargetMode="External"/><Relationship Id="rId333" Type="http://schemas.openxmlformats.org/officeDocument/2006/relationships/hyperlink" Target="http://data.europa.eu/eli/reg/2018/1046/oj." TargetMode="External"/><Relationship Id="rId354" Type="http://schemas.openxmlformats.org/officeDocument/2006/relationships/hyperlink" Target="http://data.europa.eu/eli/reg_del/2019/715/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reg/2018/1046/oj." TargetMode="External"/><Relationship Id="rId396" Type="http://schemas.openxmlformats.org/officeDocument/2006/relationships/hyperlink" Target="http://data.europa.eu/eli/reg_del/2019/715/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5/5407/oj" TargetMode="External"/><Relationship Id="rId277" Type="http://schemas.openxmlformats.org/officeDocument/2006/relationships/hyperlink" Target="http://data.europa.eu/eli/C/2025/5734/oj" TargetMode="External"/><Relationship Id="rId298" Type="http://schemas.openxmlformats.org/officeDocument/2006/relationships/hyperlink" Target="http://data.europa.eu/eli/reg/2024/2509/oj" TargetMode="External"/><Relationship Id="rId116" Type="http://schemas.openxmlformats.org/officeDocument/2006/relationships/hyperlink" Target="http://data.europa.eu/eli/C/2025/5407/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5/5407/oj" TargetMode="External"/><Relationship Id="rId302" Type="http://schemas.openxmlformats.org/officeDocument/2006/relationships/hyperlink" Target="http://data.europa.eu/eli/C/2025/5407/oj" TargetMode="External"/><Relationship Id="rId323" Type="http://schemas.openxmlformats.org/officeDocument/2006/relationships/hyperlink" Target="http://data.europa.eu/eli/reg/2019/126/oj" TargetMode="External"/><Relationship Id="rId344" Type="http://schemas.openxmlformats.org/officeDocument/2006/relationships/hyperlink" Target="http://data.europa.eu/eli/C/2025/5407/oj" TargetMode="External"/><Relationship Id="rId20" Type="http://schemas.openxmlformats.org/officeDocument/2006/relationships/hyperlink" Target="http://data.europa.eu/eli/C/2025/5407/oj" TargetMode="External"/><Relationship Id="rId41" Type="http://schemas.openxmlformats.org/officeDocument/2006/relationships/hyperlink" Target="https://data.europa.eu/eli/reg/2019/128/oj" TargetMode="External"/><Relationship Id="rId62" Type="http://schemas.openxmlformats.org/officeDocument/2006/relationships/hyperlink" Target="http://data.europa.eu/eli/C/2025/5407/oj" TargetMode="External"/><Relationship Id="rId83" Type="http://schemas.openxmlformats.org/officeDocument/2006/relationships/hyperlink" Target="https://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reg/2021/696/oj" TargetMode="External"/><Relationship Id="rId386" Type="http://schemas.openxmlformats.org/officeDocument/2006/relationships/hyperlink" Target="http://data.europa.eu/eli/C/2025/5407/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5/5734/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5/5734/oj" TargetMode="External"/><Relationship Id="rId313" Type="http://schemas.openxmlformats.org/officeDocument/2006/relationships/hyperlink" Target="http://data.europa.eu/eli/C/2025/5734/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4/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4/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5/5734/oj" TargetMode="External"/><Relationship Id="rId334" Type="http://schemas.openxmlformats.org/officeDocument/2006/relationships/hyperlink" Target="http://data.europa.eu/eli/reg/2024/2509/oj" TargetMode="External"/><Relationship Id="rId355" Type="http://schemas.openxmlformats.org/officeDocument/2006/relationships/hyperlink" Target="http://data.europa.eu/eli/C/2025/5734/oj" TargetMode="External"/><Relationship Id="rId376" Type="http://schemas.openxmlformats.org/officeDocument/2006/relationships/hyperlink" Target="http://data.europa.eu/eli/reg/2024/2509/oj" TargetMode="External"/><Relationship Id="rId397" Type="http://schemas.openxmlformats.org/officeDocument/2006/relationships/hyperlink" Target="https://agencies-network.europa.eu/document/download/04667fb8-be05-4818-9f62-0cb99f0c5538_en?filename=EUAN%20WG%25"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5/5407/oj" TargetMode="External"/><Relationship Id="rId303" Type="http://schemas.openxmlformats.org/officeDocument/2006/relationships/hyperlink" Target="http://data.europa.eu/eli/reg/2018/1046/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reg/2018/1046/oj." TargetMode="External"/><Relationship Id="rId387" Type="http://schemas.openxmlformats.org/officeDocument/2006/relationships/hyperlink" Target="http://data.europa.eu/eli/reg/2018/1046/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5/5734/oj" TargetMode="External"/><Relationship Id="rId247" Type="http://schemas.openxmlformats.org/officeDocument/2006/relationships/hyperlink" Target="https://data.europa.eu/eli/reg/2016/796/oj" TargetMode="External"/><Relationship Id="rId107" Type="http://schemas.openxmlformats.org/officeDocument/2006/relationships/hyperlink" Target="https://data.europa.eu/eli/reg/2006/1907/oj" TargetMode="External"/><Relationship Id="rId289" Type="http://schemas.openxmlformats.org/officeDocument/2006/relationships/hyperlink" Target="http://data.europa.eu/eli/C/2025/5734/oj" TargetMode="External"/><Relationship Id="rId11" Type="http://schemas.openxmlformats.org/officeDocument/2006/relationships/hyperlink" Target="https://data.europa.eu/eli/reg/2019/942/oj" TargetMode="External"/><Relationship Id="rId53" Type="http://schemas.openxmlformats.org/officeDocument/2006/relationships/hyperlink" Target="https://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C/2025/5407/oj" TargetMode="External"/><Relationship Id="rId356" Type="http://schemas.openxmlformats.org/officeDocument/2006/relationships/hyperlink" Target="http://data.europa.eu/eli/C/2025/5407/oj" TargetMode="External"/><Relationship Id="rId398" Type="http://schemas.openxmlformats.org/officeDocument/2006/relationships/hyperlink" Target="http://data.europa.eu/eli/reg/2023/2841/oj" TargetMode="External"/><Relationship Id="rId95" Type="http://schemas.openxmlformats.org/officeDocument/2006/relationships/hyperlink" Target="https://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C/2025/5734/oj" TargetMode="External"/><Relationship Id="rId367" Type="http://schemas.openxmlformats.org/officeDocument/2006/relationships/hyperlink" Target="http://data.europa.eu/eli/C/2025/5734/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_del/2019/715/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5/5407/oj" TargetMode="External"/><Relationship Id="rId182" Type="http://schemas.openxmlformats.org/officeDocument/2006/relationships/hyperlink" Target="http://data.europa.eu/eli/C/2025/5407/oj" TargetMode="External"/><Relationship Id="rId378" Type="http://schemas.openxmlformats.org/officeDocument/2006/relationships/hyperlink" Target="http://data.europa.eu/eli/reg_del/2019/715/oj"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5/5407/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726/oj" TargetMode="External"/><Relationship Id="rId347" Type="http://schemas.openxmlformats.org/officeDocument/2006/relationships/hyperlink" Target="http://data.europa.eu/eli/reg/2018/1727/oj" TargetMode="External"/><Relationship Id="rId44" Type="http://schemas.openxmlformats.org/officeDocument/2006/relationships/hyperlink" Target="http://data.europa.eu/eli/C/2025/5407/oj" TargetMode="External"/><Relationship Id="rId86" Type="http://schemas.openxmlformats.org/officeDocument/2006/relationships/hyperlink" Target="http://data.europa.eu/eli/C/2025/5407/oj" TargetMode="External"/><Relationship Id="rId151" Type="http://schemas.openxmlformats.org/officeDocument/2006/relationships/hyperlink" Target="http://data.europa.eu/eli/C/2025/5734/oj" TargetMode="External"/><Relationship Id="rId389" Type="http://schemas.openxmlformats.org/officeDocument/2006/relationships/hyperlink" Target="http://data.europa.eu/eli/reg/2019/1896/oj" TargetMode="External"/><Relationship Id="rId193" Type="http://schemas.openxmlformats.org/officeDocument/2006/relationships/hyperlink" Target="http://data.europa.eu/eli/C/2025/5734/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5/5734/oj" TargetMode="External"/><Relationship Id="rId13" Type="http://schemas.openxmlformats.org/officeDocument/2006/relationships/hyperlink" Target="http://data.europa.eu/eli/C/2025/5734/oj" TargetMode="External"/><Relationship Id="rId109" Type="http://schemas.openxmlformats.org/officeDocument/2006/relationships/hyperlink" Target="http://data.europa.eu/eli/C/2025/5734/oj" TargetMode="External"/><Relationship Id="rId260" Type="http://schemas.openxmlformats.org/officeDocument/2006/relationships/hyperlink" Target="http://data.europa.eu/eli/C/2025/5734/oj" TargetMode="External"/><Relationship Id="rId316" Type="http://schemas.openxmlformats.org/officeDocument/2006/relationships/hyperlink" Target="http://data.europa.eu/eli/reg/2024/2509/oj" TargetMode="External"/><Relationship Id="rId55" Type="http://schemas.openxmlformats.org/officeDocument/2006/relationships/hyperlink" Target="http://data.europa.eu/eli/C/2025/5734/oj" TargetMode="External"/><Relationship Id="rId97" Type="http://schemas.openxmlformats.org/officeDocument/2006/relationships/hyperlink" Target="http://data.europa.eu/eli/C/2025/5734/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reg/2024/2509/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5/5734/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s://data.europa.eu/eli/reg/2019/473/oj" TargetMode="External"/><Relationship Id="rId327" Type="http://schemas.openxmlformats.org/officeDocument/2006/relationships/hyperlink" Target="http://data.europa.eu/eli/reg/2018/1046/oj." TargetMode="External"/><Relationship Id="rId369" Type="http://schemas.openxmlformats.org/officeDocument/2006/relationships/hyperlink" Target="http://data.europa.eu/eli/reg/2018/1046/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C/2025/5407/oj" TargetMode="External"/><Relationship Id="rId240" Type="http://schemas.openxmlformats.org/officeDocument/2006/relationships/hyperlink" Target="http://data.europa.eu/eli/reg/2024/2509/oj" TargetMode="External"/><Relationship Id="rId35" Type="http://schemas.openxmlformats.org/officeDocument/2006/relationships/hyperlink" Target="https://data.europa.eu/eli/reg/1994/2965/oj" TargetMode="External"/><Relationship Id="rId77" Type="http://schemas.openxmlformats.org/officeDocument/2006/relationships/hyperlink" Target="https://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C/2025/5407/oj" TargetMode="External"/><Relationship Id="rId8" Type="http://schemas.openxmlformats.org/officeDocument/2006/relationships/hyperlink" Target="http://data.europa.eu/eli/C/2025/5407/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C/2025/5734/oj"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21/2303/oj" TargetMode="External"/><Relationship Id="rId307" Type="http://schemas.openxmlformats.org/officeDocument/2006/relationships/hyperlink" Target="http://data.europa.eu/eli/C/2025/5734/oj" TargetMode="External"/><Relationship Id="rId349" Type="http://schemas.openxmlformats.org/officeDocument/2006/relationships/hyperlink" Target="http://data.europa.eu/eli/C/2025/5734/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_del/2019/715/oj" TargetMode="External"/><Relationship Id="rId220" Type="http://schemas.openxmlformats.org/officeDocument/2006/relationships/hyperlink" Target="http://data.europa.eu/eli/C/2025/5407/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_del/2019/715/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5/5407/oj" TargetMode="External"/><Relationship Id="rId164" Type="http://schemas.openxmlformats.org/officeDocument/2006/relationships/hyperlink" Target="http://data.europa.eu/eli/C/2025/5407/oj" TargetMode="External"/><Relationship Id="rId371" Type="http://schemas.openxmlformats.org/officeDocument/2006/relationships/hyperlink" Target="http://data.europa.eu/eli/reg/2021/696/oj" TargetMode="External"/><Relationship Id="rId26" Type="http://schemas.openxmlformats.org/officeDocument/2006/relationships/hyperlink" Target="http://data.europa.eu/eli/C/2025/5407/oj" TargetMode="External"/><Relationship Id="rId231" Type="http://schemas.openxmlformats.org/officeDocument/2006/relationships/hyperlink" Target="http://data.europa.eu/eli/C/2025/5734/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9/127/oj" TargetMode="External"/><Relationship Id="rId68" Type="http://schemas.openxmlformats.org/officeDocument/2006/relationships/hyperlink" Target="http://data.europa.eu/eli/C/2025/5407/oj" TargetMode="External"/><Relationship Id="rId133" Type="http://schemas.openxmlformats.org/officeDocument/2006/relationships/hyperlink" Target="http://data.europa.eu/eli/C/2025/5734/oj" TargetMode="External"/><Relationship Id="rId175" Type="http://schemas.openxmlformats.org/officeDocument/2006/relationships/hyperlink" Target="http://data.europa.eu/eli/C/2025/5734/oj" TargetMode="External"/><Relationship Id="rId340" Type="http://schemas.openxmlformats.org/officeDocument/2006/relationships/hyperlink" Target="http://data.europa.eu/eli/reg/2024/2509/oj" TargetMode="External"/><Relationship Id="rId200" Type="http://schemas.openxmlformats.org/officeDocument/2006/relationships/hyperlink" Target="http://data.europa.eu/eli/C/2025/5407/oj" TargetMode="External"/><Relationship Id="rId382" Type="http://schemas.openxmlformats.org/officeDocument/2006/relationships/hyperlink" Target="http://data.europa.eu/eli/reg/2024/2509/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181</Pages>
  <Words>54209</Words>
  <Characters>308799</Characters>
  <Application>Microsoft Office Word</Application>
  <DocSecurity>0</DocSecurity>
  <Lines>2573</Lines>
  <Paragraphs>724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MINKOVA Maria</cp:lastModifiedBy>
  <cp:revision>2</cp:revision>
  <cp:lastPrinted>2004-11-19T15:42:00Z</cp:lastPrinted>
  <dcterms:created xsi:type="dcterms:W3CDTF">2026-05-11T09:20:00Z</dcterms:created>
  <dcterms:modified xsi:type="dcterms:W3CDTF">2026-05-11T09:20:00Z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P10_TA(2026)0136_</vt:lpwstr>
  </property>
  <property fmtid="{D5CDD505-2E9C-101B-9397-08002B2CF9AE}" pid="4" name="&lt;Type&gt;">
    <vt:lpwstr>RR</vt:lpwstr>
  </property>
</Properties>
</file>