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3.xml" ContentType="application/vnd.openxmlformats-officedocument.wordprocessingml.header+xml"/>
  <Override PartName="/word/footer6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2250" w14:paraId="6B2DD13B" w14:textId="77777777" w:rsidTr="0010095E">
        <w:trPr>
          <w:trHeight w:hRule="exact" w:val="1418"/>
        </w:trPr>
        <w:tc>
          <w:tcPr>
            <w:tcW w:w="6804" w:type="dxa"/>
            <w:shd w:val="clear" w:color="auto" w:fill="auto"/>
            <w:vAlign w:val="center"/>
          </w:tcPr>
          <w:p w14:paraId="2A18EF8E" w14:textId="77777777" w:rsidR="00751A4A" w:rsidRPr="00512250" w:rsidRDefault="00E45079" w:rsidP="0010095E">
            <w:pPr>
              <w:pStyle w:val="EPName"/>
            </w:pPr>
            <w:r w:rsidRPr="00512250">
              <w:t>Ευρωπαϊκό Κοινοβούλιο</w:t>
            </w:r>
          </w:p>
          <w:p w14:paraId="19AAEAFD" w14:textId="77777777" w:rsidR="00751A4A" w:rsidRPr="00512250" w:rsidRDefault="005F1B17" w:rsidP="005F1B17">
            <w:pPr>
              <w:pStyle w:val="EPTerm"/>
              <w:rPr>
                <w:rStyle w:val="HideTWBExt"/>
                <w:noProof w:val="0"/>
                <w:vanish w:val="0"/>
                <w:color w:val="auto"/>
              </w:rPr>
            </w:pPr>
            <w:r w:rsidRPr="00512250">
              <w:t>2024</w:t>
            </w:r>
            <w:r w:rsidR="00817416" w:rsidRPr="00512250">
              <w:t>-202</w:t>
            </w:r>
            <w:r w:rsidRPr="00512250">
              <w:t>9</w:t>
            </w:r>
          </w:p>
        </w:tc>
        <w:tc>
          <w:tcPr>
            <w:tcW w:w="2268" w:type="dxa"/>
            <w:shd w:val="clear" w:color="auto" w:fill="auto"/>
          </w:tcPr>
          <w:p w14:paraId="4D059B90" w14:textId="77777777" w:rsidR="00751A4A" w:rsidRPr="00512250" w:rsidRDefault="00187494" w:rsidP="0010095E">
            <w:pPr>
              <w:pStyle w:val="EPLogo"/>
            </w:pPr>
            <w:r w:rsidRPr="00512250">
              <w:rPr>
                <w:noProof/>
                <w:lang w:eastAsia="ja-JP"/>
              </w:rPr>
              <w:drawing>
                <wp:inline distT="0" distB="0" distL="0" distR="0" wp14:anchorId="5122AC4E" wp14:editId="3A391C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C0B02E" w14:textId="77777777" w:rsidR="00D058B8" w:rsidRPr="00512250" w:rsidRDefault="00D058B8" w:rsidP="004C5D52">
      <w:pPr>
        <w:pStyle w:val="LineTop"/>
      </w:pPr>
    </w:p>
    <w:p w14:paraId="1633B658" w14:textId="77777777" w:rsidR="00680577" w:rsidRPr="00512250" w:rsidRDefault="00E45079" w:rsidP="00680577">
      <w:pPr>
        <w:pStyle w:val="EPBodyTA1"/>
      </w:pPr>
      <w:r w:rsidRPr="00512250">
        <w:t>ΚΕΙΜΕΝΑ ΠΟΥ ΕΓΚΡΙΘΗΚΑΝ</w:t>
      </w:r>
    </w:p>
    <w:p w14:paraId="58E71B72" w14:textId="77777777" w:rsidR="00D058B8" w:rsidRPr="00512250" w:rsidRDefault="00D058B8" w:rsidP="00D058B8">
      <w:pPr>
        <w:pStyle w:val="LineBottom"/>
      </w:pPr>
    </w:p>
    <w:p w14:paraId="3514B736" w14:textId="55F13864" w:rsidR="00E45079" w:rsidRPr="00512250" w:rsidRDefault="00E45079" w:rsidP="00E45079">
      <w:pPr>
        <w:pStyle w:val="ATHeading1"/>
      </w:pPr>
      <w:bookmarkStart w:id="0" w:name="TANumber"/>
      <w:r w:rsidRPr="00512250">
        <w:t>P10_TA(2026)0</w:t>
      </w:r>
      <w:r w:rsidR="00FC7C15" w:rsidRPr="00512250">
        <w:t>136</w:t>
      </w:r>
      <w:bookmarkEnd w:id="0"/>
    </w:p>
    <w:p w14:paraId="76C56170" w14:textId="3166213F" w:rsidR="00E45079" w:rsidRPr="00512250" w:rsidRDefault="001653D9" w:rsidP="00E45079">
      <w:pPr>
        <w:pStyle w:val="ATHeading2"/>
      </w:pPr>
      <w:bookmarkStart w:id="1" w:name="title"/>
      <w:r w:rsidRPr="00512250">
        <w:t xml:space="preserve">Απαλλαγή 2024: </w:t>
      </w:r>
      <w:r w:rsidR="00AC6858" w:rsidRPr="00512250">
        <w:t>Οργανισμοί</w:t>
      </w:r>
      <w:bookmarkEnd w:id="1"/>
    </w:p>
    <w:p w14:paraId="0D380931" w14:textId="77777777" w:rsidR="00E45079" w:rsidRPr="00512250" w:rsidRDefault="00E45079" w:rsidP="00E45079">
      <w:pPr>
        <w:rPr>
          <w:i/>
          <w:vanish/>
        </w:rPr>
      </w:pPr>
      <w:r w:rsidRPr="00512250">
        <w:rPr>
          <w:i/>
        </w:rPr>
        <w:fldChar w:fldCharType="begin"/>
      </w:r>
      <w:r w:rsidRPr="00512250">
        <w:rPr>
          <w:i/>
        </w:rPr>
        <w:instrText xml:space="preserve"> TC"(</w:instrText>
      </w:r>
      <w:bookmarkStart w:id="2" w:name="DocNumber"/>
      <w:r w:rsidRPr="00512250">
        <w:rPr>
          <w:i/>
        </w:rPr>
        <w:instrText>A10-0087/2026</w:instrText>
      </w:r>
      <w:bookmarkEnd w:id="2"/>
      <w:r w:rsidRPr="00512250">
        <w:rPr>
          <w:i/>
        </w:rPr>
        <w:instrText xml:space="preserve"> - Εισηγήτρια: Monika Hohlmeier)"\l3 \n&gt; \* MERGEFORMAT </w:instrText>
      </w:r>
      <w:r w:rsidRPr="00512250">
        <w:rPr>
          <w:i/>
        </w:rPr>
        <w:fldChar w:fldCharType="end"/>
      </w:r>
    </w:p>
    <w:p w14:paraId="39C547E3" w14:textId="77777777" w:rsidR="00E45079" w:rsidRPr="00512250" w:rsidRDefault="00E45079" w:rsidP="00E45079">
      <w:pPr>
        <w:rPr>
          <w:vanish/>
        </w:rPr>
      </w:pPr>
      <w:bookmarkStart w:id="3" w:name="Commission"/>
      <w:r w:rsidRPr="00512250">
        <w:rPr>
          <w:vanish/>
        </w:rPr>
        <w:t>Επιτροπή Ελέγχου του Προϋπολογισμού</w:t>
      </w:r>
      <w:bookmarkEnd w:id="3"/>
    </w:p>
    <w:p w14:paraId="606393F3" w14:textId="77777777" w:rsidR="00E45079" w:rsidRPr="00512250" w:rsidRDefault="00E45079" w:rsidP="00E45079">
      <w:pPr>
        <w:rPr>
          <w:vanish/>
        </w:rPr>
      </w:pPr>
      <w:bookmarkStart w:id="4" w:name="PE"/>
      <w:r w:rsidRPr="00512250">
        <w:rPr>
          <w:vanish/>
        </w:rPr>
        <w:t>PE776.806</w:t>
      </w:r>
      <w:bookmarkEnd w:id="4"/>
    </w:p>
    <w:p w14:paraId="672FABDD" w14:textId="463A2E76" w:rsidR="00E45079" w:rsidRPr="00512250" w:rsidRDefault="00E45079" w:rsidP="00E45079">
      <w:pPr>
        <w:pStyle w:val="ATHeading3"/>
      </w:pPr>
      <w:bookmarkStart w:id="5" w:name="Sujet"/>
      <w:r w:rsidRPr="00512250">
        <w:t xml:space="preserve">1. Απόφαση του Ευρωπαϊκού Κοινοβουλίου της </w:t>
      </w:r>
      <w:r w:rsidR="001653D9" w:rsidRPr="00512250">
        <w:t xml:space="preserve">29ης Απριλίου </w:t>
      </w:r>
      <w:r w:rsidRPr="00512250">
        <w:t xml:space="preserve">2026 σχετικά με την απαλλαγή όσον αφορά την εκτέλεση του προϋπολογισμού </w:t>
      </w:r>
      <w:r w:rsidR="00AC6858" w:rsidRPr="00512250">
        <w:t xml:space="preserve">του Οργανισμού της Ευρωπαϊκής Ένωσης για τη Συνεργασία των Ρυθμιστικών Αρχών Ενέργειας </w:t>
      </w:r>
      <w:r w:rsidRPr="00512250">
        <w:t>για το οικονομικό έτος 2024</w:t>
      </w:r>
      <w:bookmarkEnd w:id="5"/>
      <w:r w:rsidRPr="00512250">
        <w:t xml:space="preserve"> </w:t>
      </w:r>
      <w:bookmarkStart w:id="6" w:name="References"/>
      <w:r w:rsidRPr="00512250">
        <w:t>(2025/2156(DEC))</w:t>
      </w:r>
      <w:bookmarkEnd w:id="6"/>
    </w:p>
    <w:p w14:paraId="05D138BC" w14:textId="77777777" w:rsidR="00F026BE" w:rsidRPr="00512250" w:rsidRDefault="00F026BE" w:rsidP="00F026BE">
      <w:pPr>
        <w:pStyle w:val="EPComma"/>
      </w:pPr>
      <w:bookmarkStart w:id="7" w:name="TextBodyBegin"/>
      <w:bookmarkEnd w:id="7"/>
      <w:r w:rsidRPr="00512250">
        <w:rPr>
          <w:i/>
          <w:iCs/>
        </w:rPr>
        <w:t>Το Ευρωπαϊκό Κοινοβούλιο,</w:t>
      </w:r>
    </w:p>
    <w:p w14:paraId="467A2617"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της Ευρωπαϊκής Ένωσης για τη Συνεργασία των Ρυθμιστικών Αρχών Ενέργειας για το οικονομικό έτος 2024,</w:t>
      </w:r>
    </w:p>
    <w:p w14:paraId="5714171F"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1"/>
      </w:r>
      <w:r w:rsidRPr="00512250">
        <w:t>,</w:t>
      </w:r>
    </w:p>
    <w:p w14:paraId="38C7E724"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2"/>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67FB129D" w14:textId="3EBA9D75"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C10-0148/202</w:t>
      </w:r>
      <w:r w:rsidR="00422CC9" w:rsidRPr="00422CC9">
        <w:t>6</w:t>
      </w:r>
      <w:r w:rsidRPr="00512250">
        <w:t>),</w:t>
      </w:r>
    </w:p>
    <w:p w14:paraId="2605F644"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4DC55164" w14:textId="77777777" w:rsidR="00F026BE" w:rsidRPr="00512250" w:rsidRDefault="00F026BE" w:rsidP="00F026BE">
      <w:pPr>
        <w:pStyle w:val="NormalHanging12a"/>
      </w:pPr>
      <w:r w:rsidRPr="00512250">
        <w:t>–</w:t>
      </w:r>
      <w:r w:rsidRPr="00512250">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w:t>
      </w:r>
      <w:r w:rsidRPr="00512250">
        <w:lastRenderedPageBreak/>
        <w:t>την κατάργηση του κανονισμού (ΕΕ, Ευρατόμ) αριθ. 966/2012</w:t>
      </w:r>
      <w:r w:rsidRPr="00512250">
        <w:rPr>
          <w:rStyle w:val="FootnoteReference"/>
        </w:rPr>
        <w:footnoteReference w:id="3"/>
      </w:r>
      <w:r w:rsidRPr="00512250">
        <w:t>, και ιδίως το άρθρο 70,</w:t>
      </w:r>
    </w:p>
    <w:p w14:paraId="25D03622"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4"/>
      </w:r>
      <w:r w:rsidRPr="00512250">
        <w:t>, και ιδίως το άρθρο 70,</w:t>
      </w:r>
    </w:p>
    <w:p w14:paraId="3FB970CC" w14:textId="77777777" w:rsidR="00F026BE" w:rsidRPr="00512250" w:rsidRDefault="00F026BE" w:rsidP="00F026BE">
      <w:pPr>
        <w:pStyle w:val="NormalHanging12a"/>
      </w:pPr>
      <w:r w:rsidRPr="00512250">
        <w:t>–</w:t>
      </w:r>
      <w:r w:rsidRPr="00512250">
        <w:tab/>
        <w:t>έχοντας υπόψη τον κανονισμό (ΕΕ) 2019/942 του Ευρωπαϊκού Κοινοβουλίου και του Συμβουλίου, της 5ης Ιουνίου 2019, για την ίδρυση Οργανισμού της Ευρωπαϊκής Ένωσης για τη Συνεργασία των Ρυθμιστικών Αρχών Ενέργειας</w:t>
      </w:r>
      <w:r w:rsidRPr="00512250">
        <w:rPr>
          <w:rStyle w:val="FootnoteReference"/>
        </w:rPr>
        <w:footnoteReference w:id="5"/>
      </w:r>
      <w:r w:rsidRPr="00512250">
        <w:t>, και ιδίως το άρθρο 35,</w:t>
      </w:r>
    </w:p>
    <w:p w14:paraId="48290FA9" w14:textId="77777777" w:rsidR="00F026BE" w:rsidRPr="00512250" w:rsidRDefault="00F026BE" w:rsidP="00F026BE">
      <w:pPr>
        <w:pStyle w:val="NormalHanging12a"/>
      </w:pPr>
      <w:r w:rsidRPr="00512250">
        <w:t>–</w:t>
      </w:r>
      <w:r w:rsidRPr="00512250">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6"/>
      </w:r>
      <w:r w:rsidRPr="00512250">
        <w:t>, και ιδίως το άρθρο 105,</w:t>
      </w:r>
    </w:p>
    <w:p w14:paraId="6A4AA028"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4BEF0F99"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2D363E18"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14F8EC92" w14:textId="77777777" w:rsidR="00F026BE" w:rsidRPr="00512250" w:rsidRDefault="00F026BE" w:rsidP="00F026BE">
      <w:pPr>
        <w:pStyle w:val="NormalHanging12a"/>
      </w:pPr>
      <w:r w:rsidRPr="00512250">
        <w:t>1.</w:t>
      </w:r>
      <w:r w:rsidRPr="00512250">
        <w:tab/>
        <w:t>χορηγεί απαλλαγή στον προσωρινό διευθυντή του Οργανισμού της Ευρωπαϊκής Ένωσης για τη Συνεργασία των Ρυθμιστικών Αρχών Ενέργειας (ACER) όσον αφορά την εκτέλεση του προϋπολογισμού του Οργανισμού για το οικονομικό έτος 2024·</w:t>
      </w:r>
    </w:p>
    <w:p w14:paraId="2C986C51"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6E8019A4"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καθώς και το ψήφισμα που αποτελεί αναπόσπαστο μέρος της, στον προσωρινό διευθυντή του Οργανισμού της Ευρωπαϊκής Ένωσης για τη Συνεργασία των Ρυθμιστικών Αρχών Ενέργειας, στο Συμβούλιο, στην Επιτροπή και στο Ελεγκτικό Συνέδριο, και να μεριμνήσει για τη δημοσίευσή τους στην </w:t>
      </w:r>
      <w:r w:rsidRPr="00512250">
        <w:rPr>
          <w:i/>
        </w:rPr>
        <w:t>Επίσημη Εφημερίδα της Ευρωπαϊκής Ένωσης</w:t>
      </w:r>
      <w:r w:rsidRPr="00512250">
        <w:t xml:space="preserve"> (σειρά L).</w:t>
      </w:r>
    </w:p>
    <w:p w14:paraId="4364ADF3" w14:textId="77777777" w:rsidR="00F026BE" w:rsidRPr="00512250" w:rsidRDefault="00F026BE" w:rsidP="00F026BE"/>
    <w:p w14:paraId="08722969" w14:textId="77777777" w:rsidR="00F026BE" w:rsidRPr="00512250" w:rsidRDefault="00F026BE" w:rsidP="00F026BE">
      <w:pPr>
        <w:pStyle w:val="PageHeadingDec"/>
        <w:sectPr w:rsidR="00F026BE" w:rsidRPr="00512250" w:rsidSect="00F01631">
          <w:footerReference w:type="firs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AAB26C" w14:textId="77777777" w:rsidR="00A10728" w:rsidRPr="00512250" w:rsidRDefault="00A10728" w:rsidP="00A10728">
      <w:pPr>
        <w:pStyle w:val="ATHeading3"/>
      </w:pPr>
      <w:r w:rsidRPr="00512250">
        <w:lastRenderedPageBreak/>
        <w:t>2. Απόφαση του Ευρωπαϊκού Κοινοβουλίου της 29ης Απριλίου 2026 σχετικά με το κλείσιμο των λογαριασμών του Οργανισμού της Ευρωπαϊκής Ένωσης για τη Συνεργασία των Ρυθμιστικών Αρχών Ενέργειας για το οικονομικό έτος 2024 (2025/2156(DEC))</w:t>
      </w:r>
    </w:p>
    <w:p w14:paraId="30FF1EB5" w14:textId="77777777" w:rsidR="00F026BE" w:rsidRPr="00512250" w:rsidRDefault="00F026BE" w:rsidP="00F026BE">
      <w:pPr>
        <w:pStyle w:val="EPComma"/>
      </w:pPr>
      <w:r w:rsidRPr="00512250">
        <w:rPr>
          <w:i/>
          <w:iCs/>
        </w:rPr>
        <w:t>Το Ευρωπαϊκό Κοινοβούλιο,</w:t>
      </w:r>
    </w:p>
    <w:p w14:paraId="4649CE6F"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της Ευρωπαϊκής Ένωσης για τη Συνεργασία των Ρυθμιστικών Αρχών Ενέργειας για το οικονομικό έτος 2024,</w:t>
      </w:r>
    </w:p>
    <w:p w14:paraId="18815982"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7"/>
      </w:r>
      <w:r w:rsidRPr="00512250">
        <w:t>,</w:t>
      </w:r>
    </w:p>
    <w:p w14:paraId="35539A42"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8"/>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63519B22" w14:textId="1E01A4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C10-0148/202</w:t>
      </w:r>
      <w:r w:rsidR="00422CC9" w:rsidRPr="00422CC9">
        <w:t>6</w:t>
      </w:r>
      <w:r w:rsidRPr="00512250">
        <w:t>),</w:t>
      </w:r>
    </w:p>
    <w:p w14:paraId="4CB95A4B"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7DC9BB25"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9"/>
      </w:r>
      <w:r w:rsidRPr="00512250">
        <w:t>, και ιδίως το άρθρο 70,</w:t>
      </w:r>
    </w:p>
    <w:p w14:paraId="3F1D7AB8"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10"/>
      </w:r>
      <w:r w:rsidRPr="00512250">
        <w:t>, και ιδίως το άρθρο 70,</w:t>
      </w:r>
    </w:p>
    <w:p w14:paraId="68F9BD7B" w14:textId="77777777" w:rsidR="00F026BE" w:rsidRPr="00512250" w:rsidRDefault="00F026BE" w:rsidP="00F026BE">
      <w:pPr>
        <w:pStyle w:val="NormalHanging12a"/>
      </w:pPr>
      <w:r w:rsidRPr="00512250">
        <w:t>–</w:t>
      </w:r>
      <w:r w:rsidRPr="00512250">
        <w:tab/>
        <w:t>έχοντας υπόψη τον κανονισμό (ΕΕ) 2019/942 του Ευρωπαϊκού Κοινοβουλίου και του Συμβουλίου, της 5ης Ιουνίου 2019, για την ίδρυση Οργανισμού της Ευρωπαϊκής Ένωσης για τη Συνεργασία των Ρυθμιστικών Αρχών Ενέργειας</w:t>
      </w:r>
      <w:r w:rsidRPr="00512250">
        <w:rPr>
          <w:rStyle w:val="FootnoteReference"/>
        </w:rPr>
        <w:footnoteReference w:id="11"/>
      </w:r>
      <w:r w:rsidRPr="00512250">
        <w:t>, και ιδίως το άρθρο 35,</w:t>
      </w:r>
    </w:p>
    <w:p w14:paraId="4FE71351"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512250">
        <w:lastRenderedPageBreak/>
        <w:t>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12"/>
      </w:r>
      <w:r w:rsidRPr="00512250">
        <w:t>, και ιδίως το άρθρο 105,</w:t>
      </w:r>
    </w:p>
    <w:p w14:paraId="6EDCD906"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297EA9C7"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7B43EEA9"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7827D283" w14:textId="77777777" w:rsidR="00F026BE" w:rsidRPr="00512250" w:rsidRDefault="00F026BE" w:rsidP="00F026BE">
      <w:pPr>
        <w:pStyle w:val="NormalHanging12a"/>
      </w:pPr>
      <w:r w:rsidRPr="00512250">
        <w:t>1.</w:t>
      </w:r>
      <w:r w:rsidRPr="00512250">
        <w:tab/>
        <w:t>εγκρίνει το κλείσιμο των λογαριασμών του Οργανισμού της Ευρωπαϊκής Ένωσης για τη Συνεργασία των Ρυθμιστικών Αρχών Ενέργειας για το οικονομικό έτος 2024·</w:t>
      </w:r>
    </w:p>
    <w:p w14:paraId="2AC3D504"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στον προσωρινό διευθυντή του Οργανισμού της Ευρωπαϊκής Ένωσης για τη Συνεργασία των Ρυθμιστικών Αρχών Ενέργειας, στο Συμβούλιο, στην Επιτροπή και στο Ελεγκτικό Συνέδριο, και να μεριμνήσει για τη δημοσίευσή της στην </w:t>
      </w:r>
      <w:r w:rsidRPr="00512250">
        <w:rPr>
          <w:i/>
        </w:rPr>
        <w:t>Επίσημη Εφημερίδα της Ευρωπαϊκής Ένωσης</w:t>
      </w:r>
      <w:r w:rsidRPr="00512250">
        <w:t xml:space="preserve"> (σειρά L).</w:t>
      </w:r>
    </w:p>
    <w:p w14:paraId="35CFC3CF" w14:textId="77777777" w:rsidR="00F026BE" w:rsidRPr="00512250" w:rsidRDefault="00F026BE" w:rsidP="00F026BE"/>
    <w:p w14:paraId="7E97AF5E" w14:textId="3B861685" w:rsidR="00F026BE" w:rsidRPr="00512250" w:rsidRDefault="00F026BE" w:rsidP="00F026BE">
      <w:pPr>
        <w:pStyle w:val="PageHeadingDec"/>
      </w:pPr>
    </w:p>
    <w:p w14:paraId="1C2F9AD1" w14:textId="77777777" w:rsidR="00F026BE" w:rsidRPr="00512250" w:rsidRDefault="00F026BE" w:rsidP="00F026BE">
      <w:pPr>
        <w:pStyle w:val="PageHeadingDec"/>
        <w:sectPr w:rsidR="00F026BE" w:rsidRPr="00512250" w:rsidSect="00F01631">
          <w:footerReference w:type="first" r:id="rId1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79E3A5E" w14:textId="77777777" w:rsidR="00A10728" w:rsidRPr="00512250" w:rsidRDefault="00A10728" w:rsidP="00A10728">
      <w:pPr>
        <w:pStyle w:val="ATHeading3"/>
      </w:pPr>
      <w:r w:rsidRPr="00512250">
        <w:lastRenderedPageBreak/>
        <w:t>3. Απόφαση του Ευρωπαϊκού Κοινοβουλίου της 29ης Απριλίου 2026 σχετικά με την απαλλαγή όσον αφορά την εκτέλεση του προϋπολογισμού του Οργανισμού για την Υποστήριξη του BEREC για το οικονομικό έτος 2024 (2025/2156(DEC))</w:t>
      </w:r>
    </w:p>
    <w:p w14:paraId="1609E1CB" w14:textId="77777777" w:rsidR="00F026BE" w:rsidRPr="00512250" w:rsidRDefault="00F026BE" w:rsidP="00F026BE">
      <w:pPr>
        <w:pStyle w:val="EPComma"/>
      </w:pPr>
      <w:r w:rsidRPr="00512250">
        <w:rPr>
          <w:i/>
          <w:iCs/>
        </w:rPr>
        <w:t>Το Ευρωπαϊκό Κοινοβούλιο,</w:t>
      </w:r>
    </w:p>
    <w:p w14:paraId="1427F8D9"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για την Υποστήριξη του BEREC για το οικονομικό έτος 2024,</w:t>
      </w:r>
    </w:p>
    <w:p w14:paraId="5C8256FA"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13"/>
      </w:r>
      <w:r w:rsidRPr="00512250">
        <w:t>,</w:t>
      </w:r>
    </w:p>
    <w:p w14:paraId="0F4F8CDD"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14"/>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79DBBE2B" w14:textId="72A89063"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C10-0148/202</w:t>
      </w:r>
      <w:r w:rsidR="00422CC9" w:rsidRPr="00422CC9">
        <w:t>6</w:t>
      </w:r>
      <w:r w:rsidRPr="00512250">
        <w:t>),</w:t>
      </w:r>
    </w:p>
    <w:p w14:paraId="7E1B6730"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7C52881B"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15"/>
      </w:r>
      <w:r w:rsidRPr="00512250">
        <w:t>, και ιδίως το άρθρο 70,</w:t>
      </w:r>
    </w:p>
    <w:p w14:paraId="053C74C4"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16"/>
      </w:r>
      <w:r w:rsidRPr="00512250">
        <w:t>, και ιδίως το άρθρο 70,</w:t>
      </w:r>
    </w:p>
    <w:p w14:paraId="7B58278A" w14:textId="77777777" w:rsidR="00F026BE" w:rsidRPr="00512250" w:rsidRDefault="00F026BE" w:rsidP="00F026BE">
      <w:pPr>
        <w:pStyle w:val="NormalHanging12a"/>
      </w:pPr>
      <w:r w:rsidRPr="00512250">
        <w:t>–</w:t>
      </w:r>
      <w:r w:rsidRPr="00512250">
        <w:tab/>
        <w:t>έχοντας υπόψη τον κανονισμό (ΕΕ) 2018/1971 του Ευρωπαϊκού Κοινοβουλίου και του Συμβουλίου, της 11ης Δεκεμβρίου 2018, για την ίδρυση του Φορέα Ευρωπαϊκών Ρυθμιστικών Αρχών για τις Ηλεκτρονικές Επικοινωνίες (BEREC) και του Οργανισμού για την υποστήριξη του BEREC (Υπηρεσία του BEREC), την τροποποίηση του κανονισμού (ΕΕ) 2015/2120 και την κατάργηση του κανονισμού (ΕΚ) αριθ. 1211/2009</w:t>
      </w:r>
      <w:r w:rsidRPr="00512250">
        <w:rPr>
          <w:rStyle w:val="FootnoteReference"/>
        </w:rPr>
        <w:footnoteReference w:id="17"/>
      </w:r>
      <w:r w:rsidRPr="00512250">
        <w:t>, και ιδίως το άρθρο 28,</w:t>
      </w:r>
    </w:p>
    <w:p w14:paraId="7FF1DD01"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w:t>
      </w:r>
      <w:r w:rsidRPr="00512250">
        <w:lastRenderedPageBreak/>
        <w:t>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18"/>
      </w:r>
      <w:r w:rsidRPr="00512250">
        <w:t>, και ιδίως το άρθρο 105,</w:t>
      </w:r>
    </w:p>
    <w:p w14:paraId="7CB86393"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48D0F41D"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1331E42A"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7C0ADABF" w14:textId="77777777" w:rsidR="00F026BE" w:rsidRPr="00512250" w:rsidRDefault="00F026BE" w:rsidP="00F026BE">
      <w:pPr>
        <w:pStyle w:val="NormalHanging12a"/>
      </w:pPr>
      <w:r w:rsidRPr="00512250">
        <w:t>1.</w:t>
      </w:r>
      <w:r w:rsidRPr="00512250">
        <w:tab/>
        <w:t>χορηγεί απαλλαγή στη διευθύντρια του Οργανισμού για την Υποστήριξη του BEREC όσον αφορά την εκτέλεση του προϋπολογισμού του Οργανισμού για το οικονομικό έτος 2024·</w:t>
      </w:r>
    </w:p>
    <w:p w14:paraId="4776DA21"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359B10DC"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καθώς και το ψήφισμα που αποτελεί αναπόσπαστο μέρος της, στη διευθύντρια του Οργανισμού για την Υποστήριξη του BEREC, στο Συμβούλιο, στην Επιτροπή και στο Ελεγκτικό Συνέδριο, και να μεριμνήσει για τη δημοσίευσή τους στην </w:t>
      </w:r>
      <w:r w:rsidRPr="00512250">
        <w:rPr>
          <w:i/>
          <w:iCs/>
        </w:rPr>
        <w:t>Επίσημη Εφημερίδα της Ευρωπαϊκής Ένωσης</w:t>
      </w:r>
      <w:r w:rsidRPr="00512250">
        <w:t xml:space="preserve"> (σειρά L).</w:t>
      </w:r>
    </w:p>
    <w:p w14:paraId="18E29ED7" w14:textId="77777777" w:rsidR="00F026BE" w:rsidRPr="00512250" w:rsidRDefault="00F026BE" w:rsidP="00F026BE"/>
    <w:p w14:paraId="48F46C8E" w14:textId="77777777" w:rsidR="00F026BE" w:rsidRPr="00512250" w:rsidRDefault="00F026BE" w:rsidP="00F026BE">
      <w:pPr>
        <w:pStyle w:val="PageHeadingDec"/>
        <w:sectPr w:rsidR="00F026BE" w:rsidRPr="00512250" w:rsidSect="00F01631">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732452F" w14:textId="77777777" w:rsidR="00A10728" w:rsidRPr="00512250" w:rsidRDefault="00A10728" w:rsidP="00A10728">
      <w:pPr>
        <w:pStyle w:val="ATHeading3"/>
      </w:pPr>
      <w:r w:rsidRPr="00512250">
        <w:lastRenderedPageBreak/>
        <w:t>4. Απόφαση του Ευρωπαϊκού Κοινοβουλίου της 29ης Απριλίου 2026 σχετικά με το κλείσιμο των λογαριασμών του Οργανισμού για την Υποστήριξη του BEREC για το οικονομικό έτος 2024· (2025/2156(DEC))</w:t>
      </w:r>
    </w:p>
    <w:p w14:paraId="43ECB92E" w14:textId="77777777" w:rsidR="00F026BE" w:rsidRPr="00512250" w:rsidRDefault="00F026BE" w:rsidP="00F026BE">
      <w:pPr>
        <w:pStyle w:val="EPComma"/>
      </w:pPr>
      <w:r w:rsidRPr="00512250">
        <w:rPr>
          <w:i/>
          <w:iCs/>
        </w:rPr>
        <w:t>Το Ευρωπαϊκό Κοινοβούλιο,</w:t>
      </w:r>
    </w:p>
    <w:p w14:paraId="6B88FE56"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για την Υποστήριξη του BEREC για το οικονομικό έτος 2024,</w:t>
      </w:r>
    </w:p>
    <w:p w14:paraId="01922747"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19"/>
      </w:r>
      <w:r w:rsidRPr="00512250">
        <w:t>,</w:t>
      </w:r>
    </w:p>
    <w:p w14:paraId="5EF96FFC"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20"/>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224A024C" w14:textId="088AE0C6"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0C46E432"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16AD09B0"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21"/>
      </w:r>
      <w:r w:rsidRPr="00512250">
        <w:t>, και ιδίως το άρθρο 70,</w:t>
      </w:r>
    </w:p>
    <w:p w14:paraId="07596F45"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22"/>
      </w:r>
      <w:r w:rsidRPr="00512250">
        <w:t>, και ιδίως το άρθρο 70,</w:t>
      </w:r>
    </w:p>
    <w:p w14:paraId="0D0E64BD" w14:textId="77777777" w:rsidR="00F026BE" w:rsidRPr="00512250" w:rsidRDefault="00F026BE" w:rsidP="00F026BE">
      <w:pPr>
        <w:pStyle w:val="NormalHanging12a"/>
      </w:pPr>
      <w:r w:rsidRPr="00512250">
        <w:t>–</w:t>
      </w:r>
      <w:r w:rsidRPr="00512250">
        <w:tab/>
        <w:t>έχοντας υπόψη τον κανονισμό (ΕΕ) 2018/1971 του Ευρωπαϊκού Κοινοβουλίου και του Συμβουλίου, της 11ης Δεκεμβρίου 2018, για την ίδρυση του Φορέα Ευρωπαϊκών Ρυθμιστικών Αρχών για τις Ηλεκτρονικές Επικοινωνίες (BEREC) και του Οργανισμού για την υποστήριξη του BEREC (Υπηρεσία του BEREC), την τροποποίηση του κανονισμού (ΕΕ) 2015/2120 και την κατάργηση του κανονισμού (ΕΚ) αριθ. 1211/2009</w:t>
      </w:r>
      <w:r w:rsidRPr="00512250">
        <w:rPr>
          <w:rStyle w:val="FootnoteReference"/>
        </w:rPr>
        <w:footnoteReference w:id="23"/>
      </w:r>
      <w:r w:rsidRPr="00512250">
        <w:t>, και ιδίως το άρθρο 28,</w:t>
      </w:r>
    </w:p>
    <w:p w14:paraId="7C3B62C0"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w:t>
      </w:r>
      <w:r w:rsidRPr="00512250">
        <w:lastRenderedPageBreak/>
        <w:t>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24"/>
      </w:r>
      <w:r w:rsidRPr="00512250">
        <w:t>, και ιδίως το άρθρο 105,</w:t>
      </w:r>
    </w:p>
    <w:p w14:paraId="0D485385"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2AB8BADB"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0BE53D7A"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74742398" w14:textId="77777777" w:rsidR="00F026BE" w:rsidRPr="00512250" w:rsidRDefault="00F026BE" w:rsidP="00F026BE">
      <w:pPr>
        <w:pStyle w:val="NormalHanging12a"/>
      </w:pPr>
      <w:r w:rsidRPr="00512250">
        <w:t>1.</w:t>
      </w:r>
      <w:r w:rsidRPr="00512250">
        <w:tab/>
        <w:t>εγκρίνει το κλείσιμο των λογαριασμών του Οργανισμού για την Υποστήριξη του BEREC για το οικονομικό έτος 2024·</w:t>
      </w:r>
    </w:p>
    <w:p w14:paraId="268679DA"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στη διευθύντρια του Οργανισμού για την Υποστήριξη του BEREC, στο Συμβούλιο, στην Επιτροπή και στο Ελεγκτικό Συνέδριο, και να μεριμνήσει για τη δημοσίευσή της στην </w:t>
      </w:r>
      <w:r w:rsidRPr="00512250">
        <w:rPr>
          <w:i/>
          <w:iCs/>
        </w:rPr>
        <w:t>Επίσημη Εφημερίδα της Ευρωπαϊκής Ένωσης</w:t>
      </w:r>
      <w:r w:rsidRPr="00512250">
        <w:t xml:space="preserve"> (σειρά L).</w:t>
      </w:r>
    </w:p>
    <w:p w14:paraId="0FFD6EF3" w14:textId="77777777" w:rsidR="00F026BE" w:rsidRPr="00512250" w:rsidRDefault="00F026BE" w:rsidP="00F026BE"/>
    <w:p w14:paraId="08961016" w14:textId="77777777" w:rsidR="00F026BE" w:rsidRPr="00512250" w:rsidRDefault="00F026BE" w:rsidP="00F026BE"/>
    <w:p w14:paraId="7FF3CB1E" w14:textId="111E8F7C" w:rsidR="00F026BE" w:rsidRPr="00512250" w:rsidRDefault="00F026BE" w:rsidP="00F026BE">
      <w:pPr>
        <w:pStyle w:val="PageHeadingDec"/>
      </w:pPr>
    </w:p>
    <w:p w14:paraId="46C447C4" w14:textId="77777777" w:rsidR="00F026BE" w:rsidRPr="00512250" w:rsidRDefault="00F026BE" w:rsidP="00F026BE">
      <w:pPr>
        <w:pStyle w:val="PageHeadingDec"/>
        <w:sectPr w:rsidR="00F026BE" w:rsidRPr="00512250" w:rsidSect="00F01631">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2F2EBF4" w14:textId="77777777" w:rsidR="00A10728" w:rsidRPr="00512250" w:rsidRDefault="00A10728" w:rsidP="00A10728">
      <w:pPr>
        <w:pStyle w:val="ATHeading3"/>
      </w:pPr>
      <w:r w:rsidRPr="00512250">
        <w:lastRenderedPageBreak/>
        <w:t>5. Απόφαση του Ευρωπαϊκού Κοινοβουλίου της 29ης Απριλίου 2026 σχετικά με την απαλλαγή όσον αφορά την εκτέλεση του προϋπολογισμού του Μεταφραστικού Κέντρου των Οργάνων της Ευρωπαϊκής Ένωσης για το οικονομικό έτος 2024 (2025/2156(DEC))</w:t>
      </w:r>
    </w:p>
    <w:p w14:paraId="72D9BE43" w14:textId="77777777" w:rsidR="00F026BE" w:rsidRPr="00512250" w:rsidRDefault="00F026BE" w:rsidP="00F026BE">
      <w:pPr>
        <w:pStyle w:val="EPComma"/>
      </w:pPr>
      <w:r w:rsidRPr="00512250">
        <w:rPr>
          <w:i/>
          <w:iCs/>
        </w:rPr>
        <w:t>Το Ευρωπαϊκό Κοινοβούλιο,</w:t>
      </w:r>
    </w:p>
    <w:p w14:paraId="266515CA"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Μεταφραστικού Κέντρου των Οργάνων της Ευρωπαϊκής Ένωσης για το οικονομικό έτος 2024,</w:t>
      </w:r>
    </w:p>
    <w:p w14:paraId="0F01AD32"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25"/>
      </w:r>
      <w:r w:rsidRPr="00512250">
        <w:t>,</w:t>
      </w:r>
    </w:p>
    <w:p w14:paraId="4E5DFD3A"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26"/>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06C87E67"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του Κέντρου όσον αφορά την εκτέλεση του προϋπολογισμού για το οικονομικό έτος 2024 (05750/2026 – C10-0148/2026),</w:t>
      </w:r>
    </w:p>
    <w:p w14:paraId="54A5F136"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7D237C81"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27"/>
      </w:r>
      <w:r w:rsidRPr="00512250">
        <w:t>, και ιδίως το άρθρο 70,</w:t>
      </w:r>
    </w:p>
    <w:p w14:paraId="556C638A"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28"/>
      </w:r>
      <w:r w:rsidRPr="00512250">
        <w:t>, και ιδίως το άρθρο 70,</w:t>
      </w:r>
    </w:p>
    <w:p w14:paraId="3A337695" w14:textId="77777777" w:rsidR="00F026BE" w:rsidRPr="00512250" w:rsidRDefault="00F026BE" w:rsidP="00F026BE">
      <w:pPr>
        <w:pStyle w:val="NormalHanging12a"/>
      </w:pPr>
      <w:r w:rsidRPr="00512250">
        <w:t>–</w:t>
      </w:r>
      <w:r w:rsidRPr="00512250">
        <w:tab/>
        <w:t>έχοντας υπόψη τον κανονισμό (ΕΚ) αριθ. 2965/94 του Συμβουλίου, της 28ης Νοεμβρίου 1994, για τη δημιουργία Μεταφραστικού Κέντρου των Οργάνων της Ευρωπαϊκής Ένωσης</w:t>
      </w:r>
      <w:r w:rsidRPr="00512250">
        <w:rPr>
          <w:rStyle w:val="FootnoteReference"/>
        </w:rPr>
        <w:footnoteReference w:id="29"/>
      </w:r>
      <w:r w:rsidRPr="00512250">
        <w:t>, και ιδίως το άρθρο 14,</w:t>
      </w:r>
    </w:p>
    <w:p w14:paraId="6358F69D"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30"/>
      </w:r>
      <w:r w:rsidRPr="00512250">
        <w:t>, και ιδίως το άρθρο 105,</w:t>
      </w:r>
    </w:p>
    <w:p w14:paraId="66F9BF9F"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163927C2"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29B6EDA8"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69C81800" w14:textId="77777777" w:rsidR="00F026BE" w:rsidRPr="00512250" w:rsidRDefault="00F026BE" w:rsidP="00F026BE">
      <w:pPr>
        <w:pStyle w:val="NormalHanging12a"/>
      </w:pPr>
      <w:r w:rsidRPr="00512250">
        <w:t>1.</w:t>
      </w:r>
      <w:r w:rsidRPr="00512250">
        <w:tab/>
        <w:t>χορηγεί απαλλαγή στον ασκούντα καθήκοντα διευθυντή του Μεταφραστικού Κέντρου των Οργάνων της Ευρωπαϊκής Ένωσης όσον αφορά την εκτέλεση του προϋπολογισμού του Κέντρου για το οικονομικό έτος 2024·</w:t>
      </w:r>
    </w:p>
    <w:p w14:paraId="3C4DAD43"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0AFCC773"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στον ασκούντα καθήκοντα διευθυντή του Μεταφραστικού Κέντρου των Οργάνων της Ευρωπαϊκής Ένωσης, στο Συμβούλιο, στην Επιτροπή και στο Ελεγκτικό Συνέδριο, και να μεριμνήσει για τη δημοσίευσή τους στην </w:t>
      </w:r>
      <w:r w:rsidRPr="00512250">
        <w:rPr>
          <w:i/>
        </w:rPr>
        <w:t>Επίσημη Εφημερίδα της Ευρωπαϊκής Ένωσης</w:t>
      </w:r>
      <w:r w:rsidRPr="00512250">
        <w:t xml:space="preserve"> (σειρά L).</w:t>
      </w:r>
    </w:p>
    <w:p w14:paraId="1E7C2DAB" w14:textId="77777777" w:rsidR="00F026BE" w:rsidRPr="00512250" w:rsidRDefault="00F026BE" w:rsidP="00F026BE"/>
    <w:p w14:paraId="1CF0B704" w14:textId="77777777" w:rsidR="00F026BE" w:rsidRPr="00512250" w:rsidRDefault="00F026BE" w:rsidP="00F026BE">
      <w:pPr>
        <w:pStyle w:val="PageHeadingDec"/>
        <w:sectPr w:rsidR="00F026BE" w:rsidRPr="00512250" w:rsidSect="00F01631">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4048BF0" w14:textId="77777777" w:rsidR="00A10728" w:rsidRPr="00512250" w:rsidRDefault="00A10728" w:rsidP="00A10728">
      <w:pPr>
        <w:pStyle w:val="ATHeading3"/>
      </w:pPr>
      <w:r w:rsidRPr="00512250">
        <w:lastRenderedPageBreak/>
        <w:t>6. Απόφαση του Ευρωπαϊκού Κοινοβουλίου της 29ης Απριλίου 2026 σχετικά με το κλείσιμο των λογαριασμών του Μεταφραστικού Κέντρου των Οργάνων της Ευρωπαϊκής Ένωσης για το οικονομικό έτος 2024 (2025/2156(DEC))</w:t>
      </w:r>
    </w:p>
    <w:p w14:paraId="6737B6E5" w14:textId="77777777" w:rsidR="00F026BE" w:rsidRPr="00512250" w:rsidRDefault="00F026BE" w:rsidP="00F026BE">
      <w:pPr>
        <w:pStyle w:val="EPComma"/>
      </w:pPr>
      <w:r w:rsidRPr="00512250">
        <w:rPr>
          <w:i/>
          <w:iCs/>
        </w:rPr>
        <w:t>Το Ευρωπαϊκό Κοινοβούλιο,</w:t>
      </w:r>
    </w:p>
    <w:p w14:paraId="5F706EA5"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Μεταφραστικού Κέντρου των Οργάνων της Ευρωπαϊκής Ένωσης για το οικονομικό έτος 2024,</w:t>
      </w:r>
    </w:p>
    <w:p w14:paraId="775188A7"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31"/>
      </w:r>
      <w:r w:rsidRPr="00512250">
        <w:t>,</w:t>
      </w:r>
    </w:p>
    <w:p w14:paraId="0DF47145"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32"/>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75AA2E9E"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του Κέντρου όσον αφορά την εκτέλεση του προϋπολογισμού για το οικονομικό έτος 2024 (05750/2026 – C10-0148/2026),</w:t>
      </w:r>
    </w:p>
    <w:p w14:paraId="1CCB5957"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402F0E7C"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33"/>
      </w:r>
      <w:r w:rsidRPr="00512250">
        <w:t>, και ιδίως το άρθρο 70,</w:t>
      </w:r>
    </w:p>
    <w:p w14:paraId="684B8782"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34"/>
      </w:r>
      <w:r w:rsidRPr="00512250">
        <w:t>, και ιδίως το άρθρο 70,</w:t>
      </w:r>
    </w:p>
    <w:p w14:paraId="349A659C" w14:textId="77777777" w:rsidR="00F026BE" w:rsidRPr="00512250" w:rsidRDefault="00F026BE" w:rsidP="00F026BE">
      <w:pPr>
        <w:pStyle w:val="NormalHanging12a"/>
      </w:pPr>
      <w:r w:rsidRPr="00512250">
        <w:t>–</w:t>
      </w:r>
      <w:r w:rsidRPr="00512250">
        <w:tab/>
        <w:t>έχοντας υπόψη τον κανονισμό (ΕΚ) αριθ. 2965/94 του Συμβουλίου, της 28ης Νοεμβρίου 1994, για τη δημιουργία Μεταφραστικού Κέντρου των Οργάνων της Ευρωπαϊκής Ένωσης</w:t>
      </w:r>
      <w:r w:rsidRPr="00512250">
        <w:rPr>
          <w:rStyle w:val="FootnoteReference"/>
        </w:rPr>
        <w:footnoteReference w:id="35"/>
      </w:r>
      <w:r w:rsidRPr="00512250">
        <w:t>, και ιδίως το άρθρο 14,</w:t>
      </w:r>
    </w:p>
    <w:p w14:paraId="2238F448"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36"/>
      </w:r>
      <w:r w:rsidRPr="00512250">
        <w:t>, και ιδίως το άρθρο 105,</w:t>
      </w:r>
    </w:p>
    <w:p w14:paraId="7E002321"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665092EF"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3C21D508"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78F6778F" w14:textId="77777777" w:rsidR="00F026BE" w:rsidRPr="00512250" w:rsidRDefault="00F026BE" w:rsidP="00F026BE">
      <w:pPr>
        <w:pStyle w:val="NormalHanging12a"/>
      </w:pPr>
      <w:r w:rsidRPr="00512250">
        <w:t>1.</w:t>
      </w:r>
      <w:r w:rsidRPr="00512250">
        <w:tab/>
        <w:t>εγκρίνει το κλείσιμο των λογαριασμών του Μεταφραστικού Κέντρου των Οργάνων της Ευρωπαϊκής Ένωσης για το οικονομικό έτος 2024·</w:t>
      </w:r>
    </w:p>
    <w:p w14:paraId="2255991E"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στον ασκούντα καθήκοντα διευθυντή του Μεταφραστικού Κέντρου των Οργάνων της Ευρωπαϊκής Ένωσης, στο Συμβούλιο, στην Επιτροπή και στο Ελεγκτικό Συνέδριο, και να μεριμνήσει για τη δημοσίευσή της στην </w:t>
      </w:r>
      <w:r w:rsidRPr="00512250">
        <w:rPr>
          <w:i/>
        </w:rPr>
        <w:t>Επίσημη Εφημερίδα της Ευρωπαϊκής Ένωσης</w:t>
      </w:r>
      <w:r w:rsidRPr="00512250">
        <w:t xml:space="preserve"> (σειρά L).</w:t>
      </w:r>
    </w:p>
    <w:p w14:paraId="48DFEA97" w14:textId="77777777" w:rsidR="00F026BE" w:rsidRPr="00512250" w:rsidRDefault="00F026BE" w:rsidP="00F026BE"/>
    <w:p w14:paraId="513782C3" w14:textId="77777777" w:rsidR="00F026BE" w:rsidRPr="00512250" w:rsidRDefault="00F026BE" w:rsidP="00F026BE"/>
    <w:p w14:paraId="59A05FDC" w14:textId="2738D94D" w:rsidR="00F026BE" w:rsidRPr="00512250" w:rsidRDefault="00F026BE" w:rsidP="00F026BE">
      <w:pPr>
        <w:pStyle w:val="PageHeadingDec"/>
      </w:pPr>
    </w:p>
    <w:p w14:paraId="788A5FC6" w14:textId="77777777" w:rsidR="00F026BE" w:rsidRPr="00512250" w:rsidRDefault="00F026BE" w:rsidP="00F026BE">
      <w:pPr>
        <w:pStyle w:val="PageHeadingDec"/>
        <w:sectPr w:rsidR="00F026BE" w:rsidRPr="00512250" w:rsidSect="00F01631">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DEF5D08" w14:textId="77777777" w:rsidR="00A10728" w:rsidRPr="00512250" w:rsidRDefault="00A10728" w:rsidP="00A10728">
      <w:pPr>
        <w:pStyle w:val="ATHeading3"/>
      </w:pPr>
      <w:r w:rsidRPr="00512250">
        <w:lastRenderedPageBreak/>
        <w:t>7. Απόφαση του Ευρωπαϊκού Κοινοβουλίου της 29ης Απριλίου 2026 σχετικά με την απαλλαγή όσον αφορά την εκτέλεση του προϋπολογισμού του Ευρωπαϊκού Κέντρου για την Ανάπτυξη της Επαγγελματικής Κατάρτισης για το οικονομικό έτος 2024 (2025/2156(DEC))</w:t>
      </w:r>
    </w:p>
    <w:p w14:paraId="2FE2EBFA" w14:textId="77777777" w:rsidR="00F026BE" w:rsidRPr="00512250" w:rsidRDefault="00F026BE" w:rsidP="00F026BE">
      <w:pPr>
        <w:pStyle w:val="EPComma"/>
      </w:pPr>
      <w:r w:rsidRPr="00512250">
        <w:rPr>
          <w:i/>
          <w:iCs/>
        </w:rPr>
        <w:t>Το Ευρωπαϊκό Κοινοβούλιο,</w:t>
      </w:r>
    </w:p>
    <w:p w14:paraId="2F83A6BF"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Κέντρου για την Ανάπτυξη της Επαγγελματικής Κατάρτισης για το οικονομικό έτος 2024,</w:t>
      </w:r>
    </w:p>
    <w:p w14:paraId="68A0A774"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37"/>
      </w:r>
      <w:r w:rsidRPr="00512250">
        <w:t>,</w:t>
      </w:r>
    </w:p>
    <w:p w14:paraId="76450493"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38"/>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50CD69C5"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του Κέντρου όσον αφορά την εκτέλεση του προϋπολογισμού για το οικονομικό έτος 2024 (05750/2026 – C10-0148/2026),</w:t>
      </w:r>
    </w:p>
    <w:p w14:paraId="735F99D5"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359D7678"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39"/>
      </w:r>
      <w:r w:rsidRPr="00512250">
        <w:t>, και ιδίως το άρθρο 70,</w:t>
      </w:r>
    </w:p>
    <w:p w14:paraId="74D69742"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40"/>
      </w:r>
      <w:r w:rsidRPr="00512250">
        <w:t>, και ιδίως το άρθρο 70,</w:t>
      </w:r>
    </w:p>
    <w:p w14:paraId="6775AB9F" w14:textId="77777777" w:rsidR="00F026BE" w:rsidRPr="00512250" w:rsidRDefault="00F026BE" w:rsidP="00F026BE">
      <w:pPr>
        <w:pStyle w:val="NormalHanging12a"/>
      </w:pPr>
      <w:r w:rsidRPr="00512250">
        <w:t>–</w:t>
      </w:r>
      <w:r w:rsidRPr="00512250">
        <w:tab/>
        <w:t>έχοντας υπόψη τον κανονισμό (EE) 2019/128 του Ευρωπαϊκού Κοινοβουλίου και του Συμβουλίου, της 16ης Ιανουαρίου 2019, σχετικά με την ίδρυση Ευρωπαϊκού Κέντρου για την Ανάπτυξη της Επαγγελματικής Κατάρτισης (</w:t>
      </w:r>
      <w:proofErr w:type="spellStart"/>
      <w:r w:rsidRPr="00512250">
        <w:t>Cedefop</w:t>
      </w:r>
      <w:proofErr w:type="spellEnd"/>
      <w:r w:rsidRPr="00512250">
        <w:t>) και την κατάργηση του κανονισμού (ΕΟΚ) αριθ. 337/75 του Συμβουλίου</w:t>
      </w:r>
      <w:r w:rsidRPr="00512250">
        <w:rPr>
          <w:rStyle w:val="FootnoteReference"/>
        </w:rPr>
        <w:footnoteReference w:id="41"/>
      </w:r>
      <w:r w:rsidRPr="00512250">
        <w:t>, και ιδίως το άρθρο 15,</w:t>
      </w:r>
    </w:p>
    <w:p w14:paraId="2845DB4A"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512250">
        <w:lastRenderedPageBreak/>
        <w:t>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42"/>
      </w:r>
      <w:r w:rsidRPr="00512250">
        <w:t>, και ιδίως το άρθρο 105,</w:t>
      </w:r>
    </w:p>
    <w:p w14:paraId="1AFA6846"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137EF65C"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08BDF25B"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7A0732BF" w14:textId="77777777" w:rsidR="00F026BE" w:rsidRPr="00512250" w:rsidRDefault="00F026BE" w:rsidP="00F026BE">
      <w:pPr>
        <w:pStyle w:val="NormalHanging12a"/>
      </w:pPr>
      <w:r w:rsidRPr="00512250">
        <w:t>1.</w:t>
      </w:r>
      <w:r w:rsidRPr="00512250">
        <w:tab/>
        <w:t>χορηγεί απαλλαγή στον εκτελεστικό διευθυντή του Ευρωπαϊκού Κέντρου για την Ανάπτυξη της Επαγγελματικής Κατάρτισης όσον αφορά την εκτέλεση του προϋπολογισμού του Κέντρου για το οικονομικό έτος 2024·</w:t>
      </w:r>
    </w:p>
    <w:p w14:paraId="0132B13E"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10C641B6"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καθώς και το ψήφισμα που αποτελεί αναπόσπαστο μέρος της, στον εκτελεστικό διευθυντή του Ευρωπαϊκού Κέντρου για την Ανάπτυξη της Επαγγελματικής Κατάρτισης, στο Συμβούλιο, στην Επιτροπή και στο Ελεγκτικό Συνέδριο, και να μεριμνήσει για τη δημοσίευσή τους στην </w:t>
      </w:r>
      <w:r w:rsidRPr="00512250">
        <w:rPr>
          <w:i/>
          <w:iCs/>
        </w:rPr>
        <w:t>Επίσημη Εφημερίδα της Ευρωπαϊκής Ένωσης</w:t>
      </w:r>
      <w:r w:rsidRPr="00512250">
        <w:t xml:space="preserve"> (σειρά L).</w:t>
      </w:r>
    </w:p>
    <w:p w14:paraId="20D3A0B6" w14:textId="77777777" w:rsidR="00F026BE" w:rsidRPr="00512250" w:rsidRDefault="00F026BE" w:rsidP="00F026BE"/>
    <w:p w14:paraId="71C930EE" w14:textId="77777777" w:rsidR="00F026BE" w:rsidRPr="00512250" w:rsidRDefault="00F026BE" w:rsidP="00F026BE">
      <w:pPr>
        <w:pStyle w:val="PageHeadingDec"/>
        <w:sectPr w:rsidR="00F026BE" w:rsidRPr="00512250" w:rsidSect="00F01631">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FECDA56" w14:textId="77777777" w:rsidR="00A10728" w:rsidRPr="00512250" w:rsidRDefault="00A10728" w:rsidP="00A10728">
      <w:pPr>
        <w:pStyle w:val="ATHeading3"/>
      </w:pPr>
      <w:r w:rsidRPr="00512250">
        <w:lastRenderedPageBreak/>
        <w:t>8. Απόφαση του Ευρωπαϊκού Κοινοβουλίου της 29ης Απριλίου 2026 σχετικά με το κλείσιμο των λογαριασμών του Ευρωπαϊκού Κέντρου για την Ανάπτυξη της Επαγγελματικής Κατάρτισης για το οικονομικό έτος 2024 (2025/2156(DEC))</w:t>
      </w:r>
    </w:p>
    <w:p w14:paraId="75A7A02D" w14:textId="77777777" w:rsidR="00F026BE" w:rsidRPr="00512250" w:rsidRDefault="00F026BE" w:rsidP="00F026BE">
      <w:pPr>
        <w:pStyle w:val="EPComma"/>
      </w:pPr>
      <w:r w:rsidRPr="00512250">
        <w:rPr>
          <w:i/>
          <w:iCs/>
        </w:rPr>
        <w:t>Το Ευρωπαϊκό Κοινοβούλιο,</w:t>
      </w:r>
    </w:p>
    <w:p w14:paraId="3AB8D82F"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Κέντρου για την Ανάπτυξη της Επαγγελματικής Κατάρτισης για το οικονομικό έτος 2024,</w:t>
      </w:r>
    </w:p>
    <w:p w14:paraId="604A4409"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43"/>
      </w:r>
      <w:r w:rsidRPr="00512250">
        <w:t>,</w:t>
      </w:r>
    </w:p>
    <w:p w14:paraId="1C20F99E"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44"/>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3814EEE7"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του Κέντρου όσον αφορά την εκτέλεση του προϋπολογισμού για το οικονομικό έτος 2024 (05750/2026 – C10-0148/2026),</w:t>
      </w:r>
    </w:p>
    <w:p w14:paraId="161DD8DB"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1215013C"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45"/>
      </w:r>
      <w:r w:rsidRPr="00512250">
        <w:t>, και ιδίως το άρθρο 70,</w:t>
      </w:r>
    </w:p>
    <w:p w14:paraId="4ADD0CB3"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46"/>
      </w:r>
      <w:r w:rsidRPr="00512250">
        <w:t>, και ιδίως το άρθρο 70,</w:t>
      </w:r>
    </w:p>
    <w:p w14:paraId="1D3D07D2" w14:textId="77777777" w:rsidR="00F026BE" w:rsidRPr="00512250" w:rsidRDefault="00F026BE" w:rsidP="00F026BE">
      <w:pPr>
        <w:pStyle w:val="NormalHanging12a"/>
      </w:pPr>
      <w:r w:rsidRPr="00512250">
        <w:t>–</w:t>
      </w:r>
      <w:r w:rsidRPr="00512250">
        <w:tab/>
        <w:t>έχοντας υπόψη τον κανονισμό (EE) 2019/128 του Ευρωπαϊκού Κοινοβουλίου και του Συμβουλίου, της 16ης Ιανουαρίου 2019, σχετικά με την ίδρυση Ευρωπαϊκού Κέντρου για την Ανάπτυξη της Επαγγελματικής Κατάρτισης (</w:t>
      </w:r>
      <w:proofErr w:type="spellStart"/>
      <w:r w:rsidRPr="00512250">
        <w:t>Cedefop</w:t>
      </w:r>
      <w:proofErr w:type="spellEnd"/>
      <w:r w:rsidRPr="00512250">
        <w:t>) και την κατάργηση του κανονισμού (ΕΟΚ) αριθ. 337/75 του Συμβουλίου</w:t>
      </w:r>
      <w:r w:rsidRPr="00512250">
        <w:rPr>
          <w:rStyle w:val="FootnoteReference"/>
        </w:rPr>
        <w:footnoteReference w:id="47"/>
      </w:r>
      <w:r w:rsidRPr="00512250">
        <w:t>, και ιδίως το άρθρο 15,</w:t>
      </w:r>
    </w:p>
    <w:p w14:paraId="4961C021"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48"/>
      </w:r>
      <w:r w:rsidRPr="00512250">
        <w:t>, και ιδίως το άρθρο 105,</w:t>
      </w:r>
    </w:p>
    <w:p w14:paraId="46149EB6"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2019751A"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0BAE16C7"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30AC89D7" w14:textId="77777777" w:rsidR="00F026BE" w:rsidRPr="00512250" w:rsidRDefault="00F026BE" w:rsidP="00F026BE">
      <w:pPr>
        <w:pStyle w:val="NormalHanging12a"/>
      </w:pPr>
      <w:r w:rsidRPr="00512250">
        <w:t>1.</w:t>
      </w:r>
      <w:r w:rsidRPr="00512250">
        <w:tab/>
        <w:t>εγκρίνει το κλείσιμο των λογαριασμών του Ευρωπαϊκού Κέντρου για την Ανάπτυξη της Επαγγελματικής Κατάρτισης για το οικονομικό έτος 2024·</w:t>
      </w:r>
    </w:p>
    <w:p w14:paraId="6630C3C3"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στον εκτελεστικό διευθυντή του Ευρωπαϊκού Κέντρου για την Ανάπτυξη της Επαγγελματικής Κατάρτισης, στο Συμβούλιο, στην Επιτροπή και στο Ελεγκτικό Συνέδριο, και να μεριμνήσει για τη δημοσίευσή της στην </w:t>
      </w:r>
      <w:r w:rsidRPr="00512250">
        <w:rPr>
          <w:i/>
          <w:iCs/>
        </w:rPr>
        <w:t>Επίσημη Εφημερίδα της Ευρωπαϊκής Ένωσης</w:t>
      </w:r>
      <w:r w:rsidRPr="00512250">
        <w:t xml:space="preserve"> (σειρά L).</w:t>
      </w:r>
    </w:p>
    <w:p w14:paraId="77D2F4B1" w14:textId="77777777" w:rsidR="00F026BE" w:rsidRPr="00512250" w:rsidRDefault="00F026BE" w:rsidP="00F026BE"/>
    <w:p w14:paraId="730216DE" w14:textId="77777777" w:rsidR="00F026BE" w:rsidRPr="00512250" w:rsidRDefault="00F026BE" w:rsidP="00F026BE"/>
    <w:p w14:paraId="32344A7F" w14:textId="544C8F6E" w:rsidR="00F026BE" w:rsidRPr="00512250" w:rsidRDefault="00F026BE" w:rsidP="00F026BE">
      <w:pPr>
        <w:pStyle w:val="PageHeadingDec"/>
      </w:pPr>
    </w:p>
    <w:p w14:paraId="1B1AA9C1" w14:textId="77777777" w:rsidR="00F026BE" w:rsidRPr="00512250" w:rsidRDefault="00F026BE" w:rsidP="00F026BE">
      <w:pPr>
        <w:pStyle w:val="PageHeadingDec"/>
        <w:sectPr w:rsidR="00F026BE" w:rsidRPr="00512250" w:rsidSect="00F01631">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D6F4950" w14:textId="77777777" w:rsidR="00A10728" w:rsidRPr="00512250" w:rsidRDefault="00A10728" w:rsidP="00A10728">
      <w:pPr>
        <w:pStyle w:val="ATHeading3"/>
      </w:pPr>
      <w:r w:rsidRPr="00512250">
        <w:lastRenderedPageBreak/>
        <w:t>9. Απόφαση του Ευρωπαϊκού Κοινοβουλίου της 29ης Απριλίου 2026 σχετικά με την απαλλαγή όσον αφορά την εκτέλεση του προϋπολογισμού του Οργανισμού της Ευρωπαϊκής Ένωσης για την Κατάρτιση στον Τομέα της Επιβολής του Νόμου για το οικονομικό έτος 2024 (2025/2156(DEC))</w:t>
      </w:r>
    </w:p>
    <w:p w14:paraId="626170A6" w14:textId="77777777" w:rsidR="00F026BE" w:rsidRPr="00512250" w:rsidRDefault="00F026BE" w:rsidP="00F026BE">
      <w:pPr>
        <w:pStyle w:val="EPComma"/>
      </w:pPr>
      <w:r w:rsidRPr="00512250">
        <w:rPr>
          <w:i/>
          <w:iCs/>
        </w:rPr>
        <w:t>Το Ευρωπαϊκό Κοινοβούλιο,</w:t>
      </w:r>
    </w:p>
    <w:p w14:paraId="4F2B8232"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της Ευρωπαϊκής Ένωσης για την Κατάρτιση στον Τομέα της Επιβολής του Νόμου για το οικονομικό έτος 2024,</w:t>
      </w:r>
    </w:p>
    <w:p w14:paraId="532E9599"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49"/>
      </w:r>
      <w:r w:rsidRPr="00512250">
        <w:t>,</w:t>
      </w:r>
    </w:p>
    <w:p w14:paraId="3D2DFBD4"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50"/>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2822C76A" w14:textId="77ED5424"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5948E75A"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5CE04A39"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51"/>
      </w:r>
      <w:r w:rsidRPr="00512250">
        <w:t>, και ιδίως το άρθρο 70,</w:t>
      </w:r>
    </w:p>
    <w:p w14:paraId="238C6771"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52"/>
      </w:r>
      <w:r w:rsidRPr="00512250">
        <w:t>, και ιδίως το άρθρο 70,</w:t>
      </w:r>
    </w:p>
    <w:p w14:paraId="5C6921C1" w14:textId="77777777" w:rsidR="00F026BE" w:rsidRPr="00512250" w:rsidRDefault="00F026BE" w:rsidP="00F026BE">
      <w:pPr>
        <w:pStyle w:val="NormalHanging12a"/>
      </w:pPr>
      <w:r w:rsidRPr="00512250">
        <w:t>–</w:t>
      </w:r>
      <w:r w:rsidRPr="00512250">
        <w:tab/>
        <w:t>έχοντας υπόψη τον κανονισμό (EE) 2015/2219 του Ευρωπαϊκού Κοινοβουλίου και του Συμβουλίου, της 25ης Νοεμβρίου 2015, σχετικά με τον Οργανισμό της Ευρωπαϊκής Ένωσης για την Κατάρτιση στον Τομέα της Επιβολής του Νόμου (CEPOL) και για την αντικατάσταση και κατάργηση της απόφασης 2005/681/ΔΕΥ του Συμβουλίου</w:t>
      </w:r>
      <w:r w:rsidRPr="00512250">
        <w:rPr>
          <w:rStyle w:val="FootnoteReference"/>
        </w:rPr>
        <w:footnoteReference w:id="53"/>
      </w:r>
      <w:r w:rsidRPr="00512250">
        <w:t>, και ιδίως το άρθρο 20,</w:t>
      </w:r>
    </w:p>
    <w:p w14:paraId="4840E2CC"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w:t>
      </w:r>
      <w:r w:rsidRPr="00512250">
        <w:lastRenderedPageBreak/>
        <w:t>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54"/>
      </w:r>
      <w:r w:rsidRPr="00512250">
        <w:t>, και ιδίως το άρθρο 105,</w:t>
      </w:r>
    </w:p>
    <w:p w14:paraId="7C498558"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2B8D8DFC"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708CD0B0"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652EEF77" w14:textId="77777777" w:rsidR="00F026BE" w:rsidRPr="00512250" w:rsidRDefault="00F026BE" w:rsidP="00F026BE">
      <w:pPr>
        <w:pStyle w:val="NormalHanging12a"/>
      </w:pPr>
      <w:r w:rsidRPr="00512250">
        <w:t>1.</w:t>
      </w:r>
      <w:r w:rsidRPr="00512250">
        <w:tab/>
        <w:t>χορηγεί απαλλαγή στην εκτελεστική διευθύντρια του Οργανισμού της Ευρωπαϊκής Ένωσης για την Κατάρτιση στον Τομέα της Επιβολής του Νόμου όσον αφορά την εκτέλεση του προϋπολογισμού του Οργανισμού για το οικονομικό έτος 2024·</w:t>
      </w:r>
    </w:p>
    <w:p w14:paraId="54A58810"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6D61B3DD"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του Οργανισμού της Ευρωπαϊκής Ένωσης για την Κατάρτιση στον Τομέα της Επιβολής του Νόμου, στο Συμβούλιο, στην Επιτροπή και στο Ελεγκτικό Συνέδριο, και να μεριμνήσει για τη δημοσίευσή τους στην </w:t>
      </w:r>
      <w:r w:rsidRPr="00512250">
        <w:rPr>
          <w:i/>
          <w:iCs/>
        </w:rPr>
        <w:t>Επίσημη Εφημερίδα της Ευρωπαϊκής Ένωσης</w:t>
      </w:r>
      <w:r w:rsidRPr="00512250">
        <w:t xml:space="preserve"> (σειρά L).</w:t>
      </w:r>
    </w:p>
    <w:p w14:paraId="583E0E42" w14:textId="77777777" w:rsidR="00F026BE" w:rsidRPr="00512250" w:rsidRDefault="00F026BE" w:rsidP="00F026BE"/>
    <w:p w14:paraId="5FB5E63F" w14:textId="77777777" w:rsidR="00F026BE" w:rsidRPr="00512250" w:rsidRDefault="00F026BE" w:rsidP="00F026BE">
      <w:pPr>
        <w:pStyle w:val="PageHeadingDec"/>
        <w:sectPr w:rsidR="00F026BE" w:rsidRPr="00512250" w:rsidSect="00F01631">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F723C44" w14:textId="77777777" w:rsidR="00A10728" w:rsidRPr="00512250" w:rsidRDefault="00A10728" w:rsidP="00A10728">
      <w:pPr>
        <w:pStyle w:val="ATHeading3"/>
      </w:pPr>
      <w:r w:rsidRPr="00512250">
        <w:lastRenderedPageBreak/>
        <w:t>10. Απόφαση του Ευρωπαϊκού Κοινοβουλίου της 29ης Απριλίου 2026 σχετικά με το κλείσιμο των λογαριασμών του Οργανισμού της Ευρωπαϊκής Ένωσης για την Κατάρτιση στον Τομέα της Επιβολής του Νόμου για το οικονομικό έτος 2024 (2025/2156(DEC))</w:t>
      </w:r>
    </w:p>
    <w:p w14:paraId="452E481A" w14:textId="77777777" w:rsidR="00F026BE" w:rsidRPr="00512250" w:rsidRDefault="00F026BE" w:rsidP="00F026BE">
      <w:pPr>
        <w:pStyle w:val="EPComma"/>
      </w:pPr>
      <w:r w:rsidRPr="00512250">
        <w:rPr>
          <w:i/>
          <w:iCs/>
        </w:rPr>
        <w:t>Το Ευρωπαϊκό Κοινοβούλιο,</w:t>
      </w:r>
    </w:p>
    <w:p w14:paraId="1B90D47B"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της Ευρωπαϊκής Ένωσης για την Κατάρτιση στον Τομέα της Επιβολής του Νόμου για το οικονομικό έτος 2024,</w:t>
      </w:r>
    </w:p>
    <w:p w14:paraId="1E342DA8"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55"/>
      </w:r>
      <w:r w:rsidRPr="00512250">
        <w:t>,</w:t>
      </w:r>
    </w:p>
    <w:p w14:paraId="52C837A2"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56"/>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660B2521" w14:textId="35E33A91"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549C56AD"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0CB61613"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57"/>
      </w:r>
      <w:r w:rsidRPr="00512250">
        <w:t>, και ιδίως το άρθρο 70,</w:t>
      </w:r>
    </w:p>
    <w:p w14:paraId="4079879B"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58"/>
      </w:r>
      <w:r w:rsidRPr="00512250">
        <w:t>, και ιδίως το άρθρο 70,</w:t>
      </w:r>
    </w:p>
    <w:p w14:paraId="115421B3" w14:textId="77777777" w:rsidR="00F026BE" w:rsidRPr="00512250" w:rsidRDefault="00F026BE" w:rsidP="00F026BE">
      <w:pPr>
        <w:pStyle w:val="NormalHanging12a"/>
      </w:pPr>
      <w:r w:rsidRPr="00512250">
        <w:t>–</w:t>
      </w:r>
      <w:r w:rsidRPr="00512250">
        <w:tab/>
        <w:t>έχοντας υπόψη τον κανονισμό (EE) 2015/2219 του Ευρωπαϊκού Κοινοβουλίου και του Συμβουλίου, της 25ης Νοεμβρίου 2015, σχετικά με τον Οργανισμό της Ευρωπαϊκής Ένωσης για την Κατάρτιση στον Τομέα της Επιβολής του Νόμου (CEPOL) και για την αντικατάσταση και κατάργηση της απόφασης 2005/681/ΔΕΥ του Συμβουλίου</w:t>
      </w:r>
      <w:r w:rsidRPr="00512250">
        <w:rPr>
          <w:rStyle w:val="FootnoteReference"/>
        </w:rPr>
        <w:footnoteReference w:id="59"/>
      </w:r>
      <w:r w:rsidRPr="00512250">
        <w:t>, και ιδίως το άρθρο 20,</w:t>
      </w:r>
    </w:p>
    <w:p w14:paraId="639D8214"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w:t>
      </w:r>
      <w:r w:rsidRPr="00512250">
        <w:lastRenderedPageBreak/>
        <w:t>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60"/>
      </w:r>
      <w:r w:rsidRPr="00512250">
        <w:t>, και ιδίως το άρθρο 105,</w:t>
      </w:r>
    </w:p>
    <w:p w14:paraId="2C941FFE"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499C2E3C"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07A6A145"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1E859601" w14:textId="77777777" w:rsidR="00F026BE" w:rsidRPr="00512250" w:rsidRDefault="00F026BE" w:rsidP="00F026BE">
      <w:pPr>
        <w:pStyle w:val="NormalHanging12a"/>
      </w:pPr>
      <w:r w:rsidRPr="00512250">
        <w:t>1.</w:t>
      </w:r>
      <w:r w:rsidRPr="00512250">
        <w:tab/>
        <w:t>εγκρίνει το κλείσιμο των λογαριασμών του Οργανισμού της Ευρωπαϊκής Ένωσης για την Κατάρτιση στον Τομέα της Επιβολής του Νόμου για το οικονομικό έτος 2024·</w:t>
      </w:r>
    </w:p>
    <w:p w14:paraId="05D87836"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στην εκτελεστική διευθύντρια του Οργανισμού της Ευρωπαϊκής Ένωσης για την Κατάρτιση στον Τομέα της Επιβολής του Νόμου, στο Συμβούλιο, στην Επιτροπή και στο Ελεγκτικό Συνέδριο, και να μεριμνήσει για τη δημοσίευσή της στην </w:t>
      </w:r>
      <w:r w:rsidRPr="00512250">
        <w:rPr>
          <w:i/>
          <w:iCs/>
        </w:rPr>
        <w:t>Επίσημη Εφημερίδα της Ευρωπαϊκής Ένωσης</w:t>
      </w:r>
      <w:r w:rsidRPr="00512250">
        <w:t xml:space="preserve"> (σειρά L).</w:t>
      </w:r>
    </w:p>
    <w:p w14:paraId="5C886CE8" w14:textId="77777777" w:rsidR="00F026BE" w:rsidRPr="00512250" w:rsidRDefault="00F026BE" w:rsidP="00F026BE"/>
    <w:p w14:paraId="78C6F072" w14:textId="77777777" w:rsidR="00F026BE" w:rsidRPr="00512250" w:rsidRDefault="00F026BE" w:rsidP="00F026BE"/>
    <w:p w14:paraId="03034266" w14:textId="51FE6368" w:rsidR="00F026BE" w:rsidRPr="00512250" w:rsidRDefault="00F026BE" w:rsidP="00F026BE">
      <w:pPr>
        <w:pStyle w:val="PageHeadingDec"/>
      </w:pPr>
    </w:p>
    <w:p w14:paraId="2F16F5A2" w14:textId="77777777" w:rsidR="00F026BE" w:rsidRPr="00512250" w:rsidRDefault="00F026BE" w:rsidP="00F026BE">
      <w:pPr>
        <w:pStyle w:val="PageHeadingDec"/>
        <w:sectPr w:rsidR="00F026BE" w:rsidRPr="00512250" w:rsidSect="00F01631">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38A22C4" w14:textId="77777777" w:rsidR="00A10728" w:rsidRPr="00512250" w:rsidRDefault="00A10728" w:rsidP="00A10728">
      <w:pPr>
        <w:pStyle w:val="ATHeading3"/>
      </w:pPr>
      <w:r w:rsidRPr="00512250">
        <w:lastRenderedPageBreak/>
        <w:t>11. Απόφαση του Ευρωπαϊκού Κοινοβουλίου της 29ης Απριλίου 2026 σχετικά με την απαλλαγή όσον αφορά την εκτέλεση του προϋπολογισμού του Οργανισμού της Ευρωπαϊκής Ένωσης για την Ασφάλεια της Αεροπορίας για το οικονομικό έτος 2024 (2025/2156(DEC))</w:t>
      </w:r>
    </w:p>
    <w:p w14:paraId="132B2FBD" w14:textId="77777777" w:rsidR="00F026BE" w:rsidRPr="00512250" w:rsidRDefault="00F026BE" w:rsidP="00F026BE">
      <w:pPr>
        <w:pStyle w:val="EPComma"/>
      </w:pPr>
      <w:r w:rsidRPr="00512250">
        <w:rPr>
          <w:i/>
          <w:iCs/>
        </w:rPr>
        <w:t>Το Ευρωπαϊκό Κοινοβούλιο,</w:t>
      </w:r>
    </w:p>
    <w:p w14:paraId="7AD31C48"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της Ευρωπαϊκής Ένωσης για την Ασφάλεια της Αεροπορίας για το οικονομικό έτος 2024,</w:t>
      </w:r>
    </w:p>
    <w:p w14:paraId="0FF0DFF5"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61"/>
      </w:r>
      <w:r w:rsidRPr="00512250">
        <w:t>,</w:t>
      </w:r>
    </w:p>
    <w:p w14:paraId="26CC7FC4"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62"/>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0E4E39CE" w14:textId="6C3CB1A7"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6A0C3EC5"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72D0E87A"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63"/>
      </w:r>
      <w:r w:rsidRPr="00512250">
        <w:t>, και ιδίως το άρθρο 70,</w:t>
      </w:r>
    </w:p>
    <w:p w14:paraId="53737326"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64"/>
      </w:r>
      <w:r w:rsidRPr="00512250">
        <w:t>, και ιδίως το άρθρο 70,</w:t>
      </w:r>
    </w:p>
    <w:p w14:paraId="0F156920" w14:textId="77777777" w:rsidR="00F026BE" w:rsidRPr="00512250" w:rsidRDefault="00F026BE" w:rsidP="00F026BE">
      <w:pPr>
        <w:pStyle w:val="NormalHanging12a"/>
      </w:pPr>
      <w:r w:rsidRPr="00512250">
        <w:t>–</w:t>
      </w:r>
      <w:r w:rsidRPr="00512250">
        <w:tab/>
        <w:t xml:space="preserve">έχοντας υπόψη τον κανονισμό (ΕΕ) 2018/1139 του Ευρωπαϊκού Κοινοβουλίου και του Συμβουλίου, της 4ης Ιουλίου 2018, για τη θέσπιση κοινών κανόνων στον τομέα της πολιτικής αεροπορίας και την ίδρυση Οργανισμού της Ευρωπαϊκής Ένωσης για την Ασφάλεια της Αεροπορίας, και για την τροποποίηση των κανονισμών (ΕΚ) αριθ. 2111/2005, (ΕΚ) αριθ. 1008/2008, (ΕΕ) αριθ. 996/2010, (ΕΕ) αριθ. 376/2014 και των οδηγιών 2014/30/ΕΕ και 2014/53/ΕΕ του Ευρωπαϊκού Κοινοβουλίου και του Συμβουλίου, καθώς και για την κατάργηση των κανονισμών (ΕΚ) αριθ. 552/2004 και (ΕΚ) αριθ. 216/2008 του Ευρωπαϊκού Κοινοβουλίου και του Συμβουλίου και του </w:t>
      </w:r>
      <w:r w:rsidRPr="00512250">
        <w:lastRenderedPageBreak/>
        <w:t>κανονισμού (ΕΟΚ) αριθ. 3922/91 του Συμβουλίου</w:t>
      </w:r>
      <w:r w:rsidRPr="00512250">
        <w:rPr>
          <w:rStyle w:val="FootnoteReference"/>
        </w:rPr>
        <w:footnoteReference w:id="65"/>
      </w:r>
      <w:r w:rsidRPr="00512250">
        <w:t>, και ιδίως το άρθρο 121,</w:t>
      </w:r>
    </w:p>
    <w:p w14:paraId="436EAED1" w14:textId="77777777" w:rsidR="00F026BE" w:rsidRPr="00512250" w:rsidRDefault="00F026BE" w:rsidP="00F026BE">
      <w:pPr>
        <w:pStyle w:val="NormalHanging12a"/>
      </w:pPr>
      <w:r w:rsidRPr="00512250">
        <w:t>–</w:t>
      </w:r>
      <w:r w:rsidRPr="00512250">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66"/>
      </w:r>
      <w:r w:rsidRPr="00512250">
        <w:t>, και ιδίως το άρθρο 105,</w:t>
      </w:r>
    </w:p>
    <w:p w14:paraId="083558A1"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0195BDA8"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68998D1A"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65C70BB1" w14:textId="77777777" w:rsidR="00F026BE" w:rsidRPr="00512250" w:rsidRDefault="00F026BE" w:rsidP="00F026BE">
      <w:pPr>
        <w:pStyle w:val="NormalHanging12a"/>
      </w:pPr>
      <w:r w:rsidRPr="00512250">
        <w:t>1.</w:t>
      </w:r>
      <w:r w:rsidRPr="00512250">
        <w:tab/>
        <w:t>χορηγεί απαλλαγή στον εκτελεστικό διευθυντή του Οργανισμού της Ευρωπαϊκής Ένωσης για την Ασφάλεια της Αεροπορίας όσον αφορά την εκτέλεση του προϋπολογισμού του Οργανισμού για το οικονομικό έτος 2024·</w:t>
      </w:r>
    </w:p>
    <w:p w14:paraId="2018642A"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62C75115"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του Οργανισμού της Ευρωπαϊκής Ένωσης για την Ασφάλεια της Αεροπορίας, στο Συμβούλιο, στην Επιτροπή και στο Ελεγκτικό Συνέδριο, και να μεριμνήσει για τη δημοσίευσή τους στην </w:t>
      </w:r>
      <w:r w:rsidRPr="00512250">
        <w:rPr>
          <w:i/>
          <w:iCs/>
        </w:rPr>
        <w:t>Επίσημη Εφημερίδα της Ευρωπαϊκής Ένωσης</w:t>
      </w:r>
      <w:r w:rsidRPr="00512250">
        <w:t xml:space="preserve"> (σειρά L).</w:t>
      </w:r>
    </w:p>
    <w:p w14:paraId="137E8AD1" w14:textId="77777777" w:rsidR="00F026BE" w:rsidRPr="00512250" w:rsidRDefault="00F026BE" w:rsidP="00F026BE"/>
    <w:p w14:paraId="78A034E3" w14:textId="77777777" w:rsidR="00F026BE" w:rsidRPr="00512250" w:rsidRDefault="00F026BE" w:rsidP="00F026BE">
      <w:pPr>
        <w:pStyle w:val="PageHeadingDec"/>
        <w:sectPr w:rsidR="00F026BE" w:rsidRPr="00512250" w:rsidSect="00F01631">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88D622D" w14:textId="77777777" w:rsidR="00A10728" w:rsidRPr="00512250" w:rsidRDefault="00A10728" w:rsidP="00A10728">
      <w:pPr>
        <w:pStyle w:val="ATHeading3"/>
      </w:pPr>
      <w:r w:rsidRPr="00512250">
        <w:lastRenderedPageBreak/>
        <w:t>12. Απόφαση του Ευρωπαϊκού Κοινοβουλίου της 29ης Απριλίου 2026 σχετικά με το κλείσιμο των λογαριασμών του Οργανισμού της Ευρωπαϊκής Ένωσης για την Ασφάλεια της Αεροπορίας για το οικονομικό έτος 2024· (2025/2156(DEC))</w:t>
      </w:r>
    </w:p>
    <w:p w14:paraId="58F32CFD" w14:textId="77777777" w:rsidR="00F026BE" w:rsidRPr="00512250" w:rsidRDefault="00F026BE" w:rsidP="00F026BE">
      <w:pPr>
        <w:pStyle w:val="EPComma"/>
      </w:pPr>
      <w:r w:rsidRPr="00512250">
        <w:rPr>
          <w:i/>
          <w:iCs/>
        </w:rPr>
        <w:t>Το Ευρωπαϊκό Κοινοβούλιο,</w:t>
      </w:r>
    </w:p>
    <w:p w14:paraId="0411BF01"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της Ευρωπαϊκής Ένωσης για την Ασφάλεια της Αεροπορίας για το οικονομικό έτος 2024,</w:t>
      </w:r>
    </w:p>
    <w:p w14:paraId="37D93BB7"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67"/>
      </w:r>
      <w:r w:rsidRPr="00512250">
        <w:t>,</w:t>
      </w:r>
    </w:p>
    <w:p w14:paraId="23D4B7B8"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68"/>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3298D853" w14:textId="75A3CA47"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2CAFB0C2"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6B1CDCB0"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69"/>
      </w:r>
      <w:r w:rsidRPr="00512250">
        <w:t>, και ιδίως το άρθρο 70,</w:t>
      </w:r>
    </w:p>
    <w:p w14:paraId="4D4B4073"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70"/>
      </w:r>
      <w:r w:rsidRPr="00512250">
        <w:t>, και ιδίως το άρθρο 70,</w:t>
      </w:r>
    </w:p>
    <w:p w14:paraId="5AF46700" w14:textId="77777777" w:rsidR="00F026BE" w:rsidRPr="00512250" w:rsidRDefault="00F026BE" w:rsidP="00F026BE">
      <w:pPr>
        <w:pStyle w:val="NormalHanging12a"/>
      </w:pPr>
      <w:r w:rsidRPr="00512250">
        <w:t>–</w:t>
      </w:r>
      <w:r w:rsidRPr="00512250">
        <w:tab/>
        <w:t xml:space="preserve">έχοντας υπόψη τον κανονισμό (ΕΕ) 2018/1139 του Ευρωπαϊκού Κοινοβουλίου και του Συμβουλίου, της 4ης Ιουλίου 2018, για τη θέσπιση κοινών κανόνων στον τομέα της πολιτικής αεροπορίας και την ίδρυση Οργανισμού της Ευρωπαϊκής Ένωσης για την Ασφάλεια της Αεροπορίας, και για την τροποποίηση των κανονισμών (ΕΚ) αριθ. 2111/2005, (ΕΚ) αριθ. 1008/2008, (ΕΕ) αριθ. 996/2010, (ΕΕ) αριθ. 376/2014 και των οδηγιών 2014/30/ΕΕ και 2014/53/ΕΕ του Ευρωπαϊκού Κοινοβουλίου και του Συμβουλίου, καθώς και για την κατάργηση των κανονισμών (ΕΚ) αριθ. 552/2004 και (ΕΚ) αριθ. 216/2008 του Ευρωπαϊκού Κοινοβουλίου και του Συμβουλίου και του </w:t>
      </w:r>
      <w:r w:rsidRPr="00512250">
        <w:lastRenderedPageBreak/>
        <w:t>κανονισμού (ΕΟΚ) αριθ. 3922/91 του Συμβουλίου</w:t>
      </w:r>
      <w:r w:rsidRPr="00512250">
        <w:rPr>
          <w:rStyle w:val="FootnoteReference"/>
        </w:rPr>
        <w:footnoteReference w:id="71"/>
      </w:r>
      <w:r w:rsidRPr="00512250">
        <w:t>, και ιδίως το άρθρο 121,</w:t>
      </w:r>
    </w:p>
    <w:p w14:paraId="6D204210" w14:textId="77777777" w:rsidR="00F026BE" w:rsidRPr="00512250" w:rsidRDefault="00F026BE" w:rsidP="00F026BE">
      <w:pPr>
        <w:pStyle w:val="NormalHanging12a"/>
      </w:pPr>
      <w:r w:rsidRPr="00512250">
        <w:t>–</w:t>
      </w:r>
      <w:r w:rsidRPr="00512250">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72"/>
      </w:r>
      <w:r w:rsidRPr="00512250">
        <w:t>, και ιδίως το άρθρο 105,</w:t>
      </w:r>
    </w:p>
    <w:p w14:paraId="09936291"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763906CD"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04C6D42C"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5AC64C76" w14:textId="77777777" w:rsidR="00F026BE" w:rsidRPr="00512250" w:rsidRDefault="00F026BE" w:rsidP="00F026BE">
      <w:pPr>
        <w:pStyle w:val="NormalHanging12a"/>
      </w:pPr>
      <w:r w:rsidRPr="00512250">
        <w:t>1.</w:t>
      </w:r>
      <w:r w:rsidRPr="00512250">
        <w:tab/>
        <w:t>εγκρίνει το κλείσιμο των λογαριασμών του Οργανισμού της Ευρωπαϊκής Ένωσης για την Ασφάλεια της Αεροπορίας για το οικονομικό έτος 2024·</w:t>
      </w:r>
    </w:p>
    <w:p w14:paraId="047038B7"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στον εκτελεστικό διευθυντή του Οργανισμού της Ευρωπαϊκής Ένωσης για την Ασφάλεια της Αεροπορίας, στο Συμβούλιο, στην Επιτροπή και στο Ελεγκτικό Συνέδριο, και να μεριμνήσει για τη δημοσίευσή της στην </w:t>
      </w:r>
      <w:r w:rsidRPr="00512250">
        <w:rPr>
          <w:i/>
          <w:iCs/>
        </w:rPr>
        <w:t>Επίσημη Εφημερίδα της Ευρωπαϊκής Ένωσης</w:t>
      </w:r>
      <w:r w:rsidRPr="00512250">
        <w:t xml:space="preserve"> (σειρά L).</w:t>
      </w:r>
    </w:p>
    <w:p w14:paraId="603C82E5" w14:textId="77777777" w:rsidR="00F026BE" w:rsidRPr="00512250" w:rsidRDefault="00F026BE" w:rsidP="00F026BE"/>
    <w:p w14:paraId="0C7670CC" w14:textId="77777777" w:rsidR="00F026BE" w:rsidRPr="00512250" w:rsidRDefault="00F026BE" w:rsidP="00F026BE"/>
    <w:p w14:paraId="36D20146" w14:textId="02187B47" w:rsidR="00F026BE" w:rsidRPr="00512250" w:rsidRDefault="00F026BE" w:rsidP="00F026BE">
      <w:pPr>
        <w:pStyle w:val="PageHeadingDec"/>
      </w:pPr>
    </w:p>
    <w:p w14:paraId="3187B8FE" w14:textId="77777777" w:rsidR="00F026BE" w:rsidRPr="00512250" w:rsidRDefault="00F026BE" w:rsidP="00F026BE">
      <w:pPr>
        <w:pStyle w:val="PageHeadingDec"/>
        <w:sectPr w:rsidR="00F026BE" w:rsidRPr="00512250" w:rsidSect="00F01631">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07A28F8" w14:textId="77777777" w:rsidR="00A10728" w:rsidRPr="00512250" w:rsidRDefault="00A10728" w:rsidP="00A10728">
      <w:pPr>
        <w:pStyle w:val="ATHeading3"/>
      </w:pPr>
      <w:r w:rsidRPr="00512250">
        <w:lastRenderedPageBreak/>
        <w:t>13. Απόφαση του Ευρωπαϊκού Κοινοβουλίου της 29ης Απριλίου 2026 σχετικά με την απαλλαγή όσον αφορά την εκτέλεση του προϋπολογισμού της Ευρωπαϊκής Αρχής Τραπεζών για το οικονομικό έτος 2024 (2025/2156(DEC))</w:t>
      </w:r>
    </w:p>
    <w:p w14:paraId="6E5B3E46" w14:textId="77777777" w:rsidR="00F026BE" w:rsidRPr="00512250" w:rsidRDefault="00F026BE" w:rsidP="00F026BE">
      <w:pPr>
        <w:pStyle w:val="EPComma"/>
      </w:pPr>
      <w:r w:rsidRPr="00512250">
        <w:rPr>
          <w:i/>
          <w:iCs/>
        </w:rPr>
        <w:t>Το Ευρωπαϊκό Κοινοβούλιο,</w:t>
      </w:r>
    </w:p>
    <w:p w14:paraId="3D70FC24"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της Ευρωπαϊκής Αρχής Τραπεζών για το οικονομικό έτος 2024,</w:t>
      </w:r>
    </w:p>
    <w:p w14:paraId="3285BC88"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73"/>
      </w:r>
      <w:r w:rsidRPr="00512250">
        <w:t>,</w:t>
      </w:r>
    </w:p>
    <w:p w14:paraId="4F9E83DF"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74"/>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0F35F362"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της Αρχής όσον αφορά την εκτέλεση του προϋπολογισμού για το οικονομικό έτος 2024 (05750/2026 – C10-0148/2026),</w:t>
      </w:r>
    </w:p>
    <w:p w14:paraId="23C6A343"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1671FEB5"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75"/>
      </w:r>
      <w:r w:rsidRPr="00512250">
        <w:t>, και ιδίως το άρθρο 70,</w:t>
      </w:r>
    </w:p>
    <w:p w14:paraId="2E453687"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76"/>
      </w:r>
      <w:r w:rsidRPr="00512250">
        <w:t>, και ιδίως το άρθρο 70,</w:t>
      </w:r>
    </w:p>
    <w:p w14:paraId="3049AB8A" w14:textId="77777777" w:rsidR="00F026BE" w:rsidRPr="00512250" w:rsidRDefault="00F026BE" w:rsidP="00F026BE">
      <w:pPr>
        <w:pStyle w:val="NormalHanging12a"/>
      </w:pPr>
      <w:r w:rsidRPr="00512250">
        <w:t>–</w:t>
      </w:r>
      <w:r w:rsidRPr="00512250">
        <w:tab/>
        <w:t>έχοντας υπόψη τον κανονισμό (ΕΕ) αριθ. 1093/2010 του Ευρωπαϊκού Κοινοβουλίου και του Συμβουλίου, της 24ης Νοεμβρίου 2010, σχετικά με τη σύσταση Ευρωπαϊκής Εποπτικής Αρχής (Ευρωπαϊκή Αρχή Τραπεζών), την τροποποίηση της απόφασης αριθ. 716/2009/ΕΚ και την κατάργηση της απόφασης 2009/78/ΕΚ της Επιτροπής</w:t>
      </w:r>
      <w:r w:rsidRPr="00512250">
        <w:rPr>
          <w:rStyle w:val="FootnoteReference"/>
        </w:rPr>
        <w:footnoteReference w:id="77"/>
      </w:r>
      <w:r w:rsidRPr="00512250">
        <w:t>, και ιδίως το άρθρο 64,</w:t>
      </w:r>
    </w:p>
    <w:p w14:paraId="1546A673"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512250">
        <w:lastRenderedPageBreak/>
        <w:t>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78"/>
      </w:r>
      <w:r w:rsidRPr="00512250">
        <w:t>, και ιδίως το άρθρο 105,</w:t>
      </w:r>
    </w:p>
    <w:p w14:paraId="526C5109"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206D9625"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2725D50C"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716AEB66" w14:textId="77777777" w:rsidR="00F026BE" w:rsidRPr="00512250" w:rsidRDefault="00F026BE" w:rsidP="00F026BE">
      <w:pPr>
        <w:pStyle w:val="NormalHanging12a"/>
      </w:pPr>
      <w:r w:rsidRPr="00512250">
        <w:t>1.</w:t>
      </w:r>
      <w:r w:rsidRPr="00512250">
        <w:tab/>
        <w:t>χορηγεί απαλλαγή στον εκτελεστικό διευθυντή της Ευρωπαϊκής Αρχής Τραπεζών όσον αφορά την εκτέλεση του προϋπολογισμού της Αρχής για το οικονομικό έτος 2024·</w:t>
      </w:r>
    </w:p>
    <w:p w14:paraId="2DD5912E"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752F658E"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Ευρωπαϊκής Αρχής Τραπεζών, στο Συμβούλιο, στην Επιτροπή και στο Ελεγκτικό Συνέδριο, και να μεριμνήσει για τη δημοσίευσή τους στην </w:t>
      </w:r>
      <w:r w:rsidRPr="00512250">
        <w:rPr>
          <w:i/>
          <w:iCs/>
        </w:rPr>
        <w:t>Επίσημη Εφημερίδα της Ευρωπαϊκής Ένωσης</w:t>
      </w:r>
      <w:r w:rsidRPr="00512250">
        <w:t xml:space="preserve"> (σειρά L).</w:t>
      </w:r>
    </w:p>
    <w:p w14:paraId="3657DC3E" w14:textId="77777777" w:rsidR="00F026BE" w:rsidRPr="00512250" w:rsidRDefault="00F026BE" w:rsidP="00F026BE"/>
    <w:p w14:paraId="63A9007A" w14:textId="77777777" w:rsidR="00F026BE" w:rsidRPr="00512250" w:rsidRDefault="00F026BE" w:rsidP="00F026BE">
      <w:pPr>
        <w:pStyle w:val="PageHeadingDec"/>
        <w:sectPr w:rsidR="00F026BE" w:rsidRPr="00512250" w:rsidSect="00F01631">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369BD1A" w14:textId="77777777" w:rsidR="00A10728" w:rsidRPr="00512250" w:rsidRDefault="00A10728" w:rsidP="00A10728">
      <w:pPr>
        <w:pStyle w:val="ATHeading3"/>
      </w:pPr>
      <w:r w:rsidRPr="00512250">
        <w:lastRenderedPageBreak/>
        <w:t>14. Απόφαση του Ευρωπαϊκού Κοινοβουλίου της 29ης Απριλίου 2026 σχετικά με το κλείσιμο των λογαριασμών της Ευρωπαϊκής Αρχής Τραπεζών για το οικονομικό έτος 2024 (2025/2156(DEC))</w:t>
      </w:r>
    </w:p>
    <w:p w14:paraId="77DDBB65" w14:textId="77777777" w:rsidR="00F026BE" w:rsidRPr="00512250" w:rsidRDefault="00F026BE" w:rsidP="00F026BE">
      <w:pPr>
        <w:pStyle w:val="EPComma"/>
      </w:pPr>
      <w:r w:rsidRPr="00512250">
        <w:rPr>
          <w:i/>
          <w:iCs/>
        </w:rPr>
        <w:t>Το Ευρωπαϊκό Κοινοβούλιο,</w:t>
      </w:r>
    </w:p>
    <w:p w14:paraId="106AFF04"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της Ευρωπαϊκής Αρχής Τραπεζών για το οικονομικό έτος 2024,</w:t>
      </w:r>
    </w:p>
    <w:p w14:paraId="73C5F087"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79"/>
      </w:r>
      <w:r w:rsidRPr="00512250">
        <w:t>,</w:t>
      </w:r>
    </w:p>
    <w:p w14:paraId="0BA94E1A"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80"/>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7925F403"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της Αρχής όσον αφορά την εκτέλεση του προϋπολογισμού για το οικονομικό έτος 2024 (05750/2026 – C10-0148/2026),</w:t>
      </w:r>
    </w:p>
    <w:p w14:paraId="400F1C9D"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1EC980E3"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81"/>
      </w:r>
      <w:r w:rsidRPr="00512250">
        <w:t>, και ιδίως το άρθρο 70,</w:t>
      </w:r>
    </w:p>
    <w:p w14:paraId="336253BD"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82"/>
      </w:r>
      <w:r w:rsidRPr="00512250">
        <w:t>, και ιδίως το άρθρο 70,</w:t>
      </w:r>
    </w:p>
    <w:p w14:paraId="5E335A3E" w14:textId="77777777" w:rsidR="00F026BE" w:rsidRPr="00512250" w:rsidRDefault="00F026BE" w:rsidP="00F026BE">
      <w:pPr>
        <w:pStyle w:val="NormalHanging12a"/>
      </w:pPr>
      <w:r w:rsidRPr="00512250">
        <w:t>–</w:t>
      </w:r>
      <w:r w:rsidRPr="00512250">
        <w:tab/>
        <w:t>έχοντας υπόψη τον κανονισμό (ΕΕ) αριθ. 1093/2010 του Ευρωπαϊκού Κοινοβουλίου και του Συμβουλίου, της 24ης Νοεμβρίου 2010, σχετικά με τη σύσταση Ευρωπαϊκής Εποπτικής Αρχής (Ευρωπαϊκή Αρχή Τραπεζών), την τροποποίηση της απόφασης αριθ. 716/2009/ΕΚ και την κατάργηση της απόφασης 2009/78/ΕΚ της Επιτροπής</w:t>
      </w:r>
      <w:r w:rsidRPr="00512250">
        <w:rPr>
          <w:rStyle w:val="FootnoteReference"/>
        </w:rPr>
        <w:footnoteReference w:id="83"/>
      </w:r>
      <w:r w:rsidRPr="00512250">
        <w:t>, και ιδίως το άρθρο 64,</w:t>
      </w:r>
    </w:p>
    <w:p w14:paraId="7319DB88"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512250">
        <w:lastRenderedPageBreak/>
        <w:t>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84"/>
      </w:r>
      <w:r w:rsidRPr="00512250">
        <w:t>, και ιδίως το άρθρο 105,</w:t>
      </w:r>
    </w:p>
    <w:p w14:paraId="4207D689"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41BE0F6D"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33629147"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676C31F9" w14:textId="77777777" w:rsidR="00F026BE" w:rsidRPr="00512250" w:rsidRDefault="00F026BE" w:rsidP="00F026BE">
      <w:pPr>
        <w:pStyle w:val="NormalHanging12a"/>
      </w:pPr>
      <w:r w:rsidRPr="00512250">
        <w:t>1.</w:t>
      </w:r>
      <w:r w:rsidRPr="00512250">
        <w:tab/>
        <w:t>εγκρίνει το κλείσιμο των λογαριασμών της Ευρωπαϊκής Αρχής Τραπεζών για το οικονομικό έτος 2024·</w:t>
      </w:r>
    </w:p>
    <w:p w14:paraId="3CC60DDA" w14:textId="77777777" w:rsidR="00F026BE" w:rsidRPr="00512250" w:rsidRDefault="00F026BE" w:rsidP="00F026BE">
      <w:pPr>
        <w:pStyle w:val="NormalHanging12a"/>
      </w:pPr>
      <w:r w:rsidRPr="00512250">
        <w:t>2.</w:t>
      </w:r>
      <w:r w:rsidRPr="00512250">
        <w:tab/>
        <w:t>αναθέτει στην Πρόεδρό του να διαβιβάσει την παρούσα απόφαση στον εκτελεστικό διευθυντή της Ευρωπαϊκής Αρχής Τραπεζών, στο Συμβούλιο, στην Επιτροπή και στο Ελεγκτικό Συνέδριο, και να μεριμνήσει για τη δημοσίευσή της στην</w:t>
      </w:r>
      <w:r w:rsidRPr="00512250">
        <w:rPr>
          <w:i/>
          <w:iCs/>
        </w:rPr>
        <w:t xml:space="preserve"> Επίσημη Εφημερίδα της Ευρωπαϊκής Ένωσης</w:t>
      </w:r>
      <w:r w:rsidRPr="00512250">
        <w:t xml:space="preserve"> (σειρά L).</w:t>
      </w:r>
    </w:p>
    <w:p w14:paraId="150E295B" w14:textId="77777777" w:rsidR="00F026BE" w:rsidRPr="00512250" w:rsidRDefault="00F026BE" w:rsidP="00F026BE"/>
    <w:p w14:paraId="5B5554A2" w14:textId="77777777" w:rsidR="00F026BE" w:rsidRPr="00512250" w:rsidRDefault="00F026BE" w:rsidP="00F026BE"/>
    <w:p w14:paraId="739CBD1D" w14:textId="00CB745A" w:rsidR="00F026BE" w:rsidRPr="00512250" w:rsidRDefault="00F026BE" w:rsidP="00F026BE">
      <w:pPr>
        <w:pStyle w:val="PageHeadingDec"/>
      </w:pPr>
    </w:p>
    <w:p w14:paraId="5F1001D0" w14:textId="77777777" w:rsidR="00F026BE" w:rsidRPr="00512250" w:rsidRDefault="00F026BE" w:rsidP="00F026BE">
      <w:pPr>
        <w:pStyle w:val="PageHeadingDec"/>
        <w:sectPr w:rsidR="00F026BE" w:rsidRPr="00512250" w:rsidSect="00F01631">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D607256" w14:textId="77777777" w:rsidR="00A10728" w:rsidRPr="00512250" w:rsidRDefault="00A10728" w:rsidP="00A10728">
      <w:pPr>
        <w:pStyle w:val="ATHeading3"/>
      </w:pPr>
      <w:r w:rsidRPr="00512250">
        <w:lastRenderedPageBreak/>
        <w:t>15. Απόφαση του Ευρωπαϊκού Κοινοβουλίου της 29ης Απριλίου 2026 σχετικά με την απαλλαγή όσον αφορά την εκτέλεση του προϋπολογισμού του Ευρωπαϊκού Κέντρου Πρόληψης και Ελέγχου Νόσων για το οικονομικό έτος 2024 (2025/2156(DEC))</w:t>
      </w:r>
    </w:p>
    <w:p w14:paraId="01D99C5F" w14:textId="77777777" w:rsidR="00F026BE" w:rsidRPr="00512250" w:rsidRDefault="00F026BE" w:rsidP="00F026BE">
      <w:pPr>
        <w:pStyle w:val="EPComma"/>
      </w:pPr>
      <w:r w:rsidRPr="00512250">
        <w:rPr>
          <w:i/>
          <w:iCs/>
        </w:rPr>
        <w:t>Το Ευρωπαϊκό Κοινοβούλιο,</w:t>
      </w:r>
    </w:p>
    <w:p w14:paraId="14509FE3"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Κέντρου Πρόληψης και Ελέγχου Νόσων για το οικονομικό έτος 2024,</w:t>
      </w:r>
    </w:p>
    <w:p w14:paraId="74128F5A"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85"/>
      </w:r>
      <w:r w:rsidRPr="00512250">
        <w:t>,</w:t>
      </w:r>
    </w:p>
    <w:p w14:paraId="071276FB"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86"/>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6A6B400A"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του Κέντρου όσον αφορά την εκτέλεση του προϋπολογισμού για το οικονομικό έτος 2024 (05750/2026 – C10-0148/2026),</w:t>
      </w:r>
    </w:p>
    <w:p w14:paraId="2F84BD10"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1255EB34"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87"/>
      </w:r>
      <w:r w:rsidRPr="00512250">
        <w:t>, και ιδίως το άρθρο 70,</w:t>
      </w:r>
    </w:p>
    <w:p w14:paraId="052CDBF2"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88"/>
      </w:r>
      <w:r w:rsidRPr="00512250">
        <w:t>, και ιδίως το άρθρο 70,</w:t>
      </w:r>
    </w:p>
    <w:p w14:paraId="24FE9348" w14:textId="77777777" w:rsidR="00F026BE" w:rsidRPr="00512250" w:rsidRDefault="00F026BE" w:rsidP="00F026BE">
      <w:pPr>
        <w:pStyle w:val="NormalHanging12a"/>
      </w:pPr>
      <w:r w:rsidRPr="00512250">
        <w:t>–</w:t>
      </w:r>
      <w:r w:rsidRPr="00512250">
        <w:tab/>
        <w:t>έχοντας υπόψη τον κανονισμό (ΕΚ) αριθ. 851/2004 του Ευρωπαϊκού Κοινοβουλίου και του Συμβουλίου, της 21ης Απριλίου 2004, για την ίδρυση του Ευρωπαϊκού Κέντρου Πρόληψης και Ελέγχου Νόσων</w:t>
      </w:r>
      <w:r w:rsidRPr="00512250">
        <w:rPr>
          <w:rStyle w:val="FootnoteReference"/>
        </w:rPr>
        <w:footnoteReference w:id="89"/>
      </w:r>
      <w:r w:rsidRPr="00512250">
        <w:t>, και ιδίως το άρθρο 23,</w:t>
      </w:r>
    </w:p>
    <w:p w14:paraId="5564E5C1"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90"/>
      </w:r>
      <w:r w:rsidRPr="00512250">
        <w:t>, και ιδίως το άρθρο 105,</w:t>
      </w:r>
    </w:p>
    <w:p w14:paraId="1ACF0A96"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13D5DE6F"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0EC2F5CF"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685CC37D" w14:textId="77777777" w:rsidR="00F026BE" w:rsidRPr="00512250" w:rsidRDefault="00F026BE" w:rsidP="00F026BE">
      <w:pPr>
        <w:pStyle w:val="NormalHanging12a"/>
      </w:pPr>
      <w:r w:rsidRPr="00512250">
        <w:t>1.</w:t>
      </w:r>
      <w:r w:rsidRPr="00512250">
        <w:tab/>
        <w:t>χορηγεί απαλλαγή στη διευθύντρια του Ευρωπαϊκού Κέντρου Πρόληψης και Ελέγχου Νόσων όσον αφορά την εκτέλεση του προϋπολογισμού του Κέντρου για το οικονομικό έτος 2024·</w:t>
      </w:r>
    </w:p>
    <w:p w14:paraId="49C48294"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12D23E63"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στη διευθύντρια του Ευρωπαϊκού Κέντρου Πρόληψης και Ελέγχου Νόσων, στο Συμβούλιο, στην Επιτροπή και στο Ελεγκτικό Συνέδριο, και να μεριμνήσει για τη δημοσίευσή τους στην </w:t>
      </w:r>
      <w:r w:rsidRPr="00512250">
        <w:rPr>
          <w:i/>
          <w:iCs/>
        </w:rPr>
        <w:t>Επίσημη Εφημερίδα της Ευρωπαϊκής Ένωσης</w:t>
      </w:r>
      <w:r w:rsidRPr="00512250">
        <w:t xml:space="preserve"> (σειρά L).</w:t>
      </w:r>
    </w:p>
    <w:p w14:paraId="26B00E8B" w14:textId="77777777" w:rsidR="00F026BE" w:rsidRPr="00512250" w:rsidRDefault="00F026BE" w:rsidP="00F026BE"/>
    <w:p w14:paraId="4B2AB546" w14:textId="77777777" w:rsidR="00F026BE" w:rsidRPr="00512250" w:rsidRDefault="00F026BE" w:rsidP="00F026BE">
      <w:pPr>
        <w:pStyle w:val="PageHeadingDec"/>
        <w:sectPr w:rsidR="00F026BE" w:rsidRPr="00512250" w:rsidSect="00F01631">
          <w:footerReference w:type="first" r:id="rId2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B39066" w14:textId="77777777" w:rsidR="00A10728" w:rsidRPr="00512250" w:rsidRDefault="00A10728" w:rsidP="00A10728">
      <w:pPr>
        <w:pStyle w:val="ATHeading3"/>
      </w:pPr>
      <w:r w:rsidRPr="00512250">
        <w:lastRenderedPageBreak/>
        <w:t>16. Απόφαση του Ευρωπαϊκού Κοινοβουλίου της 29ης Απριλίου 2026 σχετικά με το κλείσιμο των λογαριασμών του Ευρωπαϊκού Κέντρου Πρόληψης και Ελέγχου Νόσων για το οικονομικό έτος 2024 (2025/2156(DEC))</w:t>
      </w:r>
    </w:p>
    <w:p w14:paraId="44B419BE" w14:textId="77777777" w:rsidR="00F026BE" w:rsidRPr="00512250" w:rsidRDefault="00F026BE" w:rsidP="00F026BE">
      <w:pPr>
        <w:pStyle w:val="EPComma"/>
      </w:pPr>
      <w:r w:rsidRPr="00512250">
        <w:rPr>
          <w:i/>
          <w:iCs/>
        </w:rPr>
        <w:t>Το Ευρωπαϊκό Κοινοβούλιο,</w:t>
      </w:r>
    </w:p>
    <w:p w14:paraId="4C4C6F81"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Κέντρου Πρόληψης και Ελέγχου Νόσων για το οικονομικό έτος 2024,</w:t>
      </w:r>
    </w:p>
    <w:p w14:paraId="2B5E8DC4"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91"/>
      </w:r>
      <w:r w:rsidRPr="00512250">
        <w:t>,</w:t>
      </w:r>
    </w:p>
    <w:p w14:paraId="6571733D"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92"/>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4C5EDF99"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του Κέντρου όσον αφορά την εκτέλεση του προϋπολογισμού για το οικονομικό έτος 2024 (05750/2026 – C10-0148/2026),</w:t>
      </w:r>
    </w:p>
    <w:p w14:paraId="6EB4D4C2"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2A531110"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93"/>
      </w:r>
      <w:r w:rsidRPr="00512250">
        <w:t>, και ιδίως το άρθρο 70,</w:t>
      </w:r>
    </w:p>
    <w:p w14:paraId="4FC24C95"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94"/>
      </w:r>
      <w:r w:rsidRPr="00512250">
        <w:t>, και ιδίως το άρθρο 70,</w:t>
      </w:r>
    </w:p>
    <w:p w14:paraId="6C00CBB0" w14:textId="77777777" w:rsidR="00F026BE" w:rsidRPr="00512250" w:rsidRDefault="00F026BE" w:rsidP="00F026BE">
      <w:pPr>
        <w:pStyle w:val="NormalHanging12a"/>
      </w:pPr>
      <w:r w:rsidRPr="00512250">
        <w:t>–</w:t>
      </w:r>
      <w:r w:rsidRPr="00512250">
        <w:tab/>
        <w:t>έχοντας υπόψη τον κανονισμό (ΕΚ) αριθ. 851/2004 του Ευρωπαϊκού Κοινοβουλίου και του Συμβουλίου, της 21ης Απριλίου 2004, για την ίδρυση του Ευρωπαϊκού Κέντρου Πρόληψης και Ελέγχου Νόσων</w:t>
      </w:r>
      <w:r w:rsidRPr="00512250">
        <w:rPr>
          <w:rStyle w:val="FootnoteReference"/>
        </w:rPr>
        <w:footnoteReference w:id="95"/>
      </w:r>
      <w:r w:rsidRPr="00512250">
        <w:t>, και ιδίως το άρθρο 23,</w:t>
      </w:r>
    </w:p>
    <w:p w14:paraId="75931DCA"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96"/>
      </w:r>
      <w:r w:rsidRPr="00512250">
        <w:t>, και ιδίως το άρθρο 105,</w:t>
      </w:r>
    </w:p>
    <w:p w14:paraId="27EABC28"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7341020D"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1FF89D6B"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1FBBCC8B" w14:textId="77777777" w:rsidR="00F026BE" w:rsidRPr="00512250" w:rsidRDefault="00F026BE" w:rsidP="00F026BE">
      <w:pPr>
        <w:pStyle w:val="NormalHanging12a"/>
      </w:pPr>
      <w:r w:rsidRPr="00512250">
        <w:t>1.</w:t>
      </w:r>
      <w:r w:rsidRPr="00512250">
        <w:tab/>
        <w:t>εγκρίνει το κλείσιμο των λογαριασμών του Ευρωπαϊκού Κέντρου Πρόληψης και Ελέγχου Νόσων για το οικονομικό έτος 2024·</w:t>
      </w:r>
    </w:p>
    <w:p w14:paraId="02A2AC98"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στη διευθύντρια του Ευρωπαϊκού Κέντρου Πρόληψης και Ελέγχου Νόσων, στο Συμβούλιο, στην Επιτροπή και στο Ελεγκτικό Συνέδριο, και να μεριμνήσει για τη δημοσίευσή της στην </w:t>
      </w:r>
      <w:r w:rsidRPr="00512250">
        <w:rPr>
          <w:i/>
          <w:iCs/>
        </w:rPr>
        <w:t>Επίσημη Εφημερίδα της Ευρωπαϊκής Ένωσης</w:t>
      </w:r>
      <w:r w:rsidRPr="00512250">
        <w:t xml:space="preserve"> (σειρά L).</w:t>
      </w:r>
    </w:p>
    <w:p w14:paraId="35C3EA42" w14:textId="77777777" w:rsidR="00F026BE" w:rsidRPr="00512250" w:rsidRDefault="00F026BE" w:rsidP="00F026BE"/>
    <w:p w14:paraId="37FEB1CF" w14:textId="77777777" w:rsidR="00F026BE" w:rsidRPr="00512250" w:rsidRDefault="00F026BE" w:rsidP="00F026BE"/>
    <w:p w14:paraId="40F815C9" w14:textId="3E57DE14" w:rsidR="00F026BE" w:rsidRPr="00512250" w:rsidRDefault="00F026BE" w:rsidP="00F026BE">
      <w:pPr>
        <w:pStyle w:val="PageHeadingDec"/>
      </w:pPr>
    </w:p>
    <w:p w14:paraId="086893B8" w14:textId="77777777" w:rsidR="00F026BE" w:rsidRPr="00512250" w:rsidRDefault="00F026BE" w:rsidP="00F026BE">
      <w:pPr>
        <w:pStyle w:val="PageHeadingDec"/>
        <w:sectPr w:rsidR="00F026BE" w:rsidRPr="00512250" w:rsidSect="00F01631">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03A796B" w14:textId="77777777" w:rsidR="00A10728" w:rsidRPr="00512250" w:rsidRDefault="00A10728" w:rsidP="00A10728">
      <w:pPr>
        <w:pStyle w:val="ATHeading3"/>
      </w:pPr>
      <w:r w:rsidRPr="00512250">
        <w:lastRenderedPageBreak/>
        <w:t>17. Απόφαση του Ευρωπαϊκού Κοινοβουλίου της 29ης Απριλίου 2026 σχετικά με την απαλλαγή όσον αφορά την εκτέλεση του προϋπολογισμού του Ευρωπαϊκού Οργανισμού Χημικών Προϊόντων για το οικονομικό έτος 2024 (2025/2156(DEC))</w:t>
      </w:r>
    </w:p>
    <w:p w14:paraId="3D9C7333" w14:textId="77777777" w:rsidR="00F026BE" w:rsidRPr="00512250" w:rsidRDefault="00F026BE" w:rsidP="00F026BE">
      <w:pPr>
        <w:pStyle w:val="EPComma"/>
      </w:pPr>
      <w:r w:rsidRPr="00512250">
        <w:rPr>
          <w:i/>
          <w:iCs/>
        </w:rPr>
        <w:t>Το Ευρωπαϊκό Κοινοβούλιο,</w:t>
      </w:r>
    </w:p>
    <w:p w14:paraId="35FC4717"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Οργανισμού Χημικών Προϊόντων για το οικονομικό έτος 2024,</w:t>
      </w:r>
    </w:p>
    <w:p w14:paraId="2A4015D9"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97"/>
      </w:r>
      <w:r w:rsidRPr="00512250">
        <w:t>,</w:t>
      </w:r>
    </w:p>
    <w:p w14:paraId="7792ED29"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98"/>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5AA13B19" w14:textId="71A8FC8F"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76651C00"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1FF017C0"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99"/>
      </w:r>
      <w:r w:rsidRPr="00512250">
        <w:t>, και ιδίως το άρθρο 70,</w:t>
      </w:r>
    </w:p>
    <w:p w14:paraId="58CBDC04"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100"/>
      </w:r>
      <w:r w:rsidRPr="00512250">
        <w:t>, και ιδίως το άρθρο 70,</w:t>
      </w:r>
    </w:p>
    <w:p w14:paraId="1FC4794B" w14:textId="77777777" w:rsidR="00F026BE" w:rsidRPr="00512250" w:rsidRDefault="00F026BE" w:rsidP="00F026BE">
      <w:pPr>
        <w:pStyle w:val="NormalHanging12a"/>
      </w:pPr>
      <w:r w:rsidRPr="00512250">
        <w:t>–</w:t>
      </w:r>
      <w:r w:rsidRPr="00512250">
        <w:tab/>
        <w:t>έχοντας υπόψη τον κανονισμό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1999/45/ΕΚ και για την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w:t>
      </w:r>
      <w:r w:rsidRPr="00512250">
        <w:rPr>
          <w:rStyle w:val="FootnoteReference"/>
        </w:rPr>
        <w:footnoteReference w:id="101"/>
      </w:r>
      <w:r w:rsidRPr="00512250">
        <w:t>, και ιδίως το άρθρο 97,</w:t>
      </w:r>
    </w:p>
    <w:p w14:paraId="4F6E050B" w14:textId="77777777" w:rsidR="00F026BE" w:rsidRPr="00512250" w:rsidRDefault="00F026BE" w:rsidP="00F026BE">
      <w:pPr>
        <w:pStyle w:val="NormalHanging12a"/>
      </w:pPr>
      <w:r w:rsidRPr="00512250">
        <w:lastRenderedPageBreak/>
        <w:t>–</w:t>
      </w:r>
      <w:r w:rsidRPr="00512250">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102"/>
      </w:r>
      <w:r w:rsidRPr="00512250">
        <w:t>, και ιδίως το άρθρο 105,</w:t>
      </w:r>
    </w:p>
    <w:p w14:paraId="4AC445D2"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66B7666C"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24E134F9"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6EB9F1F8" w14:textId="77777777" w:rsidR="00F026BE" w:rsidRPr="00512250" w:rsidRDefault="00F026BE" w:rsidP="00F026BE">
      <w:pPr>
        <w:pStyle w:val="NormalHanging12a"/>
      </w:pPr>
      <w:r w:rsidRPr="00512250">
        <w:t>1.</w:t>
      </w:r>
      <w:r w:rsidRPr="00512250">
        <w:tab/>
        <w:t>χορηγεί απαλλαγή στην εκτελεστική διευθύντρια του Ευρωπαϊκού Οργανισμού Χημικών Προϊόντων όσον αφορά την εκτέλεση του προϋπολογισμού του Οργανισμού για το οικονομικό έτος 2024·</w:t>
      </w:r>
    </w:p>
    <w:p w14:paraId="6E84BC2A"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753387DF"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του Ευρωπαϊκού Οργανισμού Χημικών Προϊόντων, στο Συμβούλιο, στην Επιτροπή και στο Ελεγκτικό Συνέδριο, και να μεριμνήσει για τη δημοσίευσή τους στην </w:t>
      </w:r>
      <w:r w:rsidRPr="00512250">
        <w:rPr>
          <w:i/>
          <w:iCs/>
        </w:rPr>
        <w:t>Επίσημη Εφημερίδα της Ευρωπαϊκής Ένωσης</w:t>
      </w:r>
      <w:r w:rsidRPr="00512250">
        <w:t xml:space="preserve"> (σειρά L).</w:t>
      </w:r>
    </w:p>
    <w:p w14:paraId="54F07683" w14:textId="77777777" w:rsidR="00F026BE" w:rsidRPr="00512250" w:rsidRDefault="00F026BE" w:rsidP="00F026BE"/>
    <w:p w14:paraId="27FF6D36" w14:textId="77777777" w:rsidR="00F026BE" w:rsidRPr="00512250" w:rsidRDefault="00F026BE" w:rsidP="00F026BE">
      <w:pPr>
        <w:pStyle w:val="PageHeadingDec"/>
        <w:sectPr w:rsidR="00F026BE" w:rsidRPr="00512250" w:rsidSect="00F01631">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5C236C2" w14:textId="77777777" w:rsidR="00A10728" w:rsidRPr="00512250" w:rsidRDefault="00A10728" w:rsidP="00A10728">
      <w:pPr>
        <w:pStyle w:val="ATHeading3"/>
      </w:pPr>
      <w:r w:rsidRPr="00512250">
        <w:lastRenderedPageBreak/>
        <w:t>18. Απόφαση του Ευρωπαϊκού Κοινοβουλίου της 29ης Απριλίου 2026 σχετικά με το κλείσιμο των λογαριασμών του Ευρωπαϊκού Οργανισμού Χημικών Προϊόντων για το οικονομικό έτος 2024 (2025/2156(DEC))</w:t>
      </w:r>
    </w:p>
    <w:p w14:paraId="0F65ACEC" w14:textId="77777777" w:rsidR="00F026BE" w:rsidRPr="00512250" w:rsidRDefault="00F026BE" w:rsidP="00F026BE">
      <w:pPr>
        <w:pStyle w:val="EPComma"/>
      </w:pPr>
      <w:r w:rsidRPr="00512250">
        <w:rPr>
          <w:i/>
          <w:iCs/>
        </w:rPr>
        <w:t>Το Ευρωπαϊκό Κοινοβούλιο,</w:t>
      </w:r>
    </w:p>
    <w:p w14:paraId="4AA78724"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Οργανισμού Χημικών Προϊόντων για το οικονομικό έτος 2024,</w:t>
      </w:r>
    </w:p>
    <w:p w14:paraId="17F84CC4"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103"/>
      </w:r>
      <w:r w:rsidRPr="00512250">
        <w:t>,</w:t>
      </w:r>
    </w:p>
    <w:p w14:paraId="2BA5C921"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104"/>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1221CD3C" w14:textId="131EC479"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35CB2CE5"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4E862C93"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105"/>
      </w:r>
      <w:r w:rsidRPr="00512250">
        <w:t>, και ιδίως το άρθρο 70,</w:t>
      </w:r>
    </w:p>
    <w:p w14:paraId="0C68E603"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106"/>
      </w:r>
      <w:r w:rsidRPr="00512250">
        <w:t>, και ιδίως το άρθρο 70,</w:t>
      </w:r>
    </w:p>
    <w:p w14:paraId="2F4CB611" w14:textId="77777777" w:rsidR="00F026BE" w:rsidRPr="00512250" w:rsidRDefault="00F026BE" w:rsidP="00F026BE">
      <w:pPr>
        <w:pStyle w:val="NormalHanging12a"/>
      </w:pPr>
      <w:r w:rsidRPr="00512250">
        <w:t>–</w:t>
      </w:r>
      <w:r w:rsidRPr="00512250">
        <w:tab/>
        <w:t>έχοντας υπόψη τον κανονισμό (ΕΚ) αριθ. 1907/2006 του Ευρωπαϊκού Κοινοβουλίου και του Συμβουλίου, της 18ης Δεκεμβρίου 2006, για την καταχώριση, την αξιολόγηση, την αδειοδότηση και τους περιορισμούς των χημικών προϊόντων (REACH) και για την ίδρυση του Ευρωπαϊκού Οργανισμού Χημικών Προϊόντων καθώς και για την τροποποίηση της οδηγίας 1999/45/ΕΚ και για την κατάργηση του κανονισμού (ΕΟΚ) αριθ. 793/93 του Συμβουλίου και του κανονισμού (ΕΚ) αριθ. 1488/94 της Επιτροπής καθώς και της οδηγίας 76/769/ΕΟΚ του Συμβουλίου και των οδηγιών της Επιτροπής 91/155/ΕΟΚ, 93/67/ΕΟΚ, 93/105/ΕΚ και 2000/21/ΕΚ</w:t>
      </w:r>
      <w:r w:rsidRPr="00512250">
        <w:rPr>
          <w:rStyle w:val="FootnoteReference"/>
        </w:rPr>
        <w:footnoteReference w:id="107"/>
      </w:r>
      <w:r w:rsidRPr="00512250">
        <w:t>, και ιδίως το άρθρο 97,</w:t>
      </w:r>
    </w:p>
    <w:p w14:paraId="2CF16DC3" w14:textId="77777777" w:rsidR="00F026BE" w:rsidRPr="00512250" w:rsidRDefault="00F026BE" w:rsidP="00F026BE">
      <w:pPr>
        <w:pStyle w:val="NormalHanging12a"/>
      </w:pPr>
      <w:r w:rsidRPr="00512250">
        <w:lastRenderedPageBreak/>
        <w:t>–</w:t>
      </w:r>
      <w:r w:rsidRPr="00512250">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108"/>
      </w:r>
      <w:r w:rsidRPr="00512250">
        <w:t>, και ιδίως το άρθρο 105,</w:t>
      </w:r>
    </w:p>
    <w:p w14:paraId="450CA589"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11374E7E"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11CAE376"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2F84D560" w14:textId="77777777" w:rsidR="00F026BE" w:rsidRPr="00512250" w:rsidRDefault="00F026BE" w:rsidP="00F026BE">
      <w:pPr>
        <w:pStyle w:val="NormalHanging12a"/>
      </w:pPr>
      <w:r w:rsidRPr="00512250">
        <w:t>1.</w:t>
      </w:r>
      <w:r w:rsidRPr="00512250">
        <w:tab/>
        <w:t>εγκρίνει το κλείσιμο των λογαριασμών του Ευρωπαϊκού Οργανισμού Χημικών Προϊόντων για το οικονομικό έτος 2024·</w:t>
      </w:r>
    </w:p>
    <w:p w14:paraId="15FA7D7F"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στην εκτελεστική διευθύντρια του Ευρωπαϊκού Οργανισμού Χημικών Προϊόντων, στο Συμβούλιο, στην Επιτροπή και στο Ελεγκτικό Συνέδριο, και να μεριμνήσει για τη δημοσίευσή της στην </w:t>
      </w:r>
      <w:r w:rsidRPr="00512250">
        <w:rPr>
          <w:i/>
          <w:iCs/>
        </w:rPr>
        <w:t>Επίσημη Εφημερίδα της Ευρωπαϊκής Ένωσης</w:t>
      </w:r>
      <w:r w:rsidRPr="00512250">
        <w:t xml:space="preserve"> (σειρά L).</w:t>
      </w:r>
    </w:p>
    <w:p w14:paraId="45AD3EC3" w14:textId="77777777" w:rsidR="00F026BE" w:rsidRPr="00512250" w:rsidRDefault="00F026BE" w:rsidP="00F026BE"/>
    <w:p w14:paraId="224D9F93" w14:textId="77777777" w:rsidR="00F026BE" w:rsidRPr="00512250" w:rsidRDefault="00F026BE" w:rsidP="00F026BE"/>
    <w:p w14:paraId="16EF90FD" w14:textId="6DE325A0" w:rsidR="00F026BE" w:rsidRPr="00512250" w:rsidRDefault="00F026BE" w:rsidP="00F026BE">
      <w:pPr>
        <w:pStyle w:val="PageHeadingDec"/>
      </w:pPr>
    </w:p>
    <w:p w14:paraId="7F99F16E" w14:textId="77777777" w:rsidR="00F026BE" w:rsidRPr="00512250" w:rsidRDefault="00F026BE" w:rsidP="00F026BE">
      <w:pPr>
        <w:pStyle w:val="PageHeadingDec"/>
        <w:sectPr w:rsidR="00F026BE" w:rsidRPr="00512250" w:rsidSect="00F01631">
          <w:footerReference w:type="first" r:id="rId2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6035C96" w14:textId="77777777" w:rsidR="00A10728" w:rsidRPr="00512250" w:rsidRDefault="00A10728" w:rsidP="00A10728">
      <w:pPr>
        <w:pStyle w:val="ATHeading3"/>
      </w:pPr>
      <w:r w:rsidRPr="00512250">
        <w:lastRenderedPageBreak/>
        <w:t>19. Απόφαση του Ευρωπαϊκού Κοινοβουλίου της 29ης Απριλίου 2026 σχετικά με την απαλλαγή όσον αφορά την εκτέλεση του προϋπολογισμού του Ευρωπαϊκού Οργανισμού Περιβάλλοντος για το οικονομικό έτος 2024 (2025/2156(DEC))</w:t>
      </w:r>
    </w:p>
    <w:p w14:paraId="474F5F99" w14:textId="77777777" w:rsidR="00F026BE" w:rsidRPr="00512250" w:rsidRDefault="00F026BE" w:rsidP="00F026BE">
      <w:pPr>
        <w:pStyle w:val="EPComma"/>
      </w:pPr>
      <w:r w:rsidRPr="00512250">
        <w:rPr>
          <w:i/>
          <w:iCs/>
        </w:rPr>
        <w:t>Το Ευρωπαϊκό Κοινοβούλιο,</w:t>
      </w:r>
    </w:p>
    <w:p w14:paraId="4B134A59"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Οργανισμού Περιβάλλοντος για το οικονομικό έτος 2024,</w:t>
      </w:r>
    </w:p>
    <w:p w14:paraId="3E180309"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109"/>
      </w:r>
      <w:r w:rsidRPr="00512250">
        <w:t>,</w:t>
      </w:r>
    </w:p>
    <w:p w14:paraId="3A394DC8"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110"/>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4369BF82" w14:textId="7EA83A8B"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4AE4AD80"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41E0E815"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111"/>
      </w:r>
      <w:r w:rsidRPr="00512250">
        <w:t>, και ιδίως το άρθρο 70,</w:t>
      </w:r>
    </w:p>
    <w:p w14:paraId="6C344CA3"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112"/>
      </w:r>
      <w:r w:rsidRPr="00512250">
        <w:t>, και ιδίως το άρθρο 70,</w:t>
      </w:r>
    </w:p>
    <w:p w14:paraId="2D6CEF58" w14:textId="77777777" w:rsidR="00F026BE" w:rsidRPr="00512250" w:rsidRDefault="00F026BE" w:rsidP="00F026BE">
      <w:pPr>
        <w:pStyle w:val="NormalHanging12a"/>
      </w:pPr>
      <w:r w:rsidRPr="00512250">
        <w:t>–</w:t>
      </w:r>
      <w:r w:rsidRPr="00512250">
        <w:tab/>
        <w:t>έχοντας υπόψη τον κανονισμό (ΕΚ) αριθ. 401/2009 του Ευρωπαϊκού Κοινοβουλίου και του Συμβουλίου, της 23ης Απριλίου 2009, για τον ευρωπαϊκό οργανισμό περιβάλλοντος και το ευρωπαϊκό δίκτυο πληροφοριών και παρατηρήσεων σχετικά με το περιβάλλον</w:t>
      </w:r>
      <w:r w:rsidRPr="00512250">
        <w:rPr>
          <w:rStyle w:val="FootnoteReference"/>
        </w:rPr>
        <w:footnoteReference w:id="113"/>
      </w:r>
      <w:r w:rsidRPr="00512250">
        <w:t>, και ιδίως το άρθρο 13,</w:t>
      </w:r>
    </w:p>
    <w:p w14:paraId="4726CCA0"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114"/>
      </w:r>
      <w:r w:rsidRPr="00512250">
        <w:t>, και ιδίως το άρθρο 105,</w:t>
      </w:r>
    </w:p>
    <w:p w14:paraId="3684DECE"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22646605"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00AA97DA"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2B9024FE" w14:textId="77777777" w:rsidR="00F026BE" w:rsidRPr="00512250" w:rsidRDefault="00F026BE" w:rsidP="00F026BE">
      <w:pPr>
        <w:pStyle w:val="NormalHanging12a"/>
      </w:pPr>
      <w:r w:rsidRPr="00512250">
        <w:t>1.</w:t>
      </w:r>
      <w:r w:rsidRPr="00512250">
        <w:tab/>
        <w:t>χορηγεί απαλλαγή στην εκτελεστική διευθύντρια του Ευρωπαϊκού Οργανισμού Περιβάλλοντος όσον αφορά την εκτέλεση του προϋπολογισμού του Οργανισμού για το οικονομικό έτος 2024·</w:t>
      </w:r>
    </w:p>
    <w:p w14:paraId="53E7F0DA"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040FB29A"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του Ευρωπαϊκού Οργανισμού Περιβάλλοντος, στο Συμβούλιο, στην Επιτροπή και στο Ελεγκτικό Συνέδριο, και να μεριμνήσει για τη δημοσίευσή τους στην </w:t>
      </w:r>
      <w:r w:rsidRPr="00512250">
        <w:rPr>
          <w:i/>
          <w:iCs/>
        </w:rPr>
        <w:t>Επίσημη Εφημερίδα της Ευρωπαϊκής Ένωσης</w:t>
      </w:r>
      <w:r w:rsidRPr="00512250">
        <w:t xml:space="preserve"> (σειρά L).</w:t>
      </w:r>
    </w:p>
    <w:p w14:paraId="6943802E" w14:textId="77777777" w:rsidR="00F026BE" w:rsidRPr="00512250" w:rsidRDefault="00F026BE" w:rsidP="00F026BE"/>
    <w:p w14:paraId="5D99546D" w14:textId="77777777" w:rsidR="00F026BE" w:rsidRPr="00512250" w:rsidRDefault="00F026BE" w:rsidP="00F026BE">
      <w:pPr>
        <w:pStyle w:val="PageHeadingDec"/>
        <w:sectPr w:rsidR="00F026BE" w:rsidRPr="00512250" w:rsidSect="00F01631">
          <w:footerReference w:type="first" r:id="rId2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CC570C0" w14:textId="77777777" w:rsidR="00A10728" w:rsidRPr="00512250" w:rsidRDefault="00A10728" w:rsidP="00A10728">
      <w:pPr>
        <w:pStyle w:val="ATHeading3"/>
      </w:pPr>
      <w:r w:rsidRPr="00512250">
        <w:lastRenderedPageBreak/>
        <w:t>20. Απόφαση του Ευρωπαϊκού Κοινοβουλίου της 29ης Απριλίου 2026 σχετικά με το κλείσιμο των λογαριασμών του Ευρωπαϊκού Οργανισμού Περιβάλλοντος για το οικονομικό έτος 2024 (2025/2156(DEC))</w:t>
      </w:r>
    </w:p>
    <w:p w14:paraId="1230C290" w14:textId="77777777" w:rsidR="00F026BE" w:rsidRPr="00512250" w:rsidRDefault="00F026BE" w:rsidP="00F026BE">
      <w:pPr>
        <w:pStyle w:val="EPComma"/>
      </w:pPr>
      <w:r w:rsidRPr="00512250">
        <w:rPr>
          <w:i/>
          <w:iCs/>
        </w:rPr>
        <w:t>Το Ευρωπαϊκό Κοινοβούλιο,</w:t>
      </w:r>
    </w:p>
    <w:p w14:paraId="73A4BA38"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Οργανισμού Περιβάλλοντος για το οικονομικό έτος 2024,</w:t>
      </w:r>
    </w:p>
    <w:p w14:paraId="1188E11F"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115"/>
      </w:r>
      <w:r w:rsidRPr="00512250">
        <w:t>,</w:t>
      </w:r>
    </w:p>
    <w:p w14:paraId="4B310F98"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116"/>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34300FF0" w14:textId="68696068"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32E03C3C"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5F739FAA"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117"/>
      </w:r>
      <w:r w:rsidRPr="00512250">
        <w:t>, και ιδίως το άρθρο 70,</w:t>
      </w:r>
    </w:p>
    <w:p w14:paraId="71C11CBD"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118"/>
      </w:r>
      <w:r w:rsidRPr="00512250">
        <w:t>, και ιδίως το άρθρο 70,</w:t>
      </w:r>
    </w:p>
    <w:p w14:paraId="187872A7" w14:textId="77777777" w:rsidR="00F026BE" w:rsidRPr="00512250" w:rsidRDefault="00F026BE" w:rsidP="00F026BE">
      <w:pPr>
        <w:pStyle w:val="NormalHanging12a"/>
      </w:pPr>
      <w:r w:rsidRPr="00512250">
        <w:t>–</w:t>
      </w:r>
      <w:r w:rsidRPr="00512250">
        <w:tab/>
        <w:t>έχοντας υπόψη τον κανονισμό (ΕΚ) αριθ. 401/2009 του Ευρωπαϊκού Κοινοβουλίου και του Συμβουλίου, της 23ης Απριλίου 2009, για τον ευρωπαϊκό οργανισμό περιβάλλοντος και το ευρωπαϊκό δίκτυο πληροφοριών και παρατηρήσεων σχετικά με το περιβάλλον</w:t>
      </w:r>
      <w:r w:rsidRPr="00512250">
        <w:rPr>
          <w:rStyle w:val="FootnoteReference"/>
        </w:rPr>
        <w:footnoteReference w:id="119"/>
      </w:r>
      <w:r w:rsidRPr="00512250">
        <w:t>, και ιδίως το άρθρο 13,</w:t>
      </w:r>
    </w:p>
    <w:p w14:paraId="5FD32B09"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120"/>
      </w:r>
      <w:r w:rsidRPr="00512250">
        <w:t>, και ιδίως το άρθρο 105,</w:t>
      </w:r>
    </w:p>
    <w:p w14:paraId="4326E537"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46344CDE"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5F75AAFA"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402D19DA" w14:textId="77777777" w:rsidR="00F026BE" w:rsidRPr="00512250" w:rsidRDefault="00F026BE" w:rsidP="00F026BE">
      <w:pPr>
        <w:pStyle w:val="NormalHanging12a"/>
      </w:pPr>
      <w:r w:rsidRPr="00512250">
        <w:t>1.</w:t>
      </w:r>
      <w:r w:rsidRPr="00512250">
        <w:tab/>
        <w:t>εγκρίνει το κλείσιμο των λογαριασμών του Ευρωπαϊκού Οργανισμού Περιβάλλοντος για το οικονομικό έτος 2024·</w:t>
      </w:r>
    </w:p>
    <w:p w14:paraId="1D45A2A7"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στην εκτελεστική διευθύντρια του Ευρωπαϊκού Οργανισμού Περιβάλλοντος, στο Συμβούλιο, στην Επιτροπή και στο Ελεγκτικό Συνέδριο, και να μεριμνήσει για τη δημοσίευσή της στην </w:t>
      </w:r>
      <w:r w:rsidRPr="00512250">
        <w:rPr>
          <w:i/>
          <w:iCs/>
        </w:rPr>
        <w:t>Επίσημη Εφημερίδα της Ευρωπαϊκής Ένωσης</w:t>
      </w:r>
      <w:r w:rsidRPr="00512250">
        <w:t xml:space="preserve"> (σειρά L).</w:t>
      </w:r>
    </w:p>
    <w:p w14:paraId="137DAE12" w14:textId="77777777" w:rsidR="00F026BE" w:rsidRPr="00512250" w:rsidRDefault="00F026BE" w:rsidP="00F026BE"/>
    <w:p w14:paraId="578BB45E" w14:textId="77777777" w:rsidR="00F026BE" w:rsidRPr="00512250" w:rsidRDefault="00F026BE" w:rsidP="00F026BE"/>
    <w:p w14:paraId="25934D19" w14:textId="1A0893C7" w:rsidR="00F026BE" w:rsidRPr="00512250" w:rsidRDefault="00F026BE" w:rsidP="00F026BE">
      <w:pPr>
        <w:pStyle w:val="PageHeadingDec"/>
      </w:pPr>
    </w:p>
    <w:p w14:paraId="1F016E7B" w14:textId="77777777" w:rsidR="00F026BE" w:rsidRPr="00512250" w:rsidRDefault="00F026BE" w:rsidP="00F026BE">
      <w:pPr>
        <w:pStyle w:val="PageHeadingDec"/>
        <w:sectPr w:rsidR="00F026BE" w:rsidRPr="00512250" w:rsidSect="00F01631">
          <w:footerReference w:type="first" r:id="rId2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08011D1" w14:textId="77777777" w:rsidR="00A10728" w:rsidRPr="00512250" w:rsidRDefault="00A10728" w:rsidP="00A10728">
      <w:pPr>
        <w:pStyle w:val="ATHeading3"/>
      </w:pPr>
      <w:r w:rsidRPr="00512250">
        <w:lastRenderedPageBreak/>
        <w:t>21. Απόφαση του Ευρωπαϊκού Κοινοβουλίου της 29ης Απριλίου 2026 σχετικά με την απαλλαγή όσον αφορά την εκτέλεση του προϋπολογισμού της Ευρωπαϊκής Υπηρεσίας Ελέγχου της Αλιείας για το οικονομικό έτος 2024 (2025/2156(DEC))</w:t>
      </w:r>
    </w:p>
    <w:p w14:paraId="26A476D6" w14:textId="77777777" w:rsidR="00F026BE" w:rsidRPr="00512250" w:rsidRDefault="00F026BE" w:rsidP="00F026BE">
      <w:pPr>
        <w:pStyle w:val="EPComma"/>
      </w:pPr>
      <w:r w:rsidRPr="00512250">
        <w:rPr>
          <w:i/>
          <w:iCs/>
        </w:rPr>
        <w:t>Το Ευρωπαϊκό Κοινοβούλιο,</w:t>
      </w:r>
    </w:p>
    <w:p w14:paraId="0E6FBDBF"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της Ευρωπαϊκής Υπηρεσίας Ελέγχου της Αλιείας για το οικονομικό έτος 2024,</w:t>
      </w:r>
    </w:p>
    <w:p w14:paraId="6FCEFF3B"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121"/>
      </w:r>
      <w:r w:rsidRPr="00512250">
        <w:t>,</w:t>
      </w:r>
    </w:p>
    <w:p w14:paraId="73227922"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122"/>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0C8E138D" w14:textId="18D37BC8"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4190C7FD"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6A54FE7D"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123"/>
      </w:r>
      <w:r w:rsidRPr="00512250">
        <w:t>, και ιδίως το άρθρο 70,</w:t>
      </w:r>
    </w:p>
    <w:p w14:paraId="59B3E97C"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124"/>
      </w:r>
      <w:r w:rsidRPr="00512250">
        <w:t>, και ιδίως το άρθρο 70,</w:t>
      </w:r>
    </w:p>
    <w:p w14:paraId="66111F59" w14:textId="77777777" w:rsidR="00F026BE" w:rsidRPr="00512250" w:rsidRDefault="00F026BE" w:rsidP="00F026BE">
      <w:pPr>
        <w:pStyle w:val="NormalHanging12a"/>
      </w:pPr>
      <w:r w:rsidRPr="00512250">
        <w:t>–</w:t>
      </w:r>
      <w:r w:rsidRPr="00512250">
        <w:tab/>
        <w:t>έχοντας υπόψη τον κανονισμό (ΕΕ) 2019/473 του Ευρωπαϊκού Κοινοβουλίου και του Συμβουλίου, της 19ης Μαρτίου 2019, για την Ευρωπαϊκή Υπηρεσία Ελέγχου της Αλιείας</w:t>
      </w:r>
      <w:r w:rsidRPr="00512250">
        <w:rPr>
          <w:rStyle w:val="FootnoteReference"/>
        </w:rPr>
        <w:footnoteReference w:id="125"/>
      </w:r>
      <w:r w:rsidRPr="00512250">
        <w:t>, και ιδίως το άρθρο 45,</w:t>
      </w:r>
    </w:p>
    <w:p w14:paraId="39EC895A"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126"/>
      </w:r>
      <w:r w:rsidRPr="00512250">
        <w:t>, και ιδίως το άρθρο 105,</w:t>
      </w:r>
    </w:p>
    <w:p w14:paraId="425E0A60"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2CC0E60F"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7F46977A"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522E0ED7" w14:textId="77777777" w:rsidR="00F026BE" w:rsidRPr="00512250" w:rsidRDefault="00F026BE" w:rsidP="00F026BE">
      <w:pPr>
        <w:pStyle w:val="NormalHanging12a"/>
      </w:pPr>
      <w:r w:rsidRPr="00512250">
        <w:t>1.</w:t>
      </w:r>
      <w:r w:rsidRPr="00512250">
        <w:tab/>
        <w:t>χορηγεί απαλλαγή στην εκτελεστική διευθύντρια της Ευρωπαϊκής Υπηρεσίας Ελέγχου της Αλιείας όσον αφορά την εκτέλεση του προϋπολογισμού της Υπηρεσίας για το οικονομικό έτος 2024·</w:t>
      </w:r>
    </w:p>
    <w:p w14:paraId="4BFC411F"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275B1522" w14:textId="77777777" w:rsidR="00F026BE" w:rsidRPr="00512250" w:rsidRDefault="00F026BE" w:rsidP="00F026BE">
      <w:pPr>
        <w:pStyle w:val="NormalHanging12a"/>
      </w:pPr>
      <w:r w:rsidRPr="00512250">
        <w:t>3.</w:t>
      </w:r>
      <w:r w:rsidRPr="00512250">
        <w:tab/>
        <w:t>αναθέτει στην Πρόεδρό του να διαβιβάσει την παρούσα απόφαση και το ψήφισμα που αποτελεί αναπόσπαστο μέρος της στην εκτελεστική διευθύντρια της Ευρωπαϊκής Υπηρεσίας Ελέγχου της Αλιείας, στο Συμβούλιο, στην Επιτροπή και στο Ελεγκτικό Συνέδριο, και να μεριμνήσει για τη δημοσίευσή τους στην</w:t>
      </w:r>
      <w:r w:rsidRPr="00512250">
        <w:rPr>
          <w:i/>
          <w:iCs/>
        </w:rPr>
        <w:t xml:space="preserve"> Επίσημη Εφημερίδα της Ευρωπαϊκής Ένωσης</w:t>
      </w:r>
      <w:r w:rsidRPr="00512250">
        <w:t xml:space="preserve"> (σειρά L).</w:t>
      </w:r>
    </w:p>
    <w:p w14:paraId="6C468F24" w14:textId="77777777" w:rsidR="00F026BE" w:rsidRPr="00512250" w:rsidRDefault="00F026BE" w:rsidP="00F026BE"/>
    <w:p w14:paraId="69EE5774" w14:textId="77777777" w:rsidR="00F026BE" w:rsidRPr="00512250" w:rsidRDefault="00F026BE" w:rsidP="00F026BE">
      <w:pPr>
        <w:pStyle w:val="PageHeadingDec"/>
        <w:sectPr w:rsidR="00F026BE" w:rsidRPr="00512250" w:rsidSect="00F01631">
          <w:footerReference w:type="first" r:id="rId2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11DE28" w14:textId="77777777" w:rsidR="00A10728" w:rsidRPr="00512250" w:rsidRDefault="00A10728" w:rsidP="00A10728">
      <w:pPr>
        <w:pStyle w:val="ATHeading3"/>
      </w:pPr>
      <w:r w:rsidRPr="00512250">
        <w:lastRenderedPageBreak/>
        <w:t>22. Απόφαση του Ευρωπαϊκού Κοινοβουλίου της 29ης Απριλίου 2026 σχετικά με το κλείσιμο των λογαριασμών της Ευρωπαϊκής Υπηρεσίας Ελέγχου της Αλιείας για το οικονομικό έτος 2024 (2025/2156(DEC))</w:t>
      </w:r>
    </w:p>
    <w:p w14:paraId="258BD82A" w14:textId="77777777" w:rsidR="00F026BE" w:rsidRPr="00512250" w:rsidRDefault="00F026BE" w:rsidP="00F026BE">
      <w:pPr>
        <w:pStyle w:val="EPComma"/>
      </w:pPr>
      <w:r w:rsidRPr="00512250">
        <w:rPr>
          <w:i/>
          <w:iCs/>
        </w:rPr>
        <w:t>Το Ευρωπαϊκό Κοινοβούλιο,</w:t>
      </w:r>
    </w:p>
    <w:p w14:paraId="00F09A7B"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της Ευρωπαϊκής Υπηρεσίας Ελέγχου της Αλιείας για το οικονομικό έτος 2024,</w:t>
      </w:r>
    </w:p>
    <w:p w14:paraId="2962FE48"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127"/>
      </w:r>
      <w:r w:rsidRPr="00512250">
        <w:t>,</w:t>
      </w:r>
    </w:p>
    <w:p w14:paraId="55C1E054"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128"/>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09C7E97F" w14:textId="3772F0CE"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55556961"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48B88993"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129"/>
      </w:r>
      <w:r w:rsidRPr="00512250">
        <w:t>, και ιδίως το άρθρο 70,</w:t>
      </w:r>
    </w:p>
    <w:p w14:paraId="6A82B659"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130"/>
      </w:r>
      <w:r w:rsidRPr="00512250">
        <w:t>, και ιδίως το άρθρο 70,</w:t>
      </w:r>
    </w:p>
    <w:p w14:paraId="339A6E64" w14:textId="77777777" w:rsidR="00F026BE" w:rsidRPr="00512250" w:rsidRDefault="00F026BE" w:rsidP="00F026BE">
      <w:pPr>
        <w:pStyle w:val="NormalHanging12a"/>
      </w:pPr>
      <w:r w:rsidRPr="00512250">
        <w:t>–</w:t>
      </w:r>
      <w:r w:rsidRPr="00512250">
        <w:tab/>
        <w:t>έχοντας υπόψη τον κανονισμό (ΕΕ) 2019/473 του Ευρωπαϊκού Κοινοβουλίου και του Συμβουλίου, της 19ης Μαρτίου 2019, για την Ευρωπαϊκή Υπηρεσία Ελέγχου της Αλιείας</w:t>
      </w:r>
      <w:r w:rsidRPr="00512250">
        <w:rPr>
          <w:rStyle w:val="FootnoteReference"/>
        </w:rPr>
        <w:footnoteReference w:id="131"/>
      </w:r>
      <w:r w:rsidRPr="00512250">
        <w:t>, και ιδίως το άρθρο 45,</w:t>
      </w:r>
    </w:p>
    <w:p w14:paraId="4689C80C"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132"/>
      </w:r>
      <w:r w:rsidRPr="00512250">
        <w:t>, και ιδίως το άρθρο 105,</w:t>
      </w:r>
    </w:p>
    <w:p w14:paraId="2ECC4668"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6DB5D9A6"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746B9549"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5E4B0595" w14:textId="77777777" w:rsidR="00F026BE" w:rsidRPr="00512250" w:rsidRDefault="00F026BE" w:rsidP="00F026BE">
      <w:pPr>
        <w:pStyle w:val="NormalHanging12a"/>
      </w:pPr>
      <w:r w:rsidRPr="00512250">
        <w:t>1.</w:t>
      </w:r>
      <w:r w:rsidRPr="00512250">
        <w:tab/>
        <w:t>εγκρίνει το κλείσιμο των λογαριασμών της Ευρωπαϊκής Υπηρεσίας Ελέγχου της Αλιείας για το οικονομικό έτος 2024·</w:t>
      </w:r>
    </w:p>
    <w:p w14:paraId="7F220CE7"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στην εκτελεστική διευθύντρια της Ευρωπαϊκής Υπηρεσίας Ελέγχου της Αλιείας, στο Συμβούλιο, στην Επιτροπή και στο Ελεγκτικό Συνέδριο, και να μεριμνήσει για τη δημοσίευσή της στην </w:t>
      </w:r>
      <w:r w:rsidRPr="00512250">
        <w:rPr>
          <w:i/>
          <w:iCs/>
        </w:rPr>
        <w:t>Επίσημη Εφημερίδα της Ευρωπαϊκής Ένωσης</w:t>
      </w:r>
      <w:r w:rsidRPr="00512250">
        <w:t xml:space="preserve"> (σειρά L).</w:t>
      </w:r>
    </w:p>
    <w:p w14:paraId="5855E9B6" w14:textId="77777777" w:rsidR="00F026BE" w:rsidRPr="00512250" w:rsidRDefault="00F026BE" w:rsidP="00F026BE"/>
    <w:p w14:paraId="72F3C541" w14:textId="77777777" w:rsidR="00F026BE" w:rsidRPr="00512250" w:rsidRDefault="00F026BE" w:rsidP="00F026BE"/>
    <w:p w14:paraId="0CE33C29" w14:textId="156B0B74" w:rsidR="00F026BE" w:rsidRPr="00512250" w:rsidRDefault="00F026BE" w:rsidP="00F026BE">
      <w:pPr>
        <w:pStyle w:val="PageHeadingDec"/>
      </w:pPr>
    </w:p>
    <w:p w14:paraId="0487B9F4" w14:textId="77777777" w:rsidR="00F026BE" w:rsidRPr="00512250" w:rsidRDefault="00F026BE" w:rsidP="00F026BE">
      <w:pPr>
        <w:pStyle w:val="PageHeadingDec"/>
        <w:sectPr w:rsidR="00F026BE" w:rsidRPr="00512250" w:rsidSect="00F01631">
          <w:footerReference w:type="first" r:id="rId3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35B03E4" w14:textId="77777777" w:rsidR="00A10728" w:rsidRPr="00512250" w:rsidRDefault="00A10728" w:rsidP="00A10728">
      <w:pPr>
        <w:pStyle w:val="ATHeading3"/>
      </w:pPr>
      <w:r w:rsidRPr="00512250">
        <w:lastRenderedPageBreak/>
        <w:t>23. Απόφαση του Ευρωπαϊκού Κοινοβουλίου της 29ης Απριλίου 2026 σχετικά με την απαλλαγή όσον αφορά την εκτέλεση του προϋπολογισμού της Ευρωπαϊκής Αρχής για την Ασφάλεια των Τροφίμων για το οικονομικό έτος 2024 (2025/2156(DEC))</w:t>
      </w:r>
    </w:p>
    <w:p w14:paraId="7E860386" w14:textId="77777777" w:rsidR="00F026BE" w:rsidRPr="00512250" w:rsidRDefault="00F026BE" w:rsidP="00F026BE">
      <w:pPr>
        <w:pStyle w:val="EPComma"/>
      </w:pPr>
      <w:r w:rsidRPr="00512250">
        <w:rPr>
          <w:i/>
          <w:iCs/>
        </w:rPr>
        <w:t>Το Ευρωπαϊκό Κοινοβούλιο,</w:t>
      </w:r>
    </w:p>
    <w:p w14:paraId="76422A01"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της Ευρωπαϊκής Αρχής για την Ασφάλεια των Τροφίμων για το οικονομικό έτος 2024,</w:t>
      </w:r>
    </w:p>
    <w:p w14:paraId="63527228"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133"/>
      </w:r>
      <w:r w:rsidRPr="00512250">
        <w:t>,</w:t>
      </w:r>
    </w:p>
    <w:p w14:paraId="6CF243DE"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134"/>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25228599"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της Αρχής όσον αφορά την εκτέλεση του προϋπολογισμού για το οικονομικό έτος 2024 (05750/2026 – C10-0148/2026),</w:t>
      </w:r>
    </w:p>
    <w:p w14:paraId="386C126D"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250BC341"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135"/>
      </w:r>
      <w:r w:rsidRPr="00512250">
        <w:t>, και ιδίως το άρθρο 70,</w:t>
      </w:r>
    </w:p>
    <w:p w14:paraId="4F4E5E6B"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136"/>
      </w:r>
      <w:r w:rsidRPr="00512250">
        <w:t>, και ιδίως το άρθρο 70,</w:t>
      </w:r>
    </w:p>
    <w:p w14:paraId="0C89057E" w14:textId="77777777" w:rsidR="00F026BE" w:rsidRPr="00512250" w:rsidRDefault="00F026BE" w:rsidP="00F026BE">
      <w:pPr>
        <w:pStyle w:val="NormalHanging12a"/>
      </w:pPr>
      <w:r w:rsidRPr="00512250">
        <w:t>–</w:t>
      </w:r>
      <w:r w:rsidRPr="00512250">
        <w:tab/>
        <w:t>έχοντας υπόψη τον κανονισμό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w:t>
      </w:r>
      <w:r w:rsidRPr="00512250">
        <w:rPr>
          <w:rStyle w:val="FootnoteReference"/>
        </w:rPr>
        <w:footnoteReference w:id="137"/>
      </w:r>
      <w:r w:rsidRPr="00512250">
        <w:t>, και ιδίως το άρθρο 44,</w:t>
      </w:r>
    </w:p>
    <w:p w14:paraId="7FA46559"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512250">
        <w:lastRenderedPageBreak/>
        <w:t>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138"/>
      </w:r>
      <w:r w:rsidRPr="00512250">
        <w:t>, και ιδίως το άρθρο 105,</w:t>
      </w:r>
    </w:p>
    <w:p w14:paraId="60D0F879"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4BD91E96"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63773828"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6FB2444C" w14:textId="77777777" w:rsidR="00F026BE" w:rsidRPr="00512250" w:rsidRDefault="00F026BE" w:rsidP="00F026BE">
      <w:pPr>
        <w:pStyle w:val="NormalHanging12a"/>
      </w:pPr>
      <w:r w:rsidRPr="00512250">
        <w:t>1.</w:t>
      </w:r>
      <w:r w:rsidRPr="00512250">
        <w:tab/>
        <w:t>χορηγεί απαλλαγή στον διευθύνοντα σύμβουλο της Ευρωπαϊκής Αρχής για την Ασφάλεια των Τροφίμων όσον αφορά την εκτέλεση του προϋπολογισμού της Αρχής για το οικονομικό έτος 2024·</w:t>
      </w:r>
    </w:p>
    <w:p w14:paraId="24F31BC9"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1D7DB162"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Ευρωπαϊκής Αρχής για την Ασφάλεια των Τροφίμων, στο Συμβούλιο, στην Επιτροπή και στο Ελεγκτικό Συνέδριο, και να μεριμνήσει για τη δημοσίευσή τους στην </w:t>
      </w:r>
      <w:r w:rsidRPr="00512250">
        <w:rPr>
          <w:i/>
          <w:iCs/>
        </w:rPr>
        <w:t>Επίσημη Εφημερίδα της Ευρωπαϊκής Ένωσης</w:t>
      </w:r>
      <w:r w:rsidRPr="00512250">
        <w:t xml:space="preserve"> (σειρά L).</w:t>
      </w:r>
    </w:p>
    <w:p w14:paraId="7A0ABB63" w14:textId="77777777" w:rsidR="00F026BE" w:rsidRPr="00512250" w:rsidRDefault="00F026BE" w:rsidP="00F026BE"/>
    <w:p w14:paraId="08C3CD6A" w14:textId="77777777" w:rsidR="00F026BE" w:rsidRPr="00512250" w:rsidRDefault="00F026BE" w:rsidP="00F026BE">
      <w:pPr>
        <w:pStyle w:val="PageHeadingDec"/>
        <w:sectPr w:rsidR="00F026BE" w:rsidRPr="00512250" w:rsidSect="00F01631">
          <w:footerReference w:type="first" r:id="rId3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35A6502" w14:textId="77777777" w:rsidR="00A10728" w:rsidRPr="00512250" w:rsidRDefault="00A10728" w:rsidP="00A10728">
      <w:pPr>
        <w:pStyle w:val="ATHeading3"/>
      </w:pPr>
      <w:r w:rsidRPr="00512250">
        <w:lastRenderedPageBreak/>
        <w:t>24. Απόφαση του Ευρωπαϊκού Κοινοβουλίου της 29ης Απριλίου 2026 σχετικά με το κλείσιμο των λογαριασμών της Ευρωπαϊκής Αρχής για την Ασφάλεια των Τροφίμων για το οικονομικό έτος 2024 (2025/2156(DEC))</w:t>
      </w:r>
    </w:p>
    <w:p w14:paraId="2BC56E99" w14:textId="77777777" w:rsidR="00F026BE" w:rsidRPr="00512250" w:rsidRDefault="00F026BE" w:rsidP="00F026BE">
      <w:pPr>
        <w:pStyle w:val="EPComma"/>
      </w:pPr>
      <w:r w:rsidRPr="00512250">
        <w:rPr>
          <w:i/>
          <w:iCs/>
        </w:rPr>
        <w:t>Το Ευρωπαϊκό Κοινοβούλιο,</w:t>
      </w:r>
    </w:p>
    <w:p w14:paraId="5030A8E4"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της Ευρωπαϊκής Αρχής για την Ασφάλεια των Τροφίμων για το οικονομικό έτος 2024,</w:t>
      </w:r>
    </w:p>
    <w:p w14:paraId="75CC0D57"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139"/>
      </w:r>
      <w:r w:rsidRPr="00512250">
        <w:t>,</w:t>
      </w:r>
    </w:p>
    <w:p w14:paraId="3028ACA1"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140"/>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2373773A"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της Αρχής όσον αφορά την εκτέλεση του προϋπολογισμού για το οικονομικό έτος 2024 (05750/2026 – C10-0148/2026),</w:t>
      </w:r>
    </w:p>
    <w:p w14:paraId="1FB1C4A3"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01D16F85"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141"/>
      </w:r>
      <w:r w:rsidRPr="00512250">
        <w:t>, και ιδίως το άρθρο 70,</w:t>
      </w:r>
    </w:p>
    <w:p w14:paraId="5AAFEDAC"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142"/>
      </w:r>
      <w:r w:rsidRPr="00512250">
        <w:t>, και ιδίως το άρθρο 70,</w:t>
      </w:r>
    </w:p>
    <w:p w14:paraId="2A3DCDB5" w14:textId="77777777" w:rsidR="00F026BE" w:rsidRPr="00512250" w:rsidRDefault="00F026BE" w:rsidP="00F026BE">
      <w:pPr>
        <w:pStyle w:val="NormalHanging12a"/>
      </w:pPr>
      <w:r w:rsidRPr="00512250">
        <w:t>–</w:t>
      </w:r>
      <w:r w:rsidRPr="00512250">
        <w:tab/>
        <w:t>έχοντας υπόψη τον κανονισμό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w:t>
      </w:r>
      <w:r w:rsidRPr="00512250">
        <w:rPr>
          <w:rStyle w:val="FootnoteReference"/>
        </w:rPr>
        <w:footnoteReference w:id="143"/>
      </w:r>
      <w:r w:rsidRPr="00512250">
        <w:t>, και ιδίως το άρθρο 44,</w:t>
      </w:r>
    </w:p>
    <w:p w14:paraId="20096AA7"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512250">
        <w:lastRenderedPageBreak/>
        <w:t>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144"/>
      </w:r>
      <w:r w:rsidRPr="00512250">
        <w:t>, και ιδίως το άρθρο 105,</w:t>
      </w:r>
    </w:p>
    <w:p w14:paraId="244D509A"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4519E5CF"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0D920314"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358CD7AE" w14:textId="77777777" w:rsidR="00F026BE" w:rsidRPr="00512250" w:rsidRDefault="00F026BE" w:rsidP="00F026BE">
      <w:pPr>
        <w:pStyle w:val="NormalHanging12a"/>
      </w:pPr>
      <w:r w:rsidRPr="00512250">
        <w:t>1.</w:t>
      </w:r>
      <w:r w:rsidRPr="00512250">
        <w:tab/>
        <w:t>εγκρίνει το κλείσιμο των λογαριασμών της Ευρωπαϊκής Αρχής για την Ασφάλεια των Τροφίμων για το οικονομικό έτος 2024·</w:t>
      </w:r>
    </w:p>
    <w:p w14:paraId="773AF7A3"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στον εκτελεστικό διευθυντή της Ευρωπαϊκής Αρχής για την Ασφάλεια των Τροφίμων, στο Συμβούλιο, στην Επιτροπή και στο Ελεγκτικό Συνέδριο, και να μεριμνήσει για τη δημοσίευσή της στην </w:t>
      </w:r>
      <w:r w:rsidRPr="00512250">
        <w:rPr>
          <w:i/>
          <w:iCs/>
        </w:rPr>
        <w:t>Επίσημη Εφημερίδα της Ευρωπαϊκής Ένωσης</w:t>
      </w:r>
      <w:r w:rsidRPr="00512250">
        <w:t xml:space="preserve"> (σειρά L).</w:t>
      </w:r>
    </w:p>
    <w:p w14:paraId="2C3B28B8" w14:textId="77777777" w:rsidR="00F026BE" w:rsidRPr="00512250" w:rsidRDefault="00F026BE" w:rsidP="00F026BE"/>
    <w:p w14:paraId="7495E219" w14:textId="77777777" w:rsidR="00F026BE" w:rsidRPr="00512250" w:rsidRDefault="00F026BE" w:rsidP="00F026BE"/>
    <w:p w14:paraId="350FCF52" w14:textId="638DB45A" w:rsidR="00F026BE" w:rsidRPr="00512250" w:rsidRDefault="00F026BE" w:rsidP="00F026BE">
      <w:pPr>
        <w:pStyle w:val="PageHeadingDec"/>
      </w:pPr>
    </w:p>
    <w:p w14:paraId="3A91488B" w14:textId="77777777" w:rsidR="00F026BE" w:rsidRPr="00512250" w:rsidRDefault="00F026BE" w:rsidP="00F026BE">
      <w:pPr>
        <w:pStyle w:val="PageHeadingDec"/>
        <w:sectPr w:rsidR="00F026BE" w:rsidRPr="00512250" w:rsidSect="00F01631">
          <w:footerReference w:type="first" r:id="rId3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6B9A52B" w14:textId="77777777" w:rsidR="00A10728" w:rsidRPr="00512250" w:rsidRDefault="00A10728" w:rsidP="00A10728">
      <w:pPr>
        <w:pStyle w:val="ATHeading3"/>
      </w:pPr>
      <w:r w:rsidRPr="00512250">
        <w:lastRenderedPageBreak/>
        <w:t>25. Απόφαση του Ευρωπαϊκού Κοινοβουλίου της 29ης Απριλίου 2026 σχετικά με την απαλλαγή όσον αφορά την εκτέλεση του προϋπολογισμού του Ευρωπαϊκού Ινστιτούτου για την Ισότητα των Φύλων για το οικονομικό έτος 2024 (2025/2156(DEC))</w:t>
      </w:r>
    </w:p>
    <w:p w14:paraId="495B85A3" w14:textId="77777777" w:rsidR="00F026BE" w:rsidRPr="00512250" w:rsidRDefault="00F026BE" w:rsidP="00F026BE">
      <w:pPr>
        <w:pStyle w:val="EPComma"/>
      </w:pPr>
      <w:r w:rsidRPr="00512250">
        <w:rPr>
          <w:i/>
          <w:iCs/>
        </w:rPr>
        <w:t>Το Ευρωπαϊκό Κοινοβούλιο,</w:t>
      </w:r>
    </w:p>
    <w:p w14:paraId="5722AB89"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Ινστιτούτου για την Ισότητα των Φύλων για το οικονομικό έτος 2024,</w:t>
      </w:r>
    </w:p>
    <w:p w14:paraId="681B8122"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145"/>
      </w:r>
      <w:r w:rsidRPr="00512250">
        <w:t>,</w:t>
      </w:r>
    </w:p>
    <w:p w14:paraId="0235D171"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146"/>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65B09897"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του Ινστιτούτου όσον αφορά την εκτέλεση του προϋπολογισμού για το οικονομικό έτος 2024 (05750/2026 – C10-0148/2026),</w:t>
      </w:r>
    </w:p>
    <w:p w14:paraId="42DAD012"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5F6D0CA4"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147"/>
      </w:r>
      <w:r w:rsidRPr="00512250">
        <w:t>, και ιδίως το άρθρο 70,</w:t>
      </w:r>
    </w:p>
    <w:p w14:paraId="758AE211"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148"/>
      </w:r>
      <w:r w:rsidRPr="00512250">
        <w:t>, και ιδίως το άρθρο 70,</w:t>
      </w:r>
    </w:p>
    <w:p w14:paraId="6C0F94FE" w14:textId="77777777" w:rsidR="00F026BE" w:rsidRPr="00512250" w:rsidRDefault="00F026BE" w:rsidP="00F026BE">
      <w:pPr>
        <w:pStyle w:val="NormalHanging12a"/>
      </w:pPr>
      <w:r w:rsidRPr="00512250">
        <w:t>–</w:t>
      </w:r>
      <w:r w:rsidRPr="00512250">
        <w:tab/>
        <w:t>έχοντας υπόψη τον κανονισμό (ΕΚ) αριθ. 1922/2006 του Ευρωπαϊκού Κοινοβουλίου και του Συμβουλίου, της 20ής Δεκεμβρίου 2006, περί ιδρύσεως Ευρωπαϊκού Ινστιτούτου για την Ισότητα των Φύλων</w:t>
      </w:r>
      <w:r w:rsidRPr="00512250">
        <w:rPr>
          <w:rStyle w:val="FootnoteReference"/>
        </w:rPr>
        <w:footnoteReference w:id="149"/>
      </w:r>
      <w:r w:rsidRPr="00512250">
        <w:t>, και ιδίως το άρθρο 15,</w:t>
      </w:r>
    </w:p>
    <w:p w14:paraId="2CD3C6FD"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150"/>
      </w:r>
      <w:r w:rsidRPr="00512250">
        <w:t>, και ιδίως το άρθρο 105,</w:t>
      </w:r>
    </w:p>
    <w:p w14:paraId="5385B558"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4B8ADE37"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297BB761"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0A36BE16" w14:textId="77777777" w:rsidR="00F026BE" w:rsidRPr="00512250" w:rsidRDefault="00F026BE" w:rsidP="00F026BE">
      <w:pPr>
        <w:pStyle w:val="NormalHanging12a"/>
      </w:pPr>
      <w:r w:rsidRPr="00512250">
        <w:t>1.</w:t>
      </w:r>
      <w:r w:rsidRPr="00512250">
        <w:tab/>
        <w:t>χορηγεί απαλλαγή στη διευθύντρια του Ευρωπαϊκού Ινστιτούτου για την Ισότητα των Φύλων όσον αφορά την εκτέλεση του προϋπολογισμού του Ινστιτούτου για το οικονομικό έτος 2024·</w:t>
      </w:r>
    </w:p>
    <w:p w14:paraId="71270E28"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02570F45"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στη διευθύντρια του Ευρωπαϊκού Ινστιτούτου για την Ισότητα των Φύλων, στο Συμβούλιο, στην Επιτροπή και στο Ελεγκτικό Συνέδριο, και να μεριμνήσει για τη δημοσίευσή τους στην </w:t>
      </w:r>
      <w:r w:rsidRPr="00512250">
        <w:rPr>
          <w:i/>
          <w:iCs/>
        </w:rPr>
        <w:t>Επίσημη Εφημερίδα της Ευρωπαϊκής Ένωσης</w:t>
      </w:r>
      <w:r w:rsidRPr="00512250">
        <w:t xml:space="preserve"> (σειρά L).</w:t>
      </w:r>
    </w:p>
    <w:p w14:paraId="60F16B8F" w14:textId="77777777" w:rsidR="00F026BE" w:rsidRPr="00512250" w:rsidRDefault="00F026BE" w:rsidP="00F026BE"/>
    <w:p w14:paraId="28B82E36" w14:textId="77777777" w:rsidR="00F026BE" w:rsidRPr="00512250" w:rsidRDefault="00F026BE" w:rsidP="00F026BE">
      <w:pPr>
        <w:pStyle w:val="PageHeadingDec"/>
        <w:sectPr w:rsidR="00F026BE" w:rsidRPr="00512250" w:rsidSect="00F01631">
          <w:footerReference w:type="first" r:id="rId3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C04F882" w14:textId="77777777" w:rsidR="00A10728" w:rsidRPr="00512250" w:rsidRDefault="00A10728" w:rsidP="00A10728">
      <w:pPr>
        <w:pStyle w:val="ATHeading3"/>
      </w:pPr>
      <w:r w:rsidRPr="00512250">
        <w:lastRenderedPageBreak/>
        <w:t>26. Απόφαση του Ευρωπαϊκού Κοινοβουλίου της 29ης Απριλίου 2026 σχετικά με το κλείσιμο των λογαριασμών του Ευρωπαϊκού Ινστιτούτου για την Ισότητα των Φύλων για το οικονομικό έτος 2024 (2025/2156(DEC))</w:t>
      </w:r>
    </w:p>
    <w:p w14:paraId="293EB765" w14:textId="77777777" w:rsidR="00F026BE" w:rsidRPr="00512250" w:rsidRDefault="00F026BE" w:rsidP="00F026BE">
      <w:pPr>
        <w:pStyle w:val="EPComma"/>
      </w:pPr>
      <w:r w:rsidRPr="00512250">
        <w:rPr>
          <w:i/>
          <w:iCs/>
        </w:rPr>
        <w:t>Το Ευρωπαϊκό Κοινοβούλιο,</w:t>
      </w:r>
    </w:p>
    <w:p w14:paraId="660E5C1B"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Ινστιτούτου για την Ισότητα των Φύλων για το οικονομικό έτος 2024,</w:t>
      </w:r>
    </w:p>
    <w:p w14:paraId="4FF05D69"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151"/>
      </w:r>
      <w:r w:rsidRPr="00512250">
        <w:t>,</w:t>
      </w:r>
    </w:p>
    <w:p w14:paraId="533C6AAC"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152"/>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4FD5270B"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του Ινστιτούτου όσον αφορά την εκτέλεση του προϋπολογισμού για το οικονομικό έτος 2024 (05750/2026 – C10-0148/2026),</w:t>
      </w:r>
    </w:p>
    <w:p w14:paraId="3F47B3AD"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3CC4D627"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153"/>
      </w:r>
      <w:r w:rsidRPr="00512250">
        <w:t>, και ιδίως το άρθρο 70,</w:t>
      </w:r>
    </w:p>
    <w:p w14:paraId="66587BFE"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154"/>
      </w:r>
      <w:r w:rsidRPr="00512250">
        <w:t>, και ιδίως το άρθρο 70,</w:t>
      </w:r>
    </w:p>
    <w:p w14:paraId="6B99B9B4" w14:textId="77777777" w:rsidR="00F026BE" w:rsidRPr="00512250" w:rsidRDefault="00F026BE" w:rsidP="00F026BE">
      <w:pPr>
        <w:pStyle w:val="NormalHanging12a"/>
      </w:pPr>
      <w:r w:rsidRPr="00512250">
        <w:t>–</w:t>
      </w:r>
      <w:r w:rsidRPr="00512250">
        <w:tab/>
        <w:t>έχοντας υπόψη τον κανονισμό (ΕΚ) αριθ. 1922/2006 του Ευρωπαϊκού Κοινοβουλίου και του Συμβουλίου, της 20ής Δεκεμβρίου 2006, περί ιδρύσεως Ευρωπαϊκού Ινστιτούτου για την Ισότητα των Φύλων</w:t>
      </w:r>
      <w:r w:rsidRPr="00512250">
        <w:rPr>
          <w:rStyle w:val="FootnoteReference"/>
        </w:rPr>
        <w:footnoteReference w:id="155"/>
      </w:r>
      <w:r w:rsidRPr="00512250">
        <w:t>, και ιδίως το άρθρο 15,</w:t>
      </w:r>
    </w:p>
    <w:p w14:paraId="037626F4"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156"/>
      </w:r>
      <w:r w:rsidRPr="00512250">
        <w:t>, και ιδίως το άρθρο 105,</w:t>
      </w:r>
    </w:p>
    <w:p w14:paraId="66C11C28"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1962093E"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610959C7"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3EC6015B" w14:textId="77777777" w:rsidR="00F026BE" w:rsidRPr="00512250" w:rsidRDefault="00F026BE" w:rsidP="00F026BE">
      <w:pPr>
        <w:pStyle w:val="NormalHanging12a"/>
      </w:pPr>
      <w:r w:rsidRPr="00512250">
        <w:t>1.</w:t>
      </w:r>
      <w:r w:rsidRPr="00512250">
        <w:tab/>
        <w:t>εγκρίνει το κλείσιμο των λογαριασμών του Ευρωπαϊκού Ινστιτούτου για την Ισότητα των Φύλων για το οικονομικό έτος 2024·</w:t>
      </w:r>
    </w:p>
    <w:p w14:paraId="4D2EE6A3"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στη διευθύντρια του Ευρωπαϊκού Ινστιτούτου για την Ισότητα των Φύλων, στο Συμβούλιο, στην Επιτροπή και στο Ελεγκτικό Συνέδριο, και να μεριμνήσει για τη δημοσίευσή της στην </w:t>
      </w:r>
      <w:r w:rsidRPr="00512250">
        <w:rPr>
          <w:i/>
          <w:iCs/>
        </w:rPr>
        <w:t>Επίσημη Εφημερίδα της Ευρωπαϊκής Ένωσης</w:t>
      </w:r>
      <w:r w:rsidRPr="00512250">
        <w:t xml:space="preserve"> (σειρά L).</w:t>
      </w:r>
    </w:p>
    <w:p w14:paraId="1B52C83E" w14:textId="77777777" w:rsidR="00F026BE" w:rsidRPr="00512250" w:rsidRDefault="00F026BE" w:rsidP="00F026BE"/>
    <w:p w14:paraId="51D8C1DF" w14:textId="77777777" w:rsidR="00F026BE" w:rsidRPr="00512250" w:rsidRDefault="00F026BE" w:rsidP="00F026BE"/>
    <w:p w14:paraId="03926F91" w14:textId="2474BA6A" w:rsidR="00F026BE" w:rsidRPr="00512250" w:rsidRDefault="00F026BE" w:rsidP="00F026BE">
      <w:pPr>
        <w:pStyle w:val="PageHeadingDec"/>
      </w:pPr>
    </w:p>
    <w:p w14:paraId="23CEC234" w14:textId="77777777" w:rsidR="00F026BE" w:rsidRPr="00512250" w:rsidRDefault="00F026BE" w:rsidP="00F026BE">
      <w:pPr>
        <w:pStyle w:val="PageHeadingDec"/>
        <w:sectPr w:rsidR="00F026BE" w:rsidRPr="00512250" w:rsidSect="00F01631">
          <w:footerReference w:type="first" r:id="rId3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85C14F7" w14:textId="77777777" w:rsidR="00A10728" w:rsidRPr="00512250" w:rsidRDefault="00A10728" w:rsidP="00A10728">
      <w:pPr>
        <w:pStyle w:val="ATHeading3"/>
      </w:pPr>
      <w:r w:rsidRPr="00512250">
        <w:lastRenderedPageBreak/>
        <w:t>27. Απόφαση του Ευρωπαϊκού Κοινοβουλίου της 29ης Απριλίου 2026 σχετικά με την απαλλαγή όσον αφορά την εκτέλεση του προϋπολογισμού της Ευρωπαϊκής Αρχής Ασφαλίσεων και Επαγγελματικών Συντάξεων για το οικονομικό έτος 2024 (2025/2156(DEC))</w:t>
      </w:r>
    </w:p>
    <w:p w14:paraId="490277DA" w14:textId="77777777" w:rsidR="00F026BE" w:rsidRPr="00512250" w:rsidRDefault="00F026BE" w:rsidP="00F026BE">
      <w:pPr>
        <w:pStyle w:val="EPComma"/>
      </w:pPr>
      <w:r w:rsidRPr="00512250">
        <w:rPr>
          <w:i/>
          <w:iCs/>
        </w:rPr>
        <w:t>Το Ευρωπαϊκό Κοινοβούλιο,</w:t>
      </w:r>
    </w:p>
    <w:p w14:paraId="7EBCD28A"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της Ευρωπαϊκής Αρχής Ασφαλίσεων και Επαγγελματικών Συντάξεων για το οικονομικό έτος 2024,</w:t>
      </w:r>
    </w:p>
    <w:p w14:paraId="2CE5EB00"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157"/>
      </w:r>
      <w:r w:rsidRPr="00512250">
        <w:t>,</w:t>
      </w:r>
    </w:p>
    <w:p w14:paraId="0B752403"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158"/>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27F345BB"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της Αρχής όσον αφορά την εκτέλεση του προϋπολογισμού για το οικονομικό έτος 2024 (05750/2026 – C10-0148/2026),</w:t>
      </w:r>
    </w:p>
    <w:p w14:paraId="3AC6EB14"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7C35376D"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159"/>
      </w:r>
      <w:r w:rsidRPr="00512250">
        <w:t>, και ιδίως το άρθρο 70,</w:t>
      </w:r>
    </w:p>
    <w:p w14:paraId="209C56A6"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160"/>
      </w:r>
      <w:r w:rsidRPr="00512250">
        <w:t>, και ιδίως το άρθρο 70,</w:t>
      </w:r>
    </w:p>
    <w:p w14:paraId="28B4D022" w14:textId="77777777" w:rsidR="00F026BE" w:rsidRPr="00512250" w:rsidRDefault="00F026BE" w:rsidP="00F026BE">
      <w:pPr>
        <w:pStyle w:val="NormalHanging12a"/>
      </w:pPr>
      <w:r w:rsidRPr="00512250">
        <w:t>–</w:t>
      </w:r>
      <w:r w:rsidRPr="00512250">
        <w:tab/>
        <w:t>έχοντας υπόψη τον κανονισμό (ΕΕ) αριθ. 1094/2010 του Ευρωπαϊκού Κοινοβουλίου και του Συμβουλίου, της 24ης Νοεμβρίου 2010, για τη σύσταση Ευρωπαϊκής Εποπτικής Αρχής (Ευρωπαϊκή Αρχή Ασφαλίσεων και Επαγγελματικών Συντάξεων), την τροποποίηση της απόφασης αριθ. 716/2009/ΕΚ και την κατάργηση της απόφασης 2009/79/ΕΚ της Επιτροπής</w:t>
      </w:r>
      <w:r w:rsidRPr="00512250">
        <w:rPr>
          <w:rStyle w:val="FootnoteReference"/>
        </w:rPr>
        <w:footnoteReference w:id="161"/>
      </w:r>
      <w:r w:rsidRPr="00512250">
        <w:t>, και ιδίως το άρθρο 64,</w:t>
      </w:r>
    </w:p>
    <w:p w14:paraId="3BA17A2D"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w:t>
      </w:r>
      <w:r w:rsidRPr="00512250">
        <w:lastRenderedPageBreak/>
        <w:t>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162"/>
      </w:r>
      <w:r w:rsidRPr="00512250">
        <w:t>, και ιδίως το άρθρο 105,</w:t>
      </w:r>
    </w:p>
    <w:p w14:paraId="3CD8D150"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64E2B00B"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678888DC"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7BF74B37" w14:textId="77777777" w:rsidR="00F026BE" w:rsidRPr="00512250" w:rsidRDefault="00F026BE" w:rsidP="00F026BE">
      <w:pPr>
        <w:pStyle w:val="NormalHanging12a"/>
      </w:pPr>
      <w:r w:rsidRPr="00512250">
        <w:t>1.</w:t>
      </w:r>
      <w:r w:rsidRPr="00512250">
        <w:tab/>
        <w:t>χορηγεί απαλλαγή στον εκτελεστικό διευθυντή της Ευρωπαϊκής Αρχής Ασφαλίσεων και Επαγγελματικών Συντάξεων όσον αφορά την εκτέλεση του προϋπολογισμού της Αρχής για το οικονομικό έτος 2024·</w:t>
      </w:r>
    </w:p>
    <w:p w14:paraId="590D8161"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76293E93"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Ευρωπαϊκής Αρχής Ασφαλίσεων και Επαγγελματικών Συντάξεων, στο Συμβούλιο, στην Επιτροπή και στο Ελεγκτικό Συνέδριο, και να μεριμνήσει για τη δημοσίευσή τους στην </w:t>
      </w:r>
      <w:r w:rsidRPr="00512250">
        <w:rPr>
          <w:i/>
          <w:iCs/>
        </w:rPr>
        <w:t>Επίσημη Εφημερίδα της Ευρωπαϊκής Ένωσης</w:t>
      </w:r>
      <w:r w:rsidRPr="00512250">
        <w:t xml:space="preserve"> (σειρά L).</w:t>
      </w:r>
    </w:p>
    <w:p w14:paraId="27529387" w14:textId="77777777" w:rsidR="00F026BE" w:rsidRPr="00512250" w:rsidRDefault="00F026BE" w:rsidP="00F026BE"/>
    <w:p w14:paraId="25F25AEA" w14:textId="77777777" w:rsidR="00F026BE" w:rsidRPr="00512250" w:rsidRDefault="00F026BE" w:rsidP="00F026BE">
      <w:pPr>
        <w:pStyle w:val="PageHeadingDec"/>
        <w:sectPr w:rsidR="00F026BE" w:rsidRPr="00512250" w:rsidSect="00F01631">
          <w:footerReference w:type="first" r:id="rId3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937BA10" w14:textId="77777777" w:rsidR="00A10728" w:rsidRPr="00512250" w:rsidRDefault="00A10728" w:rsidP="00A10728">
      <w:pPr>
        <w:pStyle w:val="ATHeading3"/>
      </w:pPr>
      <w:r w:rsidRPr="00512250">
        <w:lastRenderedPageBreak/>
        <w:t>28. Απόφαση του Ευρωπαϊκού Κοινοβουλίου της 29ης Απριλίου 2026 σχετικά με το κλείσιμο των λογαριασμών της Ευρωπαϊκής Αρχής Ασφαλίσεων και Επαγγελματικών Συντάξεων για το οικονομικό έτος 2024 (2025/2156(DEC))</w:t>
      </w:r>
    </w:p>
    <w:p w14:paraId="63F135D8" w14:textId="77777777" w:rsidR="00F026BE" w:rsidRPr="00512250" w:rsidRDefault="00F026BE" w:rsidP="00F026BE">
      <w:pPr>
        <w:pStyle w:val="EPComma"/>
      </w:pPr>
      <w:r w:rsidRPr="00512250">
        <w:rPr>
          <w:i/>
          <w:iCs/>
        </w:rPr>
        <w:t>Το Ευρωπαϊκό Κοινοβούλιο,</w:t>
      </w:r>
    </w:p>
    <w:p w14:paraId="37AB9E66"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της Ευρωπαϊκής Αρχής Ασφαλίσεων και Επαγγελματικών Συντάξεων για το οικονομικό έτος 2024,</w:t>
      </w:r>
    </w:p>
    <w:p w14:paraId="4DE87D5B"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163"/>
      </w:r>
      <w:r w:rsidRPr="00512250">
        <w:t>,</w:t>
      </w:r>
    </w:p>
    <w:p w14:paraId="6B1DDEC7"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164"/>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73F86682"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της Αρχής όσον αφορά την εκτέλεση του προϋπολογισμού για το οικονομικό έτος 2024 (05750/2026 – C10-0148/2026),</w:t>
      </w:r>
    </w:p>
    <w:p w14:paraId="1B8190ED"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54A185C6"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165"/>
      </w:r>
      <w:r w:rsidRPr="00512250">
        <w:t>, και ιδίως το άρθρο 70,</w:t>
      </w:r>
    </w:p>
    <w:p w14:paraId="5395E72D"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166"/>
      </w:r>
      <w:r w:rsidRPr="00512250">
        <w:t>, και ιδίως το άρθρο 70,</w:t>
      </w:r>
    </w:p>
    <w:p w14:paraId="38D298EB" w14:textId="77777777" w:rsidR="00F026BE" w:rsidRPr="00512250" w:rsidRDefault="00F026BE" w:rsidP="00F026BE">
      <w:pPr>
        <w:pStyle w:val="NormalHanging12a"/>
      </w:pPr>
      <w:r w:rsidRPr="00512250">
        <w:t>–</w:t>
      </w:r>
      <w:r w:rsidRPr="00512250">
        <w:tab/>
        <w:t>έχοντας υπόψη τον κανονισμό (ΕΕ) αριθ. 1094/2010 του Ευρωπαϊκού Κοινοβουλίου και του Συμβουλίου, της 24ης Νοεμβρίου 2010, για τη σύσταση Ευρωπαϊκής Εποπτικής Αρχής (Ευρωπαϊκή Αρχή Ασφαλίσεων και Επαγγελματικών Συντάξεων), την τροποποίηση της απόφασης αριθ. 716/2009/ΕΚ και την κατάργηση της απόφασης 2009/79/ΕΚ της Επιτροπής</w:t>
      </w:r>
      <w:r w:rsidRPr="00512250">
        <w:rPr>
          <w:rStyle w:val="FootnoteReference"/>
        </w:rPr>
        <w:footnoteReference w:id="167"/>
      </w:r>
      <w:r w:rsidRPr="00512250">
        <w:t>, και ιδίως το άρθρο 64,</w:t>
      </w:r>
    </w:p>
    <w:p w14:paraId="0241349C"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512250">
        <w:lastRenderedPageBreak/>
        <w:t>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168"/>
      </w:r>
      <w:r w:rsidRPr="00512250">
        <w:t>, και ιδίως το άρθρο 105,</w:t>
      </w:r>
    </w:p>
    <w:p w14:paraId="1A8BF1DB"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05CA2659"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372DC8E6"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7280EB9B" w14:textId="77777777" w:rsidR="00F026BE" w:rsidRPr="00512250" w:rsidRDefault="00F026BE" w:rsidP="00F026BE">
      <w:pPr>
        <w:pStyle w:val="NormalHanging12a"/>
      </w:pPr>
      <w:r w:rsidRPr="00512250">
        <w:t>1.</w:t>
      </w:r>
      <w:r w:rsidRPr="00512250">
        <w:tab/>
        <w:t>εγκρίνει το κλείσιμο των λογαριασμών της Ευρωπαϊκής Αρχής Ασφαλίσεων και Επαγγελματικών Συντάξεων για το οικονομικό έτος 2024·</w:t>
      </w:r>
    </w:p>
    <w:p w14:paraId="56DB8128"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στον εκτελεστικό διευθυντή της Ευρωπαϊκής Αρχής Ασφαλίσεων και Επαγγελματικών Συντάξεων, στο Συμβούλιο, στην Επιτροπή και στο Ελεγκτικό Συνέδριο, και να μεριμνήσει για τη δημοσίευσή της στην </w:t>
      </w:r>
      <w:r w:rsidRPr="00512250">
        <w:rPr>
          <w:i/>
          <w:iCs/>
        </w:rPr>
        <w:t>Επίσημη Εφημερίδα της Ευρωπαϊκής Ένωσης</w:t>
      </w:r>
      <w:r w:rsidRPr="00512250">
        <w:t xml:space="preserve"> (σειρά L).</w:t>
      </w:r>
    </w:p>
    <w:p w14:paraId="3DF6D271" w14:textId="77777777" w:rsidR="00F026BE" w:rsidRPr="00512250" w:rsidRDefault="00F026BE" w:rsidP="00F026BE"/>
    <w:p w14:paraId="40F41D01" w14:textId="77777777" w:rsidR="00F026BE" w:rsidRPr="00512250" w:rsidRDefault="00F026BE" w:rsidP="00F026BE"/>
    <w:p w14:paraId="7009950A" w14:textId="2BBD0BD7" w:rsidR="00F026BE" w:rsidRPr="00512250" w:rsidRDefault="00F026BE" w:rsidP="00F026BE">
      <w:pPr>
        <w:pStyle w:val="PageHeadingDec"/>
      </w:pPr>
    </w:p>
    <w:p w14:paraId="3AA78D21" w14:textId="77777777" w:rsidR="00F026BE" w:rsidRPr="00512250" w:rsidRDefault="00F026BE" w:rsidP="00F026BE">
      <w:pPr>
        <w:pStyle w:val="PageHeadingDec"/>
        <w:sectPr w:rsidR="00F026BE" w:rsidRPr="00512250" w:rsidSect="00F01631">
          <w:footerReference w:type="first" r:id="rId3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1F5E33B" w14:textId="77777777" w:rsidR="00A10728" w:rsidRPr="00512250" w:rsidRDefault="00A10728" w:rsidP="00A10728">
      <w:pPr>
        <w:pStyle w:val="ATHeading3"/>
      </w:pPr>
      <w:r w:rsidRPr="00512250">
        <w:lastRenderedPageBreak/>
        <w:t>29. Απόφαση του Ευρωπαϊκού Κοινοβουλίου της 29ης Απριλίου 2026 σχετικά με την απαλλαγή όσον αφορά την εκτέλεση του προϋπολογισμού του Ευρωπαϊκού Ινστιτούτου Καινοτομίας και Τεχνολογίας για το οικονομικό έτος 2024 (2025/2156(DEC))</w:t>
      </w:r>
    </w:p>
    <w:p w14:paraId="3B67755D" w14:textId="77777777" w:rsidR="00F026BE" w:rsidRPr="00512250" w:rsidRDefault="00F026BE" w:rsidP="00F026BE">
      <w:pPr>
        <w:pStyle w:val="EPComma"/>
      </w:pPr>
      <w:r w:rsidRPr="00512250">
        <w:rPr>
          <w:i/>
          <w:iCs/>
        </w:rPr>
        <w:t>Το Ευρωπαϊκό Κοινοβούλιο,</w:t>
      </w:r>
    </w:p>
    <w:p w14:paraId="0B0E46BB"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Ινστιτούτου Καινοτομίας και Τεχνολογίας για το οικονομικό έτος 2024,</w:t>
      </w:r>
    </w:p>
    <w:p w14:paraId="3DBC3486"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169"/>
      </w:r>
      <w:r w:rsidRPr="00512250">
        <w:t>,</w:t>
      </w:r>
    </w:p>
    <w:p w14:paraId="7837C22E"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170"/>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0E21662F"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του Ινστιτούτου όσον αφορά την εκτέλεση του προϋπολογισμού για το οικονομικό έτος 2024 (05750/2026 – C10-0148/2026),</w:t>
      </w:r>
    </w:p>
    <w:p w14:paraId="3259DC23"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3C5EF3FF"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171"/>
      </w:r>
      <w:r w:rsidRPr="00512250">
        <w:t>, και ιδίως το άρθρο 70,</w:t>
      </w:r>
    </w:p>
    <w:p w14:paraId="21C349D7"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172"/>
      </w:r>
      <w:r w:rsidRPr="00512250">
        <w:t>, και ιδίως το άρθρο 70,</w:t>
      </w:r>
    </w:p>
    <w:p w14:paraId="5BF48C87" w14:textId="77777777" w:rsidR="00F026BE" w:rsidRPr="00512250" w:rsidRDefault="00F026BE" w:rsidP="00F026BE">
      <w:pPr>
        <w:pStyle w:val="NormalHanging12a"/>
      </w:pPr>
      <w:r w:rsidRPr="00512250">
        <w:t>–</w:t>
      </w:r>
      <w:r w:rsidRPr="00512250">
        <w:tab/>
        <w:t>έχοντας υπόψη τον κανονισμό (ΕΕ) 2021/819 του Ευρωπαϊκού Κοινοβουλίου και του Συμβουλίου, της 20ής Μαΐου 2021, σχετικά με το Ευρωπαϊκό Ινστιτούτο Καινοτομίας και Τεχνολογίας</w:t>
      </w:r>
      <w:r w:rsidRPr="00512250">
        <w:rPr>
          <w:rStyle w:val="FootnoteReference"/>
        </w:rPr>
        <w:footnoteReference w:id="173"/>
      </w:r>
      <w:r w:rsidRPr="00512250">
        <w:t>, και ιδίως το άρθρο 23,</w:t>
      </w:r>
    </w:p>
    <w:p w14:paraId="4FC00590"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174"/>
      </w:r>
      <w:r w:rsidRPr="00512250">
        <w:t>, και ιδίως το άρθρο 105,</w:t>
      </w:r>
    </w:p>
    <w:p w14:paraId="14A23C15"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2EE7B225"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09A9F7FB"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589B170C" w14:textId="77777777" w:rsidR="00F026BE" w:rsidRPr="00512250" w:rsidRDefault="00F026BE" w:rsidP="00F026BE">
      <w:pPr>
        <w:pStyle w:val="NormalHanging12a"/>
      </w:pPr>
      <w:r w:rsidRPr="00512250">
        <w:t>1.</w:t>
      </w:r>
      <w:r w:rsidRPr="00512250">
        <w:tab/>
        <w:t>χορηγεί απαλλαγή στον διευθυντή του Ευρωπαϊκού Ινστιτούτου Καινοτομίας και Τεχνολογίας όσον αφορά την εκτέλεση του προϋπολογισμού του Ινστιτούτου για το οικονομικό έτος 2024·</w:t>
      </w:r>
    </w:p>
    <w:p w14:paraId="50D01068"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591258F2"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στον διευθυντή του Ευρωπαϊκού Ινστιτούτου Καινοτομίας και Τεχνολογίας, στο Συμβούλιο, στην Επιτροπή και στο Ελεγκτικό Συνέδριο, και να μεριμνήσει για τη δημοσίευσή τους στην </w:t>
      </w:r>
      <w:r w:rsidRPr="00512250">
        <w:rPr>
          <w:i/>
          <w:iCs/>
        </w:rPr>
        <w:t>Επίσημη Εφημερίδα της Ευρωπαϊκής Ένωσης</w:t>
      </w:r>
      <w:r w:rsidRPr="00512250">
        <w:t xml:space="preserve"> (σειρά L).</w:t>
      </w:r>
    </w:p>
    <w:p w14:paraId="2FEB1CB9" w14:textId="77777777" w:rsidR="00F026BE" w:rsidRPr="00512250" w:rsidRDefault="00F026BE" w:rsidP="00F026BE"/>
    <w:p w14:paraId="69B9B2C1" w14:textId="77777777" w:rsidR="00F026BE" w:rsidRPr="00512250" w:rsidRDefault="00F026BE" w:rsidP="00F026BE">
      <w:pPr>
        <w:pStyle w:val="PageHeadingDec"/>
        <w:sectPr w:rsidR="00F026BE" w:rsidRPr="00512250" w:rsidSect="00F01631">
          <w:footerReference w:type="first" r:id="rId3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9C258A7" w14:textId="77777777" w:rsidR="00A10728" w:rsidRPr="00512250" w:rsidRDefault="00A10728" w:rsidP="00A10728">
      <w:pPr>
        <w:pStyle w:val="ATHeading3"/>
      </w:pPr>
      <w:r w:rsidRPr="00512250">
        <w:lastRenderedPageBreak/>
        <w:t>30. Απόφαση του Ευρωπαϊκού Κοινοβουλίου της 29ης Απριλίου 2026 σχετικά με το κλείσιμο των λογαριασμών του Ευρωπαϊκού Ινστιτούτου Καινοτομίας και Τεχνολογίας για το οικονομικό έτος 2024 (2025/2156(DEC))</w:t>
      </w:r>
    </w:p>
    <w:p w14:paraId="754D22FA" w14:textId="77777777" w:rsidR="00F026BE" w:rsidRPr="00512250" w:rsidRDefault="00F026BE" w:rsidP="00F026BE">
      <w:pPr>
        <w:pStyle w:val="EPComma"/>
      </w:pPr>
      <w:r w:rsidRPr="00512250">
        <w:rPr>
          <w:i/>
          <w:iCs/>
        </w:rPr>
        <w:t>Το Ευρωπαϊκό Κοινοβούλιο,</w:t>
      </w:r>
    </w:p>
    <w:p w14:paraId="2B43C689"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Ινστιτούτου Καινοτομίας και Τεχνολογίας για το οικονομικό έτος 2024,</w:t>
      </w:r>
    </w:p>
    <w:p w14:paraId="62243708"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175"/>
      </w:r>
      <w:r w:rsidRPr="00512250">
        <w:t>,</w:t>
      </w:r>
    </w:p>
    <w:p w14:paraId="22600FC4"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176"/>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5A498E38"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του Ινστιτούτου όσον αφορά την εκτέλεση του προϋπολογισμού για το οικονομικό έτος 2024 (05750/2026 – C10-0148/2026),</w:t>
      </w:r>
    </w:p>
    <w:p w14:paraId="52E1E724"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3F6D2007"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177"/>
      </w:r>
      <w:r w:rsidRPr="00512250">
        <w:t>, και ιδίως το άρθρο 70,</w:t>
      </w:r>
    </w:p>
    <w:p w14:paraId="58727F1D"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178"/>
      </w:r>
      <w:r w:rsidRPr="00512250">
        <w:t>, και ιδίως το άρθρο 70,</w:t>
      </w:r>
    </w:p>
    <w:p w14:paraId="3B835BD2" w14:textId="77777777" w:rsidR="00F026BE" w:rsidRPr="00512250" w:rsidRDefault="00F026BE" w:rsidP="00F026BE">
      <w:pPr>
        <w:pStyle w:val="NormalHanging12a"/>
      </w:pPr>
      <w:r w:rsidRPr="00512250">
        <w:t>–</w:t>
      </w:r>
      <w:r w:rsidRPr="00512250">
        <w:tab/>
        <w:t>έχοντας υπόψη τον κανονισμό (ΕΕ) 2021/819 του Ευρωπαϊκού Κοινοβουλίου και του Συμβουλίου, της 20ής Μαΐου 2021, σχετικά με το Ευρωπαϊκό Ινστιτούτο Καινοτομίας και Τεχνολογίας</w:t>
      </w:r>
      <w:r w:rsidRPr="00512250">
        <w:rPr>
          <w:rStyle w:val="FootnoteReference"/>
        </w:rPr>
        <w:footnoteReference w:id="179"/>
      </w:r>
      <w:r w:rsidRPr="00512250">
        <w:t>, και ιδίως το άρθρο 23,</w:t>
      </w:r>
    </w:p>
    <w:p w14:paraId="39664A6D"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180"/>
      </w:r>
      <w:r w:rsidRPr="00512250">
        <w:t>, και ιδίως το άρθρο 105,</w:t>
      </w:r>
    </w:p>
    <w:p w14:paraId="244207D9"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1433D7EB"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23EEFBCF"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223EF8D6" w14:textId="77777777" w:rsidR="00F026BE" w:rsidRPr="00512250" w:rsidRDefault="00F026BE" w:rsidP="00F026BE">
      <w:pPr>
        <w:pStyle w:val="NormalHanging12a"/>
      </w:pPr>
      <w:r w:rsidRPr="00512250">
        <w:t>1.</w:t>
      </w:r>
      <w:r w:rsidRPr="00512250">
        <w:tab/>
        <w:t>εγκρίνει το κλείσιμο των λογαριασμών του Ευρωπαϊκού Ινστιτούτου Καινοτομίας και Τεχνολογίας για το οικονομικό έτος 2024·</w:t>
      </w:r>
    </w:p>
    <w:p w14:paraId="64DCEBE7"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στον διευθυντή του Ευρωπαϊκού Ινστιτούτου Καινοτομίας και Τεχνολογίας, στο Συμβούλιο, στην Επιτροπή και στο Ελεγκτικό Συνέδριο, και να μεριμνήσει για τη δημοσίευσή της στην </w:t>
      </w:r>
      <w:r w:rsidRPr="00512250">
        <w:rPr>
          <w:i/>
          <w:iCs/>
        </w:rPr>
        <w:t>Επίσημη Εφημερίδα της Ευρωπαϊκής Ένωσης</w:t>
      </w:r>
      <w:r w:rsidRPr="00512250">
        <w:t xml:space="preserve"> (σειρά L).</w:t>
      </w:r>
    </w:p>
    <w:p w14:paraId="0A52E5AC" w14:textId="77777777" w:rsidR="00F026BE" w:rsidRPr="00512250" w:rsidRDefault="00F026BE" w:rsidP="00F026BE"/>
    <w:p w14:paraId="2941A86A" w14:textId="77777777" w:rsidR="00F026BE" w:rsidRPr="00512250" w:rsidRDefault="00F026BE" w:rsidP="00F026BE"/>
    <w:p w14:paraId="56E6B56F" w14:textId="0501ADD9" w:rsidR="00F026BE" w:rsidRPr="00512250" w:rsidRDefault="00F026BE" w:rsidP="00F026BE">
      <w:pPr>
        <w:pStyle w:val="PageHeadingDec"/>
      </w:pPr>
    </w:p>
    <w:p w14:paraId="6BCB55BD" w14:textId="77777777" w:rsidR="00F026BE" w:rsidRPr="00512250" w:rsidRDefault="00F026BE" w:rsidP="00F026BE">
      <w:pPr>
        <w:pStyle w:val="PageHeadingDec"/>
        <w:sectPr w:rsidR="00F026BE" w:rsidRPr="00512250" w:rsidSect="00F01631">
          <w:footerReference w:type="first" r:id="rId3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549F289" w14:textId="77777777" w:rsidR="00A10728" w:rsidRPr="00512250" w:rsidRDefault="00A10728" w:rsidP="00A10728">
      <w:pPr>
        <w:pStyle w:val="ATHeading3"/>
      </w:pPr>
      <w:r w:rsidRPr="00512250">
        <w:lastRenderedPageBreak/>
        <w:t>31. Απόφαση του Ευρωπαϊκού Κοινοβουλίου της 29ης Απριλίου 2026 σχετικά με την απαλλαγή όσον αφορά την εκτέλεση του προϋπολογισμού της Ευρωπαϊκής Αρχής Εργασίας για το οικονομικό έτος 2024 (2025/2156(DEC))</w:t>
      </w:r>
    </w:p>
    <w:p w14:paraId="6BC0C8AB" w14:textId="77777777" w:rsidR="00F026BE" w:rsidRPr="00512250" w:rsidRDefault="00F026BE" w:rsidP="00F026BE">
      <w:pPr>
        <w:pStyle w:val="EPComma"/>
      </w:pPr>
      <w:r w:rsidRPr="00512250">
        <w:rPr>
          <w:i/>
          <w:iCs/>
        </w:rPr>
        <w:t>Το Ευρωπαϊκό Κοινοβούλιο,</w:t>
      </w:r>
    </w:p>
    <w:p w14:paraId="5DDF307F" w14:textId="77777777" w:rsidR="00F026BE" w:rsidRPr="00512250" w:rsidRDefault="00F026BE" w:rsidP="00F026BE">
      <w:pPr>
        <w:pStyle w:val="NormalHanging12a"/>
      </w:pPr>
      <w:r w:rsidRPr="00512250">
        <w:t>–</w:t>
      </w:r>
      <w:r w:rsidRPr="00512250">
        <w:tab/>
        <w:t>έχοντας υπόψη τους τελικούς ετήσιους λογαριασμούς της Ευρωπαϊκής Αρχής Εργασίας για το οικονομικό έτος 2024,</w:t>
      </w:r>
    </w:p>
    <w:p w14:paraId="56545306"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181"/>
      </w:r>
      <w:r w:rsidRPr="00512250">
        <w:t>,</w:t>
      </w:r>
    </w:p>
    <w:p w14:paraId="7C01F3AE"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182"/>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71EE46A1"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της Αρχής όσον αφορά την εκτέλεση του προϋπολογισμού για το οικονομικό έτος 2024 (05750/2026 – C10-0148/2026),</w:t>
      </w:r>
    </w:p>
    <w:p w14:paraId="5D188865"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113578EA"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183"/>
      </w:r>
      <w:r w:rsidRPr="00512250">
        <w:t>, και ιδίως το άρθρο 70,</w:t>
      </w:r>
    </w:p>
    <w:p w14:paraId="4B6C63E7"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184"/>
      </w:r>
      <w:r w:rsidRPr="00512250">
        <w:t>, και ιδίως το άρθρο 70,</w:t>
      </w:r>
    </w:p>
    <w:p w14:paraId="184165EB" w14:textId="77777777" w:rsidR="00F026BE" w:rsidRPr="00512250" w:rsidRDefault="00F026BE" w:rsidP="00F026BE">
      <w:pPr>
        <w:pStyle w:val="NormalHanging12a"/>
      </w:pPr>
      <w:r w:rsidRPr="00512250">
        <w:t>–</w:t>
      </w:r>
      <w:r w:rsidRPr="00512250">
        <w:tab/>
        <w:t>έχοντας υπόψη τον κανονισμό (ΕΕ) 2019/1149 του Ευρωπαϊκού Κοινοβουλίου και του Συμβουλίου, της 20ής Ιουνίου 2019, για την ίδρυση Ευρωπαϊκής Αρχής Εργασίας, την τροποποίηση των κανονισμών (ΕΚ) αριθ. 883/2004, (ΕΕ) αριθ. 492/2011 και (ΕΕ) 2016/589 και την κατάργηση της απόφασης (ΕΕ) 2016/344</w:t>
      </w:r>
      <w:r w:rsidRPr="00512250">
        <w:rPr>
          <w:rStyle w:val="FootnoteReference"/>
        </w:rPr>
        <w:footnoteReference w:id="185"/>
      </w:r>
      <w:r w:rsidRPr="00512250">
        <w:t>, και ιδίως το άρθρο 28,</w:t>
      </w:r>
    </w:p>
    <w:p w14:paraId="1FEFA969"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186"/>
      </w:r>
      <w:r w:rsidRPr="00512250">
        <w:t>, και ιδίως το άρθρο 105,</w:t>
      </w:r>
    </w:p>
    <w:p w14:paraId="4842EE19"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4AB4FD76"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1C6C838B"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09FF1FA6" w14:textId="77777777" w:rsidR="00F026BE" w:rsidRPr="00512250" w:rsidRDefault="00F026BE" w:rsidP="00F026BE">
      <w:pPr>
        <w:pStyle w:val="NormalHanging12a"/>
      </w:pPr>
      <w:r w:rsidRPr="00512250">
        <w:t>1.</w:t>
      </w:r>
      <w:r w:rsidRPr="00512250">
        <w:tab/>
        <w:t>χορηγεί απαλλαγή στον εκτελεστικό διευθυντή της Ευρωπαϊκής Αρχής Εργασίας όσον αφορά την εκτέλεση του προϋπολογισμού της Αρχής για το οικονομικό έτος 2024·</w:t>
      </w:r>
    </w:p>
    <w:p w14:paraId="1B6DE6F8"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62426C64"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της Ευρωπαϊκής Αρχής Εργασίας, στο Συμβούλιο, στην Επιτροπή και στο Ελεγκτικό Συνέδριο, και να μεριμνήσει για τη δημοσίευσή τους στην </w:t>
      </w:r>
      <w:r w:rsidRPr="00512250">
        <w:rPr>
          <w:i/>
          <w:iCs/>
        </w:rPr>
        <w:t>Επίσημη Εφημερίδα της Ευρωπαϊκής Ένωσης</w:t>
      </w:r>
      <w:r w:rsidRPr="00512250">
        <w:t xml:space="preserve"> (σειρά L).</w:t>
      </w:r>
    </w:p>
    <w:p w14:paraId="2945304A" w14:textId="77777777" w:rsidR="00F026BE" w:rsidRPr="00512250" w:rsidRDefault="00F026BE" w:rsidP="00F026BE"/>
    <w:p w14:paraId="5E5A594D" w14:textId="77777777" w:rsidR="00F026BE" w:rsidRPr="00512250" w:rsidRDefault="00F026BE" w:rsidP="00F026BE">
      <w:pPr>
        <w:pStyle w:val="PageHeadingDec"/>
        <w:sectPr w:rsidR="00F026BE" w:rsidRPr="00512250" w:rsidSect="00F01631">
          <w:footerReference w:type="first" r:id="rId3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5DC82EE" w14:textId="77777777" w:rsidR="00A10728" w:rsidRPr="00512250" w:rsidRDefault="00A10728" w:rsidP="00A10728">
      <w:pPr>
        <w:pStyle w:val="ATHeading3"/>
      </w:pPr>
      <w:r w:rsidRPr="00512250">
        <w:lastRenderedPageBreak/>
        <w:t>32. Απόφαση του Ευρωπαϊκού Κοινοβουλίου της 29ης Απριλίου 2026 σχετικά με το κλείσιμο των λογαριασμών της Ευρωπαϊκής Αρχής Εργασίας για το οικονομικό έτος 2024 (2025/2156(DEC))</w:t>
      </w:r>
    </w:p>
    <w:p w14:paraId="40746B34" w14:textId="77777777" w:rsidR="00F026BE" w:rsidRPr="00512250" w:rsidRDefault="00F026BE" w:rsidP="00F026BE">
      <w:pPr>
        <w:pStyle w:val="EPComma"/>
      </w:pPr>
      <w:r w:rsidRPr="00512250">
        <w:rPr>
          <w:i/>
          <w:iCs/>
        </w:rPr>
        <w:t>Το Ευρωπαϊκό Κοινοβούλιο,</w:t>
      </w:r>
    </w:p>
    <w:p w14:paraId="4D417C89" w14:textId="77777777" w:rsidR="00F026BE" w:rsidRPr="00512250" w:rsidRDefault="00F026BE" w:rsidP="00F026BE">
      <w:pPr>
        <w:pStyle w:val="NormalHanging12a"/>
      </w:pPr>
      <w:r w:rsidRPr="00512250">
        <w:t>–</w:t>
      </w:r>
      <w:r w:rsidRPr="00512250">
        <w:tab/>
        <w:t>έχοντας υπόψη τους τελικούς ετήσιους λογαριασμούς της Ευρωπαϊκής Αρχής Εργασίας για το οικονομικό έτος 2024,</w:t>
      </w:r>
    </w:p>
    <w:p w14:paraId="64537B05"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187"/>
      </w:r>
      <w:r w:rsidRPr="00512250">
        <w:t>,</w:t>
      </w:r>
    </w:p>
    <w:p w14:paraId="71A35431"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188"/>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21E1D2CA"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της Αρχής όσον αφορά την εκτέλεση του προϋπολογισμού για το οικονομικό έτος 2024 (05750/2026 – C10-0148/2026),</w:t>
      </w:r>
    </w:p>
    <w:p w14:paraId="6F6053F1"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5D81261B"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189"/>
      </w:r>
      <w:r w:rsidRPr="00512250">
        <w:t>, και ιδίως το άρθρο 70,</w:t>
      </w:r>
    </w:p>
    <w:p w14:paraId="3E9FC6D4"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190"/>
      </w:r>
      <w:r w:rsidRPr="00512250">
        <w:t>, και ιδίως το άρθρο 70,</w:t>
      </w:r>
    </w:p>
    <w:p w14:paraId="129B97DF" w14:textId="77777777" w:rsidR="00F026BE" w:rsidRPr="00512250" w:rsidRDefault="00F026BE" w:rsidP="00F026BE">
      <w:pPr>
        <w:pStyle w:val="NormalHanging12a"/>
      </w:pPr>
      <w:r w:rsidRPr="00512250">
        <w:t>–</w:t>
      </w:r>
      <w:r w:rsidRPr="00512250">
        <w:tab/>
        <w:t>έχοντας υπόψη τον κανονισμό (ΕΕ) 2019/1149 του Ευρωπαϊκού Κοινοβουλίου και του Συμβουλίου, της 20ής Ιουνίου 2019, για την ίδρυση Ευρωπαϊκής Αρχής Εργασίας, την τροποποίηση των κανονισμών (ΕΚ) αριθ. 883/2004, (ΕΕ) αριθ. 492/2011 και (ΕΕ) 2016/589 και την κατάργηση της απόφασης (ΕΕ) 2016/344</w:t>
      </w:r>
      <w:r w:rsidRPr="00512250">
        <w:rPr>
          <w:rStyle w:val="FootnoteReference"/>
        </w:rPr>
        <w:footnoteReference w:id="191"/>
      </w:r>
      <w:r w:rsidRPr="00512250">
        <w:t>, και ιδίως το άρθρο 28,</w:t>
      </w:r>
    </w:p>
    <w:p w14:paraId="761E0C37"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192"/>
      </w:r>
      <w:r w:rsidRPr="00512250">
        <w:t>, και ιδίως το άρθρο 105,</w:t>
      </w:r>
    </w:p>
    <w:p w14:paraId="79C7A1BF"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7A9521AE"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463A15CF"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3D637AF2" w14:textId="77777777" w:rsidR="00F026BE" w:rsidRPr="00512250" w:rsidRDefault="00F026BE" w:rsidP="00F026BE">
      <w:pPr>
        <w:pStyle w:val="NormalHanging12a"/>
      </w:pPr>
      <w:r w:rsidRPr="00512250">
        <w:t>1.</w:t>
      </w:r>
      <w:r w:rsidRPr="00512250">
        <w:tab/>
        <w:t>εγκρίνει το κλείσιμο των λογαριασμών της Ευρωπαϊκής Αρχής Εργασίας για το οικονομικό έτος 2024·</w:t>
      </w:r>
    </w:p>
    <w:p w14:paraId="2C705A1A"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στον εκτελεστικό διευθυντή της Ευρωπαϊκής Αρχής Εργασίας, στο Συμβούλιο, στην Επιτροπή και στο Ελεγκτικό Συνέδριο, και να μεριμνήσει για τη δημοσίευσή της στην </w:t>
      </w:r>
      <w:r w:rsidRPr="00512250">
        <w:rPr>
          <w:i/>
          <w:iCs/>
        </w:rPr>
        <w:t>Επίσημη Εφημερίδα της Ευρωπαϊκής Ένωσης</w:t>
      </w:r>
      <w:r w:rsidRPr="00512250">
        <w:t xml:space="preserve"> (σειρά L).</w:t>
      </w:r>
    </w:p>
    <w:p w14:paraId="6D3D5628" w14:textId="77777777" w:rsidR="00F026BE" w:rsidRPr="00512250" w:rsidRDefault="00F026BE" w:rsidP="00F026BE"/>
    <w:p w14:paraId="651F3E01" w14:textId="77777777" w:rsidR="00F026BE" w:rsidRPr="00512250" w:rsidRDefault="00F026BE" w:rsidP="00F026BE"/>
    <w:p w14:paraId="7A9AA7C4" w14:textId="70108F09" w:rsidR="00F026BE" w:rsidRPr="00512250" w:rsidRDefault="00F026BE" w:rsidP="00F026BE">
      <w:pPr>
        <w:pStyle w:val="PageHeadingDec"/>
      </w:pPr>
    </w:p>
    <w:p w14:paraId="1A2310A1" w14:textId="77777777" w:rsidR="00F026BE" w:rsidRPr="00512250" w:rsidRDefault="00F026BE" w:rsidP="00F026BE">
      <w:pPr>
        <w:pStyle w:val="PageHeadingDec"/>
        <w:sectPr w:rsidR="00F026BE" w:rsidRPr="00512250" w:rsidSect="00F01631">
          <w:footerReference w:type="first" r:id="rId4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6DBFA26" w14:textId="77777777" w:rsidR="00A10728" w:rsidRPr="00512250" w:rsidRDefault="00A10728" w:rsidP="00A10728">
      <w:pPr>
        <w:pStyle w:val="ATHeading3"/>
      </w:pPr>
      <w:r w:rsidRPr="00512250">
        <w:lastRenderedPageBreak/>
        <w:t>33. Απόφαση του Ευρωπαϊκού Κοινοβουλίου της 29ης Απριλίου 2026 σχετικά με την απαλλαγή όσον αφορά την εκτέλεση του προϋπολογισμού του Ευρωπαϊκού Οργανισμού Φαρμάκων για το οικονομικό έτος 2024 (2025/2156(DEC))</w:t>
      </w:r>
    </w:p>
    <w:p w14:paraId="7DDE19A2" w14:textId="77777777" w:rsidR="00F026BE" w:rsidRPr="00512250" w:rsidRDefault="00F026BE" w:rsidP="00F026BE">
      <w:pPr>
        <w:pStyle w:val="EPComma"/>
      </w:pPr>
      <w:r w:rsidRPr="00512250">
        <w:rPr>
          <w:i/>
          <w:iCs/>
        </w:rPr>
        <w:t>Το Ευρωπαϊκό Κοινοβούλιο,</w:t>
      </w:r>
    </w:p>
    <w:p w14:paraId="4C8A5742"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Οργανισμού Φαρμάκων για το οικονομικό έτος 2024,</w:t>
      </w:r>
    </w:p>
    <w:p w14:paraId="72425F1B"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193"/>
      </w:r>
      <w:r w:rsidRPr="00512250">
        <w:t>,</w:t>
      </w:r>
    </w:p>
    <w:p w14:paraId="774790BB"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194"/>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0F8854F1" w14:textId="695D0253"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7C2F5087"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3E3146FA"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195"/>
      </w:r>
      <w:r w:rsidRPr="00512250">
        <w:t>, και ιδίως το άρθρο 70,</w:t>
      </w:r>
    </w:p>
    <w:p w14:paraId="037CA916"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196"/>
      </w:r>
      <w:r w:rsidRPr="00512250">
        <w:t>, και ιδίως το άρθρο 70,</w:t>
      </w:r>
    </w:p>
    <w:p w14:paraId="606F5050" w14:textId="77777777" w:rsidR="00F026BE" w:rsidRPr="00512250" w:rsidRDefault="00F026BE" w:rsidP="00F026BE">
      <w:pPr>
        <w:pStyle w:val="NormalHanging12a"/>
      </w:pPr>
      <w:r w:rsidRPr="00512250">
        <w:t>–</w:t>
      </w:r>
      <w:r w:rsidRPr="00512250">
        <w:tab/>
        <w:t>έχοντας υπόψη τον κανονισμό (ΕΚ) αριθ. 726/2004 του Ευρωπαϊκού Κοινοβουλίου και του Συμβουλίου, της 31ης Μαρτίου 2004, για τη θέσπιση κοινοτικών διαδικασιών χορήγησης άδειας και εποπτείας όσον αφορά τα φάρμακα που προορίζονται για ανθρώπινη χρήση και για τη σύσταση Ευρωπαϊκού Οργανισμού Φαρμάκων</w:t>
      </w:r>
      <w:r w:rsidRPr="00512250">
        <w:rPr>
          <w:rStyle w:val="FootnoteReference"/>
        </w:rPr>
        <w:footnoteReference w:id="197"/>
      </w:r>
      <w:r w:rsidRPr="00512250">
        <w:t>, και ιδίως το άρθρο 68,</w:t>
      </w:r>
    </w:p>
    <w:p w14:paraId="2968E40E"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512250">
        <w:lastRenderedPageBreak/>
        <w:t>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198"/>
      </w:r>
      <w:r w:rsidRPr="00512250">
        <w:t>, και ιδίως το άρθρο 105,</w:t>
      </w:r>
    </w:p>
    <w:p w14:paraId="3801C281"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368FAB67"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40AF4E68"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205FCA45" w14:textId="77777777" w:rsidR="00F026BE" w:rsidRPr="00512250" w:rsidRDefault="00F026BE" w:rsidP="00F026BE">
      <w:pPr>
        <w:pStyle w:val="NormalHanging12a"/>
      </w:pPr>
      <w:r w:rsidRPr="00512250">
        <w:t>1.</w:t>
      </w:r>
      <w:r w:rsidRPr="00512250">
        <w:tab/>
        <w:t>χορηγεί απαλλαγή στην εκτελεστική διευθύντρια του Ευρωπαϊκού Οργανισμού Φαρμάκων όσον αφορά την εκτέλεση του προϋπολογισμού του Οργανισμού για το οικονομικό έτος 2024·</w:t>
      </w:r>
    </w:p>
    <w:p w14:paraId="15DF6E6B"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379BBEF0"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του Ευρωπαϊκού Οργανισμού Φαρμάκων, στο Συμβούλιο, στην Επιτροπή και στο Ελεγκτικό Συνέδριο, και να μεριμνήσει για τη δημοσίευσή τους στην </w:t>
      </w:r>
      <w:r w:rsidRPr="00512250">
        <w:rPr>
          <w:i/>
          <w:iCs/>
        </w:rPr>
        <w:t>Επίσημη Εφημερίδα της Ευρωπαϊκής Ένωσης</w:t>
      </w:r>
      <w:r w:rsidRPr="00512250">
        <w:t xml:space="preserve"> (σειρά L).</w:t>
      </w:r>
    </w:p>
    <w:p w14:paraId="6CF8BC46" w14:textId="77777777" w:rsidR="00F026BE" w:rsidRPr="00512250" w:rsidRDefault="00F026BE" w:rsidP="00F026BE"/>
    <w:p w14:paraId="1D5BC763" w14:textId="77777777" w:rsidR="00F026BE" w:rsidRPr="00512250" w:rsidRDefault="00F026BE" w:rsidP="00F026BE">
      <w:pPr>
        <w:pStyle w:val="PageHeadingDec"/>
        <w:sectPr w:rsidR="00F026BE" w:rsidRPr="00512250" w:rsidSect="00F01631">
          <w:footerReference w:type="first" r:id="rId4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DC5630A" w14:textId="77777777" w:rsidR="00A10728" w:rsidRPr="00512250" w:rsidRDefault="00A10728" w:rsidP="00A10728">
      <w:pPr>
        <w:pStyle w:val="ATHeading3"/>
      </w:pPr>
      <w:r w:rsidRPr="00512250">
        <w:lastRenderedPageBreak/>
        <w:t>34. Απόφαση του Ευρωπαϊκού Κοινοβουλίου της 29ης Απριλίου 2026 σχετικά με το κλείσιμο των λογαριασμών του Ευρωπαϊκού Οργανισμού Φαρμάκων για το οικονομικό έτος 2024 (2025/2156(DEC))</w:t>
      </w:r>
    </w:p>
    <w:p w14:paraId="78172D16" w14:textId="77777777" w:rsidR="00F026BE" w:rsidRPr="00512250" w:rsidRDefault="00F026BE" w:rsidP="00F026BE">
      <w:pPr>
        <w:pStyle w:val="EPComma"/>
      </w:pPr>
      <w:r w:rsidRPr="00512250">
        <w:rPr>
          <w:i/>
          <w:iCs/>
        </w:rPr>
        <w:t>Το Ευρωπαϊκό Κοινοβούλιο,</w:t>
      </w:r>
    </w:p>
    <w:p w14:paraId="2C29984F"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Οργανισμού Φαρμάκων για το οικονομικό έτος 2024,</w:t>
      </w:r>
    </w:p>
    <w:p w14:paraId="52C4D727"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199"/>
      </w:r>
      <w:r w:rsidRPr="00512250">
        <w:t>,</w:t>
      </w:r>
    </w:p>
    <w:p w14:paraId="647EE5CE"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200"/>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73430C97" w14:textId="17349363"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6E46E740"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31227FC2"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201"/>
      </w:r>
      <w:r w:rsidRPr="00512250">
        <w:t>, και ιδίως το άρθρο 70,</w:t>
      </w:r>
    </w:p>
    <w:p w14:paraId="138BF28C"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202"/>
      </w:r>
      <w:r w:rsidRPr="00512250">
        <w:t>, και ιδίως το άρθρο 70,</w:t>
      </w:r>
    </w:p>
    <w:p w14:paraId="7AE499C1" w14:textId="77777777" w:rsidR="00F026BE" w:rsidRPr="00512250" w:rsidRDefault="00F026BE" w:rsidP="00F026BE">
      <w:pPr>
        <w:pStyle w:val="NormalHanging12a"/>
      </w:pPr>
      <w:r w:rsidRPr="00512250">
        <w:t>–</w:t>
      </w:r>
      <w:r w:rsidRPr="00512250">
        <w:tab/>
        <w:t>έχοντας υπόψη τον κανονισμό (ΕΚ) αριθ. 726/2004 του Ευρωπαϊκού Κοινοβουλίου και του Συμβουλίου, της 31ης Μαρτίου 2004, για τη θέσπιση κοινοτικών διαδικασιών χορήγησης άδειας και εποπτείας όσον αφορά τα φάρμακα που προορίζονται για ανθρώπινη χρήση και για τη σύσταση Ευρωπαϊκού Οργανισμού Φαρμάκων</w:t>
      </w:r>
      <w:r w:rsidRPr="00512250">
        <w:rPr>
          <w:rStyle w:val="FootnoteReference"/>
        </w:rPr>
        <w:footnoteReference w:id="203"/>
      </w:r>
      <w:r w:rsidRPr="00512250">
        <w:t>, και ιδίως το άρθρο 68,</w:t>
      </w:r>
    </w:p>
    <w:p w14:paraId="2EEB8A75"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512250">
        <w:lastRenderedPageBreak/>
        <w:t>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204"/>
      </w:r>
      <w:r w:rsidRPr="00512250">
        <w:t>, και ιδίως το άρθρο 105,</w:t>
      </w:r>
    </w:p>
    <w:p w14:paraId="1D2B8266"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29363901"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2035ACD0"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46336C0C" w14:textId="77777777" w:rsidR="00F026BE" w:rsidRPr="00512250" w:rsidRDefault="00F026BE" w:rsidP="00F026BE">
      <w:pPr>
        <w:pStyle w:val="NormalHanging12a"/>
      </w:pPr>
      <w:r w:rsidRPr="00512250">
        <w:t>1.</w:t>
      </w:r>
      <w:r w:rsidRPr="00512250">
        <w:tab/>
        <w:t>εγκρίνει το κλείσιμο των λογαριασμών του Ευρωπαϊκού Οργανισμού Φαρμάκων για το οικονομικό έτος 2024·</w:t>
      </w:r>
    </w:p>
    <w:p w14:paraId="3DC4E2F3" w14:textId="77777777" w:rsidR="00F026BE" w:rsidRPr="00512250" w:rsidRDefault="00F026BE" w:rsidP="00F026BE">
      <w:pPr>
        <w:pStyle w:val="NormalHanging12a"/>
      </w:pPr>
      <w:r w:rsidRPr="00512250">
        <w:t>2.</w:t>
      </w:r>
      <w:r w:rsidRPr="00512250">
        <w:tab/>
        <w:t>αναθέτει στην Πρόεδρό του να διαβιβάσει την παρούσα απόφαση στην εκτελεστική διευθύντρια του Ευρωπαϊκού Οργανισμού Φαρμάκων, στο Συμβούλιο, στην Επιτροπή και στο Ελεγκτικό Συνέδριο, και να μεριμνήσει για τη δημοσίευσή της στην Επίσημη Εφημερίδα της Ευρωπαϊκής Ένωσης (σειρά L).</w:t>
      </w:r>
    </w:p>
    <w:p w14:paraId="45434EE8" w14:textId="77777777" w:rsidR="00F026BE" w:rsidRPr="00512250" w:rsidRDefault="00F026BE" w:rsidP="00F026BE"/>
    <w:p w14:paraId="4236F0D3" w14:textId="77777777" w:rsidR="00F026BE" w:rsidRPr="00512250" w:rsidRDefault="00F026BE" w:rsidP="00F026BE"/>
    <w:p w14:paraId="50C1A0A0" w14:textId="349DBABE" w:rsidR="00F026BE" w:rsidRPr="00512250" w:rsidRDefault="00F026BE" w:rsidP="00F026BE">
      <w:pPr>
        <w:pStyle w:val="PageHeadingDec"/>
      </w:pPr>
    </w:p>
    <w:p w14:paraId="2F3BE907" w14:textId="77777777" w:rsidR="00F026BE" w:rsidRPr="00512250" w:rsidRDefault="00F026BE" w:rsidP="00F026BE">
      <w:pPr>
        <w:pStyle w:val="PageHeadingDec"/>
        <w:sectPr w:rsidR="00F026BE" w:rsidRPr="00512250" w:rsidSect="00F01631">
          <w:footerReference w:type="first" r:id="rId4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57DDFAD" w14:textId="77777777" w:rsidR="00A10728" w:rsidRPr="00512250" w:rsidRDefault="00A10728" w:rsidP="00A10728">
      <w:pPr>
        <w:pStyle w:val="ATHeading3"/>
      </w:pPr>
      <w:r w:rsidRPr="00512250">
        <w:lastRenderedPageBreak/>
        <w:t>35. Απόφαση του Ευρωπαϊκού Κοινοβουλίου της 29ης Απριλίου 2026 σχετικά με την απαλλαγή όσον αφορά την εκτέλεση του προϋπολογισμού του Οργανισμού της Ευρωπαϊκής Ένωσης για τα Ναρκωτικά (πριν από τις 2.7.2024: Ευρωπαϊκό Κέντρο Παρακολούθησης Ναρκωτικών και Τοξικομανίας) για το οικονομικό έτος 2024 (2025/2156(DEC))</w:t>
      </w:r>
    </w:p>
    <w:p w14:paraId="2A14087A" w14:textId="77777777" w:rsidR="00F026BE" w:rsidRPr="00512250" w:rsidRDefault="00F026BE" w:rsidP="00F026BE">
      <w:pPr>
        <w:pStyle w:val="EPComma"/>
      </w:pPr>
      <w:r w:rsidRPr="00512250">
        <w:rPr>
          <w:i/>
          <w:iCs/>
        </w:rPr>
        <w:t>Το Ευρωπαϊκό Κοινοβούλιο,</w:t>
      </w:r>
    </w:p>
    <w:p w14:paraId="5D960C55"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της Ευρωπαϊκής Ένωσης για τα Ναρκωτικά για το οικονομικό έτος 2024,</w:t>
      </w:r>
    </w:p>
    <w:p w14:paraId="6063F4D0"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205"/>
      </w:r>
      <w:r w:rsidRPr="00512250">
        <w:t>,</w:t>
      </w:r>
    </w:p>
    <w:p w14:paraId="75B3CAE4"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206"/>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0D7B8C49" w14:textId="42623848"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57C17EF2"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352FED1F"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207"/>
      </w:r>
      <w:r w:rsidRPr="00512250">
        <w:t>, και ιδίως το άρθρο 70,</w:t>
      </w:r>
    </w:p>
    <w:p w14:paraId="0AA8849F"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208"/>
      </w:r>
      <w:r w:rsidRPr="00512250">
        <w:t>, και ιδίως το άρθρο 70,</w:t>
      </w:r>
    </w:p>
    <w:p w14:paraId="7DF490BD" w14:textId="77777777" w:rsidR="00F026BE" w:rsidRPr="00512250" w:rsidRDefault="00F026BE" w:rsidP="00F026BE">
      <w:pPr>
        <w:pStyle w:val="NormalHanging12a"/>
      </w:pPr>
      <w:r w:rsidRPr="00512250">
        <w:t>–</w:t>
      </w:r>
      <w:r w:rsidRPr="00512250">
        <w:tab/>
        <w:t>έχοντας υπόψη τον κανονισμό (ΕΚ) αριθ. 1920/2006 του Ευρωπαϊκού Κοινοβουλίου και του Συμβουλίου, της 12ης Δεκεμβρίου 2006, σχετικά με το Ευρωπαϊκό Κέντρο Παρακολούθησης Ναρκωτικών και Τοξικομανίας</w:t>
      </w:r>
      <w:r w:rsidRPr="00512250">
        <w:rPr>
          <w:rStyle w:val="FootnoteReference"/>
        </w:rPr>
        <w:footnoteReference w:id="209"/>
      </w:r>
      <w:r w:rsidRPr="00512250">
        <w:t>, και ιδίως το άρθρο 15,</w:t>
      </w:r>
    </w:p>
    <w:p w14:paraId="2A619FB8" w14:textId="77777777" w:rsidR="00F026BE" w:rsidRPr="00512250" w:rsidRDefault="00F026BE" w:rsidP="00F026BE">
      <w:pPr>
        <w:pStyle w:val="NormalHanging12a"/>
      </w:pPr>
      <w:r w:rsidRPr="00512250">
        <w:t>–</w:t>
      </w:r>
      <w:r w:rsidRPr="00512250">
        <w:tab/>
        <w:t xml:space="preserve">έχοντας υπόψη τον κανονισμό (ΕΕ) 2023/1322 του Ευρωπαϊκού Κοινοβουλίου και του Συμβουλίου, της 27ης Ιουνίου 2023, σχετικά με τον Οργανισμό της Ευρωπαϊκής Ένωσης για τα Ναρκωτικά (EUDA) και την κατάργηση του κανονισμού (ΕΚ) </w:t>
      </w:r>
      <w:r w:rsidRPr="00512250">
        <w:lastRenderedPageBreak/>
        <w:t>αριθ. 1920/2006</w:t>
      </w:r>
      <w:r w:rsidRPr="00512250">
        <w:rPr>
          <w:rStyle w:val="FootnoteReference"/>
        </w:rPr>
        <w:footnoteReference w:id="210"/>
      </w:r>
      <w:r w:rsidRPr="00512250">
        <w:t>, και ιδίως το άρθρο 41,</w:t>
      </w:r>
    </w:p>
    <w:p w14:paraId="7E390F76" w14:textId="77777777" w:rsidR="00F026BE" w:rsidRPr="00512250" w:rsidRDefault="00F026BE" w:rsidP="00F026BE">
      <w:pPr>
        <w:pStyle w:val="NormalHanging12a"/>
      </w:pPr>
      <w:r w:rsidRPr="00512250">
        <w:t>–</w:t>
      </w:r>
      <w:r w:rsidRPr="00512250">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211"/>
      </w:r>
      <w:r w:rsidRPr="00512250">
        <w:t>, και ιδίως το άρθρο 105,</w:t>
      </w:r>
    </w:p>
    <w:p w14:paraId="6E1315DB"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6D3A534A"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719A2AE7"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426CC4D9" w14:textId="7B34CAF1" w:rsidR="00F026BE" w:rsidRPr="00512250" w:rsidRDefault="00F026BE" w:rsidP="00F026BE">
      <w:pPr>
        <w:pStyle w:val="NormalHanging12a"/>
      </w:pPr>
      <w:r w:rsidRPr="00512250">
        <w:t>1.</w:t>
      </w:r>
      <w:r w:rsidRPr="00512250">
        <w:tab/>
        <w:t>χορηγεί απαλλαγή στ</w:t>
      </w:r>
      <w:r w:rsidR="00CC1E67" w:rsidRPr="00512250">
        <w:t>η</w:t>
      </w:r>
      <w:r w:rsidRPr="00512250">
        <w:t>ν εκτελεστικ</w:t>
      </w:r>
      <w:r w:rsidR="00CC1E67" w:rsidRPr="00512250">
        <w:t xml:space="preserve">ή διευθύντρια </w:t>
      </w:r>
      <w:r w:rsidRPr="00512250">
        <w:t>του Οργανισμού της Ευρωπαϊκής Ένωσης για τα Ναρκωτικά όσον αφορά την εκτέλεση του προϋπολογισμού του Οργανισμού για το οικονομικό έτος 2024·</w:t>
      </w:r>
    </w:p>
    <w:p w14:paraId="61C88615"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64CCB7E2"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του Οργανισμού της Ευρωπαϊκής Ένωσης για τα Ναρκωτικά, στο Συμβούλιο, στην Επιτροπή και στο Ελεγκτικό Συνέδριο, και να μεριμνήσει για τη δημοσίευσή τους στην </w:t>
      </w:r>
      <w:r w:rsidRPr="00512250">
        <w:rPr>
          <w:i/>
        </w:rPr>
        <w:t>Επίσημη Εφημερίδα της Ευρωπαϊκής Ένωσης</w:t>
      </w:r>
      <w:r w:rsidRPr="00512250">
        <w:t xml:space="preserve"> (σειρά L).</w:t>
      </w:r>
    </w:p>
    <w:p w14:paraId="1CB7344B" w14:textId="77777777" w:rsidR="00F026BE" w:rsidRPr="00512250" w:rsidRDefault="00F026BE" w:rsidP="00F026BE"/>
    <w:p w14:paraId="3B5DD6E5" w14:textId="77777777" w:rsidR="00F026BE" w:rsidRPr="00512250" w:rsidRDefault="00F026BE" w:rsidP="00F026BE">
      <w:pPr>
        <w:pStyle w:val="PageHeadingDec"/>
        <w:sectPr w:rsidR="00F026BE" w:rsidRPr="00512250" w:rsidSect="00F01631">
          <w:footerReference w:type="first" r:id="rId4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2BAA04" w14:textId="77777777" w:rsidR="00A10728" w:rsidRPr="00512250" w:rsidRDefault="00A10728" w:rsidP="00A10728">
      <w:pPr>
        <w:pStyle w:val="ATHeading3"/>
      </w:pPr>
      <w:r w:rsidRPr="00512250">
        <w:lastRenderedPageBreak/>
        <w:t>36. Απόφαση του Ευρωπαϊκού Κοινοβουλίου της 29ης Απριλίου 2026 σχετικά με το κλείσιμο των λογαριασμών του Οργανισμού της Ευρωπαϊκής Ένωσης για τα Ναρκωτικά (πριν από τις 2.7.2024: Ευρωπαϊκό Κέντρο Παρακολούθησης Ναρκωτικών και Τοξικομανίας) για το οικονομικό έτος 2024 (2025/2156(DEC))</w:t>
      </w:r>
    </w:p>
    <w:p w14:paraId="645DCE6F" w14:textId="77777777" w:rsidR="00F026BE" w:rsidRPr="00512250" w:rsidRDefault="00F026BE" w:rsidP="00F026BE">
      <w:pPr>
        <w:pStyle w:val="EPComma"/>
      </w:pPr>
      <w:r w:rsidRPr="00512250">
        <w:rPr>
          <w:i/>
          <w:iCs/>
        </w:rPr>
        <w:t>Το Ευρωπαϊκό Κοινοβούλιο,</w:t>
      </w:r>
    </w:p>
    <w:p w14:paraId="7DC5548F"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της Ευρωπαϊκής Ένωσης για τα Ναρκωτικά για το οικονομικό έτος 2024,</w:t>
      </w:r>
    </w:p>
    <w:p w14:paraId="1649E2CB"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212"/>
      </w:r>
      <w:r w:rsidRPr="00512250">
        <w:t>,</w:t>
      </w:r>
    </w:p>
    <w:p w14:paraId="2B8E4E81"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213"/>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0D666CA7" w14:textId="5DA26C21"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2D630894"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4B4CDB4C"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214"/>
      </w:r>
      <w:r w:rsidRPr="00512250">
        <w:t>, και ιδίως το άρθρο 70,</w:t>
      </w:r>
    </w:p>
    <w:p w14:paraId="5E85E207"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215"/>
      </w:r>
      <w:r w:rsidRPr="00512250">
        <w:t>, και ιδίως το άρθρο 70,</w:t>
      </w:r>
    </w:p>
    <w:p w14:paraId="513D0434" w14:textId="77777777" w:rsidR="00F026BE" w:rsidRPr="00512250" w:rsidRDefault="00F026BE" w:rsidP="00F026BE">
      <w:pPr>
        <w:pStyle w:val="NormalHanging12a"/>
      </w:pPr>
      <w:r w:rsidRPr="00512250">
        <w:t>–</w:t>
      </w:r>
      <w:r w:rsidRPr="00512250">
        <w:tab/>
        <w:t>έχοντας υπόψη τον κανονισμό (ΕΚ) αριθ. 1920/2006 του Ευρωπαϊκού Κοινοβουλίου και του Συμβουλίου, της 12ης Δεκεμβρίου 2006, σχετικά με το Ευρωπαϊκό Κέντρο Παρακολούθησης Ναρκωτικών και Τοξικομανίας</w:t>
      </w:r>
      <w:r w:rsidRPr="00512250">
        <w:rPr>
          <w:rStyle w:val="FootnoteReference"/>
        </w:rPr>
        <w:footnoteReference w:id="216"/>
      </w:r>
      <w:r w:rsidRPr="00512250">
        <w:t>, και ιδίως το άρθρο 15,</w:t>
      </w:r>
    </w:p>
    <w:p w14:paraId="2CD71AAE" w14:textId="77777777" w:rsidR="00F026BE" w:rsidRPr="00512250" w:rsidRDefault="00F026BE" w:rsidP="00F026BE">
      <w:pPr>
        <w:pStyle w:val="NormalHanging12a"/>
      </w:pPr>
      <w:r w:rsidRPr="00512250">
        <w:t>–</w:t>
      </w:r>
      <w:r w:rsidRPr="00512250">
        <w:tab/>
        <w:t xml:space="preserve">έχοντας υπόψη τον κανονισμό (ΕΕ) 2023/1322 του Ευρωπαϊκού Κοινοβουλίου και του Συμβουλίου, της 27ης Ιουνίου 2023, σχετικά με τον Οργανισμό της Ευρωπαϊκής Ένωσης για τα Ναρκωτικά (EUDA) και την κατάργηση του κανονισμού (ΕΚ) </w:t>
      </w:r>
      <w:r w:rsidRPr="00512250">
        <w:lastRenderedPageBreak/>
        <w:t>αριθ. 1920/2006</w:t>
      </w:r>
      <w:r w:rsidRPr="00512250">
        <w:rPr>
          <w:rStyle w:val="FootnoteReference"/>
        </w:rPr>
        <w:footnoteReference w:id="217"/>
      </w:r>
      <w:r w:rsidRPr="00512250">
        <w:t>, και ιδίως το άρθρο 41,</w:t>
      </w:r>
    </w:p>
    <w:p w14:paraId="53274C3E" w14:textId="77777777" w:rsidR="00F026BE" w:rsidRPr="00512250" w:rsidRDefault="00F026BE" w:rsidP="00F026BE">
      <w:pPr>
        <w:pStyle w:val="NormalHanging12a"/>
      </w:pPr>
      <w:r w:rsidRPr="00512250">
        <w:t>–</w:t>
      </w:r>
      <w:r w:rsidRPr="00512250">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218"/>
      </w:r>
      <w:r w:rsidRPr="00512250">
        <w:t>, και ιδίως το άρθρο 105,</w:t>
      </w:r>
    </w:p>
    <w:p w14:paraId="25A4C7DB"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3D93F486"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70189BF5"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7B23F9B1" w14:textId="77777777" w:rsidR="00F026BE" w:rsidRPr="00512250" w:rsidRDefault="00F026BE" w:rsidP="00F026BE">
      <w:pPr>
        <w:pStyle w:val="NormalHanging12a"/>
      </w:pPr>
      <w:r w:rsidRPr="00512250">
        <w:t>1.</w:t>
      </w:r>
      <w:r w:rsidRPr="00512250">
        <w:tab/>
        <w:t>εγκρίνει το κλείσιμο των λογαριασμών του Οργανισμού της Ευρωπαϊκής Ένωσης για τα Ναρκωτικά για το οικονομικό έτος 2024·</w:t>
      </w:r>
    </w:p>
    <w:p w14:paraId="2E2EE686"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στην εκτελεστική διευθύντρια του Οργανισμού της Ευρωπαϊκής Ένωσης για τα Ναρκωτικά, στο Συμβούλιο, στην Επιτροπή και στο Ελεγκτικό Συνέδριο και να μεριμνήσει για τη δημοσίευσή της στην </w:t>
      </w:r>
      <w:r w:rsidRPr="00512250">
        <w:rPr>
          <w:i/>
        </w:rPr>
        <w:t>Επίσημη Εφημερίδα της Ευρωπαϊκής Ένωσης</w:t>
      </w:r>
      <w:r w:rsidRPr="00512250">
        <w:t xml:space="preserve"> (σειρά L).</w:t>
      </w:r>
    </w:p>
    <w:p w14:paraId="584E79D2" w14:textId="77777777" w:rsidR="00F026BE" w:rsidRPr="00512250" w:rsidRDefault="00F026BE" w:rsidP="00F026BE"/>
    <w:p w14:paraId="55A450A5" w14:textId="77777777" w:rsidR="00F026BE" w:rsidRPr="00512250" w:rsidRDefault="00F026BE" w:rsidP="00F026BE"/>
    <w:p w14:paraId="1BB69E3D" w14:textId="7409B4D9" w:rsidR="00F026BE" w:rsidRPr="00512250" w:rsidRDefault="00F026BE" w:rsidP="00F026BE">
      <w:pPr>
        <w:pStyle w:val="PageHeadingDec"/>
      </w:pPr>
    </w:p>
    <w:p w14:paraId="47E14AE6" w14:textId="77777777" w:rsidR="00F026BE" w:rsidRPr="00512250" w:rsidRDefault="00F026BE" w:rsidP="00F026BE">
      <w:pPr>
        <w:pStyle w:val="PageHeadingDec"/>
        <w:sectPr w:rsidR="00F026BE" w:rsidRPr="00512250" w:rsidSect="00F01631">
          <w:footerReference w:type="first" r:id="rId4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C3730B6" w14:textId="77777777" w:rsidR="00A10728" w:rsidRPr="00512250" w:rsidRDefault="00A10728" w:rsidP="00A10728">
      <w:pPr>
        <w:pStyle w:val="ATHeading3"/>
      </w:pPr>
      <w:r w:rsidRPr="00512250">
        <w:lastRenderedPageBreak/>
        <w:t>37. Απόφαση του Ευρωπαϊκού Κοινοβουλίου της 29ης Απριλίου 2026 σχετικά με την απαλλαγή όσον αφορά την εκτέλεση του προϋπολογισμού του Ευρωπαϊκού Οργανισμού για την Ασφάλεια στη Θάλασσα για το οικονομικό έτος 2024 (2025/2156(DEC))</w:t>
      </w:r>
    </w:p>
    <w:p w14:paraId="52191E29" w14:textId="77777777" w:rsidR="00F026BE" w:rsidRPr="00512250" w:rsidRDefault="00F026BE" w:rsidP="00F026BE">
      <w:pPr>
        <w:pStyle w:val="EPComma"/>
      </w:pPr>
      <w:r w:rsidRPr="00512250">
        <w:rPr>
          <w:i/>
          <w:iCs/>
        </w:rPr>
        <w:t>Το Ευρωπαϊκό Κοινοβούλιο,</w:t>
      </w:r>
    </w:p>
    <w:p w14:paraId="28A6DB4B"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Οργανισμού για την Ασφάλεια στη Θάλασσα για το οικονομικό έτος 2024,</w:t>
      </w:r>
    </w:p>
    <w:p w14:paraId="2437A244"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219"/>
      </w:r>
      <w:r w:rsidRPr="00512250">
        <w:t>,</w:t>
      </w:r>
    </w:p>
    <w:p w14:paraId="0558D243"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220"/>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3B8719B9" w14:textId="18A8EEF0"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48F2AFB0"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214AD8D8"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221"/>
      </w:r>
      <w:r w:rsidRPr="00512250">
        <w:t>, και ιδίως το άρθρο 70,</w:t>
      </w:r>
    </w:p>
    <w:p w14:paraId="4F6D8B25"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222"/>
      </w:r>
      <w:r w:rsidRPr="00512250">
        <w:t>, και ιδίως το άρθρο 70,</w:t>
      </w:r>
    </w:p>
    <w:p w14:paraId="387FD884" w14:textId="77777777" w:rsidR="00F026BE" w:rsidRPr="00512250" w:rsidRDefault="00F026BE" w:rsidP="00F026BE">
      <w:pPr>
        <w:pStyle w:val="NormalHanging12a"/>
      </w:pPr>
      <w:r w:rsidRPr="00512250">
        <w:t>–</w:t>
      </w:r>
      <w:r w:rsidRPr="00512250">
        <w:tab/>
        <w:t>έχοντας υπόψη τον κανονισμό (ΕΚ) αριθ. 1406/2002 του Ευρωπαϊκού Κοινοβουλίου και του Συμβουλίου, της 27ης Ιουνίου 2002, σχετικά με τη σύσταση ευρωπαϊκού οργανισμού για την ασφάλεια στη θάλασσα</w:t>
      </w:r>
      <w:r w:rsidRPr="00512250">
        <w:rPr>
          <w:rStyle w:val="FootnoteReference"/>
        </w:rPr>
        <w:footnoteReference w:id="223"/>
      </w:r>
      <w:r w:rsidRPr="00512250">
        <w:t>, και ιδίως το άρθρο 19,</w:t>
      </w:r>
    </w:p>
    <w:p w14:paraId="1BA22423"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224"/>
      </w:r>
      <w:r w:rsidRPr="00512250">
        <w:t>, και ιδίως το άρθρο 105,</w:t>
      </w:r>
    </w:p>
    <w:p w14:paraId="36510092"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5C8FC12C"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11F2908D"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21A0235A" w14:textId="77777777" w:rsidR="00F026BE" w:rsidRPr="00512250" w:rsidRDefault="00F026BE" w:rsidP="00F026BE">
      <w:pPr>
        <w:pStyle w:val="NormalHanging12a"/>
      </w:pPr>
      <w:r w:rsidRPr="00512250">
        <w:t>1.</w:t>
      </w:r>
      <w:r w:rsidRPr="00512250">
        <w:tab/>
        <w:t>χορηγεί απαλλαγή στην εκτελεστική διευθύντρια του Ευρωπαϊκού Οργανισμού για την Ασφάλεια στη Θάλασσα όσον αφορά την εκτέλεση του προϋπολογισμού του Οργανισμού για το οικονομικό έτος 2024·</w:t>
      </w:r>
    </w:p>
    <w:p w14:paraId="1778FB08"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17431263"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του Ευρωπαϊκού Οργανισμού για την Ασφάλεια στη Θάλασσα, στο Συμβούλιο, στην Επιτροπή και στο Ελεγκτικό Συνέδριο, και να μεριμνήσει για τη δημοσίευσή τους στην </w:t>
      </w:r>
      <w:r w:rsidRPr="00512250">
        <w:rPr>
          <w:i/>
          <w:iCs/>
        </w:rPr>
        <w:t>Επίσημη Εφημερίδα της Ευρωπαϊκής Ένωσης</w:t>
      </w:r>
      <w:r w:rsidRPr="00512250">
        <w:t xml:space="preserve"> (σειρά L).</w:t>
      </w:r>
    </w:p>
    <w:p w14:paraId="03252773" w14:textId="77777777" w:rsidR="00F026BE" w:rsidRPr="00512250" w:rsidRDefault="00F026BE" w:rsidP="00F026BE"/>
    <w:p w14:paraId="43672531" w14:textId="77777777" w:rsidR="00F026BE" w:rsidRPr="00512250" w:rsidRDefault="00F026BE" w:rsidP="00F026BE">
      <w:pPr>
        <w:pStyle w:val="PageHeadingDec"/>
        <w:sectPr w:rsidR="00F026BE" w:rsidRPr="00512250" w:rsidSect="00F01631">
          <w:footerReference w:type="first" r:id="rId4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206E87B" w14:textId="77777777" w:rsidR="00A10728" w:rsidRPr="00512250" w:rsidRDefault="00A10728" w:rsidP="00A10728">
      <w:pPr>
        <w:pStyle w:val="ATHeading3"/>
      </w:pPr>
      <w:r w:rsidRPr="00512250">
        <w:lastRenderedPageBreak/>
        <w:t>38. Απόφαση του Ευρωπαϊκού Κοινοβουλίου της 29ης Απριλίου 2026 σχετικά με το κλείσιμο των λογαριασμών του Ευρωπαϊκού Οργανισμού για την Ασφάλεια στη Θάλασσα για το οικονομικό έτος 2024 (2025/2156(DEC))</w:t>
      </w:r>
    </w:p>
    <w:p w14:paraId="29DCB513" w14:textId="77777777" w:rsidR="00F026BE" w:rsidRPr="00512250" w:rsidRDefault="00F026BE" w:rsidP="00F026BE">
      <w:pPr>
        <w:pStyle w:val="EPComma"/>
      </w:pPr>
      <w:r w:rsidRPr="00512250">
        <w:rPr>
          <w:i/>
          <w:iCs/>
        </w:rPr>
        <w:t>Το Ευρωπαϊκό Κοινοβούλιο,</w:t>
      </w:r>
    </w:p>
    <w:p w14:paraId="131B55C6"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Οργανισμού για την Ασφάλεια στη Θάλασσα για το οικονομικό έτος 2024,</w:t>
      </w:r>
    </w:p>
    <w:p w14:paraId="1AB6456E"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225"/>
      </w:r>
      <w:r w:rsidRPr="00512250">
        <w:t>,</w:t>
      </w:r>
    </w:p>
    <w:p w14:paraId="5D923EC9"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226"/>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4E7F9D34" w14:textId="5DC77024"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10BEBB38"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00211955"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227"/>
      </w:r>
      <w:r w:rsidRPr="00512250">
        <w:t>, και ιδίως το άρθρο 70,</w:t>
      </w:r>
    </w:p>
    <w:p w14:paraId="10D57805"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228"/>
      </w:r>
      <w:r w:rsidRPr="00512250">
        <w:t>, και ιδίως το άρθρο 70,</w:t>
      </w:r>
    </w:p>
    <w:p w14:paraId="686A1CC0" w14:textId="77777777" w:rsidR="00F026BE" w:rsidRPr="00512250" w:rsidRDefault="00F026BE" w:rsidP="00F026BE">
      <w:pPr>
        <w:pStyle w:val="NormalHanging12a"/>
      </w:pPr>
      <w:r w:rsidRPr="00512250">
        <w:t>–</w:t>
      </w:r>
      <w:r w:rsidRPr="00512250">
        <w:tab/>
        <w:t>έχοντας υπόψη τον κανονισμό (ΕΚ) αριθ. 1406/2002 του Ευρωπαϊκού Κοινοβουλίου και του Συμβουλίου, της 27ης Ιουνίου 2002, σχετικά με τη σύσταση ευρωπαϊκού οργανισμού για την ασφάλεια στη θάλασσα</w:t>
      </w:r>
      <w:r w:rsidRPr="00512250">
        <w:rPr>
          <w:rStyle w:val="FootnoteReference"/>
        </w:rPr>
        <w:footnoteReference w:id="229"/>
      </w:r>
      <w:r w:rsidRPr="00512250">
        <w:t>, και ιδίως το άρθρο 19,</w:t>
      </w:r>
    </w:p>
    <w:p w14:paraId="49DDDE27"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230"/>
      </w:r>
      <w:r w:rsidRPr="00512250">
        <w:t>, και ιδίως το άρθρο 105,</w:t>
      </w:r>
    </w:p>
    <w:p w14:paraId="5FA05981"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259693D0"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1CB16643"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5CACC7B1" w14:textId="77777777" w:rsidR="00F026BE" w:rsidRPr="00512250" w:rsidRDefault="00F026BE" w:rsidP="00F026BE">
      <w:pPr>
        <w:pStyle w:val="NormalHanging12a"/>
      </w:pPr>
      <w:r w:rsidRPr="00512250">
        <w:t>1.</w:t>
      </w:r>
      <w:r w:rsidRPr="00512250">
        <w:tab/>
        <w:t>εγκρίνει το κλείσιμο των λογαριασμών του Ευρωπαϊκού Οργανισμού για την Ασφάλεια στη Θάλασσα για το οικονομικό έτος 2024·</w:t>
      </w:r>
    </w:p>
    <w:p w14:paraId="6B75C9B5"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στην εκτελεστική διευθύντρια του Ευρωπαϊκού Οργανισμού για την Ασφάλεια στη Θάλασσα, στο Συμβούλιο, στην Επιτροπή και στο Ελεγκτικό Συνέδριο, και να μεριμνήσει για τη δημοσίευσή της στην </w:t>
      </w:r>
      <w:r w:rsidRPr="00512250">
        <w:rPr>
          <w:i/>
          <w:iCs/>
        </w:rPr>
        <w:t>Επίσημη Εφημερίδα της Ευρωπαϊκής Ένωσης</w:t>
      </w:r>
      <w:r w:rsidRPr="00512250">
        <w:t xml:space="preserve"> (σειρά L).</w:t>
      </w:r>
    </w:p>
    <w:p w14:paraId="20C820FD" w14:textId="77777777" w:rsidR="00F026BE" w:rsidRPr="00512250" w:rsidRDefault="00F026BE" w:rsidP="00F026BE"/>
    <w:p w14:paraId="38A643AE" w14:textId="77777777" w:rsidR="00F026BE" w:rsidRPr="00512250" w:rsidRDefault="00F026BE" w:rsidP="00F026BE"/>
    <w:p w14:paraId="5D7F45C6" w14:textId="547ED3FD" w:rsidR="00F026BE" w:rsidRPr="00512250" w:rsidRDefault="00F026BE" w:rsidP="00F026BE">
      <w:pPr>
        <w:pStyle w:val="PageHeadingDec"/>
      </w:pPr>
    </w:p>
    <w:p w14:paraId="76A4956B" w14:textId="77777777" w:rsidR="00F026BE" w:rsidRPr="00512250" w:rsidRDefault="00F026BE" w:rsidP="00F026BE">
      <w:pPr>
        <w:pStyle w:val="PageHeadingDec"/>
        <w:sectPr w:rsidR="00F026BE" w:rsidRPr="00512250" w:rsidSect="00F01631">
          <w:footerReference w:type="first" r:id="rId4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0B76F51" w14:textId="77777777" w:rsidR="00A10728" w:rsidRPr="00512250" w:rsidRDefault="00A10728" w:rsidP="00A10728">
      <w:pPr>
        <w:pStyle w:val="ATHeading3"/>
      </w:pPr>
      <w:r w:rsidRPr="00512250">
        <w:lastRenderedPageBreak/>
        <w:t>39. Απόφαση του Ευρωπαϊκού Κοινοβουλίου της 29ης Απριλίου 2026 σχετικά με την απαλλαγή όσον αφορά την εκτέλεση του προϋπολογισμού του Οργανισμού της Ευρωπαϊκής Ένωσης για την Κυβερνοασφάλεια για το οικονομικό έτος 2024 (2025/2156(DEC))</w:t>
      </w:r>
    </w:p>
    <w:p w14:paraId="712D83E3" w14:textId="77777777" w:rsidR="00F026BE" w:rsidRPr="00512250" w:rsidRDefault="00F026BE" w:rsidP="00F026BE">
      <w:pPr>
        <w:pStyle w:val="EPComma"/>
      </w:pPr>
      <w:r w:rsidRPr="00512250">
        <w:rPr>
          <w:i/>
          <w:iCs/>
        </w:rPr>
        <w:t>Το Ευρωπαϊκό Κοινοβούλιο,</w:t>
      </w:r>
    </w:p>
    <w:p w14:paraId="7A298111"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της Ευρωπαϊκής Ένωσης για την Κυβερνοασφάλεια για το οικονομικό έτος 2024,</w:t>
      </w:r>
    </w:p>
    <w:p w14:paraId="254965C9"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231"/>
      </w:r>
      <w:r w:rsidRPr="00512250">
        <w:t>,</w:t>
      </w:r>
    </w:p>
    <w:p w14:paraId="0BD28632"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232"/>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2672EC28" w14:textId="1725C9B5"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21DA72A8"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546D4C61"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233"/>
      </w:r>
      <w:r w:rsidRPr="00512250">
        <w:t>, και ιδίως το άρθρο 70,</w:t>
      </w:r>
    </w:p>
    <w:p w14:paraId="00180BAB"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234"/>
      </w:r>
      <w:r w:rsidRPr="00512250">
        <w:t>, και ιδίως το άρθρο 70,</w:t>
      </w:r>
    </w:p>
    <w:p w14:paraId="35845E36" w14:textId="77777777" w:rsidR="00F026BE" w:rsidRPr="00512250" w:rsidRDefault="00F026BE" w:rsidP="00F026BE">
      <w:pPr>
        <w:pStyle w:val="NormalHanging12a"/>
      </w:pPr>
      <w:r w:rsidRPr="00512250">
        <w:t>–</w:t>
      </w:r>
      <w:r w:rsidRPr="00512250">
        <w:tab/>
        <w:t>έχοντας υπόψη τον κανονισμό (ΕΕ) 2019/881 του Ευρωπαϊκού Κοινοβουλίου και του Συμβουλίου, της 17ης Απριλίου 2019, σχετικά με τον ENISA («Οργανισμός της Ευρωπαϊκής Ένωσης για την Κυβερνοασφάλεια») και με την πιστοποίηση της κυβερνοασφάλειας στον τομέα της τεχνολογίας πληροφοριών και επικοινωνιών και για την κατάργηση του κανονισμού (ΕΕ) αριθ. 526/2013 (πράξη για την κυβερνοασφάλεια)</w:t>
      </w:r>
      <w:r w:rsidRPr="00512250">
        <w:rPr>
          <w:rStyle w:val="FootnoteReference"/>
        </w:rPr>
        <w:footnoteReference w:id="235"/>
      </w:r>
      <w:r w:rsidRPr="00512250">
        <w:t>, και ιδίως το άρθρο 31,</w:t>
      </w:r>
    </w:p>
    <w:p w14:paraId="321F1536"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w:t>
      </w:r>
      <w:r w:rsidRPr="00512250">
        <w:lastRenderedPageBreak/>
        <w:t>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236"/>
      </w:r>
      <w:r w:rsidRPr="00512250">
        <w:t>, και ιδίως το άρθρο 105,</w:t>
      </w:r>
    </w:p>
    <w:p w14:paraId="6D7D86B1"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03A5187C"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6FA8FAFA"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40B12FEC" w14:textId="77777777" w:rsidR="00F026BE" w:rsidRPr="00512250" w:rsidRDefault="00F026BE" w:rsidP="00F026BE">
      <w:pPr>
        <w:pStyle w:val="NormalHanging12a"/>
      </w:pPr>
      <w:r w:rsidRPr="00512250">
        <w:t>1.</w:t>
      </w:r>
      <w:r w:rsidRPr="00512250">
        <w:tab/>
        <w:t>χορηγεί απαλλαγή στον εκτελεστικό διευθυντή του Οργανισμού της Ευρωπαϊκής Ένωσης για την Κυβερνοασφάλεια όσον αφορά την εκτέλεση του προϋπολογισμού του Οργανισμού για το οικονομικό έτος 2024·</w:t>
      </w:r>
    </w:p>
    <w:p w14:paraId="6888482C"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4F45BF36"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του Οργανισμού της Ευρωπαϊκής Ένωσης για την Κυβερνοασφάλεια, στο Συμβούλιο, στην Επιτροπή και στο Ελεγκτικό Συνέδριο, και να μεριμνήσει για τη δημοσίευσή τους στην </w:t>
      </w:r>
      <w:r w:rsidRPr="00512250">
        <w:rPr>
          <w:i/>
          <w:iCs/>
        </w:rPr>
        <w:t>Επίσημη Εφημερίδα της Ευρωπαϊκής Ένωσης</w:t>
      </w:r>
      <w:r w:rsidRPr="00512250">
        <w:t xml:space="preserve"> (σειρά L).</w:t>
      </w:r>
    </w:p>
    <w:p w14:paraId="41C564CA" w14:textId="77777777" w:rsidR="00F026BE" w:rsidRPr="00512250" w:rsidRDefault="00F026BE" w:rsidP="00F026BE"/>
    <w:p w14:paraId="4CB881FB" w14:textId="77777777" w:rsidR="00F026BE" w:rsidRPr="00512250" w:rsidRDefault="00F026BE" w:rsidP="00F026BE">
      <w:pPr>
        <w:pStyle w:val="PageHeadingDec"/>
        <w:sectPr w:rsidR="00F026BE" w:rsidRPr="00512250" w:rsidSect="00F01631">
          <w:footerReference w:type="first" r:id="rId4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F5A26F4" w14:textId="77777777" w:rsidR="00A10728" w:rsidRPr="00512250" w:rsidRDefault="00A10728" w:rsidP="00A10728">
      <w:pPr>
        <w:pStyle w:val="ATHeading3"/>
      </w:pPr>
      <w:r w:rsidRPr="00512250">
        <w:lastRenderedPageBreak/>
        <w:t>40. Απόφαση του Ευρωπαϊκού Κοινοβουλίου της 29ης Απριλίου 2026 σχετικά με το κλείσιμο των λογαριασμών του Οργανισμού της Ευρωπαϊκής Ένωσης για την Κυβερνοασφάλεια για το οικονομικό έτος 2024 (2025/2156(DEC))</w:t>
      </w:r>
    </w:p>
    <w:p w14:paraId="6EAC0AEC" w14:textId="77777777" w:rsidR="00F026BE" w:rsidRPr="00512250" w:rsidRDefault="00F026BE" w:rsidP="00F026BE">
      <w:pPr>
        <w:pStyle w:val="EPComma"/>
      </w:pPr>
      <w:r w:rsidRPr="00512250">
        <w:rPr>
          <w:i/>
          <w:iCs/>
        </w:rPr>
        <w:t>Το Ευρωπαϊκό Κοινοβούλιο,</w:t>
      </w:r>
    </w:p>
    <w:p w14:paraId="592BF957"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της Ευρωπαϊκής Ένωσης για την Κυβερνοασφάλεια για το οικονομικό έτος 2024,</w:t>
      </w:r>
    </w:p>
    <w:p w14:paraId="07097752"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237"/>
      </w:r>
      <w:r w:rsidRPr="00512250">
        <w:t>,</w:t>
      </w:r>
    </w:p>
    <w:p w14:paraId="113329CF"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238"/>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72D79355" w14:textId="6C732FA5"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533C195E"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43A5FDCB"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239"/>
      </w:r>
      <w:r w:rsidRPr="00512250">
        <w:t>, και ιδίως το άρθρο 70,</w:t>
      </w:r>
    </w:p>
    <w:p w14:paraId="52063BFF"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240"/>
      </w:r>
      <w:r w:rsidRPr="00512250">
        <w:t>, και ιδίως το άρθρο 70,</w:t>
      </w:r>
    </w:p>
    <w:p w14:paraId="54388B04" w14:textId="77777777" w:rsidR="00F026BE" w:rsidRPr="00512250" w:rsidRDefault="00F026BE" w:rsidP="00F026BE">
      <w:pPr>
        <w:pStyle w:val="NormalHanging12a"/>
      </w:pPr>
      <w:r w:rsidRPr="00512250">
        <w:t>–</w:t>
      </w:r>
      <w:r w:rsidRPr="00512250">
        <w:tab/>
        <w:t>έχοντας υπόψη τον κανονισμό (ΕΕ) 2019/881 του Ευρωπαϊκού Κοινοβουλίου και του Συμβουλίου, της 17ης Απριλίου 2019, σχετικά με τον ENISA («Οργανισμός της Ευρωπαϊκής Ένωσης για την Κυβερνοασφάλεια») και με την πιστοποίηση της κυβερνοασφάλειας στον τομέα της τεχνολογίας πληροφοριών και επικοινωνιών και για την κατάργηση του κανονισμού (ΕΕ) αριθ. 526/2013 (πράξη για την κυβερνοασφάλεια)</w:t>
      </w:r>
      <w:r w:rsidRPr="00512250">
        <w:rPr>
          <w:rStyle w:val="FootnoteReference"/>
        </w:rPr>
        <w:footnoteReference w:id="241"/>
      </w:r>
      <w:r w:rsidRPr="00512250">
        <w:t>, και ιδίως το άρθρο 31,</w:t>
      </w:r>
    </w:p>
    <w:p w14:paraId="1839E914"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w:t>
      </w:r>
      <w:r w:rsidRPr="00512250">
        <w:lastRenderedPageBreak/>
        <w:t>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242"/>
      </w:r>
      <w:r w:rsidRPr="00512250">
        <w:t>, και ιδίως το άρθρο 105,</w:t>
      </w:r>
    </w:p>
    <w:p w14:paraId="00AF68D4"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64554835"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36C00620"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7FB7DC01" w14:textId="77777777" w:rsidR="00F026BE" w:rsidRPr="00512250" w:rsidRDefault="00F026BE" w:rsidP="00F026BE">
      <w:pPr>
        <w:pStyle w:val="NormalHanging12a"/>
      </w:pPr>
      <w:r w:rsidRPr="00512250">
        <w:t>1.</w:t>
      </w:r>
      <w:r w:rsidRPr="00512250">
        <w:tab/>
        <w:t>εγκρίνει το κλείσιμο των λογαριασμών του Οργανισμού της Ευρωπαϊκής Ένωσης για την Κυβερνοασφάλεια για το οικονομικό έτος 2024·</w:t>
      </w:r>
    </w:p>
    <w:p w14:paraId="4B7FFF29"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στον εκτελεστικό διευθυντή του Οργανισμού της Ευρωπαϊκής Ένωσης για την Κυβερνοασφάλεια, στο Συμβούλιο, στην Επιτροπή και στο Ελεγκτικό Συνέδριο, και να μεριμνήσει για τη δημοσίευσή της στην </w:t>
      </w:r>
      <w:r w:rsidRPr="00512250">
        <w:rPr>
          <w:i/>
          <w:iCs/>
        </w:rPr>
        <w:t>Επίσημη Εφημερίδα της Ευρωπαϊκής Ένωσης</w:t>
      </w:r>
      <w:r w:rsidRPr="00512250">
        <w:t xml:space="preserve"> (σειρά L).</w:t>
      </w:r>
    </w:p>
    <w:p w14:paraId="086C97D9" w14:textId="77777777" w:rsidR="00F026BE" w:rsidRPr="00512250" w:rsidRDefault="00F026BE" w:rsidP="00F026BE"/>
    <w:p w14:paraId="490A0C0A" w14:textId="77777777" w:rsidR="00F026BE" w:rsidRPr="00512250" w:rsidRDefault="00F026BE" w:rsidP="00F026BE"/>
    <w:p w14:paraId="217CBBEB" w14:textId="58D440AF" w:rsidR="00F026BE" w:rsidRPr="00512250" w:rsidRDefault="00F026BE" w:rsidP="00F026BE">
      <w:pPr>
        <w:pStyle w:val="PageHeadingDec"/>
      </w:pPr>
    </w:p>
    <w:p w14:paraId="4941E982" w14:textId="77777777" w:rsidR="00F026BE" w:rsidRPr="00512250" w:rsidRDefault="00F026BE" w:rsidP="00F026BE">
      <w:pPr>
        <w:pStyle w:val="PageHeadingDec"/>
        <w:sectPr w:rsidR="00F026BE" w:rsidRPr="00512250" w:rsidSect="00F01631">
          <w:footerReference w:type="first" r:id="rId4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AC24495" w14:textId="77777777" w:rsidR="00A10728" w:rsidRPr="00512250" w:rsidRDefault="00A10728" w:rsidP="00A10728">
      <w:pPr>
        <w:pStyle w:val="ATHeading3"/>
      </w:pPr>
      <w:r w:rsidRPr="00512250">
        <w:lastRenderedPageBreak/>
        <w:t>41. Απόφαση του Ευρωπαϊκού Κοινοβουλίου της 29ης Απριλίου 2026 σχετικά με την απαλλαγή όσον αφορά την εκτέλεση του προϋπολογισμού του Οργανισμού Σιδηροδρόμων της Ευρωπαϊκής Ένωσης για το οικονομικό έτος 2024 (2025/2156(DEC))</w:t>
      </w:r>
    </w:p>
    <w:p w14:paraId="56AD5771" w14:textId="77777777" w:rsidR="00F026BE" w:rsidRPr="00512250" w:rsidRDefault="00F026BE" w:rsidP="00F026BE">
      <w:pPr>
        <w:pStyle w:val="EPComma"/>
      </w:pPr>
      <w:r w:rsidRPr="00512250">
        <w:rPr>
          <w:i/>
          <w:iCs/>
        </w:rPr>
        <w:t>Το Ευρωπαϊκό Κοινοβούλιο,</w:t>
      </w:r>
    </w:p>
    <w:p w14:paraId="53006A8F"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Σιδηροδρόμων της Ευρωπαϊκής Ένωσης για το οικονομικό έτος 2024,</w:t>
      </w:r>
    </w:p>
    <w:p w14:paraId="5204C7FD"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243"/>
      </w:r>
      <w:r w:rsidRPr="00512250">
        <w:t>,</w:t>
      </w:r>
    </w:p>
    <w:p w14:paraId="1C791F29"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244"/>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6DAD3119" w14:textId="4F91D820"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284177AE"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729921C1"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245"/>
      </w:r>
      <w:r w:rsidRPr="00512250">
        <w:t>, και ιδίως το άρθρο 70,</w:t>
      </w:r>
    </w:p>
    <w:p w14:paraId="77B0D741"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246"/>
      </w:r>
      <w:r w:rsidRPr="00512250">
        <w:t>, και ιδίως το άρθρο 70,</w:t>
      </w:r>
    </w:p>
    <w:p w14:paraId="563ED96A" w14:textId="77777777" w:rsidR="00F026BE" w:rsidRPr="00512250" w:rsidRDefault="00F026BE" w:rsidP="00F026BE">
      <w:pPr>
        <w:pStyle w:val="NormalHanging12a"/>
      </w:pPr>
      <w:r w:rsidRPr="00512250">
        <w:t>–</w:t>
      </w:r>
      <w:r w:rsidRPr="00512250">
        <w:tab/>
        <w:t>έχοντας υπόψη τον κανονισμό (ΕΕ) 2016/796 του Ευρωπαϊκού Κοινοβουλίου και του Συμβουλίου, της 11ης Μαΐου 2016, σχετικά με τον Οργανισμό Σιδηροδρόμων της Ευρωπαϊκής Ένωσης και την κατάργηση του κανονισμού (ΕΚ) αριθ. 881/2004</w:t>
      </w:r>
      <w:r w:rsidRPr="00512250">
        <w:rPr>
          <w:rStyle w:val="FootnoteReference"/>
        </w:rPr>
        <w:footnoteReference w:id="247"/>
      </w:r>
      <w:r w:rsidRPr="00512250">
        <w:t>, και ιδίως το άρθρο 65,</w:t>
      </w:r>
    </w:p>
    <w:p w14:paraId="44279AA3"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248"/>
      </w:r>
      <w:r w:rsidRPr="00512250">
        <w:t>, και ιδίως το άρθρο 105,</w:t>
      </w:r>
    </w:p>
    <w:p w14:paraId="3E6444F8"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27B6AB32"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25D2737C"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15A5191E" w14:textId="305172F8" w:rsidR="00F026BE" w:rsidRPr="00512250" w:rsidRDefault="00F026BE" w:rsidP="00F026BE">
      <w:pPr>
        <w:pStyle w:val="NormalHanging12a"/>
      </w:pPr>
      <w:r w:rsidRPr="00512250">
        <w:t>1.</w:t>
      </w:r>
      <w:r w:rsidRPr="00512250">
        <w:tab/>
        <w:t>χορηγεί απαλλαγή στ</w:t>
      </w:r>
      <w:r w:rsidR="00CC1E67" w:rsidRPr="00512250">
        <w:t>η</w:t>
      </w:r>
      <w:r w:rsidRPr="00512250">
        <w:t>ν εκτελεστικ</w:t>
      </w:r>
      <w:r w:rsidR="00CC1E67" w:rsidRPr="00512250">
        <w:t xml:space="preserve">ή διευθύντρια </w:t>
      </w:r>
      <w:r w:rsidRPr="00512250">
        <w:t>του Οργανισμού Σιδηροδρόμων της Ευρωπαϊκής Ένωσης όσον αφορά την εκτέλεση του προϋπολογισμού του Οργανισμού για το οικονομικό έτος 2024·</w:t>
      </w:r>
    </w:p>
    <w:p w14:paraId="79C148CB"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07129D18"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του Οργανισμού Σιδηροδρόμων της Ευρωπαϊκής Ένωσης, στο Συμβούλιο, στην Επιτροπή και στο Ελεγκτικό Συνέδριο, και να μεριμνήσει για τη δημοσίευσή τους στην </w:t>
      </w:r>
      <w:r w:rsidRPr="00512250">
        <w:rPr>
          <w:i/>
          <w:iCs/>
        </w:rPr>
        <w:t>Επίσημη Εφημερίδα της Ευρωπαϊκής Ένωσης</w:t>
      </w:r>
      <w:r w:rsidRPr="00512250">
        <w:t xml:space="preserve"> (σειρά L).</w:t>
      </w:r>
    </w:p>
    <w:p w14:paraId="7021533E" w14:textId="77777777" w:rsidR="00F026BE" w:rsidRPr="00512250" w:rsidRDefault="00F026BE" w:rsidP="00F026BE"/>
    <w:p w14:paraId="49837433" w14:textId="77777777" w:rsidR="00F026BE" w:rsidRPr="00512250" w:rsidRDefault="00F026BE" w:rsidP="00F026BE">
      <w:pPr>
        <w:pStyle w:val="PageHeadingDec"/>
        <w:sectPr w:rsidR="00F026BE" w:rsidRPr="00512250" w:rsidSect="00F01631">
          <w:footerReference w:type="first" r:id="rId4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73DDCFA" w14:textId="77777777" w:rsidR="00A10728" w:rsidRPr="00512250" w:rsidRDefault="00A10728" w:rsidP="00A10728">
      <w:pPr>
        <w:pStyle w:val="ATHeading3"/>
      </w:pPr>
      <w:r w:rsidRPr="00512250">
        <w:lastRenderedPageBreak/>
        <w:t>42. Απόφαση του Ευρωπαϊκού Κοινοβουλίου της 29ης Απριλίου 2026 σχετικά με το κλείσιμο των λογαριασμών του Οργανισμού Σιδηροδρόμων της Ευρωπαϊκής Ένωσης για το οικονομικό έτος 2024 (2025/2156(DEC))</w:t>
      </w:r>
    </w:p>
    <w:p w14:paraId="6661C0B9" w14:textId="77777777" w:rsidR="00F026BE" w:rsidRPr="00512250" w:rsidRDefault="00F026BE" w:rsidP="00F026BE">
      <w:pPr>
        <w:pStyle w:val="EPComma"/>
      </w:pPr>
      <w:r w:rsidRPr="00512250">
        <w:rPr>
          <w:i/>
          <w:iCs/>
        </w:rPr>
        <w:t>Το Ευρωπαϊκό Κοινοβούλιο,</w:t>
      </w:r>
    </w:p>
    <w:p w14:paraId="4F2B761D"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Σιδηροδρόμων της Ευρωπαϊκής Ένωσης για το οικονομικό έτος 2024,</w:t>
      </w:r>
    </w:p>
    <w:p w14:paraId="515F0882"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249"/>
      </w:r>
      <w:r w:rsidRPr="00512250">
        <w:t>,</w:t>
      </w:r>
    </w:p>
    <w:p w14:paraId="45D63220"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250"/>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454DD9BB" w14:textId="5E61BFFE"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56A6A82F"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528EF754"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251"/>
      </w:r>
      <w:r w:rsidRPr="00512250">
        <w:t>, και ιδίως το άρθρο 70,</w:t>
      </w:r>
    </w:p>
    <w:p w14:paraId="51B32CB4"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252"/>
      </w:r>
      <w:r w:rsidRPr="00512250">
        <w:t>, και ιδίως το άρθρο 70,</w:t>
      </w:r>
    </w:p>
    <w:p w14:paraId="61C6D167" w14:textId="77777777" w:rsidR="00F026BE" w:rsidRPr="00512250" w:rsidRDefault="00F026BE" w:rsidP="00F026BE">
      <w:pPr>
        <w:pStyle w:val="NormalHanging12a"/>
      </w:pPr>
      <w:r w:rsidRPr="00512250">
        <w:t>–</w:t>
      </w:r>
      <w:r w:rsidRPr="00512250">
        <w:tab/>
        <w:t>έχοντας υπόψη τον κανονισμό (ΕΕ) 2016/796 του Ευρωπαϊκού Κοινοβουλίου και του Συμβουλίου, της 11ης Μαΐου 2016, σχετικά με τον Οργανισμό Σιδηροδρόμων της Ευρωπαϊκής Ένωσης και την κατάργηση του κανονισμού (ΕΚ) αριθ. 881/2004</w:t>
      </w:r>
      <w:r w:rsidRPr="00512250">
        <w:rPr>
          <w:rStyle w:val="FootnoteReference"/>
        </w:rPr>
        <w:footnoteReference w:id="253"/>
      </w:r>
      <w:r w:rsidRPr="00512250">
        <w:t>, και ιδίως το άρθρο 65,</w:t>
      </w:r>
    </w:p>
    <w:p w14:paraId="235C385B"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254"/>
      </w:r>
      <w:r w:rsidRPr="00512250">
        <w:t>, και ιδίως το άρθρο 105,</w:t>
      </w:r>
    </w:p>
    <w:p w14:paraId="23EAD008"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023B75A3"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3E1CA091"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6B48B6EA" w14:textId="77777777" w:rsidR="00F026BE" w:rsidRPr="00512250" w:rsidRDefault="00F026BE" w:rsidP="00F026BE">
      <w:pPr>
        <w:pStyle w:val="NormalHanging12a"/>
      </w:pPr>
      <w:r w:rsidRPr="00512250">
        <w:t>1.</w:t>
      </w:r>
      <w:r w:rsidRPr="00512250">
        <w:tab/>
        <w:t>εγκρίνει το κλείσιμο των λογαριασμών του Οργανισμού Σιδηροδρόμων της Ευρωπαϊκής Ένωσης για το οικονομικό έτος 2024·</w:t>
      </w:r>
    </w:p>
    <w:p w14:paraId="5F9E107D"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στην εκτελεστική διευθύντρια του Οργανισμού Σιδηροδρόμων της Ευρωπαϊκής Ένωσης, στο Συμβούλιο, στην Επιτροπή και στο Ελεγκτικό Συνέδριο, και να μεριμνήσει για τη δημοσίευσή της στην </w:t>
      </w:r>
      <w:r w:rsidRPr="00512250">
        <w:rPr>
          <w:i/>
          <w:iCs/>
        </w:rPr>
        <w:t>Επίσημη Εφημερίδα της Ευρωπαϊκής Ένωσης</w:t>
      </w:r>
      <w:r w:rsidRPr="00512250">
        <w:t xml:space="preserve"> (σειρά L).</w:t>
      </w:r>
    </w:p>
    <w:p w14:paraId="4DEB7163" w14:textId="77777777" w:rsidR="00F026BE" w:rsidRPr="00512250" w:rsidRDefault="00F026BE" w:rsidP="00F026BE"/>
    <w:p w14:paraId="5C69C4F8" w14:textId="77777777" w:rsidR="00F026BE" w:rsidRPr="00512250" w:rsidRDefault="00F026BE" w:rsidP="00F026BE"/>
    <w:p w14:paraId="60B64E69" w14:textId="4698989B" w:rsidR="00F026BE" w:rsidRPr="00512250" w:rsidRDefault="00F026BE" w:rsidP="00F026BE">
      <w:pPr>
        <w:pStyle w:val="PageHeadingDec"/>
      </w:pPr>
    </w:p>
    <w:p w14:paraId="4CEAF6B3" w14:textId="77777777" w:rsidR="00F026BE" w:rsidRPr="00512250" w:rsidRDefault="00F026BE" w:rsidP="00F026BE">
      <w:pPr>
        <w:pStyle w:val="PageHeadingDec"/>
        <w:sectPr w:rsidR="00F026BE" w:rsidRPr="00512250" w:rsidSect="00F01631">
          <w:footerReference w:type="first" r:id="rId5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3B26C69" w14:textId="77777777" w:rsidR="00A10728" w:rsidRPr="00512250" w:rsidRDefault="00A10728" w:rsidP="00A10728">
      <w:pPr>
        <w:pStyle w:val="ATHeading3"/>
      </w:pPr>
      <w:r w:rsidRPr="00512250">
        <w:lastRenderedPageBreak/>
        <w:t>43. Απόφαση του Ευρωπαϊκού Κοινοβουλίου της 29ης Απριλίου 2026 σχετικά με την απαλλαγή όσον αφορά την εκτέλεση του προϋπολογισμού του Οργανισμού Εφοδιασμού της Ευρατόμ για το οικονομικό έτος 2024 (2025/2156(DEC))</w:t>
      </w:r>
    </w:p>
    <w:p w14:paraId="4269A933" w14:textId="77777777" w:rsidR="00F026BE" w:rsidRPr="00512250" w:rsidRDefault="00F026BE" w:rsidP="00F026BE">
      <w:pPr>
        <w:pStyle w:val="EPComma"/>
      </w:pPr>
      <w:r w:rsidRPr="00512250">
        <w:rPr>
          <w:i/>
          <w:iCs/>
        </w:rPr>
        <w:t>Το Ευρωπαϊκό Κοινοβούλιο,</w:t>
      </w:r>
    </w:p>
    <w:p w14:paraId="6A8CDCEC"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Εφοδιασμού της Ευρατόμ για το οικονομικό έτος 2024,</w:t>
      </w:r>
    </w:p>
    <w:p w14:paraId="390429F1"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255"/>
      </w:r>
      <w:r w:rsidRPr="00512250">
        <w:t>,</w:t>
      </w:r>
    </w:p>
    <w:p w14:paraId="6FC9E514"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256"/>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2F662B00" w14:textId="55834FDD"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7D8C66DA"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0E52C0D2" w14:textId="77777777" w:rsidR="00F026BE" w:rsidRPr="00512250" w:rsidRDefault="00F026BE" w:rsidP="00F026BE">
      <w:pPr>
        <w:pStyle w:val="NormalHanging12a"/>
      </w:pPr>
      <w:r w:rsidRPr="00512250">
        <w:t>–</w:t>
      </w:r>
      <w:r w:rsidRPr="00512250">
        <w:tab/>
        <w:t>έχοντας υπόψη το άρθρο 106α της Συνθήκης περί ιδρύσεως της Ευρωπαϊκής Κοινότητος Ατομικής Ενεργείας,</w:t>
      </w:r>
    </w:p>
    <w:p w14:paraId="17BBE313"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257"/>
      </w:r>
      <w:r w:rsidRPr="00512250">
        <w:t>, και ιδίως το άρθρο 68,</w:t>
      </w:r>
    </w:p>
    <w:p w14:paraId="1E031EE1"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258"/>
      </w:r>
      <w:r w:rsidRPr="00512250">
        <w:t>, και ιδίως το άρθρο 68,</w:t>
      </w:r>
    </w:p>
    <w:p w14:paraId="78C46272" w14:textId="3FB44F96" w:rsidR="00F026BE" w:rsidRPr="00512250" w:rsidRDefault="00F026BE" w:rsidP="00F026BE">
      <w:pPr>
        <w:pStyle w:val="NormalHanging12a"/>
      </w:pPr>
      <w:r w:rsidRPr="00512250">
        <w:t>–</w:t>
      </w:r>
      <w:r w:rsidRPr="00512250">
        <w:tab/>
        <w:t>έχοντας υπόψη την απόφαση 2008/114/ΕΚ, Ευρατόμ του Συμβουλίου, της 12ης</w:t>
      </w:r>
      <w:r w:rsidR="007329DF" w:rsidRPr="00512250">
        <w:t> </w:t>
      </w:r>
      <w:r w:rsidRPr="00512250">
        <w:t>Φεβρουαρίου 2008, σχετικά με την θέσπιση του καταστατικού του Οργανισμού Εφοδιασμού της Ευρατόμ</w:t>
      </w:r>
      <w:r w:rsidRPr="00512250">
        <w:rPr>
          <w:rStyle w:val="FootnoteReference"/>
        </w:rPr>
        <w:footnoteReference w:id="259"/>
      </w:r>
      <w:r w:rsidRPr="00512250">
        <w:t>, και ιδίως το άρθρο 8 του παραρτήματος,</w:t>
      </w:r>
    </w:p>
    <w:p w14:paraId="21019EE9"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563A0EE9" w14:textId="77777777" w:rsidR="00F026BE" w:rsidRPr="00512250" w:rsidRDefault="00F026BE" w:rsidP="00F026BE">
      <w:pPr>
        <w:pStyle w:val="NormalHanging12a"/>
      </w:pPr>
      <w:r w:rsidRPr="00512250">
        <w:lastRenderedPageBreak/>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0C5AD850"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14293C79" w14:textId="77777777" w:rsidR="00F026BE" w:rsidRPr="00512250" w:rsidRDefault="00F026BE" w:rsidP="00F026BE">
      <w:pPr>
        <w:pStyle w:val="NormalHanging12a"/>
      </w:pPr>
      <w:r w:rsidRPr="00512250">
        <w:t>1.</w:t>
      </w:r>
      <w:r w:rsidRPr="00512250">
        <w:tab/>
        <w:t>χορηγεί απαλλαγή στον γενικό διευθυντή του Οργανισμού Εφοδιασμού της Ευρατόμ όσον αφορά την εκτέλεση του προϋπολογισμού του Οργανισμού για το οικονομικό έτος 2024·</w:t>
      </w:r>
    </w:p>
    <w:p w14:paraId="0D01A568"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13334A25"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στον γενικό διευθυντή του Οργανισμού Εφοδιασμού της Ευρατόμ, στο Συμβούλιο, στην Επιτροπή και στο Ελεγκτικό Συνέδριο, και να μεριμνήσει για τη δημοσίευσή τους στην </w:t>
      </w:r>
      <w:r w:rsidRPr="00512250">
        <w:rPr>
          <w:i/>
          <w:iCs/>
        </w:rPr>
        <w:t>Επίσημη Εφημερίδα της Ευρωπαϊκής Ένωσης</w:t>
      </w:r>
      <w:r w:rsidRPr="00512250">
        <w:t xml:space="preserve"> (σειρά L).</w:t>
      </w:r>
    </w:p>
    <w:p w14:paraId="31B02C3C" w14:textId="77777777" w:rsidR="00F026BE" w:rsidRPr="00512250" w:rsidRDefault="00F026BE" w:rsidP="00F026BE"/>
    <w:p w14:paraId="4E9DB584" w14:textId="77777777" w:rsidR="00F026BE" w:rsidRPr="00512250" w:rsidRDefault="00F026BE" w:rsidP="00F026BE">
      <w:pPr>
        <w:pStyle w:val="PageHeadingDec"/>
        <w:sectPr w:rsidR="00F026BE" w:rsidRPr="00512250" w:rsidSect="00F01631">
          <w:footerReference w:type="first" r:id="rId5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37BA34" w14:textId="77777777" w:rsidR="00A10728" w:rsidRPr="00512250" w:rsidRDefault="00A10728" w:rsidP="00A10728">
      <w:pPr>
        <w:pStyle w:val="ATHeading3"/>
      </w:pPr>
      <w:r w:rsidRPr="00512250">
        <w:lastRenderedPageBreak/>
        <w:t>44. Απόφαση του Ευρωπαϊκού Κοινοβουλίου της 29ης Απριλίου 2026 σχετικά με το κλείσιμο των λογαριασμών του Οργανισμού Εφοδιασμού της Ευρατόμ για το οικονομικό έτος 2024 (2025/2156(DEC))</w:t>
      </w:r>
    </w:p>
    <w:p w14:paraId="74A2796F" w14:textId="77777777" w:rsidR="00F026BE" w:rsidRPr="00512250" w:rsidRDefault="00F026BE" w:rsidP="00F026BE">
      <w:pPr>
        <w:pStyle w:val="EPComma"/>
      </w:pPr>
      <w:r w:rsidRPr="00512250">
        <w:rPr>
          <w:i/>
          <w:iCs/>
        </w:rPr>
        <w:t>Το Ευρωπαϊκό Κοινοβούλιο,</w:t>
      </w:r>
    </w:p>
    <w:p w14:paraId="1819942D"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Εφοδιασμού της Ευρατόμ για το οικονομικό έτος 2024,</w:t>
      </w:r>
    </w:p>
    <w:p w14:paraId="2856458F"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260"/>
      </w:r>
      <w:r w:rsidRPr="00512250">
        <w:t>,</w:t>
      </w:r>
    </w:p>
    <w:p w14:paraId="10B7562B"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261"/>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64717394" w14:textId="55F7C5AA"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6F6BEB4D"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1A2ED074" w14:textId="77777777" w:rsidR="00F026BE" w:rsidRPr="00512250" w:rsidRDefault="00F026BE" w:rsidP="00F026BE">
      <w:pPr>
        <w:pStyle w:val="NormalHanging12a"/>
      </w:pPr>
      <w:r w:rsidRPr="00512250">
        <w:t>–</w:t>
      </w:r>
      <w:r w:rsidRPr="00512250">
        <w:tab/>
        <w:t>έχοντας υπόψη το άρθρο 106α της Συνθήκης περί ιδρύσεως της Ευρωπαϊκής Κοινότητος Ατομικής Ενεργείας,</w:t>
      </w:r>
    </w:p>
    <w:p w14:paraId="10FF9FC6"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262"/>
      </w:r>
      <w:r w:rsidRPr="00512250">
        <w:t>, και ιδίως το άρθρο 68,</w:t>
      </w:r>
    </w:p>
    <w:p w14:paraId="39A13A29"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263"/>
      </w:r>
      <w:r w:rsidRPr="00512250">
        <w:t>, και ιδίως το άρθρο 68,</w:t>
      </w:r>
    </w:p>
    <w:p w14:paraId="7940F874" w14:textId="77777777" w:rsidR="00F026BE" w:rsidRPr="00512250" w:rsidRDefault="00F026BE" w:rsidP="00F026BE">
      <w:pPr>
        <w:pStyle w:val="NormalHanging12a"/>
      </w:pPr>
      <w:r w:rsidRPr="00512250">
        <w:t>–</w:t>
      </w:r>
      <w:r w:rsidRPr="00512250">
        <w:tab/>
        <w:t>έχοντας υπόψη την απόφαση 2008/114/ΕΚ, Ευρατόμ του Συμβουλίου, της 12ης Φεβρουαρίου 2008, σχετικά με την θέσπιση του καταστατικού του Οργανισμού Εφοδιασμού της Ευρατόμ</w:t>
      </w:r>
      <w:r w:rsidRPr="00512250">
        <w:rPr>
          <w:rStyle w:val="FootnoteReference"/>
        </w:rPr>
        <w:footnoteReference w:id="264"/>
      </w:r>
      <w:r w:rsidRPr="00512250">
        <w:t>, και ιδίως το άρθρο 8 του παραρτήματος,</w:t>
      </w:r>
    </w:p>
    <w:p w14:paraId="4C8877DF"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2A6B780F" w14:textId="77777777" w:rsidR="00F026BE" w:rsidRPr="00512250" w:rsidRDefault="00F026BE" w:rsidP="00F026BE">
      <w:pPr>
        <w:pStyle w:val="NormalHanging12a"/>
      </w:pPr>
      <w:r w:rsidRPr="00512250">
        <w:lastRenderedPageBreak/>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77E9AD50"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5AAADC68" w14:textId="77777777" w:rsidR="00F026BE" w:rsidRPr="00512250" w:rsidRDefault="00F026BE" w:rsidP="00F026BE">
      <w:pPr>
        <w:pStyle w:val="NormalHanging12a"/>
      </w:pPr>
      <w:r w:rsidRPr="00512250">
        <w:t>1.</w:t>
      </w:r>
      <w:r w:rsidRPr="00512250">
        <w:tab/>
        <w:t>εγκρίνει το κλείσιμο των λογαριασμών του Οργανισμού Εφοδιασμού της Ευρατόμ για το οικονομικό έτος 2024·</w:t>
      </w:r>
    </w:p>
    <w:p w14:paraId="67D675D8"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στον γενικό διευθυντή του Οργανισμού Εφοδιασμού της Ευρατόμ, στο Συμβούλιο, στην Επιτροπή και στο Ελεγκτικό Συνέδριο, και να μεριμνήσει για τη δημοσίευσή της στην </w:t>
      </w:r>
      <w:r w:rsidRPr="00512250">
        <w:rPr>
          <w:i/>
          <w:iCs/>
        </w:rPr>
        <w:t>Επίσημη Εφημερίδα της Ευρωπαϊκής Ένωσης</w:t>
      </w:r>
      <w:r w:rsidRPr="00512250">
        <w:t xml:space="preserve"> (σειρά L).</w:t>
      </w:r>
    </w:p>
    <w:p w14:paraId="2973C72C" w14:textId="77777777" w:rsidR="00F026BE" w:rsidRPr="00512250" w:rsidRDefault="00F026BE" w:rsidP="00F026BE"/>
    <w:p w14:paraId="59ACA572" w14:textId="77777777" w:rsidR="00F026BE" w:rsidRPr="00512250" w:rsidRDefault="00F026BE" w:rsidP="00F026BE"/>
    <w:p w14:paraId="4F53E4AC" w14:textId="1C907762" w:rsidR="00F026BE" w:rsidRPr="00512250" w:rsidRDefault="00F026BE" w:rsidP="00F026BE">
      <w:pPr>
        <w:pStyle w:val="PageHeadingDec"/>
      </w:pPr>
    </w:p>
    <w:p w14:paraId="607887A7" w14:textId="77777777" w:rsidR="00F026BE" w:rsidRPr="00512250" w:rsidRDefault="00F026BE" w:rsidP="00F026BE">
      <w:pPr>
        <w:pStyle w:val="PageHeadingDec"/>
        <w:sectPr w:rsidR="00F026BE" w:rsidRPr="00512250" w:rsidSect="00F01631">
          <w:footerReference w:type="first" r:id="rId5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C36A219" w14:textId="77777777" w:rsidR="00A10728" w:rsidRPr="00512250" w:rsidRDefault="00A10728" w:rsidP="00A10728">
      <w:pPr>
        <w:pStyle w:val="ATHeading3"/>
      </w:pPr>
      <w:r w:rsidRPr="00512250">
        <w:lastRenderedPageBreak/>
        <w:t>45. Απόφαση του Ευρωπαϊκού Κοινοβουλίου της 29ης Απριλίου 2026 σχετικά με την απαλλαγή όσον αφορά την εκτέλεση του προϋπολογισμού της Ευρωπαϊκής Αρχής Κινητών Αξιών και Αγορών για το οικονομικό έτος 2024 (2025/2156(DEC))</w:t>
      </w:r>
    </w:p>
    <w:p w14:paraId="0371B8AA" w14:textId="77777777" w:rsidR="00F026BE" w:rsidRPr="00512250" w:rsidRDefault="00F026BE" w:rsidP="00F026BE">
      <w:pPr>
        <w:pStyle w:val="EPComma"/>
      </w:pPr>
      <w:r w:rsidRPr="00512250">
        <w:rPr>
          <w:i/>
          <w:iCs/>
        </w:rPr>
        <w:t>Το Ευρωπαϊκό Κοινοβούλιο,</w:t>
      </w:r>
    </w:p>
    <w:p w14:paraId="3CC607B5"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της Ευρωπαϊκής Αρχής Κινητών Αξιών και Αγορών για το οικονομικό έτος 2024,</w:t>
      </w:r>
    </w:p>
    <w:p w14:paraId="14227C34"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265"/>
      </w:r>
      <w:r w:rsidRPr="00512250">
        <w:t>,</w:t>
      </w:r>
    </w:p>
    <w:p w14:paraId="0A039B61"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266"/>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476C8C77"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της Αρχής όσον αφορά την εκτέλεση του προϋπολογισμού για το οικονομικό έτος 2024 (05750/2026 – C10-0148/2026),</w:t>
      </w:r>
    </w:p>
    <w:p w14:paraId="2A557BDC"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2C7D7D77"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267"/>
      </w:r>
      <w:r w:rsidRPr="00512250">
        <w:t>, και ιδίως το άρθρο 70,</w:t>
      </w:r>
    </w:p>
    <w:p w14:paraId="65431033"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268"/>
      </w:r>
      <w:r w:rsidRPr="00512250">
        <w:t>, και ιδίως το άρθρο 70,</w:t>
      </w:r>
    </w:p>
    <w:p w14:paraId="58D169CA" w14:textId="77777777" w:rsidR="00F026BE" w:rsidRPr="00512250" w:rsidRDefault="00F026BE" w:rsidP="00F026BE">
      <w:pPr>
        <w:pStyle w:val="NormalHanging12a"/>
      </w:pPr>
      <w:r w:rsidRPr="00512250">
        <w:t>–</w:t>
      </w:r>
      <w:r w:rsidRPr="00512250">
        <w:tab/>
        <w:t>έχοντας υπόψη τον κανονισμό (ΕΕ) αριθ. 1095/2010 του Ευρωπαϊκού Κοινοβουλίου και του Συμβουλίου, της 24ης Νοεμβρίου 2010, σχετικά με τη σύσταση Ευρωπαϊκής Εποπτικής Αρχής (Ευρωπαϊκή Αρχή Κινητών Αξιών και Αγορών), την τροποποίηση της απόφασης αριθ. 716/2009/ΕΚ και την κατάργηση της απόφασης 2009/77/ΕΚ της Επιτροπής</w:t>
      </w:r>
      <w:r w:rsidRPr="00512250">
        <w:rPr>
          <w:rStyle w:val="FootnoteReference"/>
        </w:rPr>
        <w:footnoteReference w:id="269"/>
      </w:r>
      <w:r w:rsidRPr="00512250">
        <w:t>, και ιδίως το άρθρο 64,</w:t>
      </w:r>
    </w:p>
    <w:p w14:paraId="74D44E7C"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512250">
        <w:lastRenderedPageBreak/>
        <w:t>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270"/>
      </w:r>
      <w:r w:rsidRPr="00512250">
        <w:t>, και ιδίως το άρθρο 105,</w:t>
      </w:r>
    </w:p>
    <w:p w14:paraId="0FD3DEAA"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4E11DDB9"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1E73E45E"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5F0C9BAD" w14:textId="77777777" w:rsidR="00F026BE" w:rsidRPr="00512250" w:rsidRDefault="00F026BE" w:rsidP="00F026BE">
      <w:pPr>
        <w:pStyle w:val="NormalHanging12a"/>
      </w:pPr>
      <w:r w:rsidRPr="00512250">
        <w:t>1.</w:t>
      </w:r>
      <w:r w:rsidRPr="00512250">
        <w:tab/>
        <w:t>χορηγεί απαλλαγή στην εκτελεστική διευθύντρια της Ευρωπαϊκής Αρχής Κινητών Αξιών και Αγορών όσον αφορά την εκτέλεση του προϋπολογισμού της Αρχής για το οικονομικό έτος 2024·</w:t>
      </w:r>
    </w:p>
    <w:p w14:paraId="01BD182A"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4E54AE57"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της Ευρωπαϊκής Αρχής Κινητών Αξιών και Αγορών, στο Συμβούλιο, στην Επιτροπή και στο Ελεγκτικό Συνέδριο, και να μεριμνήσει για τη δημοσίευσή τους στην </w:t>
      </w:r>
      <w:r w:rsidRPr="00512250">
        <w:rPr>
          <w:i/>
        </w:rPr>
        <w:t>Επίσημη Εφημερίδα της Ευρωπαϊκής Ένωσης</w:t>
      </w:r>
      <w:r w:rsidRPr="00512250">
        <w:t xml:space="preserve"> (σειρά L).</w:t>
      </w:r>
    </w:p>
    <w:p w14:paraId="21B12A75" w14:textId="77777777" w:rsidR="00F026BE" w:rsidRPr="00512250" w:rsidRDefault="00F026BE" w:rsidP="00F026BE"/>
    <w:p w14:paraId="24B695BC" w14:textId="77777777" w:rsidR="00F026BE" w:rsidRPr="00512250" w:rsidRDefault="00F026BE" w:rsidP="00F026BE">
      <w:pPr>
        <w:pStyle w:val="PageHeadingDec"/>
        <w:sectPr w:rsidR="00F026BE" w:rsidRPr="00512250" w:rsidSect="00F01631">
          <w:footerReference w:type="first" r:id="rId5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B309F81" w14:textId="77777777" w:rsidR="00A10728" w:rsidRPr="00512250" w:rsidRDefault="00A10728" w:rsidP="00A10728">
      <w:pPr>
        <w:pStyle w:val="ATHeading3"/>
      </w:pPr>
      <w:r w:rsidRPr="00512250">
        <w:lastRenderedPageBreak/>
        <w:t>46. Απόφαση του Ευρωπαϊκού Κοινοβουλίου της 29ης Απριλίου 2026 σχετικά με το κλείσιμο των λογαριασμών της Ευρωπαϊκής Αρχής Κινητών Αξιών και Αγορών για το οικονομικό έτος 2024 (2025/2156(DEC))</w:t>
      </w:r>
    </w:p>
    <w:p w14:paraId="000BD597" w14:textId="77777777" w:rsidR="00F026BE" w:rsidRPr="00512250" w:rsidRDefault="00F026BE" w:rsidP="00F026BE">
      <w:pPr>
        <w:pStyle w:val="EPComma"/>
      </w:pPr>
      <w:r w:rsidRPr="00512250">
        <w:rPr>
          <w:i/>
          <w:iCs/>
        </w:rPr>
        <w:t>Το Ευρωπαϊκό Κοινοβούλιο,</w:t>
      </w:r>
    </w:p>
    <w:p w14:paraId="610DC3B7"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της Ευρωπαϊκής Αρχής Κινητών Αξιών και Αγορών για το οικονομικό έτος 2024,</w:t>
      </w:r>
    </w:p>
    <w:p w14:paraId="681A36B8"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271"/>
      </w:r>
      <w:r w:rsidRPr="00512250">
        <w:t>,</w:t>
      </w:r>
    </w:p>
    <w:p w14:paraId="50B22641"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272"/>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5D727DA7"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της Αρχής όσον αφορά την εκτέλεση του προϋπολογισμού για το οικονομικό έτος 2024 (05750/2026 – C10-0148/2026),</w:t>
      </w:r>
    </w:p>
    <w:p w14:paraId="0C4B5B0B"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41F073A3"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273"/>
      </w:r>
      <w:r w:rsidRPr="00512250">
        <w:t>, και ιδίως το άρθρο 70,</w:t>
      </w:r>
    </w:p>
    <w:p w14:paraId="4091085C"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274"/>
      </w:r>
      <w:r w:rsidRPr="00512250">
        <w:t>, και ιδίως το άρθρο 70,</w:t>
      </w:r>
    </w:p>
    <w:p w14:paraId="16FA8A97" w14:textId="77777777" w:rsidR="00F026BE" w:rsidRPr="00512250" w:rsidRDefault="00F026BE" w:rsidP="00F026BE">
      <w:pPr>
        <w:pStyle w:val="NormalHanging12a"/>
      </w:pPr>
      <w:r w:rsidRPr="00512250">
        <w:t>–</w:t>
      </w:r>
      <w:r w:rsidRPr="00512250">
        <w:tab/>
        <w:t>έχοντας υπόψη τον κανονισμό (ΕΕ) αριθ. 1095/2010 του Ευρωπαϊκού Κοινοβουλίου και του Συμβουλίου, της 24ης Νοεμβρίου 2010, σχετικά με τη σύσταση Ευρωπαϊκής Εποπτικής Αρχής (Ευρωπαϊκή Αρχή Κινητών Αξιών και Αγορών), την τροποποίηση της απόφασης αριθ. 716/2009/ΕΚ και την κατάργηση της απόφασης 2009/77/ΕΚ της Επιτροπής</w:t>
      </w:r>
      <w:r w:rsidRPr="00512250">
        <w:rPr>
          <w:rStyle w:val="FootnoteReference"/>
        </w:rPr>
        <w:footnoteReference w:id="275"/>
      </w:r>
      <w:r w:rsidRPr="00512250">
        <w:t>, και ιδίως το άρθρο 64,</w:t>
      </w:r>
    </w:p>
    <w:p w14:paraId="24A37C2D"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512250">
        <w:lastRenderedPageBreak/>
        <w:t>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276"/>
      </w:r>
      <w:r w:rsidRPr="00512250">
        <w:t>, και ιδίως το άρθρο 105,</w:t>
      </w:r>
    </w:p>
    <w:p w14:paraId="2EDFA277"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54687A15"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47206313"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4085BBE0" w14:textId="77777777" w:rsidR="00F026BE" w:rsidRPr="00512250" w:rsidRDefault="00F026BE" w:rsidP="00F026BE">
      <w:pPr>
        <w:pStyle w:val="NormalHanging12a"/>
      </w:pPr>
      <w:r w:rsidRPr="00512250">
        <w:t>1.</w:t>
      </w:r>
      <w:r w:rsidRPr="00512250">
        <w:tab/>
        <w:t>εγκρίνει το κλείσιμο των λογαριασμών της Ευρωπαϊκής Αρχής Κινητών Αξιών και Αγορών για το οικονομικό έτος 2024·</w:t>
      </w:r>
    </w:p>
    <w:p w14:paraId="65855065"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στην εκτελεστική διευθύντρια της Ευρωπαϊκής Αρχής Κινητών Αξιών και Αγορών, στο Συμβούλιο, στην Επιτροπή και στο Ελεγκτικό Συνέδριο, και να μεριμνήσει για τη δημοσίευσή της στην </w:t>
      </w:r>
      <w:r w:rsidRPr="00512250">
        <w:rPr>
          <w:i/>
        </w:rPr>
        <w:t>Επίσημη Εφημερίδα της Ευρωπαϊκής Ένωσης</w:t>
      </w:r>
      <w:r w:rsidRPr="00512250">
        <w:t xml:space="preserve"> (σειρά L).</w:t>
      </w:r>
    </w:p>
    <w:p w14:paraId="466A3298" w14:textId="77777777" w:rsidR="00F026BE" w:rsidRPr="00512250" w:rsidRDefault="00F026BE" w:rsidP="00F026BE"/>
    <w:p w14:paraId="7323CD61" w14:textId="77777777" w:rsidR="00F026BE" w:rsidRPr="00512250" w:rsidRDefault="00F026BE" w:rsidP="00F026BE"/>
    <w:p w14:paraId="3F8AEC1D" w14:textId="0FB99225" w:rsidR="00F026BE" w:rsidRPr="00512250" w:rsidRDefault="00F026BE" w:rsidP="00F026BE">
      <w:pPr>
        <w:pStyle w:val="PageHeadingDec"/>
      </w:pPr>
    </w:p>
    <w:p w14:paraId="4F90E156" w14:textId="77777777" w:rsidR="00F026BE" w:rsidRPr="00512250" w:rsidRDefault="00F026BE" w:rsidP="00F026BE">
      <w:pPr>
        <w:pStyle w:val="PageHeadingDec"/>
        <w:sectPr w:rsidR="00F026BE" w:rsidRPr="00512250" w:rsidSect="00F01631">
          <w:footerReference w:type="first" r:id="rId5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7B30C50" w14:textId="77777777" w:rsidR="00A10728" w:rsidRPr="00512250" w:rsidRDefault="00A10728" w:rsidP="00A10728">
      <w:pPr>
        <w:pStyle w:val="ATHeading3"/>
      </w:pPr>
      <w:r w:rsidRPr="00512250">
        <w:lastRenderedPageBreak/>
        <w:t>47. Απόφαση του Ευρωπαϊκού Κοινοβουλίου της 29ης Απριλίου 2026 σχετικά με την απαλλαγή όσον αφορά την εκτέλεση του προϋπολογισμού του Ευρωπαϊκού Ιδρύματος Επαγγελματικής Εκπαίδευσης για το οικονομικό έτος 2024 (2025/2156(DEC))</w:t>
      </w:r>
    </w:p>
    <w:p w14:paraId="603D28DE" w14:textId="77777777" w:rsidR="00F026BE" w:rsidRPr="00512250" w:rsidRDefault="00F026BE" w:rsidP="00F026BE">
      <w:pPr>
        <w:pStyle w:val="EPComma"/>
      </w:pPr>
      <w:r w:rsidRPr="00512250">
        <w:rPr>
          <w:i/>
          <w:iCs/>
        </w:rPr>
        <w:t>Το Ευρωπαϊκό Κοινοβούλιο,</w:t>
      </w:r>
    </w:p>
    <w:p w14:paraId="2555AA29"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Ιδρύματος Επαγγελματικής Εκπαίδευσης για το οικονομικό έτος 2024,</w:t>
      </w:r>
    </w:p>
    <w:p w14:paraId="626DB4BE"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277"/>
      </w:r>
      <w:r w:rsidRPr="00512250">
        <w:t>,</w:t>
      </w:r>
    </w:p>
    <w:p w14:paraId="25BBD2AA"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278"/>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318D7DFA"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του Ιδρύματος όσον αφορά την εκτέλεση του προϋπολογισμού για το οικονομικό έτος 2024 (05750/2026 – C10-0148/2026),</w:t>
      </w:r>
    </w:p>
    <w:p w14:paraId="1C26BED5"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1573B125"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279"/>
      </w:r>
      <w:r w:rsidRPr="00512250">
        <w:t>, και ιδίως το άρθρο 70,</w:t>
      </w:r>
    </w:p>
    <w:p w14:paraId="125FA206"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280"/>
      </w:r>
      <w:r w:rsidRPr="00512250">
        <w:t>, και ιδίως το άρθρο 70,</w:t>
      </w:r>
    </w:p>
    <w:p w14:paraId="79D781E3" w14:textId="77777777" w:rsidR="00F026BE" w:rsidRPr="00512250" w:rsidRDefault="00F026BE" w:rsidP="00F026BE">
      <w:pPr>
        <w:pStyle w:val="NormalHanging12a"/>
      </w:pPr>
      <w:r w:rsidRPr="00512250">
        <w:t>–</w:t>
      </w:r>
      <w:r w:rsidRPr="00512250">
        <w:tab/>
        <w:t>έχοντας υπόψη τον κανονισμό (ΕΚ) αριθ. 1339/2008 του Ευρωπαϊκού Κοινοβουλίου και του Συμβουλίου, της 16ης Δεκεμβρίου 2008, για τη σύσταση του Ευρωπαϊκού Ιδρύματος Επαγγελματικής Εκπαίδευσης</w:t>
      </w:r>
      <w:r w:rsidRPr="00512250">
        <w:rPr>
          <w:rStyle w:val="FootnoteReference"/>
        </w:rPr>
        <w:footnoteReference w:id="281"/>
      </w:r>
      <w:r w:rsidRPr="00512250">
        <w:t>, και ιδίως το άρθρο 17,</w:t>
      </w:r>
    </w:p>
    <w:p w14:paraId="5B9EED21"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282"/>
      </w:r>
      <w:r w:rsidRPr="00512250">
        <w:t>, και ιδίως το άρθρο 105,</w:t>
      </w:r>
    </w:p>
    <w:p w14:paraId="7AFBFB01"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2FD94469"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3D222B1D"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62DCCF80" w14:textId="77777777" w:rsidR="00F026BE" w:rsidRPr="00512250" w:rsidRDefault="00F026BE" w:rsidP="00F026BE">
      <w:pPr>
        <w:pStyle w:val="NormalHanging12a"/>
      </w:pPr>
      <w:r w:rsidRPr="00512250">
        <w:t>1.</w:t>
      </w:r>
      <w:r w:rsidRPr="00512250">
        <w:tab/>
        <w:t>χορηγεί απαλλαγή στη διευθύντρια του Ευρωπαϊκού Ιδρύματος Επαγγελματικής Εκπαίδευσης όσον αφορά την εκτέλεση του προϋπολογισμού του Ιδρύματος για το οικονομικό έτος 2024·</w:t>
      </w:r>
    </w:p>
    <w:p w14:paraId="4C1144C8"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4D8879FB"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στη διευθύντρια του Ευρωπαϊκού Ιδρύματος Επαγγελματικής Εκπαίδευσης, στο Συμβούλιο, στην Επιτροπή και στο Ελεγκτικό Συνέδριο, και να μεριμνήσει για τη δημοσίευσή τους στην </w:t>
      </w:r>
      <w:r w:rsidRPr="00512250">
        <w:rPr>
          <w:i/>
        </w:rPr>
        <w:t>Επίσημη Εφημερίδα της Ευρωπαϊκής Ένωσης</w:t>
      </w:r>
      <w:r w:rsidRPr="00512250">
        <w:t xml:space="preserve"> (σειρά L).</w:t>
      </w:r>
    </w:p>
    <w:p w14:paraId="07BC7D69" w14:textId="77777777" w:rsidR="00F026BE" w:rsidRPr="00512250" w:rsidRDefault="00F026BE" w:rsidP="00F026BE"/>
    <w:p w14:paraId="6523D5D9" w14:textId="77777777" w:rsidR="00F026BE" w:rsidRPr="00512250" w:rsidRDefault="00F026BE" w:rsidP="00F026BE">
      <w:pPr>
        <w:pStyle w:val="PageHeadingDec"/>
        <w:sectPr w:rsidR="00F026BE" w:rsidRPr="00512250" w:rsidSect="00F01631">
          <w:footerReference w:type="first" r:id="rId5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EE30232" w14:textId="77777777" w:rsidR="00A10728" w:rsidRPr="00512250" w:rsidRDefault="00A10728" w:rsidP="00A10728">
      <w:pPr>
        <w:pStyle w:val="ATHeading3"/>
      </w:pPr>
      <w:r w:rsidRPr="00512250">
        <w:lastRenderedPageBreak/>
        <w:t>48. Απόφαση του Ευρωπαϊκού Κοινοβουλίου της 29ης Απριλίου 2026 σχετικά με το κλείσιμο των λογαριασμών του Ευρωπαϊκού Ιδρύματος Επαγγελματικής Εκπαίδευσης για το οικονομικό έτος 2024 (2025/2156(DEC))</w:t>
      </w:r>
    </w:p>
    <w:p w14:paraId="74E100ED" w14:textId="77777777" w:rsidR="00F026BE" w:rsidRPr="00512250" w:rsidRDefault="00F026BE" w:rsidP="00F026BE">
      <w:pPr>
        <w:pStyle w:val="EPComma"/>
      </w:pPr>
      <w:r w:rsidRPr="00512250">
        <w:rPr>
          <w:i/>
          <w:iCs/>
        </w:rPr>
        <w:t>Το Ευρωπαϊκό Κοινοβούλιο,</w:t>
      </w:r>
    </w:p>
    <w:p w14:paraId="76ED7889"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Ιδρύματος Επαγγελματικής Εκπαίδευσης για το οικονομικό έτος 2024,</w:t>
      </w:r>
    </w:p>
    <w:p w14:paraId="0F36041A"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283"/>
      </w:r>
      <w:r w:rsidRPr="00512250">
        <w:t>,</w:t>
      </w:r>
    </w:p>
    <w:p w14:paraId="26481551"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284"/>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36667CEC"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του Ιδρύματος όσον αφορά την εκτέλεση του προϋπολογισμού για το οικονομικό έτος 2024 (05750/2026 – C10-0148/2026),</w:t>
      </w:r>
    </w:p>
    <w:p w14:paraId="14D341EE"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0794F2EC"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285"/>
      </w:r>
      <w:r w:rsidRPr="00512250">
        <w:t>, και ιδίως το άρθρο 70,</w:t>
      </w:r>
    </w:p>
    <w:p w14:paraId="783808B2"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286"/>
      </w:r>
      <w:r w:rsidRPr="00512250">
        <w:t>, και ιδίως το άρθρο 70,</w:t>
      </w:r>
    </w:p>
    <w:p w14:paraId="18B28103" w14:textId="77777777" w:rsidR="00F026BE" w:rsidRPr="00512250" w:rsidRDefault="00F026BE" w:rsidP="00F026BE">
      <w:pPr>
        <w:pStyle w:val="NormalHanging12a"/>
      </w:pPr>
      <w:r w:rsidRPr="00512250">
        <w:t>–</w:t>
      </w:r>
      <w:r w:rsidRPr="00512250">
        <w:tab/>
        <w:t>έχοντας υπόψη τον κανονισμό (ΕΚ) αριθ. 1339/2008 του Ευρωπαϊκού Κοινοβουλίου και του Συμβουλίου, της 16ης Δεκεμβρίου 2008, για τη σύσταση του Ευρωπαϊκού Ιδρύματος Επαγγελματικής Εκπαίδευσης</w:t>
      </w:r>
      <w:r w:rsidRPr="00512250">
        <w:rPr>
          <w:rStyle w:val="FootnoteReference"/>
        </w:rPr>
        <w:footnoteReference w:id="287"/>
      </w:r>
      <w:r w:rsidRPr="00512250">
        <w:t>, και ιδίως το άρθρο 17,</w:t>
      </w:r>
    </w:p>
    <w:p w14:paraId="130C1CBF"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288"/>
      </w:r>
      <w:r w:rsidRPr="00512250">
        <w:t>, και ιδίως το άρθρο 105,</w:t>
      </w:r>
    </w:p>
    <w:p w14:paraId="52B777E5"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637F61FC"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28DED990"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084D3B10" w14:textId="77777777" w:rsidR="00F026BE" w:rsidRPr="00512250" w:rsidRDefault="00F026BE" w:rsidP="00F026BE">
      <w:pPr>
        <w:pStyle w:val="NormalHanging12a"/>
      </w:pPr>
      <w:r w:rsidRPr="00512250">
        <w:t>1.</w:t>
      </w:r>
      <w:r w:rsidRPr="00512250">
        <w:tab/>
        <w:t>εγκρίνει το κλείσιμο των λογαριασμών του Ευρωπαϊκού Ιδρύματος Επαγγελματικής Εκπαίδευσης για το οικονομικό έτος 2024·</w:t>
      </w:r>
    </w:p>
    <w:p w14:paraId="15DF8ECF"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στη διευθύντρια του Ευρωπαϊκού Ιδρύματος Επαγγελματικής Εκπαίδευσης, στο Συμβούλιο, στην Επιτροπή και στο Ελεγκτικό Συνέδριο, και να μεριμνήσει για τη δημοσίευσή της στην </w:t>
      </w:r>
      <w:r w:rsidRPr="00512250">
        <w:rPr>
          <w:i/>
        </w:rPr>
        <w:t>Επίσημη Εφημερίδα της Ευρωπαϊκής Ένωσης</w:t>
      </w:r>
      <w:r w:rsidRPr="00512250">
        <w:t xml:space="preserve"> (σειρά L).</w:t>
      </w:r>
    </w:p>
    <w:p w14:paraId="3C76654E" w14:textId="77777777" w:rsidR="00F026BE" w:rsidRPr="00512250" w:rsidRDefault="00F026BE" w:rsidP="00F026BE"/>
    <w:p w14:paraId="25192D77" w14:textId="77777777" w:rsidR="00F026BE" w:rsidRPr="00512250" w:rsidRDefault="00F026BE" w:rsidP="00F026BE"/>
    <w:p w14:paraId="51F1F6AF" w14:textId="144ED537" w:rsidR="00F026BE" w:rsidRPr="00512250" w:rsidRDefault="00F026BE" w:rsidP="00F026BE">
      <w:pPr>
        <w:pStyle w:val="PageHeadingDec"/>
      </w:pPr>
    </w:p>
    <w:p w14:paraId="4A918A37" w14:textId="77777777" w:rsidR="00F026BE" w:rsidRPr="00512250" w:rsidRDefault="00F026BE" w:rsidP="00F026BE">
      <w:pPr>
        <w:pStyle w:val="PageHeadingDec"/>
        <w:sectPr w:rsidR="00F026BE" w:rsidRPr="00512250" w:rsidSect="00F01631">
          <w:footerReference w:type="first" r:id="rId5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1595285" w14:textId="77777777" w:rsidR="00A10728" w:rsidRPr="00512250" w:rsidRDefault="00A10728" w:rsidP="00A10728">
      <w:pPr>
        <w:pStyle w:val="ATHeading3"/>
      </w:pPr>
      <w:r w:rsidRPr="00512250">
        <w:lastRenderedPageBreak/>
        <w:t>49. Απόφαση του Ευρωπαϊκού Κοινοβουλίου της 29ης Απριλίου 2026 σχετικά με την απαλλαγή όσον αφορά την εκτέλεση του προϋπολογισμού του Οργανισμού της Ευρωπαϊκής Ένωσης για το Άσυλο για το οικονομικό έτος 2024 (2025/2156(DEC))</w:t>
      </w:r>
    </w:p>
    <w:p w14:paraId="69EA035F" w14:textId="77777777" w:rsidR="00F026BE" w:rsidRPr="00512250" w:rsidRDefault="00F026BE" w:rsidP="00F026BE">
      <w:pPr>
        <w:pStyle w:val="EPComma"/>
      </w:pPr>
      <w:r w:rsidRPr="00512250">
        <w:rPr>
          <w:i/>
          <w:iCs/>
        </w:rPr>
        <w:t>Το Ευρωπαϊκό Κοινοβούλιο,</w:t>
      </w:r>
    </w:p>
    <w:p w14:paraId="51904E2B"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της Ευρωπαϊκής Ένωσης για το Άσυλο για το οικονομικό έτος 2024,</w:t>
      </w:r>
    </w:p>
    <w:p w14:paraId="2813AEB9"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289"/>
      </w:r>
      <w:r w:rsidRPr="00512250">
        <w:t>,</w:t>
      </w:r>
    </w:p>
    <w:p w14:paraId="1622C6A7"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290"/>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4F2BA72B" w14:textId="107366B6"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58B906CB"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4D468258"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291"/>
      </w:r>
      <w:r w:rsidRPr="00512250">
        <w:t>, και ιδίως το άρθρο 70,</w:t>
      </w:r>
    </w:p>
    <w:p w14:paraId="250359B0"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292"/>
      </w:r>
      <w:r w:rsidRPr="00512250">
        <w:t>, και ιδίως το άρθρο 70,</w:t>
      </w:r>
    </w:p>
    <w:p w14:paraId="0C94881D" w14:textId="77777777" w:rsidR="00F026BE" w:rsidRPr="00512250" w:rsidRDefault="00F026BE" w:rsidP="00F026BE">
      <w:pPr>
        <w:pStyle w:val="NormalHanging12a"/>
      </w:pPr>
      <w:r w:rsidRPr="00512250">
        <w:t>–</w:t>
      </w:r>
      <w:r w:rsidRPr="00512250">
        <w:tab/>
        <w:t>έχοντας υπόψη τον κανονισμό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w:t>
      </w:r>
      <w:r w:rsidRPr="00512250">
        <w:rPr>
          <w:rStyle w:val="FootnoteReference"/>
        </w:rPr>
        <w:footnoteReference w:id="293"/>
      </w:r>
      <w:r w:rsidRPr="00512250">
        <w:t>, και ιδίως το άρθρο 55,</w:t>
      </w:r>
    </w:p>
    <w:p w14:paraId="3936657A"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294"/>
      </w:r>
      <w:r w:rsidRPr="00512250">
        <w:t>, και ιδίως το άρθρο 105,</w:t>
      </w:r>
    </w:p>
    <w:p w14:paraId="76DFC1D9"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011C9B72"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41841066"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0275E470" w14:textId="77777777" w:rsidR="00F026BE" w:rsidRPr="00512250" w:rsidRDefault="00F026BE" w:rsidP="00F026BE">
      <w:pPr>
        <w:pStyle w:val="NormalHanging12a"/>
      </w:pPr>
      <w:r w:rsidRPr="00512250">
        <w:t>1.</w:t>
      </w:r>
      <w:r w:rsidRPr="00512250">
        <w:tab/>
        <w:t>χορηγεί απαλλαγή στην εκτελεστική διευθύντρια του Οργανισμού της Ευρωπαϊκής Ένωσης για το Άσυλο όσον αφορά την εκτέλεση του προϋπολογισμού του Οργανισμού για το οικονομικό έτος 2024·</w:t>
      </w:r>
    </w:p>
    <w:p w14:paraId="7FC95149"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69404AFD"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του Οργανισμού της Ευρωπαϊκής Ένωσης για το Άσυλο, στο Συμβούλιο, στην Επιτροπή και στο Ελεγκτικό Συνέδριο, και να μεριμνήσει για τη δημοσίευσή τους στην </w:t>
      </w:r>
      <w:r w:rsidRPr="00512250">
        <w:rPr>
          <w:i/>
        </w:rPr>
        <w:t>Επίσημη Εφημερίδα της Ευρωπαϊκής Ένωσης</w:t>
      </w:r>
      <w:r w:rsidRPr="00512250">
        <w:t xml:space="preserve"> (σειρά L).</w:t>
      </w:r>
    </w:p>
    <w:p w14:paraId="6289CB36" w14:textId="77777777" w:rsidR="00F026BE" w:rsidRPr="00512250" w:rsidRDefault="00F026BE" w:rsidP="00F026BE"/>
    <w:p w14:paraId="5B45C7C2" w14:textId="77777777" w:rsidR="00F026BE" w:rsidRPr="00512250" w:rsidRDefault="00F026BE" w:rsidP="00F026BE">
      <w:pPr>
        <w:pStyle w:val="PageHeadingDec"/>
        <w:sectPr w:rsidR="00F026BE" w:rsidRPr="00512250" w:rsidSect="00F01631">
          <w:footerReference w:type="first" r:id="rId5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0431221" w14:textId="77777777" w:rsidR="00A10728" w:rsidRPr="00512250" w:rsidRDefault="00A10728" w:rsidP="00A10728">
      <w:pPr>
        <w:pStyle w:val="ATHeading3"/>
      </w:pPr>
      <w:r w:rsidRPr="00512250">
        <w:lastRenderedPageBreak/>
        <w:t>50. Απόφαση του Ευρωπαϊκού Κοινοβουλίου της 29ης Απριλίου 2026 σχετικά με το κλείσιμο των λογαριασμών του Οργανισμού της Ευρωπαϊκής Ένωσης για το Άσυλο για το οικονομικό έτος 2024 (2025/2156(DEC))</w:t>
      </w:r>
    </w:p>
    <w:p w14:paraId="7CBE14F9" w14:textId="77777777" w:rsidR="00F026BE" w:rsidRPr="00512250" w:rsidRDefault="00F026BE" w:rsidP="00F026BE">
      <w:pPr>
        <w:pStyle w:val="EPComma"/>
      </w:pPr>
      <w:r w:rsidRPr="00512250">
        <w:rPr>
          <w:i/>
          <w:iCs/>
        </w:rPr>
        <w:t>Το Ευρωπαϊκό Κοινοβούλιο,</w:t>
      </w:r>
    </w:p>
    <w:p w14:paraId="23378560"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της Ευρωπαϊκής Ένωσης για το Άσυλο για το οικονομικό έτος 2024,</w:t>
      </w:r>
    </w:p>
    <w:p w14:paraId="24048387"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295"/>
      </w:r>
      <w:r w:rsidRPr="00512250">
        <w:t>,</w:t>
      </w:r>
    </w:p>
    <w:p w14:paraId="5C3688BD"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296"/>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3328AB6E" w14:textId="21CC9E42"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3A455C99"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11FE37EB"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297"/>
      </w:r>
      <w:r w:rsidRPr="00512250">
        <w:t>, και ιδίως το άρθρο 70,</w:t>
      </w:r>
    </w:p>
    <w:p w14:paraId="60B40025"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298"/>
      </w:r>
      <w:r w:rsidRPr="00512250">
        <w:t>, και ιδίως το άρθρο 70,</w:t>
      </w:r>
    </w:p>
    <w:p w14:paraId="74767A1C" w14:textId="77777777" w:rsidR="00F026BE" w:rsidRPr="00512250" w:rsidRDefault="00F026BE" w:rsidP="00F026BE">
      <w:pPr>
        <w:pStyle w:val="NormalHanging12a"/>
      </w:pPr>
      <w:r w:rsidRPr="00512250">
        <w:t>–</w:t>
      </w:r>
      <w:r w:rsidRPr="00512250">
        <w:tab/>
        <w:t>έχοντας υπόψη τον κανονισμό (ΕΕ) 2021/2303 του Ευρωπαϊκού Κοινοβουλίου και του Συμβουλίου, της 15ης Δεκεμβρίου 2021, σχετικά με τον Οργανισμό της Ευρωπαϊκής Ένωσης για το Άσυλο και την κατάργηση του κανονισμού (ΕΕ) αριθ. 439/2010</w:t>
      </w:r>
      <w:r w:rsidRPr="00512250">
        <w:rPr>
          <w:rStyle w:val="FootnoteReference"/>
        </w:rPr>
        <w:footnoteReference w:id="299"/>
      </w:r>
      <w:r w:rsidRPr="00512250">
        <w:t>, και ιδίως το άρθρο 55,</w:t>
      </w:r>
    </w:p>
    <w:p w14:paraId="003768E1"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300"/>
      </w:r>
      <w:r w:rsidRPr="00512250">
        <w:t>, και ιδίως το άρθρο 105,</w:t>
      </w:r>
    </w:p>
    <w:p w14:paraId="68BF3802"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0AD48E61"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1766E573"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617D27D2" w14:textId="77777777" w:rsidR="00F026BE" w:rsidRPr="00512250" w:rsidRDefault="00F026BE" w:rsidP="00F026BE">
      <w:pPr>
        <w:pStyle w:val="NormalHanging12a"/>
      </w:pPr>
      <w:r w:rsidRPr="00512250">
        <w:t>1.</w:t>
      </w:r>
      <w:r w:rsidRPr="00512250">
        <w:tab/>
        <w:t>εγκρίνει το κλείσιμο των λογαριασμών του Οργανισμού της Ευρωπαϊκής Ένωσης για το Άσυλο για το οικονομικό έτος 2024·</w:t>
      </w:r>
    </w:p>
    <w:p w14:paraId="196D823A"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στην εκτελεστική διευθύντρια του Οργανισμού της Ευρωπαϊκής Ένωσης για το Άσυλο, στο Συμβούλιο, στην Επιτροπή και στο Ελεγκτικό Συνέδριο, και να μεριμνήσει για τη δημοσίευσή της στην </w:t>
      </w:r>
      <w:r w:rsidRPr="00512250">
        <w:rPr>
          <w:i/>
        </w:rPr>
        <w:t>Επίσημη Εφημερίδα της Ευρωπαϊκής Ένωσης</w:t>
      </w:r>
      <w:r w:rsidRPr="00512250">
        <w:t xml:space="preserve"> (σειρά L).</w:t>
      </w:r>
    </w:p>
    <w:p w14:paraId="1929A3DE" w14:textId="77777777" w:rsidR="00F026BE" w:rsidRPr="00512250" w:rsidRDefault="00F026BE" w:rsidP="00F026BE"/>
    <w:p w14:paraId="6D804959" w14:textId="77777777" w:rsidR="00F026BE" w:rsidRPr="00512250" w:rsidRDefault="00F026BE" w:rsidP="00F026BE"/>
    <w:p w14:paraId="6D8AC308" w14:textId="3388C4BB" w:rsidR="00F026BE" w:rsidRPr="00512250" w:rsidRDefault="00F026BE" w:rsidP="00F026BE">
      <w:pPr>
        <w:pStyle w:val="PageHeadingDec"/>
      </w:pPr>
    </w:p>
    <w:p w14:paraId="7F68F2BA" w14:textId="77777777" w:rsidR="00F026BE" w:rsidRPr="00512250" w:rsidRDefault="00F026BE" w:rsidP="00F026BE">
      <w:pPr>
        <w:pStyle w:val="PageHeadingDec"/>
        <w:sectPr w:rsidR="00F026BE" w:rsidRPr="00512250" w:rsidSect="00F01631">
          <w:footerReference w:type="first" r:id="rId5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7937FFB" w14:textId="77777777" w:rsidR="00A10728" w:rsidRPr="00512250" w:rsidRDefault="00A10728" w:rsidP="00A10728">
      <w:pPr>
        <w:pStyle w:val="ATHeading3"/>
      </w:pPr>
      <w:r w:rsidRPr="00512250">
        <w:lastRenderedPageBreak/>
        <w:t>51. Απόφαση του Ευρωπαϊκού Κοινοβουλίου της 29ης Απριλίου 2026 σχετικά με την απαλλαγή όσον αφορά την εκτέλεση του προϋπολογισμού του Οργανισμού της Ευρωπαϊκής Ένωσης για τη Λειτουργική Διαχείριση Συστημάτων ΤΠ Μεγάλης Κλίμακας στον Χώρο Ελευθερίας, Ασφάλειας και Δικαιοσύνης για το οικονομικό έτος 2024 (2025/2156(DEC))</w:t>
      </w:r>
    </w:p>
    <w:p w14:paraId="3735F265" w14:textId="77777777" w:rsidR="00F026BE" w:rsidRPr="00512250" w:rsidRDefault="00F026BE" w:rsidP="00F026BE">
      <w:pPr>
        <w:pStyle w:val="EPComma"/>
      </w:pPr>
      <w:r w:rsidRPr="00512250">
        <w:rPr>
          <w:i/>
          <w:iCs/>
        </w:rPr>
        <w:t>Το Ευρωπαϊκό Κοινοβούλιο,</w:t>
      </w:r>
    </w:p>
    <w:p w14:paraId="2BA0E7BB"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της Ευρωπαϊκής Ένωσης για τη Λειτουργική Διαχείριση Συστημάτων ΤΠ Μεγάλης Κλίμακας στον Χώρο Ελευθερίας, Ασφάλειας και Δικαιοσύνης για το οικονομικό έτος 2024,</w:t>
      </w:r>
    </w:p>
    <w:p w14:paraId="56E6BF02"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301"/>
      </w:r>
      <w:r w:rsidRPr="00512250">
        <w:t>,</w:t>
      </w:r>
    </w:p>
    <w:p w14:paraId="6D3A93E7"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302"/>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7B48FF7F" w14:textId="4D3B4C93"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3A7EB1A2"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29716F7E"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303"/>
      </w:r>
      <w:r w:rsidRPr="00512250">
        <w:t>, και ιδίως το άρθρο 70,</w:t>
      </w:r>
    </w:p>
    <w:p w14:paraId="7FCEEDDD"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304"/>
      </w:r>
      <w:r w:rsidRPr="00512250">
        <w:t>, και ιδίως το άρθρο 70,</w:t>
      </w:r>
    </w:p>
    <w:p w14:paraId="40884739" w14:textId="77777777" w:rsidR="00F026BE" w:rsidRPr="00512250" w:rsidRDefault="00F026BE" w:rsidP="00F026BE">
      <w:pPr>
        <w:pStyle w:val="NormalHanging12a"/>
      </w:pPr>
      <w:r w:rsidRPr="00512250">
        <w:t>–</w:t>
      </w:r>
      <w:r w:rsidRPr="00512250">
        <w:tab/>
        <w:t>έχοντας υπόψη τον κανονισμό (EE) 2018/1726 του Ευρωπαϊκού Κοινοβουλίου και του Συμβουλίου, της 14ης Νοεμβρίου 2018, σχετικά με τον Οργανισμό της Ευρωπαϊκής Ένωσης για τη Λειτουργική Διαχείριση Συστημάτων ΤΠ Μεγάλης Κλίμακας στον Χώρο Ελευθερίας, Ασφάλειας και Δικαιοσύνης (</w:t>
      </w:r>
      <w:proofErr w:type="spellStart"/>
      <w:r w:rsidRPr="00512250">
        <w:t>eu</w:t>
      </w:r>
      <w:proofErr w:type="spellEnd"/>
      <w:r w:rsidRPr="00512250">
        <w:t xml:space="preserve">-LISA), και την τροποποίηση του κανονισμού (ΕΚ) αριθ. 1987/2006 και της απόφασης 2007/533/ΔΕΥ του Συμβουλίου </w:t>
      </w:r>
      <w:r w:rsidRPr="00512250">
        <w:lastRenderedPageBreak/>
        <w:t>και την κατάργηση του κανονισμού (ΕΕ) αριθ. 1077/2011</w:t>
      </w:r>
      <w:r w:rsidRPr="00512250">
        <w:rPr>
          <w:rStyle w:val="FootnoteReference"/>
        </w:rPr>
        <w:footnoteReference w:id="305"/>
      </w:r>
      <w:r w:rsidRPr="00512250">
        <w:t>, και ιδίως το άρθρο 47,</w:t>
      </w:r>
    </w:p>
    <w:p w14:paraId="47212D00" w14:textId="77777777" w:rsidR="00F026BE" w:rsidRPr="00512250" w:rsidRDefault="00F026BE" w:rsidP="00F026BE">
      <w:pPr>
        <w:pStyle w:val="NormalHanging12a"/>
      </w:pPr>
      <w:r w:rsidRPr="00512250">
        <w:t>–</w:t>
      </w:r>
      <w:r w:rsidRPr="00512250">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306"/>
      </w:r>
      <w:r w:rsidRPr="00512250">
        <w:t>, και ιδίως το άρθρο 105,</w:t>
      </w:r>
    </w:p>
    <w:p w14:paraId="5EC823ED"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3F172D83"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7739E270"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02B0D974" w14:textId="77777777" w:rsidR="00F026BE" w:rsidRPr="00512250" w:rsidRDefault="00F026BE" w:rsidP="00F026BE">
      <w:pPr>
        <w:pStyle w:val="NormalHanging12a"/>
      </w:pPr>
      <w:r w:rsidRPr="00512250">
        <w:t>1.</w:t>
      </w:r>
      <w:r w:rsidRPr="00512250">
        <w:tab/>
        <w:t>χορηγεί απαλλαγή στον εκτελεστικό διευθυντή του Οργανισμού της Ευρωπαϊκής Ένωσης για τη Λειτουργική Διαχείριση Συστημάτων ΤΠ Μεγάλης Κλίμακας στον Χώρο Ελευθερίας, Ασφάλειας και Δικαιοσύνης όσον αφορά την εκτέλεση του προϋπολογισμού του Οργανισμού για το οικονομικό έτος 2024·</w:t>
      </w:r>
    </w:p>
    <w:p w14:paraId="5592E6DE"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7FAFC789"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του Οργανισμού της Ευρωπαϊκής Ένωσης για τη Λειτουργική Διαχείριση Συστημάτων ΤΠ Μεγάλης Κλίμακας στον Χώρο Ελευθερίας, Ασφάλειας και Δικαιοσύνης, στο Συμβούλιο, στην Επιτροπή και στο Ελεγκτικό Συνέδριο, και να μεριμνήσει για τη δημοσίευσή τους στην </w:t>
      </w:r>
      <w:r w:rsidRPr="00512250">
        <w:rPr>
          <w:i/>
        </w:rPr>
        <w:t>Επίσημη Εφημερίδα της Ευρωπαϊκής Ένωσης</w:t>
      </w:r>
      <w:r w:rsidRPr="00512250">
        <w:t xml:space="preserve"> (σειρά L).</w:t>
      </w:r>
    </w:p>
    <w:p w14:paraId="1586D167" w14:textId="77777777" w:rsidR="00F026BE" w:rsidRPr="00512250" w:rsidRDefault="00F026BE" w:rsidP="00F026BE"/>
    <w:p w14:paraId="701C0EFE" w14:textId="77777777" w:rsidR="00F026BE" w:rsidRPr="00512250" w:rsidRDefault="00F026BE" w:rsidP="00F026BE">
      <w:pPr>
        <w:pStyle w:val="PageHeadingDec"/>
        <w:sectPr w:rsidR="00F026BE" w:rsidRPr="00512250" w:rsidSect="00F01631">
          <w:footerReference w:type="first" r:id="rId5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FD3CED3" w14:textId="77777777" w:rsidR="00A10728" w:rsidRPr="00512250" w:rsidRDefault="00A10728" w:rsidP="00A10728">
      <w:pPr>
        <w:pStyle w:val="ATHeading3"/>
      </w:pPr>
      <w:r w:rsidRPr="00512250">
        <w:lastRenderedPageBreak/>
        <w:t>52. Απόφαση του Ευρωπαϊκού Κοινοβουλίου της 29ης Απριλίου 2026 σχετικά με το κλείσιμο των λογαριασμών του Οργανισμού της Ευρωπαϊκής Ένωσης για τη Λειτουργική Διαχείριση Συστημάτων ΤΠ Μεγάλης Κλίμακας στον Χώρο Ελευθερίας, Ασφάλειας και Δικαιοσύνης για το οικονομικό έτος 2024 (2025/2156(DEC))</w:t>
      </w:r>
    </w:p>
    <w:p w14:paraId="65C806E0" w14:textId="77777777" w:rsidR="00F026BE" w:rsidRPr="00512250" w:rsidRDefault="00F026BE" w:rsidP="00F026BE">
      <w:pPr>
        <w:pStyle w:val="EPComma"/>
      </w:pPr>
      <w:r w:rsidRPr="00512250">
        <w:rPr>
          <w:i/>
          <w:iCs/>
        </w:rPr>
        <w:t>Το Ευρωπαϊκό Κοινοβούλιο,</w:t>
      </w:r>
    </w:p>
    <w:p w14:paraId="45BCBF6D"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της Ευρωπαϊκής Ένωσης για τη Λειτουργική Διαχείριση Συστημάτων ΤΠ Μεγάλης Κλίμακας στον Χώρο Ελευθερίας, Ασφάλειας και Δικαιοσύνης για το οικονομικό έτος 2024,</w:t>
      </w:r>
    </w:p>
    <w:p w14:paraId="7508A2B1"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307"/>
      </w:r>
      <w:r w:rsidRPr="00512250">
        <w:t>,</w:t>
      </w:r>
    </w:p>
    <w:p w14:paraId="6756684B"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308"/>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78EBF928" w14:textId="425CAA7F"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0FC273A9"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31DBE540"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309"/>
      </w:r>
      <w:r w:rsidRPr="00512250">
        <w:t>, και ιδίως το άρθρο 70,</w:t>
      </w:r>
    </w:p>
    <w:p w14:paraId="5BF68D55"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310"/>
      </w:r>
      <w:r w:rsidRPr="00512250">
        <w:t>, και ιδίως το άρθρο 70,</w:t>
      </w:r>
    </w:p>
    <w:p w14:paraId="1C98E1DA" w14:textId="77777777" w:rsidR="00F026BE" w:rsidRPr="00512250" w:rsidRDefault="00F026BE" w:rsidP="00F026BE">
      <w:pPr>
        <w:pStyle w:val="NormalHanging12a"/>
      </w:pPr>
      <w:r w:rsidRPr="00512250">
        <w:t>–</w:t>
      </w:r>
      <w:r w:rsidRPr="00512250">
        <w:tab/>
        <w:t>έχοντας υπόψη τον κανονισμό (EE) 2018/1726 του Ευρωπαϊκού Κοινοβουλίου και του Συμβουλίου, της 14ης Νοεμβρίου 2018, σχετικά με τον Οργανισμό της Ευρωπαϊκής Ένωσης για τη Λειτουργική Διαχείριση Συστημάτων ΤΠ Μεγάλης Κλίμακας στον Χώρο Ελευθερίας, Ασφάλειας και Δικαιοσύνης (</w:t>
      </w:r>
      <w:proofErr w:type="spellStart"/>
      <w:r w:rsidRPr="00512250">
        <w:t>eu</w:t>
      </w:r>
      <w:proofErr w:type="spellEnd"/>
      <w:r w:rsidRPr="00512250">
        <w:t xml:space="preserve">-LISA), και την τροποποίηση του κανονισμού (ΕΚ) αριθ. 1987/2006 και της απόφασης 2007/533/ΔΕΥ του Συμβουλίου </w:t>
      </w:r>
      <w:r w:rsidRPr="00512250">
        <w:lastRenderedPageBreak/>
        <w:t>και την κατάργηση του κανονισμού (ΕΕ) αριθ. 1077/2011</w:t>
      </w:r>
      <w:r w:rsidRPr="00512250">
        <w:rPr>
          <w:rStyle w:val="FootnoteReference"/>
        </w:rPr>
        <w:footnoteReference w:id="311"/>
      </w:r>
      <w:r w:rsidRPr="00512250">
        <w:t>, και ιδίως το άρθρο 47,</w:t>
      </w:r>
    </w:p>
    <w:p w14:paraId="301D3838" w14:textId="77777777" w:rsidR="00F026BE" w:rsidRPr="00512250" w:rsidRDefault="00F026BE" w:rsidP="00F026BE">
      <w:pPr>
        <w:pStyle w:val="NormalHanging12a"/>
      </w:pPr>
      <w:r w:rsidRPr="00512250">
        <w:t>–</w:t>
      </w:r>
      <w:r w:rsidRPr="00512250">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312"/>
      </w:r>
      <w:r w:rsidRPr="00512250">
        <w:t>, και ιδίως το άρθρο 105,</w:t>
      </w:r>
    </w:p>
    <w:p w14:paraId="6C0295E1"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3A3CDB44"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4BB4835D"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67206172" w14:textId="77777777" w:rsidR="00F026BE" w:rsidRPr="00512250" w:rsidRDefault="00F026BE" w:rsidP="00F026BE">
      <w:pPr>
        <w:pStyle w:val="NormalHanging12a"/>
      </w:pPr>
      <w:r w:rsidRPr="00512250">
        <w:t>1.</w:t>
      </w:r>
      <w:r w:rsidRPr="00512250">
        <w:tab/>
        <w:t>εγκρίνει το κλείσιμο των λογαριασμών του Οργανισμού της Ευρωπαϊκής Ένωσης για τη Λειτουργική Διαχείριση Συστημάτων ΤΠ Μεγάλης Κλίμακας στον Χώρο Ελευθερίας, Ασφάλειας και Δικαιοσύνης για το οικονομικό έτος 2024·</w:t>
      </w:r>
    </w:p>
    <w:p w14:paraId="60474A5F"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στον εκτελεστικό διευθυντή του Οργανισμού της Ευρωπαϊκής Ένωσης για τη Λειτουργική Διαχείριση Συστημάτων ΤΠ Μεγάλης Κλίμακας στον Χώρο Ελευθερίας, Ασφάλειας και Δικαιοσύνης, στο Συμβούλιο, στην Επιτροπή και στο Ελεγκτικό Συνέδριο, και να μεριμνήσει για τη δημοσίευσή της στην </w:t>
      </w:r>
      <w:r w:rsidRPr="00512250">
        <w:rPr>
          <w:i/>
        </w:rPr>
        <w:t>Επίσημη Εφημερίδα της Ευρωπαϊκής Ένωσης</w:t>
      </w:r>
      <w:r w:rsidRPr="00512250">
        <w:t xml:space="preserve"> (σειρά L).</w:t>
      </w:r>
    </w:p>
    <w:p w14:paraId="29FD174C" w14:textId="77777777" w:rsidR="00F026BE" w:rsidRPr="00512250" w:rsidRDefault="00F026BE" w:rsidP="00F026BE"/>
    <w:p w14:paraId="6D7390F4" w14:textId="77777777" w:rsidR="00F026BE" w:rsidRPr="00512250" w:rsidRDefault="00F026BE" w:rsidP="00F026BE"/>
    <w:p w14:paraId="058CD263" w14:textId="184806F9" w:rsidR="00F026BE" w:rsidRPr="00512250" w:rsidRDefault="00F026BE" w:rsidP="00F026BE">
      <w:pPr>
        <w:pStyle w:val="PageHeadingDec"/>
      </w:pPr>
    </w:p>
    <w:p w14:paraId="066FC941" w14:textId="77777777" w:rsidR="00F026BE" w:rsidRPr="00512250" w:rsidRDefault="00F026BE" w:rsidP="00F026BE">
      <w:pPr>
        <w:pStyle w:val="PageHeadingDec"/>
        <w:sectPr w:rsidR="00F026BE" w:rsidRPr="00512250" w:rsidSect="00F01631">
          <w:footerReference w:type="first" r:id="rId6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B615B2F" w14:textId="77777777" w:rsidR="00A10728" w:rsidRPr="00512250" w:rsidRDefault="00A10728" w:rsidP="00A10728">
      <w:pPr>
        <w:pStyle w:val="ATHeading3"/>
      </w:pPr>
      <w:r w:rsidRPr="00512250">
        <w:lastRenderedPageBreak/>
        <w:t>53. Απόφαση του Ευρωπαϊκού Κοινοβουλίου της 29ης Απριλίου 2026 σχετικά με την απαλλαγή όσον αφορά την εκτέλεση του προϋπολογισμού του Ευρωπαϊκού Οργανισμού για την Ασφάλεια και την Υγεία στην Εργασία για το οικονομικό έτος 2024 (2025/2156(DEC))</w:t>
      </w:r>
    </w:p>
    <w:p w14:paraId="18DFFAC5" w14:textId="77777777" w:rsidR="00F026BE" w:rsidRPr="00512250" w:rsidRDefault="00F026BE" w:rsidP="00F026BE">
      <w:pPr>
        <w:pStyle w:val="EPComma"/>
      </w:pPr>
      <w:r w:rsidRPr="00512250">
        <w:rPr>
          <w:i/>
          <w:iCs/>
        </w:rPr>
        <w:t>Το Ευρωπαϊκό Κοινοβούλιο,</w:t>
      </w:r>
    </w:p>
    <w:p w14:paraId="63A42557"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Οργανισμού για την Ασφάλεια και την Υγεία στην Εργασία για το οικονομικό έτος 2024,</w:t>
      </w:r>
    </w:p>
    <w:p w14:paraId="2B396947"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313"/>
      </w:r>
      <w:r w:rsidRPr="00512250">
        <w:t>,</w:t>
      </w:r>
    </w:p>
    <w:p w14:paraId="54888722"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314"/>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14B501FD" w14:textId="0DB5255F"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7F1A0A31"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2505FE5A"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315"/>
      </w:r>
      <w:r w:rsidRPr="00512250">
        <w:t>, και ιδίως το άρθρο 70,</w:t>
      </w:r>
    </w:p>
    <w:p w14:paraId="71FB829B"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316"/>
      </w:r>
      <w:r w:rsidRPr="00512250">
        <w:t>, και ιδίως το άρθρο 70,</w:t>
      </w:r>
    </w:p>
    <w:p w14:paraId="58CE7230" w14:textId="77777777" w:rsidR="00F026BE" w:rsidRPr="00512250" w:rsidRDefault="00F026BE" w:rsidP="00F026BE">
      <w:pPr>
        <w:pStyle w:val="NormalHanging12a"/>
      </w:pPr>
      <w:r w:rsidRPr="00512250">
        <w:t>–</w:t>
      </w:r>
      <w:r w:rsidRPr="00512250">
        <w:tab/>
        <w:t>έχοντας υπόψη τον κανονισμό (EE) 2019/126 του Ευρωπαϊκού Κοινοβουλίου και του Συμβουλίου, της 16ης Ιανουαρίου 2019, σχετικά με την ίδρυση του Ευρωπαϊκού Οργανισμού για την Ασφάλεια και την Υγεία στην Εργασία (EU-OSHA) και την κατάργηση του κανονισμού (ΕΚ) αριθ. 2062/94 του Συμβουλίου</w:t>
      </w:r>
      <w:r w:rsidRPr="00512250">
        <w:rPr>
          <w:rStyle w:val="FootnoteReference"/>
        </w:rPr>
        <w:footnoteReference w:id="317"/>
      </w:r>
      <w:r w:rsidRPr="00512250">
        <w:t>, και ιδίως το άρθρο 16,</w:t>
      </w:r>
    </w:p>
    <w:p w14:paraId="02FF7B46"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w:t>
      </w:r>
      <w:r w:rsidRPr="00512250">
        <w:lastRenderedPageBreak/>
        <w:t>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318"/>
      </w:r>
      <w:r w:rsidRPr="00512250">
        <w:t>, και ιδίως το άρθρο 105,</w:t>
      </w:r>
    </w:p>
    <w:p w14:paraId="1E28EC1F"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22F723E1"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7E282535"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6528647A" w14:textId="77777777" w:rsidR="00F026BE" w:rsidRPr="00512250" w:rsidRDefault="00F026BE" w:rsidP="00F026BE">
      <w:pPr>
        <w:pStyle w:val="NormalHanging12a"/>
      </w:pPr>
      <w:r w:rsidRPr="00512250">
        <w:t>1.</w:t>
      </w:r>
      <w:r w:rsidRPr="00512250">
        <w:tab/>
        <w:t>χορηγεί απαλλαγή στον εκτελεστικό διευθυντή του Ευρωπαϊκού Οργανισμού για την Ασφάλεια και την Υγεία στην Εργασία όσον αφορά την εκτέλεση του προϋπολογισμού του Οργανισμού για το οικονομικό έτος 2024·</w:t>
      </w:r>
    </w:p>
    <w:p w14:paraId="59A390D5"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72F82686"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του Ευρωπαϊκού Οργανισμού για την Ασφάλεια και την Υγεία στην Εργασία, στο Συμβούλιο, στην Επιτροπή και στο Ελεγκτικό Συνέδριο, και να μεριμνήσει για τη δημοσίευσή τους στην </w:t>
      </w:r>
      <w:r w:rsidRPr="00512250">
        <w:rPr>
          <w:i/>
        </w:rPr>
        <w:t>Επίσημη Εφημερίδα της Ευρωπαϊκής Ένωσης</w:t>
      </w:r>
      <w:r w:rsidRPr="00512250">
        <w:t xml:space="preserve"> (σειρά L).</w:t>
      </w:r>
    </w:p>
    <w:p w14:paraId="34EAD924" w14:textId="77777777" w:rsidR="00F026BE" w:rsidRPr="00512250" w:rsidRDefault="00F026BE" w:rsidP="00F026BE"/>
    <w:p w14:paraId="30991AA9" w14:textId="77777777" w:rsidR="00F026BE" w:rsidRPr="00512250" w:rsidRDefault="00F026BE" w:rsidP="00F026BE">
      <w:pPr>
        <w:pStyle w:val="PageHeadingDec"/>
        <w:sectPr w:rsidR="00F026BE" w:rsidRPr="00512250" w:rsidSect="00F01631">
          <w:footerReference w:type="first" r:id="rId6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36F33EA" w14:textId="77777777" w:rsidR="00A10728" w:rsidRPr="00512250" w:rsidRDefault="00A10728" w:rsidP="00A10728">
      <w:pPr>
        <w:pStyle w:val="ATHeading3"/>
      </w:pPr>
      <w:r w:rsidRPr="00512250">
        <w:lastRenderedPageBreak/>
        <w:t>54. Απόφαση του Ευρωπαϊκού Κοινοβουλίου της 29ης Απριλίου 2026 σχετικά με το κλείσιμο των λογαριασμών του Ευρωπαϊκού Οργανισμού για την Ασφάλεια και την Υγεία στην Εργασία για το οικονομικό έτος 2024 (2025/2156(DEC))</w:t>
      </w:r>
    </w:p>
    <w:p w14:paraId="33BFB5A2" w14:textId="77777777" w:rsidR="00F026BE" w:rsidRPr="00512250" w:rsidRDefault="00F026BE" w:rsidP="00F026BE">
      <w:pPr>
        <w:pStyle w:val="EPComma"/>
      </w:pPr>
      <w:r w:rsidRPr="00512250">
        <w:rPr>
          <w:i/>
          <w:iCs/>
        </w:rPr>
        <w:t>Το Ευρωπαϊκό Κοινοβούλιο,</w:t>
      </w:r>
    </w:p>
    <w:p w14:paraId="5CA7E92F"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Οργανισμού για την Ασφάλεια και την Υγεία στην Εργασία για το οικονομικό έτος 2024,</w:t>
      </w:r>
    </w:p>
    <w:p w14:paraId="30A9880B"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319"/>
      </w:r>
      <w:r w:rsidRPr="00512250">
        <w:t>,</w:t>
      </w:r>
    </w:p>
    <w:p w14:paraId="72D4CAE9"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320"/>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68794055" w14:textId="0FAA0872"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0EA5E81B"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0DC60484"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321"/>
      </w:r>
      <w:r w:rsidRPr="00512250">
        <w:t>, και ιδίως το άρθρο 70,</w:t>
      </w:r>
    </w:p>
    <w:p w14:paraId="00A7F1FB"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322"/>
      </w:r>
      <w:r w:rsidRPr="00512250">
        <w:t>, και ιδίως το άρθρο 70,</w:t>
      </w:r>
    </w:p>
    <w:p w14:paraId="45FADC3C" w14:textId="77777777" w:rsidR="00F026BE" w:rsidRPr="00512250" w:rsidRDefault="00F026BE" w:rsidP="00F026BE">
      <w:pPr>
        <w:pStyle w:val="NormalHanging12a"/>
      </w:pPr>
      <w:r w:rsidRPr="00512250">
        <w:t>–</w:t>
      </w:r>
      <w:r w:rsidRPr="00512250">
        <w:tab/>
        <w:t>έχοντας υπόψη τον κανονισμό (EE) 2019/126 του Ευρωπαϊκού Κοινοβουλίου και του Συμβουλίου, της 16ης Ιανουαρίου 2019, σχετικά με την ίδρυση του Ευρωπαϊκού Οργανισμού για την Ασφάλεια και την Υγεία στην Εργασία (EU-OSHA) και την κατάργηση του κανονισμού (ΕΚ) αριθ. 2062/94 του Συμβουλίου</w:t>
      </w:r>
      <w:r w:rsidRPr="00512250">
        <w:rPr>
          <w:rStyle w:val="FootnoteReference"/>
        </w:rPr>
        <w:footnoteReference w:id="323"/>
      </w:r>
      <w:r w:rsidRPr="00512250">
        <w:t>, και ιδίως το άρθρο 16,</w:t>
      </w:r>
    </w:p>
    <w:p w14:paraId="43DFD086"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512250">
        <w:lastRenderedPageBreak/>
        <w:t>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324"/>
      </w:r>
      <w:r w:rsidRPr="00512250">
        <w:t>, και ιδίως το άρθρο 105,</w:t>
      </w:r>
    </w:p>
    <w:p w14:paraId="7C4F8B1A"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12987044"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7D179214"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0C4BFE02" w14:textId="77777777" w:rsidR="00F026BE" w:rsidRPr="00512250" w:rsidRDefault="00F026BE" w:rsidP="00F026BE">
      <w:pPr>
        <w:pStyle w:val="NormalHanging12a"/>
      </w:pPr>
      <w:r w:rsidRPr="00512250">
        <w:t>1.</w:t>
      </w:r>
      <w:r w:rsidRPr="00512250">
        <w:tab/>
        <w:t>εγκρίνει το κλείσιμο των λογαριασμών του Ευρωπαϊκού Οργανισμού για την Ασφάλεια και την Υγεία στην Εργασία για το οικονομικό έτος 2024·</w:t>
      </w:r>
    </w:p>
    <w:p w14:paraId="5A5C4633"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στον εκτελεστικό διευθυντή του Ευρωπαϊκού Οργανισμού για την Ασφάλεια και την Υγεία στην Εργασία, στο Συμβούλιο, στην Επιτροπή και στο Ελεγκτικό Συνέδριο, και να μεριμνήσει για τη δημοσίευσή της στην </w:t>
      </w:r>
      <w:r w:rsidRPr="00512250">
        <w:rPr>
          <w:i/>
        </w:rPr>
        <w:t>Επίσημη Εφημερίδα της Ευρωπαϊκής Ένωσης</w:t>
      </w:r>
      <w:r w:rsidRPr="00512250">
        <w:t xml:space="preserve"> (σειρά L).</w:t>
      </w:r>
    </w:p>
    <w:p w14:paraId="20FE0A91" w14:textId="77777777" w:rsidR="00F026BE" w:rsidRPr="00512250" w:rsidRDefault="00F026BE" w:rsidP="00F026BE"/>
    <w:p w14:paraId="4CE80FB4" w14:textId="77777777" w:rsidR="00F026BE" w:rsidRPr="00512250" w:rsidRDefault="00F026BE" w:rsidP="00F026BE"/>
    <w:p w14:paraId="7DAF3A9D" w14:textId="6BA178AD" w:rsidR="00F026BE" w:rsidRPr="00512250" w:rsidRDefault="00F026BE" w:rsidP="00F026BE">
      <w:pPr>
        <w:pStyle w:val="PageHeadingDec"/>
      </w:pPr>
    </w:p>
    <w:p w14:paraId="46688B27" w14:textId="77777777" w:rsidR="00F026BE" w:rsidRPr="00512250" w:rsidRDefault="00F026BE" w:rsidP="00F026BE">
      <w:pPr>
        <w:pStyle w:val="PageHeadingDec"/>
        <w:sectPr w:rsidR="00F026BE" w:rsidRPr="00512250" w:rsidSect="00F01631">
          <w:footerReference w:type="first" r:id="rId6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E41FAC7" w14:textId="77777777" w:rsidR="00A10728" w:rsidRPr="00512250" w:rsidRDefault="00A10728" w:rsidP="00A10728">
      <w:pPr>
        <w:pStyle w:val="ATHeading3"/>
      </w:pPr>
      <w:r w:rsidRPr="00512250">
        <w:lastRenderedPageBreak/>
        <w:t>55. Απόφαση του Ευρωπαϊκού Κοινοβουλίου της 29ης Απριλίου 2026 σχετικά με την απαλλαγή όσον αφορά την εκτέλεση του προϋπολογισμού του Ευρωπαϊκού Ιδρύματος για τη Βελτίωση των Συνθηκών Διαβίωσης και Εργασίας για το οικονομικό έτος 2024 (2025/2156(DEC))</w:t>
      </w:r>
    </w:p>
    <w:p w14:paraId="54AF1B54" w14:textId="77777777" w:rsidR="00F026BE" w:rsidRPr="00512250" w:rsidRDefault="00F026BE" w:rsidP="00F026BE">
      <w:pPr>
        <w:pStyle w:val="EPComma"/>
      </w:pPr>
      <w:r w:rsidRPr="00512250">
        <w:rPr>
          <w:i/>
          <w:iCs/>
        </w:rPr>
        <w:t>Το Ευρωπαϊκό Κοινοβούλιο,</w:t>
      </w:r>
    </w:p>
    <w:p w14:paraId="5CB8536F"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Ιδρύματος για τη Βελτίωση των Συνθηκών Διαβίωσης και Εργασίας για το οικονομικό έτος 2024,</w:t>
      </w:r>
    </w:p>
    <w:p w14:paraId="2665B513"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325"/>
      </w:r>
      <w:r w:rsidRPr="00512250">
        <w:t>,</w:t>
      </w:r>
    </w:p>
    <w:p w14:paraId="26E05506"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326"/>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072A86B9"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του Ιδρύματος όσον αφορά την εκτέλεση του προϋπολογισμού για το οικονομικό έτος 2024 (05750/2026 – C10-0148/2026),</w:t>
      </w:r>
    </w:p>
    <w:p w14:paraId="057F1BE3"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785D7B2C"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327"/>
      </w:r>
      <w:r w:rsidRPr="00512250">
        <w:t>, και ιδίως το άρθρο 70,</w:t>
      </w:r>
    </w:p>
    <w:p w14:paraId="354B5187"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328"/>
      </w:r>
      <w:r w:rsidRPr="00512250">
        <w:t>, και ιδίως το άρθρο 70,</w:t>
      </w:r>
    </w:p>
    <w:p w14:paraId="25837C57" w14:textId="77777777" w:rsidR="00F026BE" w:rsidRPr="00512250" w:rsidRDefault="00F026BE" w:rsidP="00F026BE">
      <w:pPr>
        <w:pStyle w:val="NormalHanging12a"/>
      </w:pPr>
      <w:r w:rsidRPr="00512250">
        <w:t>–</w:t>
      </w:r>
      <w:r w:rsidRPr="00512250">
        <w:tab/>
        <w:t>έχοντας υπόψη τον κανονισμό (EE) 2019/127 του Ευρωπαϊκού Κοινοβουλίου και του Συμβουλίου, της 16ης Ιανουαρίου 2019, σχετικά με την ίδρυση του Ευρωπαϊκού Ιδρύματος για τη Βελτίωση των Συνθηκών Διαβίωσης και Εργασίας (</w:t>
      </w:r>
      <w:proofErr w:type="spellStart"/>
      <w:r w:rsidRPr="00512250">
        <w:t>Eurofound</w:t>
      </w:r>
      <w:proofErr w:type="spellEnd"/>
      <w:r w:rsidRPr="00512250">
        <w:t>) και την κατάργηση του κανονισμού (ΕΟΚ) αριθ. 1365/75 του Συμβουλίου</w:t>
      </w:r>
      <w:r w:rsidRPr="00512250">
        <w:rPr>
          <w:rStyle w:val="FootnoteReference"/>
        </w:rPr>
        <w:footnoteReference w:id="329"/>
      </w:r>
      <w:r w:rsidRPr="00512250">
        <w:t>, και ιδίως το άρθρο 16,</w:t>
      </w:r>
    </w:p>
    <w:p w14:paraId="4045D658"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w:t>
      </w:r>
      <w:r w:rsidRPr="00512250">
        <w:lastRenderedPageBreak/>
        <w:t>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330"/>
      </w:r>
      <w:r w:rsidRPr="00512250">
        <w:t>, και ιδίως το άρθρο 105,</w:t>
      </w:r>
    </w:p>
    <w:p w14:paraId="523CC569"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006E2604"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1CB504E7"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6789D427" w14:textId="77777777" w:rsidR="00F026BE" w:rsidRPr="00512250" w:rsidRDefault="00F026BE" w:rsidP="00F026BE">
      <w:pPr>
        <w:pStyle w:val="NormalHanging12a"/>
      </w:pPr>
      <w:r w:rsidRPr="00512250">
        <w:t>1.</w:t>
      </w:r>
      <w:r w:rsidRPr="00512250">
        <w:tab/>
        <w:t>χορηγεί απαλλαγή στον εκτελεστικό διευθυντή του Ευρωπαϊκού Ιδρύματος για τη Βελτίωση των Συνθηκών Διαβίωσης και Εργασίας όσον αφορά την εκτέλεση του προϋπολογισμού του Ιδρύματος για το οικονομικό έτος 2024·</w:t>
      </w:r>
    </w:p>
    <w:p w14:paraId="2D9CD764"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74FFD2D1"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του Ευρωπαϊκού Ιδρύματος για τη Βελτίωση των Συνθηκών Διαβίωσης και Εργασίας, στο Συμβούλιο, στην Επιτροπή και στο Ελεγκτικό Συνέδριο, και να μεριμνήσει για τη δημοσίευσή τους στην </w:t>
      </w:r>
      <w:r w:rsidRPr="00512250">
        <w:rPr>
          <w:i/>
        </w:rPr>
        <w:t>Επίσημη Εφημερίδα της Ευρωπαϊκής Ένωσης</w:t>
      </w:r>
      <w:r w:rsidRPr="00512250">
        <w:t xml:space="preserve"> (σειρά L).</w:t>
      </w:r>
    </w:p>
    <w:p w14:paraId="1547A4AC" w14:textId="77777777" w:rsidR="00F026BE" w:rsidRPr="00512250" w:rsidRDefault="00F026BE" w:rsidP="00F026BE"/>
    <w:p w14:paraId="788520FD" w14:textId="77777777" w:rsidR="00F026BE" w:rsidRPr="00512250" w:rsidRDefault="00F026BE" w:rsidP="00F026BE">
      <w:pPr>
        <w:pStyle w:val="PageHeadingDec"/>
        <w:sectPr w:rsidR="00F026BE" w:rsidRPr="00512250" w:rsidSect="00F01631">
          <w:footerReference w:type="first" r:id="rId6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416986B" w14:textId="77777777" w:rsidR="00A10728" w:rsidRPr="00512250" w:rsidRDefault="00A10728" w:rsidP="00A10728">
      <w:pPr>
        <w:pStyle w:val="ATHeading3"/>
      </w:pPr>
      <w:r w:rsidRPr="00512250">
        <w:lastRenderedPageBreak/>
        <w:t>56. Απόφαση του Ευρωπαϊκού Κοινοβουλίου της 29ης Απριλίου 2026 σχετικά με το κλείσιμο των λογαριασμών του Ευρωπαϊκού Ιδρύματος για τη Βελτίωση των Συνθηκών Διαβίωσης και Εργασίας για το οικονομικό έτος 2024 (2025/2156(DEC))</w:t>
      </w:r>
    </w:p>
    <w:p w14:paraId="6AE85E42" w14:textId="77777777" w:rsidR="00F026BE" w:rsidRPr="00512250" w:rsidRDefault="00F026BE" w:rsidP="00F026BE">
      <w:pPr>
        <w:pStyle w:val="EPComma"/>
      </w:pPr>
      <w:r w:rsidRPr="00512250">
        <w:rPr>
          <w:i/>
          <w:iCs/>
        </w:rPr>
        <w:t>Το Ευρωπαϊκό Κοινοβούλιο,</w:t>
      </w:r>
    </w:p>
    <w:p w14:paraId="6F74EC0E"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Ιδρύματος για τη Βελτίωση των Συνθηκών Διαβίωσης και Εργασίας για το οικονομικό έτος 2024,</w:t>
      </w:r>
    </w:p>
    <w:p w14:paraId="7390CC72"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331"/>
      </w:r>
      <w:r w:rsidRPr="00512250">
        <w:t>,</w:t>
      </w:r>
    </w:p>
    <w:p w14:paraId="150018E5"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332"/>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3FC7B6D3" w14:textId="77777777" w:rsidR="00F026BE" w:rsidRPr="00512250" w:rsidRDefault="00F026BE" w:rsidP="00F026BE">
      <w:pPr>
        <w:pStyle w:val="NormalHanging12a"/>
      </w:pPr>
      <w:r w:rsidRPr="00512250">
        <w:t>–</w:t>
      </w:r>
      <w:r w:rsidRPr="00512250">
        <w:tab/>
        <w:t>έχοντας υπόψη τη σύσταση του Συμβουλίου, της 2ας Μαρτίου 2026, σχετικά με την απαλλαγή του Ιδρύματος όσον αφορά την εκτέλεση του προϋπολογισμού για το οικονομικό έτος 2024 (05750/2026 – C10-0148/2026),</w:t>
      </w:r>
    </w:p>
    <w:p w14:paraId="6BBD87E1"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6112AAAA"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333"/>
      </w:r>
      <w:r w:rsidRPr="00512250">
        <w:t>, και ιδίως το άρθρο 70,</w:t>
      </w:r>
    </w:p>
    <w:p w14:paraId="242A1333"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334"/>
      </w:r>
      <w:r w:rsidRPr="00512250">
        <w:t>, και ιδίως το άρθρο 70,</w:t>
      </w:r>
    </w:p>
    <w:p w14:paraId="7D2F6464" w14:textId="77777777" w:rsidR="00F026BE" w:rsidRPr="00512250" w:rsidRDefault="00F026BE" w:rsidP="00F026BE">
      <w:pPr>
        <w:pStyle w:val="NormalHanging12a"/>
      </w:pPr>
      <w:r w:rsidRPr="00512250">
        <w:t>–</w:t>
      </w:r>
      <w:r w:rsidRPr="00512250">
        <w:tab/>
        <w:t>έχοντας υπόψη τον κανονισμό (EE) 2019/127 του Ευρωπαϊκού Κοινοβουλίου και του Συμβουλίου, της 16ης Ιανουαρίου 2019, σχετικά με την ίδρυση του Ευρωπαϊκού Ιδρύματος για τη Βελτίωση των Συνθηκών Διαβίωσης και Εργασίας (</w:t>
      </w:r>
      <w:proofErr w:type="spellStart"/>
      <w:r w:rsidRPr="00512250">
        <w:t>Eurofound</w:t>
      </w:r>
      <w:proofErr w:type="spellEnd"/>
      <w:r w:rsidRPr="00512250">
        <w:t>) και την κατάργηση του κανονισμού (ΕΟΚ) αριθ. 1365/75 του Συμβουλίου</w:t>
      </w:r>
      <w:r w:rsidRPr="00512250">
        <w:rPr>
          <w:rStyle w:val="FootnoteReference"/>
        </w:rPr>
        <w:footnoteReference w:id="335"/>
      </w:r>
      <w:r w:rsidRPr="00512250">
        <w:t>, και ιδίως το άρθρο 16,</w:t>
      </w:r>
    </w:p>
    <w:p w14:paraId="1E2B3A81"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w:t>
      </w:r>
      <w:r w:rsidRPr="00512250">
        <w:lastRenderedPageBreak/>
        <w:t>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336"/>
      </w:r>
      <w:r w:rsidRPr="00512250">
        <w:t>, και ιδίως το άρθρο 105,</w:t>
      </w:r>
    </w:p>
    <w:p w14:paraId="7B70292C"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18E873AC"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28AA5C89"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2AACBF73" w14:textId="77777777" w:rsidR="00F026BE" w:rsidRPr="00512250" w:rsidRDefault="00F026BE" w:rsidP="00F026BE">
      <w:pPr>
        <w:pStyle w:val="NormalHanging12a"/>
      </w:pPr>
      <w:r w:rsidRPr="00512250">
        <w:t>1.</w:t>
      </w:r>
      <w:r w:rsidRPr="00512250">
        <w:tab/>
        <w:t>εγκρίνει το κλείσιμο των λογαριασμών του Ευρωπαϊκού Ιδρύματος για τη Βελτίωση των Συνθηκών Διαβίωσης και Εργασίας για το οικονομικό έτος 2024·</w:t>
      </w:r>
    </w:p>
    <w:p w14:paraId="403963C9"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στον εκτελεστικό διευθυντή του Ευρωπαϊκού Ιδρύματος για τη Βελτίωση των Συνθηκών Διαβίωσης και Εργασίας, στο Συμβούλιο, στην Επιτροπή και στο Ελεγκτικό Συνέδριο, και να μεριμνήσει για τη δημοσίευσή της στην </w:t>
      </w:r>
      <w:r w:rsidRPr="00512250">
        <w:rPr>
          <w:i/>
        </w:rPr>
        <w:t>Επίσημη Εφημερίδα της Ευρωπαϊκής Ένωσης</w:t>
      </w:r>
      <w:r w:rsidRPr="00512250">
        <w:t xml:space="preserve"> (σειρά L).</w:t>
      </w:r>
    </w:p>
    <w:p w14:paraId="74B5FB05" w14:textId="77777777" w:rsidR="00F026BE" w:rsidRPr="00512250" w:rsidRDefault="00F026BE" w:rsidP="00F026BE"/>
    <w:p w14:paraId="046BE954" w14:textId="77777777" w:rsidR="00F026BE" w:rsidRPr="00512250" w:rsidRDefault="00F026BE" w:rsidP="00F026BE"/>
    <w:p w14:paraId="3AE2EE64" w14:textId="57BA8029" w:rsidR="00F026BE" w:rsidRPr="00512250" w:rsidRDefault="00F026BE" w:rsidP="00F026BE">
      <w:pPr>
        <w:pStyle w:val="PageHeadingDec"/>
      </w:pPr>
    </w:p>
    <w:p w14:paraId="2EE058FB" w14:textId="77777777" w:rsidR="00F026BE" w:rsidRPr="00512250" w:rsidRDefault="00F026BE" w:rsidP="00F026BE">
      <w:pPr>
        <w:pStyle w:val="PageHeadingDec"/>
        <w:sectPr w:rsidR="00F026BE" w:rsidRPr="00512250" w:rsidSect="00F01631">
          <w:footerReference w:type="first" r:id="rId6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29FAAD7" w14:textId="77777777" w:rsidR="00A10728" w:rsidRPr="00512250" w:rsidRDefault="00A10728" w:rsidP="00A10728">
      <w:pPr>
        <w:pStyle w:val="ATHeading3"/>
      </w:pPr>
      <w:r w:rsidRPr="00512250">
        <w:lastRenderedPageBreak/>
        <w:t>57. Απόφαση του Ευρωπαϊκού Κοινοβουλίου της 29ης Απριλίου 2026 σχετικά με την απαλλαγή όσον αφορά την εκτέλεση του προϋπολογισμού του Οργανισμού της Ευρωπαϊκής Ένωσης για τη Συνεργασία στον Τομέα της Ποινικής Δικαιοσύνης για το οικονομικό έτος 2024 (2025/2156(DEC))</w:t>
      </w:r>
    </w:p>
    <w:p w14:paraId="3467A6E7" w14:textId="77777777" w:rsidR="00F026BE" w:rsidRPr="00512250" w:rsidRDefault="00F026BE" w:rsidP="00F026BE">
      <w:pPr>
        <w:pStyle w:val="EPComma"/>
      </w:pPr>
      <w:r w:rsidRPr="00512250">
        <w:rPr>
          <w:i/>
          <w:iCs/>
        </w:rPr>
        <w:t>Το Ευρωπαϊκό Κοινοβούλιο,</w:t>
      </w:r>
    </w:p>
    <w:p w14:paraId="077ABDF8"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της Ευρωπαϊκής Ένωσης για τη Συνεργασία στον Τομέα της Ποινικής Δικαιοσύνης για το οικονομικό έτος 2024,</w:t>
      </w:r>
    </w:p>
    <w:p w14:paraId="0AD6829A"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337"/>
      </w:r>
      <w:r w:rsidRPr="00512250">
        <w:t>,</w:t>
      </w:r>
    </w:p>
    <w:p w14:paraId="625D0790"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338"/>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25F8134E" w14:textId="2DA2E64B"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390951B5"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35905356"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339"/>
      </w:r>
      <w:r w:rsidRPr="00512250">
        <w:t>, και ιδίως το άρθρο 70,</w:t>
      </w:r>
    </w:p>
    <w:p w14:paraId="7CD9E820"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340"/>
      </w:r>
      <w:r w:rsidRPr="00512250">
        <w:t>, και ιδίως το άρθρο 70,</w:t>
      </w:r>
    </w:p>
    <w:p w14:paraId="4EAB0451" w14:textId="77777777" w:rsidR="00F026BE" w:rsidRPr="00512250" w:rsidRDefault="00F026BE" w:rsidP="00F026BE">
      <w:pPr>
        <w:pStyle w:val="NormalHanging12a"/>
      </w:pPr>
      <w:r w:rsidRPr="00512250">
        <w:t>–</w:t>
      </w:r>
      <w:r w:rsidRPr="00512250">
        <w:tab/>
        <w:t>έχοντας υπόψη τον κανονισμό (ΕΕ) 2018/1727 του Ευρωπαϊκού Κοινοβουλίου και του Συμβουλίου, της 14ης Νοεμβρίου 2018, σχετικά με τον οργανισμό της Ευρωπαϊκής Ένωσης για τη συνεργασία στον τομέα της ποινικής δικαιοσύνης (</w:t>
      </w:r>
      <w:proofErr w:type="spellStart"/>
      <w:r w:rsidRPr="00512250">
        <w:t>Eurojust</w:t>
      </w:r>
      <w:proofErr w:type="spellEnd"/>
      <w:r w:rsidRPr="00512250">
        <w:t>) και την αντικατάσταση και την κατάργηση της απόφασης 2002/187/ΔΕΥ του Συμβουλίου</w:t>
      </w:r>
      <w:r w:rsidRPr="00512250">
        <w:rPr>
          <w:rStyle w:val="FootnoteReference"/>
        </w:rPr>
        <w:footnoteReference w:id="341"/>
      </w:r>
      <w:r w:rsidRPr="00512250">
        <w:t>, και ιδίως το άρθρο 63,</w:t>
      </w:r>
    </w:p>
    <w:p w14:paraId="11D17876"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w:t>
      </w:r>
      <w:r w:rsidRPr="00512250">
        <w:lastRenderedPageBreak/>
        <w:t>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342"/>
      </w:r>
      <w:r w:rsidRPr="00512250">
        <w:t>, και ιδίως το άρθρο 105,</w:t>
      </w:r>
    </w:p>
    <w:p w14:paraId="2C0702F6"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240964C5"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176BA566"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17B4E6A4" w14:textId="77777777" w:rsidR="00F026BE" w:rsidRPr="00512250" w:rsidRDefault="00F026BE" w:rsidP="00F026BE">
      <w:pPr>
        <w:pStyle w:val="NormalHanging12a"/>
      </w:pPr>
      <w:r w:rsidRPr="00512250">
        <w:t>1.</w:t>
      </w:r>
      <w:r w:rsidRPr="00512250">
        <w:tab/>
        <w:t>χορηγεί απαλλαγή στον διοικητικό διευθυντή του Οργανισμού της Ευρωπαϊκής Ένωσης για τη Συνεργασία στον Τομέα της Ποινικής Δικαιοσύνης όσον αφορά την εκτέλεση του προϋπολογισμού του Οργανισμού για το οικονομικό έτος 2024·</w:t>
      </w:r>
    </w:p>
    <w:p w14:paraId="1200D7FB"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456A66B7"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στον διοικητικό διευθυντή του Οργανισμού της Ευρωπαϊκής Ένωσης για τη Συνεργασία στον Τομέα της Ποινικής Δικαιοσύνης, στο Συμβούλιο, στην Επιτροπή και στο Ελεγκτικό Συνέδριο, και να μεριμνήσει για τη δημοσίευσή τους στην </w:t>
      </w:r>
      <w:r w:rsidRPr="00512250">
        <w:rPr>
          <w:i/>
        </w:rPr>
        <w:t>Επίσημη Εφημερίδα της Ευρωπαϊκής Ένωσης</w:t>
      </w:r>
      <w:r w:rsidRPr="00512250">
        <w:t xml:space="preserve"> (σειρά L).</w:t>
      </w:r>
    </w:p>
    <w:p w14:paraId="1DF34C9B" w14:textId="77777777" w:rsidR="00F026BE" w:rsidRPr="00512250" w:rsidRDefault="00F026BE" w:rsidP="00F026BE"/>
    <w:p w14:paraId="19CE8CC9" w14:textId="77777777" w:rsidR="00F026BE" w:rsidRPr="00512250" w:rsidRDefault="00F026BE" w:rsidP="00F026BE">
      <w:pPr>
        <w:pStyle w:val="PageHeadingDec"/>
        <w:sectPr w:rsidR="00F026BE" w:rsidRPr="00512250" w:rsidSect="00F01631">
          <w:footerReference w:type="first" r:id="rId6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D6E2531" w14:textId="77777777" w:rsidR="00A10728" w:rsidRPr="00512250" w:rsidRDefault="00A10728" w:rsidP="00A10728">
      <w:pPr>
        <w:pStyle w:val="ATHeading3"/>
      </w:pPr>
      <w:r w:rsidRPr="00512250">
        <w:lastRenderedPageBreak/>
        <w:t>58. Απόφαση του Ευρωπαϊκού Κοινοβουλίου της 29ης Απριλίου 2026 σχετικά με το κλείσιμο των λογαριασμών του Οργανισμού της Ευρωπαϊκής Ένωσης για τη Συνεργασία στον Τομέα της Ποινικής Δικαιοσύνης για το οικονομικό έτος 2024 (2025/2156(DEC))</w:t>
      </w:r>
    </w:p>
    <w:p w14:paraId="4A24518E" w14:textId="77777777" w:rsidR="00F026BE" w:rsidRPr="00512250" w:rsidRDefault="00F026BE" w:rsidP="00F026BE">
      <w:pPr>
        <w:pStyle w:val="EPComma"/>
      </w:pPr>
      <w:r w:rsidRPr="00512250">
        <w:rPr>
          <w:i/>
          <w:iCs/>
        </w:rPr>
        <w:t>Το Ευρωπαϊκό Κοινοβούλιο,</w:t>
      </w:r>
    </w:p>
    <w:p w14:paraId="6E599457"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της Ευρωπαϊκής Ένωσης για τη Συνεργασία στον Τομέα της Ποινικής Δικαιοσύνης για το οικονομικό έτος 2024,</w:t>
      </w:r>
    </w:p>
    <w:p w14:paraId="7D9CD30D"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343"/>
      </w:r>
      <w:r w:rsidRPr="00512250">
        <w:t>,</w:t>
      </w:r>
    </w:p>
    <w:p w14:paraId="045986E6"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344"/>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7998CBB1" w14:textId="37F7D9C9"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75CB3098"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0F143B9F"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345"/>
      </w:r>
      <w:r w:rsidRPr="00512250">
        <w:t>, και ιδίως το άρθρο 70,</w:t>
      </w:r>
    </w:p>
    <w:p w14:paraId="163FF4BE"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346"/>
      </w:r>
      <w:r w:rsidRPr="00512250">
        <w:t>, και ιδίως το άρθρο 70,</w:t>
      </w:r>
    </w:p>
    <w:p w14:paraId="2E9CD66B" w14:textId="77777777" w:rsidR="00F026BE" w:rsidRPr="00512250" w:rsidRDefault="00F026BE" w:rsidP="00F026BE">
      <w:pPr>
        <w:pStyle w:val="NormalHanging12a"/>
      </w:pPr>
      <w:r w:rsidRPr="00512250">
        <w:t>–</w:t>
      </w:r>
      <w:r w:rsidRPr="00512250">
        <w:tab/>
        <w:t>έχοντας υπόψη τον κανονισμό (ΕΕ) 2018/1727 του Ευρωπαϊκού Κοινοβουλίου και του Συμβουλίου, της 14ης Νοεμβρίου 2018, σχετικά με τον οργανισμό της Ευρωπαϊκής Ένωσης για τη συνεργασία στον τομέα της ποινικής δικαιοσύνης (</w:t>
      </w:r>
      <w:proofErr w:type="spellStart"/>
      <w:r w:rsidRPr="00512250">
        <w:t>Eurojust</w:t>
      </w:r>
      <w:proofErr w:type="spellEnd"/>
      <w:r w:rsidRPr="00512250">
        <w:t>) και την αντικατάσταση και την κατάργηση της απόφασης 2002/187/ΔΕΥ του Συμβουλίου</w:t>
      </w:r>
      <w:r w:rsidRPr="00512250">
        <w:rPr>
          <w:rStyle w:val="FootnoteReference"/>
        </w:rPr>
        <w:footnoteReference w:id="347"/>
      </w:r>
      <w:r w:rsidRPr="00512250">
        <w:t>, και ιδίως το άρθρο 63,</w:t>
      </w:r>
    </w:p>
    <w:p w14:paraId="51DAA5F4"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w:t>
      </w:r>
      <w:r w:rsidRPr="00512250">
        <w:lastRenderedPageBreak/>
        <w:t>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348"/>
      </w:r>
      <w:r w:rsidRPr="00512250">
        <w:t>, και ιδίως το άρθρο 105,</w:t>
      </w:r>
    </w:p>
    <w:p w14:paraId="4C1D6EBC"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202E0E1F"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21E07D5A"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3C35A11D" w14:textId="77777777" w:rsidR="00F026BE" w:rsidRPr="00512250" w:rsidRDefault="00F026BE" w:rsidP="00F026BE">
      <w:pPr>
        <w:pStyle w:val="NormalHanging12a"/>
      </w:pPr>
      <w:r w:rsidRPr="00512250">
        <w:t>1.</w:t>
      </w:r>
      <w:r w:rsidRPr="00512250">
        <w:tab/>
        <w:t>εγκρίνει το κλείσιμο των λογαριασμών του Οργανισμού της Ευρωπαϊκής Ένωσης για τη Συνεργασία στον Τομέα της Ποινικής Δικαιοσύνης για το οικονομικό έτος 2024·</w:t>
      </w:r>
    </w:p>
    <w:p w14:paraId="7072B0F2"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στον διοικητικό διευθυντή του Οργανισμού της Ευρωπαϊκής Ένωσης για τη Συνεργασία στον Τομέα της Ποινικής Δικαιοσύνης, στο Συμβούλιο, στην Επιτροπή και στο Ελεγκτικό Συνέδριο, και να μεριμνήσει για τη δημοσίευσή της στην </w:t>
      </w:r>
      <w:r w:rsidRPr="00512250">
        <w:rPr>
          <w:i/>
        </w:rPr>
        <w:t>Επίσημη Εφημερίδα της Ευρωπαϊκής Ένωσης</w:t>
      </w:r>
      <w:r w:rsidRPr="00512250">
        <w:t xml:space="preserve"> (σειρά L).</w:t>
      </w:r>
    </w:p>
    <w:p w14:paraId="7AFB24D4" w14:textId="77777777" w:rsidR="00F026BE" w:rsidRPr="00512250" w:rsidRDefault="00F026BE" w:rsidP="00F026BE"/>
    <w:p w14:paraId="0FC0CF08" w14:textId="77777777" w:rsidR="00F026BE" w:rsidRPr="00512250" w:rsidRDefault="00F026BE" w:rsidP="00F026BE"/>
    <w:p w14:paraId="72D31CAD" w14:textId="4552D97D" w:rsidR="00F026BE" w:rsidRPr="00512250" w:rsidRDefault="00F026BE" w:rsidP="00F026BE">
      <w:pPr>
        <w:pStyle w:val="PageHeadingDec"/>
      </w:pPr>
    </w:p>
    <w:p w14:paraId="28001096" w14:textId="77777777" w:rsidR="00F026BE" w:rsidRPr="00512250" w:rsidRDefault="00F026BE" w:rsidP="00F026BE">
      <w:pPr>
        <w:pStyle w:val="PageHeadingDec"/>
        <w:sectPr w:rsidR="00F026BE" w:rsidRPr="00512250" w:rsidSect="00F01631">
          <w:footerReference w:type="first" r:id="rId6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2FB6B46" w14:textId="77777777" w:rsidR="00A10728" w:rsidRPr="00512250" w:rsidRDefault="00A10728" w:rsidP="00A10728">
      <w:pPr>
        <w:pStyle w:val="ATHeading3"/>
      </w:pPr>
      <w:r w:rsidRPr="00512250">
        <w:lastRenderedPageBreak/>
        <w:t>59. Απόφαση του Ευρωπαϊκού Κοινοβουλίου της 29ης Απριλίου 2026 σχετικά με την απαλλαγή όσον αφορά την εκτέλεση του προϋπολογισμού του Οργανισμού της Ευρωπαϊκής Ένωσης για τη Συνεργασία στον Τομέα της Επιβολής του Νόμου για το οικονομικό έτος 2024 (2025/2156(DEC))</w:t>
      </w:r>
    </w:p>
    <w:p w14:paraId="4C368D05" w14:textId="77777777" w:rsidR="00F026BE" w:rsidRPr="00512250" w:rsidRDefault="00F026BE" w:rsidP="00F026BE">
      <w:pPr>
        <w:pStyle w:val="EPComma"/>
      </w:pPr>
      <w:r w:rsidRPr="00512250">
        <w:rPr>
          <w:i/>
          <w:iCs/>
        </w:rPr>
        <w:t>Το Ευρωπαϊκό Κοινοβούλιο,</w:t>
      </w:r>
    </w:p>
    <w:p w14:paraId="63CCD859"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της Ευρωπαϊκής Ένωσης για τη Συνεργασία στον Τομέα της Επιβολής του Νόμου για το οικονομικό έτος 2024,</w:t>
      </w:r>
    </w:p>
    <w:p w14:paraId="4494BEE0"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349"/>
      </w:r>
      <w:r w:rsidRPr="00512250">
        <w:t>,</w:t>
      </w:r>
    </w:p>
    <w:p w14:paraId="196B6A79" w14:textId="77777777" w:rsidR="00F026BE" w:rsidRPr="00512250" w:rsidRDefault="00F026BE" w:rsidP="00F026BE">
      <w:pPr>
        <w:pStyle w:val="NormalHanging12a"/>
      </w:pPr>
      <w:r w:rsidRPr="00512250">
        <w:t>–</w:t>
      </w:r>
      <w:r w:rsidRPr="00512250">
        <w:tab/>
        <w:t>έχοντας υπόψη τη δήλωση διασφάλισης</w:t>
      </w:r>
      <w:r w:rsidRPr="00512250">
        <w:rPr>
          <w:rStyle w:val="FootnoteReference"/>
        </w:rPr>
        <w:footnoteReference w:id="350"/>
      </w:r>
      <w:r w:rsidRPr="00512250">
        <w:t xml:space="preserve"> τόσο ως προς την αξιοπιστία των λογαριασμών όσο και ως προς τη νομιμότητα και την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48E0684B" w14:textId="2FB5B398"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640DD1E5"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013A376E"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351"/>
      </w:r>
      <w:r w:rsidRPr="00512250">
        <w:t>, και ιδίως το άρθρο 70,</w:t>
      </w:r>
    </w:p>
    <w:p w14:paraId="316D2664"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352"/>
      </w:r>
      <w:r w:rsidRPr="00512250">
        <w:t>, και ιδίως το άρθρο 70,</w:t>
      </w:r>
    </w:p>
    <w:p w14:paraId="4366A358" w14:textId="77777777" w:rsidR="00F026BE" w:rsidRPr="00512250" w:rsidRDefault="00F026BE" w:rsidP="00F026BE">
      <w:pPr>
        <w:pStyle w:val="NormalHanging12a"/>
      </w:pPr>
      <w:r w:rsidRPr="00512250">
        <w:t>–</w:t>
      </w:r>
      <w:r w:rsidRPr="00512250">
        <w:tab/>
        <w:t>έχοντας υπόψη τον κανονισμό (ΕΕ) 2016/794 του Ευρωπαϊκού Κοινοβουλίου και του Συμβουλίου, της 11ης Μαΐου 2016, για τον Οργανισμό της Ευρωπαϊκής Ένωσης για τη Συνεργασία στον Τομέα της Επιβολής του Νόμου (Ευρωπόλ) και την αντικατάσταση και κατάργηση των αποφάσεων του Συμβουλίου 2009/371/ΔΕΥ, 2009/934/ΔΕΥ, 2009/935/ΔΕΥ, 2009/936/ΔΕΥ και 2009/968/ΔΕΥ</w:t>
      </w:r>
      <w:r w:rsidRPr="00512250">
        <w:rPr>
          <w:rStyle w:val="FootnoteReference"/>
        </w:rPr>
        <w:footnoteReference w:id="353"/>
      </w:r>
      <w:r w:rsidRPr="00512250">
        <w:t>, και ιδίως το άρθρο 60,</w:t>
      </w:r>
    </w:p>
    <w:p w14:paraId="53954437"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w:t>
      </w:r>
      <w:r w:rsidRPr="00512250">
        <w:lastRenderedPageBreak/>
        <w:t>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354"/>
      </w:r>
      <w:r w:rsidRPr="00512250">
        <w:t>, και ιδίως το άρθρο 105,</w:t>
      </w:r>
    </w:p>
    <w:p w14:paraId="2066E107"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25D3845D"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3E89ADD1"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42DDF016" w14:textId="77777777" w:rsidR="00F026BE" w:rsidRPr="00512250" w:rsidRDefault="00F026BE" w:rsidP="00F026BE">
      <w:pPr>
        <w:pStyle w:val="NormalHanging12a"/>
      </w:pPr>
      <w:r w:rsidRPr="00512250">
        <w:t>1.</w:t>
      </w:r>
      <w:r w:rsidRPr="00512250">
        <w:tab/>
        <w:t>χορηγεί απαλλαγή στην εκτελεστική διευθύντρια του Οργανισμού της Ευρωπαϊκής Ένωσης για τη Συνεργασία στον Τομέα της Επιβολής του Νόμου όσον αφορά την εκτέλεση του προϋπολογισμού του Οργανισμού για το οικονομικό έτος 2024·</w:t>
      </w:r>
    </w:p>
    <w:p w14:paraId="57504891"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3DFCD4F1"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του Οργανισμού της Ευρωπαϊκής Ένωσης για τη Συνεργασία στον Τομέα της Επιβολής του Νόμου, στο Συμβούλιο, στην Επιτροπή και στο Ελεγκτικό Συνέδριο, και να μεριμνήσει για τη δημοσίευσή τους στην </w:t>
      </w:r>
      <w:r w:rsidRPr="00512250">
        <w:rPr>
          <w:i/>
        </w:rPr>
        <w:t>Επίσημη Εφημερίδα της Ευρωπαϊκής Ένωσης</w:t>
      </w:r>
      <w:r w:rsidRPr="00512250">
        <w:t xml:space="preserve"> (σειρά L).</w:t>
      </w:r>
    </w:p>
    <w:p w14:paraId="2781FB77" w14:textId="77777777" w:rsidR="00F026BE" w:rsidRPr="00512250" w:rsidRDefault="00F026BE" w:rsidP="00F026BE"/>
    <w:p w14:paraId="4098DCDF" w14:textId="77777777" w:rsidR="00F026BE" w:rsidRPr="00512250" w:rsidRDefault="00F026BE" w:rsidP="00F026BE">
      <w:pPr>
        <w:pStyle w:val="PageHeadingDec"/>
        <w:sectPr w:rsidR="00F026BE" w:rsidRPr="00512250" w:rsidSect="00F01631">
          <w:footerReference w:type="first" r:id="rId6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EFFA94" w14:textId="77777777" w:rsidR="00A10728" w:rsidRPr="00512250" w:rsidRDefault="00A10728" w:rsidP="00A10728">
      <w:pPr>
        <w:pStyle w:val="ATHeading3"/>
      </w:pPr>
      <w:r w:rsidRPr="00512250">
        <w:lastRenderedPageBreak/>
        <w:t>60. Απόφαση του Ευρωπαϊκού Κοινοβουλίου της 29ης Απριλίου 2026 σχετικά με το κλείσιμο των λογαριασμών του Οργανισμού της Ευρωπαϊκής Ένωσης για τη Συνεργασία στον Τομέα της Επιβολής του Νόμου για το οικονομικό έτος 2024 (2025/2156(DEC))</w:t>
      </w:r>
    </w:p>
    <w:p w14:paraId="6FAD637D" w14:textId="77777777" w:rsidR="00F026BE" w:rsidRPr="00512250" w:rsidRDefault="00F026BE" w:rsidP="00F026BE">
      <w:pPr>
        <w:pStyle w:val="EPComma"/>
      </w:pPr>
      <w:r w:rsidRPr="00512250">
        <w:rPr>
          <w:i/>
          <w:iCs/>
        </w:rPr>
        <w:t>Το Ευρωπαϊκό Κοινοβούλιο,</w:t>
      </w:r>
    </w:p>
    <w:p w14:paraId="69CE952A"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της Ευρωπαϊκής Ένωσης για τη Συνεργασία στον Τομέα της Επιβολής του Νόμου για το οικονομικό έτος 2024,</w:t>
      </w:r>
    </w:p>
    <w:p w14:paraId="353D55AF"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355"/>
      </w:r>
      <w:r w:rsidRPr="00512250">
        <w:t>,</w:t>
      </w:r>
    </w:p>
    <w:p w14:paraId="0D0CE3DC"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356"/>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428E14C3" w14:textId="65FF786A"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5FBF4C43"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48DD94DC"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357"/>
      </w:r>
      <w:r w:rsidRPr="00512250">
        <w:t>, και ιδίως το άρθρο 70,</w:t>
      </w:r>
    </w:p>
    <w:p w14:paraId="77A492B0"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358"/>
      </w:r>
      <w:r w:rsidRPr="00512250">
        <w:t>, και ιδίως το άρθρο 70,</w:t>
      </w:r>
    </w:p>
    <w:p w14:paraId="7F9C50CF" w14:textId="77777777" w:rsidR="00F026BE" w:rsidRPr="00512250" w:rsidRDefault="00F026BE" w:rsidP="00F026BE">
      <w:pPr>
        <w:pStyle w:val="NormalHanging12a"/>
      </w:pPr>
      <w:r w:rsidRPr="00512250">
        <w:t>–</w:t>
      </w:r>
      <w:r w:rsidRPr="00512250">
        <w:tab/>
        <w:t>έχοντας υπόψη τον κανονισμό (ΕΕ) 2016/794 του Ευρωπαϊκού Κοινοβουλίου και του Συμβουλίου, της 11ης Μαΐου 2016, για τον Οργανισμό της Ευρωπαϊκής Ένωσης για τη Συνεργασία στον Τομέα της Επιβολής του Νόμου (Ευρωπόλ) και την αντικατάσταση και κατάργηση των αποφάσεων του Συμβουλίου 2009/371/ΔΕΥ, 2009/934/ΔΕΥ, 2009/935/ΔΕΥ, 2009/936/ΔΕΥ και 2009/968/ΔΕΥ</w:t>
      </w:r>
      <w:r w:rsidRPr="00512250">
        <w:rPr>
          <w:rStyle w:val="FootnoteReference"/>
        </w:rPr>
        <w:footnoteReference w:id="359"/>
      </w:r>
      <w:r w:rsidRPr="00512250">
        <w:t>, και ιδίως το άρθρο 60,</w:t>
      </w:r>
    </w:p>
    <w:p w14:paraId="2AD5248A"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w:t>
      </w:r>
      <w:r w:rsidRPr="00512250">
        <w:lastRenderedPageBreak/>
        <w:t>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360"/>
      </w:r>
      <w:r w:rsidRPr="00512250">
        <w:t>, και ιδίως το άρθρο 105,</w:t>
      </w:r>
    </w:p>
    <w:p w14:paraId="4DE7880A"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465AD388"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2571D177"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1A7D7988" w14:textId="77777777" w:rsidR="00F026BE" w:rsidRPr="00512250" w:rsidRDefault="00F026BE" w:rsidP="00F026BE">
      <w:pPr>
        <w:pStyle w:val="NormalHanging12a"/>
      </w:pPr>
      <w:r w:rsidRPr="00512250">
        <w:t>1.</w:t>
      </w:r>
      <w:r w:rsidRPr="00512250">
        <w:tab/>
        <w:t>εγκρίνει το κλείσιμο των λογαριασμών του Οργανισμού της Ευρωπαϊκής Ένωσης για τη Συνεργασία στον Τομέα της Επιβολής του Νόμου για το οικονομικό έτος 2024·</w:t>
      </w:r>
    </w:p>
    <w:p w14:paraId="5AAC0BD4" w14:textId="77777777" w:rsidR="00F026BE" w:rsidRPr="00512250" w:rsidRDefault="00F026BE" w:rsidP="00F026BE">
      <w:pPr>
        <w:pStyle w:val="NormalHanging12a"/>
      </w:pPr>
      <w:r w:rsidRPr="00512250">
        <w:t>2.</w:t>
      </w:r>
      <w:r w:rsidRPr="00512250">
        <w:tab/>
        <w:t>αναθέτει στην Πρόεδρό του να διαβιβάσει την παρούσα απόφαση στην εκτελεστική διευθύντρια του Οργανισμού της Ευρωπαϊκής Ένωσης για τη Συνεργασία στον Τομέα της Επιβολής του Νόμου, στο Συμβούλιο, στην Επιτροπή και στο Ελεγκτικό Συνέδριο, και να μεριμνήσει για τη δημοσίευσή της στην Επίσημη Εφημερίδα της Ευρωπαϊκής Ένωσης (σειρά L).</w:t>
      </w:r>
    </w:p>
    <w:p w14:paraId="154EB16A" w14:textId="77777777" w:rsidR="00F026BE" w:rsidRPr="00512250" w:rsidRDefault="00F026BE" w:rsidP="00F026BE"/>
    <w:p w14:paraId="06F8EA7B" w14:textId="77777777" w:rsidR="00F026BE" w:rsidRPr="00512250" w:rsidRDefault="00F026BE" w:rsidP="00F026BE"/>
    <w:p w14:paraId="1648224A" w14:textId="4D80F684" w:rsidR="00F026BE" w:rsidRPr="00512250" w:rsidRDefault="00F026BE" w:rsidP="00F026BE">
      <w:pPr>
        <w:pStyle w:val="PageHeadingDec"/>
      </w:pPr>
    </w:p>
    <w:p w14:paraId="68582DCC" w14:textId="77777777" w:rsidR="00F026BE" w:rsidRPr="00512250" w:rsidRDefault="00F026BE" w:rsidP="00F026BE">
      <w:pPr>
        <w:pStyle w:val="PageHeadingDec"/>
        <w:sectPr w:rsidR="00F026BE" w:rsidRPr="00512250" w:rsidSect="00F01631">
          <w:footerReference w:type="first" r:id="rId6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103A616" w14:textId="77777777" w:rsidR="00A10728" w:rsidRPr="00512250" w:rsidRDefault="00A10728" w:rsidP="00A10728">
      <w:pPr>
        <w:pStyle w:val="ATHeading3"/>
      </w:pPr>
      <w:r w:rsidRPr="00512250">
        <w:lastRenderedPageBreak/>
        <w:t>61. Απόφαση του Ευρωπαϊκού Κοινοβουλίου της 29ης Απριλίου 2026 σχετικά με την απαλλαγή όσον αφορά την εκτέλεση του προϋπολογισμού του Οργανισμού της Ευρωπαϊκής Ένωσης για το Διαστημικό Πρόγραμμα για το οικονομικό έτος 2024 (2025/2156(DEC))</w:t>
      </w:r>
    </w:p>
    <w:p w14:paraId="6395024C" w14:textId="77777777" w:rsidR="00F026BE" w:rsidRPr="00512250" w:rsidRDefault="00F026BE" w:rsidP="00F026BE">
      <w:pPr>
        <w:pStyle w:val="EPComma"/>
      </w:pPr>
      <w:r w:rsidRPr="00512250">
        <w:rPr>
          <w:i/>
          <w:iCs/>
        </w:rPr>
        <w:t>Το Ευρωπαϊκό Κοινοβούλιο,</w:t>
      </w:r>
    </w:p>
    <w:p w14:paraId="66861C63"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της Ευρωπαϊκής Ένωσης για το Διαστημικό Πρόγραμμα για το οικονομικό έτος 2024,</w:t>
      </w:r>
    </w:p>
    <w:p w14:paraId="41FBE8B1"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361"/>
      </w:r>
      <w:r w:rsidRPr="00512250">
        <w:t>,</w:t>
      </w:r>
    </w:p>
    <w:p w14:paraId="781AA943"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362"/>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31DC5CD0" w14:textId="77486AD2"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6DE15992"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79363736"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363"/>
      </w:r>
      <w:r w:rsidRPr="00512250">
        <w:t>, και ιδίως το άρθρο 70,</w:t>
      </w:r>
    </w:p>
    <w:p w14:paraId="2FF11884"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364"/>
      </w:r>
      <w:r w:rsidRPr="00512250">
        <w:t>, και ιδίως το άρθρο 70,</w:t>
      </w:r>
    </w:p>
    <w:p w14:paraId="4F464A35" w14:textId="77777777" w:rsidR="00F026BE" w:rsidRPr="00512250" w:rsidRDefault="00F026BE" w:rsidP="00F026BE">
      <w:pPr>
        <w:pStyle w:val="NormalHanging12a"/>
      </w:pPr>
      <w:r w:rsidRPr="00512250">
        <w:t>–</w:t>
      </w:r>
      <w:r w:rsidRPr="00512250">
        <w:tab/>
        <w:t>έχοντας υπόψη τον κανονισμό (EE) 2021/696 του Ευρωπαϊκού Κοινοβουλίου και του Συμβουλίου, της 28ης Απριλίου 2021, για τη θέσπιση του ενωσιακού διαστημικού προγράμματος και του Οργανισμού της Ευρωπαϊκής Ένωσης για το Διαστημικό Πρόγραμμα, και για την κατάργηση των κανονισμών (ΕΕ) αριθ. 912/2010, (ΕΕ) αριθ. 1285/2013 και (ΕΕ) αριθ. 377/2014 και της απόφασης αριθ. 541/2014/ΕΕ</w:t>
      </w:r>
      <w:r w:rsidRPr="00512250">
        <w:rPr>
          <w:rStyle w:val="FootnoteReference"/>
        </w:rPr>
        <w:footnoteReference w:id="365"/>
      </w:r>
      <w:r w:rsidRPr="00512250">
        <w:t>, και ιδίως τα άρθρα 85 και 86,</w:t>
      </w:r>
    </w:p>
    <w:p w14:paraId="5699AD51"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w:t>
      </w:r>
      <w:r w:rsidRPr="00512250">
        <w:lastRenderedPageBreak/>
        <w:t>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366"/>
      </w:r>
      <w:r w:rsidRPr="00512250">
        <w:t>, και ιδίως το άρθρο 105,</w:t>
      </w:r>
    </w:p>
    <w:p w14:paraId="609AE300"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31036A64"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6B154DAD"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2B51CD66" w14:textId="77777777" w:rsidR="00F026BE" w:rsidRPr="00512250" w:rsidRDefault="00F026BE" w:rsidP="00F026BE">
      <w:pPr>
        <w:pStyle w:val="NormalHanging12a"/>
      </w:pPr>
      <w:r w:rsidRPr="00512250">
        <w:t>1.</w:t>
      </w:r>
      <w:r w:rsidRPr="00512250">
        <w:tab/>
        <w:t>χορηγεί απαλλαγή στον εκτελεστικό διευθυντή του Οργανισμού της Ευρωπαϊκής Ένωσης για το Διαστημικό Πρόγραμμα όσον αφορά την εκτέλεση του προϋπολογισμού του Οργανισμού για το οικονομικό έτος 2024·</w:t>
      </w:r>
    </w:p>
    <w:p w14:paraId="7C419D17"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7C346FCA"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του Οργανισμού της Ευρωπαϊκής Ένωσης για το Διαστημικό Πρόγραμμα, στο Συμβούλιο, στην Επιτροπή και στο Ελεγκτικό Συνέδριο, και να μεριμνήσει για τη δημοσίευσή τους στην </w:t>
      </w:r>
      <w:r w:rsidRPr="00512250">
        <w:rPr>
          <w:i/>
        </w:rPr>
        <w:t>Επίσημη Εφημερίδα της Ευρωπαϊκής Ένωσης</w:t>
      </w:r>
      <w:r w:rsidRPr="00512250">
        <w:t xml:space="preserve"> (σειρά L).</w:t>
      </w:r>
    </w:p>
    <w:p w14:paraId="02B1A314" w14:textId="77777777" w:rsidR="00F026BE" w:rsidRPr="00512250" w:rsidRDefault="00F026BE" w:rsidP="00F026BE"/>
    <w:p w14:paraId="73C9F221" w14:textId="77777777" w:rsidR="00F026BE" w:rsidRPr="00512250" w:rsidRDefault="00F026BE" w:rsidP="00F026BE">
      <w:pPr>
        <w:pStyle w:val="PageHeadingDec"/>
        <w:sectPr w:rsidR="00F026BE" w:rsidRPr="00512250" w:rsidSect="00F01631">
          <w:footerReference w:type="first" r:id="rId6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844D9FA" w14:textId="77777777" w:rsidR="00A10728" w:rsidRPr="00512250" w:rsidRDefault="00A10728" w:rsidP="00A10728">
      <w:pPr>
        <w:pStyle w:val="ATHeading3"/>
      </w:pPr>
      <w:r w:rsidRPr="00512250">
        <w:lastRenderedPageBreak/>
        <w:t>62. Απόφαση του Ευρωπαϊκού Κοινοβουλίου της 29ης Απριλίου 2026 σχετικά με το κλείσιμο των λογαριασμών του Οργανισμού της Ευρωπαϊκής Ένωσης για το Διαστημικό Πρόγραμμα για το οικονομικό έτος 2024 (2025/2156(DEC))</w:t>
      </w:r>
    </w:p>
    <w:p w14:paraId="5F0D3477" w14:textId="77777777" w:rsidR="00F026BE" w:rsidRPr="00512250" w:rsidRDefault="00F026BE" w:rsidP="00F026BE">
      <w:pPr>
        <w:pStyle w:val="EPComma"/>
      </w:pPr>
      <w:r w:rsidRPr="00512250">
        <w:rPr>
          <w:i/>
          <w:iCs/>
        </w:rPr>
        <w:t>Το Ευρωπαϊκό Κοινοβούλιο,</w:t>
      </w:r>
    </w:p>
    <w:p w14:paraId="18A2A5E1"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της Ευρωπαϊκής Ένωσης για το Διαστημικό Πρόγραμμα για το οικονομικό έτος 2024,</w:t>
      </w:r>
    </w:p>
    <w:p w14:paraId="32C26AC0"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367"/>
      </w:r>
      <w:r w:rsidRPr="00512250">
        <w:t>,</w:t>
      </w:r>
    </w:p>
    <w:p w14:paraId="67862290"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368"/>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1FE8CDD9" w14:textId="47544F9C"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412DC803"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145EEE30"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369"/>
      </w:r>
      <w:r w:rsidRPr="00512250">
        <w:t>, και ιδίως το άρθρο 70,</w:t>
      </w:r>
    </w:p>
    <w:p w14:paraId="18E46BC6"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370"/>
      </w:r>
      <w:r w:rsidRPr="00512250">
        <w:t>, και ιδίως το άρθρο 70,</w:t>
      </w:r>
    </w:p>
    <w:p w14:paraId="0E075796" w14:textId="77777777" w:rsidR="00F026BE" w:rsidRPr="00512250" w:rsidRDefault="00F026BE" w:rsidP="00F026BE">
      <w:pPr>
        <w:pStyle w:val="NormalHanging12a"/>
      </w:pPr>
      <w:r w:rsidRPr="00512250">
        <w:t>–</w:t>
      </w:r>
      <w:r w:rsidRPr="00512250">
        <w:tab/>
        <w:t>έχοντας υπόψη τον κανονισμό (EE) 2021/696 του Ευρωπαϊκού Κοινοβουλίου και του Συμβουλίου, της 28ης Απριλίου 2021, για τη θέσπιση του ενωσιακού διαστημικού προγράμματος και του Οργανισμού της Ευρωπαϊκής Ένωσης για το Διαστημικό Πρόγραμμα, και για την κατάργηση των κανονισμών (ΕΕ) αριθ. 912/2010, (ΕΕ) αριθ. 1285/2013 και (ΕΕ) αριθ. 377/2014 και της απόφασης αριθ. 541/2014/ΕΕ</w:t>
      </w:r>
      <w:r w:rsidRPr="00512250">
        <w:rPr>
          <w:rStyle w:val="FootnoteReference"/>
        </w:rPr>
        <w:footnoteReference w:id="371"/>
      </w:r>
      <w:r w:rsidRPr="00512250">
        <w:t>, και ιδίως τα άρθρα 85 και 86,</w:t>
      </w:r>
    </w:p>
    <w:p w14:paraId="4AB7C200"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w:t>
      </w:r>
      <w:r w:rsidRPr="00512250">
        <w:lastRenderedPageBreak/>
        <w:t>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512250">
        <w:rPr>
          <w:rStyle w:val="FootnoteReference"/>
        </w:rPr>
        <w:footnoteReference w:id="372"/>
      </w:r>
      <w:r w:rsidRPr="00512250">
        <w:t>, και ιδίως το άρθρο 105,</w:t>
      </w:r>
    </w:p>
    <w:p w14:paraId="069A4FCC"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68F3F7C2"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7274C595"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04CCEBDB" w14:textId="77777777" w:rsidR="00F026BE" w:rsidRPr="00512250" w:rsidRDefault="00F026BE" w:rsidP="00F026BE">
      <w:pPr>
        <w:pStyle w:val="NormalHanging12a"/>
      </w:pPr>
      <w:r w:rsidRPr="00512250">
        <w:t>1.</w:t>
      </w:r>
      <w:r w:rsidRPr="00512250">
        <w:tab/>
        <w:t>εγκρίνει το κλείσιμο των λογαριασμών του Οργανισμού της Ευρωπαϊκής Ένωσης για το Διαστημικό Πρόγραμμα για το οικονομικό έτος 2024·</w:t>
      </w:r>
    </w:p>
    <w:p w14:paraId="4480D473" w14:textId="77777777" w:rsidR="00F026BE" w:rsidRPr="00512250" w:rsidRDefault="00F026BE" w:rsidP="00F026BE">
      <w:pPr>
        <w:pStyle w:val="NormalHanging12a"/>
      </w:pPr>
      <w:r w:rsidRPr="00512250">
        <w:t>2.</w:t>
      </w:r>
      <w:r w:rsidRPr="00512250">
        <w:tab/>
        <w:t>αναθέτει στην Πρόεδρό του να διαβιβάσει την παρούσα απόφαση στον εκτελεστικό διευθυντή του Οργανισμού της Ευρωπαϊκής Ένωσης για το Διαστημικό Πρόγραμμα, στο Συμβούλιο, στην Επιτροπή και στο Ελεγκτικό Συνέδριο, και να μεριμνήσει για τη δημοσίευσή της στην Επίσημη Εφημερίδα της Ευρωπαϊκής Ένωσης (σειρά L).</w:t>
      </w:r>
    </w:p>
    <w:p w14:paraId="1D6319D8" w14:textId="77777777" w:rsidR="00F026BE" w:rsidRPr="00512250" w:rsidRDefault="00F026BE" w:rsidP="00F026BE"/>
    <w:p w14:paraId="7DE333AE" w14:textId="77777777" w:rsidR="00F026BE" w:rsidRPr="00512250" w:rsidRDefault="00F026BE" w:rsidP="00F026BE"/>
    <w:p w14:paraId="10428D9B" w14:textId="282E63AE" w:rsidR="00F026BE" w:rsidRPr="00512250" w:rsidRDefault="00F026BE" w:rsidP="00F026BE">
      <w:pPr>
        <w:pStyle w:val="PageHeadingDec"/>
      </w:pPr>
    </w:p>
    <w:p w14:paraId="643F1C4B" w14:textId="77777777" w:rsidR="00F026BE" w:rsidRPr="00512250" w:rsidRDefault="00F026BE" w:rsidP="00F026BE">
      <w:pPr>
        <w:pStyle w:val="PageHeadingDec"/>
        <w:sectPr w:rsidR="00F026BE" w:rsidRPr="00512250" w:rsidSect="00F01631">
          <w:footerReference w:type="first" r:id="rId7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2142215" w14:textId="77777777" w:rsidR="00A10728" w:rsidRPr="00512250" w:rsidRDefault="00A10728" w:rsidP="00A10728">
      <w:pPr>
        <w:pStyle w:val="ATHeading3"/>
      </w:pPr>
      <w:r w:rsidRPr="00512250">
        <w:lastRenderedPageBreak/>
        <w:t>63. Απόφαση του Ευρωπαϊκού Κοινοβουλίου της 29ης Απριλίου 2026 σχετικά με την απαλλαγή όσον αφορά την εκτέλεση του προϋπολογισμού του Οργανισμού Θεμελιωδών Δικαιωμάτων της Ευρωπαϊκής Ένωσης για το οικονομικό έτος 2024 (2025/2156(DEC))</w:t>
      </w:r>
    </w:p>
    <w:p w14:paraId="56281023" w14:textId="77777777" w:rsidR="00F026BE" w:rsidRPr="00512250" w:rsidRDefault="00F026BE" w:rsidP="00F026BE">
      <w:pPr>
        <w:pStyle w:val="EPComma"/>
      </w:pPr>
      <w:r w:rsidRPr="00512250">
        <w:rPr>
          <w:i/>
          <w:iCs/>
        </w:rPr>
        <w:t>Το Ευρωπαϊκό Κοινοβούλιο,</w:t>
      </w:r>
    </w:p>
    <w:p w14:paraId="59FFE22F"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Θεμελιωδών Δικαιωμάτων της Ευρωπαϊκής Ένωσης για το οικονομικό έτος 2024,</w:t>
      </w:r>
    </w:p>
    <w:p w14:paraId="48950C40"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373"/>
      </w:r>
      <w:r w:rsidRPr="00512250">
        <w:t>,</w:t>
      </w:r>
    </w:p>
    <w:p w14:paraId="1903D1AA"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374"/>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428F1523" w14:textId="05D28A24"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062ACA44"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329E516B"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375"/>
      </w:r>
      <w:r w:rsidRPr="00512250">
        <w:t>, και ιδίως το άρθρο 70,</w:t>
      </w:r>
    </w:p>
    <w:p w14:paraId="7EA650FB"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376"/>
      </w:r>
      <w:r w:rsidRPr="00512250">
        <w:t>, και ιδίως το άρθρο 70,</w:t>
      </w:r>
    </w:p>
    <w:p w14:paraId="4D7DA897" w14:textId="035E0FE1" w:rsidR="00F026BE" w:rsidRPr="00512250" w:rsidRDefault="00F026BE" w:rsidP="00F026BE">
      <w:pPr>
        <w:pStyle w:val="NormalHanging12a"/>
      </w:pPr>
      <w:r w:rsidRPr="00512250">
        <w:t>–</w:t>
      </w:r>
      <w:r w:rsidRPr="00512250">
        <w:tab/>
        <w:t>έχοντας υπόψη τον κανονισμό (ΕΚ) αριθ. 168/2007 του Συμβουλίου, της 15ης</w:t>
      </w:r>
      <w:r w:rsidR="00B17933" w:rsidRPr="00512250">
        <w:t> </w:t>
      </w:r>
      <w:r w:rsidRPr="00512250">
        <w:t>Φεβρουαρίου 2007, για την ίδρυση Οργανισμού Θεμελιωδών Δικαιωμάτων</w:t>
      </w:r>
      <w:r w:rsidRPr="00512250">
        <w:rPr>
          <w:rStyle w:val="FootnoteReference"/>
        </w:rPr>
        <w:footnoteReference w:id="377"/>
      </w:r>
      <w:r w:rsidRPr="00512250">
        <w:t xml:space="preserve"> της Ευρωπαϊκής Ένωσης, και ιδίως το άρθρο 21,</w:t>
      </w:r>
    </w:p>
    <w:p w14:paraId="68B988FC"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378"/>
      </w:r>
      <w:r w:rsidRPr="00512250">
        <w:t>, και ιδίως το άρθρο 105,</w:t>
      </w:r>
    </w:p>
    <w:p w14:paraId="30C92D79"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30E25373"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75A82A1B"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4F644B03" w14:textId="4A93CACF" w:rsidR="00F026BE" w:rsidRPr="00512250" w:rsidRDefault="00F026BE" w:rsidP="00F026BE">
      <w:pPr>
        <w:pStyle w:val="NormalHanging12a"/>
      </w:pPr>
      <w:r w:rsidRPr="00512250">
        <w:t>1.</w:t>
      </w:r>
      <w:r w:rsidRPr="00512250">
        <w:tab/>
        <w:t>χορηγεί απαλλαγή στ</w:t>
      </w:r>
      <w:r w:rsidR="00CC1E67" w:rsidRPr="00512250">
        <w:t xml:space="preserve">η διευθύντρια </w:t>
      </w:r>
      <w:r w:rsidRPr="00512250">
        <w:t>του Οργανισμού Θεμελιωδών Δικαιωμάτων της Ευρωπαϊκής Ένωσης όσον αφορά την εκτέλεση του προϋπολογισμού του Οργανισμού για το οικονομικό έτος 2024·</w:t>
      </w:r>
    </w:p>
    <w:p w14:paraId="559EA002"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416D5879"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στη διευθύντρια του Οργανισμού Θεμελιωδών Δικαιωμάτων της Ευρωπαϊκής Ένωσης, στο Συμβούλιο, στην Επιτροπή και στο Ελεγκτικό Συνέδριο, και να μεριμνήσει για τη δημοσίευσή τους στην </w:t>
      </w:r>
      <w:r w:rsidRPr="00512250">
        <w:rPr>
          <w:i/>
        </w:rPr>
        <w:t>Επίσημη Εφημερίδα της Ευρωπαϊκής Ένωσης</w:t>
      </w:r>
      <w:r w:rsidRPr="00512250">
        <w:t xml:space="preserve"> (σειρά L).</w:t>
      </w:r>
    </w:p>
    <w:p w14:paraId="1AE7FB71" w14:textId="77777777" w:rsidR="00F026BE" w:rsidRPr="00512250" w:rsidRDefault="00F026BE" w:rsidP="00F026BE"/>
    <w:p w14:paraId="50A5DD97" w14:textId="77777777" w:rsidR="00F026BE" w:rsidRPr="00512250" w:rsidRDefault="00F026BE" w:rsidP="00F026BE">
      <w:pPr>
        <w:pStyle w:val="PageHeadingDec"/>
        <w:sectPr w:rsidR="00F026BE" w:rsidRPr="00512250" w:rsidSect="00F01631">
          <w:footerReference w:type="first" r:id="rId7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5D1F16B" w14:textId="77777777" w:rsidR="00A10728" w:rsidRPr="00512250" w:rsidRDefault="00A10728" w:rsidP="00A10728">
      <w:pPr>
        <w:pStyle w:val="ATHeading3"/>
      </w:pPr>
      <w:r w:rsidRPr="00512250">
        <w:lastRenderedPageBreak/>
        <w:t>64. Απόφαση του Ευρωπαϊκού Κοινοβουλίου της 29ης Απριλίου 2026 σχετικά με το κλείσιμο των λογαριασμών του Οργανισμού Θεμελιωδών Δικαιωμάτων της Ευρωπαϊκής Ένωσης για το οικονομικό έτος 2024 (2025/2156(DEC))</w:t>
      </w:r>
    </w:p>
    <w:p w14:paraId="76892151" w14:textId="77777777" w:rsidR="00F026BE" w:rsidRPr="00512250" w:rsidRDefault="00F026BE" w:rsidP="00F026BE">
      <w:pPr>
        <w:pStyle w:val="EPComma"/>
      </w:pPr>
      <w:r w:rsidRPr="00512250">
        <w:rPr>
          <w:i/>
          <w:iCs/>
        </w:rPr>
        <w:t>Το Ευρωπαϊκό Κοινοβούλιο,</w:t>
      </w:r>
    </w:p>
    <w:p w14:paraId="05D026ED"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Οργανισμού Θεμελιωδών Δικαιωμάτων της Ευρωπαϊκής Ένωσης για το οικονομικό έτος 2024,</w:t>
      </w:r>
    </w:p>
    <w:p w14:paraId="1D720760"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379"/>
      </w:r>
      <w:r w:rsidRPr="00512250">
        <w:t>,</w:t>
      </w:r>
    </w:p>
    <w:p w14:paraId="3A91A6F9"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380"/>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00BF61AC" w14:textId="1752D853"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4912B456"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6D9D3190"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381"/>
      </w:r>
      <w:r w:rsidRPr="00512250">
        <w:t>, και ιδίως το άρθρο 70,</w:t>
      </w:r>
    </w:p>
    <w:p w14:paraId="42836350"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382"/>
      </w:r>
      <w:r w:rsidRPr="00512250">
        <w:t>, και ιδίως το άρθρο 70,</w:t>
      </w:r>
    </w:p>
    <w:p w14:paraId="4585D399" w14:textId="22D83726" w:rsidR="00F026BE" w:rsidRPr="00512250" w:rsidRDefault="00F026BE" w:rsidP="00F026BE">
      <w:pPr>
        <w:pStyle w:val="NormalHanging12a"/>
      </w:pPr>
      <w:r w:rsidRPr="00512250">
        <w:t>–</w:t>
      </w:r>
      <w:r w:rsidRPr="00512250">
        <w:tab/>
        <w:t>έχοντας υπόψη τον κανονισμό (ΕΚ) αριθ. 168/2007 του Συμβουλίου, της 15ης</w:t>
      </w:r>
      <w:r w:rsidR="00B17933" w:rsidRPr="00512250">
        <w:t> </w:t>
      </w:r>
      <w:r w:rsidRPr="00512250">
        <w:t>Φεβρουαρίου 2007, για την ίδρυση Οργανισμού Θεμελιωδών Δικαιωμάτων</w:t>
      </w:r>
      <w:r w:rsidRPr="00512250">
        <w:rPr>
          <w:rStyle w:val="FootnoteReference"/>
        </w:rPr>
        <w:footnoteReference w:id="383"/>
      </w:r>
      <w:r w:rsidRPr="00512250">
        <w:t xml:space="preserve"> της Ευρωπαϊκής Ένωσης, και ιδίως το άρθρο 21,</w:t>
      </w:r>
    </w:p>
    <w:p w14:paraId="3A135EC3"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384"/>
      </w:r>
      <w:r w:rsidRPr="00512250">
        <w:t>, και ιδίως το άρθρο 105,</w:t>
      </w:r>
    </w:p>
    <w:p w14:paraId="142731F0"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3EB38886"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08894956"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15CF14C1" w14:textId="77777777" w:rsidR="00F026BE" w:rsidRPr="00512250" w:rsidRDefault="00F026BE" w:rsidP="00F026BE">
      <w:pPr>
        <w:pStyle w:val="NormalHanging12a"/>
      </w:pPr>
      <w:r w:rsidRPr="00512250">
        <w:t>1.</w:t>
      </w:r>
      <w:r w:rsidRPr="00512250">
        <w:tab/>
        <w:t>εγκρίνει το κλείσιμο των λογαριασμών του Οργανισμού Θεμελιωδών Δικαιωμάτων της Ευρωπαϊκής Ένωσης για το οικονομικό έτος 2024·</w:t>
      </w:r>
    </w:p>
    <w:p w14:paraId="445BDF8B"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στη διευθύντρια του Οργανισμού Θεμελιωδών Δικαιωμάτων της Ευρωπαϊκής Ένωσης, στο Συμβούλιο, στην Επιτροπή και στο Ελεγκτικό Συνέδριο, και να μεριμνήσει για τη δημοσίευσή της στην </w:t>
      </w:r>
      <w:r w:rsidRPr="00512250">
        <w:rPr>
          <w:i/>
        </w:rPr>
        <w:t>Επίσημη Εφημερίδα της Ευρωπαϊκής Ένωσης</w:t>
      </w:r>
      <w:r w:rsidRPr="00512250">
        <w:t xml:space="preserve"> (σειρά L).</w:t>
      </w:r>
    </w:p>
    <w:p w14:paraId="139BB084" w14:textId="77777777" w:rsidR="00F026BE" w:rsidRPr="00512250" w:rsidRDefault="00F026BE" w:rsidP="00F026BE"/>
    <w:p w14:paraId="56CF6356" w14:textId="77777777" w:rsidR="00F026BE" w:rsidRPr="00512250" w:rsidRDefault="00F026BE" w:rsidP="00F026BE"/>
    <w:p w14:paraId="6D22BA99" w14:textId="75EC36FE" w:rsidR="00F026BE" w:rsidRPr="00512250" w:rsidRDefault="00F026BE" w:rsidP="00F026BE">
      <w:pPr>
        <w:pStyle w:val="PageHeadingDec"/>
      </w:pPr>
    </w:p>
    <w:p w14:paraId="685D700C" w14:textId="77777777" w:rsidR="00F026BE" w:rsidRPr="00512250" w:rsidRDefault="00F026BE" w:rsidP="00F026BE">
      <w:pPr>
        <w:pStyle w:val="PageHeadingDec"/>
        <w:sectPr w:rsidR="00F026BE" w:rsidRPr="00512250" w:rsidSect="00F01631">
          <w:footerReference w:type="first" r:id="rId7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A1B7726" w14:textId="77777777" w:rsidR="00A10728" w:rsidRPr="00512250" w:rsidRDefault="00A10728" w:rsidP="00A10728">
      <w:pPr>
        <w:pStyle w:val="ATHeading3"/>
      </w:pPr>
      <w:r w:rsidRPr="00512250">
        <w:lastRenderedPageBreak/>
        <w:t>65. Απόφαση του Ευρωπαϊκού Κοινοβουλίου της 29ης Απριλίου 2026 σχετικά με την απαλλαγή όσον αφορά την εκτέλεση του προϋπολογισμού του Ευρωπαϊκού Οργανισμού Συνοριοφυλακής και Ακτοφυλακής για το οικονομικό έτος 2024 (2025/2156(DEC))</w:t>
      </w:r>
    </w:p>
    <w:p w14:paraId="3C0F2582" w14:textId="77777777" w:rsidR="00F026BE" w:rsidRPr="00512250" w:rsidRDefault="00F026BE" w:rsidP="00F026BE">
      <w:pPr>
        <w:pStyle w:val="EPComma"/>
      </w:pPr>
      <w:r w:rsidRPr="00512250">
        <w:rPr>
          <w:i/>
          <w:iCs/>
        </w:rPr>
        <w:t>Το Ευρωπαϊκό Κοινοβούλιο,</w:t>
      </w:r>
    </w:p>
    <w:p w14:paraId="2C1ED31B"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Οργανισμού Συνοριοφυλακής και Ακτοφυλακής για το οικονομικό έτος 2024,</w:t>
      </w:r>
    </w:p>
    <w:p w14:paraId="35957559"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385"/>
      </w:r>
      <w:r w:rsidRPr="00512250">
        <w:t>,</w:t>
      </w:r>
    </w:p>
    <w:p w14:paraId="41C39632"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386"/>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0765E538" w14:textId="4F108BC4"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6B173BC8"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755D4876"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387"/>
      </w:r>
      <w:r w:rsidRPr="00512250">
        <w:t>, και ιδίως το άρθρο 70,</w:t>
      </w:r>
    </w:p>
    <w:p w14:paraId="16B1CAC9"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388"/>
      </w:r>
      <w:r w:rsidRPr="00512250">
        <w:t>, και ιδίως το άρθρο 70,</w:t>
      </w:r>
    </w:p>
    <w:p w14:paraId="3DBD347F" w14:textId="77777777" w:rsidR="00F026BE" w:rsidRPr="00512250" w:rsidRDefault="00F026BE" w:rsidP="00F026BE">
      <w:pPr>
        <w:pStyle w:val="NormalHanging12a"/>
      </w:pPr>
      <w:r w:rsidRPr="00512250">
        <w:t>–</w:t>
      </w:r>
      <w:r w:rsidRPr="00512250">
        <w:tab/>
        <w:t>έχοντας υπόψη τον κανονισμό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w:t>
      </w:r>
      <w:r w:rsidRPr="00512250">
        <w:rPr>
          <w:rStyle w:val="FootnoteReference"/>
        </w:rPr>
        <w:footnoteReference w:id="389"/>
      </w:r>
      <w:r w:rsidRPr="00512250">
        <w:t>, και ιδίως το άρθρο 116,</w:t>
      </w:r>
    </w:p>
    <w:p w14:paraId="1E93BDD0"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390"/>
      </w:r>
      <w:r w:rsidRPr="00512250">
        <w:t>, και ιδίως το άρθρο 105,</w:t>
      </w:r>
    </w:p>
    <w:p w14:paraId="24E58797"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148F7A15"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5F4B4361"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6564D294" w14:textId="77777777" w:rsidR="00F026BE" w:rsidRPr="00512250" w:rsidRDefault="00F026BE" w:rsidP="00F026BE">
      <w:pPr>
        <w:pStyle w:val="NormalHanging12a"/>
      </w:pPr>
      <w:r w:rsidRPr="00512250">
        <w:t>1.</w:t>
      </w:r>
      <w:r w:rsidRPr="00512250">
        <w:tab/>
        <w:t>χορηγεί απαλλαγή στον εκτελεστικό διευθυντή του Ευρωπαϊκού Οργανισμού Συνοριοφυλακής και Ακτοφυλακής όσον αφορά την εκτέλεση του προϋπολογισμού του Οργανισμού για το οικονομικό έτος 2024·</w:t>
      </w:r>
    </w:p>
    <w:p w14:paraId="67EF58A5" w14:textId="77777777" w:rsidR="00F026BE" w:rsidRPr="00512250" w:rsidRDefault="00F026BE" w:rsidP="00F026BE">
      <w:pPr>
        <w:pStyle w:val="NormalHanging12a"/>
      </w:pPr>
      <w:r w:rsidRPr="00512250">
        <w:t>2.</w:t>
      </w:r>
      <w:r w:rsidRPr="00512250">
        <w:tab/>
        <w:t>εκθέτει τις παρατηρήσεις του στο ψήφισμα που ακολουθεί·</w:t>
      </w:r>
    </w:p>
    <w:p w14:paraId="6428ACD2" w14:textId="77777777" w:rsidR="00F026BE" w:rsidRPr="00512250" w:rsidRDefault="00F026BE" w:rsidP="00F026BE">
      <w:pPr>
        <w:pStyle w:val="NormalHanging12a"/>
      </w:pPr>
      <w:r w:rsidRPr="00512250">
        <w:t>3.</w:t>
      </w:r>
      <w:r w:rsidRPr="00512250">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του Ευρωπαϊκού Οργανισμού Συνοριοφυλακής και Ακτοφυλακής, στο Συμβούλιο, στην Επιτροπή και στο Ελεγκτικό Συνέδριο, και να μεριμνήσει για τη δημοσίευσή τους στην </w:t>
      </w:r>
      <w:r w:rsidRPr="00512250">
        <w:rPr>
          <w:i/>
        </w:rPr>
        <w:t>Επίσημη Εφημερίδα της Ευρωπαϊκής Ένωσης</w:t>
      </w:r>
      <w:r w:rsidRPr="00512250">
        <w:t xml:space="preserve"> (σειρά L).</w:t>
      </w:r>
    </w:p>
    <w:p w14:paraId="077AF04D" w14:textId="77777777" w:rsidR="00F026BE" w:rsidRPr="00512250" w:rsidRDefault="00F026BE" w:rsidP="00F026BE"/>
    <w:p w14:paraId="12615EB1" w14:textId="77777777" w:rsidR="00F026BE" w:rsidRPr="00512250" w:rsidRDefault="00F026BE" w:rsidP="00F026BE">
      <w:pPr>
        <w:pStyle w:val="PageHeadingDec"/>
        <w:sectPr w:rsidR="00F026BE" w:rsidRPr="00512250" w:rsidSect="00F01631">
          <w:footerReference w:type="first" r:id="rId7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FB3B9B" w14:textId="77777777" w:rsidR="00A10728" w:rsidRPr="00512250" w:rsidRDefault="00A10728" w:rsidP="00A10728">
      <w:pPr>
        <w:pStyle w:val="ATHeading3"/>
      </w:pPr>
      <w:r w:rsidRPr="00512250">
        <w:lastRenderedPageBreak/>
        <w:t>66. Απόφαση του Ευρωπαϊκού Κοινοβουλίου της 29ης Απριλίου 2026 σχετικά με το κλείσιμο των λογαριασμών του Ευρωπαϊκού Οργανισμού Συνοριοφυλακής και Ακτοφυλακής για το οικονομικό έτος 2024 (2025/2156(DEC))</w:t>
      </w:r>
    </w:p>
    <w:p w14:paraId="6B0232E4" w14:textId="77777777" w:rsidR="00F026BE" w:rsidRPr="00512250" w:rsidRDefault="00F026BE" w:rsidP="00F026BE">
      <w:pPr>
        <w:pStyle w:val="EPComma"/>
      </w:pPr>
      <w:r w:rsidRPr="00512250">
        <w:rPr>
          <w:i/>
          <w:iCs/>
        </w:rPr>
        <w:t>Το Ευρωπαϊκό Κοινοβούλιο,</w:t>
      </w:r>
    </w:p>
    <w:p w14:paraId="4E673FE6" w14:textId="77777777" w:rsidR="00F026BE" w:rsidRPr="00512250" w:rsidRDefault="00F026BE" w:rsidP="00F026BE">
      <w:pPr>
        <w:pStyle w:val="NormalHanging12a"/>
      </w:pPr>
      <w:r w:rsidRPr="00512250">
        <w:t>–</w:t>
      </w:r>
      <w:r w:rsidRPr="00512250">
        <w:tab/>
        <w:t>έχοντας υπόψη τους οριστικούς ετήσιους λογαριασμούς του Ευρωπαϊκού Οργανισμού Συνοριοφυλακής και Ακτοφυλακής για το οικονομικό έτος 2024,</w:t>
      </w:r>
    </w:p>
    <w:p w14:paraId="6A0B4A1F" w14:textId="77777777" w:rsidR="00F026BE" w:rsidRPr="00512250" w:rsidRDefault="00F026BE" w:rsidP="00F026BE">
      <w:pPr>
        <w:pStyle w:val="NormalHanging12a"/>
      </w:pPr>
      <w:r w:rsidRPr="00512250">
        <w:t>–</w:t>
      </w:r>
      <w:r w:rsidRPr="00512250">
        <w:tab/>
        <w:t>έχοντας υπόψη την ετήσια έκθεση του Ελεγκτικού Συνεδρίου σχετικά με τους οργανισμούς της ΕΕ για το οικονομικό έτος 2024, που συνοδεύεται από τις απαντήσεις των οργανισμών</w:t>
      </w:r>
      <w:r w:rsidRPr="00512250">
        <w:rPr>
          <w:rStyle w:val="FootnoteReference"/>
        </w:rPr>
        <w:footnoteReference w:id="391"/>
      </w:r>
      <w:r w:rsidRPr="00512250">
        <w:t>,</w:t>
      </w:r>
    </w:p>
    <w:p w14:paraId="4E2772DC" w14:textId="77777777" w:rsidR="00F026BE" w:rsidRPr="00512250" w:rsidRDefault="00F026BE" w:rsidP="00F026BE">
      <w:pPr>
        <w:pStyle w:val="NormalHanging12a"/>
      </w:pPr>
      <w:r w:rsidRPr="00512250">
        <w:t>–</w:t>
      </w:r>
      <w:r w:rsidRPr="00512250">
        <w:tab/>
        <w:t>έχοντας υπόψη τη δήλωση αξιοπιστίας</w:t>
      </w:r>
      <w:r w:rsidRPr="00512250">
        <w:rPr>
          <w:rStyle w:val="FootnoteReference"/>
        </w:rPr>
        <w:footnoteReference w:id="392"/>
      </w:r>
      <w:r w:rsidRPr="00512250">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5A6E3577" w14:textId="3C4C5D1E" w:rsidR="00F026BE" w:rsidRPr="00512250" w:rsidRDefault="00F026BE" w:rsidP="00F026BE">
      <w:pPr>
        <w:pStyle w:val="NormalHanging12a"/>
      </w:pPr>
      <w:r w:rsidRPr="00512250">
        <w:t>–</w:t>
      </w:r>
      <w:r w:rsidRPr="00512250">
        <w:tab/>
        <w:t xml:space="preserve">έχοντας υπόψη τη σύσταση του Συμβουλίου, της 2ας Μαρτίου 2026, σχετικά με την απαλλαγή του Οργανισμού όσον αφορά την εκτέλεση του προϋπολογισμού για το οικονομικό έτος 2024 (05750/2026 – </w:t>
      </w:r>
      <w:r w:rsidR="00422CC9">
        <w:t>C10-0148/2026</w:t>
      </w:r>
      <w:r w:rsidRPr="00512250">
        <w:t>),</w:t>
      </w:r>
    </w:p>
    <w:p w14:paraId="51060460" w14:textId="77777777" w:rsidR="00F026BE" w:rsidRPr="00512250" w:rsidRDefault="00F026BE" w:rsidP="00F026BE">
      <w:pPr>
        <w:pStyle w:val="NormalHanging12a"/>
      </w:pPr>
      <w:r w:rsidRPr="00512250">
        <w:t>–</w:t>
      </w:r>
      <w:r w:rsidRPr="00512250">
        <w:tab/>
        <w:t>έχοντας υπόψη το άρθρο 319 της Συνθήκης για τη λειτουργία της Ευρωπαϊκής Ένωσης,</w:t>
      </w:r>
    </w:p>
    <w:p w14:paraId="6EE2B129" w14:textId="77777777" w:rsidR="00F026BE" w:rsidRPr="00512250" w:rsidRDefault="00F026BE" w:rsidP="00F026BE">
      <w:pPr>
        <w:pStyle w:val="NormalHanging12a"/>
      </w:pPr>
      <w:r w:rsidRPr="00512250">
        <w:t>–</w:t>
      </w:r>
      <w:r w:rsidRPr="00512250">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512250">
        <w:rPr>
          <w:rStyle w:val="FootnoteReference"/>
        </w:rPr>
        <w:footnoteReference w:id="393"/>
      </w:r>
      <w:r w:rsidRPr="00512250">
        <w:t>, και ιδίως το άρθρο 70,</w:t>
      </w:r>
    </w:p>
    <w:p w14:paraId="09B36D61" w14:textId="77777777" w:rsidR="00F026BE" w:rsidRPr="00512250" w:rsidRDefault="00F026BE" w:rsidP="00F026BE">
      <w:pPr>
        <w:pStyle w:val="NormalHanging12a"/>
      </w:pPr>
      <w:r w:rsidRPr="00512250">
        <w:t>–</w:t>
      </w:r>
      <w:r w:rsidRPr="00512250">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512250">
        <w:rPr>
          <w:rStyle w:val="FootnoteReference"/>
        </w:rPr>
        <w:footnoteReference w:id="394"/>
      </w:r>
      <w:r w:rsidRPr="00512250">
        <w:t>, και ιδίως το άρθρο 70,</w:t>
      </w:r>
    </w:p>
    <w:p w14:paraId="4377E2E7" w14:textId="77777777" w:rsidR="00F026BE" w:rsidRPr="00512250" w:rsidRDefault="00F026BE" w:rsidP="00F026BE">
      <w:pPr>
        <w:pStyle w:val="NormalHanging12a"/>
      </w:pPr>
      <w:r w:rsidRPr="00512250">
        <w:t>–</w:t>
      </w:r>
      <w:r w:rsidRPr="00512250">
        <w:tab/>
        <w:t>έχοντας υπόψη τον κανονισμό (EE) 2019/1896 του Ευρωπαϊκού Κοινοβουλίου και του Συμβουλίου, της 13ης Νοεμβρίου 2019, για την Ευρωπαϊκή Συνοριοφυλακή και Ακτοφυλακή και για την κατάργηση των κανονισμών (ΕΕ) αριθ. 1052/2013 και (ΕΕ) 2016/1624</w:t>
      </w:r>
      <w:r w:rsidRPr="00512250">
        <w:rPr>
          <w:rStyle w:val="FootnoteReference"/>
        </w:rPr>
        <w:footnoteReference w:id="395"/>
      </w:r>
      <w:r w:rsidRPr="00512250">
        <w:t>, και ιδίως το άρθρο 116,</w:t>
      </w:r>
    </w:p>
    <w:p w14:paraId="69488864" w14:textId="77777777" w:rsidR="00F026BE" w:rsidRPr="00512250" w:rsidRDefault="00F026BE" w:rsidP="00F026BE">
      <w:pPr>
        <w:pStyle w:val="NormalHanging12a"/>
      </w:pPr>
      <w:r w:rsidRPr="00512250">
        <w:t>–</w:t>
      </w:r>
      <w:r w:rsidRPr="00512250">
        <w:tab/>
        <w:t xml:space="preserve">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w:t>
      </w:r>
      <w:r w:rsidRPr="00512250">
        <w:lastRenderedPageBreak/>
        <w:t>Ευρωπαϊκού Κοινοβουλίου και του Συμβουλίου</w:t>
      </w:r>
      <w:r w:rsidRPr="00512250">
        <w:rPr>
          <w:rStyle w:val="FootnoteReference"/>
        </w:rPr>
        <w:footnoteReference w:id="396"/>
      </w:r>
      <w:r w:rsidRPr="00512250">
        <w:t>, και ιδίως το άρθρο 105,</w:t>
      </w:r>
    </w:p>
    <w:p w14:paraId="1EA54151"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44C783DC"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351A7B0B"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53EF32F5" w14:textId="77777777" w:rsidR="00F026BE" w:rsidRPr="00512250" w:rsidRDefault="00F026BE" w:rsidP="00F026BE">
      <w:pPr>
        <w:pStyle w:val="NormalHanging12a"/>
      </w:pPr>
      <w:r w:rsidRPr="00512250">
        <w:t>1.</w:t>
      </w:r>
      <w:r w:rsidRPr="00512250">
        <w:tab/>
        <w:t>εγκρίνει το κλείσιμο των λογαριασμών του Ευρωπαϊκού Οργανισμού Συνοριοφυλακής και Ακτοφυλακής για το οικονομικό έτος 2024·</w:t>
      </w:r>
    </w:p>
    <w:p w14:paraId="1A82B24E" w14:textId="77777777" w:rsidR="00F026BE" w:rsidRPr="00512250" w:rsidRDefault="00F026BE" w:rsidP="00F026BE">
      <w:pPr>
        <w:pStyle w:val="NormalHanging12a"/>
      </w:pPr>
      <w:r w:rsidRPr="00512250">
        <w:t>2.</w:t>
      </w:r>
      <w:r w:rsidRPr="00512250">
        <w:tab/>
        <w:t xml:space="preserve">αναθέτει στην Πρόεδρό του να διαβιβάσει την παρούσα απόφαση στον εκτελεστικό διευθυντή του Ευρωπαϊκού Οργανισμού Συνοριοφυλακής και Ακτοφυλακής, στο Συμβούλιο, στην Επιτροπή και στο Ελεγκτικό Συνέδριο, και να μεριμνήσει για τη δημοσίευσή της στην </w:t>
      </w:r>
      <w:r w:rsidRPr="00512250">
        <w:rPr>
          <w:i/>
        </w:rPr>
        <w:t>Επίσημη Εφημερίδα της Ευρωπαϊκής Ένωσης</w:t>
      </w:r>
      <w:r w:rsidRPr="00512250">
        <w:t xml:space="preserve"> (σειρά L).</w:t>
      </w:r>
    </w:p>
    <w:p w14:paraId="22FF10E3" w14:textId="77777777" w:rsidR="00F026BE" w:rsidRPr="00512250" w:rsidRDefault="00F026BE" w:rsidP="00F026BE"/>
    <w:p w14:paraId="2E3790EF" w14:textId="77777777" w:rsidR="00F026BE" w:rsidRPr="00512250" w:rsidRDefault="00F026BE" w:rsidP="00F026BE"/>
    <w:p w14:paraId="24BFEAB5" w14:textId="363C80E7" w:rsidR="00F026BE" w:rsidRPr="00512250" w:rsidRDefault="00F026BE" w:rsidP="00F026BE">
      <w:pPr>
        <w:pStyle w:val="NormalHanging12a"/>
        <w:spacing w:after="120"/>
        <w:jc w:val="center"/>
      </w:pPr>
    </w:p>
    <w:p w14:paraId="719BD8F9" w14:textId="7098F002" w:rsidR="00F026BE" w:rsidRPr="00512250" w:rsidRDefault="00F026BE" w:rsidP="00F026BE">
      <w:pPr>
        <w:pStyle w:val="NormalHanging12a"/>
        <w:spacing w:after="0"/>
        <w:jc w:val="center"/>
      </w:pPr>
    </w:p>
    <w:p w14:paraId="02DFC3A5" w14:textId="77777777" w:rsidR="00F026BE" w:rsidRPr="00512250" w:rsidRDefault="00F026BE" w:rsidP="00F026BE"/>
    <w:p w14:paraId="5D6135BB" w14:textId="77777777" w:rsidR="00F026BE" w:rsidRPr="00512250" w:rsidRDefault="00F026BE" w:rsidP="00F026BE">
      <w:pPr>
        <w:pStyle w:val="PageHeadingDec"/>
        <w:sectPr w:rsidR="00F026BE" w:rsidRPr="00512250" w:rsidSect="00F0163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B58A4B" w14:textId="77777777" w:rsidR="00A10728" w:rsidRPr="00512250" w:rsidRDefault="00A10728" w:rsidP="00A10728">
      <w:pPr>
        <w:pStyle w:val="ATHeading3"/>
      </w:pPr>
      <w:r w:rsidRPr="00512250">
        <w:lastRenderedPageBreak/>
        <w:t>67. Ψήφισμα του Ευρωπαϊκού Κοινοβουλίου της 29ης Απριλίου 2026 με τις παρατηρήσεις που αποτελούν αναπόσπαστο μέρος των αποφάσεων σχετικά με την απαλλαγή όσον αφορά την εκτέλεση του προϋπολογισμού των οργανισμών της Ευρωπαϊκής Ένωσης για το οικονομικό έτος 2024 (2025/2156(DEC))</w:t>
      </w:r>
    </w:p>
    <w:p w14:paraId="75704F29" w14:textId="77777777" w:rsidR="00F026BE" w:rsidRPr="00512250" w:rsidRDefault="00F026BE" w:rsidP="00F026BE">
      <w:pPr>
        <w:pStyle w:val="EPComma"/>
      </w:pPr>
      <w:r w:rsidRPr="00512250">
        <w:rPr>
          <w:i/>
          <w:iCs/>
        </w:rPr>
        <w:t>Το Ευρωπαϊκό Κοινοβούλιο,</w:t>
      </w:r>
    </w:p>
    <w:p w14:paraId="7099D4A6"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Οργανισμού της Ευρωπαϊκής Ένωσης για τη Συνεργασία των Ρυθμιστικών Αρχών Ενέργειας για το οικονομικό έτος 2024,</w:t>
      </w:r>
    </w:p>
    <w:p w14:paraId="587FCEC7"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Οργανισμού για την υποστήριξη της Υπηρεσίας του BEREC για το οικονομικό έτος 2024,</w:t>
      </w:r>
    </w:p>
    <w:p w14:paraId="3A2C867A"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Μεταφραστικού Κέντρου των Οργάνων της Ευρωπαϊκής Ένωσης για το οικονομικό έτος 2024,</w:t>
      </w:r>
    </w:p>
    <w:p w14:paraId="592FDC85"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Ευρωπαϊκού Κέντρου για την Ανάπτυξη της Επαγγελματικής Κατάρτισης για το οικονομικό έτος 2024,</w:t>
      </w:r>
    </w:p>
    <w:p w14:paraId="1C2BD13B"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Οργανισμού της Ευρωπαϊκής Ένωσης για την Κατάρτιση στον Τομέα της Επιβολής του Νόμου για το οικονομικό έτος 2024,</w:t>
      </w:r>
    </w:p>
    <w:p w14:paraId="58068206"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Οργανισμού της Ευρωπαϊκής Ένωσης για την Ασφάλεια της Αεροπορίας για το οικονομικό έτος 2024,</w:t>
      </w:r>
    </w:p>
    <w:p w14:paraId="0CB705DC"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της Ευρωπαϊκής Αρχής Τραπεζών για το οικονομικό έτος 2024,</w:t>
      </w:r>
    </w:p>
    <w:p w14:paraId="64688F0E"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Ευρωπαϊκού Κέντρου Πρόληψης και Ελέγχου Νόσων για το οικονομικό έτος 2024,</w:t>
      </w:r>
    </w:p>
    <w:p w14:paraId="1A44E687"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Ευρωπαϊκού Οργανισμού Χημικών Προϊόντων για το οικονομικό έτος 2024,</w:t>
      </w:r>
    </w:p>
    <w:p w14:paraId="604C85BC"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Ευρωπαϊκού Οργανισμού Περιβάλλοντος για το οικονομικό έτος 2024,</w:t>
      </w:r>
    </w:p>
    <w:p w14:paraId="72B35C14"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της Ευρωπαϊκής Υπηρεσίας Ελέγχου της Αλιείας για το οικονομικό έτος 2024,</w:t>
      </w:r>
    </w:p>
    <w:p w14:paraId="65E062D9" w14:textId="77777777" w:rsidR="00F026BE" w:rsidRPr="00512250" w:rsidRDefault="00F026BE" w:rsidP="00F026BE">
      <w:pPr>
        <w:pStyle w:val="NormalHanging12a"/>
      </w:pPr>
      <w:r w:rsidRPr="00512250">
        <w:t>–</w:t>
      </w:r>
      <w:r w:rsidRPr="00512250">
        <w:tab/>
        <w:t xml:space="preserve">έχοντας υπόψη την απόφασή του σχετικά με την απαλλαγή όσον αφορά την εκτέλεση </w:t>
      </w:r>
      <w:r w:rsidRPr="00512250">
        <w:lastRenderedPageBreak/>
        <w:t>του προϋπολογισμού της Ευρωπαϊκής Αρχής για την Ασφάλεια των Τροφίμων για το οικονομικό έτος 2024,</w:t>
      </w:r>
    </w:p>
    <w:p w14:paraId="6C3D1B23"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Ευρωπαϊκού Ινστιτούτου για την Ισότητα των Φύλων για το οικονομικό έτος 2024,</w:t>
      </w:r>
    </w:p>
    <w:p w14:paraId="7F46F4AA"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της Ευρωπαϊκής Αρχής Ασφαλίσεων και Επαγγελματικών Συντάξεων για το οικονομικό έτος 2024,</w:t>
      </w:r>
    </w:p>
    <w:p w14:paraId="60250DC6"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Ευρωπαϊκού Ινστιτούτου Καινοτομίας και Τεχνολογίας για το οικονομικό έτος 2024,</w:t>
      </w:r>
    </w:p>
    <w:p w14:paraId="088E540D" w14:textId="77777777" w:rsidR="00F026BE" w:rsidRPr="00512250" w:rsidRDefault="00F026BE" w:rsidP="00F026BE">
      <w:pPr>
        <w:pStyle w:val="NormalHanging12a"/>
      </w:pPr>
      <w:r w:rsidRPr="00512250">
        <w:t>–</w:t>
      </w:r>
      <w:r w:rsidRPr="00512250">
        <w:tab/>
        <w:t>έχοντας υπόψη την απόφασή του σχετικά µε την απαλλαγή όσον αφορά την εκτέλεση του προϋπολογισμού της Ευρωπαϊκής Αρχής Εργασίας για το οικονομικό έτος 2024,</w:t>
      </w:r>
    </w:p>
    <w:p w14:paraId="573B3882"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Ευρωπαϊκού Οργανισμού Φαρμάκων για το οικονομικό έτος 2024,</w:t>
      </w:r>
    </w:p>
    <w:p w14:paraId="15F3BF80"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Οργανισμού της Ευρωπαϊκής Ένωσης για τα Ναρκωτικά για το οικονομικό έτος 2024·</w:t>
      </w:r>
    </w:p>
    <w:p w14:paraId="43065709"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Ευρωπαϊκού Οργανισμού για την Ασφάλεια στη Θάλασσα για το οικονομικό έτος 2024,</w:t>
      </w:r>
    </w:p>
    <w:p w14:paraId="6545BD53"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Οργανισμού της Ευρωπαϊκής Ένωσης για την Κυβερνοασφάλεια για το οικονομικό έτος 2024·</w:t>
      </w:r>
    </w:p>
    <w:p w14:paraId="3F7CF6D0"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Οργανισμού Σιδηροδρόμων της Ευρωπαϊκής Ένωσης για το οικονομικό έτος 2024·</w:t>
      </w:r>
    </w:p>
    <w:p w14:paraId="3815655A"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Οργανισμού Εφοδιασμού της Ευρατόμ για το οικονομικό έτος 2024,</w:t>
      </w:r>
    </w:p>
    <w:p w14:paraId="27DDF4BB"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της Ευρωπαϊκής Αρχής Κινητών Άξιών και Αγορών για το οικονομικό έτος 2024,</w:t>
      </w:r>
    </w:p>
    <w:p w14:paraId="090264E8"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Ευρωπαϊκού Ιδρύματος Επαγγελματικής Εκπαίδευσης για το οικονομικό έτος 2024,</w:t>
      </w:r>
    </w:p>
    <w:p w14:paraId="3BE5C9E2" w14:textId="77777777" w:rsidR="00F026BE" w:rsidRPr="00512250" w:rsidRDefault="00F026BE" w:rsidP="00F026BE">
      <w:pPr>
        <w:pStyle w:val="NormalHanging12a"/>
      </w:pPr>
      <w:r w:rsidRPr="00512250">
        <w:t>–</w:t>
      </w:r>
      <w:r w:rsidRPr="00512250">
        <w:tab/>
        <w:t xml:space="preserve">έχοντας υπόψη την απόφασή του σχετικά με την απαλλαγή όσον αφορά την εκτέλεση του προϋπολογισμού του Οργανισμού της Ευρωπαϊκής Ένωσης για το Άσυλο για το </w:t>
      </w:r>
      <w:r w:rsidRPr="00512250">
        <w:lastRenderedPageBreak/>
        <w:t>οικονομικό έτος 2024·</w:t>
      </w:r>
    </w:p>
    <w:p w14:paraId="797EC661"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Οργανισμού της Ευρωπαϊκής Ένωσης για τη Λειτουργική Διαχείριση Συστημάτων ΤΠ Μεγάλης Κλίμακας στον Χώρο Ελευθερίας, Ασφάλειας και Δικαιοσύνης για το οικονομικό έτος 2024,</w:t>
      </w:r>
    </w:p>
    <w:p w14:paraId="0F8D6AEE"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Ευρωπαϊκού Οργανισμού για την Ασφάλεια και την Υγεία στην Εργασία για το οικονομικό έτος 2024,</w:t>
      </w:r>
    </w:p>
    <w:p w14:paraId="3F4BF152"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Ευρωπαϊκού Ιδρύματος για τη Βελτίωση των Συνθηκών Διαβίωσης και Εργασίας για το οικονομικό έτος 2024,</w:t>
      </w:r>
    </w:p>
    <w:p w14:paraId="5F75ADDB"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Οργανισμού της Ευρωπαϊκής Ένωσης για τη Συνεργασία στον Τομέα της Ποινικής Δικαιοσύνης για το οικονομικό έτος 2024,</w:t>
      </w:r>
    </w:p>
    <w:p w14:paraId="409B86F2"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Οργανισμού της Ευρωπαϊκής Ένωσης για τη Συνεργασία στον Τομέα της Επιβολής του Νόμου για το οικονομικό έτος 2024,</w:t>
      </w:r>
    </w:p>
    <w:p w14:paraId="2994CA55"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Οργανισμού της Ευρωπαϊκής Ένωσης για το Διαστημικό Πρόγραμμα για το οικονομικό έτος 2024,</w:t>
      </w:r>
    </w:p>
    <w:p w14:paraId="4C22DF3E"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Οργανισμού Θεμελιωδών Δικαιωμάτων της Ευρωπαϊκής Ένωσης για το οικονομικό έτος 2024,</w:t>
      </w:r>
    </w:p>
    <w:p w14:paraId="70DB287C" w14:textId="77777777" w:rsidR="00F026BE" w:rsidRPr="00512250" w:rsidRDefault="00F026BE" w:rsidP="00F026BE">
      <w:pPr>
        <w:pStyle w:val="NormalHanging12a"/>
      </w:pPr>
      <w:r w:rsidRPr="00512250">
        <w:t>–</w:t>
      </w:r>
      <w:r w:rsidRPr="00512250">
        <w:tab/>
        <w:t>έχοντας υπόψη την απόφασή του σχετικά με την απαλλαγή όσον αφορά την εκτέλεση του προϋπολογισμού του Ευρωπαϊκού Οργανισμού Συνοριοφυλακής και Ακτοφυλακής για το οικονομικό έτος 2024,</w:t>
      </w:r>
    </w:p>
    <w:p w14:paraId="22AD0A85" w14:textId="77777777" w:rsidR="00F026BE" w:rsidRPr="00512250" w:rsidRDefault="00F026BE" w:rsidP="00F026BE">
      <w:pPr>
        <w:pStyle w:val="NormalHanging12a"/>
      </w:pPr>
      <w:r w:rsidRPr="00512250">
        <w:t>–</w:t>
      </w:r>
      <w:r w:rsidRPr="00512250">
        <w:tab/>
        <w:t>έχοντας υπόψη το άρθρο 102 και το παράρτημα V του Κανονισμού του,</w:t>
      </w:r>
    </w:p>
    <w:p w14:paraId="63795254" w14:textId="77777777" w:rsidR="00F026BE" w:rsidRPr="00512250" w:rsidRDefault="00F026BE" w:rsidP="00F026BE">
      <w:pPr>
        <w:pStyle w:val="NormalHanging12a"/>
      </w:pPr>
      <w:r w:rsidRPr="00512250">
        <w:t>–</w:t>
      </w:r>
      <w:r w:rsidRPr="00512250">
        <w:tab/>
        <w:t>έχοντας υπόψη τις γνωμοδοτήσεις της Επιτροπής Απασχόλησης και Κοινωνικών Υποθέσεων, της Επιτροπής Περιβάλλοντος, Κλίματος και Ασφάλειας των Τροφίμων, της Επιτροπής Δημόσιας Υγείας, της Επιτροπής Μεταφορών και Τουρισμού, της Επιτροπής Αλιείας, της Επιτροπής Πολιτικών Ελευθεριών, Δικαιοσύνης και Εσωτερικών Υποθέσεων και της Επιτροπής Δικαιωμάτων των Γυναικών και Ισότητας των Φύλων,</w:t>
      </w:r>
    </w:p>
    <w:p w14:paraId="40583B54" w14:textId="77777777" w:rsidR="00F026BE" w:rsidRPr="00512250" w:rsidRDefault="00F026BE" w:rsidP="00F026BE">
      <w:pPr>
        <w:pStyle w:val="NormalHanging12a"/>
      </w:pPr>
      <w:r w:rsidRPr="00512250">
        <w:t>–</w:t>
      </w:r>
      <w:r w:rsidRPr="00512250">
        <w:tab/>
        <w:t>έχοντας υπόψη την έκθεση της Επιτροπής Ελέγχου του Προϋπολογισμού (A10-0087/2026),</w:t>
      </w:r>
    </w:p>
    <w:p w14:paraId="13E8E50D" w14:textId="77777777" w:rsidR="00F026BE" w:rsidRPr="00512250" w:rsidRDefault="00F026BE" w:rsidP="00F026BE">
      <w:pPr>
        <w:pStyle w:val="NormalHanging12a"/>
      </w:pPr>
      <w:r w:rsidRPr="00512250">
        <w:t>Α.</w:t>
      </w:r>
      <w:r w:rsidRPr="00512250">
        <w:tab/>
        <w:t xml:space="preserve">λαμβάνοντας υπόψη ότι οι αποκεντρωμένοι οργανισμοί, οι εκτελεστικοί οργανισμοί και άλλοι οργανισμοί της Ένωσης είναι διακριτές νομικές οντότητες που έχουν συσταθεί για την εκτέλεση συγκεκριμένων τεχνικών, επιστημονικών ή διοικητικών καθηκόντων που βοηθούν τα θεσμικά όργανα της Ένωσης στον σχεδιασμό και την εφαρμογή πολιτικών· λαμβάνοντας υπόψη ότι βρίσκονται σε διάφορα κράτη μέλη και επηρεάζουν </w:t>
      </w:r>
      <w:r w:rsidRPr="00512250">
        <w:lastRenderedPageBreak/>
        <w:t>σημαντικά τομείς ζωτικής σημασίας για την καθημερινή ζωή των Ευρωπαίων πολιτών, όπως η υγεία, η ασφάλεια, η προστασία, η ελευθερία και η δικαιοσύνη· υπενθυμίζει ότι η διαδικασία απαλλαγής δεν είναι απλώς μια τεχνική λογιστική διαδικασία, αλλά ένα βασικό μέσο δημοκρατικής λογοδοσίας μέσω του οποίου το Κοινοβούλιο αξιολογεί κατά πόσον οι οργανισμοί της Ένωσης ενεργούν σύμφωνα με τις αρχές της χρηστής δημοσιονομικής διαχείρισης·</w:t>
      </w:r>
    </w:p>
    <w:p w14:paraId="68A7EDE6" w14:textId="7BF0C166" w:rsidR="00F026BE" w:rsidRPr="00512250" w:rsidRDefault="00F026BE" w:rsidP="00F026BE">
      <w:pPr>
        <w:pStyle w:val="NormalHanging12a"/>
      </w:pPr>
      <w:r w:rsidRPr="00512250">
        <w:t>Β.</w:t>
      </w:r>
      <w:r w:rsidRPr="00512250">
        <w:tab/>
        <w:t>λαμβάνοντας υπόψη ότι το παρόν ψήφισμα περιλαμβάνει, για κάθε οργανισμό κατά την έννοια του άρθρου 70 του κανονισμού (ΕΕ, Ευρατόμ) 2024/2509, και για τον Οργανισμό Εφοδιασμού της Ευρατόμ τις οριζόντιες παρατηρήσεις που συνοδεύουν τις αποφάσεις απαλλαγής σύμφωνα με το άρθρο 268 του κανονισμού (ΕΕ</w:t>
      </w:r>
      <w:r w:rsidR="00422CC9">
        <w:t xml:space="preserve">, </w:t>
      </w:r>
      <w:proofErr w:type="spellStart"/>
      <w:r w:rsidR="00422CC9">
        <w:t>Ευρατόμ</w:t>
      </w:r>
      <w:proofErr w:type="spellEnd"/>
      <w:r w:rsidRPr="00512250">
        <w:t>) 2024/2509 και το άρθρο 3 του παραρτήματος V του Κανονισμού του Κοινοβουλίου·</w:t>
      </w:r>
    </w:p>
    <w:p w14:paraId="0D5E8A04" w14:textId="77777777" w:rsidR="00F026BE" w:rsidRPr="00512250" w:rsidRDefault="00F026BE" w:rsidP="00F026BE">
      <w:pPr>
        <w:pStyle w:val="NormalHanging12a"/>
      </w:pPr>
      <w:r w:rsidRPr="00512250">
        <w:t>Γ.</w:t>
      </w:r>
      <w:r w:rsidRPr="00512250">
        <w:tab/>
        <w:t>λαμβάνοντας υπόψη ότι οι αποκεντρωμένοι οργανισμοί της Ένωσης και ο Οργανισμός Εφοδιασμού της Ευρατόμ θα πρέπει να επικεντρώνονται σε αποστολές με σαφή ευρωπαϊκή προστιθέμενη αξία και ότι η οργάνωση των εν λόγω αποστολών θα πρέπει να βελτιστοποιηθεί ώστε να αποφεύγονται οι αλληλοεπικαλύψεις προς το βέλτιστο συμφέρον των φορολογουμένων της Ένωσης·</w:t>
      </w:r>
    </w:p>
    <w:p w14:paraId="7EE17FC9" w14:textId="77777777" w:rsidR="00F026BE" w:rsidRPr="00512250" w:rsidRDefault="00F026BE" w:rsidP="00F026BE">
      <w:pPr>
        <w:pStyle w:val="NormalHanging12a"/>
      </w:pPr>
      <w:r w:rsidRPr="00512250">
        <w:t>Δ.</w:t>
      </w:r>
      <w:r w:rsidRPr="00512250">
        <w:tab/>
        <w:t>λαμβάνοντας υπόψη ότι, στο πλαίσιο της διαδικασίας απαλλαγής, η αρμόδια για την απαλλαγή αρχή έχει ως στόχο να τονίσει την υψηλή σημασία της ενίσχυσης της δημοκρατικής νομιμότητας των θεσμικών οργάνων της Ένωσης· λαμβάνοντας υπόψη ότι αυτό συνεπάγεται την ενίσχυση της διαφάνειας και της λογοδοσίας, καθώς και την εφαρμογή της κατάρτισης του προϋπολογισμού βάσει επιδόσεων και τη διασφάλιση της χρηστής διαχείρισης των ανθρώπινων πόρων·</w:t>
      </w:r>
    </w:p>
    <w:p w14:paraId="2BF03509" w14:textId="77777777" w:rsidR="00F026BE" w:rsidRPr="00512250" w:rsidRDefault="00F026BE" w:rsidP="00F026BE">
      <w:pPr>
        <w:pStyle w:val="NormalHanging12a"/>
      </w:pPr>
      <w:r w:rsidRPr="00512250">
        <w:t>Ε.</w:t>
      </w:r>
      <w:r w:rsidRPr="00512250">
        <w:tab/>
        <w:t>λαμβάνοντας υπόψη ότι η δράση της Ένωσης στον τομέα του δημοσιονομικού ελέγχου βασίζεται σε δύο αρχές: αφενός, τη διασφάλιση της ορθής και διαφανούς εκτέλεσης του προϋπολογισμού της Ένωσης και, αφετέρου, την προστασία των οικονομικών συμφερόντων της Ένωσης και την καταπολέμηση της απάτης·</w:t>
      </w:r>
    </w:p>
    <w:p w14:paraId="392F6D37" w14:textId="77777777" w:rsidR="00F026BE" w:rsidRPr="00512250" w:rsidRDefault="00F026BE" w:rsidP="00F026BE">
      <w:pPr>
        <w:pStyle w:val="NormalHanging12a"/>
      </w:pPr>
      <w:r w:rsidRPr="00512250">
        <w:t>ΣΤ.</w:t>
      </w:r>
      <w:r w:rsidRPr="00512250">
        <w:tab/>
        <w:t>λαμβάνοντας υπόψη ότι το 2012 το Ευρωπαϊκό Κοινοβούλιο, το Συμβούλιο της Ευρωπαϊκής Ένωσης και η Ευρωπαϊκή Επιτροπή ενέκριναν «κοινή δήλωση»</w:t>
      </w:r>
      <w:r w:rsidRPr="00512250">
        <w:rPr>
          <w:vertAlign w:val="superscript"/>
        </w:rPr>
        <w:footnoteReference w:id="397"/>
      </w:r>
      <w:r w:rsidRPr="00512250">
        <w:t xml:space="preserve"> και ένα ολοκληρωμένο σύνολο κατευθυντήριων αρχών (μια «κοινή προσέγγιση» στο παράρτημά της) προκειμένου να καταστούν οι οργανισμοί πιο συνεκτικοί, αποτελεσματικοί και υπόλογοι· λαμβάνοντας υπόψη ότι η Επιτροπή δεσμεύτηκε να δώσει συνέχεια στην εν λόγω συμφωνία, κατά περίπτωση σε συνεργασία με τους οργανισμούς·</w:t>
      </w:r>
    </w:p>
    <w:p w14:paraId="6B7DB3BD" w14:textId="77777777" w:rsidR="00F026BE" w:rsidRPr="00512250" w:rsidRDefault="00F026BE" w:rsidP="00F026BE">
      <w:pPr>
        <w:pStyle w:val="NormalHanging12a"/>
      </w:pPr>
      <w:r w:rsidRPr="00512250">
        <w:t>Ζ.</w:t>
      </w:r>
      <w:r w:rsidRPr="00512250">
        <w:tab/>
        <w:t>λαμβάνοντας υπόψη ότι με την αναγνώριση του νομικά μη δεσμευτικού χαρακτήρα της κοινής δήλωσης και της κοινής προσέγγισης στο παράρτημά της, καθώς και με την επιφύλαξη της κατανομής τους στις νομοθετικές και ετήσιες διαδικασίες του προϋπολογισμού, τα θεσμικά όργανα θα λάβουν υπόψη την κοινή προσέγγιση στο πλαίσιο όλων των μελλοντικών τους αποφάσεων σχετικά με τους αποκεντρωμένους οργανισμούς της Ένωσης, μετά από ανάλυση κατά περίπτωση·</w:t>
      </w:r>
    </w:p>
    <w:p w14:paraId="506554EB" w14:textId="77777777" w:rsidR="00F026BE" w:rsidRPr="00512250" w:rsidRDefault="00F026BE" w:rsidP="00F026BE">
      <w:pPr>
        <w:pStyle w:val="NormalHanging12a"/>
      </w:pPr>
      <w:r w:rsidRPr="00512250">
        <w:lastRenderedPageBreak/>
        <w:t>H.</w:t>
      </w:r>
      <w:r w:rsidRPr="00512250">
        <w:tab/>
        <w:t>λαμβάνοντας υπόψη ότι, για το οικονομικό έτος 2024, το Ελεγκτικό Συνέδριο εξέδωσε γνώμες χωρίς επιφύλαξη για όλους σχεδόν τους οργανισμούς· λαμβάνοντας υπόψη ότι η διατήρηση υψηλών προτύπων χρηστής δημοσιονομικής διαχείρισης, αποτελεσματικών συστημάτων εσωτερικού ελέγχου και δημοσιονομικής πειθαρχίας παραμένει απαραίτητη για τη διασφάλιση της ορθής και διαφανούς χρήσης των κονδυλίων της Ένωσης και την ενίσχυση της εμπιστοσύνης των πολιτών στα θεσμικά όργανα της Ένωσης·</w:t>
      </w:r>
    </w:p>
    <w:p w14:paraId="5A778D91" w14:textId="5BC87F60" w:rsidR="00F026BE" w:rsidRPr="00512250" w:rsidRDefault="00CC1E67" w:rsidP="00F026BE">
      <w:pPr>
        <w:pStyle w:val="NormalHanging12a"/>
      </w:pPr>
      <w:r w:rsidRPr="00512250">
        <w:t>Θ</w:t>
      </w:r>
      <w:r w:rsidR="00F026BE" w:rsidRPr="00512250">
        <w:t>.</w:t>
      </w:r>
      <w:r w:rsidR="00F026BE" w:rsidRPr="00512250">
        <w:tab/>
        <w:t>λαμβάνοντας υπόψη ότι το πεδίο αρμοδιοτήτων των οργανισμών της Ένωσης έχει διευρυνθεί κατά τα τελευταία έτη· λαμβάνοντας υπόψη ότι απαιτούνται επαρκείς και προβλέψιμοι πόροι, σε συνδυασμό με ισχυρές δομές διακυβέρνησης και σαφείς μηχανισμούς λογοδοσίας, ώστε να είναι σε θέση να εκπληρώνουν αποτελεσματικά την εντολή τους και να διαφυλάσσουν την αξιοπιστία της Ένωσης·</w:t>
      </w:r>
    </w:p>
    <w:p w14:paraId="377ED77B" w14:textId="35CB6629" w:rsidR="00F026BE" w:rsidRPr="00512250" w:rsidRDefault="00CC1E67" w:rsidP="00F026BE">
      <w:pPr>
        <w:pStyle w:val="NormalHanging12a"/>
      </w:pPr>
      <w:r w:rsidRPr="00512250">
        <w:t>Ι</w:t>
      </w:r>
      <w:r w:rsidR="00F026BE" w:rsidRPr="00512250">
        <w:t>.</w:t>
      </w:r>
      <w:r w:rsidR="00F026BE" w:rsidRPr="00512250">
        <w:tab/>
        <w:t>λαμβάνοντας υπόψη ότι το περιστατικό κυβερνοασφάλειας που επηρέασε έναν από τους οργανισμούς το 2024 καταδεικνύει την ευπάθεια των οργάνων της Ένωσης που χειρίζονται ευαίσθητα δεδομένα· λαμβάνοντας υπόψη ότι η ενίσχυση της κυβερνοασφάλειας, του σχεδιασμού επιχειρησιακής συνέχειας και των συστημάτων εσωτερικού ελέγχου θα πρέπει να αντιμετωπίζεται ως οριζόντια προτεραιότητα σε όλους τους οργανισμούς·</w:t>
      </w:r>
    </w:p>
    <w:p w14:paraId="181D616D" w14:textId="77777777" w:rsidR="00F026BE" w:rsidRPr="00512250" w:rsidRDefault="00F026BE" w:rsidP="00F026BE">
      <w:pPr>
        <w:pStyle w:val="Normal12Hanging"/>
        <w:rPr>
          <w:b/>
          <w:i/>
          <w:szCs w:val="24"/>
        </w:rPr>
      </w:pPr>
      <w:r w:rsidRPr="00512250">
        <w:rPr>
          <w:b/>
          <w:i/>
        </w:rPr>
        <w:t>Γενικά</w:t>
      </w:r>
    </w:p>
    <w:p w14:paraId="3A2F60F9" w14:textId="104C0EE5" w:rsidR="00F026BE" w:rsidRPr="00512250" w:rsidRDefault="00512250" w:rsidP="00512250">
      <w:pPr>
        <w:pStyle w:val="NormalHanging12a"/>
        <w:ind w:left="570" w:hanging="570"/>
      </w:pPr>
      <w:r w:rsidRPr="00512250">
        <w:t>1.</w:t>
      </w:r>
      <w:r w:rsidRPr="00512250">
        <w:tab/>
      </w:r>
      <w:r w:rsidR="00F026BE" w:rsidRPr="00512250">
        <w:t>σημειώνει ότι υπάρχουν τρία είδη οργανισμών της ΕΕ: αποκεντρωμένοι οργανισμοί, εκτελεστικοί οργανισμοί και λοιπά όργανα· υπενθυμίζει ότι το παρόν ψήφισμα καλύπτει 31 από τους 33 αποκεντρωμένους οργανισμούς και δύο από τα τέσσερα λοιπά όργανα [το Ευρωπαϊκό Ινστιτούτο Καινοτομίας και Τεχνολογίας (ΕΙΤ) και τον Οργανισμό Εφοδιασμού της Ευρατόμ (ESA)]·</w:t>
      </w:r>
    </w:p>
    <w:p w14:paraId="46A80A25" w14:textId="6F28EE54" w:rsidR="00F026BE" w:rsidRPr="00512250" w:rsidRDefault="00512250" w:rsidP="00512250">
      <w:pPr>
        <w:pStyle w:val="NormalHanging12a"/>
        <w:ind w:left="570" w:hanging="570"/>
      </w:pPr>
      <w:r w:rsidRPr="00512250">
        <w:t>2.</w:t>
      </w:r>
      <w:r w:rsidRPr="00512250">
        <w:tab/>
      </w:r>
      <w:r w:rsidR="00F026BE" w:rsidRPr="00512250">
        <w:t>επισημαίνει ότι, ενώ η σύσταση ή η επέκταση των οργανισμών της ΕΕ αποσκοπεί στην ενίσχυση των ικανοτήτων της Ένωσης, είναι σημαντικό να διασφαλιστεί ότι η διαδικασία αυτή καθοδηγείται από ενδελεχείς αξιολογήσεις και εμπεριστατωμένες αναλύσεις, εκτιμήσεις επιπτώσεων και αποδεδειγμένη προστιθέμενη αξία, προκειμένου να αντληθούν διδάγματα και να εξεταστεί το ενδεχόμενο τερματισμού της εντολής τους, εάν χρειαστεί· επισημαίνει ότι η προσέγγιση αυτή όχι μόνο θα διασφαλίσει τη βελτίωση της νομοθεσίας, αλλά θα ενισχύσει επίσης την αποτελεσματικότητα, τη λογοδοσία, τη διαφάνεια και τη συνοχή του θεσμικού τοπίου της Ένωσης· υπογραμμίζει ότι οποιαδήποτε εξέταση συγχωνεύσεων, ενοποίησης ή τερματισμού των εντολών των οργανισμών πρέπει να βασίζεται σε ολοκληρωμένη αξιολόγηση συμπληρώνοντας έτσι δημοσιονομικά ζητήματα ή ζητήματα αποδοτικότητας·</w:t>
      </w:r>
    </w:p>
    <w:p w14:paraId="379A178A" w14:textId="0DEA436A" w:rsidR="00F026BE" w:rsidRPr="00512250" w:rsidRDefault="00512250" w:rsidP="00512250">
      <w:pPr>
        <w:pStyle w:val="NormalHanging12a"/>
        <w:ind w:left="570" w:hanging="570"/>
      </w:pPr>
      <w:r w:rsidRPr="00512250">
        <w:t>3.</w:t>
      </w:r>
      <w:r w:rsidRPr="00512250">
        <w:tab/>
      </w:r>
      <w:r w:rsidR="00F026BE" w:rsidRPr="00512250">
        <w:t>εκφράζει την ανησυχία του για την αυξανόμενη δανειακή επιβάρυνση της ΕΕ· σημειώνει ότι, σύμφωνα με την ετήσια έκθεση του Ευρωπαϊκού Ελεγκτικού Συνεδρίου (το Ελεγκτικό Συνέδριο), τα ανεξόφλητα δάνεια που δανείστηκε η ΕΕ θα μπορούσαν να υπερβούν τα 900 δισεκατομμύρια EUR έως το 2027, ποσό σχεδόν δεκαπλάσιο από το επίπεδο του 2020· προειδοποιεί ότι το αυξανόμενο κόστος δανεισμού θέτει σε κίνδυνο τους μελλοντικούς προϋπολογισμούς και μειώνει τα δημοσιονομικά περιθώρια για νέες προτεραιότητες·</w:t>
      </w:r>
    </w:p>
    <w:p w14:paraId="2D85EAC4" w14:textId="23299949" w:rsidR="00F026BE" w:rsidRPr="00512250" w:rsidRDefault="00512250" w:rsidP="00512250">
      <w:pPr>
        <w:spacing w:after="240"/>
        <w:ind w:left="570" w:hanging="570"/>
      </w:pPr>
      <w:r w:rsidRPr="00512250">
        <w:t>4.</w:t>
      </w:r>
      <w:r w:rsidRPr="00512250">
        <w:tab/>
      </w:r>
      <w:r w:rsidR="00F026BE" w:rsidRPr="00512250">
        <w:t xml:space="preserve">τονίζει ότι η διαφάνεια δεν αποτελεί μόνο υποχρέωση συμμόρφωσης, αλλά και προϋπόθεση για την εμπιστοσύνη του κοινού στους οργανισμούς που ασκούν </w:t>
      </w:r>
      <w:r w:rsidR="00F026BE" w:rsidRPr="00512250">
        <w:lastRenderedPageBreak/>
        <w:t>σημαντικές ρυθμιστικές ή επιχειρησιακές εξουσίες· καλεί τους οργανισμούς να δημοσιεύουν προορατικά βασικά έγγραφα μη εμπιστευτικού περιεχομένου εγκαίρως και με εύχρηστο τρόπο, τηρώντας παράλληλα την αρχή της αναλογικότητας, τη νομοθεσία για την προστασία των δεδομένων, λαμβάνοντας υπόψη ζητήματα ασφάλειας, νομικά, στρατηγικά και άλλα σχετικά ζητήματα και τηρώντας τον κανονισμό και την εντολή του αντίστοιχου οργανισμού·</w:t>
      </w:r>
    </w:p>
    <w:p w14:paraId="058C2EAF" w14:textId="1401AE01" w:rsidR="00F026BE" w:rsidRPr="00512250" w:rsidRDefault="00512250" w:rsidP="00512250">
      <w:pPr>
        <w:pStyle w:val="NormalHanging12a"/>
        <w:ind w:left="570" w:hanging="570"/>
      </w:pPr>
      <w:r w:rsidRPr="00512250">
        <w:t>5.</w:t>
      </w:r>
      <w:r w:rsidRPr="00512250">
        <w:tab/>
      </w:r>
      <w:r w:rsidR="00F026BE" w:rsidRPr="00512250">
        <w:t>υπενθυμίζει ότι το σημείο 60 της κοινής προσέγγισης ορίζει ότι κάθε οργανισμός θα πρέπει να αξιολογείται ανά πενταετία· παροτρύνει την Επιτροπή να διερευνήσει περαιτέρω συνέργειες και ενοποίηση των δραστηριοτήτων, καθώς και πιθανή συγχώνευση οργανισμών με συμπληρωματικές δραστηριότητες, προκειμένου να διασφαλιστεί η σχέση κόστους-αποτελεσματικότητας και να εξορθολογιστούν οι λειτουργίες των οργανισμών, συμπεριλαμβανομένων πιθανών αναθεωρήσεων της εντολής όπου υπάρχουν ανεπάρκειες ή απολύσεις· επιμένει ότι, σύμφωνα με τις αρχές της αναλογικότητας, της αποδοτικότητας και της δημοσιονομικής ευθύνης, πρέπει, περιοδικά, να αξιολογούνται οι επιδόσεις όλων των οργανισμών της ΕΕ· ενθαρρύνει, όπου είναι αναγκαίο, την εφαρμογή της ρήτρας λήξης ισχύος/επανεξέτασης για τη διατήρηση της αποδοτικότητας και τη διασφάλιση της βέλτιστης χρήσης των πόρων· πιστεύει ότι η δημοσιονομική αποτελεσματικότητα είναι καίριας σημασίας για τη λειτουργία των οργανισμών· υπενθυμίζει, στο πλαίσιο αυτό, τη σύσταση του Ελεγκτικού Συνεδρίου στην ειδική έκθεση αριθ. 22/20202, η οποία συνιστά στην Επιτροπή να αυξήσει τη χρήση των οριζόντιων αξιολογήσεων των οργανισμών στο πλαίσιο των ελέγχων καταλληλότητας των διαφόρων τομέων πολιτικής· σημειώνει ότι, σύμφωνα με την ειδική έκθεση αριθ. 22/2020 του Ελεγκτικού Συνεδρίου, η μετρήσιμη συμβολή των οργανισμών στην επίτευξη των στόχων πολιτικής της Ένωσης δεν καταδεικνύεται πάντοτε με σαφήνεια· υπογραμμίζει ότι οι 33 αποκεντρωμένοι οργανισμοί διαχειρίζονται πάνω από 4</w:t>
      </w:r>
      <w:r w:rsidR="00CC1E67" w:rsidRPr="00512250">
        <w:t>,</w:t>
      </w:r>
      <w:r w:rsidR="00F026BE" w:rsidRPr="00512250">
        <w:t>1 δισεκατομμύρια EUR και ότι, πέραν των ελέγχων συμμόρφωσης, το Κοινοβούλιο θα μπορούσε να εξετάσει περαιτέρω τον τρόπο αξιολόγησης του αντικτύπου τους· ενθαρρύνει την υποβολή εκθέσεων σχετικά με ένα περιορισμένο σύνολο δεικτών αποτελεσμάτων και αντικτύπου και καλεί το δίκτυο των Οργανισμών της ΕΕ, σε συνεργασία με το Ελεγκτικό Συνέδριο, να διερευνήσει και, κατά περίπτωση, να αναπτύξει ένα κοινό πλαίσιο επιδόσεων για την υποβολή στην αρμόδια για την απαλλαγή αρχή·</w:t>
      </w:r>
    </w:p>
    <w:p w14:paraId="6DE79C01" w14:textId="77019D6F" w:rsidR="00F026BE" w:rsidRPr="00512250" w:rsidRDefault="00512250" w:rsidP="00512250">
      <w:pPr>
        <w:pStyle w:val="NormalHanging12a"/>
        <w:ind w:left="570" w:hanging="570"/>
      </w:pPr>
      <w:r w:rsidRPr="00512250">
        <w:t>6.</w:t>
      </w:r>
      <w:r w:rsidRPr="00512250">
        <w:tab/>
      </w:r>
      <w:r w:rsidR="00F026BE" w:rsidRPr="00512250">
        <w:t>τονίζει ότι ο σεβασμός των θεμελιωδών δικαιωμάτων και του κράτους δικαίου αποτελεί προϋπόθεση για καλές επιδόσεις και χρηστή δημοσιονομική διαχείριση· θεωρεί ότι μόνο οι οργανισμοί που συμμορφώνονται πλήρως με τις υποχρεώσεις στον τομέα των θεμελιωδών δικαιωμάτων μπορούν να θεωρηθούν ότι λειτουργούν ικανοποιητικά, ανεξάρτητα από τα ποσοστά εκτέλεσης του προϋπολογισμού·</w:t>
      </w:r>
    </w:p>
    <w:p w14:paraId="6958C78D" w14:textId="53D6EAFC" w:rsidR="00F026BE" w:rsidRPr="00512250" w:rsidRDefault="00512250" w:rsidP="00512250">
      <w:pPr>
        <w:pStyle w:val="NormalHanging12a"/>
        <w:ind w:left="570" w:hanging="570"/>
      </w:pPr>
      <w:r w:rsidRPr="00512250">
        <w:t>7.</w:t>
      </w:r>
      <w:r w:rsidRPr="00512250">
        <w:tab/>
      </w:r>
      <w:r w:rsidR="00F026BE" w:rsidRPr="00512250">
        <w:t>καλεί όλους τους οργανισμούς να συνεχίσουν να συμμορφώνονται με τα θεμελιώδη δικαιώματα και την προστασία των δεδομένων στις αντίστοιχες δραστηριότητές τους·</w:t>
      </w:r>
    </w:p>
    <w:p w14:paraId="0DEC495D" w14:textId="72D7975E" w:rsidR="00F026BE" w:rsidRPr="00512250" w:rsidRDefault="00512250" w:rsidP="00512250">
      <w:pPr>
        <w:pStyle w:val="NormalHanging12a"/>
        <w:ind w:left="570" w:hanging="570"/>
      </w:pPr>
      <w:r w:rsidRPr="00512250">
        <w:t>8.</w:t>
      </w:r>
      <w:r w:rsidRPr="00512250">
        <w:tab/>
      </w:r>
      <w:r w:rsidR="00F026BE" w:rsidRPr="00512250">
        <w:t xml:space="preserve">τονίζει τη σημασία της διαδικασίας απαλλαγής, η οποία δεν αποτελεί μόνο υποχρέωση που βασίζεται στις Συνθήκες, αλλά προωθεί επίσης τη διαφάνεια, τη λογοδοσία και τον ανοικτό διάλογο για τα οικονομικά της Ένωσης· θεωρεί ότι η πρακτική της χορήγησης απαλλαγής μέσω ρυθμίσεων διακυβέρνησης που θεσπίζονται στις ιδρυτικές πράξεις οργανισμών όπως το Γραφείο Διανοητικής Ιδιοκτησίας της Ευρωπαϊκής Ένωσης (EUIPO), το Κοινοτικό Γραφείο Φυτικών Ποικιλιών (ΚΓΦΠ) και το Ενιαίο Συμβούλιο Εξυγίανσης (SRB), αντικατοπτρίζει τα συγκεκριμένα νομικά και οικονομικά τους πλαίσια και διασφαλίζει την κατάλληλη αξιολόγηση και έλεγχο, ενώ υποστηρίζει τη </w:t>
      </w:r>
      <w:r w:rsidR="00F026BE" w:rsidRPr="00512250">
        <w:lastRenderedPageBreak/>
        <w:t>διαφάνεια και τη δημόσια λογοδοσία· υπενθυμίζει την κοινή προσέγγιση για τους πλήρως αυτοχρηματοδοτούμενους οργανισμούς (παράγραφος 58), η οποία ζητεί να εξεταστούν μηχανισμοί δημοκρατικής λογοδοσίας που περιλαμβάνουν την υποβολή ετήσιων εκθέσεων στο Κοινοβούλιο, το Συμβούλιο και την Επιτροπή και τη συνεκτίμηση των συστάσεών τους, προκειμένου να διασφαλιστεί ο δημόσιος έλεγχος των οργανισμών που εφαρμόζουν τις πολιτικές της Ένωσης χωρίς προσφυγή σε κονδύλια από τον γενικό προϋπολογισμό της Ένωσης· θεωρεί, ωστόσο, ότι θα ήταν επιθυμητό οι πλήρως αυτοχρηματοδοτούμενοι οργανισμοί να αποτελέσουν μέρος της διαδικασίας απαλλαγής για τους οργανισμούς που τελούν υπό την ευθύνη της Επιτροπής Ελέγχου του Προϋπολογισμού, ή τουλάχιστον να υπόκεινται σε ενισχυμένες υποχρεώσεις υποβολής εκθέσεων ενώπιον της Επιτροπής Ελέγχου του Προϋπολογισμού·</w:t>
      </w:r>
    </w:p>
    <w:p w14:paraId="3CC71FCB" w14:textId="031C6191" w:rsidR="00F026BE" w:rsidRPr="00512250" w:rsidRDefault="00512250" w:rsidP="00512250">
      <w:pPr>
        <w:pStyle w:val="NormalHanging12a"/>
        <w:ind w:left="570" w:hanging="570"/>
      </w:pPr>
      <w:r w:rsidRPr="00512250">
        <w:t>9.</w:t>
      </w:r>
      <w:r w:rsidRPr="00512250">
        <w:tab/>
      </w:r>
      <w:r w:rsidR="00F026BE" w:rsidRPr="00512250">
        <w:t>σημειώνει με ανησυχία ότι, με την πάροδο των ετών, έχει ανατεθεί στους αποκεντρωμένους οργανισμούς της Ένωσης αυξανόμενος αριθμός καθηκόντων μέσω αναθεωρημένων κανονισμών, νέας νομοθεσίας ή συμφωνιών επιπέδου υπηρεσιών και ανάθεσης αρμοδιοτήτων με την Επιτροπή, συχνά χωρίς αντίστοιχους διαρθρωτικούς πόρους ή μόνιμες θέσεις· επισημαίνει ότι αυτό το επαναλαμβανόμενο μοτίβο δημιουργεί επιχειρησιακή πίεση, η οποία με τη σειρά της θα μπορούσε να συμβάλει σε αδυναμίες δημοσιονομικής διαχείρισης και σε αυξανόμενη διαρθρωτική εξάρτηση από εξωτερικούς αναδόχους, ιδίως στον τομέα των τεχνολογιών των πληροφοριών και των επικοινωνιών (ΤΠΕ), της κυβερνοασφάλειας και άλλων λειτουργιών επιχειρησιακής διευκόλυνσης· προειδοποιεί ότι αυτή η μακροπρόθεσμη εξάρτηση μπορεί να υπονομεύσει τη θεσμική ικανότητα, τη συνέχεια και τη διατήρηση της γνώσης, αποδυναμώνοντας παράλληλα την ψηφιακή κυριαρχία της Ένωσης και την προσωπική ακεραιότητα των πολιτών· ζητεί, ως εκ τούτου, την τακτική αξιολόγηση αυτής της μακροπρόθεσμης εξάρτησης και τη μείωση της διαρθρωτικής εξάρτησης από εξωτερικούς συμβούλους, ιδίως όσον αφορά τις βασικές λειτουργίες· τονίζει ότι η υπερβολική εξωτερική ανάθεση υπονομεύει τη θεσμική μνήμη, τη λογοδοσία και την οικονομική αποδοτικότητα· καλεί την Επιτροπή να διασφαλίσει ότι οι οργανισμοί είναι επαρκώς στελεχωμένοι προκειμένου, κατά περίπτωση, να εκτελούν τις εντολές τους εσωτερικά·</w:t>
      </w:r>
    </w:p>
    <w:p w14:paraId="3E1B92A0" w14:textId="793BB85B" w:rsidR="00F026BE" w:rsidRPr="00512250" w:rsidRDefault="00512250" w:rsidP="00512250">
      <w:pPr>
        <w:pStyle w:val="NormalHanging12a"/>
        <w:ind w:left="570" w:hanging="570"/>
      </w:pPr>
      <w:r w:rsidRPr="00512250">
        <w:t>10.</w:t>
      </w:r>
      <w:r w:rsidRPr="00512250">
        <w:tab/>
      </w:r>
      <w:r w:rsidR="00F026BE" w:rsidRPr="00512250">
        <w:t>σημειώνει ότι οι ελλείψεις στον τομέα του κράτους δικαίου σε ορισμένα κράτη μέλη, συμπεριλαμβανομένης της αποδυνάμωσης της ανεξαρτησίας της δικαιοσύνης και της ικανότητας δίωξης, μπορούν να υπονομεύσουν τα πλαίσια συνεργασίας, την αξιοπιστία των δεδομένων και την επιχειρησιακή ακεραιότητα των οργανισμών· καλεί την Επιτροπή να αξιολογήσει και να αντιμετωπίσει αυτούς τους κινδύνους·</w:t>
      </w:r>
    </w:p>
    <w:p w14:paraId="42D4E2D6" w14:textId="26828BD9" w:rsidR="00F026BE" w:rsidRPr="00512250" w:rsidRDefault="00512250" w:rsidP="00512250">
      <w:pPr>
        <w:pStyle w:val="NormalHanging12a"/>
        <w:ind w:left="570" w:hanging="570"/>
      </w:pPr>
      <w:r w:rsidRPr="00512250">
        <w:t>11.</w:t>
      </w:r>
      <w:r w:rsidRPr="00512250">
        <w:tab/>
      </w:r>
      <w:r w:rsidR="00F026BE" w:rsidRPr="00512250">
        <w:t xml:space="preserve">τονίζει ότι η διαφάνεια, οι αυστηροί έλεγχοι σύγκρουσης συμφερόντων και οι σαφείς κανόνες που διέπουν τις αλληλεπιδράσεις με τα ενδιαφερόμενα μέρη αποτελούν βασικές διασφαλίσεις για την ανεξαρτησία, τη θεσμική αξιοπιστία, και τη λογοδοσία των αποκεντρωμένων οργανισμών της Ένωσης, καθώς και την εμπιστοσύνη του κοινού στην ισχυρή και εύρωστη λειτουργία τους· υπογραμμίζει ότι πολλοί οργανισμοί δραστηριοποιούνται σε τομείς όπου είναι αναγκαία η στενή συνεργασία με τη βιομηχανία, τις συμβουλευτικές εταιρείες, τους τεχνικούς εμπειρογνώμονες, τις μη κυβερνητικές οργανώσεις (ΜΚΟ) ή τους εξωτερικούς εταίρους, αλλά όπου εξακολουθούν να υπάρχουν κίνδυνοι αθέμιτης επιρροής, μη ισορροπημένων διαβουλεύσεων ή έλλειψης διαφάνειας· επισημαίνει ότι οι διαφανείς διαδικασίες, η δημοσιοποίηση συνεδριάσεων, η ισορροπημένη και διαφανής επιλογή εμπειρογνωμόνων και ο συνεχής έλεγχος σύγκρουσης συμφερόντων είναι απαραίτητα </w:t>
      </w:r>
      <w:r w:rsidR="00F026BE" w:rsidRPr="00512250">
        <w:lastRenderedPageBreak/>
        <w:t>στοιχεία για να διασφαλιστεί ότι οι αποφάσεις των οργανισμών βασίζονται αποκλειστικά σε αντικειμενικά στοιχεία και στο γενικό συμφέρον της Ένωσης· παροτρύνει όλους τους οργανισμούς να θεσπίσουν και να επιβάλουν τέτοια μέτρα, ζητεί διαφανείς διασφαλίσεις, συμπεριλαμβανομένων σαφών και επαρκών περιόδων αναμονής, προορατικής παρακολούθησης και διαφάνειας στις αλληλεπιδράσεις των ενδιαφερόμενων μερών· συνιστά την τακτική ανεξάρτητη επανεξέταση των πλαισίων σύγκρουσης συμφερόντων, με σεβασμό της αρχής της αναλογικότητας, και καλεί την Επιτροπή και το δίκτυο των οργανισμών της ΕΕ να προωθήσουν τη μάθηση από ομοτίμους για την ενίσχυση των προτύπων διακυβέρνησης και διαφάνειας·</w:t>
      </w:r>
    </w:p>
    <w:p w14:paraId="1907B2AB" w14:textId="3D55FAC7" w:rsidR="00FC7C15" w:rsidRPr="00512250" w:rsidRDefault="00512250" w:rsidP="00512250">
      <w:pPr>
        <w:pStyle w:val="NormalHanging12a"/>
        <w:ind w:left="570" w:hanging="570"/>
        <w:rPr>
          <w:bCs/>
          <w:iCs/>
        </w:rPr>
      </w:pPr>
      <w:r w:rsidRPr="00512250">
        <w:rPr>
          <w:bCs/>
          <w:iCs/>
        </w:rPr>
        <w:t>12.</w:t>
      </w:r>
      <w:r w:rsidRPr="00512250">
        <w:rPr>
          <w:bCs/>
          <w:iCs/>
        </w:rPr>
        <w:tab/>
      </w:r>
      <w:r w:rsidR="00FC7C15" w:rsidRPr="00512250">
        <w:rPr>
          <w:bCs/>
          <w:iCs/>
        </w:rPr>
        <w:t xml:space="preserve">καλεί την </w:t>
      </w:r>
      <w:r w:rsidR="00FC7C15" w:rsidRPr="00512250">
        <w:t>Επιτροπή</w:t>
      </w:r>
      <w:r w:rsidR="00FC7C15" w:rsidRPr="00512250">
        <w:rPr>
          <w:bCs/>
          <w:iCs/>
        </w:rPr>
        <w:t xml:space="preserve"> να ενισχύσει σημαντικά τη διαφάνεια της διαδικασίας αξιολόγησης των εμπειρογνωμόνων και να εξετάσει κατάλληλους μηχανισμούς που αποσκοπούν στην ενίσχυση της λογοδοσίας των εμπειρογνωμόνων, με πλήρη σεβασμό της ανεξαρτησίας τους·</w:t>
      </w:r>
    </w:p>
    <w:p w14:paraId="7C0EF5FE" w14:textId="50328646" w:rsidR="00F026BE" w:rsidRPr="00512250" w:rsidRDefault="00512250" w:rsidP="00512250">
      <w:pPr>
        <w:pStyle w:val="NormalHanging12a"/>
        <w:ind w:left="570" w:hanging="570"/>
      </w:pPr>
      <w:r w:rsidRPr="00512250">
        <w:t>13.</w:t>
      </w:r>
      <w:r w:rsidRPr="00512250">
        <w:tab/>
      </w:r>
      <w:r w:rsidR="00F026BE" w:rsidRPr="00512250">
        <w:t xml:space="preserve">αναγνωρίζει ότι η έκθεση των αποκεντρωμένων οργανισμών σε κινδύνους άσκησης πίεσης ή επιρροής από ομάδες συμφερόντων ποικίλλει ανάλογα με την εντολή και το επιχειρησιακό τους πλαίσιο· σημειώνει ότι οι πρακτικές διαφάνειας διαφέρουν μεταξύ των οργανισμών· σημειώνει, για παράδειγμα, ότι ο </w:t>
      </w:r>
      <w:proofErr w:type="spellStart"/>
      <w:r w:rsidR="00F026BE" w:rsidRPr="00512250">
        <w:t>eu</w:t>
      </w:r>
      <w:proofErr w:type="spellEnd"/>
      <w:r w:rsidR="00F026BE" w:rsidRPr="00512250">
        <w:t>-LISA διατηρεί ειδικό μητρώο διαφάνειας στην ιστοσελίδα του, το οποίο καλύπτει όλες τις συνεδριάσεις των ανώτερων διοικητικών στελεχών του με οικονομικούς φορείς, ο Ευρωπαϊκός Οργανισμός Συνοριοφυλακής και Ακτοφυλακής (</w:t>
      </w:r>
      <w:proofErr w:type="spellStart"/>
      <w:r w:rsidR="00F026BE" w:rsidRPr="00512250">
        <w:t>Frontex</w:t>
      </w:r>
      <w:proofErr w:type="spellEnd"/>
      <w:r w:rsidR="00F026BE" w:rsidRPr="00512250">
        <w:t xml:space="preserve">) διατηρεί μητρώο στον </w:t>
      </w:r>
      <w:proofErr w:type="spellStart"/>
      <w:r w:rsidR="00F026BE" w:rsidRPr="00512250">
        <w:t>ιστότοπό</w:t>
      </w:r>
      <w:proofErr w:type="spellEnd"/>
      <w:r w:rsidR="00F026BE" w:rsidRPr="00512250">
        <w:t xml:space="preserve"> του με πληροφορίες σχετικά με συνεδριάσεις που συνδέονται συγκεκριμένα με τις δημόσιες συμβάσεις και ο ECHA δημοσιεύει πληροφορίες σχετικά με τις συνεδριάσεις που πραγματοποιούνται από ανώτερα διοικητικά στελέχη με εξωτερικές οργανώσεις ενδιαφερόμενων μερών· είναι της άποψης ότι, ενώ ένα ενιαίο μοντέλο δεν θα ήταν ούτε αναλογικό ούτε λειτουργικά ουσιαστικό, η θέσπιση κοινών ελάχιστων προτύπων θα ενίσχυε τη συνοχή και τη λογοδοσία· σημειώνει τις απαντήσεις που έδωσαν οι οργανισμοί κατά τον προηγούμενο κύκλο απαλλαγής, συμπεριλαμβανομένης της διαφορετικής χρήσης του Μητρώου Διαφάνειας και του γεγονότος ότι αρκετοί οργανισμοί έχουν ήδη θεσπίσει εσωτερικά μητρώα διαφάνειας ή συστήματα σύγκρουσης συμφερόντων προσαρμοσμένα στις εντολές τους· καλεί τους οργανισμούς να εγκρίνουν ελάχιστα πρότυπα, όπως η αρχή του ελέγχου από δεύτερο πρόσωπο, έναν σαφή κώδικα δεοντολογίας, συμπεριλαμβανομένων σαφών κανόνων για την αποφυγή σύγκρουσης συμφερόντων, και η εφαρμογή ειδικών εσωτερικών μητρώων διαφάνειας με σαφή πρότυπα σύμφωνα με τις εντολές τους και τους ισχύοντες κανόνες για την προστασία των δεδομένων· επισημαίνει ότι ελεγκτές θα πρέπει να έχουν πρόσβαση στα εν λόγω μητρώα διαφάνειας κατά περίπτωση· θεωρεί ότι η εφαρμογή τους θα πρέπει να είναι σταδιακή και να αξιοποιεί τις νέες ψηφιακές δυνατότητες, προκειμένου να αποφευχθεί η δημιουργία περιττού ή/και πρόσθετου διοικητικού φόρτου για τους οργανισμούς·</w:t>
      </w:r>
    </w:p>
    <w:p w14:paraId="650011B3" w14:textId="2B64AC4B" w:rsidR="00F026BE" w:rsidRPr="00512250" w:rsidRDefault="00512250" w:rsidP="00512250">
      <w:pPr>
        <w:pStyle w:val="NormalHanging12a"/>
        <w:ind w:left="570" w:hanging="570"/>
      </w:pPr>
      <w:r w:rsidRPr="00512250">
        <w:t>14.</w:t>
      </w:r>
      <w:r w:rsidRPr="00512250">
        <w:tab/>
      </w:r>
      <w:r w:rsidR="00F026BE" w:rsidRPr="00512250">
        <w:t xml:space="preserve">σημειώνει ότι, το 2024, οι 33 αποκεντρωμένοι οργανισμοί ανέφεραν ότι απασχολούσαν συνολικά 11 491 υπαλλήλους (σε σύγκριση με 10 580 το 2023), συμπεριλαμβανομένων μόνιμων, έκτακτων και συμβασιούχων υπαλλήλων, καθώς και αποσπασμένων εθνικών εμπειρογνωμόνων, αριθμός που συνιστά αύξηση κατά 8,61 % σε σύγκριση με το 2023· σημειώνει ότι, ενώ η ισόρροπη εκπροσώπηση των φύλων στους αποκεντρωμένους οργανισμούς της Ένωσης βελτιώνεται, εξακολουθούν να υπάρχουν σημαντικές ανισότητες· επισημαίνει ότι ορισμένοι οργανισμοί, όπως ο ACER, ο EASA, ο EIGE, ο </w:t>
      </w:r>
      <w:proofErr w:type="spellStart"/>
      <w:r w:rsidR="00F026BE" w:rsidRPr="00512250">
        <w:t>eu</w:t>
      </w:r>
      <w:proofErr w:type="spellEnd"/>
      <w:r w:rsidR="00F026BE" w:rsidRPr="00512250">
        <w:noBreakHyphen/>
        <w:t xml:space="preserve">LISA και η </w:t>
      </w:r>
      <w:proofErr w:type="spellStart"/>
      <w:r w:rsidR="00F026BE" w:rsidRPr="00512250">
        <w:t>Ευρωπόλ</w:t>
      </w:r>
      <w:proofErr w:type="spellEnd"/>
      <w:r w:rsidR="00F026BE" w:rsidRPr="00512250">
        <w:t xml:space="preserve">, έχουν περισσότερους υπαλλήλους άνδρες, ενώ οργανισμοί όπως το </w:t>
      </w:r>
      <w:proofErr w:type="spellStart"/>
      <w:r w:rsidR="00F026BE" w:rsidRPr="00512250">
        <w:t>CdT</w:t>
      </w:r>
      <w:proofErr w:type="spellEnd"/>
      <w:r w:rsidR="00F026BE" w:rsidRPr="00512250">
        <w:t xml:space="preserve">, η EFSA, ο EMA, το ETF και η </w:t>
      </w:r>
      <w:proofErr w:type="spellStart"/>
      <w:r w:rsidR="00F026BE" w:rsidRPr="00512250">
        <w:t>Eurojust</w:t>
      </w:r>
      <w:proofErr w:type="spellEnd"/>
      <w:r w:rsidR="00F026BE" w:rsidRPr="00512250">
        <w:t xml:space="preserve"> έχουν περισσότερες υπαλλήλους </w:t>
      </w:r>
      <w:r w:rsidR="00F026BE" w:rsidRPr="00512250">
        <w:lastRenderedPageBreak/>
        <w:t>γυναίκες· σημειώνει ότι το φαινόμενο αυτό συχνά παρατηρείται σε συγκεκριμένους τομείς· καλεί τους οργανισμούς να εγκρίνουν διορθωτικές στρατηγικές, συμπεριλαμβανομένων διαφανών διαδικασιών προαγωγής και στοχευμένης ανάπτυξης ηγετικών ικανοτήτων· υπενθυμίζει ότι η δέσμευση της Ένωσης για την προώθηση της ισότητας των φύλων σε διευθυντικές θέσεις δεν έχει ακόμη υλοποιηθεί πλήρως· τονίζει ότι θα πρέπει να ενταθούν οι προσπάθειες της Επιτροπής για το συγκεκριμένο ζήτημα· υπενθυμίζει ότι ο κανονισμός (ΕΟΚ, Ευρατόμ, ΕΚΑΧ) αριθ. 259/68 (κανονισμός υπηρεσιακής κατάστασης</w:t>
      </w:r>
      <w:r w:rsidR="00F026BE" w:rsidRPr="00512250">
        <w:rPr>
          <w:vertAlign w:val="superscript"/>
        </w:rPr>
        <w:t>3</w:t>
      </w:r>
      <w:r w:rsidR="00F026BE" w:rsidRPr="00512250">
        <w:t>) ορίζει ότι οι προσλήψεις θα πρέπει να βασίζονται σε αντικειμενικά, διαφανή και αξιοκρατικά κριτήρια, ενώ θα πρέπει επίσης να γίνονται προσπάθειες για την ευρύτερη δυνατή γεωγραφική ισορροπία μεταξύ των κρατών μελών· σημειώνει ότι παρατηρείται μία φυσική τάση να προσλαμβάνεται μεγαλύτερο ποσοστό προσωπικού που προέρχεται από το κράτος μέλος στο οποίο βρίσκεται ο εκάστοτε Οργανισμός· υπενθυμίζει ότι οι οργανισμοί που βρίσκονται σε χώρες με σχετικά χαμηλό διορθωτικό συντελεστή αντιμετωπίζουν συνεχείς προκλήσεις όσον αφορά την προσέλκυση ειδικευμένου και γεωγραφικά διαφοροποιημένου προσωπικού· ενθαρρύνει τους οργανισμούς να προωθήσουν την ισόρροπη εκπροσώπηση των φύλων στις στρατηγικές ανθρώπινων πόρων και στις επιτροπές επιλογής διοικητικών στελεχών· καλεί την Επιτροπή και το δίκτυο των Οργανισμών της ΕΕ να παρέχουν κοινές βέλτιστες πρακτικές και εργαλεία συγκριτικής αξιολόγησης για τη στήριξη της ισόρροπης εκπροσώπησης των φύλων σε ηγετικές θέσεις·</w:t>
      </w:r>
    </w:p>
    <w:p w14:paraId="4EB3E6C1" w14:textId="04863324" w:rsidR="00F026BE" w:rsidRPr="00512250" w:rsidRDefault="00512250" w:rsidP="00512250">
      <w:pPr>
        <w:pStyle w:val="NormalHanging12a"/>
        <w:ind w:left="570" w:hanging="570"/>
      </w:pPr>
      <w:r w:rsidRPr="00512250">
        <w:t>15.</w:t>
      </w:r>
      <w:r w:rsidRPr="00512250">
        <w:tab/>
      </w:r>
      <w:r w:rsidR="00F026BE" w:rsidRPr="00512250">
        <w:t xml:space="preserve">σημειώνει ότι, το 2024, το ποσοστό εναλλαγής προσωπικού υπερέβαινε το 5 % σε 16 από τους 33 οργανισμούς (συγκεκριμένα η Υπηρεσία του BEREC, το </w:t>
      </w:r>
      <w:proofErr w:type="spellStart"/>
      <w:r w:rsidR="00F026BE" w:rsidRPr="00512250">
        <w:t>CdT</w:t>
      </w:r>
      <w:proofErr w:type="spellEnd"/>
      <w:r w:rsidR="00F026BE" w:rsidRPr="00512250">
        <w:t xml:space="preserve">, το </w:t>
      </w:r>
      <w:proofErr w:type="spellStart"/>
      <w:r w:rsidR="00F026BE" w:rsidRPr="00512250">
        <w:t>Cedefop</w:t>
      </w:r>
      <w:proofErr w:type="spellEnd"/>
      <w:r w:rsidR="00F026BE" w:rsidRPr="00512250">
        <w:t xml:space="preserve">, ο ΕΑΑ, το ECDC, ο ΕΟΠ, η ELA, ο </w:t>
      </w:r>
      <w:proofErr w:type="spellStart"/>
      <w:r w:rsidR="00F026BE" w:rsidRPr="00512250">
        <w:t>eu</w:t>
      </w:r>
      <w:proofErr w:type="spellEnd"/>
      <w:r w:rsidR="00F026BE" w:rsidRPr="00512250">
        <w:t>-LISA, ο EU</w:t>
      </w:r>
      <w:r w:rsidR="00F026BE" w:rsidRPr="00512250">
        <w:noBreakHyphen/>
        <w:t xml:space="preserve">OSHA, </w:t>
      </w:r>
      <w:proofErr w:type="spellStart"/>
      <w:r w:rsidR="00F026BE" w:rsidRPr="00512250">
        <w:t>Eurofound</w:t>
      </w:r>
      <w:proofErr w:type="spellEnd"/>
      <w:r w:rsidR="00F026BE" w:rsidRPr="00512250">
        <w:t xml:space="preserve">, το </w:t>
      </w:r>
      <w:proofErr w:type="spellStart"/>
      <w:r w:rsidR="00F026BE" w:rsidRPr="00512250">
        <w:t>Eurojust</w:t>
      </w:r>
      <w:proofErr w:type="spellEnd"/>
      <w:r w:rsidR="00F026BE" w:rsidRPr="00512250">
        <w:t xml:space="preserve">, ο </w:t>
      </w:r>
      <w:proofErr w:type="spellStart"/>
      <w:r w:rsidR="00F026BE" w:rsidRPr="00512250">
        <w:t>Ευρωπόλ</w:t>
      </w:r>
      <w:proofErr w:type="spellEnd"/>
      <w:r w:rsidR="00F026BE" w:rsidRPr="00512250">
        <w:t>, ο FRA), ενώ σε δύο από αυτούς υπερέβη το 10 % (συγκεκριμένα στο ΕΙΤ και στο ETF)· επαινεί τους οργανισμούς που έχουν λάβει στοχευμένα μέτρα για την πρόληψη των υψηλών ποσοστών εναλλαγής προσωπικού· καλεί την Επιτροπή και τα κράτη μέλη να επιτρέψουν την πρόσληψη μεγαλύτερου αριθμού συμβασιούχων υπαλλήλων για μεγαλύτερες περιόδους ή να επιτρέψουν μεγαλύτερο αριθμό έκτακτων υπαλλήλων, ώστε να διασφαλιστεί η συνέχεια και η διατήρηση των γνώσεων· θεωρεί ότι η επαγγελματική εξουθένωση, η εναλλαγή προσωπικού και η επισφαλής απασχόληση συνιστούν αποτελούν κίνδυνο για τη θεσμική ακεραιότητα, τους εσωτερικούς ελέγχους και τη χρηστή δημοσιονομική διαχείριση· τονίζει ότι τα διοικητικά συμβούλια είναι υπεύθυνα για την ακεραιότητα και τη λογοδοσία των οργανισμών, αποδοκιμάζει την ολιγωρία που επιδεικνύεται όσον αφορά σοβαρά πορίσματα και ζητεί ενισχυμένη διαφάνεια προς την αρμόδια για την απαλλαγή αρχή·</w:t>
      </w:r>
    </w:p>
    <w:p w14:paraId="66A85513" w14:textId="25BAA630" w:rsidR="00F026BE" w:rsidRPr="00512250" w:rsidRDefault="00512250" w:rsidP="00512250">
      <w:pPr>
        <w:pStyle w:val="NormalHanging12a"/>
        <w:ind w:left="570" w:hanging="570"/>
      </w:pPr>
      <w:r w:rsidRPr="00512250">
        <w:t>16.</w:t>
      </w:r>
      <w:r w:rsidRPr="00512250">
        <w:tab/>
      </w:r>
      <w:r w:rsidR="00F026BE" w:rsidRPr="00512250">
        <w:t>εκφράζει την ικανοποίησή του για το γεγονός ότι το 2024 οι περισσότεροι οργανισμοί ενέκριναν και εφάρμοσαν τον Χάρτη για τη διαφορετικότητα και τη συμπερίληψη</w:t>
      </w:r>
      <w:r w:rsidR="00F026BE" w:rsidRPr="00512250">
        <w:rPr>
          <w:rStyle w:val="FootnoteReference"/>
        </w:rPr>
        <w:footnoteReference w:id="398"/>
      </w:r>
      <w:r w:rsidR="00F026BE" w:rsidRPr="00512250">
        <w:t>, ο οποίος προωθεί την ίση μεταχείριση, τη διαφορετικότητα και τη συμπερίληψη στον χώρο εργασίας και στην κοινωνική ζωή· ενθαρρύνει ένθερμα τους οργανισμούς που δεν έχουν προσχωρήσει ακόμη να εξετάσουν το ενδεχόμενο να προχωρήσουν στην έγκριση και την εφαρμογή του χωρίς καθυστέρηση·</w:t>
      </w:r>
    </w:p>
    <w:p w14:paraId="62D4A75F" w14:textId="456DF0C6" w:rsidR="00F026BE" w:rsidRPr="00512250" w:rsidRDefault="00512250" w:rsidP="00512250">
      <w:pPr>
        <w:pStyle w:val="NormalHanging12a"/>
        <w:ind w:left="570" w:hanging="570"/>
      </w:pPr>
      <w:r w:rsidRPr="00512250">
        <w:t>17.</w:t>
      </w:r>
      <w:r w:rsidRPr="00512250">
        <w:tab/>
      </w:r>
      <w:r w:rsidR="00F026BE" w:rsidRPr="00512250">
        <w:t xml:space="preserve">επισημαίνει ότι η θέσπιση αποτελεσματικού μηχανισμού υποβολής καταγγελιών για το προσωπικό των αποκεντρωμένων οργανισμών της Ένωσης απαιτεί τον συνδυασμό ισχυρών εγγυήσεων εμπιστευτικότητας, συμπεριλαμβανομένων ανώνυμων διαύλων υποβολής καταγγελιών, με σαφείς, εναρμονισμένες διαδικασίες που ευθυγραμμίζονται </w:t>
      </w:r>
      <w:r w:rsidR="00F026BE" w:rsidRPr="00512250">
        <w:lastRenderedPageBreak/>
        <w:t xml:space="preserve">με τον κανονισμό υπηρεσιακής κατάστασης και κοινοποιούνται μέσω τακτικής κατάρτισης του προσωπικού· θεωρεί ότι οι οργανισμοί θα πρέπει να διορίζουν ανεξάρτητους, επαγγελματικά καταρτισμένους υπεύθυνους δεοντολογίας ή καταγγελιών, ή να χρησιμοποιούν κοινές </w:t>
      </w:r>
      <w:proofErr w:type="spellStart"/>
      <w:r w:rsidR="00F026BE" w:rsidRPr="00512250">
        <w:t>διυπηρεσιακές</w:t>
      </w:r>
      <w:proofErr w:type="spellEnd"/>
      <w:r w:rsidR="00F026BE" w:rsidRPr="00512250">
        <w:t xml:space="preserve"> δομές για μικρότερους οργανισμούς, ώστε να διασφαλίζεται ο αμερόληπτος χειρισμός των αιτημάτων του άρθρου 90 του κανονισμού υπηρεσιακής κατάστασης, των καταγγελιών παρενόχλησης, των συγκρούσεων συμφερόντων και των αποκαλύψεων δυσλειτουργιών· καλεί τους οργανισμούς να διασφαλίσουν ότι το προσωπικό έχει πρόσβαση σε εξωτερικό δίαυλο κλιμάκωσης, καθώς και ισχυρή, ανεξάρτητη και αποτελεσματική προστασία έναντι αντιποίνων μέσω συστηματικών ελέγχων παρακολούθησης, ενώ η διαφάνεια θα πρέπει να ενισχυθεί μέσω </w:t>
      </w:r>
      <w:proofErr w:type="spellStart"/>
      <w:r w:rsidR="00F026BE" w:rsidRPr="00512250">
        <w:t>ανωνυμοποιημένης</w:t>
      </w:r>
      <w:proofErr w:type="spellEnd"/>
      <w:r w:rsidR="00F026BE" w:rsidRPr="00512250">
        <w:t xml:space="preserve"> ετήσιας υποβολής εκθέσεων σχετικά με καταγγελίες και τα αποτελέσματα αυτών, ενώ η αμεροληψία θα πρέπει να βελτιωθεί μέσω της χρήσης διυπηρεσιακών ερευνητικών ομάδων για ευαίσθητες υποθέσεις· ζητεί την εφαρμογή μηχανισμών προστασίας από ψευδείς κατηγορίες και καταγγελίες·</w:t>
      </w:r>
    </w:p>
    <w:p w14:paraId="1325CFD1" w14:textId="6B8E1950" w:rsidR="00F026BE" w:rsidRPr="00512250" w:rsidRDefault="00512250" w:rsidP="00512250">
      <w:pPr>
        <w:pStyle w:val="NormalHanging12a"/>
        <w:ind w:left="570" w:hanging="570"/>
      </w:pPr>
      <w:r w:rsidRPr="00512250">
        <w:t>18.</w:t>
      </w:r>
      <w:r w:rsidRPr="00512250">
        <w:tab/>
      </w:r>
      <w:r w:rsidR="00F026BE" w:rsidRPr="00512250">
        <w:t>σημειώνει τον σημαντικό ρόλο του δικτύου των Οργανισμών της ΕΕ (EUAN) και ιδίως της συμβουλευτικής επιτροπής ΤΠΕ (ICTAC) στη στήριξη της ετοιμότητας των οργανισμών για την εφαρμογή του κανονισμού για την κυβερνοασφάλεια μέσω ενισχυμένου συντονισμού, ανταλλαγής γνώσεων και συνεργασίας με τη ΓΔ DIGIT, τη CERT-ΕΕ και τη διοργανική επιτροπή για τον ψηφιακό μετασχηματισμό· καλεί το EUAN και την ICTAC να παρέχουν ολοκληρωμένες και τακτικές πληροφορίες σχετικά με την κατάσταση εφαρμογής σε όλους τους αποκεντρωμένους οργανισμούς, συμπεριλαμβανομένων των κοινών προκλήσεων, των εντοπισθέντων κινδύνων, των αναγκών σε πόρους και των προγραμματισμένων μέτρων μετριασμού, προκειμένου να καταστεί δυνατή η αποτελεσματική εποπτεία· τονίζει την ανάγκη για ισχυρή κυβερνοασφάλεια και προσεκτική χρήση της ΤΝ, επισημαίνοντας τις ευκαιρίες αλλά και τους οικονομικούς και επιχειρησιακούς κινδύνους που ελλοχεύουν· καλεί τους οργανισμούς να αξιολογήσουν τις λειτουργίες που υποστηρίζονται από ΤΝ όσον αφορά τη χρηματοδότηση, τη σύναψη δημόσιων συμβάσεων ή τη λήψη αποφάσεων, και να διασφαλίσουν τη διαφάνεια, την τεκμηρίωση, τη δυνατότητα ελέγχου και την πλήρη συμμόρφωση με τους κανόνες της Ένωσης για την προστασία των δεδομένων και την κυβερνοασφάλεια·</w:t>
      </w:r>
    </w:p>
    <w:p w14:paraId="2CA23269" w14:textId="0A57F63C" w:rsidR="00F026BE" w:rsidRPr="00512250" w:rsidRDefault="00512250" w:rsidP="00512250">
      <w:pPr>
        <w:pStyle w:val="NormalHanging12a"/>
        <w:ind w:left="570" w:hanging="570"/>
      </w:pPr>
      <w:r w:rsidRPr="00512250">
        <w:t>19.</w:t>
      </w:r>
      <w:r w:rsidRPr="00512250">
        <w:tab/>
      </w:r>
      <w:r w:rsidR="00F026BE" w:rsidRPr="00512250">
        <w:t xml:space="preserve">τονίζει τη σημασία της ανάπτυξης σαφών, αξιόπιστων και ουσιαστικών βασικών δεικτών επιδόσεων (ΒΔΕ) στις ετήσιες εκθέσεις δραστηριοτήτων των οργανισμών της ΕΕ, δεδομένου ότι οι εκθέσεις αυτές αποτελούν πρωταρχική πηγή πληροφοριών για τους εξωτερικούς χρήστες· σημειώνει ότι ορισμένα συστήματα ΒΔΕ συχνά στερούνται συνέχειας, τυποποίησης, επιχειρησιακού βάθους, τεκμηριωμένης μεθοδολογίας για την επιλογή, την επικαιροποίηση και την απόσυρση των ΒΔΕ, διαφάνειας, συγκρισιμότητας και πολυετούς παρακολούθησης, με αποτέλεσμα τη μείωση της συγκρισιμότητας και της ικανότητας των εξωτερικών χρηστών να αξιολογούν αντικειμενικά τις επιδόσεις· υπογραμμίζει ότι οι ΒΔΕ θα πρέπει να εξορθολογιστούν και να σχεδιαστούν σωστά, να βασίζονται σε συγκεκριμένες, μετρήσιμες, εφικτές, συναφείς και χρονικά προσδιορισμένες (SMART) αρχές και να εφαρμόζονται με συνέπεια σε όλους τους κύκλους υποβολής εκθέσεων, γεγονός που είναι απαραίτητο για την αξιολόγηση της αποδοτικότητας, της αποτελεσματικότητας και της προόδου προς την επίτευξη στρατηγικών στόχων· τονίζει την ανάγκη οι εκθέσεις να είναι περισσότερο προσανατολισμένες στα αποτελέσματα και τον αντίκτυπο, εστιάζοντας στη σημαντικότητα και την αναλογικότητα προκειμένου να μειωθεί ο διοικητικός φόρτος· υπογραμμίζει ότι οι δείκτες επιδόσεων πρέπει να προκύπτουν ρητά από τους στόχους της ιδρυτικής εντολής κάθε οργανισμού και να αποτυπώνουν τις εκροές, τα </w:t>
      </w:r>
      <w:r w:rsidR="00F026BE" w:rsidRPr="00512250">
        <w:lastRenderedPageBreak/>
        <w:t>αποτελέσματα και, κυρίως, τον αντίκτυπο· καλεί τους οργανισμούς να συμπεριλάβουν ανάλυση κόστους-οφέλους και διαφανή κατάρτιση του προϋπολογισμού στα πλαίσια επιδόσεών τους·</w:t>
      </w:r>
    </w:p>
    <w:p w14:paraId="6574A36F" w14:textId="77EE419C" w:rsidR="00F026BE" w:rsidRPr="00512250" w:rsidRDefault="00512250" w:rsidP="00512250">
      <w:pPr>
        <w:pStyle w:val="NormalHanging12a"/>
        <w:ind w:left="570" w:hanging="570"/>
      </w:pPr>
      <w:r w:rsidRPr="00512250">
        <w:t>20.</w:t>
      </w:r>
      <w:r w:rsidRPr="00512250">
        <w:tab/>
      </w:r>
      <w:r w:rsidR="00F026BE" w:rsidRPr="00512250">
        <w:t>αναγνωρίζει τη συνεργασία με εξωτερικούς εταίρους, όπως ο Οργανισμός Οικονομικής Συνεργασίας και Ανάπτυξης και το Δίκτυο Στρατηγικού Σχεδιασμού των Ηνωμένων Εθνών, για τον εκσυγχρονισμό των μεθοδολογιών των ΒΔΕ· επισημαίνει ότι ορισμένοι οργανισμοί, όπως ο ACER, ο EASA και το ECDC, έχουν αναπτύξει πιο αξιόπιστους και επιχειρησιακά συναφείς δείκτες· καλεί τους οργανισμούς των οποίων τα συστήματα ΒΔΕ είναι ανεπαρκή ή δεν επιτρέπουν αξιόπιστη μέτρηση να βασίζονται σε τέτοια ισχυρότερα μοντέλα και να ανταλλάσσουν συστηματικά βέλτιστες πρακτικές εντός του EUAN, προκειμένου να βελτιωθεί η συγκρισιμότητα, η χρησιμότητα των ετήσιων εκθέσεων δραστηριοτήτων για τους εξωτερικούς χρήστες και η συνολική αξιολόγηση των επιδόσεων σε όλους τους οργανισμούς· καλεί την Επιτροπή να απαιτήσει όλες οι αξιολογήσεις των οργανισμών σύμφωνα με το σημείο 60 της κοινής προσέγγισης να αξιολογούν συστηματικά τον αντίκτυπο κάθε οργανισμού στον τομέα πολιτικής του, και να τερματίζονται τα προγράμματα ή οι δραστηριότητες που δεν έχουν αποδείξει την αποτελεσματικότητά τους εντός εύλογου χρονικού διαστήματος, με ανακατανομή των κονδυλίων σε αποτελεσματικότερα μέτρα·</w:t>
      </w:r>
    </w:p>
    <w:p w14:paraId="46AEC97E" w14:textId="5779D507" w:rsidR="00F026BE" w:rsidRPr="00512250" w:rsidRDefault="00512250" w:rsidP="00512250">
      <w:pPr>
        <w:pStyle w:val="NormalHanging12a"/>
        <w:ind w:left="570" w:hanging="570"/>
      </w:pPr>
      <w:r w:rsidRPr="00512250">
        <w:t>21.</w:t>
      </w:r>
      <w:r w:rsidRPr="00512250">
        <w:tab/>
      </w:r>
      <w:r w:rsidR="00F026BE" w:rsidRPr="00512250">
        <w:t xml:space="preserve">εφιστά την προσοχή στις έρευνες της Ευρωπαϊκής Υπηρεσίας Καταπολέμησης της Απάτης (OLAF) που αφορούν διάφορους οργανισμούς: τον ENISA (δύο υποθέσεις από το 2024, μία εν εξελίξει και μία απορριφθείσα, καθώς και μία υπόθεση πρόσληψης από το 2025 ) </w:t>
      </w:r>
      <w:r w:rsidR="00CC1E67" w:rsidRPr="00512250">
        <w:t>–</w:t>
      </w:r>
      <w:r w:rsidR="00F026BE" w:rsidRPr="00512250">
        <w:t xml:space="preserve"> τον </w:t>
      </w:r>
      <w:proofErr w:type="spellStart"/>
      <w:r w:rsidR="00F026BE" w:rsidRPr="00512250">
        <w:t>eu</w:t>
      </w:r>
      <w:proofErr w:type="spellEnd"/>
      <w:r w:rsidR="00F026BE" w:rsidRPr="00512250">
        <w:t xml:space="preserve">-LISA (υποθέσεις σύγκρουσης συμφερόντων και δημόσιων συμβάσεων) </w:t>
      </w:r>
      <w:r w:rsidR="00CC1E67" w:rsidRPr="00512250">
        <w:t xml:space="preserve">– </w:t>
      </w:r>
      <w:r w:rsidR="00F026BE" w:rsidRPr="00512250">
        <w:t xml:space="preserve">το EIT (τρεις υποθέσεις που σχετίζονται με κοινότητες γνώσης και καινοτομίας περατώθηκαν με ανάκτηση ποσών ύψους 15-20 </w:t>
      </w:r>
      <w:r w:rsidR="00CC1E67" w:rsidRPr="00512250">
        <w:t>εκατομμυρίων</w:t>
      </w:r>
      <w:r w:rsidR="00F026BE" w:rsidRPr="00512250">
        <w:t xml:space="preserve"> EUR) </w:t>
      </w:r>
      <w:r w:rsidR="00CC1E67" w:rsidRPr="00512250">
        <w:t>–</w:t>
      </w:r>
      <w:r w:rsidR="00F026BE" w:rsidRPr="00512250">
        <w:t xml:space="preserve"> τον </w:t>
      </w:r>
      <w:proofErr w:type="spellStart"/>
      <w:r w:rsidR="00F026BE" w:rsidRPr="00512250">
        <w:t>Frontex</w:t>
      </w:r>
      <w:proofErr w:type="spellEnd"/>
      <w:r w:rsidR="00F026BE" w:rsidRPr="00512250">
        <w:t xml:space="preserve"> (δύο εν εξελίξει και οκτώ περατωθείσες υποθέσεις την περίοδο 2023-2024) </w:t>
      </w:r>
      <w:r w:rsidR="00CC1E67" w:rsidRPr="00512250">
        <w:t>–</w:t>
      </w:r>
      <w:r w:rsidR="00F026BE" w:rsidRPr="00512250">
        <w:t xml:space="preserve"> εν εξελίξει έρευνες για τους ACER και ΕΟΠ· παροτρύνει όλους τους οργανισμούς της ΕΕ να διασφαλίσουν την πλήρη συνεργασία με την OLAF, να ενισχύσουν τους εσωτερικούς ελέγχους, καθώς και τις διασφαλίσεις για τις προσλήψεις και τις δημόσιες συμβάσεις, και να παράσχουν περαιτέρω πληροφορίες στην αρμόδια για την απαλλαγή αρχή μόλις αρθούν οι περιορισμοί εμπιστευτικότητας·</w:t>
      </w:r>
    </w:p>
    <w:p w14:paraId="3A74BD64" w14:textId="2392F2D0" w:rsidR="00F026BE" w:rsidRPr="00512250" w:rsidRDefault="00512250" w:rsidP="00512250">
      <w:pPr>
        <w:pStyle w:val="NormalHanging12a"/>
        <w:ind w:left="570" w:hanging="570"/>
      </w:pPr>
      <w:r w:rsidRPr="00512250">
        <w:t>22.</w:t>
      </w:r>
      <w:r w:rsidRPr="00512250">
        <w:tab/>
      </w:r>
      <w:r w:rsidR="00F026BE" w:rsidRPr="00512250">
        <w:t xml:space="preserve">υπενθυμίζει ότι η εντολή του </w:t>
      </w:r>
      <w:proofErr w:type="spellStart"/>
      <w:r w:rsidR="00F026BE" w:rsidRPr="00512250">
        <w:t>Frontex</w:t>
      </w:r>
      <w:proofErr w:type="spellEnd"/>
      <w:r w:rsidR="00F026BE" w:rsidRPr="00512250">
        <w:t xml:space="preserve"> διευρύνθηκε σημαντικά το 2019, όταν ένας αναθεωρημένος κανονισμός διεύρυνε τα καθήκοντά του και ενέκρινε ένα μόνιμο σώμα 10 000 συνοριοφυλάκων καθώς και την αντίστοιχη αύξηση του σχετικού κονδυλίου του προϋπολογισμού· υπογραμμίζει ότι οι αυξήσεις του προϋπολογισμού, ανεξάρτητα από τον οικείο οργανισμό, πρέπει πάντα να συνοδεύονται από επαρκείς διατάξεις περί λογοδοσίας και διαφάνειας·</w:t>
      </w:r>
    </w:p>
    <w:p w14:paraId="2B927E45" w14:textId="729A4697" w:rsidR="00F026BE" w:rsidRPr="00512250" w:rsidRDefault="00512250" w:rsidP="00512250">
      <w:pPr>
        <w:pStyle w:val="NormalHanging12a"/>
        <w:ind w:left="570" w:hanging="570"/>
      </w:pPr>
      <w:r w:rsidRPr="00512250">
        <w:t>23.</w:t>
      </w:r>
      <w:r w:rsidRPr="00512250">
        <w:tab/>
      </w:r>
      <w:r w:rsidR="00F026BE" w:rsidRPr="00512250">
        <w:t>σημειώνει ότι η απουσία ρητρών εξαίρεσης (</w:t>
      </w:r>
      <w:proofErr w:type="spellStart"/>
      <w:r w:rsidR="00F026BE" w:rsidRPr="00512250">
        <w:t>break-out</w:t>
      </w:r>
      <w:proofErr w:type="spellEnd"/>
      <w:r w:rsidR="00F026BE" w:rsidRPr="00512250">
        <w:t xml:space="preserve">) που επιτρέπουν την πρόωρη καταγγελία των συμβάσεων μίσθωσης εξακολουθεί να ενέχει οικονομικό κίνδυνο για τους οργανισμούς της ΕΕ· υπενθυμίζει ότι η σημασία της συμπερίληψης τέτοιων ρητρών στις συμβάσεις μίσθωσης αναδείχθηκε από τις δυσκολίες που αντιμετώπισε ο Ευρωπαϊκός Οργανισμός Φαρμάκων (EMA) μετά το </w:t>
      </w:r>
      <w:proofErr w:type="spellStart"/>
      <w:r w:rsidR="00F026BE" w:rsidRPr="00512250">
        <w:t>Brexit</w:t>
      </w:r>
      <w:proofErr w:type="spellEnd"/>
      <w:r w:rsidR="00F026BE" w:rsidRPr="00512250">
        <w:t xml:space="preserve">, ο οποίος δεν ήταν σε θέση να καταγγείλει τη μακροχρόνια σύμβαση μίσθωσής του στο Λονδίνο και αναγκάστηκε, ως εκ τούτου, να καταβάλει ενοίκιο τόσο στο Λονδίνο όσο και στο Άμστερνταμ· αναγνωρίζει ότι από το 2019 αρκετοί οργανισμοί έχουν εισαγάγει ρήτρες εξαίρεσης αλλά εκφράζει τη δυσαρέσκειά του για το γεγονός ότι δεν το έχουν πράξει όλοι οι Οργανισμοί, συμπεριλαμβανομένων περιπτώσεων στις οποίες υπογράφηκαν νέες ή ανανεώθηκαν συμβάσεις μίσθωσης χωρίς τέτοιες διατάξεις· παροτρύνει τους </w:t>
      </w:r>
      <w:r w:rsidR="00F026BE" w:rsidRPr="00512250">
        <w:lastRenderedPageBreak/>
        <w:t>οργανισμούς και την Επιτροπή να χρησιμοποιούν ρήτρες εξαίρεσης κατά τη διαπραγμάτευση ή την ανανέωση συμβάσεων μίσθωσης, λαμβάνοντας υπόψη τα διδάγματα που αντλήθηκαν από την εμπειρία του παρελθόντος, προκειμένου να περιοριστεί η οικονομική έκθεση και να διασφαλιστεί μεγαλύτερη δημοσιονομική ευελιξία·</w:t>
      </w:r>
    </w:p>
    <w:p w14:paraId="2E02E7D9" w14:textId="77777777" w:rsidR="00F026BE" w:rsidRPr="00512250" w:rsidRDefault="00F026BE" w:rsidP="00F026BE">
      <w:pPr>
        <w:pStyle w:val="NormalHanging12a"/>
        <w:rPr>
          <w:b/>
          <w:i/>
        </w:rPr>
      </w:pPr>
      <w:r w:rsidRPr="00512250">
        <w:rPr>
          <w:b/>
          <w:i/>
        </w:rPr>
        <w:t>Δημοσιονομική και χρηματοοικονομική διαχείριση</w:t>
      </w:r>
    </w:p>
    <w:p w14:paraId="40852DF3" w14:textId="39F47787" w:rsidR="00F026BE" w:rsidRPr="00512250" w:rsidRDefault="00512250" w:rsidP="00512250">
      <w:pPr>
        <w:pStyle w:val="NormalHanging12a"/>
        <w:ind w:left="570" w:hanging="570"/>
        <w:rPr>
          <w:bCs/>
          <w:iCs/>
        </w:rPr>
      </w:pPr>
      <w:r w:rsidRPr="00512250">
        <w:rPr>
          <w:bCs/>
          <w:iCs/>
        </w:rPr>
        <w:t>24.</w:t>
      </w:r>
      <w:r w:rsidRPr="00512250">
        <w:rPr>
          <w:bCs/>
          <w:iCs/>
        </w:rPr>
        <w:tab/>
      </w:r>
      <w:r w:rsidR="00F026BE" w:rsidRPr="00512250">
        <w:t>σημειώνει ότι τα συνολικά τελικά έσοδα για το 2024 (μετά τους διορθωτικούς προϋπολογισμούς) και τα συγκριτικά αριθμητικά στοιχεία για το 2023 για τους 33 οργανισμούς της Ένωσης που αποτελούν μέρος του παρόντος ψηφίσματος είχαν την ακόλουθη ανάλυση</w:t>
      </w:r>
      <w:r w:rsidR="00F026BE" w:rsidRPr="00512250">
        <w:rPr>
          <w:bCs/>
          <w:iCs/>
          <w:vertAlign w:val="superscript"/>
        </w:rPr>
        <w:footnoteReference w:id="399"/>
      </w:r>
      <w:r w:rsidR="00F026BE" w:rsidRPr="00512250">
        <w:t>:</w:t>
      </w:r>
    </w:p>
    <w:tbl>
      <w:tblPr>
        <w:tblW w:w="8428" w:type="dxa"/>
        <w:tblLook w:val="04A0" w:firstRow="1" w:lastRow="0" w:firstColumn="1" w:lastColumn="0" w:noHBand="0" w:noVBand="1"/>
      </w:tblPr>
      <w:tblGrid>
        <w:gridCol w:w="2122"/>
        <w:gridCol w:w="2126"/>
        <w:gridCol w:w="2126"/>
        <w:gridCol w:w="2054"/>
      </w:tblGrid>
      <w:tr w:rsidR="00F026BE" w:rsidRPr="00512250" w14:paraId="15F6C5DC" w14:textId="77777777" w:rsidTr="00E47788">
        <w:trPr>
          <w:trHeight w:val="288"/>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50408D02" w14:textId="77777777" w:rsidR="00F026BE" w:rsidRPr="00512250" w:rsidRDefault="00F026BE" w:rsidP="00E47788">
            <w:pPr>
              <w:pStyle w:val="NormalHanging12a"/>
              <w:rPr>
                <w:b/>
                <w:bCs/>
              </w:rPr>
            </w:pPr>
            <w:r w:rsidRPr="00512250">
              <w:rPr>
                <w:b/>
              </w:rPr>
              <w:t>Όνομα</w:t>
            </w:r>
          </w:p>
        </w:tc>
        <w:tc>
          <w:tcPr>
            <w:tcW w:w="2126" w:type="dxa"/>
            <w:tcBorders>
              <w:top w:val="single" w:sz="4" w:space="0" w:color="auto"/>
              <w:left w:val="nil"/>
              <w:bottom w:val="single" w:sz="4" w:space="0" w:color="auto"/>
              <w:right w:val="single" w:sz="4" w:space="0" w:color="auto"/>
            </w:tcBorders>
            <w:noWrap/>
            <w:vAlign w:val="bottom"/>
            <w:hideMark/>
          </w:tcPr>
          <w:p w14:paraId="576E5560" w14:textId="77777777" w:rsidR="00F026BE" w:rsidRPr="00512250" w:rsidRDefault="00F026BE" w:rsidP="00E47788">
            <w:pPr>
              <w:pStyle w:val="NormalHanging12a"/>
              <w:rPr>
                <w:b/>
                <w:bCs/>
              </w:rPr>
            </w:pPr>
            <w:r w:rsidRPr="00512250">
              <w:rPr>
                <w:b/>
              </w:rPr>
              <w:t>Έσοδα 2024</w:t>
            </w:r>
          </w:p>
        </w:tc>
        <w:tc>
          <w:tcPr>
            <w:tcW w:w="2126" w:type="dxa"/>
            <w:tcBorders>
              <w:top w:val="single" w:sz="4" w:space="0" w:color="auto"/>
              <w:left w:val="nil"/>
              <w:bottom w:val="single" w:sz="4" w:space="0" w:color="auto"/>
              <w:right w:val="single" w:sz="4" w:space="0" w:color="auto"/>
            </w:tcBorders>
            <w:noWrap/>
            <w:vAlign w:val="bottom"/>
            <w:hideMark/>
          </w:tcPr>
          <w:p w14:paraId="3ECE20F0" w14:textId="77777777" w:rsidR="00F026BE" w:rsidRPr="00512250" w:rsidRDefault="00F026BE" w:rsidP="00E47788">
            <w:pPr>
              <w:pStyle w:val="NormalHanging12a"/>
              <w:rPr>
                <w:b/>
                <w:bCs/>
              </w:rPr>
            </w:pPr>
            <w:r w:rsidRPr="00512250">
              <w:rPr>
                <w:b/>
              </w:rPr>
              <w:t>Έσοδα 2023</w:t>
            </w:r>
          </w:p>
        </w:tc>
        <w:tc>
          <w:tcPr>
            <w:tcW w:w="2054" w:type="dxa"/>
            <w:tcBorders>
              <w:top w:val="single" w:sz="4" w:space="0" w:color="auto"/>
              <w:left w:val="nil"/>
              <w:bottom w:val="single" w:sz="4" w:space="0" w:color="auto"/>
              <w:right w:val="single" w:sz="4" w:space="0" w:color="auto"/>
            </w:tcBorders>
            <w:noWrap/>
            <w:vAlign w:val="bottom"/>
            <w:hideMark/>
          </w:tcPr>
          <w:p w14:paraId="04D26198" w14:textId="77777777" w:rsidR="00F026BE" w:rsidRPr="00512250" w:rsidRDefault="00F026BE" w:rsidP="00E47788">
            <w:pPr>
              <w:pStyle w:val="NormalHanging12a"/>
              <w:rPr>
                <w:b/>
                <w:bCs/>
              </w:rPr>
            </w:pPr>
            <w:r w:rsidRPr="00512250">
              <w:rPr>
                <w:b/>
              </w:rPr>
              <w:t>∆</w:t>
            </w:r>
          </w:p>
        </w:tc>
      </w:tr>
      <w:tr w:rsidR="00F026BE" w:rsidRPr="00512250" w14:paraId="6226221C"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371140E5" w14:textId="77777777" w:rsidR="00F026BE" w:rsidRPr="00512250" w:rsidRDefault="00F026BE" w:rsidP="00E47788">
            <w:pPr>
              <w:pStyle w:val="NormalHanging12a"/>
            </w:pPr>
            <w:r w:rsidRPr="00512250">
              <w:t>ACER</w:t>
            </w:r>
          </w:p>
        </w:tc>
        <w:tc>
          <w:tcPr>
            <w:tcW w:w="2126" w:type="dxa"/>
            <w:tcBorders>
              <w:top w:val="nil"/>
              <w:left w:val="nil"/>
              <w:bottom w:val="single" w:sz="4" w:space="0" w:color="auto"/>
              <w:right w:val="single" w:sz="4" w:space="0" w:color="auto"/>
            </w:tcBorders>
            <w:noWrap/>
            <w:vAlign w:val="bottom"/>
            <w:hideMark/>
          </w:tcPr>
          <w:p w14:paraId="2BF35EF8" w14:textId="77777777" w:rsidR="00F026BE" w:rsidRPr="00512250" w:rsidRDefault="00F026BE" w:rsidP="00E47788">
            <w:pPr>
              <w:pStyle w:val="NormalHanging12a"/>
            </w:pPr>
            <w:r w:rsidRPr="00512250">
              <w:t>€ 34 689 993,00</w:t>
            </w:r>
          </w:p>
        </w:tc>
        <w:tc>
          <w:tcPr>
            <w:tcW w:w="2126" w:type="dxa"/>
            <w:tcBorders>
              <w:top w:val="nil"/>
              <w:left w:val="nil"/>
              <w:bottom w:val="single" w:sz="4" w:space="0" w:color="auto"/>
              <w:right w:val="single" w:sz="4" w:space="0" w:color="auto"/>
            </w:tcBorders>
            <w:noWrap/>
            <w:vAlign w:val="bottom"/>
            <w:hideMark/>
          </w:tcPr>
          <w:p w14:paraId="328F1867" w14:textId="77777777" w:rsidR="00F026BE" w:rsidRPr="00512250" w:rsidRDefault="00F026BE" w:rsidP="00E47788">
            <w:pPr>
              <w:pStyle w:val="NormalHanging12a"/>
            </w:pPr>
            <w:r w:rsidRPr="00512250">
              <w:t>€ 29 582 967,00</w:t>
            </w:r>
          </w:p>
        </w:tc>
        <w:tc>
          <w:tcPr>
            <w:tcW w:w="2054" w:type="dxa"/>
            <w:tcBorders>
              <w:top w:val="nil"/>
              <w:left w:val="nil"/>
              <w:bottom w:val="single" w:sz="4" w:space="0" w:color="auto"/>
              <w:right w:val="single" w:sz="4" w:space="0" w:color="auto"/>
            </w:tcBorders>
            <w:shd w:val="clear" w:color="auto" w:fill="FFFFFF"/>
            <w:noWrap/>
            <w:vAlign w:val="center"/>
            <w:hideMark/>
          </w:tcPr>
          <w:p w14:paraId="36A7E5C2" w14:textId="77777777" w:rsidR="00F026BE" w:rsidRPr="00512250" w:rsidRDefault="00F026BE" w:rsidP="00E47788">
            <w:pPr>
              <w:pStyle w:val="NormalHanging12a"/>
            </w:pPr>
            <w:r w:rsidRPr="00512250">
              <w:t>17,26 %</w:t>
            </w:r>
          </w:p>
        </w:tc>
      </w:tr>
      <w:tr w:rsidR="00F026BE" w:rsidRPr="00512250" w14:paraId="3E11B8E5"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6BF775D2" w14:textId="77777777" w:rsidR="00F026BE" w:rsidRPr="00512250" w:rsidRDefault="00F026BE" w:rsidP="00E47788">
            <w:pPr>
              <w:pStyle w:val="NormalHanging12a"/>
            </w:pPr>
            <w:r w:rsidRPr="00512250">
              <w:t>Υπηρεσία του BEREC</w:t>
            </w:r>
          </w:p>
        </w:tc>
        <w:tc>
          <w:tcPr>
            <w:tcW w:w="2126" w:type="dxa"/>
            <w:tcBorders>
              <w:top w:val="nil"/>
              <w:left w:val="nil"/>
              <w:bottom w:val="single" w:sz="4" w:space="0" w:color="auto"/>
              <w:right w:val="single" w:sz="4" w:space="0" w:color="auto"/>
            </w:tcBorders>
            <w:noWrap/>
            <w:vAlign w:val="bottom"/>
            <w:hideMark/>
          </w:tcPr>
          <w:p w14:paraId="0F6FD77A" w14:textId="77777777" w:rsidR="00F026BE" w:rsidRPr="00512250" w:rsidRDefault="00F026BE" w:rsidP="00E47788">
            <w:pPr>
              <w:pStyle w:val="NormalHanging12a"/>
            </w:pPr>
            <w:r w:rsidRPr="00512250">
              <w:t>€ 7 932 805,00</w:t>
            </w:r>
          </w:p>
        </w:tc>
        <w:tc>
          <w:tcPr>
            <w:tcW w:w="2126" w:type="dxa"/>
            <w:tcBorders>
              <w:top w:val="nil"/>
              <w:left w:val="nil"/>
              <w:bottom w:val="single" w:sz="4" w:space="0" w:color="auto"/>
              <w:right w:val="single" w:sz="4" w:space="0" w:color="auto"/>
            </w:tcBorders>
            <w:noWrap/>
            <w:vAlign w:val="bottom"/>
            <w:hideMark/>
          </w:tcPr>
          <w:p w14:paraId="50AA233C" w14:textId="77777777" w:rsidR="00F026BE" w:rsidRPr="00512250" w:rsidRDefault="00F026BE" w:rsidP="00E47788">
            <w:pPr>
              <w:pStyle w:val="NormalHanging12a"/>
            </w:pPr>
            <w:r w:rsidRPr="00512250">
              <w:t>€ 7 697 264,87</w:t>
            </w:r>
          </w:p>
        </w:tc>
        <w:tc>
          <w:tcPr>
            <w:tcW w:w="2054" w:type="dxa"/>
            <w:tcBorders>
              <w:top w:val="nil"/>
              <w:left w:val="nil"/>
              <w:bottom w:val="single" w:sz="4" w:space="0" w:color="auto"/>
              <w:right w:val="single" w:sz="4" w:space="0" w:color="auto"/>
            </w:tcBorders>
            <w:shd w:val="clear" w:color="auto" w:fill="FFFFFF"/>
            <w:noWrap/>
            <w:vAlign w:val="center"/>
            <w:hideMark/>
          </w:tcPr>
          <w:p w14:paraId="2A168C51" w14:textId="77777777" w:rsidR="00F026BE" w:rsidRPr="00512250" w:rsidRDefault="00F026BE" w:rsidP="00E47788">
            <w:pPr>
              <w:pStyle w:val="NormalHanging12a"/>
            </w:pPr>
            <w:r w:rsidRPr="00512250">
              <w:t>3,06 %</w:t>
            </w:r>
          </w:p>
        </w:tc>
      </w:tr>
      <w:tr w:rsidR="00F026BE" w:rsidRPr="00512250" w14:paraId="33172160"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48EF0F3E" w14:textId="77777777" w:rsidR="00F026BE" w:rsidRPr="00512250" w:rsidRDefault="00F026BE" w:rsidP="00E47788">
            <w:pPr>
              <w:pStyle w:val="NormalHanging12a"/>
            </w:pPr>
            <w:r w:rsidRPr="00512250">
              <w:t>CDT</w:t>
            </w:r>
            <w:r w:rsidRPr="00512250">
              <w:rPr>
                <w:vertAlign w:val="superscript"/>
              </w:rPr>
              <w:footnoteReference w:id="400"/>
            </w:r>
          </w:p>
        </w:tc>
        <w:tc>
          <w:tcPr>
            <w:tcW w:w="2126" w:type="dxa"/>
            <w:tcBorders>
              <w:top w:val="nil"/>
              <w:left w:val="nil"/>
              <w:bottom w:val="single" w:sz="4" w:space="0" w:color="auto"/>
              <w:right w:val="single" w:sz="4" w:space="0" w:color="auto"/>
            </w:tcBorders>
            <w:noWrap/>
            <w:vAlign w:val="bottom"/>
            <w:hideMark/>
          </w:tcPr>
          <w:p w14:paraId="1628A680" w14:textId="77777777" w:rsidR="00F026BE" w:rsidRPr="00512250" w:rsidRDefault="00F026BE" w:rsidP="00E47788">
            <w:pPr>
              <w:pStyle w:val="NormalHanging12a"/>
            </w:pPr>
            <w:r w:rsidRPr="00512250">
              <w:t>€ 45 346 300,00</w:t>
            </w:r>
          </w:p>
        </w:tc>
        <w:tc>
          <w:tcPr>
            <w:tcW w:w="2126" w:type="dxa"/>
            <w:tcBorders>
              <w:top w:val="nil"/>
              <w:left w:val="nil"/>
              <w:bottom w:val="single" w:sz="4" w:space="0" w:color="auto"/>
              <w:right w:val="single" w:sz="4" w:space="0" w:color="auto"/>
            </w:tcBorders>
            <w:noWrap/>
            <w:vAlign w:val="bottom"/>
            <w:hideMark/>
          </w:tcPr>
          <w:p w14:paraId="30884256" w14:textId="77777777" w:rsidR="00F026BE" w:rsidRPr="00512250" w:rsidRDefault="00F026BE" w:rsidP="00E47788">
            <w:pPr>
              <w:pStyle w:val="NormalHanging12a"/>
            </w:pPr>
            <w:r w:rsidRPr="00512250">
              <w:t>€ 47 140 900,00</w:t>
            </w:r>
          </w:p>
        </w:tc>
        <w:tc>
          <w:tcPr>
            <w:tcW w:w="2054" w:type="dxa"/>
            <w:tcBorders>
              <w:top w:val="nil"/>
              <w:left w:val="nil"/>
              <w:bottom w:val="single" w:sz="4" w:space="0" w:color="auto"/>
              <w:right w:val="single" w:sz="4" w:space="0" w:color="auto"/>
            </w:tcBorders>
            <w:shd w:val="clear" w:color="auto" w:fill="FFFFFF"/>
            <w:noWrap/>
            <w:vAlign w:val="center"/>
            <w:hideMark/>
          </w:tcPr>
          <w:p w14:paraId="76659BCE" w14:textId="77777777" w:rsidR="00F026BE" w:rsidRPr="00512250" w:rsidRDefault="00F026BE" w:rsidP="00E47788">
            <w:pPr>
              <w:pStyle w:val="NormalHanging12a"/>
            </w:pPr>
            <w:r w:rsidRPr="00512250">
              <w:t>-3,81 %</w:t>
            </w:r>
          </w:p>
        </w:tc>
      </w:tr>
      <w:tr w:rsidR="00F026BE" w:rsidRPr="00512250" w14:paraId="462C6FD0"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19683D50" w14:textId="77777777" w:rsidR="00F026BE" w:rsidRPr="00512250" w:rsidRDefault="00F026BE" w:rsidP="00E47788">
            <w:pPr>
              <w:pStyle w:val="NormalHanging12a"/>
            </w:pPr>
            <w:r w:rsidRPr="00512250">
              <w:t>CEDEFOP</w:t>
            </w:r>
          </w:p>
        </w:tc>
        <w:tc>
          <w:tcPr>
            <w:tcW w:w="2126" w:type="dxa"/>
            <w:tcBorders>
              <w:top w:val="nil"/>
              <w:left w:val="nil"/>
              <w:bottom w:val="single" w:sz="4" w:space="0" w:color="auto"/>
              <w:right w:val="single" w:sz="4" w:space="0" w:color="auto"/>
            </w:tcBorders>
            <w:noWrap/>
            <w:vAlign w:val="bottom"/>
            <w:hideMark/>
          </w:tcPr>
          <w:p w14:paraId="4F04ECF2" w14:textId="77777777" w:rsidR="00F026BE" w:rsidRPr="00512250" w:rsidRDefault="00F026BE" w:rsidP="00E47788">
            <w:pPr>
              <w:pStyle w:val="NormalHanging12a"/>
            </w:pPr>
            <w:r w:rsidRPr="00512250">
              <w:t>€ 21 422 022,00</w:t>
            </w:r>
          </w:p>
        </w:tc>
        <w:tc>
          <w:tcPr>
            <w:tcW w:w="2126" w:type="dxa"/>
            <w:tcBorders>
              <w:top w:val="nil"/>
              <w:left w:val="nil"/>
              <w:bottom w:val="single" w:sz="4" w:space="0" w:color="auto"/>
              <w:right w:val="single" w:sz="4" w:space="0" w:color="auto"/>
            </w:tcBorders>
            <w:noWrap/>
            <w:vAlign w:val="bottom"/>
            <w:hideMark/>
          </w:tcPr>
          <w:p w14:paraId="0B02D350" w14:textId="77777777" w:rsidR="00F026BE" w:rsidRPr="00512250" w:rsidRDefault="00F026BE" w:rsidP="00E47788">
            <w:pPr>
              <w:pStyle w:val="NormalHanging12a"/>
            </w:pPr>
            <w:r w:rsidRPr="00512250">
              <w:t>€ 20 140 610,00</w:t>
            </w:r>
          </w:p>
        </w:tc>
        <w:tc>
          <w:tcPr>
            <w:tcW w:w="2054" w:type="dxa"/>
            <w:tcBorders>
              <w:top w:val="nil"/>
              <w:left w:val="nil"/>
              <w:bottom w:val="single" w:sz="4" w:space="0" w:color="auto"/>
              <w:right w:val="single" w:sz="4" w:space="0" w:color="auto"/>
            </w:tcBorders>
            <w:shd w:val="clear" w:color="auto" w:fill="FFFFFF"/>
            <w:noWrap/>
            <w:vAlign w:val="center"/>
            <w:hideMark/>
          </w:tcPr>
          <w:p w14:paraId="06715DE9" w14:textId="77777777" w:rsidR="00F026BE" w:rsidRPr="00512250" w:rsidRDefault="00F026BE" w:rsidP="00E47788">
            <w:pPr>
              <w:pStyle w:val="NormalHanging12a"/>
            </w:pPr>
            <w:r w:rsidRPr="00512250">
              <w:t>6,36 %</w:t>
            </w:r>
          </w:p>
        </w:tc>
      </w:tr>
      <w:tr w:rsidR="00F026BE" w:rsidRPr="00512250" w14:paraId="349A81DA"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31CA52EF" w14:textId="77777777" w:rsidR="00F026BE" w:rsidRPr="00512250" w:rsidRDefault="00F026BE" w:rsidP="00E47788">
            <w:pPr>
              <w:pStyle w:val="NormalHanging12a"/>
            </w:pPr>
            <w:r w:rsidRPr="00512250">
              <w:t>ΕΑΑ</w:t>
            </w:r>
          </w:p>
        </w:tc>
        <w:tc>
          <w:tcPr>
            <w:tcW w:w="2126" w:type="dxa"/>
            <w:tcBorders>
              <w:top w:val="nil"/>
              <w:left w:val="nil"/>
              <w:bottom w:val="single" w:sz="4" w:space="0" w:color="auto"/>
              <w:right w:val="single" w:sz="4" w:space="0" w:color="auto"/>
            </w:tcBorders>
            <w:noWrap/>
            <w:vAlign w:val="bottom"/>
            <w:hideMark/>
          </w:tcPr>
          <w:p w14:paraId="39DC6288" w14:textId="77777777" w:rsidR="00F026BE" w:rsidRPr="00512250" w:rsidRDefault="00F026BE" w:rsidP="00E47788">
            <w:pPr>
              <w:pStyle w:val="NormalHanging12a"/>
            </w:pPr>
            <w:r w:rsidRPr="00512250">
              <w:t>€ 12 589 437,00</w:t>
            </w:r>
          </w:p>
        </w:tc>
        <w:tc>
          <w:tcPr>
            <w:tcW w:w="2126" w:type="dxa"/>
            <w:tcBorders>
              <w:top w:val="nil"/>
              <w:left w:val="nil"/>
              <w:bottom w:val="single" w:sz="4" w:space="0" w:color="auto"/>
              <w:right w:val="single" w:sz="4" w:space="0" w:color="auto"/>
            </w:tcBorders>
            <w:noWrap/>
            <w:vAlign w:val="bottom"/>
            <w:hideMark/>
          </w:tcPr>
          <w:p w14:paraId="56BCCEBA" w14:textId="77777777" w:rsidR="00F026BE" w:rsidRPr="00512250" w:rsidRDefault="00F026BE" w:rsidP="00E47788">
            <w:pPr>
              <w:pStyle w:val="NormalHanging12a"/>
            </w:pPr>
            <w:r w:rsidRPr="00512250">
              <w:t>€ 14 211 723,00</w:t>
            </w:r>
          </w:p>
        </w:tc>
        <w:tc>
          <w:tcPr>
            <w:tcW w:w="2054" w:type="dxa"/>
            <w:tcBorders>
              <w:top w:val="nil"/>
              <w:left w:val="nil"/>
              <w:bottom w:val="single" w:sz="4" w:space="0" w:color="auto"/>
              <w:right w:val="single" w:sz="4" w:space="0" w:color="auto"/>
            </w:tcBorders>
            <w:shd w:val="clear" w:color="auto" w:fill="FFFFFF"/>
            <w:noWrap/>
            <w:vAlign w:val="center"/>
            <w:hideMark/>
          </w:tcPr>
          <w:p w14:paraId="24538ED0" w14:textId="77777777" w:rsidR="00F026BE" w:rsidRPr="00512250" w:rsidRDefault="00F026BE" w:rsidP="00E47788">
            <w:pPr>
              <w:pStyle w:val="NormalHanging12a"/>
            </w:pPr>
            <w:r w:rsidRPr="00512250">
              <w:t>-11,42 %</w:t>
            </w:r>
          </w:p>
        </w:tc>
      </w:tr>
      <w:tr w:rsidR="00F026BE" w:rsidRPr="00512250" w14:paraId="71685843"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26745C31" w14:textId="77777777" w:rsidR="00F026BE" w:rsidRPr="00512250" w:rsidRDefault="00F026BE" w:rsidP="00E47788">
            <w:pPr>
              <w:pStyle w:val="NormalHanging12a"/>
            </w:pPr>
            <w:r w:rsidRPr="00512250">
              <w:t>EASA</w:t>
            </w:r>
            <w:r w:rsidRPr="00512250">
              <w:rPr>
                <w:vertAlign w:val="superscript"/>
              </w:rPr>
              <w:footnoteReference w:id="401"/>
            </w:r>
          </w:p>
        </w:tc>
        <w:tc>
          <w:tcPr>
            <w:tcW w:w="2126" w:type="dxa"/>
            <w:tcBorders>
              <w:top w:val="nil"/>
              <w:left w:val="nil"/>
              <w:bottom w:val="single" w:sz="4" w:space="0" w:color="auto"/>
              <w:right w:val="single" w:sz="4" w:space="0" w:color="auto"/>
            </w:tcBorders>
            <w:noWrap/>
            <w:vAlign w:val="bottom"/>
            <w:hideMark/>
          </w:tcPr>
          <w:p w14:paraId="59018F07" w14:textId="77777777" w:rsidR="00F026BE" w:rsidRPr="00512250" w:rsidRDefault="00F026BE" w:rsidP="00E47788">
            <w:pPr>
              <w:pStyle w:val="NormalHanging12a"/>
            </w:pPr>
            <w:r w:rsidRPr="00512250">
              <w:t>€ 183 306 903,00</w:t>
            </w:r>
          </w:p>
        </w:tc>
        <w:tc>
          <w:tcPr>
            <w:tcW w:w="2126" w:type="dxa"/>
            <w:tcBorders>
              <w:top w:val="nil"/>
              <w:left w:val="nil"/>
              <w:bottom w:val="single" w:sz="4" w:space="0" w:color="auto"/>
              <w:right w:val="single" w:sz="4" w:space="0" w:color="auto"/>
            </w:tcBorders>
            <w:noWrap/>
            <w:vAlign w:val="bottom"/>
            <w:hideMark/>
          </w:tcPr>
          <w:p w14:paraId="2BD8E778" w14:textId="77777777" w:rsidR="00F026BE" w:rsidRPr="00512250" w:rsidRDefault="00F026BE" w:rsidP="00E47788">
            <w:pPr>
              <w:pStyle w:val="NormalHanging12a"/>
            </w:pPr>
            <w:r w:rsidRPr="00512250">
              <w:t>€ 169 665 375,00</w:t>
            </w:r>
          </w:p>
        </w:tc>
        <w:tc>
          <w:tcPr>
            <w:tcW w:w="2054" w:type="dxa"/>
            <w:tcBorders>
              <w:top w:val="nil"/>
              <w:left w:val="nil"/>
              <w:bottom w:val="single" w:sz="4" w:space="0" w:color="auto"/>
              <w:right w:val="single" w:sz="4" w:space="0" w:color="auto"/>
            </w:tcBorders>
            <w:shd w:val="clear" w:color="auto" w:fill="FFFFFF"/>
            <w:noWrap/>
            <w:vAlign w:val="center"/>
            <w:hideMark/>
          </w:tcPr>
          <w:p w14:paraId="3B34BDF6" w14:textId="77777777" w:rsidR="00F026BE" w:rsidRPr="00512250" w:rsidRDefault="00F026BE" w:rsidP="00E47788">
            <w:pPr>
              <w:pStyle w:val="NormalHanging12a"/>
            </w:pPr>
            <w:r w:rsidRPr="00512250">
              <w:t>8,04 %</w:t>
            </w:r>
          </w:p>
        </w:tc>
      </w:tr>
      <w:tr w:rsidR="00F026BE" w:rsidRPr="00512250" w14:paraId="60523DFD"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4B0EF0A2" w14:textId="77777777" w:rsidR="00F026BE" w:rsidRPr="00512250" w:rsidRDefault="00F026BE" w:rsidP="00E47788">
            <w:pPr>
              <w:pStyle w:val="NormalHanging12a"/>
            </w:pPr>
            <w:r w:rsidRPr="00512250">
              <w:t>ΕΑΤ</w:t>
            </w:r>
          </w:p>
        </w:tc>
        <w:tc>
          <w:tcPr>
            <w:tcW w:w="2126" w:type="dxa"/>
            <w:tcBorders>
              <w:top w:val="nil"/>
              <w:left w:val="nil"/>
              <w:bottom w:val="single" w:sz="4" w:space="0" w:color="auto"/>
              <w:right w:val="single" w:sz="4" w:space="0" w:color="auto"/>
            </w:tcBorders>
            <w:noWrap/>
            <w:vAlign w:val="bottom"/>
            <w:hideMark/>
          </w:tcPr>
          <w:p w14:paraId="17325F14" w14:textId="77777777" w:rsidR="00F026BE" w:rsidRPr="00512250" w:rsidRDefault="00F026BE" w:rsidP="00E47788">
            <w:pPr>
              <w:pStyle w:val="NormalHanging12a"/>
            </w:pPr>
            <w:r w:rsidRPr="00512250">
              <w:t>€ 56 906 201,00</w:t>
            </w:r>
          </w:p>
        </w:tc>
        <w:tc>
          <w:tcPr>
            <w:tcW w:w="2126" w:type="dxa"/>
            <w:tcBorders>
              <w:top w:val="nil"/>
              <w:left w:val="nil"/>
              <w:bottom w:val="single" w:sz="4" w:space="0" w:color="auto"/>
              <w:right w:val="single" w:sz="4" w:space="0" w:color="auto"/>
            </w:tcBorders>
            <w:noWrap/>
            <w:vAlign w:val="bottom"/>
            <w:hideMark/>
          </w:tcPr>
          <w:p w14:paraId="02764F25" w14:textId="77777777" w:rsidR="00F026BE" w:rsidRPr="00512250" w:rsidRDefault="00F026BE" w:rsidP="00E47788">
            <w:pPr>
              <w:pStyle w:val="NormalHanging12a"/>
            </w:pPr>
            <w:r w:rsidRPr="00512250">
              <w:t>€ 52 672 001,66</w:t>
            </w:r>
          </w:p>
        </w:tc>
        <w:tc>
          <w:tcPr>
            <w:tcW w:w="2054" w:type="dxa"/>
            <w:tcBorders>
              <w:top w:val="nil"/>
              <w:left w:val="nil"/>
              <w:bottom w:val="single" w:sz="4" w:space="0" w:color="auto"/>
              <w:right w:val="single" w:sz="4" w:space="0" w:color="auto"/>
            </w:tcBorders>
            <w:shd w:val="clear" w:color="auto" w:fill="FFFFFF"/>
            <w:noWrap/>
            <w:vAlign w:val="center"/>
            <w:hideMark/>
          </w:tcPr>
          <w:p w14:paraId="0FC6FFDB" w14:textId="77777777" w:rsidR="00F026BE" w:rsidRPr="00512250" w:rsidRDefault="00F026BE" w:rsidP="00E47788">
            <w:pPr>
              <w:pStyle w:val="NormalHanging12a"/>
            </w:pPr>
            <w:r w:rsidRPr="00512250">
              <w:t>8,04 %</w:t>
            </w:r>
          </w:p>
        </w:tc>
      </w:tr>
      <w:tr w:rsidR="00F026BE" w:rsidRPr="00512250" w14:paraId="2DDC7B35"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4E21040D" w14:textId="77777777" w:rsidR="00F026BE" w:rsidRPr="00512250" w:rsidRDefault="00F026BE" w:rsidP="00E47788">
            <w:pPr>
              <w:pStyle w:val="NormalHanging12a"/>
            </w:pPr>
            <w:r w:rsidRPr="00512250">
              <w:t>ECDC</w:t>
            </w:r>
          </w:p>
        </w:tc>
        <w:tc>
          <w:tcPr>
            <w:tcW w:w="2126" w:type="dxa"/>
            <w:tcBorders>
              <w:top w:val="nil"/>
              <w:left w:val="nil"/>
              <w:bottom w:val="single" w:sz="4" w:space="0" w:color="auto"/>
              <w:right w:val="single" w:sz="4" w:space="0" w:color="auto"/>
            </w:tcBorders>
            <w:noWrap/>
            <w:vAlign w:val="bottom"/>
            <w:hideMark/>
          </w:tcPr>
          <w:p w14:paraId="63A54B33" w14:textId="77777777" w:rsidR="00F026BE" w:rsidRPr="00512250" w:rsidRDefault="00F026BE" w:rsidP="00E47788">
            <w:pPr>
              <w:pStyle w:val="NormalHanging12a"/>
            </w:pPr>
            <w:r w:rsidRPr="00512250">
              <w:t>€ 111 257 449,00</w:t>
            </w:r>
          </w:p>
        </w:tc>
        <w:tc>
          <w:tcPr>
            <w:tcW w:w="2126" w:type="dxa"/>
            <w:tcBorders>
              <w:top w:val="nil"/>
              <w:left w:val="nil"/>
              <w:bottom w:val="single" w:sz="4" w:space="0" w:color="auto"/>
              <w:right w:val="single" w:sz="4" w:space="0" w:color="auto"/>
            </w:tcBorders>
            <w:noWrap/>
            <w:vAlign w:val="bottom"/>
            <w:hideMark/>
          </w:tcPr>
          <w:p w14:paraId="5742D39E" w14:textId="77777777" w:rsidR="00F026BE" w:rsidRPr="00512250" w:rsidRDefault="00F026BE" w:rsidP="00E47788">
            <w:pPr>
              <w:pStyle w:val="NormalHanging12a"/>
            </w:pPr>
            <w:r w:rsidRPr="00512250">
              <w:t>€ 102 526 724,00</w:t>
            </w:r>
          </w:p>
        </w:tc>
        <w:tc>
          <w:tcPr>
            <w:tcW w:w="2054" w:type="dxa"/>
            <w:tcBorders>
              <w:top w:val="nil"/>
              <w:left w:val="nil"/>
              <w:bottom w:val="single" w:sz="4" w:space="0" w:color="auto"/>
              <w:right w:val="single" w:sz="4" w:space="0" w:color="auto"/>
            </w:tcBorders>
            <w:shd w:val="clear" w:color="auto" w:fill="FFFFFF"/>
            <w:noWrap/>
            <w:vAlign w:val="center"/>
            <w:hideMark/>
          </w:tcPr>
          <w:p w14:paraId="39BD4A69" w14:textId="77777777" w:rsidR="00F026BE" w:rsidRPr="00512250" w:rsidRDefault="00F026BE" w:rsidP="00E47788">
            <w:pPr>
              <w:pStyle w:val="NormalHanging12a"/>
            </w:pPr>
            <w:r w:rsidRPr="00512250">
              <w:t>8,52 %</w:t>
            </w:r>
          </w:p>
        </w:tc>
      </w:tr>
      <w:tr w:rsidR="00F026BE" w:rsidRPr="00512250" w14:paraId="6D095647"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7E6F6AA7" w14:textId="77777777" w:rsidR="00F026BE" w:rsidRPr="00512250" w:rsidRDefault="00F026BE" w:rsidP="00E47788">
            <w:pPr>
              <w:pStyle w:val="NormalHanging12a"/>
            </w:pPr>
            <w:r w:rsidRPr="00512250">
              <w:t xml:space="preserve">ECHA </w:t>
            </w:r>
          </w:p>
        </w:tc>
        <w:tc>
          <w:tcPr>
            <w:tcW w:w="2126" w:type="dxa"/>
            <w:tcBorders>
              <w:top w:val="nil"/>
              <w:left w:val="nil"/>
              <w:bottom w:val="single" w:sz="4" w:space="0" w:color="auto"/>
              <w:right w:val="single" w:sz="4" w:space="0" w:color="auto"/>
            </w:tcBorders>
            <w:noWrap/>
            <w:vAlign w:val="bottom"/>
            <w:hideMark/>
          </w:tcPr>
          <w:p w14:paraId="135B9709" w14:textId="77777777" w:rsidR="00F026BE" w:rsidRPr="00512250" w:rsidRDefault="00F026BE" w:rsidP="00E47788">
            <w:pPr>
              <w:pStyle w:val="NormalHanging12a"/>
            </w:pPr>
            <w:r w:rsidRPr="00512250">
              <w:t>€ 128 712 666,00</w:t>
            </w:r>
          </w:p>
        </w:tc>
        <w:tc>
          <w:tcPr>
            <w:tcW w:w="2126" w:type="dxa"/>
            <w:tcBorders>
              <w:top w:val="nil"/>
              <w:left w:val="nil"/>
              <w:bottom w:val="single" w:sz="4" w:space="0" w:color="auto"/>
              <w:right w:val="single" w:sz="4" w:space="0" w:color="auto"/>
            </w:tcBorders>
            <w:noWrap/>
            <w:vAlign w:val="bottom"/>
            <w:hideMark/>
          </w:tcPr>
          <w:p w14:paraId="3BBDEC3E" w14:textId="77777777" w:rsidR="00F026BE" w:rsidRPr="00512250" w:rsidRDefault="00F026BE" w:rsidP="00E47788">
            <w:pPr>
              <w:pStyle w:val="NormalHanging12a"/>
            </w:pPr>
            <w:r w:rsidRPr="00512250">
              <w:t>€ 123 280 140,00</w:t>
            </w:r>
          </w:p>
        </w:tc>
        <w:tc>
          <w:tcPr>
            <w:tcW w:w="2054" w:type="dxa"/>
            <w:tcBorders>
              <w:top w:val="nil"/>
              <w:left w:val="nil"/>
              <w:bottom w:val="single" w:sz="4" w:space="0" w:color="auto"/>
              <w:right w:val="single" w:sz="4" w:space="0" w:color="auto"/>
            </w:tcBorders>
            <w:shd w:val="clear" w:color="auto" w:fill="FFFFFF"/>
            <w:noWrap/>
            <w:vAlign w:val="center"/>
            <w:hideMark/>
          </w:tcPr>
          <w:p w14:paraId="001CD44E" w14:textId="77777777" w:rsidR="00F026BE" w:rsidRPr="00512250" w:rsidRDefault="00F026BE" w:rsidP="00E47788">
            <w:pPr>
              <w:pStyle w:val="NormalHanging12a"/>
            </w:pPr>
            <w:r w:rsidRPr="00512250">
              <w:t>4,41 %</w:t>
            </w:r>
          </w:p>
        </w:tc>
      </w:tr>
      <w:tr w:rsidR="00F026BE" w:rsidRPr="00512250" w14:paraId="6270CF64"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1A3FC680" w14:textId="77777777" w:rsidR="00F026BE" w:rsidRPr="00512250" w:rsidRDefault="00F026BE" w:rsidP="00E47788">
            <w:pPr>
              <w:pStyle w:val="NormalHanging12a"/>
            </w:pPr>
            <w:r w:rsidRPr="00512250">
              <w:t>ΕΟΠ</w:t>
            </w:r>
            <w:r w:rsidRPr="00512250">
              <w:rPr>
                <w:vertAlign w:val="superscript"/>
              </w:rPr>
              <w:footnoteReference w:id="402"/>
            </w:r>
          </w:p>
        </w:tc>
        <w:tc>
          <w:tcPr>
            <w:tcW w:w="2126" w:type="dxa"/>
            <w:tcBorders>
              <w:top w:val="nil"/>
              <w:left w:val="nil"/>
              <w:bottom w:val="single" w:sz="4" w:space="0" w:color="auto"/>
              <w:right w:val="single" w:sz="4" w:space="0" w:color="auto"/>
            </w:tcBorders>
            <w:noWrap/>
            <w:vAlign w:val="bottom"/>
            <w:hideMark/>
          </w:tcPr>
          <w:p w14:paraId="1BAEE329" w14:textId="77777777" w:rsidR="00F026BE" w:rsidRPr="00512250" w:rsidRDefault="00F026BE" w:rsidP="00E47788">
            <w:pPr>
              <w:pStyle w:val="NormalHanging12a"/>
            </w:pPr>
            <w:r w:rsidRPr="00512250">
              <w:t>€ 101 655 603,00</w:t>
            </w:r>
          </w:p>
        </w:tc>
        <w:tc>
          <w:tcPr>
            <w:tcW w:w="2126" w:type="dxa"/>
            <w:tcBorders>
              <w:top w:val="nil"/>
              <w:left w:val="nil"/>
              <w:bottom w:val="single" w:sz="4" w:space="0" w:color="auto"/>
              <w:right w:val="single" w:sz="4" w:space="0" w:color="auto"/>
            </w:tcBorders>
            <w:noWrap/>
            <w:vAlign w:val="bottom"/>
            <w:hideMark/>
          </w:tcPr>
          <w:p w14:paraId="1F4D5A63" w14:textId="77777777" w:rsidR="00F026BE" w:rsidRPr="00512250" w:rsidRDefault="00F026BE" w:rsidP="00E47788">
            <w:pPr>
              <w:pStyle w:val="NormalHanging12a"/>
            </w:pPr>
            <w:r w:rsidRPr="00512250">
              <w:t>€ 76 114 130,00</w:t>
            </w:r>
          </w:p>
        </w:tc>
        <w:tc>
          <w:tcPr>
            <w:tcW w:w="2054" w:type="dxa"/>
            <w:tcBorders>
              <w:top w:val="nil"/>
              <w:left w:val="nil"/>
              <w:bottom w:val="single" w:sz="4" w:space="0" w:color="auto"/>
              <w:right w:val="single" w:sz="4" w:space="0" w:color="auto"/>
            </w:tcBorders>
            <w:shd w:val="clear" w:color="auto" w:fill="FFFFFF"/>
            <w:noWrap/>
            <w:vAlign w:val="center"/>
            <w:hideMark/>
          </w:tcPr>
          <w:p w14:paraId="75914E2B" w14:textId="77777777" w:rsidR="00F026BE" w:rsidRPr="00512250" w:rsidRDefault="00F026BE" w:rsidP="00E47788">
            <w:pPr>
              <w:pStyle w:val="NormalHanging12a"/>
            </w:pPr>
            <w:r w:rsidRPr="00512250">
              <w:t>33,56 %</w:t>
            </w:r>
          </w:p>
        </w:tc>
      </w:tr>
      <w:tr w:rsidR="00F026BE" w:rsidRPr="00512250" w14:paraId="47464CE5"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1CD10E44" w14:textId="77777777" w:rsidR="00F026BE" w:rsidRPr="00512250" w:rsidRDefault="00F026BE" w:rsidP="00E47788">
            <w:pPr>
              <w:pStyle w:val="NormalHanging12a"/>
            </w:pPr>
            <w:r w:rsidRPr="00512250">
              <w:t>EFCA</w:t>
            </w:r>
          </w:p>
        </w:tc>
        <w:tc>
          <w:tcPr>
            <w:tcW w:w="2126" w:type="dxa"/>
            <w:tcBorders>
              <w:top w:val="nil"/>
              <w:left w:val="nil"/>
              <w:bottom w:val="single" w:sz="4" w:space="0" w:color="auto"/>
              <w:right w:val="single" w:sz="4" w:space="0" w:color="auto"/>
            </w:tcBorders>
            <w:noWrap/>
            <w:vAlign w:val="bottom"/>
            <w:hideMark/>
          </w:tcPr>
          <w:p w14:paraId="1B1CFF80" w14:textId="77777777" w:rsidR="00F026BE" w:rsidRPr="00512250" w:rsidRDefault="00F026BE" w:rsidP="00E47788">
            <w:pPr>
              <w:pStyle w:val="NormalHanging12a"/>
            </w:pPr>
            <w:r w:rsidRPr="00512250">
              <w:t>€ 30 793 032,00</w:t>
            </w:r>
          </w:p>
        </w:tc>
        <w:tc>
          <w:tcPr>
            <w:tcW w:w="2126" w:type="dxa"/>
            <w:tcBorders>
              <w:top w:val="nil"/>
              <w:left w:val="nil"/>
              <w:bottom w:val="single" w:sz="4" w:space="0" w:color="auto"/>
              <w:right w:val="single" w:sz="4" w:space="0" w:color="auto"/>
            </w:tcBorders>
            <w:noWrap/>
            <w:vAlign w:val="bottom"/>
            <w:hideMark/>
          </w:tcPr>
          <w:p w14:paraId="42829F33" w14:textId="77777777" w:rsidR="00F026BE" w:rsidRPr="00512250" w:rsidRDefault="00F026BE" w:rsidP="00E47788">
            <w:pPr>
              <w:pStyle w:val="NormalHanging12a"/>
            </w:pPr>
            <w:r w:rsidRPr="00512250">
              <w:t>€ 30 862 554,00</w:t>
            </w:r>
          </w:p>
        </w:tc>
        <w:tc>
          <w:tcPr>
            <w:tcW w:w="2054" w:type="dxa"/>
            <w:tcBorders>
              <w:top w:val="nil"/>
              <w:left w:val="nil"/>
              <w:bottom w:val="single" w:sz="4" w:space="0" w:color="auto"/>
              <w:right w:val="single" w:sz="4" w:space="0" w:color="auto"/>
            </w:tcBorders>
            <w:shd w:val="clear" w:color="auto" w:fill="FFFFFF"/>
            <w:noWrap/>
            <w:vAlign w:val="center"/>
            <w:hideMark/>
          </w:tcPr>
          <w:p w14:paraId="28224F3B" w14:textId="77777777" w:rsidR="00F026BE" w:rsidRPr="00512250" w:rsidRDefault="00F026BE" w:rsidP="00E47788">
            <w:pPr>
              <w:pStyle w:val="NormalHanging12a"/>
            </w:pPr>
            <w:r w:rsidRPr="00512250">
              <w:t>-0,23 %</w:t>
            </w:r>
          </w:p>
        </w:tc>
      </w:tr>
      <w:tr w:rsidR="00F026BE" w:rsidRPr="00512250" w14:paraId="2A6310E4"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6F00CB73" w14:textId="77777777" w:rsidR="00F026BE" w:rsidRPr="00512250" w:rsidRDefault="00F026BE" w:rsidP="00E47788">
            <w:pPr>
              <w:pStyle w:val="NormalHanging12a"/>
            </w:pPr>
            <w:r w:rsidRPr="00512250">
              <w:t>EFSA</w:t>
            </w:r>
          </w:p>
        </w:tc>
        <w:tc>
          <w:tcPr>
            <w:tcW w:w="2126" w:type="dxa"/>
            <w:tcBorders>
              <w:top w:val="nil"/>
              <w:left w:val="nil"/>
              <w:bottom w:val="single" w:sz="4" w:space="0" w:color="auto"/>
              <w:right w:val="single" w:sz="4" w:space="0" w:color="auto"/>
            </w:tcBorders>
            <w:noWrap/>
            <w:vAlign w:val="bottom"/>
            <w:hideMark/>
          </w:tcPr>
          <w:p w14:paraId="0C89E7F4" w14:textId="77777777" w:rsidR="00F026BE" w:rsidRPr="00512250" w:rsidRDefault="00F026BE" w:rsidP="00E47788">
            <w:pPr>
              <w:pStyle w:val="NormalHanging12a"/>
            </w:pPr>
            <w:r w:rsidRPr="00512250">
              <w:t>€ 154 939 697,00</w:t>
            </w:r>
          </w:p>
        </w:tc>
        <w:tc>
          <w:tcPr>
            <w:tcW w:w="2126" w:type="dxa"/>
            <w:tcBorders>
              <w:top w:val="nil"/>
              <w:left w:val="nil"/>
              <w:bottom w:val="single" w:sz="4" w:space="0" w:color="auto"/>
              <w:right w:val="single" w:sz="4" w:space="0" w:color="auto"/>
            </w:tcBorders>
            <w:noWrap/>
            <w:vAlign w:val="bottom"/>
            <w:hideMark/>
          </w:tcPr>
          <w:p w14:paraId="219421C8" w14:textId="77777777" w:rsidR="00F026BE" w:rsidRPr="00512250" w:rsidRDefault="00F026BE" w:rsidP="00E47788">
            <w:pPr>
              <w:pStyle w:val="NormalHanging12a"/>
            </w:pPr>
            <w:r w:rsidRPr="00512250">
              <w:t>€ 148 954 729,00</w:t>
            </w:r>
          </w:p>
        </w:tc>
        <w:tc>
          <w:tcPr>
            <w:tcW w:w="2054" w:type="dxa"/>
            <w:tcBorders>
              <w:top w:val="nil"/>
              <w:left w:val="nil"/>
              <w:bottom w:val="single" w:sz="4" w:space="0" w:color="auto"/>
              <w:right w:val="single" w:sz="4" w:space="0" w:color="auto"/>
            </w:tcBorders>
            <w:shd w:val="clear" w:color="auto" w:fill="FFFFFF"/>
            <w:noWrap/>
            <w:vAlign w:val="center"/>
            <w:hideMark/>
          </w:tcPr>
          <w:p w14:paraId="4AE0BA97" w14:textId="77777777" w:rsidR="00F026BE" w:rsidRPr="00512250" w:rsidRDefault="00F026BE" w:rsidP="00E47788">
            <w:pPr>
              <w:pStyle w:val="NormalHanging12a"/>
            </w:pPr>
            <w:r w:rsidRPr="00512250">
              <w:t>4,02 %</w:t>
            </w:r>
          </w:p>
        </w:tc>
      </w:tr>
      <w:tr w:rsidR="00F026BE" w:rsidRPr="00512250" w14:paraId="01BC108F"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358BD318" w14:textId="77777777" w:rsidR="00F026BE" w:rsidRPr="00512250" w:rsidRDefault="00F026BE" w:rsidP="00E47788">
            <w:pPr>
              <w:pStyle w:val="NormalHanging12a"/>
            </w:pPr>
            <w:r w:rsidRPr="00512250">
              <w:t>EIGE</w:t>
            </w:r>
          </w:p>
        </w:tc>
        <w:tc>
          <w:tcPr>
            <w:tcW w:w="2126" w:type="dxa"/>
            <w:tcBorders>
              <w:top w:val="nil"/>
              <w:left w:val="nil"/>
              <w:bottom w:val="single" w:sz="4" w:space="0" w:color="auto"/>
              <w:right w:val="single" w:sz="4" w:space="0" w:color="auto"/>
            </w:tcBorders>
            <w:noWrap/>
            <w:vAlign w:val="bottom"/>
            <w:hideMark/>
          </w:tcPr>
          <w:p w14:paraId="502E1882" w14:textId="77777777" w:rsidR="00F026BE" w:rsidRPr="00512250" w:rsidRDefault="00F026BE" w:rsidP="00E47788">
            <w:pPr>
              <w:pStyle w:val="NormalHanging12a"/>
            </w:pPr>
            <w:r w:rsidRPr="00512250">
              <w:t>€ 9 432 057,00</w:t>
            </w:r>
          </w:p>
        </w:tc>
        <w:tc>
          <w:tcPr>
            <w:tcW w:w="2126" w:type="dxa"/>
            <w:tcBorders>
              <w:top w:val="nil"/>
              <w:left w:val="nil"/>
              <w:bottom w:val="single" w:sz="4" w:space="0" w:color="auto"/>
              <w:right w:val="single" w:sz="4" w:space="0" w:color="auto"/>
            </w:tcBorders>
            <w:noWrap/>
            <w:vAlign w:val="bottom"/>
            <w:hideMark/>
          </w:tcPr>
          <w:p w14:paraId="136F166F" w14:textId="77777777" w:rsidR="00F026BE" w:rsidRPr="00512250" w:rsidRDefault="00F026BE" w:rsidP="00E47788">
            <w:pPr>
              <w:pStyle w:val="NormalHanging12a"/>
            </w:pPr>
            <w:r w:rsidRPr="00512250">
              <w:t>€ 9 358 919,46</w:t>
            </w:r>
          </w:p>
        </w:tc>
        <w:tc>
          <w:tcPr>
            <w:tcW w:w="2054" w:type="dxa"/>
            <w:tcBorders>
              <w:top w:val="nil"/>
              <w:left w:val="nil"/>
              <w:bottom w:val="single" w:sz="4" w:space="0" w:color="auto"/>
              <w:right w:val="single" w:sz="4" w:space="0" w:color="auto"/>
            </w:tcBorders>
            <w:shd w:val="clear" w:color="auto" w:fill="FFFFFF"/>
            <w:noWrap/>
            <w:vAlign w:val="center"/>
            <w:hideMark/>
          </w:tcPr>
          <w:p w14:paraId="27BC66AF" w14:textId="77777777" w:rsidR="00F026BE" w:rsidRPr="00512250" w:rsidRDefault="00F026BE" w:rsidP="00E47788">
            <w:pPr>
              <w:pStyle w:val="NormalHanging12a"/>
            </w:pPr>
            <w:r w:rsidRPr="00512250">
              <w:t>0,78 %</w:t>
            </w:r>
          </w:p>
        </w:tc>
      </w:tr>
      <w:tr w:rsidR="00F026BE" w:rsidRPr="00512250" w14:paraId="5DACEAB2"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26D3EE48" w14:textId="77777777" w:rsidR="00F026BE" w:rsidRPr="00512250" w:rsidRDefault="00F026BE" w:rsidP="00E47788">
            <w:pPr>
              <w:pStyle w:val="NormalHanging12a"/>
            </w:pPr>
            <w:r w:rsidRPr="00512250">
              <w:lastRenderedPageBreak/>
              <w:t xml:space="preserve">EIOPA </w:t>
            </w:r>
          </w:p>
        </w:tc>
        <w:tc>
          <w:tcPr>
            <w:tcW w:w="2126" w:type="dxa"/>
            <w:tcBorders>
              <w:top w:val="nil"/>
              <w:left w:val="nil"/>
              <w:bottom w:val="single" w:sz="4" w:space="0" w:color="auto"/>
              <w:right w:val="single" w:sz="4" w:space="0" w:color="auto"/>
            </w:tcBorders>
            <w:noWrap/>
            <w:vAlign w:val="bottom"/>
            <w:hideMark/>
          </w:tcPr>
          <w:p w14:paraId="2B68F9B5" w14:textId="77777777" w:rsidR="00F026BE" w:rsidRPr="00512250" w:rsidRDefault="00F026BE" w:rsidP="00E47788">
            <w:pPr>
              <w:pStyle w:val="NormalHanging12a"/>
            </w:pPr>
            <w:r w:rsidRPr="00512250">
              <w:t>€ 37 561 192,00</w:t>
            </w:r>
          </w:p>
        </w:tc>
        <w:tc>
          <w:tcPr>
            <w:tcW w:w="2126" w:type="dxa"/>
            <w:tcBorders>
              <w:top w:val="nil"/>
              <w:left w:val="nil"/>
              <w:bottom w:val="single" w:sz="4" w:space="0" w:color="auto"/>
              <w:right w:val="single" w:sz="4" w:space="0" w:color="auto"/>
            </w:tcBorders>
            <w:noWrap/>
            <w:vAlign w:val="bottom"/>
            <w:hideMark/>
          </w:tcPr>
          <w:p w14:paraId="75404C0C" w14:textId="77777777" w:rsidR="00F026BE" w:rsidRPr="00512250" w:rsidRDefault="00F026BE" w:rsidP="00E47788">
            <w:pPr>
              <w:pStyle w:val="NormalHanging12a"/>
            </w:pPr>
            <w:r w:rsidRPr="00512250">
              <w:t>€ 36 714 492,00</w:t>
            </w:r>
          </w:p>
        </w:tc>
        <w:tc>
          <w:tcPr>
            <w:tcW w:w="2054" w:type="dxa"/>
            <w:tcBorders>
              <w:top w:val="nil"/>
              <w:left w:val="nil"/>
              <w:bottom w:val="single" w:sz="4" w:space="0" w:color="auto"/>
              <w:right w:val="single" w:sz="4" w:space="0" w:color="auto"/>
            </w:tcBorders>
            <w:shd w:val="clear" w:color="auto" w:fill="FFFFFF"/>
            <w:noWrap/>
            <w:vAlign w:val="center"/>
            <w:hideMark/>
          </w:tcPr>
          <w:p w14:paraId="3EB26A83" w14:textId="77777777" w:rsidR="00F026BE" w:rsidRPr="00512250" w:rsidRDefault="00F026BE" w:rsidP="00E47788">
            <w:pPr>
              <w:pStyle w:val="NormalHanging12a"/>
            </w:pPr>
            <w:r w:rsidRPr="00512250">
              <w:t>2,31 %</w:t>
            </w:r>
          </w:p>
        </w:tc>
      </w:tr>
      <w:tr w:rsidR="00F026BE" w:rsidRPr="00512250" w14:paraId="1B86053C"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4DB496F7" w14:textId="77777777" w:rsidR="00F026BE" w:rsidRPr="00512250" w:rsidRDefault="00F026BE" w:rsidP="00E47788">
            <w:pPr>
              <w:pStyle w:val="NormalHanging12a"/>
            </w:pPr>
            <w:r w:rsidRPr="00512250">
              <w:t>EIT</w:t>
            </w:r>
          </w:p>
        </w:tc>
        <w:tc>
          <w:tcPr>
            <w:tcW w:w="2126" w:type="dxa"/>
            <w:tcBorders>
              <w:top w:val="nil"/>
              <w:left w:val="nil"/>
              <w:bottom w:val="single" w:sz="4" w:space="0" w:color="auto"/>
              <w:right w:val="single" w:sz="4" w:space="0" w:color="auto"/>
            </w:tcBorders>
            <w:noWrap/>
            <w:vAlign w:val="bottom"/>
            <w:hideMark/>
          </w:tcPr>
          <w:p w14:paraId="24105594" w14:textId="77777777" w:rsidR="00F026BE" w:rsidRPr="00512250" w:rsidRDefault="00F026BE" w:rsidP="00E47788">
            <w:pPr>
              <w:pStyle w:val="NormalHanging12a"/>
            </w:pPr>
            <w:r w:rsidRPr="00512250">
              <w:t>€ 463 576 047,00</w:t>
            </w:r>
          </w:p>
        </w:tc>
        <w:tc>
          <w:tcPr>
            <w:tcW w:w="2126" w:type="dxa"/>
            <w:tcBorders>
              <w:top w:val="nil"/>
              <w:left w:val="nil"/>
              <w:bottom w:val="single" w:sz="4" w:space="0" w:color="auto"/>
              <w:right w:val="single" w:sz="4" w:space="0" w:color="auto"/>
            </w:tcBorders>
            <w:noWrap/>
            <w:vAlign w:val="bottom"/>
            <w:hideMark/>
          </w:tcPr>
          <w:p w14:paraId="21AFCC0F" w14:textId="77777777" w:rsidR="00F026BE" w:rsidRPr="00512250" w:rsidRDefault="00F026BE" w:rsidP="00E47788">
            <w:pPr>
              <w:pStyle w:val="NormalHanging12a"/>
            </w:pPr>
            <w:r w:rsidRPr="00512250">
              <w:t>€ 367 607 241,00</w:t>
            </w:r>
          </w:p>
        </w:tc>
        <w:tc>
          <w:tcPr>
            <w:tcW w:w="2054" w:type="dxa"/>
            <w:tcBorders>
              <w:top w:val="nil"/>
              <w:left w:val="nil"/>
              <w:bottom w:val="single" w:sz="4" w:space="0" w:color="auto"/>
              <w:right w:val="single" w:sz="4" w:space="0" w:color="auto"/>
            </w:tcBorders>
            <w:shd w:val="clear" w:color="auto" w:fill="FFFFFF"/>
            <w:noWrap/>
            <w:vAlign w:val="center"/>
            <w:hideMark/>
          </w:tcPr>
          <w:p w14:paraId="70342540" w14:textId="77777777" w:rsidR="00F026BE" w:rsidRPr="00512250" w:rsidRDefault="00F026BE" w:rsidP="00E47788">
            <w:pPr>
              <w:pStyle w:val="NormalHanging12a"/>
            </w:pPr>
            <w:r w:rsidRPr="00512250">
              <w:t>26,11 %</w:t>
            </w:r>
          </w:p>
        </w:tc>
      </w:tr>
      <w:tr w:rsidR="00F026BE" w:rsidRPr="00512250" w14:paraId="2CE16F26"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7F83815F" w14:textId="77777777" w:rsidR="00F026BE" w:rsidRPr="00512250" w:rsidRDefault="00F026BE" w:rsidP="00E47788">
            <w:pPr>
              <w:pStyle w:val="NormalHanging12a"/>
            </w:pPr>
            <w:r w:rsidRPr="00512250">
              <w:t>ELA</w:t>
            </w:r>
          </w:p>
        </w:tc>
        <w:tc>
          <w:tcPr>
            <w:tcW w:w="2126" w:type="dxa"/>
            <w:tcBorders>
              <w:top w:val="nil"/>
              <w:left w:val="nil"/>
              <w:bottom w:val="single" w:sz="4" w:space="0" w:color="auto"/>
              <w:right w:val="single" w:sz="4" w:space="0" w:color="auto"/>
            </w:tcBorders>
            <w:noWrap/>
            <w:vAlign w:val="bottom"/>
            <w:hideMark/>
          </w:tcPr>
          <w:p w14:paraId="73070AA7" w14:textId="77777777" w:rsidR="00F026BE" w:rsidRPr="00512250" w:rsidRDefault="00F026BE" w:rsidP="00E47788">
            <w:pPr>
              <w:pStyle w:val="NormalHanging12a"/>
            </w:pPr>
            <w:r w:rsidRPr="00512250">
              <w:t>€ 48 693 555,00</w:t>
            </w:r>
          </w:p>
        </w:tc>
        <w:tc>
          <w:tcPr>
            <w:tcW w:w="2126" w:type="dxa"/>
            <w:tcBorders>
              <w:top w:val="nil"/>
              <w:left w:val="nil"/>
              <w:bottom w:val="single" w:sz="4" w:space="0" w:color="auto"/>
              <w:right w:val="single" w:sz="4" w:space="0" w:color="auto"/>
            </w:tcBorders>
            <w:noWrap/>
            <w:vAlign w:val="bottom"/>
            <w:hideMark/>
          </w:tcPr>
          <w:p w14:paraId="70308D4B" w14:textId="77777777" w:rsidR="00F026BE" w:rsidRPr="00512250" w:rsidRDefault="00F026BE" w:rsidP="00E47788">
            <w:pPr>
              <w:pStyle w:val="NormalHanging12a"/>
            </w:pPr>
            <w:r w:rsidRPr="00512250">
              <w:t>€ 39 973 330,00</w:t>
            </w:r>
          </w:p>
        </w:tc>
        <w:tc>
          <w:tcPr>
            <w:tcW w:w="2054" w:type="dxa"/>
            <w:tcBorders>
              <w:top w:val="nil"/>
              <w:left w:val="nil"/>
              <w:bottom w:val="single" w:sz="4" w:space="0" w:color="auto"/>
              <w:right w:val="single" w:sz="4" w:space="0" w:color="auto"/>
            </w:tcBorders>
            <w:shd w:val="clear" w:color="auto" w:fill="FFFFFF"/>
            <w:noWrap/>
            <w:vAlign w:val="center"/>
            <w:hideMark/>
          </w:tcPr>
          <w:p w14:paraId="11A9745B" w14:textId="77777777" w:rsidR="00F026BE" w:rsidRPr="00512250" w:rsidRDefault="00F026BE" w:rsidP="00E47788">
            <w:pPr>
              <w:pStyle w:val="NormalHanging12a"/>
            </w:pPr>
            <w:r w:rsidRPr="00512250">
              <w:t>21,82 %</w:t>
            </w:r>
          </w:p>
        </w:tc>
      </w:tr>
      <w:tr w:rsidR="00F026BE" w:rsidRPr="00512250" w14:paraId="157D4810"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5F71BF19" w14:textId="77777777" w:rsidR="00F026BE" w:rsidRPr="00512250" w:rsidRDefault="00F026BE" w:rsidP="00E47788">
            <w:pPr>
              <w:pStyle w:val="NormalHanging12a"/>
            </w:pPr>
            <w:r w:rsidRPr="00512250">
              <w:t xml:space="preserve">EMA </w:t>
            </w:r>
          </w:p>
        </w:tc>
        <w:tc>
          <w:tcPr>
            <w:tcW w:w="2126" w:type="dxa"/>
            <w:tcBorders>
              <w:top w:val="nil"/>
              <w:left w:val="nil"/>
              <w:bottom w:val="single" w:sz="4" w:space="0" w:color="auto"/>
              <w:right w:val="single" w:sz="4" w:space="0" w:color="auto"/>
            </w:tcBorders>
            <w:noWrap/>
            <w:vAlign w:val="bottom"/>
            <w:hideMark/>
          </w:tcPr>
          <w:p w14:paraId="29BD0810" w14:textId="77777777" w:rsidR="00F026BE" w:rsidRPr="00512250" w:rsidRDefault="00F026BE" w:rsidP="00E47788">
            <w:pPr>
              <w:pStyle w:val="NormalHanging12a"/>
            </w:pPr>
            <w:r w:rsidRPr="00512250">
              <w:t>€ 491 862 000,00</w:t>
            </w:r>
          </w:p>
        </w:tc>
        <w:tc>
          <w:tcPr>
            <w:tcW w:w="2126" w:type="dxa"/>
            <w:tcBorders>
              <w:top w:val="nil"/>
              <w:left w:val="nil"/>
              <w:bottom w:val="single" w:sz="4" w:space="0" w:color="auto"/>
              <w:right w:val="single" w:sz="4" w:space="0" w:color="auto"/>
            </w:tcBorders>
            <w:noWrap/>
            <w:vAlign w:val="bottom"/>
            <w:hideMark/>
          </w:tcPr>
          <w:p w14:paraId="53EB0974" w14:textId="77777777" w:rsidR="00F026BE" w:rsidRPr="00512250" w:rsidRDefault="00F026BE" w:rsidP="00E47788">
            <w:pPr>
              <w:pStyle w:val="NormalHanging12a"/>
            </w:pPr>
            <w:r w:rsidRPr="00512250">
              <w:t>€ 448 603 000,00</w:t>
            </w:r>
          </w:p>
        </w:tc>
        <w:tc>
          <w:tcPr>
            <w:tcW w:w="2054" w:type="dxa"/>
            <w:tcBorders>
              <w:top w:val="nil"/>
              <w:left w:val="nil"/>
              <w:bottom w:val="single" w:sz="4" w:space="0" w:color="auto"/>
              <w:right w:val="single" w:sz="4" w:space="0" w:color="auto"/>
            </w:tcBorders>
            <w:shd w:val="clear" w:color="auto" w:fill="FFFFFF"/>
            <w:noWrap/>
            <w:vAlign w:val="center"/>
            <w:hideMark/>
          </w:tcPr>
          <w:p w14:paraId="7AD69774" w14:textId="77777777" w:rsidR="00F026BE" w:rsidRPr="00512250" w:rsidRDefault="00F026BE" w:rsidP="00E47788">
            <w:pPr>
              <w:pStyle w:val="NormalHanging12a"/>
            </w:pPr>
            <w:r w:rsidRPr="00512250">
              <w:t>9,64 %</w:t>
            </w:r>
          </w:p>
        </w:tc>
      </w:tr>
      <w:tr w:rsidR="00F026BE" w:rsidRPr="00512250" w14:paraId="46FDE634"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0242384D" w14:textId="77777777" w:rsidR="00F026BE" w:rsidRPr="00512250" w:rsidRDefault="00F026BE" w:rsidP="00E47788">
            <w:pPr>
              <w:pStyle w:val="NormalHanging12a"/>
            </w:pPr>
            <w:r w:rsidRPr="00512250">
              <w:t>EMSA</w:t>
            </w:r>
          </w:p>
        </w:tc>
        <w:tc>
          <w:tcPr>
            <w:tcW w:w="2126" w:type="dxa"/>
            <w:tcBorders>
              <w:top w:val="nil"/>
              <w:left w:val="nil"/>
              <w:bottom w:val="single" w:sz="4" w:space="0" w:color="auto"/>
              <w:right w:val="single" w:sz="4" w:space="0" w:color="auto"/>
            </w:tcBorders>
            <w:noWrap/>
            <w:vAlign w:val="bottom"/>
            <w:hideMark/>
          </w:tcPr>
          <w:p w14:paraId="41769513" w14:textId="77777777" w:rsidR="00F026BE" w:rsidRPr="00512250" w:rsidRDefault="00F026BE" w:rsidP="00E47788">
            <w:pPr>
              <w:pStyle w:val="NormalHanging12a"/>
            </w:pPr>
            <w:r w:rsidRPr="00512250">
              <w:t>€ 121 648 764,00</w:t>
            </w:r>
          </w:p>
        </w:tc>
        <w:tc>
          <w:tcPr>
            <w:tcW w:w="2126" w:type="dxa"/>
            <w:tcBorders>
              <w:top w:val="nil"/>
              <w:left w:val="nil"/>
              <w:bottom w:val="single" w:sz="4" w:space="0" w:color="auto"/>
              <w:right w:val="single" w:sz="4" w:space="0" w:color="auto"/>
            </w:tcBorders>
            <w:noWrap/>
            <w:vAlign w:val="bottom"/>
            <w:hideMark/>
          </w:tcPr>
          <w:p w14:paraId="7D41CF18" w14:textId="77777777" w:rsidR="00F026BE" w:rsidRPr="00512250" w:rsidRDefault="00F026BE" w:rsidP="00E47788">
            <w:pPr>
              <w:pStyle w:val="NormalHanging12a"/>
            </w:pPr>
            <w:r w:rsidRPr="00512250">
              <w:t>€ 111 954 231,00</w:t>
            </w:r>
          </w:p>
        </w:tc>
        <w:tc>
          <w:tcPr>
            <w:tcW w:w="2054" w:type="dxa"/>
            <w:tcBorders>
              <w:top w:val="nil"/>
              <w:left w:val="nil"/>
              <w:bottom w:val="single" w:sz="4" w:space="0" w:color="auto"/>
              <w:right w:val="single" w:sz="4" w:space="0" w:color="auto"/>
            </w:tcBorders>
            <w:shd w:val="clear" w:color="auto" w:fill="FFFFFF"/>
            <w:noWrap/>
            <w:vAlign w:val="center"/>
            <w:hideMark/>
          </w:tcPr>
          <w:p w14:paraId="60B2D0B7" w14:textId="77777777" w:rsidR="00F026BE" w:rsidRPr="00512250" w:rsidRDefault="00F026BE" w:rsidP="00E47788">
            <w:pPr>
              <w:pStyle w:val="NormalHanging12a"/>
            </w:pPr>
            <w:r w:rsidRPr="00512250">
              <w:t>8,66 %</w:t>
            </w:r>
          </w:p>
        </w:tc>
      </w:tr>
      <w:tr w:rsidR="00F026BE" w:rsidRPr="00512250" w14:paraId="722AFF15"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15753E0C" w14:textId="77777777" w:rsidR="00F026BE" w:rsidRPr="00512250" w:rsidRDefault="00F026BE" w:rsidP="00E47788">
            <w:pPr>
              <w:pStyle w:val="NormalHanging12a"/>
            </w:pPr>
            <w:r w:rsidRPr="00512250">
              <w:t>ENISA</w:t>
            </w:r>
            <w:r w:rsidRPr="00512250">
              <w:rPr>
                <w:vertAlign w:val="superscript"/>
              </w:rPr>
              <w:footnoteReference w:id="403"/>
            </w:r>
          </w:p>
        </w:tc>
        <w:tc>
          <w:tcPr>
            <w:tcW w:w="2126" w:type="dxa"/>
            <w:tcBorders>
              <w:top w:val="nil"/>
              <w:left w:val="nil"/>
              <w:bottom w:val="single" w:sz="4" w:space="0" w:color="auto"/>
              <w:right w:val="single" w:sz="4" w:space="0" w:color="auto"/>
            </w:tcBorders>
            <w:noWrap/>
            <w:vAlign w:val="bottom"/>
            <w:hideMark/>
          </w:tcPr>
          <w:p w14:paraId="4DDA0E14" w14:textId="77777777" w:rsidR="00F026BE" w:rsidRPr="00512250" w:rsidRDefault="00F026BE" w:rsidP="00E47788">
            <w:pPr>
              <w:pStyle w:val="NormalHanging12a"/>
            </w:pPr>
            <w:r w:rsidRPr="00512250">
              <w:t>€ 42 219 801,00</w:t>
            </w:r>
          </w:p>
        </w:tc>
        <w:tc>
          <w:tcPr>
            <w:tcW w:w="2126" w:type="dxa"/>
            <w:tcBorders>
              <w:top w:val="nil"/>
              <w:left w:val="nil"/>
              <w:bottom w:val="single" w:sz="4" w:space="0" w:color="auto"/>
              <w:right w:val="single" w:sz="4" w:space="0" w:color="auto"/>
            </w:tcBorders>
            <w:noWrap/>
            <w:vAlign w:val="bottom"/>
            <w:hideMark/>
          </w:tcPr>
          <w:p w14:paraId="415AE630" w14:textId="77777777" w:rsidR="00F026BE" w:rsidRPr="00512250" w:rsidRDefault="00F026BE" w:rsidP="00E47788">
            <w:pPr>
              <w:pStyle w:val="NormalHanging12a"/>
            </w:pPr>
            <w:r w:rsidRPr="00512250">
              <w:t>€ 25 183 495,00</w:t>
            </w:r>
          </w:p>
        </w:tc>
        <w:tc>
          <w:tcPr>
            <w:tcW w:w="2054" w:type="dxa"/>
            <w:tcBorders>
              <w:top w:val="nil"/>
              <w:left w:val="nil"/>
              <w:bottom w:val="single" w:sz="4" w:space="0" w:color="auto"/>
              <w:right w:val="single" w:sz="4" w:space="0" w:color="auto"/>
            </w:tcBorders>
            <w:shd w:val="clear" w:color="auto" w:fill="FFFFFF"/>
            <w:noWrap/>
            <w:vAlign w:val="center"/>
            <w:hideMark/>
          </w:tcPr>
          <w:p w14:paraId="573D9FDE" w14:textId="77777777" w:rsidR="00F026BE" w:rsidRPr="00512250" w:rsidRDefault="00F026BE" w:rsidP="00E47788">
            <w:pPr>
              <w:pStyle w:val="NormalHanging12a"/>
            </w:pPr>
            <w:r w:rsidRPr="00512250">
              <w:t>67,65 %</w:t>
            </w:r>
          </w:p>
        </w:tc>
      </w:tr>
      <w:tr w:rsidR="00F026BE" w:rsidRPr="00512250" w14:paraId="33FB57BD"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7688B6FF" w14:textId="77777777" w:rsidR="00F026BE" w:rsidRPr="00512250" w:rsidRDefault="00F026BE" w:rsidP="00E47788">
            <w:pPr>
              <w:pStyle w:val="NormalHanging12a"/>
            </w:pPr>
            <w:r w:rsidRPr="00512250">
              <w:t>ERA</w:t>
            </w:r>
          </w:p>
        </w:tc>
        <w:tc>
          <w:tcPr>
            <w:tcW w:w="2126" w:type="dxa"/>
            <w:tcBorders>
              <w:top w:val="nil"/>
              <w:left w:val="nil"/>
              <w:bottom w:val="single" w:sz="4" w:space="0" w:color="auto"/>
              <w:right w:val="single" w:sz="4" w:space="0" w:color="auto"/>
            </w:tcBorders>
            <w:noWrap/>
            <w:vAlign w:val="bottom"/>
            <w:hideMark/>
          </w:tcPr>
          <w:p w14:paraId="75E143E7" w14:textId="77777777" w:rsidR="00F026BE" w:rsidRPr="00512250" w:rsidRDefault="00F026BE" w:rsidP="00E47788">
            <w:pPr>
              <w:pStyle w:val="NormalHanging12a"/>
            </w:pPr>
            <w:r w:rsidRPr="00512250">
              <w:t>€ 41 936 376,00</w:t>
            </w:r>
          </w:p>
        </w:tc>
        <w:tc>
          <w:tcPr>
            <w:tcW w:w="2126" w:type="dxa"/>
            <w:tcBorders>
              <w:top w:val="nil"/>
              <w:left w:val="nil"/>
              <w:bottom w:val="single" w:sz="4" w:space="0" w:color="auto"/>
              <w:right w:val="single" w:sz="4" w:space="0" w:color="auto"/>
            </w:tcBorders>
            <w:noWrap/>
            <w:vAlign w:val="bottom"/>
            <w:hideMark/>
          </w:tcPr>
          <w:p w14:paraId="5DF6EB14" w14:textId="77777777" w:rsidR="00F026BE" w:rsidRPr="00512250" w:rsidRDefault="00F026BE" w:rsidP="00E47788">
            <w:pPr>
              <w:pStyle w:val="NormalHanging12a"/>
            </w:pPr>
            <w:r w:rsidRPr="00512250">
              <w:t>€ 38 532 447,00</w:t>
            </w:r>
          </w:p>
        </w:tc>
        <w:tc>
          <w:tcPr>
            <w:tcW w:w="2054" w:type="dxa"/>
            <w:tcBorders>
              <w:top w:val="nil"/>
              <w:left w:val="nil"/>
              <w:bottom w:val="single" w:sz="4" w:space="0" w:color="auto"/>
              <w:right w:val="single" w:sz="4" w:space="0" w:color="auto"/>
            </w:tcBorders>
            <w:shd w:val="clear" w:color="auto" w:fill="FFFFFF"/>
            <w:noWrap/>
            <w:vAlign w:val="center"/>
            <w:hideMark/>
          </w:tcPr>
          <w:p w14:paraId="64A54956" w14:textId="77777777" w:rsidR="00F026BE" w:rsidRPr="00512250" w:rsidRDefault="00F026BE" w:rsidP="00E47788">
            <w:pPr>
              <w:pStyle w:val="NormalHanging12a"/>
            </w:pPr>
            <w:r w:rsidRPr="00512250">
              <w:t>8,83 %</w:t>
            </w:r>
          </w:p>
        </w:tc>
      </w:tr>
      <w:tr w:rsidR="00F026BE" w:rsidRPr="00512250" w14:paraId="7C371667"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4C61ABED" w14:textId="77777777" w:rsidR="00F026BE" w:rsidRPr="00512250" w:rsidRDefault="00F026BE" w:rsidP="00E47788">
            <w:pPr>
              <w:pStyle w:val="NormalHanging12a"/>
            </w:pPr>
            <w:r w:rsidRPr="00512250">
              <w:t xml:space="preserve">ESA </w:t>
            </w:r>
          </w:p>
        </w:tc>
        <w:tc>
          <w:tcPr>
            <w:tcW w:w="2126" w:type="dxa"/>
            <w:tcBorders>
              <w:top w:val="nil"/>
              <w:left w:val="nil"/>
              <w:bottom w:val="single" w:sz="4" w:space="0" w:color="auto"/>
              <w:right w:val="single" w:sz="4" w:space="0" w:color="auto"/>
            </w:tcBorders>
            <w:shd w:val="clear" w:color="auto" w:fill="FFFFFF"/>
            <w:noWrap/>
            <w:vAlign w:val="bottom"/>
            <w:hideMark/>
          </w:tcPr>
          <w:p w14:paraId="5A0D7AC3" w14:textId="77777777" w:rsidR="00F026BE" w:rsidRPr="00512250" w:rsidRDefault="00F026BE" w:rsidP="00E47788">
            <w:pPr>
              <w:pStyle w:val="NormalHanging12a"/>
            </w:pPr>
            <w:r w:rsidRPr="00512250">
              <w:t>€ 270 000,00</w:t>
            </w:r>
          </w:p>
        </w:tc>
        <w:tc>
          <w:tcPr>
            <w:tcW w:w="2126" w:type="dxa"/>
            <w:tcBorders>
              <w:top w:val="nil"/>
              <w:left w:val="nil"/>
              <w:bottom w:val="single" w:sz="4" w:space="0" w:color="auto"/>
              <w:right w:val="single" w:sz="4" w:space="0" w:color="auto"/>
            </w:tcBorders>
            <w:noWrap/>
            <w:vAlign w:val="bottom"/>
            <w:hideMark/>
          </w:tcPr>
          <w:p w14:paraId="522B789C" w14:textId="77777777" w:rsidR="00F026BE" w:rsidRPr="00512250" w:rsidRDefault="00F026BE" w:rsidP="00E47788">
            <w:pPr>
              <w:pStyle w:val="NormalHanging12a"/>
            </w:pPr>
            <w:r w:rsidRPr="00512250">
              <w:t>€ 258 160,00</w:t>
            </w:r>
          </w:p>
        </w:tc>
        <w:tc>
          <w:tcPr>
            <w:tcW w:w="2054" w:type="dxa"/>
            <w:tcBorders>
              <w:top w:val="nil"/>
              <w:left w:val="nil"/>
              <w:bottom w:val="single" w:sz="4" w:space="0" w:color="auto"/>
              <w:right w:val="single" w:sz="4" w:space="0" w:color="auto"/>
            </w:tcBorders>
            <w:shd w:val="clear" w:color="auto" w:fill="FFFFFF"/>
            <w:noWrap/>
            <w:vAlign w:val="center"/>
            <w:hideMark/>
          </w:tcPr>
          <w:p w14:paraId="68BED67B" w14:textId="77777777" w:rsidR="00F026BE" w:rsidRPr="00512250" w:rsidRDefault="00F026BE" w:rsidP="00E47788">
            <w:pPr>
              <w:pStyle w:val="NormalHanging12a"/>
            </w:pPr>
            <w:r w:rsidRPr="00512250">
              <w:t>4,59 %</w:t>
            </w:r>
          </w:p>
        </w:tc>
      </w:tr>
      <w:tr w:rsidR="00F026BE" w:rsidRPr="00512250" w14:paraId="35736FA2"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686378EF" w14:textId="77777777" w:rsidR="00F026BE" w:rsidRPr="00512250" w:rsidRDefault="00F026BE" w:rsidP="00E47788">
            <w:pPr>
              <w:pStyle w:val="NormalHanging12a"/>
            </w:pPr>
            <w:r w:rsidRPr="00512250">
              <w:t>ESMA</w:t>
            </w:r>
          </w:p>
        </w:tc>
        <w:tc>
          <w:tcPr>
            <w:tcW w:w="2126" w:type="dxa"/>
            <w:tcBorders>
              <w:top w:val="nil"/>
              <w:left w:val="nil"/>
              <w:bottom w:val="single" w:sz="4" w:space="0" w:color="auto"/>
              <w:right w:val="single" w:sz="4" w:space="0" w:color="auto"/>
            </w:tcBorders>
            <w:noWrap/>
            <w:vAlign w:val="bottom"/>
            <w:hideMark/>
          </w:tcPr>
          <w:p w14:paraId="4B234B0E" w14:textId="77777777" w:rsidR="00F026BE" w:rsidRPr="00512250" w:rsidRDefault="00F026BE" w:rsidP="00E47788">
            <w:pPr>
              <w:pStyle w:val="NormalHanging12a"/>
            </w:pPr>
            <w:r w:rsidRPr="00512250">
              <w:t>€ 76 055 579,00</w:t>
            </w:r>
          </w:p>
        </w:tc>
        <w:tc>
          <w:tcPr>
            <w:tcW w:w="2126" w:type="dxa"/>
            <w:tcBorders>
              <w:top w:val="nil"/>
              <w:left w:val="nil"/>
              <w:bottom w:val="single" w:sz="4" w:space="0" w:color="auto"/>
              <w:right w:val="single" w:sz="4" w:space="0" w:color="auto"/>
            </w:tcBorders>
            <w:noWrap/>
            <w:vAlign w:val="bottom"/>
            <w:hideMark/>
          </w:tcPr>
          <w:p w14:paraId="240336F2" w14:textId="77777777" w:rsidR="00F026BE" w:rsidRPr="00512250" w:rsidRDefault="00F026BE" w:rsidP="00E47788">
            <w:pPr>
              <w:pStyle w:val="NormalHanging12a"/>
            </w:pPr>
            <w:r w:rsidRPr="00512250">
              <w:t>€ 72 509 657,00</w:t>
            </w:r>
          </w:p>
        </w:tc>
        <w:tc>
          <w:tcPr>
            <w:tcW w:w="2054" w:type="dxa"/>
            <w:tcBorders>
              <w:top w:val="nil"/>
              <w:left w:val="nil"/>
              <w:bottom w:val="single" w:sz="4" w:space="0" w:color="auto"/>
              <w:right w:val="single" w:sz="4" w:space="0" w:color="auto"/>
            </w:tcBorders>
            <w:shd w:val="clear" w:color="auto" w:fill="FFFFFF"/>
            <w:noWrap/>
            <w:vAlign w:val="center"/>
            <w:hideMark/>
          </w:tcPr>
          <w:p w14:paraId="2A5FBA1B" w14:textId="77777777" w:rsidR="00F026BE" w:rsidRPr="00512250" w:rsidRDefault="00F026BE" w:rsidP="00E47788">
            <w:pPr>
              <w:pStyle w:val="NormalHanging12a"/>
            </w:pPr>
            <w:r w:rsidRPr="00512250">
              <w:t>4,89 %</w:t>
            </w:r>
          </w:p>
        </w:tc>
      </w:tr>
      <w:tr w:rsidR="00F026BE" w:rsidRPr="00512250" w14:paraId="5B388A91"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288E5AD1" w14:textId="77777777" w:rsidR="00F026BE" w:rsidRPr="00512250" w:rsidRDefault="00F026BE" w:rsidP="00E47788">
            <w:pPr>
              <w:pStyle w:val="NormalHanging12a"/>
            </w:pPr>
            <w:r w:rsidRPr="00512250">
              <w:t xml:space="preserve">ETF </w:t>
            </w:r>
          </w:p>
        </w:tc>
        <w:tc>
          <w:tcPr>
            <w:tcW w:w="2126" w:type="dxa"/>
            <w:tcBorders>
              <w:top w:val="nil"/>
              <w:left w:val="nil"/>
              <w:bottom w:val="single" w:sz="4" w:space="0" w:color="auto"/>
              <w:right w:val="single" w:sz="4" w:space="0" w:color="auto"/>
            </w:tcBorders>
            <w:noWrap/>
            <w:vAlign w:val="bottom"/>
            <w:hideMark/>
          </w:tcPr>
          <w:p w14:paraId="783EC9E8" w14:textId="77777777" w:rsidR="00F026BE" w:rsidRPr="00512250" w:rsidRDefault="00F026BE" w:rsidP="00E47788">
            <w:pPr>
              <w:pStyle w:val="NormalHanging12a"/>
            </w:pPr>
            <w:r w:rsidRPr="00512250">
              <w:t>€ 28 330 702,00</w:t>
            </w:r>
          </w:p>
        </w:tc>
        <w:tc>
          <w:tcPr>
            <w:tcW w:w="2126" w:type="dxa"/>
            <w:tcBorders>
              <w:top w:val="nil"/>
              <w:left w:val="nil"/>
              <w:bottom w:val="single" w:sz="4" w:space="0" w:color="auto"/>
              <w:right w:val="single" w:sz="4" w:space="0" w:color="auto"/>
            </w:tcBorders>
            <w:noWrap/>
            <w:vAlign w:val="bottom"/>
            <w:hideMark/>
          </w:tcPr>
          <w:p w14:paraId="1BD4BC26" w14:textId="77777777" w:rsidR="00F026BE" w:rsidRPr="00512250" w:rsidRDefault="00F026BE" w:rsidP="00E47788">
            <w:pPr>
              <w:pStyle w:val="NormalHanging12a"/>
            </w:pPr>
            <w:r w:rsidRPr="00512250">
              <w:t>€ 28 542 956,00</w:t>
            </w:r>
          </w:p>
        </w:tc>
        <w:tc>
          <w:tcPr>
            <w:tcW w:w="2054" w:type="dxa"/>
            <w:tcBorders>
              <w:top w:val="nil"/>
              <w:left w:val="nil"/>
              <w:bottom w:val="single" w:sz="4" w:space="0" w:color="auto"/>
              <w:right w:val="single" w:sz="4" w:space="0" w:color="auto"/>
            </w:tcBorders>
            <w:shd w:val="clear" w:color="auto" w:fill="FFFFFF"/>
            <w:noWrap/>
            <w:vAlign w:val="center"/>
            <w:hideMark/>
          </w:tcPr>
          <w:p w14:paraId="4B42C2D0" w14:textId="77777777" w:rsidR="00F026BE" w:rsidRPr="00512250" w:rsidRDefault="00F026BE" w:rsidP="00E47788">
            <w:pPr>
              <w:pStyle w:val="NormalHanging12a"/>
            </w:pPr>
            <w:r w:rsidRPr="00512250">
              <w:t>-0,74 %</w:t>
            </w:r>
          </w:p>
        </w:tc>
      </w:tr>
      <w:tr w:rsidR="00F026BE" w:rsidRPr="00512250" w14:paraId="30C35C4B"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2328B0D3" w14:textId="77777777" w:rsidR="00F026BE" w:rsidRPr="00512250" w:rsidRDefault="00F026BE" w:rsidP="00E47788">
            <w:pPr>
              <w:pStyle w:val="NormalHanging12a"/>
            </w:pPr>
            <w:r w:rsidRPr="00512250">
              <w:t>EUAA</w:t>
            </w:r>
          </w:p>
        </w:tc>
        <w:tc>
          <w:tcPr>
            <w:tcW w:w="2126" w:type="dxa"/>
            <w:tcBorders>
              <w:top w:val="nil"/>
              <w:left w:val="nil"/>
              <w:bottom w:val="single" w:sz="4" w:space="0" w:color="auto"/>
              <w:right w:val="single" w:sz="4" w:space="0" w:color="auto"/>
            </w:tcBorders>
            <w:noWrap/>
            <w:vAlign w:val="bottom"/>
            <w:hideMark/>
          </w:tcPr>
          <w:p w14:paraId="6B144174" w14:textId="77777777" w:rsidR="00F026BE" w:rsidRPr="00512250" w:rsidRDefault="00F026BE" w:rsidP="00E47788">
            <w:pPr>
              <w:pStyle w:val="NormalHanging12a"/>
            </w:pPr>
            <w:r w:rsidRPr="00512250">
              <w:t>€ 181 443 839,00</w:t>
            </w:r>
          </w:p>
        </w:tc>
        <w:tc>
          <w:tcPr>
            <w:tcW w:w="2126" w:type="dxa"/>
            <w:tcBorders>
              <w:top w:val="nil"/>
              <w:left w:val="nil"/>
              <w:bottom w:val="single" w:sz="4" w:space="0" w:color="auto"/>
              <w:right w:val="single" w:sz="4" w:space="0" w:color="auto"/>
            </w:tcBorders>
            <w:noWrap/>
            <w:vAlign w:val="bottom"/>
            <w:hideMark/>
          </w:tcPr>
          <w:p w14:paraId="031FDED4" w14:textId="77777777" w:rsidR="00F026BE" w:rsidRPr="00512250" w:rsidRDefault="00F026BE" w:rsidP="00E47788">
            <w:pPr>
              <w:pStyle w:val="NormalHanging12a"/>
            </w:pPr>
            <w:r w:rsidRPr="00512250">
              <w:t>€ 170 135 127,00</w:t>
            </w:r>
          </w:p>
        </w:tc>
        <w:tc>
          <w:tcPr>
            <w:tcW w:w="2054" w:type="dxa"/>
            <w:tcBorders>
              <w:top w:val="nil"/>
              <w:left w:val="nil"/>
              <w:bottom w:val="single" w:sz="4" w:space="0" w:color="auto"/>
              <w:right w:val="single" w:sz="4" w:space="0" w:color="auto"/>
            </w:tcBorders>
            <w:shd w:val="clear" w:color="auto" w:fill="FFFFFF"/>
            <w:noWrap/>
            <w:vAlign w:val="center"/>
            <w:hideMark/>
          </w:tcPr>
          <w:p w14:paraId="78B41CD7" w14:textId="77777777" w:rsidR="00F026BE" w:rsidRPr="00512250" w:rsidRDefault="00F026BE" w:rsidP="00E47788">
            <w:pPr>
              <w:pStyle w:val="NormalHanging12a"/>
            </w:pPr>
            <w:r w:rsidRPr="00512250">
              <w:t>6,65 %</w:t>
            </w:r>
          </w:p>
        </w:tc>
      </w:tr>
      <w:tr w:rsidR="00F026BE" w:rsidRPr="00512250" w14:paraId="7360FCCD"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51B88149" w14:textId="77777777" w:rsidR="00F026BE" w:rsidRPr="00512250" w:rsidRDefault="00F026BE" w:rsidP="00E47788">
            <w:pPr>
              <w:pStyle w:val="NormalHanging12a"/>
            </w:pPr>
            <w:r w:rsidRPr="00512250">
              <w:t>EUDA (EMCDDA)</w:t>
            </w:r>
          </w:p>
        </w:tc>
        <w:tc>
          <w:tcPr>
            <w:tcW w:w="2126" w:type="dxa"/>
            <w:tcBorders>
              <w:top w:val="nil"/>
              <w:left w:val="nil"/>
              <w:bottom w:val="single" w:sz="4" w:space="0" w:color="auto"/>
              <w:right w:val="single" w:sz="4" w:space="0" w:color="auto"/>
            </w:tcBorders>
            <w:noWrap/>
            <w:vAlign w:val="bottom"/>
            <w:hideMark/>
          </w:tcPr>
          <w:p w14:paraId="2E44B7C5" w14:textId="77777777" w:rsidR="00F026BE" w:rsidRPr="00512250" w:rsidRDefault="00F026BE" w:rsidP="00E47788">
            <w:pPr>
              <w:pStyle w:val="NormalHanging12a"/>
            </w:pPr>
            <w:r w:rsidRPr="00512250">
              <w:t>€ 32 723 728,00</w:t>
            </w:r>
          </w:p>
        </w:tc>
        <w:tc>
          <w:tcPr>
            <w:tcW w:w="2126" w:type="dxa"/>
            <w:tcBorders>
              <w:top w:val="nil"/>
              <w:left w:val="nil"/>
              <w:bottom w:val="single" w:sz="4" w:space="0" w:color="auto"/>
              <w:right w:val="single" w:sz="4" w:space="0" w:color="auto"/>
            </w:tcBorders>
            <w:noWrap/>
            <w:vAlign w:val="bottom"/>
            <w:hideMark/>
          </w:tcPr>
          <w:p w14:paraId="1D4AC9C6" w14:textId="77777777" w:rsidR="00F026BE" w:rsidRPr="00512250" w:rsidRDefault="00F026BE" w:rsidP="00E47788">
            <w:pPr>
              <w:pStyle w:val="NormalHanging12a"/>
            </w:pPr>
            <w:r w:rsidRPr="00512250">
              <w:t>€ 22 082 074,00</w:t>
            </w:r>
          </w:p>
        </w:tc>
        <w:tc>
          <w:tcPr>
            <w:tcW w:w="2054" w:type="dxa"/>
            <w:tcBorders>
              <w:top w:val="nil"/>
              <w:left w:val="nil"/>
              <w:bottom w:val="single" w:sz="4" w:space="0" w:color="auto"/>
              <w:right w:val="single" w:sz="4" w:space="0" w:color="auto"/>
            </w:tcBorders>
            <w:shd w:val="clear" w:color="auto" w:fill="FFFFFF"/>
            <w:noWrap/>
            <w:vAlign w:val="center"/>
            <w:hideMark/>
          </w:tcPr>
          <w:p w14:paraId="592B762A" w14:textId="77777777" w:rsidR="00F026BE" w:rsidRPr="00512250" w:rsidRDefault="00F026BE" w:rsidP="00E47788">
            <w:pPr>
              <w:pStyle w:val="NormalHanging12a"/>
            </w:pPr>
            <w:r w:rsidRPr="00512250">
              <w:t>48,19 %</w:t>
            </w:r>
          </w:p>
        </w:tc>
      </w:tr>
      <w:tr w:rsidR="00F026BE" w:rsidRPr="00512250" w14:paraId="13C1454F"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6ACF329D" w14:textId="77777777" w:rsidR="00F026BE" w:rsidRPr="00512250" w:rsidRDefault="00F026BE" w:rsidP="00E47788">
            <w:pPr>
              <w:pStyle w:val="NormalHanging12a"/>
            </w:pPr>
            <w:r w:rsidRPr="00512250">
              <w:t xml:space="preserve">EU-LISA </w:t>
            </w:r>
          </w:p>
        </w:tc>
        <w:tc>
          <w:tcPr>
            <w:tcW w:w="2126" w:type="dxa"/>
            <w:tcBorders>
              <w:top w:val="nil"/>
              <w:left w:val="nil"/>
              <w:bottom w:val="single" w:sz="4" w:space="0" w:color="auto"/>
              <w:right w:val="single" w:sz="4" w:space="0" w:color="auto"/>
            </w:tcBorders>
            <w:noWrap/>
            <w:vAlign w:val="bottom"/>
            <w:hideMark/>
          </w:tcPr>
          <w:p w14:paraId="29D5B1D7" w14:textId="77777777" w:rsidR="00F026BE" w:rsidRPr="00512250" w:rsidRDefault="00F026BE" w:rsidP="00E47788">
            <w:pPr>
              <w:pStyle w:val="NormalHanging12a"/>
            </w:pPr>
            <w:r w:rsidRPr="00512250">
              <w:t>€ 273 679 741,00</w:t>
            </w:r>
          </w:p>
        </w:tc>
        <w:tc>
          <w:tcPr>
            <w:tcW w:w="2126" w:type="dxa"/>
            <w:tcBorders>
              <w:top w:val="nil"/>
              <w:left w:val="nil"/>
              <w:bottom w:val="single" w:sz="4" w:space="0" w:color="auto"/>
              <w:right w:val="single" w:sz="4" w:space="0" w:color="auto"/>
            </w:tcBorders>
            <w:noWrap/>
            <w:vAlign w:val="bottom"/>
            <w:hideMark/>
          </w:tcPr>
          <w:p w14:paraId="061441E0" w14:textId="77777777" w:rsidR="00F026BE" w:rsidRPr="00512250" w:rsidRDefault="00F026BE" w:rsidP="00E47788">
            <w:pPr>
              <w:pStyle w:val="NormalHanging12a"/>
            </w:pPr>
            <w:r w:rsidRPr="00512250">
              <w:t>€ 300 524 142,00</w:t>
            </w:r>
          </w:p>
        </w:tc>
        <w:tc>
          <w:tcPr>
            <w:tcW w:w="2054" w:type="dxa"/>
            <w:tcBorders>
              <w:top w:val="nil"/>
              <w:left w:val="nil"/>
              <w:bottom w:val="single" w:sz="4" w:space="0" w:color="auto"/>
              <w:right w:val="single" w:sz="4" w:space="0" w:color="auto"/>
            </w:tcBorders>
            <w:shd w:val="clear" w:color="auto" w:fill="FFFFFF"/>
            <w:noWrap/>
            <w:vAlign w:val="center"/>
            <w:hideMark/>
          </w:tcPr>
          <w:p w14:paraId="522FEDC3" w14:textId="77777777" w:rsidR="00F026BE" w:rsidRPr="00512250" w:rsidRDefault="00F026BE" w:rsidP="00E47788">
            <w:pPr>
              <w:pStyle w:val="NormalHanging12a"/>
            </w:pPr>
            <w:r w:rsidRPr="00512250">
              <w:t>-8,93 %</w:t>
            </w:r>
          </w:p>
        </w:tc>
      </w:tr>
      <w:tr w:rsidR="00F026BE" w:rsidRPr="00512250" w14:paraId="086CF8FD"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788C97A6" w14:textId="77777777" w:rsidR="00F026BE" w:rsidRPr="00512250" w:rsidRDefault="00F026BE" w:rsidP="00E47788">
            <w:pPr>
              <w:pStyle w:val="NormalHanging12a"/>
            </w:pPr>
            <w:r w:rsidRPr="00512250">
              <w:t>EU-OSHA</w:t>
            </w:r>
          </w:p>
        </w:tc>
        <w:tc>
          <w:tcPr>
            <w:tcW w:w="2126" w:type="dxa"/>
            <w:tcBorders>
              <w:top w:val="nil"/>
              <w:left w:val="nil"/>
              <w:bottom w:val="single" w:sz="4" w:space="0" w:color="auto"/>
              <w:right w:val="single" w:sz="4" w:space="0" w:color="auto"/>
            </w:tcBorders>
            <w:noWrap/>
            <w:vAlign w:val="bottom"/>
            <w:hideMark/>
          </w:tcPr>
          <w:p w14:paraId="44A2C519" w14:textId="77777777" w:rsidR="00F026BE" w:rsidRPr="00512250" w:rsidRDefault="00F026BE" w:rsidP="00E47788">
            <w:pPr>
              <w:pStyle w:val="NormalHanging12a"/>
            </w:pPr>
            <w:r w:rsidRPr="00512250">
              <w:t>€ 17 618 795,00</w:t>
            </w:r>
          </w:p>
        </w:tc>
        <w:tc>
          <w:tcPr>
            <w:tcW w:w="2126" w:type="dxa"/>
            <w:tcBorders>
              <w:top w:val="nil"/>
              <w:left w:val="nil"/>
              <w:bottom w:val="single" w:sz="4" w:space="0" w:color="auto"/>
              <w:right w:val="single" w:sz="4" w:space="0" w:color="auto"/>
            </w:tcBorders>
            <w:noWrap/>
            <w:vAlign w:val="bottom"/>
            <w:hideMark/>
          </w:tcPr>
          <w:p w14:paraId="33702B6C" w14:textId="77777777" w:rsidR="00F026BE" w:rsidRPr="00512250" w:rsidRDefault="00F026BE" w:rsidP="00E47788">
            <w:pPr>
              <w:pStyle w:val="NormalHanging12a"/>
            </w:pPr>
            <w:r w:rsidRPr="00512250">
              <w:t>€ 17 038 950,00</w:t>
            </w:r>
          </w:p>
        </w:tc>
        <w:tc>
          <w:tcPr>
            <w:tcW w:w="2054" w:type="dxa"/>
            <w:tcBorders>
              <w:top w:val="nil"/>
              <w:left w:val="nil"/>
              <w:bottom w:val="single" w:sz="4" w:space="0" w:color="auto"/>
              <w:right w:val="single" w:sz="4" w:space="0" w:color="auto"/>
            </w:tcBorders>
            <w:shd w:val="clear" w:color="auto" w:fill="FFFFFF"/>
            <w:noWrap/>
            <w:vAlign w:val="center"/>
            <w:hideMark/>
          </w:tcPr>
          <w:p w14:paraId="713E91D1" w14:textId="77777777" w:rsidR="00F026BE" w:rsidRPr="00512250" w:rsidRDefault="00F026BE" w:rsidP="00E47788">
            <w:pPr>
              <w:pStyle w:val="NormalHanging12a"/>
            </w:pPr>
            <w:r w:rsidRPr="00512250">
              <w:t>3,40 %</w:t>
            </w:r>
          </w:p>
        </w:tc>
      </w:tr>
      <w:tr w:rsidR="00F026BE" w:rsidRPr="00512250" w14:paraId="54EDCB98"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5798B157" w14:textId="77777777" w:rsidR="00F026BE" w:rsidRPr="00512250" w:rsidRDefault="00F026BE" w:rsidP="00E47788">
            <w:pPr>
              <w:pStyle w:val="NormalHanging12a"/>
            </w:pPr>
            <w:r w:rsidRPr="00512250">
              <w:t>EUROFOUND</w:t>
            </w:r>
          </w:p>
        </w:tc>
        <w:tc>
          <w:tcPr>
            <w:tcW w:w="2126" w:type="dxa"/>
            <w:tcBorders>
              <w:top w:val="nil"/>
              <w:left w:val="nil"/>
              <w:bottom w:val="single" w:sz="4" w:space="0" w:color="auto"/>
              <w:right w:val="single" w:sz="4" w:space="0" w:color="auto"/>
            </w:tcBorders>
            <w:noWrap/>
            <w:vAlign w:val="bottom"/>
            <w:hideMark/>
          </w:tcPr>
          <w:p w14:paraId="17D82FA0" w14:textId="77777777" w:rsidR="00F026BE" w:rsidRPr="00512250" w:rsidRDefault="00F026BE" w:rsidP="00E47788">
            <w:pPr>
              <w:pStyle w:val="NormalHanging12a"/>
            </w:pPr>
            <w:r w:rsidRPr="00512250">
              <w:t>€ 24 965 993,00</w:t>
            </w:r>
          </w:p>
        </w:tc>
        <w:tc>
          <w:tcPr>
            <w:tcW w:w="2126" w:type="dxa"/>
            <w:tcBorders>
              <w:top w:val="nil"/>
              <w:left w:val="nil"/>
              <w:bottom w:val="single" w:sz="4" w:space="0" w:color="auto"/>
              <w:right w:val="single" w:sz="4" w:space="0" w:color="auto"/>
            </w:tcBorders>
            <w:noWrap/>
            <w:vAlign w:val="bottom"/>
            <w:hideMark/>
          </w:tcPr>
          <w:p w14:paraId="5BA7B882" w14:textId="77777777" w:rsidR="00F026BE" w:rsidRPr="00512250" w:rsidRDefault="00F026BE" w:rsidP="00E47788">
            <w:pPr>
              <w:pStyle w:val="NormalHanging12a"/>
            </w:pPr>
            <w:r w:rsidRPr="00512250">
              <w:t>€ 25 369 931,00</w:t>
            </w:r>
          </w:p>
        </w:tc>
        <w:tc>
          <w:tcPr>
            <w:tcW w:w="2054" w:type="dxa"/>
            <w:tcBorders>
              <w:top w:val="nil"/>
              <w:left w:val="nil"/>
              <w:bottom w:val="single" w:sz="4" w:space="0" w:color="auto"/>
              <w:right w:val="single" w:sz="4" w:space="0" w:color="auto"/>
            </w:tcBorders>
            <w:shd w:val="clear" w:color="auto" w:fill="FFFFFF"/>
            <w:noWrap/>
            <w:vAlign w:val="center"/>
            <w:hideMark/>
          </w:tcPr>
          <w:p w14:paraId="4C5E3395" w14:textId="77777777" w:rsidR="00F026BE" w:rsidRPr="00512250" w:rsidRDefault="00F026BE" w:rsidP="00E47788">
            <w:pPr>
              <w:pStyle w:val="NormalHanging12a"/>
            </w:pPr>
            <w:r w:rsidRPr="00512250">
              <w:t>-1,59 %</w:t>
            </w:r>
          </w:p>
        </w:tc>
      </w:tr>
      <w:tr w:rsidR="00F026BE" w:rsidRPr="00512250" w14:paraId="6F8B4C15"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41A878B6" w14:textId="77777777" w:rsidR="00F026BE" w:rsidRPr="00512250" w:rsidRDefault="00F026BE" w:rsidP="00E47788">
            <w:pPr>
              <w:pStyle w:val="NormalHanging12a"/>
            </w:pPr>
            <w:r w:rsidRPr="00512250">
              <w:t xml:space="preserve">EUROJUST </w:t>
            </w:r>
          </w:p>
        </w:tc>
        <w:tc>
          <w:tcPr>
            <w:tcW w:w="2126" w:type="dxa"/>
            <w:tcBorders>
              <w:top w:val="nil"/>
              <w:left w:val="nil"/>
              <w:bottom w:val="single" w:sz="4" w:space="0" w:color="auto"/>
              <w:right w:val="single" w:sz="4" w:space="0" w:color="auto"/>
            </w:tcBorders>
            <w:noWrap/>
            <w:vAlign w:val="bottom"/>
            <w:hideMark/>
          </w:tcPr>
          <w:p w14:paraId="772BA692" w14:textId="77777777" w:rsidR="00F026BE" w:rsidRPr="00512250" w:rsidRDefault="00F026BE" w:rsidP="00E47788">
            <w:pPr>
              <w:pStyle w:val="NormalHanging12a"/>
            </w:pPr>
            <w:r w:rsidRPr="00512250">
              <w:t>€ 65 355 970,00</w:t>
            </w:r>
          </w:p>
        </w:tc>
        <w:tc>
          <w:tcPr>
            <w:tcW w:w="2126" w:type="dxa"/>
            <w:tcBorders>
              <w:top w:val="nil"/>
              <w:left w:val="nil"/>
              <w:bottom w:val="single" w:sz="4" w:space="0" w:color="auto"/>
              <w:right w:val="single" w:sz="4" w:space="0" w:color="auto"/>
            </w:tcBorders>
            <w:noWrap/>
            <w:vAlign w:val="bottom"/>
            <w:hideMark/>
          </w:tcPr>
          <w:p w14:paraId="60A221AD" w14:textId="77777777" w:rsidR="00F026BE" w:rsidRPr="00512250" w:rsidRDefault="00F026BE" w:rsidP="00E47788">
            <w:pPr>
              <w:pStyle w:val="NormalHanging12a"/>
            </w:pPr>
            <w:r w:rsidRPr="00512250">
              <w:t>€ 59 324 460,00</w:t>
            </w:r>
          </w:p>
        </w:tc>
        <w:tc>
          <w:tcPr>
            <w:tcW w:w="2054" w:type="dxa"/>
            <w:tcBorders>
              <w:top w:val="nil"/>
              <w:left w:val="nil"/>
              <w:bottom w:val="single" w:sz="4" w:space="0" w:color="auto"/>
              <w:right w:val="single" w:sz="4" w:space="0" w:color="auto"/>
            </w:tcBorders>
            <w:shd w:val="clear" w:color="auto" w:fill="FFFFFF"/>
            <w:noWrap/>
            <w:vAlign w:val="center"/>
            <w:hideMark/>
          </w:tcPr>
          <w:p w14:paraId="46F2E6C1" w14:textId="77777777" w:rsidR="00F026BE" w:rsidRPr="00512250" w:rsidRDefault="00F026BE" w:rsidP="00E47788">
            <w:pPr>
              <w:pStyle w:val="NormalHanging12a"/>
            </w:pPr>
            <w:r w:rsidRPr="00512250">
              <w:t>10,17 %</w:t>
            </w:r>
          </w:p>
        </w:tc>
      </w:tr>
      <w:tr w:rsidR="00F026BE" w:rsidRPr="00512250" w14:paraId="4832BCEC"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4DF2B6E4" w14:textId="77777777" w:rsidR="00F026BE" w:rsidRPr="00512250" w:rsidRDefault="00F026BE" w:rsidP="00E47788">
            <w:pPr>
              <w:pStyle w:val="NormalHanging12a"/>
            </w:pPr>
            <w:r w:rsidRPr="00512250">
              <w:t>ΕΥΡΩΠΟΛ</w:t>
            </w:r>
          </w:p>
        </w:tc>
        <w:tc>
          <w:tcPr>
            <w:tcW w:w="2126" w:type="dxa"/>
            <w:tcBorders>
              <w:top w:val="nil"/>
              <w:left w:val="nil"/>
              <w:bottom w:val="single" w:sz="4" w:space="0" w:color="auto"/>
              <w:right w:val="single" w:sz="4" w:space="0" w:color="auto"/>
            </w:tcBorders>
            <w:noWrap/>
            <w:vAlign w:val="bottom"/>
            <w:hideMark/>
          </w:tcPr>
          <w:p w14:paraId="735F2D01" w14:textId="77777777" w:rsidR="00F026BE" w:rsidRPr="00512250" w:rsidRDefault="00F026BE" w:rsidP="00E47788">
            <w:pPr>
              <w:pStyle w:val="NormalHanging12a"/>
            </w:pPr>
            <w:r w:rsidRPr="00512250">
              <w:t>€ 225 228 057,00</w:t>
            </w:r>
          </w:p>
        </w:tc>
        <w:tc>
          <w:tcPr>
            <w:tcW w:w="2126" w:type="dxa"/>
            <w:tcBorders>
              <w:top w:val="nil"/>
              <w:left w:val="nil"/>
              <w:bottom w:val="single" w:sz="4" w:space="0" w:color="auto"/>
              <w:right w:val="single" w:sz="4" w:space="0" w:color="auto"/>
            </w:tcBorders>
            <w:noWrap/>
            <w:vAlign w:val="bottom"/>
            <w:hideMark/>
          </w:tcPr>
          <w:p w14:paraId="254E79F3" w14:textId="77777777" w:rsidR="00F026BE" w:rsidRPr="00512250" w:rsidRDefault="00F026BE" w:rsidP="00E47788">
            <w:pPr>
              <w:pStyle w:val="NormalHanging12a"/>
            </w:pPr>
            <w:r w:rsidRPr="00512250">
              <w:t>€ 212 925 809,00</w:t>
            </w:r>
          </w:p>
        </w:tc>
        <w:tc>
          <w:tcPr>
            <w:tcW w:w="2054" w:type="dxa"/>
            <w:tcBorders>
              <w:top w:val="nil"/>
              <w:left w:val="nil"/>
              <w:bottom w:val="single" w:sz="4" w:space="0" w:color="auto"/>
              <w:right w:val="single" w:sz="4" w:space="0" w:color="auto"/>
            </w:tcBorders>
            <w:shd w:val="clear" w:color="auto" w:fill="FFFFFF"/>
            <w:noWrap/>
            <w:vAlign w:val="center"/>
            <w:hideMark/>
          </w:tcPr>
          <w:p w14:paraId="4EA9190C" w14:textId="77777777" w:rsidR="00F026BE" w:rsidRPr="00512250" w:rsidRDefault="00F026BE" w:rsidP="00E47788">
            <w:pPr>
              <w:pStyle w:val="NormalHanging12a"/>
            </w:pPr>
            <w:r w:rsidRPr="00512250">
              <w:t>5,78 %</w:t>
            </w:r>
          </w:p>
        </w:tc>
      </w:tr>
      <w:tr w:rsidR="00F026BE" w:rsidRPr="00512250" w14:paraId="26A6BA12"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5D868239" w14:textId="77777777" w:rsidR="00F026BE" w:rsidRPr="00512250" w:rsidRDefault="00F026BE" w:rsidP="00E47788">
            <w:pPr>
              <w:pStyle w:val="NormalHanging12a"/>
            </w:pPr>
            <w:r w:rsidRPr="00512250">
              <w:t>EUSPA</w:t>
            </w:r>
          </w:p>
        </w:tc>
        <w:tc>
          <w:tcPr>
            <w:tcW w:w="2126" w:type="dxa"/>
            <w:tcBorders>
              <w:top w:val="nil"/>
              <w:left w:val="nil"/>
              <w:bottom w:val="single" w:sz="4" w:space="0" w:color="auto"/>
              <w:right w:val="single" w:sz="4" w:space="0" w:color="auto"/>
            </w:tcBorders>
            <w:noWrap/>
            <w:vAlign w:val="bottom"/>
            <w:hideMark/>
          </w:tcPr>
          <w:p w14:paraId="0C3EB268" w14:textId="77777777" w:rsidR="00F026BE" w:rsidRPr="00512250" w:rsidRDefault="00F026BE" w:rsidP="00E47788">
            <w:pPr>
              <w:pStyle w:val="NormalHanging12a"/>
            </w:pPr>
            <w:r w:rsidRPr="00512250">
              <w:t>€ 85 410 390,00</w:t>
            </w:r>
          </w:p>
        </w:tc>
        <w:tc>
          <w:tcPr>
            <w:tcW w:w="2126" w:type="dxa"/>
            <w:tcBorders>
              <w:top w:val="nil"/>
              <w:left w:val="nil"/>
              <w:bottom w:val="single" w:sz="4" w:space="0" w:color="auto"/>
              <w:right w:val="single" w:sz="4" w:space="0" w:color="auto"/>
            </w:tcBorders>
            <w:noWrap/>
            <w:vAlign w:val="bottom"/>
            <w:hideMark/>
          </w:tcPr>
          <w:p w14:paraId="5C4EF042" w14:textId="77777777" w:rsidR="00F026BE" w:rsidRPr="00512250" w:rsidRDefault="00F026BE" w:rsidP="00E47788">
            <w:pPr>
              <w:pStyle w:val="NormalHanging12a"/>
            </w:pPr>
            <w:r w:rsidRPr="00512250">
              <w:t>€ 76 922 866,00</w:t>
            </w:r>
          </w:p>
        </w:tc>
        <w:tc>
          <w:tcPr>
            <w:tcW w:w="2054" w:type="dxa"/>
            <w:tcBorders>
              <w:top w:val="nil"/>
              <w:left w:val="nil"/>
              <w:bottom w:val="single" w:sz="4" w:space="0" w:color="auto"/>
              <w:right w:val="single" w:sz="4" w:space="0" w:color="auto"/>
            </w:tcBorders>
            <w:shd w:val="clear" w:color="auto" w:fill="FFFFFF"/>
            <w:noWrap/>
            <w:vAlign w:val="center"/>
            <w:hideMark/>
          </w:tcPr>
          <w:p w14:paraId="5B6401D2" w14:textId="77777777" w:rsidR="00F026BE" w:rsidRPr="00512250" w:rsidRDefault="00F026BE" w:rsidP="00E47788">
            <w:pPr>
              <w:pStyle w:val="NormalHanging12a"/>
            </w:pPr>
            <w:r w:rsidRPr="00512250">
              <w:t>11,03 %</w:t>
            </w:r>
          </w:p>
        </w:tc>
      </w:tr>
      <w:tr w:rsidR="00F026BE" w:rsidRPr="00512250" w14:paraId="420E3AA3"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653D03C7" w14:textId="77777777" w:rsidR="00F026BE" w:rsidRPr="00512250" w:rsidRDefault="00F026BE" w:rsidP="00E47788">
            <w:pPr>
              <w:pStyle w:val="NormalHanging12a"/>
            </w:pPr>
            <w:r w:rsidRPr="00512250">
              <w:t>FRA</w:t>
            </w:r>
          </w:p>
        </w:tc>
        <w:tc>
          <w:tcPr>
            <w:tcW w:w="2126" w:type="dxa"/>
            <w:tcBorders>
              <w:top w:val="nil"/>
              <w:left w:val="nil"/>
              <w:bottom w:val="single" w:sz="4" w:space="0" w:color="auto"/>
              <w:right w:val="single" w:sz="4" w:space="0" w:color="auto"/>
            </w:tcBorders>
            <w:noWrap/>
            <w:vAlign w:val="bottom"/>
            <w:hideMark/>
          </w:tcPr>
          <w:p w14:paraId="70C6CED1" w14:textId="77777777" w:rsidR="00F026BE" w:rsidRPr="00512250" w:rsidRDefault="00F026BE" w:rsidP="00E47788">
            <w:pPr>
              <w:pStyle w:val="NormalHanging12a"/>
            </w:pPr>
            <w:r w:rsidRPr="00512250">
              <w:t>€ 28 052 521,00</w:t>
            </w:r>
          </w:p>
        </w:tc>
        <w:tc>
          <w:tcPr>
            <w:tcW w:w="2126" w:type="dxa"/>
            <w:tcBorders>
              <w:top w:val="nil"/>
              <w:left w:val="nil"/>
              <w:bottom w:val="single" w:sz="4" w:space="0" w:color="auto"/>
              <w:right w:val="single" w:sz="4" w:space="0" w:color="auto"/>
            </w:tcBorders>
            <w:noWrap/>
            <w:vAlign w:val="bottom"/>
            <w:hideMark/>
          </w:tcPr>
          <w:p w14:paraId="15F92CDA" w14:textId="77777777" w:rsidR="00F026BE" w:rsidRPr="00512250" w:rsidRDefault="00F026BE" w:rsidP="00E47788">
            <w:pPr>
              <w:pStyle w:val="NormalHanging12a"/>
            </w:pPr>
            <w:r w:rsidRPr="00512250">
              <w:t>€ 26 191 030,72</w:t>
            </w:r>
          </w:p>
        </w:tc>
        <w:tc>
          <w:tcPr>
            <w:tcW w:w="2054" w:type="dxa"/>
            <w:tcBorders>
              <w:top w:val="nil"/>
              <w:left w:val="nil"/>
              <w:bottom w:val="single" w:sz="4" w:space="0" w:color="auto"/>
              <w:right w:val="single" w:sz="4" w:space="0" w:color="auto"/>
            </w:tcBorders>
            <w:shd w:val="clear" w:color="auto" w:fill="FFFFFF"/>
            <w:noWrap/>
            <w:vAlign w:val="center"/>
            <w:hideMark/>
          </w:tcPr>
          <w:p w14:paraId="133A63AA" w14:textId="77777777" w:rsidR="00F026BE" w:rsidRPr="00512250" w:rsidRDefault="00F026BE" w:rsidP="00E47788">
            <w:pPr>
              <w:pStyle w:val="NormalHanging12a"/>
            </w:pPr>
            <w:r w:rsidRPr="00512250">
              <w:t>7,11 %</w:t>
            </w:r>
          </w:p>
        </w:tc>
      </w:tr>
      <w:tr w:rsidR="00F026BE" w:rsidRPr="00512250" w14:paraId="5347B594"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36EC5CCD" w14:textId="77777777" w:rsidR="00F026BE" w:rsidRPr="00512250" w:rsidRDefault="00F026BE" w:rsidP="00E47788">
            <w:pPr>
              <w:pStyle w:val="NormalHanging12a"/>
            </w:pPr>
            <w:r w:rsidRPr="00512250">
              <w:t>FRONTEX</w:t>
            </w:r>
          </w:p>
        </w:tc>
        <w:tc>
          <w:tcPr>
            <w:tcW w:w="2126" w:type="dxa"/>
            <w:tcBorders>
              <w:top w:val="nil"/>
              <w:left w:val="nil"/>
              <w:bottom w:val="single" w:sz="4" w:space="0" w:color="auto"/>
              <w:right w:val="single" w:sz="4" w:space="0" w:color="auto"/>
            </w:tcBorders>
            <w:noWrap/>
            <w:vAlign w:val="bottom"/>
            <w:hideMark/>
          </w:tcPr>
          <w:p w14:paraId="24B0F94B" w14:textId="77777777" w:rsidR="00F026BE" w:rsidRPr="00512250" w:rsidRDefault="00F026BE" w:rsidP="00E47788">
            <w:pPr>
              <w:pStyle w:val="NormalHanging12a"/>
            </w:pPr>
            <w:r w:rsidRPr="00512250">
              <w:t>€ 922 074 136,00</w:t>
            </w:r>
          </w:p>
        </w:tc>
        <w:tc>
          <w:tcPr>
            <w:tcW w:w="2126" w:type="dxa"/>
            <w:tcBorders>
              <w:top w:val="nil"/>
              <w:left w:val="nil"/>
              <w:bottom w:val="single" w:sz="4" w:space="0" w:color="auto"/>
              <w:right w:val="single" w:sz="4" w:space="0" w:color="auto"/>
            </w:tcBorders>
            <w:noWrap/>
            <w:vAlign w:val="bottom"/>
            <w:hideMark/>
          </w:tcPr>
          <w:p w14:paraId="34587D66" w14:textId="77777777" w:rsidR="00F026BE" w:rsidRPr="00512250" w:rsidRDefault="00F026BE" w:rsidP="00E47788">
            <w:pPr>
              <w:pStyle w:val="NormalHanging12a"/>
            </w:pPr>
            <w:r w:rsidRPr="00512250">
              <w:t>€ 829 352 752,00</w:t>
            </w:r>
          </w:p>
        </w:tc>
        <w:tc>
          <w:tcPr>
            <w:tcW w:w="2054" w:type="dxa"/>
            <w:tcBorders>
              <w:top w:val="nil"/>
              <w:left w:val="nil"/>
              <w:bottom w:val="single" w:sz="4" w:space="0" w:color="auto"/>
              <w:right w:val="single" w:sz="4" w:space="0" w:color="auto"/>
            </w:tcBorders>
            <w:shd w:val="clear" w:color="auto" w:fill="FFFFFF"/>
            <w:noWrap/>
            <w:vAlign w:val="center"/>
            <w:hideMark/>
          </w:tcPr>
          <w:p w14:paraId="41CF9303" w14:textId="77777777" w:rsidR="00F026BE" w:rsidRPr="00512250" w:rsidRDefault="00F026BE" w:rsidP="00E47788">
            <w:pPr>
              <w:pStyle w:val="NormalHanging12a"/>
            </w:pPr>
            <w:r w:rsidRPr="00512250">
              <w:t>11,18 %</w:t>
            </w:r>
          </w:p>
        </w:tc>
      </w:tr>
      <w:tr w:rsidR="00F026BE" w:rsidRPr="00512250" w14:paraId="13274C79" w14:textId="77777777" w:rsidTr="00E47788">
        <w:trPr>
          <w:trHeight w:val="288"/>
        </w:trPr>
        <w:tc>
          <w:tcPr>
            <w:tcW w:w="2122" w:type="dxa"/>
            <w:tcBorders>
              <w:top w:val="nil"/>
              <w:left w:val="single" w:sz="4" w:space="0" w:color="auto"/>
              <w:bottom w:val="single" w:sz="4" w:space="0" w:color="auto"/>
              <w:right w:val="single" w:sz="4" w:space="0" w:color="auto"/>
            </w:tcBorders>
            <w:noWrap/>
            <w:vAlign w:val="bottom"/>
            <w:hideMark/>
          </w:tcPr>
          <w:p w14:paraId="010DC04B" w14:textId="77777777" w:rsidR="00F026BE" w:rsidRPr="00512250" w:rsidRDefault="00F026BE" w:rsidP="00E47788">
            <w:pPr>
              <w:pStyle w:val="NormalHanging12a"/>
              <w:rPr>
                <w:b/>
                <w:bCs/>
              </w:rPr>
            </w:pPr>
            <w:r w:rsidRPr="00512250">
              <w:rPr>
                <w:b/>
              </w:rPr>
              <w:t>ΣΥΝΟΛΟ</w:t>
            </w:r>
          </w:p>
        </w:tc>
        <w:tc>
          <w:tcPr>
            <w:tcW w:w="2126" w:type="dxa"/>
            <w:tcBorders>
              <w:top w:val="nil"/>
              <w:left w:val="nil"/>
              <w:bottom w:val="single" w:sz="4" w:space="0" w:color="auto"/>
              <w:right w:val="single" w:sz="4" w:space="0" w:color="auto"/>
            </w:tcBorders>
            <w:noWrap/>
            <w:vAlign w:val="bottom"/>
            <w:hideMark/>
          </w:tcPr>
          <w:p w14:paraId="0796A257" w14:textId="77777777" w:rsidR="00F026BE" w:rsidRPr="00512250" w:rsidRDefault="00F026BE" w:rsidP="00E47788">
            <w:pPr>
              <w:pStyle w:val="NormalHanging12a"/>
              <w:rPr>
                <w:b/>
                <w:bCs/>
              </w:rPr>
            </w:pPr>
            <w:r w:rsidRPr="00512250">
              <w:rPr>
                <w:b/>
              </w:rPr>
              <w:t>€ 4 112 799 136,00</w:t>
            </w:r>
          </w:p>
        </w:tc>
        <w:tc>
          <w:tcPr>
            <w:tcW w:w="2126" w:type="dxa"/>
            <w:tcBorders>
              <w:top w:val="nil"/>
              <w:left w:val="nil"/>
              <w:bottom w:val="single" w:sz="4" w:space="0" w:color="auto"/>
              <w:right w:val="single" w:sz="4" w:space="0" w:color="auto"/>
            </w:tcBorders>
            <w:noWrap/>
            <w:vAlign w:val="bottom"/>
            <w:hideMark/>
          </w:tcPr>
          <w:p w14:paraId="38DE93B6" w14:textId="77777777" w:rsidR="00F026BE" w:rsidRPr="00512250" w:rsidRDefault="00F026BE" w:rsidP="00E47788">
            <w:pPr>
              <w:pStyle w:val="NormalHanging12a"/>
              <w:rPr>
                <w:b/>
                <w:bCs/>
              </w:rPr>
            </w:pPr>
            <w:r w:rsidRPr="00512250">
              <w:rPr>
                <w:b/>
              </w:rPr>
              <w:t>€ 3 741 954 188,71</w:t>
            </w:r>
          </w:p>
        </w:tc>
        <w:tc>
          <w:tcPr>
            <w:tcW w:w="2054" w:type="dxa"/>
            <w:tcBorders>
              <w:top w:val="nil"/>
              <w:left w:val="nil"/>
              <w:bottom w:val="single" w:sz="4" w:space="0" w:color="auto"/>
              <w:right w:val="single" w:sz="4" w:space="0" w:color="auto"/>
            </w:tcBorders>
            <w:shd w:val="clear" w:color="auto" w:fill="FFFFFF"/>
            <w:noWrap/>
            <w:vAlign w:val="center"/>
            <w:hideMark/>
          </w:tcPr>
          <w:p w14:paraId="4DD5839F" w14:textId="77777777" w:rsidR="00F026BE" w:rsidRPr="00512250" w:rsidRDefault="00F026BE" w:rsidP="00E47788">
            <w:pPr>
              <w:pStyle w:val="NormalHanging12a"/>
              <w:rPr>
                <w:b/>
                <w:bCs/>
              </w:rPr>
            </w:pPr>
            <w:r w:rsidRPr="00512250">
              <w:rPr>
                <w:b/>
              </w:rPr>
              <w:t>9,91 %</w:t>
            </w:r>
          </w:p>
        </w:tc>
      </w:tr>
    </w:tbl>
    <w:p w14:paraId="65AD6C09" w14:textId="7BDBCA7F" w:rsidR="00F026BE" w:rsidRPr="00512250" w:rsidRDefault="00512250" w:rsidP="00512250">
      <w:pPr>
        <w:pStyle w:val="NormalHanging12a"/>
        <w:ind w:left="570" w:hanging="570"/>
      </w:pPr>
      <w:r w:rsidRPr="00512250">
        <w:t>25.</w:t>
      </w:r>
      <w:r w:rsidRPr="00512250">
        <w:tab/>
      </w:r>
      <w:r w:rsidR="00F026BE" w:rsidRPr="00512250">
        <w:t xml:space="preserve">σημειώνει ότι ο προϋπολογισμός 33 Οργανισμών της ΕΕ αυξήθηκε από </w:t>
      </w:r>
      <w:r w:rsidR="00F026BE" w:rsidRPr="00512250">
        <w:lastRenderedPageBreak/>
        <w:t>3,6</w:t>
      </w:r>
      <w:r w:rsidR="00CC1E67" w:rsidRPr="00512250">
        <w:t> </w:t>
      </w:r>
      <w:r w:rsidR="00F026BE" w:rsidRPr="00512250">
        <w:t>δισεκατομμύρια EUR το 2023 σε 4,1 δισεκατομμύρια EUR το 2024· καλεί την Επιτροπή να αναλύσει το πενταετές σωρευτικό κόστος, διαχωρίζοντας την αύξηση που οφείλεται στην εντολή από τη διοικητική επέκταση, και να δικαιολογήσει περαιτέρω αυξήσεις με αποδεδειγμένη προστιθέμενη αξία· τονίζει ότι μαζί με την αύξηση του προϋπολογισμού πρέπει επίσης βελτιωθούν η διαχείριση, οι εσωτερικοί έλεγχοι, ο προγραμματισμός και η απορρόφηση του προσωπικού, προκειμένου να αποφεύγονται οι παρατυπίες, οι μεταφορές πιστώσεων και οι αναποτελεσματικές δαπάνες·</w:t>
      </w:r>
      <w:r w:rsidRPr="00512250">
        <w:t xml:space="preserve"> τονίζει ότι τυχόν πρόσθετοι πόροι για τους οργανισμούς πρέπει να συνοδεύονται από μετρήσιμους στόχους επιδόσεων και τακτική υποβολή εκθέσεων σχετικά με τα συγκεκριμένα αποτελέσματα που επιτυγχάνονται, ώστε η αρμόδια για την απαλλαγή αρχή να μπορεί να αξιολογεί τη σχέση κόστους-οφέλους· επιμένει ότι, πριν από την έγκριση πρόσθετης χρηματοδότησης, οι οργανισμοί πρέπει πρώτα να αποδείξουν ότι οι υφιστάμενοι πόροι χρησιμοποιούνται αποτελεσματικά·</w:t>
      </w:r>
    </w:p>
    <w:p w14:paraId="49168A4F" w14:textId="7AB48EEB" w:rsidR="00F026BE" w:rsidRPr="00512250" w:rsidRDefault="00512250" w:rsidP="00512250">
      <w:pPr>
        <w:pStyle w:val="NormalHanging12a"/>
        <w:ind w:left="570" w:hanging="570"/>
      </w:pPr>
      <w:r w:rsidRPr="00512250">
        <w:t>26.</w:t>
      </w:r>
      <w:r w:rsidRPr="00512250">
        <w:tab/>
      </w:r>
      <w:r w:rsidR="00F026BE" w:rsidRPr="00512250">
        <w:t>σημειώνει ότι ο Οργανισμός Θεμελιωδών Δικαιωμάτων της Ευρωπαϊκής Ένωσης (FRA) και άλλοι οργανισμοί της ΕΕ βοηθούν στη στήριξη των θεσμικών οργάνων της Ένωσης στον τομέα της εφαρμογής του δικαίου της Ένωσης που σχετίζεται με τα θεμελιώδη δικαιώματα· καλεί την Επιτροπή και την αρμόδια για τον προϋπολογισμό αρχή να παράσχουν σε όλους τους οργανισμούς της ΕΕ επαρκείς και προβλέψιμους πόρους·</w:t>
      </w:r>
    </w:p>
    <w:p w14:paraId="00C4C7E7" w14:textId="206C6D94" w:rsidR="00F026BE" w:rsidRPr="00512250" w:rsidRDefault="00512250" w:rsidP="00512250">
      <w:pPr>
        <w:pStyle w:val="NormalHanging12a"/>
        <w:ind w:left="570" w:hanging="570"/>
      </w:pPr>
      <w:r w:rsidRPr="00512250">
        <w:t>27.</w:t>
      </w:r>
      <w:r w:rsidRPr="00512250">
        <w:tab/>
      </w:r>
      <w:r w:rsidR="00F026BE" w:rsidRPr="00512250">
        <w:t>επισημαίνει ότι η αύξηση των εσόδων από το 2023 έως το 2024 ήταν σημαντική σε ορισμένους οργανισμούς, συμπεριλαμβανομένων του ΕΟΠ, του ΕΙΤ, της ELA, του ENISA και του EUDA, με αυξήσεις του προϋπολογισμού άνω του 21 %·</w:t>
      </w:r>
    </w:p>
    <w:p w14:paraId="18359C2C" w14:textId="55510652" w:rsidR="00F026BE" w:rsidRPr="00512250" w:rsidRDefault="00512250" w:rsidP="00512250">
      <w:pPr>
        <w:pStyle w:val="NormalHanging12a"/>
        <w:ind w:left="570" w:hanging="570"/>
      </w:pPr>
      <w:r w:rsidRPr="00512250">
        <w:t>28.</w:t>
      </w:r>
      <w:r w:rsidRPr="00512250">
        <w:tab/>
      </w:r>
      <w:r w:rsidR="00F026BE" w:rsidRPr="00512250">
        <w:t xml:space="preserve">σημειώνει ότι η αύξηση του προϋπολογισμού του ΕΟΠ για το 2024 συνάδει με την επέκταση των νομοθετικών εντολών και των επιχειρησιακών αρμοδιοτήτων του που απορρέουν από την εφαρμογή των πολιτικών της Ευρωπαϊκής Πράσινης Συμφωνίας, όπως ο κανονισμός για την αποκατάσταση της φύσης (που εγκρίθηκε στο τέλος του 2024), η αναδιατύπωση του κανονισμού για το ευρωπαϊκό μητρώο έκλυσης και μεταφοράς ρύπων, ο κανονισμός της ΕΕ για την πιστοποίηση των απορροφήσεων άνθρακα και της </w:t>
      </w:r>
      <w:proofErr w:type="spellStart"/>
      <w:r w:rsidR="00F026BE" w:rsidRPr="00512250">
        <w:t>ανθρακοδεσμευτικής</w:t>
      </w:r>
      <w:proofErr w:type="spellEnd"/>
      <w:r w:rsidR="00F026BE" w:rsidRPr="00512250">
        <w:t xml:space="preserve"> γεωργίας (CRCF) και η πρωτοβουλία για την εκτεταμένη παρακολούθηση των εκπομπών από βαρέα επαγγελματικά οχήματα, καθώς και ότι προσελήφθη επιπλέον προσωπικό για την υλοποίηση των ανωτέρω· σημειώνει, επιπλέον, ο οργανισμός εκτέλεσε επίσης καθήκοντα στο πλαίσιο του αναθεωρημένου κανονισμού για τη χρήση γης, την αλλαγή χρήσης γης και τη δασοπονία (2023)· γνωρίζει επίσης ότι οι νέες συμφωνίες επιπέδου υπηρεσιών (ΣΕΥ) με τη ΓΔ MARE, τη ΓΔ SANTE και τη ΓΔ RTD επέκτειναν τον ρόλο του Οργανισμού στην αποκατάσταση των ωκεανών/υδάτων, στις απειλές κατά της υγείας και στην ενσωμάτωση περιβαλλοντικών δεδομένων, παρέχοντας δεδομένα και αναλύσεις για την ενημέρωση της περιβαλλοντικής πολιτικής της Ένωσης·</w:t>
      </w:r>
    </w:p>
    <w:p w14:paraId="5BB500C0" w14:textId="206B7415" w:rsidR="00F026BE" w:rsidRPr="00512250" w:rsidRDefault="00512250" w:rsidP="00512250">
      <w:pPr>
        <w:pStyle w:val="NormalHanging12a"/>
        <w:ind w:left="570" w:hanging="570"/>
      </w:pPr>
      <w:r w:rsidRPr="00512250">
        <w:t>29.</w:t>
      </w:r>
      <w:r w:rsidRPr="00512250">
        <w:tab/>
      </w:r>
      <w:r w:rsidR="00F026BE" w:rsidRPr="00512250">
        <w:t>παρατηρεί ότι η αύξηση του προϋπολογισμού του ΕΙΤ εξηγείται από διάφορους παράγοντες, συμπεριλαμβανομένων των υψηλότερων πιστώσεων του προγράμματος «Ορίζων Ευρώπη» (+ 10,25 %), της νέας χρηματοδότησης ύψους 24,6 εκατομμυρίων EUR για την πρωτοβουλία για τα ιδρύματα τριτοβάθμιας εκπαίδευσης και των 16,7</w:t>
      </w:r>
      <w:r w:rsidR="00B17933" w:rsidRPr="00512250">
        <w:t> </w:t>
      </w:r>
      <w:r w:rsidR="00F026BE" w:rsidRPr="00512250">
        <w:t>εκατομμυρίων EUR από νέες συμφωνίες συνεισφοράς με τις ΓΔ της Επιτροπής·</w:t>
      </w:r>
    </w:p>
    <w:p w14:paraId="49EAB701" w14:textId="034F9DF5" w:rsidR="00F026BE" w:rsidRPr="00512250" w:rsidRDefault="00512250" w:rsidP="00512250">
      <w:pPr>
        <w:pStyle w:val="NormalHanging12a"/>
        <w:ind w:left="570" w:hanging="570"/>
      </w:pPr>
      <w:r w:rsidRPr="00512250">
        <w:t>30.</w:t>
      </w:r>
      <w:r w:rsidRPr="00512250">
        <w:tab/>
      </w:r>
      <w:r w:rsidR="00F026BE" w:rsidRPr="00512250">
        <w:t xml:space="preserve">σημειώνει ότι η αύξηση του προϋπολογισμού της ELA το 2024 εξηγείται κυρίως από τη μετάβαση της Αρχής προς την πλήρη επιχειρησιακή ικανότητα, η οποία απαιτεί σημαντική ενίσχυση των ανθρώπινων πόρων και των επιχειρησιακών ικανοτήτων· </w:t>
      </w:r>
      <w:r w:rsidR="00F026BE" w:rsidRPr="00512250">
        <w:lastRenderedPageBreak/>
        <w:t>επισημαίνει ότι περιλαμβάνει προσαρμογές στο προσωπικό (9,5 εκατομμύρια EUR, 44 %), όπως η μετατροπή 15 αποσπασμένων εθνικών εμπειρογνωμόνων σε έκτακτους υπαλλήλους, καθώς και μισθολογικές προσαρμογές, ακολουθούμενες από επιχειρησιακές επεκτάσεις (7 εκατομμύρια EUR, 33 %) για τις δραστηριότητες αναβάθμισης και επιθεώρησης της ευρωπαϊκής πύλης για την επαγγελματική κινητικότητα, καθώς και δαπάνες που σχετίζονται με τον πληθωρισμό (1,2 εκατομμύρια EUR, 15 %) για ΤΠΕ/κυβερνοασφάλεια και πληθωριστικές πιέσεις·</w:t>
      </w:r>
    </w:p>
    <w:p w14:paraId="4C7B7D13" w14:textId="7B86F41B" w:rsidR="00F026BE" w:rsidRPr="00512250" w:rsidRDefault="00512250" w:rsidP="00512250">
      <w:pPr>
        <w:pStyle w:val="NormalHanging12a"/>
        <w:ind w:left="570" w:hanging="570"/>
        <w:rPr>
          <w:iCs/>
        </w:rPr>
      </w:pPr>
      <w:r w:rsidRPr="00512250">
        <w:rPr>
          <w:iCs/>
        </w:rPr>
        <w:t>31.</w:t>
      </w:r>
      <w:r w:rsidRPr="00512250">
        <w:rPr>
          <w:iCs/>
        </w:rPr>
        <w:tab/>
      </w:r>
      <w:r w:rsidR="00F026BE" w:rsidRPr="00512250">
        <w:t xml:space="preserve">σημειώνει ότι η αύξηση του προϋπολογισμού του ENISA οφείλεται στην πρώτη δόση ύψους 16 εκατομμυρίων EUR που ελήφθη τον Φεβρουάριο του 2024 από συμφωνία συνεισφοράς που υπεγράφη στα τέλη Δεκεμβρίου του 2023 μεταξύ της ΓΔ CONNECT και του ENISA, η οποία χορηγεί συνολικά 20 εκατομμύρια EUR για την υλοποίηση δράσεων </w:t>
      </w:r>
      <w:proofErr w:type="spellStart"/>
      <w:r w:rsidR="00F026BE" w:rsidRPr="00512250">
        <w:t>κυβερνοστήριξης</w:t>
      </w:r>
      <w:proofErr w:type="spellEnd"/>
      <w:r w:rsidR="00F026BE" w:rsidRPr="00512250">
        <w:t xml:space="preserve"> και κέντρων αντιμετώπισης κρίσιμων καταστάσεων κατά την περίοδο 2024-2026· γνωρίζει ότι το 2024, ο Οργανισμός λειτούργησε με προϋπολογισμό 26,2 </w:t>
      </w:r>
      <w:r w:rsidR="00CC1E67" w:rsidRPr="00512250">
        <w:t>εκατομμύρια</w:t>
      </w:r>
      <w:r w:rsidR="00F026BE" w:rsidRPr="00512250">
        <w:t xml:space="preserve"> EUR σε σύγκριση με τον προϋπολογισμό του 2023 που ανερχόταν σε 25,2 </w:t>
      </w:r>
      <w:r w:rsidR="00CC1E67" w:rsidRPr="00512250">
        <w:t>εκατομμύρια</w:t>
      </w:r>
      <w:r w:rsidR="00F026BE" w:rsidRPr="00512250">
        <w:t xml:space="preserve"> EUR·</w:t>
      </w:r>
    </w:p>
    <w:p w14:paraId="387A2855" w14:textId="118D79D1" w:rsidR="00F026BE" w:rsidRPr="00512250" w:rsidRDefault="00512250" w:rsidP="00512250">
      <w:pPr>
        <w:pStyle w:val="NormalHanging12a"/>
        <w:ind w:left="570" w:hanging="570"/>
        <w:rPr>
          <w:iCs/>
        </w:rPr>
      </w:pPr>
      <w:r w:rsidRPr="00512250">
        <w:rPr>
          <w:iCs/>
        </w:rPr>
        <w:t>32.</w:t>
      </w:r>
      <w:r w:rsidRPr="00512250">
        <w:rPr>
          <w:iCs/>
        </w:rPr>
        <w:tab/>
      </w:r>
      <w:r w:rsidR="00F026BE" w:rsidRPr="00512250">
        <w:t>εκφράζει την ανησυχία του για το γεγονός ότι ο ENISA βρίσκεται σε δύσκολη θέση λόγω της αυξανόμενης πολυπλοκότητας των αναγκών κυβερνοασφάλειας της Ένωσης, της συνεχούς κλιμάκωσης των κυβερνοαπειλών, καθώς και της έλλειψης αναλογικής χρηματοδότησης και επαρκούς στελέχωσης· επαναλαμβάνει τα συμπεράσματα του Συμβουλίου από τον Δεκέμβριο του 2024 σχετικά με τον ENISA, στα οποία τονίζεται ο κεντρικός ρόλος του ENISA στο οικοσύστημα κυβερνοασφάλειας της Ένωσης και η ανάγκη ευθυγράμμισης της χρηματοδότησης και των πόρων με τη διευρυμένη εντολή του· τονίζει, ωστόσο, ότι οι πρόσθετοι πόροι πρέπει να συνοδεύονται από μετρήσιμους στόχους επιδόσεων και τακτική υποβολή εκθέσεων σχετικά με τα συγκεκριμένα αποτελέσματα που επιτυγχάνονται·</w:t>
      </w:r>
    </w:p>
    <w:p w14:paraId="416A03F8" w14:textId="372495A4" w:rsidR="00F026BE" w:rsidRPr="00512250" w:rsidRDefault="00512250" w:rsidP="00512250">
      <w:pPr>
        <w:pStyle w:val="NormalHanging12a"/>
        <w:ind w:left="570" w:hanging="570"/>
        <w:rPr>
          <w:iCs/>
        </w:rPr>
      </w:pPr>
      <w:r w:rsidRPr="00512250">
        <w:rPr>
          <w:iCs/>
        </w:rPr>
        <w:t>33.</w:t>
      </w:r>
      <w:r w:rsidRPr="00512250">
        <w:rPr>
          <w:iCs/>
        </w:rPr>
        <w:tab/>
      </w:r>
      <w:r w:rsidR="00F026BE" w:rsidRPr="00512250">
        <w:t>σημειώνει ότι, όσον αφορά τον EUDA, η αύξηση οφείλεται κυρίως στην έναρξη ισχύος του κανονισμού (ΕΕ) 2023/1322, ο οποίος προβλέπει στοχευμένη αναθεώρηση της εντολής του Οργανισμού, προκειμένου να διαδραματίσει σημαντικότερο ρόλο στον εντοπισμό και την αντιμετώπιση των υφιστάμενων και μελλοντικών προκλήσεων που σχετίζονται με τα παράνομα ναρκωτικά στην Ένωση· σημειώνει ότι αυτό θα συνεπάγεται εμβάθυνση της τρέχουσας εντολής του Οργανισμού, νέα καθήκοντα και αύξηση των πόρων που διατίθενται για την απαιτούμενη εφαρμογή από το 2024·</w:t>
      </w:r>
    </w:p>
    <w:p w14:paraId="1B2718B0" w14:textId="18D1793B" w:rsidR="00F026BE" w:rsidRPr="00512250" w:rsidRDefault="00512250" w:rsidP="00512250">
      <w:pPr>
        <w:pStyle w:val="NormalHanging12a"/>
        <w:ind w:left="570" w:hanging="570"/>
      </w:pPr>
      <w:r w:rsidRPr="00512250">
        <w:t>34.</w:t>
      </w:r>
      <w:r w:rsidRPr="00512250">
        <w:tab/>
      </w:r>
      <w:r w:rsidR="00F026BE" w:rsidRPr="00512250">
        <w:t xml:space="preserve">σημειώνει τη σταδιακή επέκταση της εντολής της Ευρωπόλ, συμπεριλαμβανομένων των μέτρων που εγκρίθηκαν πρόσφατα και των προτεινόμενων μέτρων που παρέχουν ενισχυμένες ικανότητες για την καταπολέμηση του σοβαρού και οργανωμένου εγκλήματος, όπως η παράνομη διακίνηση μεταναστών, η εμπορία ανθρώπων, το </w:t>
      </w:r>
      <w:proofErr w:type="spellStart"/>
      <w:r w:rsidR="00F026BE" w:rsidRPr="00512250">
        <w:t>κυβερνοέγκλημα</w:t>
      </w:r>
      <w:proofErr w:type="spellEnd"/>
      <w:r w:rsidR="00F026BE" w:rsidRPr="00512250">
        <w:t xml:space="preserve"> και η τρομοκρατία· υπενθυμίζει ότι οι εξελίξεις αυτές περιλαμβάνουν, μεταξύ άλλων, ενισχυμένη συνεργασία με ιδιωτικούς φορείς μέσω άμεσων ανταλλαγών δεδομένων, ενισχυμένες ικανότητες ανάλυσης δεδομένων μεγάλης κλίμακας και αναβαθμισμένη επιχειρησιακή συνδρομή προς τα κράτη μέλη μέσω εξειδικευμένων ομάδων υποστήριξης· τονίζει ότι η αποτελεσματική εκτέλεση αυτών των πρόσθετων καθηκόντων απαιτεί αντίστοιχη αύξηση των ανθρώπινων πόρων της Ευρωπόλ, αλλά και ισχυρές εσωτερικές διασφαλίσεις, επαρκή ικανότητα συμμόρφωσης και ενισχυμένους εποπτικούς μηχανισμούς· Παρατηρεί ότι ο προϋπολογισμός της Ευρωπόλ αυξήθηκε κατά 5,78 % το 2024 σε σύγκριση με το 2023· ζητεί να ενισχυθεί περαιτέρω ο προϋπολογισμός της Ευρωπόλ προκειμένου να αντιμετωπιστούν οι επίμονες ελλείψεις προσωπικού και να διασφαλιστεί ότι οι χρηματοδοτικοί πόροι της είναι </w:t>
      </w:r>
      <w:r w:rsidR="00F026BE" w:rsidRPr="00512250">
        <w:lastRenderedPageBreak/>
        <w:t xml:space="preserve">ανάλογοι με τις διευρυμένες αρμοδιότητές της· τονίζει τον καίριο ρόλο της Ευρωπόλ στην καταπολέμηση της παράνομης διακίνησης μεταναστών, της εμπορίας ανθρώπων, του διασυνοριακού εγκλήματος και της τρομοκρατίας· υπογραμμίζει ότι ο </w:t>
      </w:r>
      <w:proofErr w:type="spellStart"/>
      <w:r w:rsidR="00F026BE" w:rsidRPr="00512250">
        <w:t>Frontex</w:t>
      </w:r>
      <w:proofErr w:type="spellEnd"/>
      <w:r w:rsidR="00F026BE" w:rsidRPr="00512250">
        <w:t xml:space="preserve"> θα πρέπει να επικεντρωθεί στις βασικές του δραστηριότητές· και εκφράζει την ικανοποίησή του για τις συνεχιζόμενες προσπάθειες του </w:t>
      </w:r>
      <w:proofErr w:type="spellStart"/>
      <w:r w:rsidR="00F026BE" w:rsidRPr="00512250">
        <w:t>Frontex</w:t>
      </w:r>
      <w:proofErr w:type="spellEnd"/>
      <w:r w:rsidR="00F026BE" w:rsidRPr="00512250">
        <w:t xml:space="preserve"> να ενισχύσει τον ρόλο του υπεύθυνου του για τα θεμελιώδη δικαιώματα·</w:t>
      </w:r>
    </w:p>
    <w:p w14:paraId="45EAD860" w14:textId="74FC9448" w:rsidR="00F026BE" w:rsidRPr="00512250" w:rsidRDefault="00512250" w:rsidP="00512250">
      <w:pPr>
        <w:pStyle w:val="NormalHanging12a"/>
        <w:ind w:left="570" w:hanging="570"/>
      </w:pPr>
      <w:r w:rsidRPr="00512250">
        <w:t>35.</w:t>
      </w:r>
      <w:r w:rsidRPr="00512250">
        <w:tab/>
      </w:r>
      <w:r w:rsidR="00F026BE" w:rsidRPr="00512250">
        <w:t xml:space="preserve">ζητεί να αυξηθεί το προσωπικό της </w:t>
      </w:r>
      <w:proofErr w:type="spellStart"/>
      <w:r w:rsidR="00F026BE" w:rsidRPr="00512250">
        <w:t>Eurojust</w:t>
      </w:r>
      <w:proofErr w:type="spellEnd"/>
      <w:r w:rsidR="00F026BE" w:rsidRPr="00512250">
        <w:t xml:space="preserve"> δεδομένης της προβλεπόμενης ενισχυμένης εντολής της ώστε να συμπεριλάβει τρίτες χώρες, ιδίως μετά τον επιθετικό πόλεμο της Ρωσίας κατά της Ουκρανίας το 2022· αυτό της επιτρέπει να συλλέγει, να αποθηκεύει και να αναλύει αποδεικτικά στοιχεία για πολύ σοβαρά διεθνή εγκλήματα (εγκλήματα πολέμου, γενοκτονία, εγκλήματα κατά της ανθρωπότητας), να ανταλλάσσει τα εν λόγω αποδεικτικά στοιχεία με εθνικές αρχές και διεθνείς φορείς, συμπεριλαμβανομένου του Διεθνούς Ποινικού Δικαστηρίου, και να δημιουργήσει ειδική βάση δεδομένων με αποδεικτικά στοιχεία για πολύ σοβαρά διεθνή εγκλήματα για τον σκοπό αυτό· έτσι επεκτείνεται πέραν της απλής υποστήριξης των ερευνών, προς την ενεργό διασφάλιση βασικών αποδεικτικών στοιχείων για μελλοντικές έρευνες· παράλληλα επισημαίνει ότι ο προϋπολογισμός του 2024 αντικατόπτριζε μέτρια μόνο ποσοστιαία αύξηση σε σύγκριση με τον προϋπολογισμό του 2023, και ζητεί να αυξηθεί αναλόγως η χρηματοδότηση του προσωπικού παράλληλα με τον συνολικό προϋπολογισμό ενόψει της αναμενόμενης μελλοντικής εντολής·</w:t>
      </w:r>
    </w:p>
    <w:p w14:paraId="5D7BBCCE" w14:textId="173C079B" w:rsidR="00F026BE" w:rsidRPr="00512250" w:rsidRDefault="00512250" w:rsidP="00512250">
      <w:pPr>
        <w:pStyle w:val="NormalHanging12a"/>
        <w:ind w:left="570" w:hanging="570"/>
      </w:pPr>
      <w:r w:rsidRPr="00512250">
        <w:t>36.</w:t>
      </w:r>
      <w:r w:rsidRPr="00512250">
        <w:tab/>
      </w:r>
      <w:r w:rsidR="00F026BE" w:rsidRPr="00512250">
        <w:t>υπενθυμίζει ότι η πλειονότητα των οργανισμών της ΕΕ λαμβάνουν τη χρηματοδότησή τους εξ ολοκλήρου από συνεισφορές από τον προϋπολογισμό της Ένωσης· σημειώνει, ωστόσο, ότι ορισμένοι οργανισμοί χρηματοδοτούνται πλήρως ή εν μέρει μέσω εναλλακτικών πηγών εσόδων, συμπεριλαμβανομένων των εκδοθέντων πιστοποιητικών, των αδειών, της καταχώρισης ουσιών, των συνεισφορών, της συλλογής δεδομένων, της εποπτείας της αγοράς, της επιτήρησης και άλλων υπηρεσιών όπως η μετάφραση και η ορολογία, όπως παρέχονται από το Μεταφραστικό Κέντρο των Οργάνων της Ευρωπαϊκής Ένωσης (</w:t>
      </w:r>
      <w:proofErr w:type="spellStart"/>
      <w:r w:rsidR="00F026BE" w:rsidRPr="00512250">
        <w:t>CdT</w:t>
      </w:r>
      <w:proofErr w:type="spellEnd"/>
      <w:r w:rsidR="00F026BE" w:rsidRPr="00512250">
        <w:t>)·</w:t>
      </w:r>
    </w:p>
    <w:p w14:paraId="6F07142F" w14:textId="67071EF8" w:rsidR="00F026BE" w:rsidRPr="00512250" w:rsidRDefault="00512250" w:rsidP="00512250">
      <w:pPr>
        <w:pStyle w:val="NormalHanging12a"/>
        <w:ind w:left="570" w:hanging="570"/>
      </w:pPr>
      <w:r w:rsidRPr="00512250">
        <w:t>37.</w:t>
      </w:r>
      <w:r w:rsidRPr="00512250">
        <w:tab/>
      </w:r>
      <w:r w:rsidR="00F026BE" w:rsidRPr="00512250">
        <w:t>αναγνωρίζει, ειδικότερα, ότι:</w:t>
      </w:r>
    </w:p>
    <w:p w14:paraId="7D9E37BF" w14:textId="77777777" w:rsidR="00F026BE" w:rsidRPr="00512250" w:rsidRDefault="00F026BE" w:rsidP="00F026BE">
      <w:pPr>
        <w:pStyle w:val="NormalHanging12a"/>
        <w:ind w:left="1134"/>
      </w:pPr>
      <w:r w:rsidRPr="00512250">
        <w:t>–</w:t>
      </w:r>
      <w:r w:rsidRPr="00512250">
        <w:tab/>
        <w:t>στους μερικώς αυτοχρηματοδοτούμενους οργανισμούς περιλαμβάνονται ο Οργανισμός για τη Συνεργασία των Ρυθμιστικών Αρχών Ενέργειας (ACER), ο Οργανισμός της Ευρωπαϊκής Ένωσης για την Ασφάλεια της Αεροπορίας (EASA), ο Ευρωπαϊκός Οργανισμός Χημικών Προϊόντων (ECHA), ο Ευρωπαϊκός Οργανισμός Φαρμάκων (EMA) και ο Οργανισμός Σιδηροδρόμων της Ευρωπαϊκής Ένωσης (ERA)·</w:t>
      </w:r>
    </w:p>
    <w:p w14:paraId="39CD9126" w14:textId="77777777" w:rsidR="00F026BE" w:rsidRPr="00512250" w:rsidRDefault="00F026BE" w:rsidP="00F026BE">
      <w:pPr>
        <w:pStyle w:val="NormalHanging12a"/>
        <w:ind w:left="1134"/>
      </w:pPr>
      <w:r w:rsidRPr="00512250">
        <w:t>–</w:t>
      </w:r>
      <w:r w:rsidRPr="00512250">
        <w:tab/>
        <w:t xml:space="preserve">οι πλήρως αυτοχρηματοδοτούμενοι οργανισμοί περιλαμβάνουν το </w:t>
      </w:r>
      <w:proofErr w:type="spellStart"/>
      <w:r w:rsidRPr="00512250">
        <w:t>CdT</w:t>
      </w:r>
      <w:proofErr w:type="spellEnd"/>
      <w:r w:rsidRPr="00512250">
        <w:t>·</w:t>
      </w:r>
    </w:p>
    <w:p w14:paraId="1E4634E6" w14:textId="77777777" w:rsidR="00F026BE" w:rsidRPr="00512250" w:rsidRDefault="00F026BE" w:rsidP="00F026BE">
      <w:pPr>
        <w:pStyle w:val="NormalHanging12a"/>
        <w:ind w:left="1134"/>
      </w:pPr>
      <w:r w:rsidRPr="00512250">
        <w:t>–</w:t>
      </w:r>
      <w:r w:rsidRPr="00512250">
        <w:tab/>
        <w:t>στους οργανισμούς που συγχρηματοδοτούνται εν μέρει από τις εθνικές δημόσιες αρχές περιλαμβάνονται η Ευρωπαϊκή Αρχή Τραπεζών (ΕΑΤ), η Ευρωπαϊκή Αρχή Ασφαλίσεων και Επαγγελματικών Συντάξεων (EIOPA) και η Ευρωπαϊκή Αρχή Κινητών Αξιών και Αγορών (ESMA)·</w:t>
      </w:r>
    </w:p>
    <w:p w14:paraId="06682A15" w14:textId="16EEED02" w:rsidR="00F026BE" w:rsidRPr="00512250" w:rsidRDefault="00512250" w:rsidP="00512250">
      <w:pPr>
        <w:pStyle w:val="NormalHanging12a"/>
        <w:ind w:left="570" w:hanging="570"/>
      </w:pPr>
      <w:r w:rsidRPr="00512250">
        <w:t>38.</w:t>
      </w:r>
      <w:r w:rsidRPr="00512250">
        <w:tab/>
      </w:r>
      <w:r w:rsidR="00F026BE" w:rsidRPr="00512250">
        <w:t>σημειώνει ότι, για το 2024, η πηγή χρηματοδότησης για τους αυτοχρηματοδοτούμενους οργανισμούς που αποτελούν μέρος του παρόντος ψηφίσματος είχε την ακόλουθη κατανομή:</w:t>
      </w:r>
    </w:p>
    <w:tbl>
      <w:tblPr>
        <w:tblStyle w:val="TableGrid"/>
        <w:tblW w:w="9433" w:type="dxa"/>
        <w:tblLook w:val="04A0" w:firstRow="1" w:lastRow="0" w:firstColumn="1" w:lastColumn="0" w:noHBand="0" w:noVBand="1"/>
      </w:tblPr>
      <w:tblGrid>
        <w:gridCol w:w="1271"/>
        <w:gridCol w:w="1896"/>
        <w:gridCol w:w="1957"/>
        <w:gridCol w:w="716"/>
        <w:gridCol w:w="1780"/>
        <w:gridCol w:w="716"/>
        <w:gridCol w:w="1476"/>
      </w:tblGrid>
      <w:tr w:rsidR="00F026BE" w:rsidRPr="00512250" w14:paraId="4EF30579" w14:textId="77777777" w:rsidTr="00E47788">
        <w:trPr>
          <w:trHeight w:val="388"/>
        </w:trPr>
        <w:tc>
          <w:tcPr>
            <w:tcW w:w="1271" w:type="dxa"/>
            <w:tcBorders>
              <w:top w:val="single" w:sz="4" w:space="0" w:color="auto"/>
              <w:left w:val="single" w:sz="4" w:space="0" w:color="auto"/>
              <w:bottom w:val="single" w:sz="4" w:space="0" w:color="auto"/>
              <w:right w:val="single" w:sz="4" w:space="0" w:color="auto"/>
            </w:tcBorders>
            <w:noWrap/>
            <w:hideMark/>
          </w:tcPr>
          <w:p w14:paraId="652328E4" w14:textId="77777777" w:rsidR="00F026BE" w:rsidRPr="00512250" w:rsidRDefault="00F026BE" w:rsidP="00E47788">
            <w:pPr>
              <w:pStyle w:val="NormalHanging12a"/>
            </w:pPr>
          </w:p>
        </w:tc>
        <w:tc>
          <w:tcPr>
            <w:tcW w:w="1797" w:type="dxa"/>
            <w:tcBorders>
              <w:top w:val="single" w:sz="4" w:space="0" w:color="auto"/>
              <w:left w:val="single" w:sz="4" w:space="0" w:color="auto"/>
              <w:bottom w:val="single" w:sz="4" w:space="0" w:color="auto"/>
              <w:right w:val="single" w:sz="4" w:space="0" w:color="auto"/>
            </w:tcBorders>
            <w:noWrap/>
            <w:hideMark/>
          </w:tcPr>
          <w:p w14:paraId="10E494B0" w14:textId="77777777" w:rsidR="00F026BE" w:rsidRPr="00512250" w:rsidRDefault="00F026BE" w:rsidP="00E47788">
            <w:pPr>
              <w:pStyle w:val="NormalHanging12a"/>
              <w:rPr>
                <w:b/>
                <w:bCs/>
              </w:rPr>
            </w:pPr>
            <w:r w:rsidRPr="00512250">
              <w:rPr>
                <w:b/>
              </w:rPr>
              <w:t>Έσοδα 2024</w:t>
            </w:r>
          </w:p>
        </w:tc>
        <w:tc>
          <w:tcPr>
            <w:tcW w:w="1957" w:type="dxa"/>
            <w:tcBorders>
              <w:top w:val="single" w:sz="4" w:space="0" w:color="auto"/>
              <w:left w:val="single" w:sz="4" w:space="0" w:color="auto"/>
              <w:bottom w:val="single" w:sz="4" w:space="0" w:color="auto"/>
              <w:right w:val="single" w:sz="4" w:space="0" w:color="auto"/>
            </w:tcBorders>
            <w:noWrap/>
            <w:hideMark/>
          </w:tcPr>
          <w:p w14:paraId="2C28DFF5" w14:textId="77777777" w:rsidR="00F026BE" w:rsidRPr="00512250" w:rsidRDefault="00F026BE" w:rsidP="00E47788">
            <w:pPr>
              <w:pStyle w:val="NormalHanging12a"/>
              <w:rPr>
                <w:b/>
                <w:bCs/>
              </w:rPr>
            </w:pPr>
            <w:r w:rsidRPr="00512250">
              <w:rPr>
                <w:b/>
              </w:rPr>
              <w:t xml:space="preserve">Συνεισφορά της ΕΕ </w:t>
            </w:r>
          </w:p>
        </w:tc>
        <w:tc>
          <w:tcPr>
            <w:tcW w:w="640" w:type="dxa"/>
            <w:tcBorders>
              <w:top w:val="single" w:sz="4" w:space="0" w:color="auto"/>
              <w:left w:val="single" w:sz="4" w:space="0" w:color="auto"/>
              <w:bottom w:val="single" w:sz="4" w:space="0" w:color="auto"/>
              <w:right w:val="single" w:sz="4" w:space="0" w:color="auto"/>
            </w:tcBorders>
            <w:noWrap/>
            <w:hideMark/>
          </w:tcPr>
          <w:p w14:paraId="37248070" w14:textId="77777777" w:rsidR="00F026BE" w:rsidRPr="00512250" w:rsidRDefault="00F026BE" w:rsidP="00E47788">
            <w:pPr>
              <w:pStyle w:val="NormalHanging12a"/>
              <w:rPr>
                <w:b/>
                <w:bCs/>
              </w:rPr>
            </w:pPr>
            <w:r w:rsidRPr="00512250">
              <w:rPr>
                <w:b/>
              </w:rPr>
              <w:t>%</w:t>
            </w:r>
          </w:p>
        </w:tc>
        <w:tc>
          <w:tcPr>
            <w:tcW w:w="1780" w:type="dxa"/>
            <w:tcBorders>
              <w:top w:val="single" w:sz="4" w:space="0" w:color="auto"/>
              <w:left w:val="single" w:sz="4" w:space="0" w:color="auto"/>
              <w:bottom w:val="single" w:sz="4" w:space="0" w:color="auto"/>
              <w:right w:val="single" w:sz="4" w:space="0" w:color="auto"/>
            </w:tcBorders>
            <w:noWrap/>
            <w:hideMark/>
          </w:tcPr>
          <w:p w14:paraId="0E6018A4" w14:textId="77777777" w:rsidR="00F026BE" w:rsidRPr="00512250" w:rsidRDefault="00F026BE" w:rsidP="00E47788">
            <w:pPr>
              <w:pStyle w:val="NormalHanging12a"/>
              <w:rPr>
                <w:b/>
                <w:bCs/>
              </w:rPr>
            </w:pPr>
            <w:r w:rsidRPr="00512250">
              <w:rPr>
                <w:b/>
              </w:rPr>
              <w:t>Ίδια έσοδα</w:t>
            </w:r>
            <w:r w:rsidRPr="00512250">
              <w:rPr>
                <w:vertAlign w:val="superscript"/>
              </w:rPr>
              <w:t xml:space="preserve"> </w:t>
            </w:r>
            <w:r w:rsidRPr="00512250">
              <w:rPr>
                <w:vertAlign w:val="superscript"/>
              </w:rPr>
              <w:footnoteReference w:id="404"/>
            </w:r>
          </w:p>
        </w:tc>
        <w:tc>
          <w:tcPr>
            <w:tcW w:w="640" w:type="dxa"/>
            <w:tcBorders>
              <w:top w:val="single" w:sz="4" w:space="0" w:color="auto"/>
              <w:left w:val="single" w:sz="4" w:space="0" w:color="auto"/>
              <w:bottom w:val="single" w:sz="4" w:space="0" w:color="auto"/>
              <w:right w:val="single" w:sz="4" w:space="0" w:color="auto"/>
            </w:tcBorders>
            <w:noWrap/>
            <w:hideMark/>
          </w:tcPr>
          <w:p w14:paraId="179DF7CA" w14:textId="77777777" w:rsidR="00F026BE" w:rsidRPr="00512250" w:rsidRDefault="00F026BE" w:rsidP="00E47788">
            <w:pPr>
              <w:pStyle w:val="NormalHanging12a"/>
              <w:rPr>
                <w:b/>
                <w:bCs/>
              </w:rPr>
            </w:pPr>
            <w:r w:rsidRPr="00512250">
              <w:rPr>
                <w:b/>
              </w:rPr>
              <w:t>%</w:t>
            </w:r>
          </w:p>
        </w:tc>
        <w:tc>
          <w:tcPr>
            <w:tcW w:w="1348" w:type="dxa"/>
            <w:tcBorders>
              <w:top w:val="single" w:sz="4" w:space="0" w:color="auto"/>
              <w:left w:val="single" w:sz="4" w:space="0" w:color="auto"/>
              <w:bottom w:val="single" w:sz="4" w:space="0" w:color="auto"/>
              <w:right w:val="single" w:sz="4" w:space="0" w:color="auto"/>
            </w:tcBorders>
            <w:noWrap/>
            <w:hideMark/>
          </w:tcPr>
          <w:p w14:paraId="2237BA4E" w14:textId="77777777" w:rsidR="00F026BE" w:rsidRPr="00512250" w:rsidRDefault="00F026BE" w:rsidP="00E47788">
            <w:pPr>
              <w:pStyle w:val="NormalHanging12a"/>
              <w:rPr>
                <w:b/>
                <w:bCs/>
              </w:rPr>
            </w:pPr>
            <w:r w:rsidRPr="00512250">
              <w:rPr>
                <w:b/>
              </w:rPr>
              <w:t>Άλλοι</w:t>
            </w:r>
          </w:p>
        </w:tc>
      </w:tr>
      <w:tr w:rsidR="00F026BE" w:rsidRPr="00512250" w14:paraId="1D6677FC" w14:textId="77777777" w:rsidTr="00E4778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5C25C334" w14:textId="77777777" w:rsidR="00F026BE" w:rsidRPr="00512250" w:rsidRDefault="00F026BE" w:rsidP="00E47788">
            <w:pPr>
              <w:pStyle w:val="NormalHanging12a"/>
            </w:pPr>
            <w:r w:rsidRPr="00512250">
              <w:t>ACER</w:t>
            </w:r>
          </w:p>
        </w:tc>
        <w:tc>
          <w:tcPr>
            <w:tcW w:w="1797" w:type="dxa"/>
            <w:tcBorders>
              <w:top w:val="single" w:sz="4" w:space="0" w:color="auto"/>
              <w:left w:val="single" w:sz="4" w:space="0" w:color="auto"/>
              <w:bottom w:val="single" w:sz="4" w:space="0" w:color="auto"/>
              <w:right w:val="single" w:sz="4" w:space="0" w:color="auto"/>
            </w:tcBorders>
            <w:noWrap/>
            <w:hideMark/>
          </w:tcPr>
          <w:p w14:paraId="2FBE9056" w14:textId="77777777" w:rsidR="00F026BE" w:rsidRPr="00512250" w:rsidRDefault="00F026BE" w:rsidP="00E47788">
            <w:pPr>
              <w:pStyle w:val="NormalHanging12a"/>
            </w:pPr>
            <w:r w:rsidRPr="00512250">
              <w:t>€ 34 679 976</w:t>
            </w:r>
          </w:p>
        </w:tc>
        <w:tc>
          <w:tcPr>
            <w:tcW w:w="1957" w:type="dxa"/>
            <w:tcBorders>
              <w:top w:val="single" w:sz="4" w:space="0" w:color="auto"/>
              <w:left w:val="single" w:sz="4" w:space="0" w:color="auto"/>
              <w:bottom w:val="single" w:sz="4" w:space="0" w:color="auto"/>
              <w:right w:val="single" w:sz="4" w:space="0" w:color="auto"/>
            </w:tcBorders>
            <w:noWrap/>
            <w:hideMark/>
          </w:tcPr>
          <w:p w14:paraId="3CB4030B" w14:textId="77777777" w:rsidR="00F026BE" w:rsidRPr="00512250" w:rsidRDefault="00F026BE" w:rsidP="00E47788">
            <w:pPr>
              <w:pStyle w:val="NormalHanging12a"/>
            </w:pPr>
            <w:r w:rsidRPr="00512250">
              <w:t>€ 23 012 293</w:t>
            </w:r>
          </w:p>
        </w:tc>
        <w:tc>
          <w:tcPr>
            <w:tcW w:w="640" w:type="dxa"/>
            <w:tcBorders>
              <w:top w:val="single" w:sz="4" w:space="0" w:color="auto"/>
              <w:left w:val="single" w:sz="4" w:space="0" w:color="auto"/>
              <w:bottom w:val="single" w:sz="4" w:space="0" w:color="auto"/>
              <w:right w:val="single" w:sz="4" w:space="0" w:color="auto"/>
            </w:tcBorders>
            <w:noWrap/>
            <w:hideMark/>
          </w:tcPr>
          <w:p w14:paraId="60E581A1" w14:textId="77777777" w:rsidR="00F026BE" w:rsidRPr="00512250" w:rsidRDefault="00F026BE" w:rsidP="00E47788">
            <w:pPr>
              <w:pStyle w:val="NormalHanging12a"/>
            </w:pPr>
            <w:r w:rsidRPr="00512250">
              <w:t>66 %</w:t>
            </w:r>
          </w:p>
        </w:tc>
        <w:tc>
          <w:tcPr>
            <w:tcW w:w="1780" w:type="dxa"/>
            <w:tcBorders>
              <w:top w:val="single" w:sz="4" w:space="0" w:color="auto"/>
              <w:left w:val="single" w:sz="4" w:space="0" w:color="auto"/>
              <w:bottom w:val="single" w:sz="4" w:space="0" w:color="auto"/>
              <w:right w:val="single" w:sz="4" w:space="0" w:color="auto"/>
            </w:tcBorders>
            <w:noWrap/>
            <w:hideMark/>
          </w:tcPr>
          <w:p w14:paraId="5FAAE603" w14:textId="77777777" w:rsidR="00F026BE" w:rsidRPr="00512250" w:rsidRDefault="00F026BE" w:rsidP="00E47788">
            <w:pPr>
              <w:pStyle w:val="NormalHanging12a"/>
            </w:pPr>
            <w:r w:rsidRPr="00512250">
              <w:t>€ 11 667 683</w:t>
            </w:r>
          </w:p>
        </w:tc>
        <w:tc>
          <w:tcPr>
            <w:tcW w:w="640" w:type="dxa"/>
            <w:tcBorders>
              <w:top w:val="single" w:sz="4" w:space="0" w:color="auto"/>
              <w:left w:val="single" w:sz="4" w:space="0" w:color="auto"/>
              <w:bottom w:val="single" w:sz="4" w:space="0" w:color="auto"/>
              <w:right w:val="single" w:sz="4" w:space="0" w:color="auto"/>
            </w:tcBorders>
            <w:noWrap/>
            <w:hideMark/>
          </w:tcPr>
          <w:p w14:paraId="3A46E9D7" w14:textId="77777777" w:rsidR="00F026BE" w:rsidRPr="00512250" w:rsidRDefault="00F026BE" w:rsidP="00E47788">
            <w:pPr>
              <w:pStyle w:val="NormalHanging12a"/>
            </w:pPr>
            <w:r w:rsidRPr="00512250">
              <w:t>34 %</w:t>
            </w:r>
          </w:p>
        </w:tc>
        <w:tc>
          <w:tcPr>
            <w:tcW w:w="1348" w:type="dxa"/>
            <w:tcBorders>
              <w:top w:val="single" w:sz="4" w:space="0" w:color="auto"/>
              <w:left w:val="single" w:sz="4" w:space="0" w:color="auto"/>
              <w:bottom w:val="single" w:sz="4" w:space="0" w:color="auto"/>
              <w:right w:val="single" w:sz="4" w:space="0" w:color="auto"/>
            </w:tcBorders>
            <w:noWrap/>
            <w:hideMark/>
          </w:tcPr>
          <w:p w14:paraId="4D85B465" w14:textId="77777777" w:rsidR="00F026BE" w:rsidRPr="00512250" w:rsidRDefault="00F026BE" w:rsidP="00E47788">
            <w:pPr>
              <w:pStyle w:val="NormalHanging12a"/>
            </w:pPr>
            <w:r w:rsidRPr="00512250">
              <w:t>€ 0</w:t>
            </w:r>
          </w:p>
        </w:tc>
      </w:tr>
      <w:tr w:rsidR="00F026BE" w:rsidRPr="00512250" w14:paraId="24C5B0F4" w14:textId="77777777" w:rsidTr="00E4778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F15CA98" w14:textId="77777777" w:rsidR="00F026BE" w:rsidRPr="00512250" w:rsidRDefault="00F026BE" w:rsidP="00E47788">
            <w:pPr>
              <w:pStyle w:val="NormalHanging12a"/>
            </w:pPr>
            <w:r w:rsidRPr="00512250">
              <w:t xml:space="preserve">CDT </w:t>
            </w:r>
          </w:p>
        </w:tc>
        <w:tc>
          <w:tcPr>
            <w:tcW w:w="1797" w:type="dxa"/>
            <w:tcBorders>
              <w:top w:val="single" w:sz="4" w:space="0" w:color="auto"/>
              <w:left w:val="single" w:sz="4" w:space="0" w:color="auto"/>
              <w:bottom w:val="single" w:sz="4" w:space="0" w:color="auto"/>
              <w:right w:val="single" w:sz="4" w:space="0" w:color="auto"/>
            </w:tcBorders>
            <w:noWrap/>
            <w:hideMark/>
          </w:tcPr>
          <w:p w14:paraId="020A3770" w14:textId="77777777" w:rsidR="00F026BE" w:rsidRPr="00512250" w:rsidRDefault="00F026BE" w:rsidP="00E47788">
            <w:pPr>
              <w:pStyle w:val="NormalHanging12a"/>
            </w:pPr>
            <w:r w:rsidRPr="00512250">
              <w:t>€ 45 346 300</w:t>
            </w:r>
          </w:p>
        </w:tc>
        <w:tc>
          <w:tcPr>
            <w:tcW w:w="1957" w:type="dxa"/>
            <w:tcBorders>
              <w:top w:val="single" w:sz="4" w:space="0" w:color="auto"/>
              <w:left w:val="single" w:sz="4" w:space="0" w:color="auto"/>
              <w:bottom w:val="single" w:sz="4" w:space="0" w:color="auto"/>
              <w:right w:val="single" w:sz="4" w:space="0" w:color="auto"/>
            </w:tcBorders>
            <w:noWrap/>
            <w:hideMark/>
          </w:tcPr>
          <w:p w14:paraId="5CFD6DDF" w14:textId="77777777" w:rsidR="00F026BE" w:rsidRPr="00512250" w:rsidRDefault="00F026BE" w:rsidP="00E47788">
            <w:pPr>
              <w:pStyle w:val="NormalHanging12a"/>
            </w:pPr>
            <w:r w:rsidRPr="00512250">
              <w:t>€ 0</w:t>
            </w:r>
          </w:p>
        </w:tc>
        <w:tc>
          <w:tcPr>
            <w:tcW w:w="640" w:type="dxa"/>
            <w:tcBorders>
              <w:top w:val="single" w:sz="4" w:space="0" w:color="auto"/>
              <w:left w:val="single" w:sz="4" w:space="0" w:color="auto"/>
              <w:bottom w:val="single" w:sz="4" w:space="0" w:color="auto"/>
              <w:right w:val="single" w:sz="4" w:space="0" w:color="auto"/>
            </w:tcBorders>
            <w:noWrap/>
            <w:hideMark/>
          </w:tcPr>
          <w:p w14:paraId="016CE7F9" w14:textId="77777777" w:rsidR="00F026BE" w:rsidRPr="00512250" w:rsidRDefault="00F026BE" w:rsidP="00E47788">
            <w:pPr>
              <w:pStyle w:val="NormalHanging12a"/>
            </w:pPr>
            <w:r w:rsidRPr="00512250">
              <w:t>0 %</w:t>
            </w:r>
          </w:p>
        </w:tc>
        <w:tc>
          <w:tcPr>
            <w:tcW w:w="1780" w:type="dxa"/>
            <w:tcBorders>
              <w:top w:val="single" w:sz="4" w:space="0" w:color="auto"/>
              <w:left w:val="single" w:sz="4" w:space="0" w:color="auto"/>
              <w:bottom w:val="single" w:sz="4" w:space="0" w:color="auto"/>
              <w:right w:val="single" w:sz="4" w:space="0" w:color="auto"/>
            </w:tcBorders>
            <w:noWrap/>
            <w:hideMark/>
          </w:tcPr>
          <w:p w14:paraId="4A0BEB69" w14:textId="77777777" w:rsidR="00F026BE" w:rsidRPr="00512250" w:rsidRDefault="00F026BE" w:rsidP="00E47788">
            <w:pPr>
              <w:pStyle w:val="NormalHanging12a"/>
            </w:pPr>
            <w:r w:rsidRPr="00512250">
              <w:t>€ 44 411 200</w:t>
            </w:r>
          </w:p>
        </w:tc>
        <w:tc>
          <w:tcPr>
            <w:tcW w:w="640" w:type="dxa"/>
            <w:tcBorders>
              <w:top w:val="single" w:sz="4" w:space="0" w:color="auto"/>
              <w:left w:val="single" w:sz="4" w:space="0" w:color="auto"/>
              <w:bottom w:val="single" w:sz="4" w:space="0" w:color="auto"/>
              <w:right w:val="single" w:sz="4" w:space="0" w:color="auto"/>
            </w:tcBorders>
            <w:noWrap/>
            <w:hideMark/>
          </w:tcPr>
          <w:p w14:paraId="4652FE93" w14:textId="77777777" w:rsidR="00F026BE" w:rsidRPr="00512250" w:rsidRDefault="00F026BE" w:rsidP="00E47788">
            <w:pPr>
              <w:pStyle w:val="NormalHanging12a"/>
            </w:pPr>
            <w:r w:rsidRPr="00512250">
              <w:t>98 %</w:t>
            </w:r>
          </w:p>
        </w:tc>
        <w:tc>
          <w:tcPr>
            <w:tcW w:w="1348" w:type="dxa"/>
            <w:tcBorders>
              <w:top w:val="single" w:sz="4" w:space="0" w:color="auto"/>
              <w:left w:val="single" w:sz="4" w:space="0" w:color="auto"/>
              <w:bottom w:val="single" w:sz="4" w:space="0" w:color="auto"/>
              <w:right w:val="single" w:sz="4" w:space="0" w:color="auto"/>
            </w:tcBorders>
            <w:noWrap/>
            <w:hideMark/>
          </w:tcPr>
          <w:p w14:paraId="78FD3420" w14:textId="77777777" w:rsidR="00F026BE" w:rsidRPr="00512250" w:rsidRDefault="00F026BE" w:rsidP="00E47788">
            <w:pPr>
              <w:pStyle w:val="NormalHanging12a"/>
            </w:pPr>
            <w:r w:rsidRPr="00512250">
              <w:t>€ 935 100</w:t>
            </w:r>
          </w:p>
        </w:tc>
      </w:tr>
      <w:tr w:rsidR="00F026BE" w:rsidRPr="00512250" w14:paraId="319EE0F0" w14:textId="77777777" w:rsidTr="00E4778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F2247E6" w14:textId="77777777" w:rsidR="00F026BE" w:rsidRPr="00512250" w:rsidRDefault="00F026BE" w:rsidP="00E47788">
            <w:pPr>
              <w:pStyle w:val="NormalHanging12a"/>
            </w:pPr>
            <w:r w:rsidRPr="00512250">
              <w:t xml:space="preserve">EASA </w:t>
            </w:r>
          </w:p>
        </w:tc>
        <w:tc>
          <w:tcPr>
            <w:tcW w:w="1797" w:type="dxa"/>
            <w:tcBorders>
              <w:top w:val="single" w:sz="4" w:space="0" w:color="auto"/>
              <w:left w:val="single" w:sz="4" w:space="0" w:color="auto"/>
              <w:bottom w:val="single" w:sz="4" w:space="0" w:color="auto"/>
              <w:right w:val="single" w:sz="4" w:space="0" w:color="auto"/>
            </w:tcBorders>
            <w:noWrap/>
            <w:hideMark/>
          </w:tcPr>
          <w:p w14:paraId="712D126D" w14:textId="77777777" w:rsidR="00F026BE" w:rsidRPr="00512250" w:rsidRDefault="00F026BE" w:rsidP="00E47788">
            <w:pPr>
              <w:pStyle w:val="NormalHanging12a"/>
            </w:pPr>
            <w:r w:rsidRPr="00512250">
              <w:t>€ 183 306 903,00</w:t>
            </w:r>
          </w:p>
        </w:tc>
        <w:tc>
          <w:tcPr>
            <w:tcW w:w="1957" w:type="dxa"/>
            <w:tcBorders>
              <w:top w:val="single" w:sz="4" w:space="0" w:color="auto"/>
              <w:left w:val="single" w:sz="4" w:space="0" w:color="auto"/>
              <w:bottom w:val="single" w:sz="4" w:space="0" w:color="auto"/>
              <w:right w:val="single" w:sz="4" w:space="0" w:color="auto"/>
            </w:tcBorders>
            <w:noWrap/>
            <w:hideMark/>
          </w:tcPr>
          <w:p w14:paraId="6928D190" w14:textId="77777777" w:rsidR="00F026BE" w:rsidRPr="00512250" w:rsidRDefault="00F026BE" w:rsidP="00E47788">
            <w:pPr>
              <w:pStyle w:val="NormalHanging12a"/>
            </w:pPr>
            <w:r w:rsidRPr="00512250">
              <w:t>€ 44 984 486</w:t>
            </w:r>
          </w:p>
        </w:tc>
        <w:tc>
          <w:tcPr>
            <w:tcW w:w="640" w:type="dxa"/>
            <w:tcBorders>
              <w:top w:val="single" w:sz="4" w:space="0" w:color="auto"/>
              <w:left w:val="single" w:sz="4" w:space="0" w:color="auto"/>
              <w:bottom w:val="single" w:sz="4" w:space="0" w:color="auto"/>
              <w:right w:val="single" w:sz="4" w:space="0" w:color="auto"/>
            </w:tcBorders>
            <w:noWrap/>
            <w:hideMark/>
          </w:tcPr>
          <w:p w14:paraId="5DFC65CA" w14:textId="77777777" w:rsidR="00F026BE" w:rsidRPr="00512250" w:rsidRDefault="00F026BE" w:rsidP="00E47788">
            <w:pPr>
              <w:pStyle w:val="NormalHanging12a"/>
            </w:pPr>
            <w:r w:rsidRPr="00512250">
              <w:t>25 %</w:t>
            </w:r>
          </w:p>
        </w:tc>
        <w:tc>
          <w:tcPr>
            <w:tcW w:w="1780" w:type="dxa"/>
            <w:tcBorders>
              <w:top w:val="single" w:sz="4" w:space="0" w:color="auto"/>
              <w:left w:val="single" w:sz="4" w:space="0" w:color="auto"/>
              <w:bottom w:val="single" w:sz="4" w:space="0" w:color="auto"/>
              <w:right w:val="single" w:sz="4" w:space="0" w:color="auto"/>
            </w:tcBorders>
            <w:noWrap/>
            <w:hideMark/>
          </w:tcPr>
          <w:p w14:paraId="36D9E67A" w14:textId="77777777" w:rsidR="00F026BE" w:rsidRPr="00512250" w:rsidRDefault="00F026BE" w:rsidP="00E47788">
            <w:pPr>
              <w:pStyle w:val="NormalHanging12a"/>
            </w:pPr>
            <w:r w:rsidRPr="00512250">
              <w:t>€ 135 687 417</w:t>
            </w:r>
          </w:p>
        </w:tc>
        <w:tc>
          <w:tcPr>
            <w:tcW w:w="640" w:type="dxa"/>
            <w:tcBorders>
              <w:top w:val="single" w:sz="4" w:space="0" w:color="auto"/>
              <w:left w:val="single" w:sz="4" w:space="0" w:color="auto"/>
              <w:bottom w:val="single" w:sz="4" w:space="0" w:color="auto"/>
              <w:right w:val="single" w:sz="4" w:space="0" w:color="auto"/>
            </w:tcBorders>
            <w:noWrap/>
            <w:hideMark/>
          </w:tcPr>
          <w:p w14:paraId="606BA5F8" w14:textId="77777777" w:rsidR="00F026BE" w:rsidRPr="00512250" w:rsidRDefault="00F026BE" w:rsidP="00E47788">
            <w:pPr>
              <w:pStyle w:val="NormalHanging12a"/>
            </w:pPr>
            <w:r w:rsidRPr="00512250">
              <w:t>74 %</w:t>
            </w:r>
          </w:p>
        </w:tc>
        <w:tc>
          <w:tcPr>
            <w:tcW w:w="1348" w:type="dxa"/>
            <w:tcBorders>
              <w:top w:val="single" w:sz="4" w:space="0" w:color="auto"/>
              <w:left w:val="single" w:sz="4" w:space="0" w:color="auto"/>
              <w:bottom w:val="single" w:sz="4" w:space="0" w:color="auto"/>
              <w:right w:val="single" w:sz="4" w:space="0" w:color="auto"/>
            </w:tcBorders>
            <w:noWrap/>
            <w:hideMark/>
          </w:tcPr>
          <w:p w14:paraId="1CCAF828" w14:textId="77777777" w:rsidR="00F026BE" w:rsidRPr="00512250" w:rsidRDefault="00F026BE" w:rsidP="00E47788">
            <w:pPr>
              <w:pStyle w:val="NormalHanging12a"/>
            </w:pPr>
            <w:r w:rsidRPr="00512250">
              <w:t>€ 2 635 000</w:t>
            </w:r>
          </w:p>
        </w:tc>
      </w:tr>
      <w:tr w:rsidR="00F026BE" w:rsidRPr="00512250" w14:paraId="35162DD2" w14:textId="77777777" w:rsidTr="00E4778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72818D3" w14:textId="77777777" w:rsidR="00F026BE" w:rsidRPr="00512250" w:rsidRDefault="00F026BE" w:rsidP="00E47788">
            <w:pPr>
              <w:pStyle w:val="NormalHanging12a"/>
            </w:pPr>
            <w:r w:rsidRPr="00512250">
              <w:t xml:space="preserve">ΕΑΤ </w:t>
            </w:r>
            <w:r w:rsidRPr="00512250">
              <w:rPr>
                <w:vertAlign w:val="superscript"/>
              </w:rPr>
              <w:footnoteReference w:id="405"/>
            </w:r>
          </w:p>
        </w:tc>
        <w:tc>
          <w:tcPr>
            <w:tcW w:w="1797" w:type="dxa"/>
            <w:tcBorders>
              <w:top w:val="single" w:sz="4" w:space="0" w:color="auto"/>
              <w:left w:val="single" w:sz="4" w:space="0" w:color="auto"/>
              <w:bottom w:val="single" w:sz="4" w:space="0" w:color="auto"/>
              <w:right w:val="single" w:sz="4" w:space="0" w:color="auto"/>
            </w:tcBorders>
            <w:noWrap/>
            <w:hideMark/>
          </w:tcPr>
          <w:p w14:paraId="184D34FD" w14:textId="77777777" w:rsidR="00F026BE" w:rsidRPr="00512250" w:rsidRDefault="00F026BE" w:rsidP="00E47788">
            <w:pPr>
              <w:pStyle w:val="NormalHanging12a"/>
            </w:pPr>
            <w:r w:rsidRPr="00512250">
              <w:t>€ 56 906 201</w:t>
            </w:r>
          </w:p>
        </w:tc>
        <w:tc>
          <w:tcPr>
            <w:tcW w:w="1957" w:type="dxa"/>
            <w:tcBorders>
              <w:top w:val="single" w:sz="4" w:space="0" w:color="auto"/>
              <w:left w:val="single" w:sz="4" w:space="0" w:color="auto"/>
              <w:bottom w:val="single" w:sz="4" w:space="0" w:color="auto"/>
              <w:right w:val="single" w:sz="4" w:space="0" w:color="auto"/>
            </w:tcBorders>
            <w:noWrap/>
            <w:hideMark/>
          </w:tcPr>
          <w:p w14:paraId="64F69BAF" w14:textId="77777777" w:rsidR="00F026BE" w:rsidRPr="00512250" w:rsidRDefault="00F026BE" w:rsidP="00E47788">
            <w:pPr>
              <w:pStyle w:val="NormalHanging12a"/>
            </w:pPr>
            <w:r w:rsidRPr="00512250">
              <w:t>€ 20 857 871</w:t>
            </w:r>
          </w:p>
        </w:tc>
        <w:tc>
          <w:tcPr>
            <w:tcW w:w="640" w:type="dxa"/>
            <w:tcBorders>
              <w:top w:val="single" w:sz="4" w:space="0" w:color="auto"/>
              <w:left w:val="single" w:sz="4" w:space="0" w:color="auto"/>
              <w:bottom w:val="single" w:sz="4" w:space="0" w:color="auto"/>
              <w:right w:val="single" w:sz="4" w:space="0" w:color="auto"/>
            </w:tcBorders>
            <w:noWrap/>
            <w:hideMark/>
          </w:tcPr>
          <w:p w14:paraId="63BF773E" w14:textId="77777777" w:rsidR="00F026BE" w:rsidRPr="00512250" w:rsidRDefault="00F026BE" w:rsidP="00E47788">
            <w:pPr>
              <w:pStyle w:val="NormalHanging12a"/>
            </w:pPr>
            <w:r w:rsidRPr="00512250">
              <w:t>37 %</w:t>
            </w:r>
          </w:p>
        </w:tc>
        <w:tc>
          <w:tcPr>
            <w:tcW w:w="1780" w:type="dxa"/>
            <w:tcBorders>
              <w:top w:val="single" w:sz="4" w:space="0" w:color="auto"/>
              <w:left w:val="single" w:sz="4" w:space="0" w:color="auto"/>
              <w:bottom w:val="single" w:sz="4" w:space="0" w:color="auto"/>
              <w:right w:val="single" w:sz="4" w:space="0" w:color="auto"/>
            </w:tcBorders>
            <w:noWrap/>
            <w:hideMark/>
          </w:tcPr>
          <w:p w14:paraId="434E6A3A" w14:textId="77777777" w:rsidR="00F026BE" w:rsidRPr="00512250" w:rsidRDefault="00F026BE" w:rsidP="00E47788">
            <w:pPr>
              <w:pStyle w:val="NormalHanging12a"/>
            </w:pPr>
            <w:r w:rsidRPr="00512250">
              <w:t>€ 34 062 640</w:t>
            </w:r>
          </w:p>
        </w:tc>
        <w:tc>
          <w:tcPr>
            <w:tcW w:w="640" w:type="dxa"/>
            <w:tcBorders>
              <w:top w:val="single" w:sz="4" w:space="0" w:color="auto"/>
              <w:left w:val="single" w:sz="4" w:space="0" w:color="auto"/>
              <w:bottom w:val="single" w:sz="4" w:space="0" w:color="auto"/>
              <w:right w:val="single" w:sz="4" w:space="0" w:color="auto"/>
            </w:tcBorders>
            <w:noWrap/>
            <w:hideMark/>
          </w:tcPr>
          <w:p w14:paraId="324E11B5" w14:textId="77777777" w:rsidR="00F026BE" w:rsidRPr="00512250" w:rsidRDefault="00F026BE" w:rsidP="00E47788">
            <w:pPr>
              <w:pStyle w:val="NormalHanging12a"/>
            </w:pPr>
            <w:r w:rsidRPr="00512250">
              <w:t>60 %</w:t>
            </w:r>
          </w:p>
        </w:tc>
        <w:tc>
          <w:tcPr>
            <w:tcW w:w="1348" w:type="dxa"/>
            <w:tcBorders>
              <w:top w:val="single" w:sz="4" w:space="0" w:color="auto"/>
              <w:left w:val="single" w:sz="4" w:space="0" w:color="auto"/>
              <w:bottom w:val="single" w:sz="4" w:space="0" w:color="auto"/>
              <w:right w:val="single" w:sz="4" w:space="0" w:color="auto"/>
            </w:tcBorders>
            <w:noWrap/>
            <w:hideMark/>
          </w:tcPr>
          <w:p w14:paraId="780A1009" w14:textId="77777777" w:rsidR="00F026BE" w:rsidRPr="00512250" w:rsidRDefault="00F026BE" w:rsidP="00E47788">
            <w:pPr>
              <w:pStyle w:val="NormalHanging12a"/>
            </w:pPr>
            <w:r w:rsidRPr="00512250">
              <w:t>€ 1 985 690</w:t>
            </w:r>
          </w:p>
        </w:tc>
      </w:tr>
      <w:tr w:rsidR="00F026BE" w:rsidRPr="00512250" w14:paraId="6625AECB" w14:textId="77777777" w:rsidTr="00E4778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2EE89134" w14:textId="77777777" w:rsidR="00F026BE" w:rsidRPr="00512250" w:rsidRDefault="00F026BE" w:rsidP="00E47788">
            <w:pPr>
              <w:pStyle w:val="NormalHanging12a"/>
            </w:pPr>
            <w:r w:rsidRPr="00512250">
              <w:t xml:space="preserve">ECHA </w:t>
            </w:r>
          </w:p>
        </w:tc>
        <w:tc>
          <w:tcPr>
            <w:tcW w:w="1797" w:type="dxa"/>
            <w:tcBorders>
              <w:top w:val="single" w:sz="4" w:space="0" w:color="auto"/>
              <w:left w:val="single" w:sz="4" w:space="0" w:color="auto"/>
              <w:bottom w:val="single" w:sz="4" w:space="0" w:color="auto"/>
              <w:right w:val="single" w:sz="4" w:space="0" w:color="auto"/>
            </w:tcBorders>
            <w:noWrap/>
            <w:hideMark/>
          </w:tcPr>
          <w:p w14:paraId="2B174F69" w14:textId="77777777" w:rsidR="00F026BE" w:rsidRPr="00512250" w:rsidRDefault="00F026BE" w:rsidP="00E47788">
            <w:pPr>
              <w:pStyle w:val="NormalHanging12a"/>
            </w:pPr>
            <w:r w:rsidRPr="00512250">
              <w:t>€ 128 712 666</w:t>
            </w:r>
          </w:p>
        </w:tc>
        <w:tc>
          <w:tcPr>
            <w:tcW w:w="1957" w:type="dxa"/>
            <w:tcBorders>
              <w:top w:val="single" w:sz="4" w:space="0" w:color="auto"/>
              <w:left w:val="single" w:sz="4" w:space="0" w:color="auto"/>
              <w:bottom w:val="single" w:sz="4" w:space="0" w:color="auto"/>
              <w:right w:val="single" w:sz="4" w:space="0" w:color="auto"/>
            </w:tcBorders>
            <w:noWrap/>
            <w:hideMark/>
          </w:tcPr>
          <w:p w14:paraId="384E289E" w14:textId="77777777" w:rsidR="00F026BE" w:rsidRPr="00512250" w:rsidRDefault="00F026BE" w:rsidP="00E47788">
            <w:pPr>
              <w:pStyle w:val="NormalHanging12a"/>
            </w:pPr>
            <w:r w:rsidRPr="00512250">
              <w:t>€ 88 028 813</w:t>
            </w:r>
          </w:p>
        </w:tc>
        <w:tc>
          <w:tcPr>
            <w:tcW w:w="640" w:type="dxa"/>
            <w:tcBorders>
              <w:top w:val="single" w:sz="4" w:space="0" w:color="auto"/>
              <w:left w:val="single" w:sz="4" w:space="0" w:color="auto"/>
              <w:bottom w:val="single" w:sz="4" w:space="0" w:color="auto"/>
              <w:right w:val="single" w:sz="4" w:space="0" w:color="auto"/>
            </w:tcBorders>
            <w:noWrap/>
            <w:hideMark/>
          </w:tcPr>
          <w:p w14:paraId="2978F517" w14:textId="77777777" w:rsidR="00F026BE" w:rsidRPr="00512250" w:rsidRDefault="00F026BE" w:rsidP="00E47788">
            <w:pPr>
              <w:pStyle w:val="NormalHanging12a"/>
            </w:pPr>
            <w:r w:rsidRPr="00512250">
              <w:t>68 %</w:t>
            </w:r>
          </w:p>
        </w:tc>
        <w:tc>
          <w:tcPr>
            <w:tcW w:w="1780" w:type="dxa"/>
            <w:tcBorders>
              <w:top w:val="single" w:sz="4" w:space="0" w:color="auto"/>
              <w:left w:val="single" w:sz="4" w:space="0" w:color="auto"/>
              <w:bottom w:val="single" w:sz="4" w:space="0" w:color="auto"/>
              <w:right w:val="single" w:sz="4" w:space="0" w:color="auto"/>
            </w:tcBorders>
            <w:noWrap/>
            <w:hideMark/>
          </w:tcPr>
          <w:p w14:paraId="205F35F8" w14:textId="77777777" w:rsidR="00F026BE" w:rsidRPr="00512250" w:rsidRDefault="00F026BE" w:rsidP="00E47788">
            <w:pPr>
              <w:pStyle w:val="NormalHanging12a"/>
            </w:pPr>
            <w:r w:rsidRPr="00512250">
              <w:t>€ 34 117 052</w:t>
            </w:r>
          </w:p>
        </w:tc>
        <w:tc>
          <w:tcPr>
            <w:tcW w:w="640" w:type="dxa"/>
            <w:tcBorders>
              <w:top w:val="single" w:sz="4" w:space="0" w:color="auto"/>
              <w:left w:val="single" w:sz="4" w:space="0" w:color="auto"/>
              <w:bottom w:val="single" w:sz="4" w:space="0" w:color="auto"/>
              <w:right w:val="single" w:sz="4" w:space="0" w:color="auto"/>
            </w:tcBorders>
            <w:noWrap/>
            <w:hideMark/>
          </w:tcPr>
          <w:p w14:paraId="7FA630EC" w14:textId="77777777" w:rsidR="00F026BE" w:rsidRPr="00512250" w:rsidRDefault="00F026BE" w:rsidP="00E47788">
            <w:pPr>
              <w:pStyle w:val="NormalHanging12a"/>
            </w:pPr>
            <w:r w:rsidRPr="00512250">
              <w:t>27 %</w:t>
            </w:r>
          </w:p>
        </w:tc>
        <w:tc>
          <w:tcPr>
            <w:tcW w:w="1348" w:type="dxa"/>
            <w:tcBorders>
              <w:top w:val="single" w:sz="4" w:space="0" w:color="auto"/>
              <w:left w:val="single" w:sz="4" w:space="0" w:color="auto"/>
              <w:bottom w:val="single" w:sz="4" w:space="0" w:color="auto"/>
              <w:right w:val="single" w:sz="4" w:space="0" w:color="auto"/>
            </w:tcBorders>
            <w:noWrap/>
            <w:hideMark/>
          </w:tcPr>
          <w:p w14:paraId="25AFD907" w14:textId="77777777" w:rsidR="00F026BE" w:rsidRPr="00512250" w:rsidRDefault="00F026BE" w:rsidP="00E47788">
            <w:pPr>
              <w:pStyle w:val="NormalHanging12a"/>
            </w:pPr>
            <w:r w:rsidRPr="00512250">
              <w:t>€ 6 566 801</w:t>
            </w:r>
          </w:p>
        </w:tc>
      </w:tr>
      <w:tr w:rsidR="00F026BE" w:rsidRPr="00512250" w14:paraId="07FB7F07" w14:textId="77777777" w:rsidTr="00E4778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EAF8600" w14:textId="77777777" w:rsidR="00F026BE" w:rsidRPr="00512250" w:rsidRDefault="00F026BE" w:rsidP="00E47788">
            <w:pPr>
              <w:pStyle w:val="NormalHanging12a"/>
            </w:pPr>
            <w:r w:rsidRPr="00512250">
              <w:t xml:space="preserve">EIOPA </w:t>
            </w:r>
          </w:p>
        </w:tc>
        <w:tc>
          <w:tcPr>
            <w:tcW w:w="1797" w:type="dxa"/>
            <w:tcBorders>
              <w:top w:val="single" w:sz="4" w:space="0" w:color="auto"/>
              <w:left w:val="single" w:sz="4" w:space="0" w:color="auto"/>
              <w:bottom w:val="single" w:sz="4" w:space="0" w:color="auto"/>
              <w:right w:val="single" w:sz="4" w:space="0" w:color="auto"/>
            </w:tcBorders>
            <w:noWrap/>
            <w:hideMark/>
          </w:tcPr>
          <w:p w14:paraId="3EB48930" w14:textId="77777777" w:rsidR="00F026BE" w:rsidRPr="00512250" w:rsidRDefault="00F026BE" w:rsidP="00E47788">
            <w:pPr>
              <w:pStyle w:val="NormalHanging12a"/>
            </w:pPr>
            <w:r w:rsidRPr="00512250">
              <w:t>€ 37 561 192</w:t>
            </w:r>
          </w:p>
        </w:tc>
        <w:tc>
          <w:tcPr>
            <w:tcW w:w="1957" w:type="dxa"/>
            <w:tcBorders>
              <w:top w:val="single" w:sz="4" w:space="0" w:color="auto"/>
              <w:left w:val="single" w:sz="4" w:space="0" w:color="auto"/>
              <w:bottom w:val="single" w:sz="4" w:space="0" w:color="auto"/>
              <w:right w:val="single" w:sz="4" w:space="0" w:color="auto"/>
            </w:tcBorders>
            <w:noWrap/>
            <w:hideMark/>
          </w:tcPr>
          <w:p w14:paraId="2EFFD273" w14:textId="77777777" w:rsidR="00F026BE" w:rsidRPr="00512250" w:rsidRDefault="00F026BE" w:rsidP="00E47788">
            <w:pPr>
              <w:pStyle w:val="NormalHanging12a"/>
            </w:pPr>
            <w:r w:rsidRPr="00512250">
              <w:t>€ 13 886 130</w:t>
            </w:r>
          </w:p>
        </w:tc>
        <w:tc>
          <w:tcPr>
            <w:tcW w:w="640" w:type="dxa"/>
            <w:tcBorders>
              <w:top w:val="single" w:sz="4" w:space="0" w:color="auto"/>
              <w:left w:val="single" w:sz="4" w:space="0" w:color="auto"/>
              <w:bottom w:val="single" w:sz="4" w:space="0" w:color="auto"/>
              <w:right w:val="single" w:sz="4" w:space="0" w:color="auto"/>
            </w:tcBorders>
            <w:noWrap/>
            <w:hideMark/>
          </w:tcPr>
          <w:p w14:paraId="273961B7" w14:textId="77777777" w:rsidR="00F026BE" w:rsidRPr="00512250" w:rsidRDefault="00F026BE" w:rsidP="00E47788">
            <w:pPr>
              <w:pStyle w:val="NormalHanging12a"/>
            </w:pPr>
            <w:r w:rsidRPr="00512250">
              <w:t>37 %</w:t>
            </w:r>
          </w:p>
        </w:tc>
        <w:tc>
          <w:tcPr>
            <w:tcW w:w="1780" w:type="dxa"/>
            <w:tcBorders>
              <w:top w:val="single" w:sz="4" w:space="0" w:color="auto"/>
              <w:left w:val="single" w:sz="4" w:space="0" w:color="auto"/>
              <w:bottom w:val="single" w:sz="4" w:space="0" w:color="auto"/>
              <w:right w:val="single" w:sz="4" w:space="0" w:color="auto"/>
            </w:tcBorders>
            <w:noWrap/>
            <w:hideMark/>
          </w:tcPr>
          <w:p w14:paraId="5F667E73" w14:textId="77777777" w:rsidR="00F026BE" w:rsidRPr="00512250" w:rsidRDefault="00F026BE" w:rsidP="00E47788">
            <w:pPr>
              <w:pStyle w:val="NormalHanging12a"/>
            </w:pPr>
            <w:r w:rsidRPr="00512250">
              <w:t>€ 23 035 010</w:t>
            </w:r>
          </w:p>
        </w:tc>
        <w:tc>
          <w:tcPr>
            <w:tcW w:w="640" w:type="dxa"/>
            <w:tcBorders>
              <w:top w:val="single" w:sz="4" w:space="0" w:color="auto"/>
              <w:left w:val="single" w:sz="4" w:space="0" w:color="auto"/>
              <w:bottom w:val="single" w:sz="4" w:space="0" w:color="auto"/>
              <w:right w:val="single" w:sz="4" w:space="0" w:color="auto"/>
            </w:tcBorders>
            <w:noWrap/>
            <w:hideMark/>
          </w:tcPr>
          <w:p w14:paraId="7A0DDADD" w14:textId="77777777" w:rsidR="00F026BE" w:rsidRPr="00512250" w:rsidRDefault="00F026BE" w:rsidP="00E47788">
            <w:pPr>
              <w:pStyle w:val="NormalHanging12a"/>
            </w:pPr>
            <w:r w:rsidRPr="00512250">
              <w:t>61 %</w:t>
            </w:r>
          </w:p>
        </w:tc>
        <w:tc>
          <w:tcPr>
            <w:tcW w:w="1348" w:type="dxa"/>
            <w:tcBorders>
              <w:top w:val="single" w:sz="4" w:space="0" w:color="auto"/>
              <w:left w:val="single" w:sz="4" w:space="0" w:color="auto"/>
              <w:bottom w:val="single" w:sz="4" w:space="0" w:color="auto"/>
              <w:right w:val="single" w:sz="4" w:space="0" w:color="auto"/>
            </w:tcBorders>
            <w:noWrap/>
            <w:hideMark/>
          </w:tcPr>
          <w:p w14:paraId="00924F5E" w14:textId="77777777" w:rsidR="00F026BE" w:rsidRPr="00512250" w:rsidRDefault="00F026BE" w:rsidP="00E47788">
            <w:pPr>
              <w:pStyle w:val="NormalHanging12a"/>
            </w:pPr>
            <w:r w:rsidRPr="00512250">
              <w:t>€ 640 052</w:t>
            </w:r>
          </w:p>
        </w:tc>
      </w:tr>
      <w:tr w:rsidR="00F026BE" w:rsidRPr="00512250" w14:paraId="54BC37BE" w14:textId="77777777" w:rsidTr="00E4778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5644D3A9" w14:textId="77777777" w:rsidR="00F026BE" w:rsidRPr="00512250" w:rsidRDefault="00F026BE" w:rsidP="00E47788">
            <w:pPr>
              <w:pStyle w:val="NormalHanging12a"/>
            </w:pPr>
            <w:r w:rsidRPr="00512250">
              <w:t>EMA</w:t>
            </w:r>
            <w:r w:rsidRPr="00512250">
              <w:rPr>
                <w:vertAlign w:val="superscript"/>
              </w:rPr>
              <w:footnoteReference w:id="406"/>
            </w:r>
            <w:r w:rsidRPr="00512250">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2978CE81" w14:textId="77777777" w:rsidR="00F026BE" w:rsidRPr="00512250" w:rsidRDefault="00F026BE" w:rsidP="00E47788">
            <w:pPr>
              <w:pStyle w:val="NormalHanging12a"/>
            </w:pPr>
            <w:r w:rsidRPr="00512250">
              <w:t>€ 491 862 000</w:t>
            </w:r>
          </w:p>
        </w:tc>
        <w:tc>
          <w:tcPr>
            <w:tcW w:w="1957" w:type="dxa"/>
            <w:tcBorders>
              <w:top w:val="single" w:sz="4" w:space="0" w:color="auto"/>
              <w:left w:val="single" w:sz="4" w:space="0" w:color="auto"/>
              <w:bottom w:val="single" w:sz="4" w:space="0" w:color="auto"/>
              <w:right w:val="single" w:sz="4" w:space="0" w:color="auto"/>
            </w:tcBorders>
            <w:noWrap/>
            <w:hideMark/>
          </w:tcPr>
          <w:p w14:paraId="1A96ED67" w14:textId="77777777" w:rsidR="00F026BE" w:rsidRPr="00512250" w:rsidRDefault="00F026BE" w:rsidP="00E47788">
            <w:pPr>
              <w:pStyle w:val="NormalHanging12a"/>
            </w:pPr>
            <w:r w:rsidRPr="00512250">
              <w:t>€ 35 826 000</w:t>
            </w:r>
          </w:p>
        </w:tc>
        <w:tc>
          <w:tcPr>
            <w:tcW w:w="640" w:type="dxa"/>
            <w:tcBorders>
              <w:top w:val="single" w:sz="4" w:space="0" w:color="auto"/>
              <w:left w:val="single" w:sz="4" w:space="0" w:color="auto"/>
              <w:bottom w:val="single" w:sz="4" w:space="0" w:color="auto"/>
              <w:right w:val="single" w:sz="4" w:space="0" w:color="auto"/>
            </w:tcBorders>
            <w:noWrap/>
            <w:hideMark/>
          </w:tcPr>
          <w:p w14:paraId="2B1E4749" w14:textId="77777777" w:rsidR="00F026BE" w:rsidRPr="00512250" w:rsidRDefault="00F026BE" w:rsidP="00E47788">
            <w:pPr>
              <w:pStyle w:val="NormalHanging12a"/>
            </w:pPr>
            <w:r w:rsidRPr="00512250">
              <w:t>7 %</w:t>
            </w:r>
          </w:p>
        </w:tc>
        <w:tc>
          <w:tcPr>
            <w:tcW w:w="1780" w:type="dxa"/>
            <w:tcBorders>
              <w:top w:val="single" w:sz="4" w:space="0" w:color="auto"/>
              <w:left w:val="single" w:sz="4" w:space="0" w:color="auto"/>
              <w:bottom w:val="single" w:sz="4" w:space="0" w:color="auto"/>
              <w:right w:val="single" w:sz="4" w:space="0" w:color="auto"/>
            </w:tcBorders>
            <w:noWrap/>
            <w:hideMark/>
          </w:tcPr>
          <w:p w14:paraId="43A17E35" w14:textId="77777777" w:rsidR="00F026BE" w:rsidRPr="00512250" w:rsidRDefault="00F026BE" w:rsidP="00E47788">
            <w:pPr>
              <w:pStyle w:val="NormalHanging12a"/>
            </w:pPr>
            <w:r w:rsidRPr="00512250">
              <w:t>€ 441 910 000</w:t>
            </w:r>
          </w:p>
        </w:tc>
        <w:tc>
          <w:tcPr>
            <w:tcW w:w="640" w:type="dxa"/>
            <w:tcBorders>
              <w:top w:val="single" w:sz="4" w:space="0" w:color="auto"/>
              <w:left w:val="single" w:sz="4" w:space="0" w:color="auto"/>
              <w:bottom w:val="single" w:sz="4" w:space="0" w:color="auto"/>
              <w:right w:val="single" w:sz="4" w:space="0" w:color="auto"/>
            </w:tcBorders>
            <w:noWrap/>
            <w:hideMark/>
          </w:tcPr>
          <w:p w14:paraId="2573840F" w14:textId="77777777" w:rsidR="00F026BE" w:rsidRPr="00512250" w:rsidRDefault="00F026BE" w:rsidP="00E47788">
            <w:pPr>
              <w:pStyle w:val="NormalHanging12a"/>
            </w:pPr>
            <w:r w:rsidRPr="00512250">
              <w:t>90 %</w:t>
            </w:r>
          </w:p>
        </w:tc>
        <w:tc>
          <w:tcPr>
            <w:tcW w:w="1348" w:type="dxa"/>
            <w:tcBorders>
              <w:top w:val="single" w:sz="4" w:space="0" w:color="auto"/>
              <w:left w:val="single" w:sz="4" w:space="0" w:color="auto"/>
              <w:bottom w:val="single" w:sz="4" w:space="0" w:color="auto"/>
              <w:right w:val="single" w:sz="4" w:space="0" w:color="auto"/>
            </w:tcBorders>
            <w:noWrap/>
            <w:hideMark/>
          </w:tcPr>
          <w:p w14:paraId="5B9DEDE4" w14:textId="77777777" w:rsidR="00F026BE" w:rsidRPr="00512250" w:rsidRDefault="00F026BE" w:rsidP="00E47788">
            <w:pPr>
              <w:pStyle w:val="NormalHanging12a"/>
            </w:pPr>
            <w:r w:rsidRPr="00512250">
              <w:t>€ 14 126 000</w:t>
            </w:r>
          </w:p>
        </w:tc>
      </w:tr>
      <w:tr w:rsidR="00F026BE" w:rsidRPr="00512250" w14:paraId="151FF67C" w14:textId="77777777" w:rsidTr="00E4778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53B34DC9" w14:textId="77777777" w:rsidR="00F026BE" w:rsidRPr="00512250" w:rsidRDefault="00F026BE" w:rsidP="00E47788">
            <w:pPr>
              <w:pStyle w:val="NormalHanging12a"/>
            </w:pPr>
            <w:r w:rsidRPr="00512250">
              <w:t>ERA</w:t>
            </w:r>
          </w:p>
        </w:tc>
        <w:tc>
          <w:tcPr>
            <w:tcW w:w="1797" w:type="dxa"/>
            <w:tcBorders>
              <w:top w:val="single" w:sz="4" w:space="0" w:color="auto"/>
              <w:left w:val="single" w:sz="4" w:space="0" w:color="auto"/>
              <w:bottom w:val="single" w:sz="4" w:space="0" w:color="auto"/>
              <w:right w:val="single" w:sz="4" w:space="0" w:color="auto"/>
            </w:tcBorders>
            <w:noWrap/>
            <w:hideMark/>
          </w:tcPr>
          <w:p w14:paraId="20BC0917" w14:textId="77777777" w:rsidR="00F026BE" w:rsidRPr="00512250" w:rsidRDefault="00F026BE" w:rsidP="00E47788">
            <w:pPr>
              <w:pStyle w:val="NormalHanging12a"/>
            </w:pPr>
            <w:r w:rsidRPr="00512250">
              <w:t>€ 41 936 376</w:t>
            </w:r>
          </w:p>
        </w:tc>
        <w:tc>
          <w:tcPr>
            <w:tcW w:w="1957" w:type="dxa"/>
            <w:tcBorders>
              <w:top w:val="single" w:sz="4" w:space="0" w:color="auto"/>
              <w:left w:val="single" w:sz="4" w:space="0" w:color="auto"/>
              <w:bottom w:val="single" w:sz="4" w:space="0" w:color="auto"/>
              <w:right w:val="single" w:sz="4" w:space="0" w:color="auto"/>
            </w:tcBorders>
            <w:noWrap/>
            <w:hideMark/>
          </w:tcPr>
          <w:p w14:paraId="68B56E80" w14:textId="77777777" w:rsidR="00F026BE" w:rsidRPr="00512250" w:rsidRDefault="00F026BE" w:rsidP="00E47788">
            <w:pPr>
              <w:pStyle w:val="NormalHanging12a"/>
            </w:pPr>
            <w:r w:rsidRPr="00512250">
              <w:t>€ 29 000 626</w:t>
            </w:r>
          </w:p>
        </w:tc>
        <w:tc>
          <w:tcPr>
            <w:tcW w:w="640" w:type="dxa"/>
            <w:tcBorders>
              <w:top w:val="single" w:sz="4" w:space="0" w:color="auto"/>
              <w:left w:val="single" w:sz="4" w:space="0" w:color="auto"/>
              <w:bottom w:val="single" w:sz="4" w:space="0" w:color="auto"/>
              <w:right w:val="single" w:sz="4" w:space="0" w:color="auto"/>
            </w:tcBorders>
            <w:noWrap/>
            <w:hideMark/>
          </w:tcPr>
          <w:p w14:paraId="135D18B8" w14:textId="77777777" w:rsidR="00F026BE" w:rsidRPr="00512250" w:rsidRDefault="00F026BE" w:rsidP="00E47788">
            <w:pPr>
              <w:pStyle w:val="NormalHanging12a"/>
            </w:pPr>
            <w:r w:rsidRPr="00512250">
              <w:t>69 %</w:t>
            </w:r>
          </w:p>
        </w:tc>
        <w:tc>
          <w:tcPr>
            <w:tcW w:w="1780" w:type="dxa"/>
            <w:tcBorders>
              <w:top w:val="single" w:sz="4" w:space="0" w:color="auto"/>
              <w:left w:val="single" w:sz="4" w:space="0" w:color="auto"/>
              <w:bottom w:val="single" w:sz="4" w:space="0" w:color="auto"/>
              <w:right w:val="single" w:sz="4" w:space="0" w:color="auto"/>
            </w:tcBorders>
            <w:noWrap/>
            <w:hideMark/>
          </w:tcPr>
          <w:p w14:paraId="7589F3C0" w14:textId="77777777" w:rsidR="00F026BE" w:rsidRPr="00512250" w:rsidRDefault="00F026BE" w:rsidP="00E47788">
            <w:pPr>
              <w:pStyle w:val="NormalHanging12a"/>
            </w:pPr>
            <w:r w:rsidRPr="00512250">
              <w:t>€ 11 913 156</w:t>
            </w:r>
          </w:p>
        </w:tc>
        <w:tc>
          <w:tcPr>
            <w:tcW w:w="640" w:type="dxa"/>
            <w:tcBorders>
              <w:top w:val="single" w:sz="4" w:space="0" w:color="auto"/>
              <w:left w:val="single" w:sz="4" w:space="0" w:color="auto"/>
              <w:bottom w:val="single" w:sz="4" w:space="0" w:color="auto"/>
              <w:right w:val="single" w:sz="4" w:space="0" w:color="auto"/>
            </w:tcBorders>
            <w:noWrap/>
            <w:hideMark/>
          </w:tcPr>
          <w:p w14:paraId="485913B2" w14:textId="77777777" w:rsidR="00F026BE" w:rsidRPr="00512250" w:rsidRDefault="00F026BE" w:rsidP="00E47788">
            <w:pPr>
              <w:pStyle w:val="NormalHanging12a"/>
            </w:pPr>
            <w:r w:rsidRPr="00512250">
              <w:t>28 %</w:t>
            </w:r>
          </w:p>
        </w:tc>
        <w:tc>
          <w:tcPr>
            <w:tcW w:w="1348" w:type="dxa"/>
            <w:tcBorders>
              <w:top w:val="single" w:sz="4" w:space="0" w:color="auto"/>
              <w:left w:val="single" w:sz="4" w:space="0" w:color="auto"/>
              <w:bottom w:val="single" w:sz="4" w:space="0" w:color="auto"/>
              <w:right w:val="single" w:sz="4" w:space="0" w:color="auto"/>
            </w:tcBorders>
            <w:noWrap/>
            <w:hideMark/>
          </w:tcPr>
          <w:p w14:paraId="1C5572C0" w14:textId="77777777" w:rsidR="00F026BE" w:rsidRPr="00512250" w:rsidRDefault="00F026BE" w:rsidP="00E47788">
            <w:pPr>
              <w:pStyle w:val="NormalHanging12a"/>
            </w:pPr>
            <w:r w:rsidRPr="00512250">
              <w:t>€ 1 022 594</w:t>
            </w:r>
          </w:p>
        </w:tc>
      </w:tr>
      <w:tr w:rsidR="00F026BE" w:rsidRPr="00512250" w14:paraId="193E4E05" w14:textId="77777777" w:rsidTr="00E4778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63FB882" w14:textId="77777777" w:rsidR="00F026BE" w:rsidRPr="00512250" w:rsidRDefault="00F026BE" w:rsidP="00E47788">
            <w:pPr>
              <w:pStyle w:val="NormalHanging12a"/>
            </w:pPr>
            <w:r w:rsidRPr="00512250">
              <w:t>ESMA</w:t>
            </w:r>
            <w:r w:rsidRPr="00512250">
              <w:rPr>
                <w:vertAlign w:val="superscript"/>
              </w:rPr>
              <w:footnoteReference w:id="407"/>
            </w:r>
            <w:r w:rsidRPr="00512250">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55961550" w14:textId="77777777" w:rsidR="00F026BE" w:rsidRPr="00512250" w:rsidRDefault="00F026BE" w:rsidP="00E47788">
            <w:pPr>
              <w:pStyle w:val="NormalHanging12a"/>
            </w:pPr>
            <w:r w:rsidRPr="00512250">
              <w:t>€ 76 055 579</w:t>
            </w:r>
          </w:p>
        </w:tc>
        <w:tc>
          <w:tcPr>
            <w:tcW w:w="1957" w:type="dxa"/>
            <w:tcBorders>
              <w:top w:val="single" w:sz="4" w:space="0" w:color="auto"/>
              <w:left w:val="single" w:sz="4" w:space="0" w:color="auto"/>
              <w:bottom w:val="single" w:sz="4" w:space="0" w:color="auto"/>
              <w:right w:val="single" w:sz="4" w:space="0" w:color="auto"/>
            </w:tcBorders>
            <w:noWrap/>
            <w:hideMark/>
          </w:tcPr>
          <w:p w14:paraId="79BC7FD7" w14:textId="77777777" w:rsidR="00F026BE" w:rsidRPr="00512250" w:rsidRDefault="00F026BE" w:rsidP="00E47788">
            <w:pPr>
              <w:pStyle w:val="NormalHanging12a"/>
            </w:pPr>
            <w:r w:rsidRPr="00512250">
              <w:t>€ 19 938 075</w:t>
            </w:r>
          </w:p>
        </w:tc>
        <w:tc>
          <w:tcPr>
            <w:tcW w:w="640" w:type="dxa"/>
            <w:tcBorders>
              <w:top w:val="single" w:sz="4" w:space="0" w:color="auto"/>
              <w:left w:val="single" w:sz="4" w:space="0" w:color="auto"/>
              <w:bottom w:val="single" w:sz="4" w:space="0" w:color="auto"/>
              <w:right w:val="single" w:sz="4" w:space="0" w:color="auto"/>
            </w:tcBorders>
            <w:noWrap/>
            <w:hideMark/>
          </w:tcPr>
          <w:p w14:paraId="4F815CE1" w14:textId="77777777" w:rsidR="00F026BE" w:rsidRPr="00512250" w:rsidRDefault="00F026BE" w:rsidP="00E47788">
            <w:pPr>
              <w:pStyle w:val="NormalHanging12a"/>
            </w:pPr>
            <w:r w:rsidRPr="00512250">
              <w:t>26 %</w:t>
            </w:r>
          </w:p>
        </w:tc>
        <w:tc>
          <w:tcPr>
            <w:tcW w:w="1780" w:type="dxa"/>
            <w:tcBorders>
              <w:top w:val="single" w:sz="4" w:space="0" w:color="auto"/>
              <w:left w:val="single" w:sz="4" w:space="0" w:color="auto"/>
              <w:bottom w:val="single" w:sz="4" w:space="0" w:color="auto"/>
              <w:right w:val="single" w:sz="4" w:space="0" w:color="auto"/>
            </w:tcBorders>
            <w:noWrap/>
            <w:hideMark/>
          </w:tcPr>
          <w:p w14:paraId="30D514A8" w14:textId="77777777" w:rsidR="00F026BE" w:rsidRPr="00512250" w:rsidRDefault="00F026BE" w:rsidP="00E47788">
            <w:pPr>
              <w:pStyle w:val="NormalHanging12a"/>
            </w:pPr>
            <w:r w:rsidRPr="00512250">
              <w:t>€ 54 015 802</w:t>
            </w:r>
          </w:p>
        </w:tc>
        <w:tc>
          <w:tcPr>
            <w:tcW w:w="640" w:type="dxa"/>
            <w:tcBorders>
              <w:top w:val="single" w:sz="4" w:space="0" w:color="auto"/>
              <w:left w:val="single" w:sz="4" w:space="0" w:color="auto"/>
              <w:bottom w:val="single" w:sz="4" w:space="0" w:color="auto"/>
              <w:right w:val="single" w:sz="4" w:space="0" w:color="auto"/>
            </w:tcBorders>
            <w:noWrap/>
            <w:hideMark/>
          </w:tcPr>
          <w:p w14:paraId="7986409A" w14:textId="77777777" w:rsidR="00F026BE" w:rsidRPr="00512250" w:rsidRDefault="00F026BE" w:rsidP="00E47788">
            <w:pPr>
              <w:pStyle w:val="NormalHanging12a"/>
            </w:pPr>
            <w:r w:rsidRPr="00512250">
              <w:t>71 %</w:t>
            </w:r>
          </w:p>
        </w:tc>
        <w:tc>
          <w:tcPr>
            <w:tcW w:w="1348" w:type="dxa"/>
            <w:tcBorders>
              <w:top w:val="single" w:sz="4" w:space="0" w:color="auto"/>
              <w:left w:val="single" w:sz="4" w:space="0" w:color="auto"/>
              <w:bottom w:val="single" w:sz="4" w:space="0" w:color="auto"/>
              <w:right w:val="single" w:sz="4" w:space="0" w:color="auto"/>
            </w:tcBorders>
            <w:noWrap/>
            <w:hideMark/>
          </w:tcPr>
          <w:p w14:paraId="2E695067" w14:textId="77777777" w:rsidR="00F026BE" w:rsidRPr="00512250" w:rsidRDefault="00F026BE" w:rsidP="00E47788">
            <w:pPr>
              <w:pStyle w:val="NormalHanging12a"/>
            </w:pPr>
            <w:r w:rsidRPr="00512250">
              <w:t>€ 2 101 702</w:t>
            </w:r>
          </w:p>
        </w:tc>
      </w:tr>
      <w:tr w:rsidR="00F026BE" w:rsidRPr="00512250" w14:paraId="36559FFF" w14:textId="77777777" w:rsidTr="00E47788">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0643DE0D" w14:textId="77777777" w:rsidR="00F026BE" w:rsidRPr="00512250" w:rsidRDefault="00F026BE" w:rsidP="00E47788">
            <w:pPr>
              <w:pStyle w:val="NormalHanging12a"/>
            </w:pPr>
            <w:r w:rsidRPr="00512250">
              <w:t>ΣΥΝΟΛΟ</w:t>
            </w:r>
          </w:p>
        </w:tc>
        <w:tc>
          <w:tcPr>
            <w:tcW w:w="1797" w:type="dxa"/>
            <w:tcBorders>
              <w:top w:val="single" w:sz="4" w:space="0" w:color="auto"/>
              <w:left w:val="single" w:sz="4" w:space="0" w:color="auto"/>
              <w:bottom w:val="single" w:sz="4" w:space="0" w:color="auto"/>
              <w:right w:val="single" w:sz="4" w:space="0" w:color="auto"/>
            </w:tcBorders>
            <w:noWrap/>
            <w:hideMark/>
          </w:tcPr>
          <w:p w14:paraId="74AA5017" w14:textId="77777777" w:rsidR="00F026BE" w:rsidRPr="00512250" w:rsidRDefault="00F026BE" w:rsidP="00E47788">
            <w:pPr>
              <w:pStyle w:val="NormalHanging12a"/>
            </w:pPr>
            <w:r w:rsidRPr="00512250">
              <w:t>€ 1 096 367 193</w:t>
            </w:r>
          </w:p>
        </w:tc>
        <w:tc>
          <w:tcPr>
            <w:tcW w:w="1957" w:type="dxa"/>
            <w:tcBorders>
              <w:top w:val="single" w:sz="4" w:space="0" w:color="auto"/>
              <w:left w:val="single" w:sz="4" w:space="0" w:color="auto"/>
              <w:bottom w:val="single" w:sz="4" w:space="0" w:color="auto"/>
              <w:right w:val="single" w:sz="4" w:space="0" w:color="auto"/>
            </w:tcBorders>
            <w:noWrap/>
            <w:hideMark/>
          </w:tcPr>
          <w:p w14:paraId="44CF8B79" w14:textId="77777777" w:rsidR="00F026BE" w:rsidRPr="00512250" w:rsidRDefault="00F026BE" w:rsidP="00E47788">
            <w:pPr>
              <w:pStyle w:val="NormalHanging12a"/>
            </w:pPr>
            <w:r w:rsidRPr="00512250">
              <w:t>€ 275 534 294</w:t>
            </w:r>
          </w:p>
        </w:tc>
        <w:tc>
          <w:tcPr>
            <w:tcW w:w="640" w:type="dxa"/>
            <w:tcBorders>
              <w:top w:val="single" w:sz="4" w:space="0" w:color="auto"/>
              <w:left w:val="single" w:sz="4" w:space="0" w:color="auto"/>
              <w:bottom w:val="single" w:sz="4" w:space="0" w:color="auto"/>
              <w:right w:val="single" w:sz="4" w:space="0" w:color="auto"/>
            </w:tcBorders>
            <w:noWrap/>
            <w:hideMark/>
          </w:tcPr>
          <w:p w14:paraId="69268A61" w14:textId="77777777" w:rsidR="00F026BE" w:rsidRPr="00512250" w:rsidRDefault="00F026BE" w:rsidP="00E47788">
            <w:pPr>
              <w:pStyle w:val="NormalHanging12a"/>
            </w:pPr>
            <w:r w:rsidRPr="00512250">
              <w:t> </w:t>
            </w:r>
          </w:p>
        </w:tc>
        <w:tc>
          <w:tcPr>
            <w:tcW w:w="1780" w:type="dxa"/>
            <w:tcBorders>
              <w:top w:val="single" w:sz="4" w:space="0" w:color="auto"/>
              <w:left w:val="single" w:sz="4" w:space="0" w:color="auto"/>
              <w:bottom w:val="single" w:sz="4" w:space="0" w:color="auto"/>
              <w:right w:val="single" w:sz="4" w:space="0" w:color="auto"/>
            </w:tcBorders>
            <w:noWrap/>
            <w:hideMark/>
          </w:tcPr>
          <w:p w14:paraId="06979AE3" w14:textId="77777777" w:rsidR="00F026BE" w:rsidRPr="00512250" w:rsidRDefault="00F026BE" w:rsidP="00E47788">
            <w:pPr>
              <w:pStyle w:val="NormalHanging12a"/>
            </w:pPr>
            <w:r w:rsidRPr="00512250">
              <w:t>€ 790 819 960</w:t>
            </w:r>
          </w:p>
        </w:tc>
        <w:tc>
          <w:tcPr>
            <w:tcW w:w="640" w:type="dxa"/>
            <w:tcBorders>
              <w:top w:val="single" w:sz="4" w:space="0" w:color="auto"/>
              <w:left w:val="single" w:sz="4" w:space="0" w:color="auto"/>
              <w:bottom w:val="single" w:sz="4" w:space="0" w:color="auto"/>
              <w:right w:val="single" w:sz="4" w:space="0" w:color="auto"/>
            </w:tcBorders>
            <w:noWrap/>
            <w:hideMark/>
          </w:tcPr>
          <w:p w14:paraId="011D9C4F" w14:textId="77777777" w:rsidR="00F026BE" w:rsidRPr="00512250" w:rsidRDefault="00F026BE" w:rsidP="00E47788">
            <w:pPr>
              <w:pStyle w:val="NormalHanging12a"/>
            </w:pPr>
            <w:r w:rsidRPr="00512250">
              <w:t> </w:t>
            </w:r>
          </w:p>
        </w:tc>
        <w:tc>
          <w:tcPr>
            <w:tcW w:w="1348" w:type="dxa"/>
            <w:tcBorders>
              <w:top w:val="single" w:sz="4" w:space="0" w:color="auto"/>
              <w:left w:val="single" w:sz="4" w:space="0" w:color="auto"/>
              <w:bottom w:val="single" w:sz="4" w:space="0" w:color="auto"/>
              <w:right w:val="single" w:sz="4" w:space="0" w:color="auto"/>
            </w:tcBorders>
            <w:noWrap/>
            <w:hideMark/>
          </w:tcPr>
          <w:p w14:paraId="68022BC2" w14:textId="77777777" w:rsidR="00F026BE" w:rsidRPr="00512250" w:rsidRDefault="00F026BE" w:rsidP="00E47788">
            <w:pPr>
              <w:pStyle w:val="NormalHanging12a"/>
            </w:pPr>
            <w:r w:rsidRPr="00512250">
              <w:t>€ 30 012 939</w:t>
            </w:r>
          </w:p>
        </w:tc>
      </w:tr>
    </w:tbl>
    <w:p w14:paraId="0DE7DBDF" w14:textId="77777777" w:rsidR="00F026BE" w:rsidRPr="00512250" w:rsidRDefault="00F026BE" w:rsidP="00F026BE">
      <w:pPr>
        <w:pStyle w:val="NormalHanging12a"/>
      </w:pPr>
    </w:p>
    <w:p w14:paraId="12EAB283" w14:textId="3C4AA6D4" w:rsidR="00F026BE" w:rsidRPr="00512250" w:rsidRDefault="00512250" w:rsidP="00512250">
      <w:pPr>
        <w:pStyle w:val="NormalHanging12a"/>
        <w:ind w:left="570" w:hanging="570"/>
      </w:pPr>
      <w:r w:rsidRPr="00512250">
        <w:t>39.</w:t>
      </w:r>
      <w:r w:rsidRPr="00512250">
        <w:tab/>
      </w:r>
      <w:r w:rsidR="00F026BE" w:rsidRPr="00512250">
        <w:t>υπενθυμίζει ότι στο ψήφισμα απαλλαγής για το 2023 επισημάνθηκε ήδη η σημασία της ενίσχυσης των ευρωπαϊκών εποπτικών αρχών (ΕΑΤ, EIOPA και ESMA)· γνωρίζει ότι οι ιδρυτικοί κανονισμοί τους δεν απαιτούν τον διαχωρισμό των δραστηριοτήτων που χρηματοδοτούνται από ενωσιακές και εθνικές συνεισφορές και ότι ο γενικός μηχανισμός επιμερισμού του κόστους δεν απαιτεί διαφοροποίηση στο επίπεδο των επιμέρους δραστηριοτήτων και, ως εκ τούτου, οι εν λόγω φορείς δεν κάνουν διάκριση μεταξύ των δαπανών που καλύπτονται από τον προϋπολογισμό της Ένωσης και των δαπανών που χρηματοδοτούνται από τα κράτη μέλη, όπως επισημαίνεται από το Ελεγκτικό Συνέδριο στην ετήσια έκθεσή του για το 2023·</w:t>
      </w:r>
    </w:p>
    <w:p w14:paraId="50CEFD6B" w14:textId="1AA80EC0" w:rsidR="00F026BE" w:rsidRPr="00512250" w:rsidRDefault="00512250" w:rsidP="00512250">
      <w:pPr>
        <w:pStyle w:val="NormalHanging12a"/>
        <w:ind w:left="570" w:hanging="570"/>
      </w:pPr>
      <w:r w:rsidRPr="00512250">
        <w:t>40.</w:t>
      </w:r>
      <w:r w:rsidRPr="00512250">
        <w:tab/>
      </w:r>
      <w:r w:rsidR="00F026BE" w:rsidRPr="00512250">
        <w:t xml:space="preserve">θεωρεί ότι η αύξηση της διαφάνειας στην κατάρτιση του προϋπολογισμού και την υποβολή εκθέσεων βάσει δραστηριοτήτων θα συμβάλει στην καλύτερη εποπτεία και λογοδοσία, ιδίως για τους οργανισμούς που χρηματοδοτούνται από πολλαπλές πηγές εσόδων, επιτρέποντας στα ενδιαφερόμενα μέρη, συμπεριλαμβανομένων των κρατών μελών, των χρηματοπιστωτικών ιδρυμάτων και των φορολογουμένων, να αξιολογούν καλύτερα την αποτελεσματικότητα και τη δικαιοσύνη· τονίζει ότι η σαφήνεια όσον αφορά τη σχέση μεταξύ πηγών εσόδων και δραστηριοτήτων ενισχύει την εμπιστοσύνη στην ορθή χρήση των κονδυλίων της Ένωσης, με παράλληλο σεβασμό του νομικού </w:t>
      </w:r>
      <w:r w:rsidR="00F026BE" w:rsidRPr="00512250">
        <w:lastRenderedPageBreak/>
        <w:t>πλαισίου που ορίζεται στους ιδρυτικούς κανονισμούς των οργανισμών·</w:t>
      </w:r>
    </w:p>
    <w:p w14:paraId="2FDCC3B2" w14:textId="1194F5D8" w:rsidR="00F026BE" w:rsidRPr="00512250" w:rsidRDefault="00512250" w:rsidP="00512250">
      <w:pPr>
        <w:pStyle w:val="NormalHanging12a"/>
        <w:ind w:left="570" w:hanging="570"/>
      </w:pPr>
      <w:r w:rsidRPr="00512250">
        <w:t>41.</w:t>
      </w:r>
      <w:r w:rsidRPr="00512250">
        <w:tab/>
      </w:r>
      <w:r w:rsidR="00F026BE" w:rsidRPr="00512250">
        <w:t>σημειώνει την πρόταση της Επιτροπής για τον κανονισμό για τον Ευρωπαϊκό Οργανισμό Χημικών Προϊόντων που θεσπίζει μέτρα για την ενίσχυση της οικονομικής βιωσιμότητας του Οργανισμού, συμπεριλαμβανομένης της δυνατότητας δημιουργίας περιορισμένου αποθεματικού που έχει σχεδιαστεί για την απορρόφηση της αστάθειας των εσόδων από τέλη, καθώς και για τη μείωση της εξάρτησης από επαναλαμβανόμενες τροποποιήσεις του προϋπολογισμού· τονίζει, ωστόσο, ότι η δημιουργία ενός τέτοιου αποθεματικού απαιτεί ισχυρές διασφαλίσεις, καθώς ενέχει κινδύνους, συμπεριλαμβανομένης της διαρθρωτικής πλεονασματικής ανάκτησης τελών και της δυνατότητας χρήσης συσσωρευμένων κονδυλίων για σκοπούς πέραν της βραχυπρόθεσμης σταθεροποίησης· θεωρεί ότι αυτό καθιστά απαραίτητη τη διαφάνεια των δαπανών και της σύνδεσης μεταξύ τελών και δραστηριοτήτων, μεταξύ άλλων μέσω της υποβολής εκθέσεων βάσει δραστηριοτήτων που κάνουν διάκριση μεταξύ των καθηκόντων που χρηματοδοτούνται από τέλη και εκείνων που χρηματοδοτούνται από την Ένωση· συνιστά κάθε αποθεματικό υπόλοιπο που υπερβαίνει το ανώτατο όριο να επιστρέφεται στον προϋπολογισμό της Ένωσης, είτε μέσω αποπληρωμής είτε μέσω μείωσης της συνεισφοράς της Ένωσης για το επόμενο έτος, προκειμένου να αποφεύγεται η συσσώρευση και να τηρούνται οι βασικές δημοσιονομικές αρχές·</w:t>
      </w:r>
    </w:p>
    <w:p w14:paraId="434C44A1" w14:textId="541DAD7A" w:rsidR="00F026BE" w:rsidRPr="00512250" w:rsidRDefault="00512250" w:rsidP="00512250">
      <w:pPr>
        <w:pStyle w:val="NormalHanging12a"/>
        <w:ind w:left="570" w:hanging="570"/>
      </w:pPr>
      <w:r w:rsidRPr="00512250">
        <w:t>42.</w:t>
      </w:r>
      <w:r w:rsidRPr="00512250">
        <w:tab/>
      </w:r>
      <w:r w:rsidR="00F026BE" w:rsidRPr="00512250">
        <w:t xml:space="preserve">εκφράζει την ανησυχία του για το αρνητικό οικονομικό αποτέλεσμα χρήσης του </w:t>
      </w:r>
      <w:proofErr w:type="spellStart"/>
      <w:r w:rsidR="00F026BE" w:rsidRPr="00512250">
        <w:t>CdT</w:t>
      </w:r>
      <w:proofErr w:type="spellEnd"/>
      <w:r w:rsidR="00F026BE" w:rsidRPr="00512250">
        <w:t xml:space="preserve"> ύψους 5,7 εκατομμυρίων EUR και τη συνεχή μείωση των οργανικών εσόδων, η οποία συνδέεται κυρίως με τη μείωση των τιμολογούμενων σελίδων κατά 11,4 % το 2024 και κατά 17,6 % το 2023· σημειώνει ότι το αποθεματικό για τη σταθερότητα των τιμών, το οποίο δημιουργήθηκε το 2011 για να αντισταθμίσει τις διακυμάνσεις του όγκου των επιχειρηματικών δραστηριοτήτων από τους πελάτες και να βοηθήσει το </w:t>
      </w:r>
      <w:proofErr w:type="spellStart"/>
      <w:r w:rsidR="00F026BE" w:rsidRPr="00512250">
        <w:t>CdT</w:t>
      </w:r>
      <w:proofErr w:type="spellEnd"/>
      <w:r w:rsidR="00F026BE" w:rsidRPr="00512250">
        <w:t xml:space="preserve"> να διασφαλίσει τον προϋπολογισμό και τη σταθερότητα των τιμών, κορυφώθηκε σε 15,6 εκατομμύρια EUR το 2014 και μειώθηκε σε 8,9 εκατομμύρια EUR το 2024 (μείωση κατά 42,9 % από το 2014)· γνωρίζει ότι, μόλις εξαντληθεί πλήρως το αποθεματικό, τυχόν περαιτέρω έλλειμμα θα πρέπει να καλυφθεί από επιδοτήσεις του προϋπολογισμού της Ένωσης, όπως προβλέπεται στον ιδρυτικό κανονισμό του </w:t>
      </w:r>
      <w:proofErr w:type="spellStart"/>
      <w:r w:rsidR="00F026BE" w:rsidRPr="00512250">
        <w:t>CdT</w:t>
      </w:r>
      <w:proofErr w:type="spellEnd"/>
      <w:r w:rsidR="00F026BE" w:rsidRPr="00512250">
        <w:t xml:space="preserve">· λαμβάνει υπόψη τη συνέχεια που έδωσε το </w:t>
      </w:r>
      <w:proofErr w:type="spellStart"/>
      <w:r w:rsidR="00F026BE" w:rsidRPr="00512250">
        <w:t>CdT</w:t>
      </w:r>
      <w:proofErr w:type="spellEnd"/>
      <w:r w:rsidR="00F026BE" w:rsidRPr="00512250">
        <w:t xml:space="preserve"> στην απαλλαγή για το 2023 και καλεί το διοικητικό συμβούλιο να συνεχίσει να υποβάλλει εκθέσεις σχετικά με την εξέλιξη των εν λόγω σχεδίων στην αρμόδια για την απαλλαγή αρχή, δεδομένης της συνεχούς μείωσης των εσόδων· ενθαρρύνει το </w:t>
      </w:r>
      <w:proofErr w:type="spellStart"/>
      <w:r w:rsidR="00F026BE" w:rsidRPr="00512250">
        <w:t>CdT</w:t>
      </w:r>
      <w:proofErr w:type="spellEnd"/>
      <w:r w:rsidR="00F026BE" w:rsidRPr="00512250">
        <w:t xml:space="preserve"> να εντοπίσει νέες υπηρεσίες που θα μπορούσαν να παρέχουν και νέες πηγές εσόδων, δεδομένης της επικράτησης νέων τεχνολογιών δωρεάν μετάφρασης που θα μπορούσαν να επηρεάσουν τον αριθμό των αιτημάτων μετάφρασης·</w:t>
      </w:r>
    </w:p>
    <w:p w14:paraId="5FF19A78" w14:textId="374B0578" w:rsidR="00F026BE" w:rsidRPr="00512250" w:rsidRDefault="00512250" w:rsidP="00512250">
      <w:pPr>
        <w:pStyle w:val="NormalHanging12a"/>
        <w:ind w:left="570" w:hanging="570"/>
      </w:pPr>
      <w:r w:rsidRPr="00512250">
        <w:t>43.</w:t>
      </w:r>
      <w:r w:rsidRPr="00512250">
        <w:tab/>
      </w:r>
      <w:r w:rsidR="00F026BE" w:rsidRPr="00512250">
        <w:t xml:space="preserve">επιμένει ότι, παρόλο που ο δημοσιονομικός κανονισμός δεν καθορίζει ανώτατα όρια για τις πιστώσεις που μεταφέρθηκαν από το προηγούμενο έτος, τα επαναλαμβανόμενα και υπερβολικά επίπεδα μεταφορών πιστώσεων υπονομεύουν την </w:t>
      </w:r>
      <w:bookmarkStart w:id="8" w:name="_Hlk215651058"/>
      <w:r w:rsidR="00F026BE" w:rsidRPr="00512250">
        <w:t>αρχή της ετήσιας διάρκειας του προϋπολογισμού</w:t>
      </w:r>
      <w:bookmarkEnd w:id="8"/>
      <w:r w:rsidR="00F026BE" w:rsidRPr="00512250">
        <w:t xml:space="preserve"> και ενδέχεται να είναι ενδεικτικά διαρθρωτικών ζητημάτων στη διαδικασία και τον κύκλο εκτέλεσης του προϋπολογισμού·</w:t>
      </w:r>
    </w:p>
    <w:p w14:paraId="52BFE075" w14:textId="7DC2DAA6" w:rsidR="00F026BE" w:rsidRPr="00512250" w:rsidRDefault="00512250" w:rsidP="00512250">
      <w:pPr>
        <w:pStyle w:val="NormalHanging12a"/>
        <w:ind w:left="570" w:hanging="570"/>
      </w:pPr>
      <w:r w:rsidRPr="00512250">
        <w:t>44.</w:t>
      </w:r>
      <w:r w:rsidRPr="00512250">
        <w:tab/>
      </w:r>
      <w:r w:rsidR="00F026BE" w:rsidRPr="00512250">
        <w:t>σημειώνει ότι, το 2024, 11 οργανισμοί (ACER, ECDC, EEA, EFCA, EIGE, ENISA, EU</w:t>
      </w:r>
      <w:r w:rsidR="00F026BE" w:rsidRPr="00512250">
        <w:noBreakHyphen/>
        <w:t xml:space="preserve">OSHA, </w:t>
      </w:r>
      <w:proofErr w:type="spellStart"/>
      <w:r w:rsidR="00F026BE" w:rsidRPr="00512250">
        <w:t>Eurofound</w:t>
      </w:r>
      <w:proofErr w:type="spellEnd"/>
      <w:r w:rsidR="00F026BE" w:rsidRPr="00512250">
        <w:t xml:space="preserve">, EUSPA, FRA ΚΑΙ </w:t>
      </w:r>
      <w:proofErr w:type="spellStart"/>
      <w:r w:rsidR="00F026BE" w:rsidRPr="00512250">
        <w:t>Frontex</w:t>
      </w:r>
      <w:proofErr w:type="spellEnd"/>
      <w:r w:rsidR="00F026BE" w:rsidRPr="00512250">
        <w:t xml:space="preserve">) είχαν επίπεδα μεταφορών πιστώσεων που υπερέβαιναν το 15 % σε συνδυασμένους τίτλους του προϋπολογισμού, με επαναλαμβανόμενα μοτίβα· σημειώνει ότι, στην περίπτωση του </w:t>
      </w:r>
      <w:proofErr w:type="spellStart"/>
      <w:r w:rsidR="00F026BE" w:rsidRPr="00512250">
        <w:t>Frontex</w:t>
      </w:r>
      <w:proofErr w:type="spellEnd"/>
      <w:r w:rsidR="00F026BE" w:rsidRPr="00512250">
        <w:t xml:space="preserve"> και του ESA, οι μεταφορές πιστώσεων ξεπέρασαν το 40 % και 30 % αντίστοιχα· καλεί τους οργανισμούς να βελτιώσουν τον πολυετή σχεδιασμό, τον προγραμματισμό των </w:t>
      </w:r>
      <w:r w:rsidR="00F026BE" w:rsidRPr="00512250">
        <w:lastRenderedPageBreak/>
        <w:t>δημόσιων συμβάσεων και τις προβλέψεις ανάληψης υποχρεώσεων, προκειμένου να στηρίξουν την καλύτερη εκτέλεση των πιστώσεων κατά το οικονομικό έτος για το οποίο εγκρίθηκαν· καλεί την Επιτροπή να απαιτήσει από τους οργανισμούς με επαναλαμβανόμενες μεταφορές πιστώσεων να υποβάλουν σχέδια διορθωτικών μέτρων· υπενθυμίζει ότι το Ελεγκτικό Συνέδριο, στην ετήσια έκθεσή του σχετικά με τους οργανισμούς της ΕΕ για το οικονομικό έτος 2024, τόνισε ότι τα επαναλαμβανόμενα υψηλά ποσοστά μεταφορών υπονομεύουν την αρχή της ετήσιας διάρκειας του προϋπολογισμού·</w:t>
      </w:r>
    </w:p>
    <w:p w14:paraId="2612D3CE" w14:textId="500C2A62" w:rsidR="00F026BE" w:rsidRPr="00512250" w:rsidRDefault="00512250" w:rsidP="00512250">
      <w:pPr>
        <w:pStyle w:val="NormalHanging12a"/>
        <w:ind w:left="570" w:hanging="570"/>
      </w:pPr>
      <w:r w:rsidRPr="00512250">
        <w:t>45.</w:t>
      </w:r>
      <w:r w:rsidRPr="00512250">
        <w:tab/>
      </w:r>
      <w:r w:rsidR="00F026BE" w:rsidRPr="00512250">
        <w:t>είναι της άποψης ότι οι μεταφορές πιστώσεων θα μπορούσαν, σε ορισμένες περιπτώσεις, να δικαιολογούνται από τον πολυετή χαρακτήρα των επιχειρήσεων ή να οφείλονται σε παράγοντες που εκφεύγουν του ελέγχου των οικείων οργανισμών· σημειώνει τη δήλωση του Ελεγκτικού Συνεδρίου, κατά την ακρόαση που πραγματοποιήθηκε την 1η Δεκεμβρίου 2025, ότι, στο πλαίσιο της νέας προσέγγισης ελέγχου που ακολουθεί, θα προσπαθήσει να παράσχει σαφέστερη συνολική επισκόπηση της φύσης των μεταφορών πιστώσεων σε μελλοντικές εκθέσεις, αναγνωρίζοντας παράλληλα τη διευκρίνιση του Ελεγκτικού Συνεδρίου ότι η διαφοροποιημένη κατανομή των αιτίων των μεταφορών πιστώσεων ανά οργανισμό δεν είναι εφικτή λόγω μεθοδολογικών περιορισμών και περιορισμών όσον αφορά τους πόρους· εκφράζει την ικανοποίησή του για την ετοιμότητα του Ελεγκτικού Συνεδρίου να επισημάνει επαναλαμβανόμενα μοτίβα και συστημικούς παράγοντες που συμβάλλουν στις υπερβολικές μεταφορές πιστώσεων· τονίζει, ωστόσο, ότι τα σταθερά υψηλά και επαναλαμβανόμενα επίπεδα μεταφορών πιστώσεων ενδέχεται να υποδηλώνουν υποκείμενες διαρθρωτικές προκλήσεις όσον αφορά τον σχεδιασμό, την υλοποίηση ή την κατανομή των πόρων· καλεί τους οργανισμούς να βελτιώσουν τις δημοσιονομικές προβλέψεις και τον προγραμματισμό των έργων τους, ώστε να ελαχιστοποιηθούν οι μη προγραμματισμένες μεταφορές πιστώσεων και να διασφαλιστεί η αποδοτική χρήση των πιστώσεων εντός του οικονομικού έτους·</w:t>
      </w:r>
    </w:p>
    <w:p w14:paraId="3B543D82" w14:textId="5728B748" w:rsidR="00F026BE" w:rsidRPr="00512250" w:rsidRDefault="00512250" w:rsidP="00512250">
      <w:pPr>
        <w:pStyle w:val="NormalHanging12a"/>
        <w:ind w:left="570" w:hanging="570"/>
      </w:pPr>
      <w:r w:rsidRPr="00512250">
        <w:t>46.</w:t>
      </w:r>
      <w:r w:rsidRPr="00512250">
        <w:tab/>
      </w:r>
      <w:r w:rsidR="00F026BE" w:rsidRPr="00512250">
        <w:t xml:space="preserve">υπενθυμίζει ότι το κανονιστικό πλαίσιο ορίζει ότι οι οργανισμοί πρέπει να πραγματοποιούν πληρωμές εντός συγκεκριμένων προθεσμιών· σημειώνει ότι η μη τήρηση αυτών των προθεσμιών μπορεί να προκαλέσει πρόσθετο κόστος, όπως τόκους υπερημερίας· παρατηρεί ότι, για το 2024, το Ελεγκτικό Συνέδριο αναφέρει ότι για 11 οργανισμούς (ACER, </w:t>
      </w:r>
      <w:proofErr w:type="spellStart"/>
      <w:r w:rsidR="00F026BE" w:rsidRPr="00512250">
        <w:t>Cedefop</w:t>
      </w:r>
      <w:proofErr w:type="spellEnd"/>
      <w:r w:rsidR="00F026BE" w:rsidRPr="00512250">
        <w:t xml:space="preserve">, ΕΑΑ, ΕΟΠ, ELA, ENISA, ETF, EUDA, </w:t>
      </w:r>
      <w:proofErr w:type="spellStart"/>
      <w:r w:rsidR="00F026BE" w:rsidRPr="00512250">
        <w:t>Eurojust</w:t>
      </w:r>
      <w:proofErr w:type="spellEnd"/>
      <w:r w:rsidR="00F026BE" w:rsidRPr="00512250">
        <w:t xml:space="preserve">, FRA και </w:t>
      </w:r>
      <w:proofErr w:type="spellStart"/>
      <w:r w:rsidR="00F026BE" w:rsidRPr="00512250">
        <w:t>Frontex</w:t>
      </w:r>
      <w:proofErr w:type="spellEnd"/>
      <w:r w:rsidR="00F026BE" w:rsidRPr="00512250">
        <w:t>) πάνω από το 5 % των πληρωμών πραγματοποιήθηκαν μετά την προβλεπόμενη προθεσμία· εκφράζει την ανησυχία του για την αύξηση των καθυστερημένων πληρωμών από το 2022, η οποία συνιστά αύξηση σε σύγκριση με το 2023 (εννέα οργανισμοί) και το 2022 (πέντε οργανισμοί)·</w:t>
      </w:r>
    </w:p>
    <w:p w14:paraId="29C87C7E" w14:textId="77777777" w:rsidR="00F026BE" w:rsidRPr="00512250" w:rsidRDefault="00F026BE" w:rsidP="00F026BE">
      <w:pPr>
        <w:pStyle w:val="NormalHanging12a"/>
        <w:rPr>
          <w:i/>
          <w:iCs/>
        </w:rPr>
      </w:pPr>
      <w:r w:rsidRPr="00512250">
        <w:rPr>
          <w:i/>
        </w:rPr>
        <w:t>Συστάσεις</w:t>
      </w:r>
    </w:p>
    <w:p w14:paraId="0B5CC691" w14:textId="31E91DCB" w:rsidR="00F026BE" w:rsidRPr="00512250" w:rsidRDefault="00512250" w:rsidP="00512250">
      <w:pPr>
        <w:pStyle w:val="NormalHanging12a"/>
        <w:ind w:left="570" w:hanging="570"/>
      </w:pPr>
      <w:r w:rsidRPr="00512250">
        <w:t>47.</w:t>
      </w:r>
      <w:r w:rsidRPr="00512250">
        <w:tab/>
      </w:r>
      <w:r w:rsidR="00F026BE" w:rsidRPr="00512250">
        <w:t>επιμένει στην ανάγκη να διασφαλιστεί η τήρηση των νόμιμων προθεσμιών για τις πληρωμές και σημειώνει ότι η υψηλή συχνότητα καθυστερημένων πληρωμών μπορεί να επηρεάσει αρνητικά τη φήμη των οργανισμών· καλεί τους ενδιαφερόμενους οργανισμούς να λάβουν μέτρα για την αποφυγή μελλοντικών καθυστερήσεων πληρωμών και τόκων υπερημερίας και να διασφαλίσουν την έγκαιρη τακτοποίηση των υποχρεώσεών τους· υπενθυμίζει ότι η τήρηση των προθεσμιών πληρωμής στο πλαίσιο του δημοσιονομικού κανονισμού συνιστά νομική υποχρέωση και βασικό στοιχείο της δημοσιονομικής διαχείρισης· καλεί τους οργανισμούς να εφαρμόσουν διορθωτικά μέτρα για να διασφαλίσουν τη συστηματική συμμόρφωση με τις νόμιμες προθεσμίες σε περίπτωση πολυετών καθυστερήσεων πληρωμών·</w:t>
      </w:r>
    </w:p>
    <w:p w14:paraId="013A6586" w14:textId="1DD28FF3" w:rsidR="00F026BE" w:rsidRPr="00512250" w:rsidRDefault="00512250" w:rsidP="00512250">
      <w:pPr>
        <w:pStyle w:val="NormalHanging12a"/>
        <w:ind w:left="570" w:hanging="570"/>
        <w:rPr>
          <w:u w:val="single"/>
        </w:rPr>
      </w:pPr>
      <w:r w:rsidRPr="00512250">
        <w:lastRenderedPageBreak/>
        <w:t>48.</w:t>
      </w:r>
      <w:r w:rsidRPr="00512250">
        <w:tab/>
      </w:r>
      <w:r w:rsidR="00F026BE" w:rsidRPr="00512250">
        <w:t>καλεί τις ευρωπαϊκές εποπτικές αρχές (ΕΑΤ, EIOPA και ESMA) να αυξήσουν τη διαφάνεια στις δραστηριότητές τους που χρηματοδοτούνται από διάφορες πηγές εσόδων, προκειμένου να βελτιωθεί η λογιστική εποπτεία σύμφωνα με τη σύσταση του Ελεγκτικού Συνεδρίου σχετικά με τη διαχείριση των εσόδων και τις δομές χρηματοδότησης·</w:t>
      </w:r>
    </w:p>
    <w:p w14:paraId="385565AD" w14:textId="77777777" w:rsidR="00F026BE" w:rsidRPr="00512250" w:rsidRDefault="00F026BE" w:rsidP="00FC7C15">
      <w:pPr>
        <w:pStyle w:val="NormalHanging12a"/>
        <w:ind w:left="0" w:firstLine="0"/>
        <w:rPr>
          <w:b/>
          <w:i/>
        </w:rPr>
      </w:pPr>
      <w:r w:rsidRPr="00512250">
        <w:rPr>
          <w:b/>
          <w:i/>
        </w:rPr>
        <w:t>Κυριότεροι κίνδυνοι που εντόπισε το Ελεγκτικό Συνέδριο και επισκόπηση των αποτελεσμάτων του ελέγχου</w:t>
      </w:r>
    </w:p>
    <w:p w14:paraId="3F2A66D4" w14:textId="568F299A" w:rsidR="00F026BE" w:rsidRPr="00512250" w:rsidRDefault="00512250" w:rsidP="00512250">
      <w:pPr>
        <w:pStyle w:val="NormalHanging12a"/>
        <w:ind w:left="570" w:hanging="570"/>
      </w:pPr>
      <w:bookmarkStart w:id="9" w:name="_Hlk225770236"/>
      <w:bookmarkStart w:id="10" w:name="_Hlk214996918"/>
      <w:r w:rsidRPr="00512250">
        <w:t>49.</w:t>
      </w:r>
      <w:r w:rsidRPr="00512250">
        <w:tab/>
      </w:r>
      <w:r w:rsidR="00F026BE" w:rsidRPr="00512250">
        <w:t>σημειώνει το συμπέρασμα του Ελεγκτικού Συνεδρίου στην ετήσια έκθεσή του σχετικά με τους οργανισμούς της ΕΕ για το οικονομικό έτος 2024 (στο εξής: έκθεση του Ελεγκτικού Συνεδρίου), σύμφωνα με την οποία ο έλεγχος του Ελεγκτικού Συνεδρίου είχε παρόμοια αποτελέσματα με τα προηγούμενα έτη, με τις αδυναμίες στις διαδικασίες σύναψης δημόσιων συμβάσεων να επισημαίνονται ως η κύρια πηγή παράτυπων πληρωμών· καλεί τους ενδιαφερόμενους οργανισμούς να ενισχύσουν τους εκ των προτέρων ελέγχους τους, να βελτιώσουν την τεκμηρίωση των κριτηρίων ανάθεσης και να διασφαλίσουν την αυστηρή αιτιολόγηση των διαδικασιών με διαπραγμάτευση χωρίς δημοσίευση· καλεί την Επιτροπή να παράσχει στοχευμένη καθοδήγηση και κατάρτιση σε οργανισμούς με επαναλαμβανόμενες ελλείψεις στον τομέα των δημόσιων συμβάσεων· καλεί τους οργανισμούς να διασφαλίσουν πλήρη ιχνηλασιμότητα, ανταγωνιστικές διαδικασίες και ορθή τήρηση αρχείων σε όλες τις διαδικασίες σύναψης δημόσιων συμβάσεων, και καλεί τις υπηρεσίες εσωτερικού ελέγχου των οργανισμών να δώσουν προτεραιότητα στην επανεξέταση των δημόσιων συμβάσεων·</w:t>
      </w:r>
    </w:p>
    <w:bookmarkEnd w:id="9"/>
    <w:bookmarkEnd w:id="10"/>
    <w:p w14:paraId="58B7B52C" w14:textId="1622F7F5" w:rsidR="00F026BE" w:rsidRPr="00512250" w:rsidRDefault="00512250" w:rsidP="00512250">
      <w:pPr>
        <w:pStyle w:val="NormalHanging12a"/>
        <w:ind w:left="570" w:hanging="570"/>
      </w:pPr>
      <w:r w:rsidRPr="00512250">
        <w:t>50.</w:t>
      </w:r>
      <w:r w:rsidRPr="00512250">
        <w:tab/>
      </w:r>
      <w:r w:rsidR="00F026BE" w:rsidRPr="00512250">
        <w:t>σημειώνει, με βάση την έκθεση του Ελεγκτικού Συνεδρίου, ότι ο συνολικός κίνδυνος για την αξιοπιστία των λογαριασμών των οργανισμών παραμένει γενικά χαμηλός, και ότι ο κίνδυνος που σχετίζεται με τη νομιμότητα και κανονικότητα των εσόδων στους λογαριασμούς των οργανισμών είναι επίσης χαμηλός για τους περισσότερους οργανισμούς· σημειώνει, επιπλέον, ότι ο κίνδυνος αυτός αξιολογείται ως μέτριος για τους μερικώς αυτοχρηματοδοτούμενους οργανισμούς λόγω των ειδικών κανονισμών που διέπουν την είσπραξη τελών και άλλων εισφορών εσόδων, κατάσταση που έχει παρατηρηθεί και τα προηγούμενα έτη·</w:t>
      </w:r>
    </w:p>
    <w:p w14:paraId="1AAE30E1" w14:textId="498533D9" w:rsidR="00F026BE" w:rsidRPr="00512250" w:rsidRDefault="00512250" w:rsidP="00512250">
      <w:pPr>
        <w:pStyle w:val="NormalHanging12a"/>
        <w:ind w:left="570" w:hanging="570"/>
      </w:pPr>
      <w:r w:rsidRPr="00512250">
        <w:t>51.</w:t>
      </w:r>
      <w:r w:rsidRPr="00512250">
        <w:tab/>
      </w:r>
      <w:r w:rsidR="00F026BE" w:rsidRPr="00512250">
        <w:t>παρατηρεί ότι το Ελεγκτικό Συνέδριο θεωρεί ότι ο κίνδυνος για τη νομιμότητα και κανονικότητα των πληρωμών στις οποίες βασίζονται οι λογαριασμοί των οργανισμών είναι συνολικά μέτριος, κυμαινόμενος από χαμηλός έως υψηλός για συγκεκριμένους τίτλους του προϋπολογισμού· σημειώνει ότι το Ελεγκτικό Συνέδριο θεωρεί ότι ο κίνδυνος για τον τίτλο I (Δαπάνες προσωπικού) είναι γενικά χαμηλός, για τον τίτλο II (Διοικητικές δαπάνες) μέτριος και για τον τίτλο III (Επιχειρησιακές δαπάνες) χαμηλός έως υψηλός, ανάλογα με τον εκάστοτε οργανισμό και τη φύση των επιχειρησιακών δαπανών του· επισημαίνει ότι το Ελεγκτικό Συνέδριο θεωρεί ότι ο κίνδυνος όσον αφορά τον Τίτλο ΙΙΙ είναι παρόμοιος με τον κίνδυνο του Τίτλου ΙΙ, αλλά δεδομένου ότι διακυβεύονται πολύ υψηλότερα ποσά στο πλαίσιο του Τίτλου ΙΙΙ, ο αντίκτυπος θεωρείται υψηλότερος·</w:t>
      </w:r>
    </w:p>
    <w:p w14:paraId="2795DDB0" w14:textId="7A4F2682" w:rsidR="00F026BE" w:rsidRPr="00512250" w:rsidRDefault="00512250" w:rsidP="00512250">
      <w:pPr>
        <w:pStyle w:val="NormalHanging12a"/>
        <w:ind w:left="570" w:hanging="570"/>
      </w:pPr>
      <w:r w:rsidRPr="00512250">
        <w:t>52.</w:t>
      </w:r>
      <w:r w:rsidRPr="00512250">
        <w:tab/>
      </w:r>
      <w:r w:rsidR="00F026BE" w:rsidRPr="00512250">
        <w:t>σημειώνει ότι, όπως και τα προηγούμενα έτη, το Ελεγκτικό Συνέδριο θεωρεί ότι ο κίνδυνος για τη χρηστή δημοσιονομική διαχείριση είναι μέτριος και συνδέεται κυρίως με τις διαδικασίες σύναψης δημόσιων συμβάσεων·</w:t>
      </w:r>
    </w:p>
    <w:p w14:paraId="3B667A63" w14:textId="777C6582" w:rsidR="00F026BE" w:rsidRPr="00512250" w:rsidRDefault="00512250" w:rsidP="00512250">
      <w:pPr>
        <w:pStyle w:val="NormalHanging12a"/>
        <w:ind w:left="570" w:hanging="570"/>
      </w:pPr>
      <w:r w:rsidRPr="00512250">
        <w:t>53.</w:t>
      </w:r>
      <w:r w:rsidRPr="00512250">
        <w:tab/>
      </w:r>
      <w:r w:rsidR="00F026BE" w:rsidRPr="00512250">
        <w:t xml:space="preserve">σημειώνει ότι το Ελεγκτικό Συνέδριο θεωρεί ότι ο κίνδυνος για τη διαχείριση του προϋπολογισμού είναι χαμηλός, με τις αδυναμίες στις εκθέσεις ελέγχου του Ελεγκτικού </w:t>
      </w:r>
      <w:r w:rsidR="00F026BE" w:rsidRPr="00512250">
        <w:lastRenderedPageBreak/>
        <w:t>Συνεδρίου να σχετίζονται κυρίως με τις αυτόματες μεταφορές μη διαχωριζόμενων πιστώσεων και τις καθυστερήσεις πληρωμών· επισημαίνει ότι οι αδυναμίες στα συστήματα διαχείρισης και ελέγχου αφορούν ζητήματα όπως η απουσία επαρκών εκ των υστέρων/εκ των προτέρων ελέγχων, οι επιχειρησιακές δημόσιες συμβάσεις που προκηρύσσονται χωρίς κατάλληλες αποφάσεις χρηματοδότησης, οι δαπάνες που εκτελούνται χωρίς την κατάλληλη ανάθεση εξουσιών από κύριο διατάκτη, οι αδυναμίες στη διαχείριση των επιχορηγήσεων και οι καθυστερήσεις στην αξιολόγηση ενός οργανισμού από την Επιτροπή· τονίζει ότι οι αδυναμίες αυτές που απαριθμούνται από το Ελεγκτικό Συνέδριο υπονομεύουν τη χρηστή δημοσιονομική διαχείριση και εκθέτουν τους οργανισμούς σε οικονομικούς κινδύνους και κινδύνους για τη φήμη τους· καλεί τους ενδιαφερόμενους οργανισμούς να διασφαλίσουν την πλήρη συμμόρφωση με τον δημοσιονομικό κανονισμό και να λάβουν τα αναγκαία διορθωτικά μέτρα, και καλεί την Επιτροπή να παρακολουθεί στενά την εφαρμογή τους·</w:t>
      </w:r>
    </w:p>
    <w:p w14:paraId="6571EC73" w14:textId="676A639D" w:rsidR="00F026BE" w:rsidRPr="00512250" w:rsidRDefault="00512250" w:rsidP="00512250">
      <w:pPr>
        <w:pStyle w:val="NormalHanging12a"/>
        <w:ind w:left="570" w:hanging="570"/>
      </w:pPr>
      <w:r w:rsidRPr="00512250">
        <w:t>54.</w:t>
      </w:r>
      <w:r w:rsidRPr="00512250">
        <w:tab/>
      </w:r>
      <w:r w:rsidR="00F026BE" w:rsidRPr="00512250">
        <w:t>σημειώνει ότι το 2024 το Ελεγκτικό Συνέδριο διατύπωσε συνολικά 72 παρατηρήσεις, οι οποίες αφορούσαν διάφορα ζητήματα στους τομείς των δημόσιων συμβάσεων (34 παρατηρήσεις), των συστημάτων διαχείρισης και ελέγχου (11 παρατηρήσεις) (εκτός από ζητήματα δημόσιων συμβάσεων και ανθρώπινων πόρων) και της διαχείρισης του προϋπολογισμού (27 παρατηρήσεις)·</w:t>
      </w:r>
    </w:p>
    <w:p w14:paraId="5E88D25D" w14:textId="73FDB735" w:rsidR="00F026BE" w:rsidRPr="00512250" w:rsidRDefault="00512250" w:rsidP="00512250">
      <w:pPr>
        <w:pStyle w:val="NormalHanging12a"/>
        <w:ind w:left="570" w:hanging="570"/>
      </w:pPr>
      <w:r w:rsidRPr="00512250">
        <w:t>55.</w:t>
      </w:r>
      <w:r w:rsidRPr="00512250">
        <w:tab/>
      </w:r>
      <w:r w:rsidR="00F026BE" w:rsidRPr="00512250">
        <w:t>σημειώνει ότι το Ελεγκτικό Συνέδριο εξέδωσε ελεγκτική γνώμη χωρίς επιφύλαξη σχετικά με την αξιοπιστία των λογαριασμών όλων των οργανισμών· σημειώνει ότι το Ελεγκτικό Συνέδριο διατύπωσε γνώμη χωρίς επιφύλαξη σχετικά με τη νομιμότητα και κανονικότητα των εσόδων στα οποία βασίζονται οι λογαριασμοί για όλους τους οργανισμούς·</w:t>
      </w:r>
    </w:p>
    <w:p w14:paraId="41FB2AC7" w14:textId="2EA46685" w:rsidR="00F026BE" w:rsidRPr="00512250" w:rsidRDefault="00512250" w:rsidP="00512250">
      <w:pPr>
        <w:pStyle w:val="NormalHanging12a"/>
        <w:ind w:left="570" w:hanging="570"/>
      </w:pPr>
      <w:r w:rsidRPr="00512250">
        <w:t>56.</w:t>
      </w:r>
      <w:r w:rsidRPr="00512250">
        <w:tab/>
      </w:r>
      <w:r w:rsidR="00F026BE" w:rsidRPr="00512250">
        <w:t>παρατηρεί ότι εκδόθηκε γνώμη χωρίς επιφύλαξη σχετικά με τη νομιμότητα και κανονικότητα των πληρωμών στις οποίες βασίζονται οι λογαριασμοί για όλους τους οργανισμούς, με εξαίρεση την Ευρωπαϊκή Αρχή Εργασίας (ELA)·</w:t>
      </w:r>
    </w:p>
    <w:p w14:paraId="5BA4EAD5" w14:textId="619BBCBC" w:rsidR="00F026BE" w:rsidRPr="00512250" w:rsidRDefault="00512250" w:rsidP="00512250">
      <w:pPr>
        <w:pStyle w:val="NormalHanging12a"/>
        <w:ind w:left="570" w:hanging="570"/>
      </w:pPr>
      <w:r w:rsidRPr="00512250">
        <w:t>57.</w:t>
      </w:r>
      <w:r w:rsidRPr="00512250">
        <w:tab/>
      </w:r>
      <w:r w:rsidR="00F026BE" w:rsidRPr="00512250">
        <w:t>σημειώνει ότι, όσον αφορά την ELA, η επιφύλαξη αφορά πληρωμές ύψους 2,6</w:t>
      </w:r>
      <w:r w:rsidR="00B17933" w:rsidRPr="00512250">
        <w:t> </w:t>
      </w:r>
      <w:r w:rsidR="00F026BE" w:rsidRPr="00512250">
        <w:t>εκατομμυρίων EUR το 2024, ποσό που αντιστοιχεί στο 5,7 % των συνολικών διαθέσιμων πιστώσεων πληρωμών· σημειώνει ότι το ποσό αυτό περιλαμβάνει 2,2</w:t>
      </w:r>
      <w:r w:rsidR="00B17933" w:rsidRPr="00512250">
        <w:t> </w:t>
      </w:r>
      <w:r w:rsidR="00F026BE" w:rsidRPr="00512250">
        <w:t xml:space="preserve">εκατομμύρια EUR που σχετίζονται με σύμβαση που κρίθηκε παράτυπη στην έκθεση ελέγχου του 2022 λόγω της αξίας της ανατεθείσας σύμβασης που υπερβαίνει το καθορισμένο μέγιστο όριο σύμβασης κατά παράβαση του σημείου 12.3 στοιχείο α) του παραρτήματος I του δημοσιονομικού κανονισμού και 0,4 εκατομμύρια EUR που συνδέονται με ελλείψεις στους εκ των προτέρων ελέγχους σχετικά με την εκτέλεση των συμβάσεων· λαμβάνει υπόψη την απάντηση της ELA κατά την ακρόαση που πραγματοποιήθηκε την 1η Δεκεμβρίου 2025, σύμφωνα με την οποία, παρά την παράτυπη ανάθεση, οι πραγματικές πληρωμές που πραγματοποιήθηκαν στο πλαίσιο της σύμβασης παρέμειναν εντός του ανώτατου ορίου των 6 εκατομμυρίων EUR που ορίζεται στη συγγραφή υποχρεώσεων, και η σύμβαση ήταν απαραίτητη για τη διασφάλιση της συνέχειας των δραστηριοτήτων της Αρχής κατά το αρχικό στάδιο σύστασής της· σημειώνει περαιτέρω ότι η παράτυπη σύμβαση έληξε τον Φεβρουάριο του 2024 και δεν ανανεώθηκε· εκφράζει την ικανοποίησή του για τις διαβεβαιώσεις της Αρχής ότι έχουν εφαρμοστεί διορθωτικά μέτρα, συμπεριλαμβανομένων αναθεωρημένων φακέλων πρόσκλησης υποβολής προσφορών, ενισχυμένων διαδικασιών σύναψης δημόσιων συμβάσεων και επικαιροποιημένων εσωτερικών καταλόγων ελέγχου για την πρόληψη παρόμοιων παρατυπιών· παροτρύνει την Ευρωπαϊκή Αρχή Εργασίας να ενισχύσει τους μηχανισμούς σχεδιασμού και ιεράρχησης </w:t>
      </w:r>
      <w:r w:rsidR="00F026BE" w:rsidRPr="00512250">
        <w:lastRenderedPageBreak/>
        <w:t>προτεραιοτήτων προκειμένου να διασφαλίσει την αποδοτική χρήση των πιστώσεων και την έγκαιρη υλοποίηση των επιχειρησιακών δραστηριοτήτων στο μέλλον·</w:t>
      </w:r>
    </w:p>
    <w:p w14:paraId="60D1E5B6" w14:textId="604F69D3" w:rsidR="00F026BE" w:rsidRPr="00512250" w:rsidRDefault="00512250" w:rsidP="00512250">
      <w:pPr>
        <w:pStyle w:val="NormalHanging12a"/>
        <w:ind w:left="570" w:hanging="570"/>
      </w:pPr>
      <w:r w:rsidRPr="00512250">
        <w:t>58.</w:t>
      </w:r>
      <w:r w:rsidRPr="00512250">
        <w:tab/>
      </w:r>
      <w:r w:rsidR="00F026BE" w:rsidRPr="00512250">
        <w:t xml:space="preserve">επισημαίνει ότι το Ελεγκτικό Συνέδριο εξέδωσε σημεία «έμφασης επί ειδικού θέματος» για να υπογραμμίσει ένα ζήτημα που παρουσιάζεται ή γνωστοποιείται στους λογαριασμούς, το οποίο είναι τόσο σημαντικό ώστε να έχει θεμελιώδη σημασία για την κατανόηση των λογαριασμών ή των υποκείμενων εσόδων ή πληρωμών· σημειώνει περαιτέρω ότι, για το οικονομικό έτος 2024, το Ελεγκτικό Συνέδριο χρησιμοποίησε παραγράφους «έμφασης επί ειδικού θέματος» για τους ακόλουθους οργανισμούς που αποτελούν μέρος του παρόντος ψηφίσματος: </w:t>
      </w:r>
      <w:proofErr w:type="spellStart"/>
      <w:r w:rsidR="00F026BE" w:rsidRPr="00512250">
        <w:t>CdT</w:t>
      </w:r>
      <w:proofErr w:type="spellEnd"/>
      <w:r w:rsidR="00F026BE" w:rsidRPr="00512250">
        <w:t>, EAA, ΕΑΤ, EIT, EMA και ESMA·</w:t>
      </w:r>
    </w:p>
    <w:p w14:paraId="6F666C61" w14:textId="3FA96333" w:rsidR="00F026BE" w:rsidRPr="00512250" w:rsidRDefault="00512250" w:rsidP="00512250">
      <w:pPr>
        <w:pStyle w:val="NormalHanging12a"/>
        <w:ind w:left="570" w:hanging="570"/>
        <w:rPr>
          <w:bCs/>
          <w:iCs/>
        </w:rPr>
      </w:pPr>
      <w:r w:rsidRPr="00512250">
        <w:rPr>
          <w:bCs/>
          <w:iCs/>
        </w:rPr>
        <w:t>59.</w:t>
      </w:r>
      <w:r w:rsidRPr="00512250">
        <w:rPr>
          <w:bCs/>
          <w:iCs/>
        </w:rPr>
        <w:tab/>
      </w:r>
      <w:r w:rsidR="00F026BE" w:rsidRPr="00512250">
        <w:t>σημειώνει ότι οι «παρατηρήσεις» στις ειδικές ετήσιες εκθέσεις των οργανισμών αποτελούν στην πραγματικότητα «μη χρονικά προσδιορισμένες συστάσεις» του Ελεγκτικού Συνεδρίου· σημειώνει ότι το Ελεγκτικό Συνέδριο παρακολουθεί ετησίως τις εν λόγω παρατηρήσεις αξιολογώντας το καθεστώς τους ως «εκκρεμών» ή «περατωμένων»· θεωρεί, ωστόσο, ότι οι μακροχρόνιες ανοικτές παρατηρήσεις θα πρέπει να απαιτούν έγκαιρα και συγκεκριμένα διορθωτικά μέτρα, συνοδευόμενα από ενισχυμένη εποπτεία από τα αντίστοιχα διοικητικά συμβούλια, προκειμένου να αποφευχθούν επαναλαμβανόμενες αδυναμίες·</w:t>
      </w:r>
    </w:p>
    <w:p w14:paraId="4758A958" w14:textId="0BE0870B" w:rsidR="00F026BE" w:rsidRPr="00512250" w:rsidRDefault="00512250" w:rsidP="00512250">
      <w:pPr>
        <w:pStyle w:val="NormalHanging12a"/>
        <w:ind w:left="570" w:hanging="570"/>
      </w:pPr>
      <w:r w:rsidRPr="00512250">
        <w:t>60.</w:t>
      </w:r>
      <w:r w:rsidRPr="00512250">
        <w:tab/>
      </w:r>
      <w:r w:rsidR="00F026BE" w:rsidRPr="00512250">
        <w:t xml:space="preserve">σημειώνει ότι από τις συνολικά 109 παρατηρήσεις που διατύπωσε το Ελεγκτικό Συνέδριο και οι οποίες αντιστοιχούν σε προηγούμενα έτη των οργανισμών που αποτελούν μέρος του παρόντος ψηφίσματος, συνολικά 66 περατώθηκαν κατά τη διάρκεια του 2024, με συνολικά 39 να εκκρεμούν και δύο να έχουν περατωθεί εν μέρει· παρατηρεί ότι ο αριθμός των εν εξελίξει παρατηρήσεων ποικίλλει μεταξύ των οργανισμών, με ορισμένους να μην έχουν εκκρεμούσες παρατηρήσεις, όπως στην περίπτωση της Υπηρεσίας του BEREC, του </w:t>
      </w:r>
      <w:proofErr w:type="spellStart"/>
      <w:r w:rsidR="00F026BE" w:rsidRPr="00512250">
        <w:t>CdT</w:t>
      </w:r>
      <w:proofErr w:type="spellEnd"/>
      <w:r w:rsidR="00F026BE" w:rsidRPr="00512250">
        <w:t xml:space="preserve">, του EAA, του EASA, της ΕΑΤ, του ECHA, της EFSA, του EMA, του EMSA, του ERA, του ESA και της ESMA, και ότι ο μεγαλύτερος αριθμός ανοικτών παρατηρήσεων εντοπίζεται στον ACER (τέσσερις), την ELA (πέντε), τον </w:t>
      </w:r>
      <w:proofErr w:type="spellStart"/>
      <w:r w:rsidR="00F026BE" w:rsidRPr="00512250">
        <w:t>eu</w:t>
      </w:r>
      <w:proofErr w:type="spellEnd"/>
      <w:r w:rsidR="00F026BE" w:rsidRPr="00512250">
        <w:t xml:space="preserve">-LISA (πέντε) και τον </w:t>
      </w:r>
      <w:proofErr w:type="spellStart"/>
      <w:r w:rsidR="00F026BE" w:rsidRPr="00512250">
        <w:t>Frontex</w:t>
      </w:r>
      <w:proofErr w:type="spellEnd"/>
      <w:r w:rsidR="00F026BE" w:rsidRPr="00512250">
        <w:t xml:space="preserve"> (τέσσερις), σε σύγκριση με τα αντίστοιχα στοιχεία από το 2023: ACER (τρεις), ELA (πέντε), </w:t>
      </w:r>
      <w:proofErr w:type="spellStart"/>
      <w:r w:rsidR="00F026BE" w:rsidRPr="00512250">
        <w:t>eu</w:t>
      </w:r>
      <w:proofErr w:type="spellEnd"/>
      <w:r w:rsidR="00F026BE" w:rsidRPr="00512250">
        <w:noBreakHyphen/>
        <w:t xml:space="preserve">LISA (οκτώ) και </w:t>
      </w:r>
      <w:proofErr w:type="spellStart"/>
      <w:r w:rsidR="00F026BE" w:rsidRPr="00512250">
        <w:t>Frontex</w:t>
      </w:r>
      <w:proofErr w:type="spellEnd"/>
      <w:r w:rsidR="00F026BE" w:rsidRPr="00512250">
        <w:t xml:space="preserve"> (επτά)· αναγνωρίζει την πρόοδο και ενθαρρύνει τους οργανισμούς να συνεχίσουν να επιδιώκουν την επίλυση των εκκρεμών ζητημάτων·</w:t>
      </w:r>
    </w:p>
    <w:p w14:paraId="2F656239" w14:textId="1CFF5EB2" w:rsidR="00F026BE" w:rsidRPr="00512250" w:rsidRDefault="00512250" w:rsidP="00512250">
      <w:pPr>
        <w:pStyle w:val="NormalHanging12a"/>
        <w:ind w:left="570" w:hanging="570"/>
        <w:rPr>
          <w:u w:val="single"/>
        </w:rPr>
      </w:pPr>
      <w:r w:rsidRPr="00512250">
        <w:t>61.</w:t>
      </w:r>
      <w:r w:rsidRPr="00512250">
        <w:tab/>
      </w:r>
      <w:r w:rsidR="00F026BE" w:rsidRPr="00512250">
        <w:t xml:space="preserve">σημειώνει ότι επτά από τις 39 εκκρεμούσες παρατηρήσεις (53 το 2023) αφορούν υψηλό επίπεδο μεταφορών πιστώσεων (ACER, ECDC, EFCA, EIGE, </w:t>
      </w:r>
      <w:proofErr w:type="spellStart"/>
      <w:r w:rsidR="00F026BE" w:rsidRPr="00512250">
        <w:t>Eurofound</w:t>
      </w:r>
      <w:proofErr w:type="spellEnd"/>
      <w:r w:rsidR="00F026BE" w:rsidRPr="00512250">
        <w:t xml:space="preserve">, FRA και </w:t>
      </w:r>
      <w:proofErr w:type="spellStart"/>
      <w:r w:rsidR="00F026BE" w:rsidRPr="00512250">
        <w:t>Frontex</w:t>
      </w:r>
      <w:proofErr w:type="spellEnd"/>
      <w:r w:rsidR="00F026BE" w:rsidRPr="00512250">
        <w:t xml:space="preserve">)· αναγνωρίζει ότι η ELA και ο </w:t>
      </w:r>
      <w:proofErr w:type="spellStart"/>
      <w:r w:rsidR="00F026BE" w:rsidRPr="00512250">
        <w:t>eu</w:t>
      </w:r>
      <w:proofErr w:type="spellEnd"/>
      <w:r w:rsidR="00F026BE" w:rsidRPr="00512250">
        <w:noBreakHyphen/>
        <w:t>LISA έχουν μειώσει το ποσοστό μεταφορών πιστώσεων στο 15 %, το οποίο είναι το κατώτατο όριο υποβολής εκθέσεων του Ελεγκτικού Συνεδρίου</w:t>
      </w:r>
      <w:r w:rsidR="00F026BE" w:rsidRPr="00512250">
        <w:rPr>
          <w:u w:val="single"/>
        </w:rPr>
        <w:t>·</w:t>
      </w:r>
    </w:p>
    <w:p w14:paraId="5F75E299" w14:textId="77777777" w:rsidR="00F026BE" w:rsidRPr="00512250" w:rsidRDefault="00F026BE" w:rsidP="00F026BE">
      <w:pPr>
        <w:pStyle w:val="NormalHanging12a"/>
        <w:rPr>
          <w:i/>
          <w:iCs/>
        </w:rPr>
      </w:pPr>
      <w:r w:rsidRPr="00512250">
        <w:rPr>
          <w:b/>
          <w:i/>
        </w:rPr>
        <w:t>Οργανισμοί στον τομέα των οικονομικών και δημοσιονομικών υποθέσεων</w:t>
      </w:r>
      <w:r w:rsidRPr="00512250">
        <w:rPr>
          <w:b/>
          <w:bCs/>
          <w:i/>
          <w:iCs/>
          <w:vertAlign w:val="superscript"/>
        </w:rPr>
        <w:footnoteReference w:id="408"/>
      </w:r>
    </w:p>
    <w:p w14:paraId="4882E2C5" w14:textId="4A363796" w:rsidR="00F026BE" w:rsidRPr="00512250" w:rsidRDefault="00512250" w:rsidP="00512250">
      <w:pPr>
        <w:pStyle w:val="NormalHanging12a"/>
        <w:ind w:left="570" w:hanging="570"/>
      </w:pPr>
      <w:r w:rsidRPr="00512250">
        <w:t>62.</w:t>
      </w:r>
      <w:r w:rsidRPr="00512250">
        <w:tab/>
      </w:r>
      <w:r w:rsidR="00F026BE" w:rsidRPr="00512250">
        <w:t xml:space="preserve">λαμβάνει υπόψη τις παρατηρήσεις του Ελεγκτικού Συνεδρίου σχετικά με τη διαχείριση των συμβάσεων της ESMA, ιδίως έξι περιπτώσεις το 2024, στις οποίες οι υπηρεσίες παρασχέθηκαν πριν από την υπογραφή της σύμβασης, κατά παράβαση του άρθρου 172 παράγραφος 1 του δημοσιονομικού κανονισμού· αναγνωρίζει ότι 30 556 EUR σε προηγούμενες πληρωμές ήταν παράτυπα, αν και η ESMA επισημαίνει χαμηλό βαθμό σημαντικότητας (0,04 % των συνολικών πληρωμών) και σημειώνει ότι οι περιπτώσεις εντοπίστηκαν εσωτερικά· σημειώνει ότι όλες οι πληρωμές (30 606 EUR) </w:t>
      </w:r>
      <w:r w:rsidR="00F026BE" w:rsidRPr="00512250">
        <w:lastRenderedPageBreak/>
        <w:t>πραγματοποιήθηκαν βάσει υφιστάμενων συμβάσεων-πλαισίων, μετριάζοντας τον νομικό κίνδυνο·</w:t>
      </w:r>
    </w:p>
    <w:p w14:paraId="60427B94" w14:textId="4BD51FEA" w:rsidR="00F026BE" w:rsidRPr="00512250" w:rsidRDefault="00512250" w:rsidP="00512250">
      <w:pPr>
        <w:pStyle w:val="NormalHanging12a"/>
        <w:ind w:left="570" w:hanging="570"/>
      </w:pPr>
      <w:r w:rsidRPr="00512250">
        <w:t>63.</w:t>
      </w:r>
      <w:r w:rsidRPr="00512250">
        <w:tab/>
      </w:r>
      <w:r w:rsidR="00F026BE" w:rsidRPr="00512250">
        <w:t xml:space="preserve">εφιστά την προσοχή στον σημαντικό αντίκτυπο της πράξης σχετικά με την ψηφιακή επιχειρησιακή ανθεκτικότητα (DORA) και του κανονισμού για τις αγορές </w:t>
      </w:r>
      <w:proofErr w:type="spellStart"/>
      <w:r w:rsidR="00F026BE" w:rsidRPr="00512250">
        <w:t>κρυπτοστοιχείων</w:t>
      </w:r>
      <w:proofErr w:type="spellEnd"/>
      <w:r w:rsidR="00F026BE" w:rsidRPr="00512250">
        <w:t xml:space="preserve"> (</w:t>
      </w:r>
      <w:proofErr w:type="spellStart"/>
      <w:r w:rsidR="00F026BE" w:rsidRPr="00512250">
        <w:t>MiCAR</w:t>
      </w:r>
      <w:proofErr w:type="spellEnd"/>
      <w:r w:rsidR="00F026BE" w:rsidRPr="00512250">
        <w:t>) στις επιχειρησιακές εντολές και καθήκοντα της Ευρωπαϊκής Αρχής Τραπεζών (ΕΑΤ)· σημειώνει με ανησυχία ότι οι αρχικές διατάξεις δεν κάλυπταν επαρκώς τη χρηματοδότηση που απαιτείται για τον καθορισμό αυτών των ρόλων ή για τις φάσεις προετοιμασίας και υλοποίησης των σχετικών πολιτικών· υποστηρίζει πλήρως την άποψη της Αρχής ότι τα μελλοντικά νομοθετικά δημοσιονομικά δελτία πρέπει να προβλέπουν και να παρέχουν επαρκείς πόρους για την έγκαιρη και αποτελεσματική συγκρότηση τέτοιων πολύπλοκων εντολών· ζητεί να παρασχεθεί επαρκής χρηματοδότηση για την αντιμετώπιση αυτής της επέκτασης της εντολής·</w:t>
      </w:r>
    </w:p>
    <w:p w14:paraId="718BB8B3" w14:textId="2804664B" w:rsidR="00F026BE" w:rsidRPr="00512250" w:rsidRDefault="00512250" w:rsidP="00512250">
      <w:pPr>
        <w:pStyle w:val="NormalHanging12a"/>
        <w:ind w:left="570" w:hanging="570"/>
      </w:pPr>
      <w:r w:rsidRPr="00512250">
        <w:t>64.</w:t>
      </w:r>
      <w:r w:rsidRPr="00512250">
        <w:tab/>
      </w:r>
      <w:r w:rsidR="00F026BE" w:rsidRPr="00512250">
        <w:t>σημειώνει ότι η διαδικασία σύναψης δημόσιων συμβάσεων υπό την καθοδήγηση της ESMA, στην οποία η ΕΑΤ συμμετείχε ως αναθέτουσα αρχή, είχε ως αποτέλεσμα την ανάθεση σύμβασης-πλαισίου με ανώτατο όριο τα 40,2 εκατομμύρια EUR τον Δεκέμβριο του 2022· σημειώνει ότι τον Ιανουάριο του 2023 υποβλήθηκε νομική προσφυγή σχετικά με το αποτέλεσμα της διαδικασίας, με αίτημα την ακύρωση της απόφασης χορήγησης και την καταβολή αποζημίωσης· εκφράζει την ικανοποίησή του για το γεγονός ότι η απόφαση του Δικαστηρίου της Ευρωπαϊκής Ένωσης, της 29ης Οκτωβρίου 2025, απέρριψε στο σύνολό τους τα αιτήματα για ακύρωση και αποζημίωση·</w:t>
      </w:r>
    </w:p>
    <w:p w14:paraId="1839A65D" w14:textId="77777777" w:rsidR="00F026BE" w:rsidRPr="00512250" w:rsidRDefault="00F026BE" w:rsidP="00F026BE">
      <w:pPr>
        <w:pStyle w:val="NormalHanging12a"/>
        <w:rPr>
          <w:i/>
          <w:iCs/>
        </w:rPr>
      </w:pPr>
      <w:r w:rsidRPr="00512250">
        <w:rPr>
          <w:i/>
        </w:rPr>
        <w:t>Συστάσεις</w:t>
      </w:r>
    </w:p>
    <w:p w14:paraId="76AFF0A9" w14:textId="29AB345C" w:rsidR="00F026BE" w:rsidRPr="00512250" w:rsidRDefault="00512250" w:rsidP="00512250">
      <w:pPr>
        <w:pStyle w:val="NormalHanging12a"/>
        <w:ind w:left="570" w:hanging="570"/>
      </w:pPr>
      <w:r w:rsidRPr="00512250">
        <w:t>65.</w:t>
      </w:r>
      <w:r w:rsidRPr="00512250">
        <w:tab/>
      </w:r>
      <w:r w:rsidR="00F026BE" w:rsidRPr="00512250">
        <w:t>καλεί ειδικότερα τους οργανισμούς:</w:t>
      </w:r>
    </w:p>
    <w:p w14:paraId="56B06A0C" w14:textId="77777777" w:rsidR="00F026BE" w:rsidRPr="00512250" w:rsidRDefault="00F026BE" w:rsidP="00F026BE">
      <w:pPr>
        <w:pStyle w:val="NormalHanging12a"/>
        <w:ind w:left="1134"/>
      </w:pPr>
      <w:r w:rsidRPr="00512250">
        <w:t>–</w:t>
      </w:r>
      <w:r w:rsidRPr="00512250">
        <w:tab/>
        <w:t>καλεί την ESMA να ενισχύσει τους εκ των προτέρων ελέγχους, να βελτιώσει τα εργαλεία παρακολούθησης και να παρέχει κατάρτιση για την πρόληψη μελλοντικών συμβάντων·</w:t>
      </w:r>
    </w:p>
    <w:p w14:paraId="48E12281" w14:textId="77777777" w:rsidR="00F026BE" w:rsidRPr="00512250" w:rsidRDefault="00F026BE" w:rsidP="00F026BE">
      <w:pPr>
        <w:pStyle w:val="NormalHanging12a"/>
        <w:rPr>
          <w:b/>
          <w:bCs/>
          <w:i/>
          <w:iCs/>
        </w:rPr>
      </w:pPr>
      <w:r w:rsidRPr="00512250">
        <w:rPr>
          <w:b/>
          <w:i/>
        </w:rPr>
        <w:t>Οργανισμοί στον τομέα της δικαιοσύνης και των εσωτερικών υποθέσεων</w:t>
      </w:r>
      <w:r w:rsidRPr="00512250">
        <w:rPr>
          <w:b/>
          <w:bCs/>
          <w:i/>
          <w:iCs/>
          <w:vertAlign w:val="superscript"/>
        </w:rPr>
        <w:footnoteReference w:id="409"/>
      </w:r>
    </w:p>
    <w:p w14:paraId="7FF58806" w14:textId="685BED4B" w:rsidR="00F026BE" w:rsidRPr="00512250" w:rsidRDefault="00512250" w:rsidP="00512250">
      <w:pPr>
        <w:pStyle w:val="NormalHanging12a"/>
        <w:ind w:left="570" w:hanging="570"/>
      </w:pPr>
      <w:r w:rsidRPr="00512250">
        <w:t>66.</w:t>
      </w:r>
      <w:r w:rsidRPr="00512250">
        <w:tab/>
      </w:r>
      <w:r w:rsidR="00F026BE" w:rsidRPr="00512250">
        <w:t xml:space="preserve">σημειώνει ότι, τον Ιούνιο του 2024, ο ΕΑΑ αντιμετώπισε σφοδρή κυβερνοεπίθεση που επηρέασε όλους τους επιχειρησιακούς τομείς, με αποτέλεσμα την ακύρωση 10 επιτόπιων δραστηριοτήτων κατάρτισης και την αναστολή όλων των διαδικτυακών καταρτίσεων για το υπόλοιπο του έτους· σημειώνει, επιπλέον, ότι το περιστατικό αυτό όχι μόνο διατάραξε τις επιχειρησιακές δραστηριότητες του ΕΑΑ, αλλά είχε επίσης ως αποτέλεσμα πρόσθετες μη προγραμματισμένες δαπάνες που σχετίζονται με την αντιμετώπιση περιστατικών, την αποκατάσταση του συστήματος και τα ενισχυμένα μέτρα κυβερνοασφάλειας· σημειώνει ότι η παραβίαση της ασφάλειας ήταν το άμεσο αποτέλεσμα μιας εξελιγμένης </w:t>
      </w:r>
      <w:proofErr w:type="spellStart"/>
      <w:r w:rsidR="00F026BE" w:rsidRPr="00512250">
        <w:t>κυβερνοεπίθεσης</w:t>
      </w:r>
      <w:proofErr w:type="spellEnd"/>
      <w:r w:rsidR="00F026BE" w:rsidRPr="00512250">
        <w:t xml:space="preserve"> που στόχευε τις ψηφιακές υποδομές του ΕΑΑ και ότι μη εξουσιοδοτημένοι παράγοντες απέκτησαν πρόσβαση σε σημαντικό όγκο δεδομένων προσωπικού χαρακτήρα, θέτοντας σε κίνδυνο την εμπιστευτικότητα, την ακεραιότητα και τη διαθεσιμότητά τους· επισημαίνει ότι το περιστατικό στον κυβερνοχώρο απαιτούσε την άμεση ενημέρωση περίπου 99 000 ατόμων για παραβίαση δεδομένων προσωπικού χαρακτήρα και ότι η επίθεση πυροδότησε ποινική έρευνα με </w:t>
      </w:r>
      <w:r w:rsidR="00F026BE" w:rsidRPr="00512250">
        <w:lastRenderedPageBreak/>
        <w:t>την υποστήριξη της CERT-ΕΕ και της Ευρωπόλ· εκφράζει την ανησυχία του για το γεγονός ότι, παρά ορισμένες έμμεσες αποδείξεις, ο παράγοντας απειλής δεν έχει προσδιοριστεί με βεβαιότητα· εφιστά την προσοχή στις συμβουλές της CERT-ΕΕ για την ανοικοδόμηση των υποδομών, με αποτέλεσμα την υλοποίηση ενός περιβάλλοντος πληροφορικής για πλήρη χρήση στο υπολογιστικό νέφος με προσέγγιση μηδενικής εμπιστοσύνης και με νέο εξοπλισμό από τη ΓΔ DIGIT εντός τριών εβδομάδων· σημειώνει ότι ο ΕΑΑ υλοποιεί επί του παρόντος 42 καθήκοντα και έργα κυβερνοασφάλειας στο πλαίσιο του σχεδίου για την κυβερνοασφάλεια· επισημαίνει ότι έχουν αναπτυχθεί σεμινάρια ευαισθητοποίησης και κατάρτισης σχετικά με την ασφάλεια των ΤΠΕ για όλο το προσωπικό, τα οποία συμπληρώνονται από τακτικές κοινοποιήσεις και επικαιροποιήσεις στο ενδοδίκτυο, στο πλαίσιο της συνήθους πρακτικής· τονίζει ότι οι αστοχίες στον τομέα της κυβερνοασφάλειας ενέχουν όχι μόνο επιχειρησιακούς αλλά και οικονομικούς και νομικούς κινδύνους, καθώς και κινδύνους για τη φήμη των οργανισμών· ζητεί δεσμευτικά ελάχιστα πρότυπα κυβερνοασφάλειας και επαρκή, σταθερή χρηματοδότηση για τη διασφάλιση της αποτελεσματικής εφαρμογής τους·</w:t>
      </w:r>
    </w:p>
    <w:p w14:paraId="0970543B" w14:textId="429EFCFA" w:rsidR="00F026BE" w:rsidRPr="00512250" w:rsidRDefault="00512250" w:rsidP="00512250">
      <w:pPr>
        <w:pStyle w:val="NormalHanging12a"/>
        <w:ind w:left="570" w:hanging="570"/>
      </w:pPr>
      <w:r w:rsidRPr="00512250">
        <w:t>67.</w:t>
      </w:r>
      <w:r w:rsidRPr="00512250">
        <w:tab/>
      </w:r>
      <w:r w:rsidR="00F026BE" w:rsidRPr="00512250">
        <w:t>τονίζει ότι, όταν οι οργανισμοί δραστηριοποιούνται εκτός του εδάφους της Ένωσης ή συνεργάζονται με αρχές τρίτων χωρών, εξακολουθούν να δεσμεύονται πλήρως από το δίκαιο της Ένωσης· καλεί την Επιτροπή να διασφαλίσει ότι οι συμφωνίες συνεργασίας, οι επιχειρησιακές ρυθμίσεις και τα πλαίσια ανταλλαγής δεδομένων περιλαμβάνουν εκτελεστές διασφαλίσεις, μηχανισμούς παρακολούθησης και σαφείς υποχρεώσεις υποβολής εκθέσεων στην αρμόδια για την απαλλαγή αρχή·</w:t>
      </w:r>
    </w:p>
    <w:p w14:paraId="355C0D43" w14:textId="3E9C6EF9" w:rsidR="00F026BE" w:rsidRPr="00512250" w:rsidRDefault="00512250" w:rsidP="00512250">
      <w:pPr>
        <w:pStyle w:val="NormalHanging12a"/>
        <w:ind w:left="570" w:hanging="570"/>
        <w:rPr>
          <w:i/>
          <w:iCs/>
        </w:rPr>
      </w:pPr>
      <w:r w:rsidRPr="00B7621E">
        <w:t>68.</w:t>
      </w:r>
      <w:r w:rsidRPr="00512250">
        <w:rPr>
          <w:i/>
          <w:iCs/>
        </w:rPr>
        <w:tab/>
      </w:r>
      <w:r w:rsidR="00F026BE" w:rsidRPr="00512250">
        <w:t>υπενθυμίζει ότι ο κανονισμός (ΕΕ, Ευρατόμ) 2023/284</w:t>
      </w:r>
      <w:r w:rsidR="00B7621E" w:rsidRPr="00B7621E">
        <w:t>1</w:t>
      </w:r>
      <w:r w:rsidR="00F026BE" w:rsidRPr="00512250">
        <w:rPr>
          <w:rStyle w:val="FootnoteReference"/>
        </w:rPr>
        <w:footnoteReference w:id="410"/>
      </w:r>
      <w:r w:rsidR="00F026BE" w:rsidRPr="00512250">
        <w:t xml:space="preserve"> θεσπίζει ένα δεσμευτικό και φιλόδοξο πλαίσιο κυβερνοασφάλειας για όλους τους αποκεντρωμένους οργανισμούς που καλύπτει τους οικονομικούς μηχανισμούς, τις επιχειρησιακές πλατφόρμες και τα ευαίσθητα δεδομένα, καθώς και της εφαρμογής ισχυρών τεχνικών και οργανωτικών μέτρων σε όλα τα περιβάλλοντα ΤΠΕ, της σταδιακής μετάβασης προς μια προσέγγιση μηδενικής εμπιστοσύνης, της ενισχυμένης συνεργασίας με τη CERT-ΕΕ, τη ΓΔ DIGIT και άλλους σχετικούς διοργανικούς φορείς, καθώς και των αυστηρών υποχρεώσεων αναφοράς συμβάντων· σημειώνει ότι αρκετές από αυτές τις βασικές απαιτήσεις εξακολουθούν να αποτελούν πρόκληση, δεδομένων των σημερινών άνισων επιπέδων ετοιμότητας μεταξύ των οργανισμών· τονίζει ότι το περιστατικό κυβερνοασφάλειας που επηρεάζει τον EAA καταδεικνύει τις καθημερινές κυβερνοαπειλές στις οποίες εκτίθενται οι οργανισμοί και την ευπάθειά τους κατά τον χειρισμό ευαίσθητων δεδομένων· ζητεί την επιτάχυνση της εφαρμογής σε όλους τους οργανισμούς των διατάξεων του κανονισμού (ΕΕ, Ευρατόμ) 2023/284</w:t>
      </w:r>
      <w:r w:rsidR="00B7621E" w:rsidRPr="00B7621E">
        <w:t>1</w:t>
      </w:r>
      <w:r w:rsidR="00F026BE" w:rsidRPr="00512250">
        <w:t xml:space="preserve"> για την κυβερνοασφάλεια, καθώς και τακτικών προσομοιώσεων ακραίων καταστάσεων των συστημάτων ΤΠ των οργανισμών· παροτρύνει τους οργανισμούς να ενισχύσουν την παρακολούθηση απειλών σε πραγματικό χρόνο, τις ικανότητες αντίδρασης και την κατάρτιση του προσωπικού στον τομέα της κυβερνοασφάλειας·</w:t>
      </w:r>
    </w:p>
    <w:p w14:paraId="2775952A" w14:textId="0E46476A" w:rsidR="00F026BE" w:rsidRPr="00512250" w:rsidRDefault="00512250" w:rsidP="00512250">
      <w:pPr>
        <w:pStyle w:val="NormalHanging12a"/>
        <w:ind w:left="570" w:hanging="570"/>
      </w:pPr>
      <w:r w:rsidRPr="00512250">
        <w:t>69.</w:t>
      </w:r>
      <w:r w:rsidRPr="00512250">
        <w:tab/>
      </w:r>
      <w:r w:rsidR="00F026BE" w:rsidRPr="00512250">
        <w:t xml:space="preserve">σημειώνει την υποεκπροσώπηση των ανδρών στο προσωπικό του EIGE σε μόλις 29 % και 21 % (8 άνδρες) στο διοικητικό συμβούλιο, ενθαρρύνει το EIGE να έχει πετύχει μια </w:t>
      </w:r>
      <w:r w:rsidR="00F026BE" w:rsidRPr="00512250">
        <w:lastRenderedPageBreak/>
        <w:t>εξισορροπημένη εκπροσώπηση των φύλων στις μελλοντικές προσλήψεις προσωπικού·</w:t>
      </w:r>
    </w:p>
    <w:p w14:paraId="64E82D38" w14:textId="71922299" w:rsidR="00F026BE" w:rsidRPr="00512250" w:rsidRDefault="00512250" w:rsidP="00512250">
      <w:pPr>
        <w:pStyle w:val="NormalHanging12a"/>
        <w:ind w:left="570" w:hanging="570"/>
      </w:pPr>
      <w:r w:rsidRPr="00512250">
        <w:t>70.</w:t>
      </w:r>
      <w:r w:rsidRPr="00512250">
        <w:tab/>
      </w:r>
      <w:r w:rsidR="00F026BE" w:rsidRPr="00512250">
        <w:t>λαμβάνει υπόψη τις παρατηρήσεις του Ελεγκτικού Συνεδρίου σχετικά με τα συστήματα διαχείρισης και ελέγχου του EIGE, μεταξύ των οποίων:</w:t>
      </w:r>
    </w:p>
    <w:p w14:paraId="3A1BA9B1" w14:textId="77777777" w:rsidR="00F026BE" w:rsidRPr="00512250" w:rsidRDefault="00F026BE" w:rsidP="00F026BE">
      <w:pPr>
        <w:pStyle w:val="NormalHanging12a"/>
        <w:ind w:left="1134"/>
      </w:pPr>
      <w:r w:rsidRPr="00512250">
        <w:t>–</w:t>
      </w:r>
      <w:r w:rsidRPr="00512250">
        <w:tab/>
        <w:t xml:space="preserve">παρατυπίες στον τομέα των δημόσιων συμβάσεων: επισημαίνει ότι, το 2024, το EIGE εφάρμοσε υπερβολικές απαιτήσεις οικονομικής επάρκειας και περιοριστικά κριτήρια επιλογής σε διαδικασία υποβολής προσφορών για υπηρεσίες καθαρισμού, γεγονός που, σύμφωνα με το Ελεγκτικό Συνέδριο, ενδέχεται να απέτρεψε ή ακόμη και να εμπόδισε τη συμμετοχή δυνητικών προσφερόντων· αναγνωρίζει ότι το EIGE επισημαίνει ότι τα περιοριστικά κριτήρια ζητήθηκαν από τις </w:t>
      </w:r>
      <w:proofErr w:type="spellStart"/>
      <w:r w:rsidRPr="00512250">
        <w:t>συναναθέτουσες</w:t>
      </w:r>
      <w:proofErr w:type="spellEnd"/>
      <w:r w:rsidRPr="00512250">
        <w:t xml:space="preserve"> αρχές (Επιτροπή και Κοινοβούλιο) και ότι κανένας δυνητικός προσφέρων δεν διαμαρτυρήθηκε για τα κριτήρια επιλογής·</w:t>
      </w:r>
    </w:p>
    <w:p w14:paraId="5249B7CD" w14:textId="77777777" w:rsidR="00F026BE" w:rsidRPr="00512250" w:rsidRDefault="00F026BE" w:rsidP="00F026BE">
      <w:pPr>
        <w:pStyle w:val="NormalHanging12a"/>
        <w:ind w:left="1134"/>
      </w:pPr>
      <w:r w:rsidRPr="00512250">
        <w:t>–</w:t>
      </w:r>
      <w:r w:rsidRPr="00512250">
        <w:tab/>
        <w:t>ανεπαρκής αξιολόγηση των προσφορών: σημειώνει ότι, σε δύο διαδικασίες δημόσιων συμβάσεων (220 000 EUR και 193 175 EUR), οι επιτροπές αξιολόγησης του EIGE δεν αξιολόγησαν δεόντως την ικανότητα των προσφερόντων να διαχειρίζονται ομάδες εμπειρογνωμόνων, διότι, στη συγγραφή υποχρεώσεων, το EIGE δεν είχε ζητήσει από τους προσφέροντες να παράσχουν κατάλληλα αποδεικτικά στοιχεία σχετικά με το θέμα αυτό, με κίνδυνο κακής παροχής υπηρεσιών·</w:t>
      </w:r>
    </w:p>
    <w:p w14:paraId="711D1EC4" w14:textId="77777777" w:rsidR="00F026BE" w:rsidRPr="00512250" w:rsidRDefault="00F026BE" w:rsidP="00F026BE">
      <w:pPr>
        <w:pStyle w:val="NormalHanging12a"/>
        <w:ind w:left="1134"/>
      </w:pPr>
      <w:r w:rsidRPr="00512250">
        <w:t>–</w:t>
      </w:r>
      <w:r w:rsidRPr="00512250">
        <w:tab/>
        <w:t xml:space="preserve">ανεπαρκής εποπτεία των συμβάσεων: αναγνωρίζει ότι το EIGE πλήρωσε τιμολόγια που εκτελέστηκαν στο πλαίσιο τριών συμβάσεων βάσει τιμής ανά ανθρωποώρα χωρίς να επαληθεύσει τις πραγματικές ημέρες εργασίας, παραβιάζοντας το άρθρο 45 παράγραφος 5 του δημοσιονομικού κανονισμού του και εκθέτοντάς το σε κινδύνους </w:t>
      </w:r>
      <w:proofErr w:type="spellStart"/>
      <w:r w:rsidRPr="00512250">
        <w:t>υπερπληρωμής</w:t>
      </w:r>
      <w:proofErr w:type="spellEnd"/>
      <w:r w:rsidRPr="00512250">
        <w:t>· σημειώνει ότι το EIGE θα ενισχύσει αναλόγως τους εκ των προτέρων ελέγχους·</w:t>
      </w:r>
    </w:p>
    <w:p w14:paraId="0532499B" w14:textId="52CBDAB5" w:rsidR="00F026BE" w:rsidRPr="00512250" w:rsidRDefault="00512250" w:rsidP="00512250">
      <w:pPr>
        <w:pStyle w:val="NormalHanging12a"/>
        <w:ind w:left="570" w:hanging="570"/>
      </w:pPr>
      <w:r w:rsidRPr="00512250">
        <w:t>71.</w:t>
      </w:r>
      <w:r w:rsidRPr="00512250">
        <w:tab/>
      </w:r>
      <w:r w:rsidR="00F026BE" w:rsidRPr="00512250">
        <w:t xml:space="preserve">σημειώνει τις διαπιστώσεις του Ελεγκτικού Συνεδρίου σχετικά με τον </w:t>
      </w:r>
      <w:proofErr w:type="spellStart"/>
      <w:r w:rsidR="00F026BE" w:rsidRPr="00512250">
        <w:t>eu</w:t>
      </w:r>
      <w:proofErr w:type="spellEnd"/>
      <w:r w:rsidR="00F026BE" w:rsidRPr="00512250">
        <w:t>-LISA, οι περισσότερες από τις οποίες αφορούν παρατυπίες στον τομέα των δημόσιων συμβάσεων που κινήθηκαν τα προηγούμενα έτη, με αποτέλεσμα παράτυπες πληρωμές το 2024, οι οποίες περιλαμβάνουν:</w:t>
      </w:r>
    </w:p>
    <w:p w14:paraId="753E7148" w14:textId="77777777" w:rsidR="00F026BE" w:rsidRPr="00512250" w:rsidRDefault="00F026BE" w:rsidP="00F026BE">
      <w:pPr>
        <w:pStyle w:val="NormalHanging12a"/>
        <w:ind w:left="1134"/>
      </w:pPr>
      <w:r w:rsidRPr="00512250">
        <w:t>–</w:t>
      </w:r>
      <w:r w:rsidRPr="00512250">
        <w:tab/>
        <w:t>παρατυπίες σε διαδικασία με διαπραγμάτευση που ξεκίνησε το 2019 και ολοκληρώθηκε το 2020 για τη μίσθωση εγκαταστάσεων στο Στρασβούργο, όπου η επιφάνεια των εγκαταστάσεων και ο αριθμός των χώρων εργασίας ήταν κάτω από τις ανάγκες που ορίζονται στη συγγραφή υποχρεώσεων, και η ποιότητα της προσφοράς αξιολογήθηκε ως πολύ χαμηλή, αλλά δεν απορρίφθηκε· σημειώνει, επιπλέον, ότι τα κριτήρια ανάθεσης αποτέλεσαν επίσης στη συνέχεια αντικείμενο διαπραγμάτευσης με τον προσφέροντα, κατά παράβαση του άρθρου 167 παράγραφος 3 και του σημείου 6.5 του παραρτήματος I του δημοσιονομικού κανονισμού· επισημαίνει ότι η διαδικασία με διαπραγμάτευση και η επακόλουθη σύμβαση μίσθωσης είναι παράτυπες, όπως και οι σχετικές πληρωμές που ανήλθαν σε 850 000 EUR το 2024·</w:t>
      </w:r>
    </w:p>
    <w:p w14:paraId="778CDD46" w14:textId="77777777" w:rsidR="00F026BE" w:rsidRPr="00512250" w:rsidRDefault="00F026BE" w:rsidP="00F026BE">
      <w:pPr>
        <w:pStyle w:val="NormalHanging12a"/>
        <w:ind w:left="1134"/>
      </w:pPr>
      <w:r w:rsidRPr="00512250">
        <w:t>–</w:t>
      </w:r>
      <w:r w:rsidRPr="00512250">
        <w:tab/>
        <w:t>τροποποιήσεις στις οικονομικές προσφορές των προσφερόντων κατά τη διάρκεια διαδικασίας σύναψης δημόσιας σύμβασης για ηλεκτρικά και τεχνικά έργα στο Στρασβούργο, οι οποίες επηρεάζουν το αποτέλεσμα της διαδικασίας και έχουν ως αποτέλεσμα παράτυπη σύμβαση και σχετικές πληρωμές ύψους 150 000 EUR το 2024·</w:t>
      </w:r>
    </w:p>
    <w:p w14:paraId="7211CC06" w14:textId="66B23D19" w:rsidR="00F026BE" w:rsidRPr="00512250" w:rsidRDefault="00F026BE" w:rsidP="00F026BE">
      <w:pPr>
        <w:pStyle w:val="NormalHanging12a"/>
        <w:ind w:left="1134"/>
      </w:pPr>
      <w:r w:rsidRPr="00512250">
        <w:lastRenderedPageBreak/>
        <w:t>–</w:t>
      </w:r>
      <w:r w:rsidRPr="00512250">
        <w:tab/>
        <w:t xml:space="preserve">αλλαγές στα στοιχεία τιμολόγησης των οικονομικών προσφορών πέραν των διορθώσεων που επιτρέπονται βάσει του άρθρου 151 του δημοσιονομικού κανονισμού, οι οποίες επηρεάζουν αποφασιστικά το αποτέλεσμα μιας πρόσκλησης υποβολής προσφορών και έχουν ως αποτέλεσμα παράτυπες συμβάσεις και σχετικές πληρωμές συνολικού ύψους 1,4 </w:t>
      </w:r>
      <w:r w:rsidR="00CC1E67" w:rsidRPr="00512250">
        <w:t>εκατομμυρίων</w:t>
      </w:r>
      <w:r w:rsidRPr="00512250">
        <w:t xml:space="preserve"> EUR το 2024·</w:t>
      </w:r>
    </w:p>
    <w:p w14:paraId="2FCCFD4A" w14:textId="77777777" w:rsidR="00F026BE" w:rsidRPr="00512250" w:rsidRDefault="00F026BE" w:rsidP="00F026BE">
      <w:pPr>
        <w:pStyle w:val="NormalHanging12a"/>
        <w:ind w:left="1134"/>
      </w:pPr>
      <w:r w:rsidRPr="00512250">
        <w:t>–</w:t>
      </w:r>
      <w:r w:rsidRPr="00512250">
        <w:tab/>
        <w:t xml:space="preserve">επανεκκίνηση του διαγωνισμού για υπηρεσίες παρακολούθησης και συντήρησης σε σχέση με το σύστημα πληροφοριών για τις θεωρήσεις· εκφράζει την ανησυχία του για το γεγονός ότι ο επιτυχών προσφέρων (47,8 εκατομμύρια EUR) ήταν πέντε φορές πιο φθηνός από τον δεύτερο φθηνότερο (243,4 εκατομμύρια EUR) και 50 φορές πιο φθηνός από τον πιο ακριβό προσφέροντα (2,4 δισεκατομμύρια EUR), γεγονός που εγείρει ανησυχίες σχετικά με την εγκυρότητά του· εφιστά την προσοχή στο γεγονός ότι ο </w:t>
      </w:r>
      <w:proofErr w:type="spellStart"/>
      <w:r w:rsidRPr="00512250">
        <w:t>eu</w:t>
      </w:r>
      <w:proofErr w:type="spellEnd"/>
      <w:r w:rsidRPr="00512250">
        <w:noBreakHyphen/>
        <w:t>LISA συγκρότησε ομάδα εργασίας για την επανεξέταση αυτής της επανεκκίνησης του διαγωνισμού, η οποία επιβεβαίωσε την αξιολόγηση των δημοσιονομικών υπαλλήλων, αλλά ανέφερε επιχειρησιακούς και συμβατικούς κινδύνους που συνδέονται με το γεγονός ότι ο οργανισμός θα πρέπει να καταβάλει εκ των προτέρων το μεγαλύτερο μέρος του ποσού της σύμβασης· επισημαίνει ότι το Ελεγκτικό Συνέδριο έκρινε ότι ο κίνδυνος αυτός είναι σημαντικός·</w:t>
      </w:r>
    </w:p>
    <w:p w14:paraId="661DC424" w14:textId="6B49B08B" w:rsidR="00F026BE" w:rsidRPr="00512250" w:rsidRDefault="00F026BE" w:rsidP="00F026BE">
      <w:pPr>
        <w:pStyle w:val="NormalHanging12a"/>
        <w:ind w:left="1134"/>
      </w:pPr>
      <w:r w:rsidRPr="00512250">
        <w:t>–</w:t>
      </w:r>
      <w:r w:rsidRPr="00512250">
        <w:tab/>
        <w:t xml:space="preserve">υπενθυμίζει ότι, μετά από καθυστερήσεις στην εφαρμογή του συστήματος εισόδου/εξόδου (ΣΕΕ), προέκυψε διαφορά στην οποία ο ανάδοχος αρνήθηκε να καλύψει πρόσθετες δαπάνες συντήρησης για ορισμένα προϊόντα ΤΠ, με αποτέλεσμα να υπάρξει ένα κενό στη συντήρηση μεταξύ Νοεμβρίου </w:t>
      </w:r>
      <w:r w:rsidR="00B17933" w:rsidRPr="00512250">
        <w:t xml:space="preserve">του </w:t>
      </w:r>
      <w:r w:rsidRPr="00512250">
        <w:t xml:space="preserve">2022 και Απριλίου </w:t>
      </w:r>
      <w:r w:rsidR="00B17933" w:rsidRPr="00512250">
        <w:t xml:space="preserve">του </w:t>
      </w:r>
      <w:r w:rsidRPr="00512250">
        <w:t xml:space="preserve">2023 και να εκτεθεί ο </w:t>
      </w:r>
      <w:proofErr w:type="spellStart"/>
      <w:r w:rsidRPr="00512250">
        <w:t>eu</w:t>
      </w:r>
      <w:proofErr w:type="spellEnd"/>
      <w:r w:rsidRPr="00512250">
        <w:t xml:space="preserve">-LISA σε επιχειρησιακούς κινδύνους· υπενθυμίζει ότι, για την αντιμετώπιση του άμεσου κινδύνου για την επιχειρησιακή συνέχεια, ο </w:t>
      </w:r>
      <w:proofErr w:type="spellStart"/>
      <w:r w:rsidRPr="00512250">
        <w:t>eu</w:t>
      </w:r>
      <w:proofErr w:type="spellEnd"/>
      <w:r w:rsidRPr="00512250">
        <w:t xml:space="preserve">-LISA τροποποίησε τη σύμβαση-πλαίσιο για διατομεακές λειτουργικές υπηρεσίες το 2023, ώστε να συμπεριλάβει τέλη αποκατάστασης, κυρώσεις που επιβάλλονται όταν η συντήρηση δεν πραγματοποιείται εγκαίρως· στη συνέχεια κατέβαλε 5,3 εκατομμύρια EUR το 2023 και 1,3 εκατομμύρια EUR το 2024 για την ανανέωση της συντήρησης λογισμικού και τις σχετικές δαπάνες αποκατάστασης, οι οποίες, σύμφωνα με την ερμηνεία του Οργανισμού, θα έπρεπε να βαρύνουν τον ανάδοχο του ΣΕΕ· υπενθυμίζει περαιτέρω ότι, παρά το μέγεθος των αμφισβητούμενων ποσών και το γεγονός ότι η παρατήρηση του Ελεγκτικού Συνεδρίου εξακολουθεί να εκκρεμεί, ο </w:t>
      </w:r>
      <w:proofErr w:type="spellStart"/>
      <w:r w:rsidRPr="00512250">
        <w:t>eu</w:t>
      </w:r>
      <w:proofErr w:type="spellEnd"/>
      <w:r w:rsidRPr="00512250">
        <w:t>-LISA δεν είχε κινήσει δικαστική διαδικασία κατά του αναδόχου του ΣΕΕ έως το τέλος του 2024·</w:t>
      </w:r>
    </w:p>
    <w:p w14:paraId="1EFA8521" w14:textId="77DC2030" w:rsidR="00F026BE" w:rsidRPr="00512250" w:rsidRDefault="00512250" w:rsidP="00512250">
      <w:pPr>
        <w:pStyle w:val="NormalHanging12a"/>
        <w:ind w:left="570" w:hanging="570"/>
      </w:pPr>
      <w:r w:rsidRPr="00512250">
        <w:t>72.</w:t>
      </w:r>
      <w:r w:rsidRPr="00512250">
        <w:tab/>
      </w:r>
      <w:r w:rsidR="00F026BE" w:rsidRPr="00512250">
        <w:t xml:space="preserve">εκφράζει την ανησυχία του για το γεγονός ότι οι συνεχιζόμενες παρατυπίες που εντοπίστηκαν στις διαδικασίες σύναψης δημόσιων συμβάσεων του </w:t>
      </w:r>
      <w:proofErr w:type="spellStart"/>
      <w:r w:rsidR="00F026BE" w:rsidRPr="00512250">
        <w:t>eu</w:t>
      </w:r>
      <w:proofErr w:type="spellEnd"/>
      <w:r w:rsidR="00F026BE" w:rsidRPr="00512250">
        <w:noBreakHyphen/>
        <w:t xml:space="preserve">LISA καταδεικνύουν συστημικές αδυναμίες στο πλαίσιο σύναψης δημόσιων συμβάσεων του Οργανισμού· σημειώνει ότι ο </w:t>
      </w:r>
      <w:proofErr w:type="spellStart"/>
      <w:r w:rsidR="00F026BE" w:rsidRPr="00512250">
        <w:t>eu</w:t>
      </w:r>
      <w:proofErr w:type="spellEnd"/>
      <w:r w:rsidR="00F026BE" w:rsidRPr="00512250">
        <w:noBreakHyphen/>
        <w:t xml:space="preserve">LISA αναγνωρίζει τα ζητήματα αυτά και τις προσπάθειές του να ενισχύσει τις πρακτικές του· ενθαρρύνει τον </w:t>
      </w:r>
      <w:proofErr w:type="spellStart"/>
      <w:r w:rsidR="00F026BE" w:rsidRPr="00512250">
        <w:t>eu</w:t>
      </w:r>
      <w:proofErr w:type="spellEnd"/>
      <w:r w:rsidR="00F026BE" w:rsidRPr="00512250">
        <w:t xml:space="preserve">-LISA να διαμορφώσει στρατηγική για τη βελτίωση του πλαισίου του για τις δημόσιες συμβάσεις, το οποίο θα κοινοποιηθεί στις ακροάσεις απαλλαγής του επόμενου έτους· ενθαρρύνει τον </w:t>
      </w:r>
      <w:proofErr w:type="spellStart"/>
      <w:r w:rsidR="00F026BE" w:rsidRPr="00512250">
        <w:t>eu</w:t>
      </w:r>
      <w:proofErr w:type="spellEnd"/>
      <w:r w:rsidR="00F026BE" w:rsidRPr="00512250">
        <w:t xml:space="preserve">-LISA να παράσχει σαφήνεια και διαφάνεια σχετικά με τις προϋποθέσεις υπό τις οποίες η εκ νέου υποβολή προσφορών ενδέχεται να μην θεωρείται σκόπιμη· ενθαρρύνει τον </w:t>
      </w:r>
      <w:proofErr w:type="spellStart"/>
      <w:r w:rsidR="00F026BE" w:rsidRPr="00512250">
        <w:t>eu</w:t>
      </w:r>
      <w:proofErr w:type="spellEnd"/>
      <w:r w:rsidR="00F026BE" w:rsidRPr="00512250">
        <w:t>-LISA να ζητήσει συμβουλές από εμπειρογνώμονες κατά τη διαμόρφωση αυτής της νέας στρατηγικής και να διαβουλευθεί με άλλους οργανισμούς σχετικά με τις βέλτιστες πρακτικές·</w:t>
      </w:r>
    </w:p>
    <w:p w14:paraId="0BD1F39F" w14:textId="5CE27CD7" w:rsidR="00F026BE" w:rsidRPr="00512250" w:rsidRDefault="00512250" w:rsidP="00512250">
      <w:pPr>
        <w:pStyle w:val="NormalHanging12a"/>
        <w:ind w:left="570" w:hanging="570"/>
      </w:pPr>
      <w:r w:rsidRPr="00512250">
        <w:lastRenderedPageBreak/>
        <w:t>73.</w:t>
      </w:r>
      <w:r w:rsidRPr="00512250">
        <w:tab/>
      </w:r>
      <w:r w:rsidR="00F026BE" w:rsidRPr="00512250">
        <w:t xml:space="preserve">αναγνωρίζει ότι ο </w:t>
      </w:r>
      <w:proofErr w:type="spellStart"/>
      <w:r w:rsidR="00F026BE" w:rsidRPr="00512250">
        <w:t>eu</w:t>
      </w:r>
      <w:proofErr w:type="spellEnd"/>
      <w:r w:rsidR="00F026BE" w:rsidRPr="00512250">
        <w:t>-LISA βρίσκεται αντιμέτωπος με σημαντικές προκλήσεις και τονίζει την ανάγκη να αυξηθεί το προσωπικό του για την αποτελεσματική αντιμετώπιση αυτών των προκλήσεων και τη διασφάλιση της συνέχειας των δραστηριοτήτων του, και της ανάλογης χρηματοδότησης·</w:t>
      </w:r>
    </w:p>
    <w:p w14:paraId="107BC9D2" w14:textId="49F1D0C2" w:rsidR="00F026BE" w:rsidRPr="00512250" w:rsidRDefault="00512250" w:rsidP="00512250">
      <w:pPr>
        <w:pStyle w:val="NormalHanging12a"/>
        <w:ind w:left="570" w:hanging="570"/>
      </w:pPr>
      <w:r w:rsidRPr="00512250">
        <w:t>74.</w:t>
      </w:r>
      <w:r w:rsidRPr="00512250">
        <w:tab/>
      </w:r>
      <w:r w:rsidR="00F026BE" w:rsidRPr="00512250">
        <w:t xml:space="preserve">σημειώνει την παρατήρηση του Ελεγκτικού Συνεδρίου ότι, το 2020, η </w:t>
      </w:r>
      <w:proofErr w:type="spellStart"/>
      <w:r w:rsidR="00F026BE" w:rsidRPr="00512250">
        <w:t>Eurojust</w:t>
      </w:r>
      <w:proofErr w:type="spellEnd"/>
      <w:r w:rsidR="00F026BE" w:rsidRPr="00512250">
        <w:t xml:space="preserve"> συνήψε σύμβαση-πλαίσιο για τη μίσθωση οχημάτων με έναν μόνο οικονομικό φορέα, ο οποίος δεν ήταν κατάλληλος για τη φύση των απαιτούμενων υπηρεσιών· αναγνωρίζει ότι η συγκεκριμένη σύμβαση που ανατέθηκε, καθώς και όλες οι σχετικές πληρωμές (64 000 EUR το 2024), ήταν, ως εκ τούτου, παράτυπες· λαμβάνει υπό σημείωση την απάντηση της </w:t>
      </w:r>
      <w:proofErr w:type="spellStart"/>
      <w:r w:rsidR="00F026BE" w:rsidRPr="00512250">
        <w:t>Eurojust</w:t>
      </w:r>
      <w:proofErr w:type="spellEnd"/>
      <w:r w:rsidR="00F026BE" w:rsidRPr="00512250">
        <w:t xml:space="preserve"> ότι η σύμβαση-πλαίσιο που αναφέρεται στην έκθεση του Ελεγκτικού Συνεδρίου για το 2020 έληξε στις 10 Μαΐου 2024 και ότι από τις 25 Νοεμβρίου 2024 ισχύει νέα σύμβαση-πλαίσιο για τη μίσθωση οχημάτων·</w:t>
      </w:r>
    </w:p>
    <w:p w14:paraId="77FA3376" w14:textId="2ED55A31" w:rsidR="00F026BE" w:rsidRPr="00512250" w:rsidRDefault="00512250" w:rsidP="00512250">
      <w:pPr>
        <w:pStyle w:val="NormalHanging12a"/>
        <w:ind w:left="570" w:hanging="570"/>
      </w:pPr>
      <w:r w:rsidRPr="00512250">
        <w:t>75.</w:t>
      </w:r>
      <w:r w:rsidRPr="00512250">
        <w:tab/>
      </w:r>
      <w:r w:rsidR="00F026BE" w:rsidRPr="00512250">
        <w:t xml:space="preserve">εκφράζει την ανησυχία του για τις παρατηρήσεις του Ελεγκτικού Συνεδρίου ότι η </w:t>
      </w:r>
      <w:proofErr w:type="spellStart"/>
      <w:r w:rsidR="00F026BE" w:rsidRPr="00512250">
        <w:t>Eurojust</w:t>
      </w:r>
      <w:proofErr w:type="spellEnd"/>
      <w:r w:rsidR="00F026BE" w:rsidRPr="00512250">
        <w:t xml:space="preserve"> δεν έχει </w:t>
      </w:r>
      <w:proofErr w:type="spellStart"/>
      <w:r w:rsidR="00F026BE" w:rsidRPr="00512250">
        <w:t>επικαιροποιήσει</w:t>
      </w:r>
      <w:proofErr w:type="spellEnd"/>
      <w:r w:rsidR="00F026BE" w:rsidRPr="00512250">
        <w:t xml:space="preserve"> τα σχέδια επιχειρησιακής συνέχειας από το 2021, παρά τις σημαντικές αλλαγές που επηρεάζουν τους πόρους και το προσωπικό για βασικές διαδικασίες, συμπεριλαμβανομένης της εισαγωγής του SUMMA ως νέου δημοσιονομικού, λογιστικού και χρηματοοικονομικού συστήματος· επισημαίνει ότι η </w:t>
      </w:r>
      <w:proofErr w:type="spellStart"/>
      <w:r w:rsidR="00F026BE" w:rsidRPr="00512250">
        <w:t>Eurojust</w:t>
      </w:r>
      <w:proofErr w:type="spellEnd"/>
      <w:r w:rsidR="00F026BE" w:rsidRPr="00512250">
        <w:t xml:space="preserve"> δεν έχει επίσης ακολουθήσει τη συχνότητα των δοκιμών που καθορίστηκε στο τελευταίο σχέδιο επιχειρησιακής συνέχειας και επί του παρόντος δεν διαθέτει συντονισμένο και συμφωνημένο σχέδιο αποκατάστασης λειτουργίας μετά από καταστροφή για τα συστήματα ΤΠ της·</w:t>
      </w:r>
      <w:bookmarkStart w:id="11" w:name="_Hlk219798619"/>
    </w:p>
    <w:p w14:paraId="54951C38" w14:textId="5E5CF2A4" w:rsidR="00F026BE" w:rsidRPr="00512250" w:rsidRDefault="00512250" w:rsidP="00512250">
      <w:pPr>
        <w:pStyle w:val="NormalHanging12a"/>
        <w:ind w:left="570" w:hanging="570"/>
      </w:pPr>
      <w:r w:rsidRPr="00512250">
        <w:t>76.</w:t>
      </w:r>
      <w:r w:rsidRPr="00512250">
        <w:tab/>
      </w:r>
      <w:r w:rsidR="00F026BE" w:rsidRPr="00512250">
        <w:t xml:space="preserve">σημειώνει ότι η εντολή της </w:t>
      </w:r>
      <w:proofErr w:type="spellStart"/>
      <w:r w:rsidR="00F026BE" w:rsidRPr="00512250">
        <w:t>Eurojust</w:t>
      </w:r>
      <w:proofErr w:type="spellEnd"/>
      <w:r w:rsidR="00F026BE" w:rsidRPr="00512250">
        <w:t xml:space="preserve"> πρόκειται να επεκταθεί στο μέλλον, μεταξύ άλλων και σε τρίτο κράτος, και ότι ο οργανισμός χειρίζεται αυξανόμενο αριθμό ποινικών υποθέσεων ετησίως· αναγνωρίζει ότι, ενόψει αυτών των εξελίξεων, η </w:t>
      </w:r>
      <w:proofErr w:type="spellStart"/>
      <w:r w:rsidR="00F026BE" w:rsidRPr="00512250">
        <w:t>Eurojust</w:t>
      </w:r>
      <w:proofErr w:type="spellEnd"/>
      <w:r w:rsidR="00F026BE" w:rsidRPr="00512250">
        <w:t xml:space="preserve"> πρέπει να αυξήσει τα επίπεδα στελέχωσής της, προκειμένου να διασφαλιστεί η ολοκληρωμένη κάλυψη των υποθέσεων και η αδιάλειπτη συνέχεια των δραστηριοτήτων της· αναγνωρίζει επίσης ότι θα πρέπει να διατεθεί αντίστοιχη χρηματοδότηση·</w:t>
      </w:r>
      <w:bookmarkEnd w:id="11"/>
    </w:p>
    <w:p w14:paraId="77686EFA" w14:textId="62291D7B" w:rsidR="00F026BE" w:rsidRPr="00512250" w:rsidRDefault="00512250" w:rsidP="00512250">
      <w:pPr>
        <w:pStyle w:val="NormalHanging12a"/>
        <w:ind w:left="570" w:hanging="570"/>
      </w:pPr>
      <w:r w:rsidRPr="00512250">
        <w:t>77.</w:t>
      </w:r>
      <w:r w:rsidRPr="00512250">
        <w:tab/>
      </w:r>
      <w:r w:rsidR="00F026BE" w:rsidRPr="00512250">
        <w:t xml:space="preserve">σημειώνει, επιπλέον, την παρατήρηση του Ελεγκτικού Συνεδρίου ότι η </w:t>
      </w:r>
      <w:proofErr w:type="spellStart"/>
      <w:r w:rsidR="00F026BE" w:rsidRPr="00512250">
        <w:t>Eurojust</w:t>
      </w:r>
      <w:proofErr w:type="spellEnd"/>
      <w:r w:rsidR="00F026BE" w:rsidRPr="00512250">
        <w:t xml:space="preserve"> δεν εξέδωσε κατάλληλη απόφαση χρηματοδότησης πριν από την έναρξη διαδικασιών σύναψης δημόσιων συμβάσεων για επιχειρησιακές δαπάνες, υπονομεύοντας τον αποτελεσματικό σχεδιασμό και την εποπτεία και παραβιάζοντας τα άρθρα 32 παράγραφος 1 και 72 παράγραφος 3 στοιχείο β) των δημοσιονομικών κανόνων της </w:t>
      </w:r>
      <w:proofErr w:type="spellStart"/>
      <w:r w:rsidR="00F026BE" w:rsidRPr="00512250">
        <w:t>Eurojust</w:t>
      </w:r>
      <w:proofErr w:type="spellEnd"/>
      <w:r w:rsidR="00F026BE" w:rsidRPr="00512250">
        <w:t xml:space="preserve">· εκφράζει την ικανοποίησή του για τη δέσμευση της </w:t>
      </w:r>
      <w:proofErr w:type="spellStart"/>
      <w:r w:rsidR="00F026BE" w:rsidRPr="00512250">
        <w:t>Eurojust</w:t>
      </w:r>
      <w:proofErr w:type="spellEnd"/>
      <w:r w:rsidR="00F026BE" w:rsidRPr="00512250">
        <w:t xml:space="preserve"> να δημοσιεύει στον </w:t>
      </w:r>
      <w:proofErr w:type="spellStart"/>
      <w:r w:rsidR="00F026BE" w:rsidRPr="00512250">
        <w:t>ιστότοπό</w:t>
      </w:r>
      <w:proofErr w:type="spellEnd"/>
      <w:r w:rsidR="00F026BE" w:rsidRPr="00512250">
        <w:t xml:space="preserve"> της εγκεκριμένο ετήσιο σχέδιο σύναψης δημόσιων συμβάσεων για όλες τις διαδικασίες, το οποίο θα καλύπτει τόσο τις επιχειρησιακές όσο και τις διοικητικές δαπάνες, αρχής γενομένης από το 2026·</w:t>
      </w:r>
    </w:p>
    <w:p w14:paraId="7C765677" w14:textId="42DAE251" w:rsidR="00F026BE" w:rsidRPr="00512250" w:rsidRDefault="00512250" w:rsidP="00512250">
      <w:pPr>
        <w:pStyle w:val="NormalHanging12a"/>
        <w:ind w:left="570" w:hanging="570"/>
      </w:pPr>
      <w:r w:rsidRPr="00512250">
        <w:t>78.</w:t>
      </w:r>
      <w:r w:rsidRPr="00512250">
        <w:tab/>
      </w:r>
      <w:r w:rsidR="00F026BE" w:rsidRPr="00512250">
        <w:t>σημειώνει ότι, τον Οκτώβριο του 2025, το Γενικό Δικαστήριο της Ευρωπαϊκής Ένωσης</w:t>
      </w:r>
      <w:r w:rsidR="00F026BE" w:rsidRPr="00512250">
        <w:rPr>
          <w:vertAlign w:val="superscript"/>
        </w:rPr>
        <w:footnoteReference w:id="411"/>
      </w:r>
      <w:r w:rsidR="00F026BE" w:rsidRPr="00512250">
        <w:t xml:space="preserve"> (</w:t>
      </w:r>
      <w:r w:rsidR="00B17933" w:rsidRPr="00512250">
        <w:t>«</w:t>
      </w:r>
      <w:r w:rsidR="00F026BE" w:rsidRPr="00512250">
        <w:t>Γενικό Δικαστήριο</w:t>
      </w:r>
      <w:r w:rsidR="00B17933" w:rsidRPr="00512250">
        <w:t>»</w:t>
      </w:r>
      <w:r w:rsidR="00F026BE" w:rsidRPr="00512250">
        <w:t xml:space="preserve">) ακύρωσε δύο αποφάσεις της </w:t>
      </w:r>
      <w:proofErr w:type="spellStart"/>
      <w:r w:rsidR="00F026BE" w:rsidRPr="00512250">
        <w:t>Eurojust</w:t>
      </w:r>
      <w:proofErr w:type="spellEnd"/>
      <w:r w:rsidR="00F026BE" w:rsidRPr="00512250">
        <w:t xml:space="preserve"> με τις οποίες απορρίφθηκε η αίτηση συνδρομής έκτακτου υπαλλήλου λόγω εικαζόμενης ψυχολογικής παρενόχλησης από δέκα συναδέλφους, συμπεριλαμβανομένου του διοικητικού διευθυντή του· γνωρίζει ότι το Ελεγκτικό Συνέδριο αποφάνθηκε ότι η </w:t>
      </w:r>
      <w:proofErr w:type="spellStart"/>
      <w:r w:rsidR="00F026BE" w:rsidRPr="00512250">
        <w:t>Eurojust</w:t>
      </w:r>
      <w:proofErr w:type="spellEnd"/>
      <w:r w:rsidR="00F026BE" w:rsidRPr="00512250">
        <w:t xml:space="preserve"> παραβίασε το καθήκον επιμέλειας που υπέχει δυνάμει του άρθρου 24 του κανονισμού υπηρεσιακής κατάστασης, διαχωρίζοντας την έρευνα του εν λόγω μέλους </w:t>
      </w:r>
      <w:r w:rsidR="00F026BE" w:rsidRPr="00512250">
        <w:lastRenderedPageBreak/>
        <w:t>του προσωπικού σε δύο χωριστές διοικητικές διαδικασίες και, ως εκ τούτου, παραλείποντας να διενεργήσει ολιστική, συστηματική έρευνα των αλληλένδετων καταγγελιών για παρενόχληση· σημειώνει ότι, ενώ το Ελεγκτικό Συνέδριο ακύρωσε τις αποφάσεις που επέτρεπαν την ορθή επαναξιολόγηση, απέρριψε τις αξιώσεις αποζημίωσης·</w:t>
      </w:r>
    </w:p>
    <w:p w14:paraId="62E017ED" w14:textId="562E21FE" w:rsidR="00F026BE" w:rsidRPr="00512250" w:rsidRDefault="00512250" w:rsidP="00512250">
      <w:pPr>
        <w:pStyle w:val="NormalHanging12a"/>
        <w:ind w:left="570" w:hanging="570"/>
        <w:rPr>
          <w:bCs/>
        </w:rPr>
      </w:pPr>
      <w:r w:rsidRPr="00512250">
        <w:rPr>
          <w:bCs/>
        </w:rPr>
        <w:t>79.</w:t>
      </w:r>
      <w:r w:rsidRPr="00512250">
        <w:rPr>
          <w:bCs/>
        </w:rPr>
        <w:tab/>
      </w:r>
      <w:r w:rsidR="00F026BE" w:rsidRPr="00512250">
        <w:t>επισημαίνει ότι θα πρέπει να αναπτυχθούν εσωτερικοί μηχανισμοί εντός των οργανισμών για τη διασφάλιση τόσο της ορθής εσωτερικής διεκπεραίωσης των καταγγελιών όσο και της πρόληψης περιστατικών, συμπεριλαμβανομένων περιπτώσεων ψυχολογικής</w:t>
      </w:r>
      <w:r w:rsidR="00FC7C15" w:rsidRPr="00512250">
        <w:t xml:space="preserve"> και σεξουαλικής</w:t>
      </w:r>
      <w:r w:rsidR="00F026BE" w:rsidRPr="00512250">
        <w:t xml:space="preserve"> παρενόχλησης, ιδίως όταν εμπλέκονται πολλά μέρη·</w:t>
      </w:r>
    </w:p>
    <w:p w14:paraId="4A02D350" w14:textId="6CA02165" w:rsidR="00F026BE" w:rsidRPr="00512250" w:rsidRDefault="00512250" w:rsidP="00512250">
      <w:pPr>
        <w:pStyle w:val="NormalHanging12a"/>
        <w:ind w:left="570" w:hanging="570"/>
      </w:pPr>
      <w:r w:rsidRPr="00512250">
        <w:t>80.</w:t>
      </w:r>
      <w:r w:rsidRPr="00512250">
        <w:tab/>
      </w:r>
      <w:r w:rsidR="00F026BE" w:rsidRPr="00512250">
        <w:t>σημειώνει την παρατήρηση του Ελεγκτικού Συνεδρίου ότι η Ευρωπόλ επέστρεψε παράτυπα τον φόρο προστιθέμενης αξίας (ΦΠΑ) στο πλαίσιο επιδοτήσεων λειτουργίας που καταβλήθηκαν στις εθνικές αστυνομικές δυνάμεις που ενεργούν ως δημόσιες αρχές, σε αντίθεση με το άρθρο 186 παράγραφος 4 στοιχείο γ) του δημοσιονομικού κανονισμού, το οποίο δεν επιτρέπει την επιστροφή του ΦΠΑ σε δημόσιους φορείς που ενεργούν υπό την ιδιότητα αυτή· λαμβάνει υπό σημείωση την εξήγηση της Ευρωπόλ ότι ακολούθησε τις κατευθυντήριες γραμμές της Επιτροπής εκείνη την περίοδο, οι οποίες επέτρεψαν να θεωρηθεί ο ΦΠΑ επιλέξιμος στο πλαίσιο επιχειρησιακών επιδοτήσεων, και εκφράζει την ικανοποίησή του για την απόφαση να εξαιρεθεί ο ΦΠΑ από όλες τις νέες συμφωνίες επιχορήγησης που δρομολογήθηκαν έως το τέλος του 2024·</w:t>
      </w:r>
    </w:p>
    <w:p w14:paraId="69717356" w14:textId="49DADEBF" w:rsidR="00F026BE" w:rsidRPr="00512250" w:rsidRDefault="00512250" w:rsidP="00512250">
      <w:pPr>
        <w:pStyle w:val="NormalHanging12a"/>
        <w:ind w:left="570" w:hanging="570"/>
      </w:pPr>
      <w:r w:rsidRPr="00512250">
        <w:t>81.</w:t>
      </w:r>
      <w:r w:rsidRPr="00512250">
        <w:tab/>
      </w:r>
      <w:r w:rsidR="00F026BE" w:rsidRPr="00512250">
        <w:t xml:space="preserve">εκφράζει την ικανοποίησή του για το γεγονός ότι οι μηχανισμοί των επιχειρησιακών ειδικών ομάδων και των κοινών ομάδων έρευνας της Ευρωπόλ διαδραμάτισαν καθοριστικό ρόλο στην εξάρθρωση της πλατφόρμας κρυπτογραφημένης επικοινωνίας </w:t>
      </w:r>
      <w:proofErr w:type="spellStart"/>
      <w:r w:rsidR="00F026BE" w:rsidRPr="00512250">
        <w:t>Matrix</w:t>
      </w:r>
      <w:proofErr w:type="spellEnd"/>
      <w:r w:rsidR="00F026BE" w:rsidRPr="00512250">
        <w:t xml:space="preserve">, αποδεικνύοντας τους συμπληρωματικούς, αλλά διακριτούς ρόλους τους στην καταπολέμηση του διακρατικού οργανωμένου εγκλήματος· σημειώνει ότι η επιχείρηση ξεκίνησε ως επιχειρησιακή ειδική ομάδα τον Ιούνιο του 2024 μεταξύ των Κάτω Χωρών, της Γαλλίας, της Λιθουανίας, της Ιταλίας και της Ισπανίας, διευκολύνοντας την ανταλλαγή πληροφοριών και την παρακολούθηση εγκληματικών δραστηριοτήτων· επισημαίνει ότι η μετάβαση σε κοινή ομάδα έρευνας στο πλαίσιο της </w:t>
      </w:r>
      <w:proofErr w:type="spellStart"/>
      <w:r w:rsidR="00F026BE" w:rsidRPr="00512250">
        <w:t>Eurojust</w:t>
      </w:r>
      <w:proofErr w:type="spellEnd"/>
      <w:r w:rsidR="00F026BE" w:rsidRPr="00512250">
        <w:t xml:space="preserve"> κατέστησε δυνατό τον επίσημο συντονισμό των ερευνών, με αποτέλεσμα συλλήψεις, κατασχέσεις και την αποκρυπτογράφηση 2,3 εκατομμυρίων μηνυμάτων σε 33 γλώσσες· παρατηρεί ότι οι γερμανικές αρχές παρείχαν τεχνική υποστήριξη, ενώ η ισπανική, η γαλλική και η ολλανδική αστυνομία συνεργάστηκαν καθ’ όλη τη διάρκεια της έρευνας· είναι της άποψης ότι η υπόθεση αυτή υπογραμμίζει την αποτελεσματικότητα της διασυνοριακής συνεργασίας όσον αφορά την εξάρθρωση παράνομων δικτύων και την ανάγκη για συνεχείς επενδύσεις σε ικανότητες επιβολής του νόμου για την αντιμετώπιση των εξελισσόμενων εγκληματικών τακτικών·</w:t>
      </w:r>
    </w:p>
    <w:p w14:paraId="40628AD3" w14:textId="21EADADC" w:rsidR="00F026BE" w:rsidRPr="00512250" w:rsidRDefault="00512250" w:rsidP="00512250">
      <w:pPr>
        <w:pStyle w:val="NormalHanging12a"/>
        <w:ind w:left="570" w:hanging="570"/>
      </w:pPr>
      <w:r w:rsidRPr="00512250">
        <w:t>82.</w:t>
      </w:r>
      <w:r w:rsidRPr="00512250">
        <w:tab/>
      </w:r>
      <w:r w:rsidR="00F026BE" w:rsidRPr="00512250">
        <w:t>σημειώνει ότι, τον Μάιο του 2025, η απαλλαγή του Οργανισμού της Ευρωπαϊκής Ένωσης για το Άσυλο (EUAA) αναβλήθηκε λόγω πορισμάτων της OLAF σχετικά με τη διαχείριση και τη σταθερότητα του· σημειώνει ότι, σύμφωνα με εμπιστευτική έρευνα της OLAF, τα ανώτερα διοικητικά στελέχη του EUAA παραβίασαν τον κανονισμό υπηρεσιακής κατάστασης ενώ οι ερευνητές της OLAF επισήμαναν ότι τέτοιου είδους πρακτικές πρόσληψης παραβιάζουν τον κανονισμό υπηρεσιακής κατάστασης της Ένωσης·</w:t>
      </w:r>
    </w:p>
    <w:p w14:paraId="1F749FAA" w14:textId="5BA9F362" w:rsidR="00F026BE" w:rsidRPr="00512250" w:rsidRDefault="00512250" w:rsidP="00512250">
      <w:pPr>
        <w:pStyle w:val="NormalHanging12a"/>
        <w:ind w:left="570" w:hanging="570"/>
      </w:pPr>
      <w:r w:rsidRPr="00512250">
        <w:t>83.</w:t>
      </w:r>
      <w:r w:rsidRPr="00512250">
        <w:tab/>
      </w:r>
      <w:r w:rsidR="00F026BE" w:rsidRPr="00512250">
        <w:t xml:space="preserve">λαμβάνει υπόψη την έκθεση προόδου του EUAA, της 31ης Οκτωβρίου 2025, σχετικά με την εφαρμογή διορθωτικών μέτρων, όπως συμφωνήθηκε μεταξύ της εκτελεστικής διευθύντριας και του διοικητικού συμβουλίου, σε συνέχεια του ψηφίσματος του </w:t>
      </w:r>
      <w:r w:rsidR="00F026BE" w:rsidRPr="00512250">
        <w:lastRenderedPageBreak/>
        <w:t>Κοινοβουλίου· σημειώνει ότι το διοικητικό συμβούλιο εξετάζει τις παρατηρήσεις του Κοινοβουλίου σύμφωνα με τις διαδικασίες του και θα επανεξετάσει την πρόοδο όσον αφορά τα εκκρεμή μέτρα κατά τη συνεδρίασή του τον Νοέμβριο του 2025· παροτρύνει τον Οργανισμό να αποσαφηνίσει πλήρως όλα τα εκκρεμή ζητήματα, να εφαρμόσει τις συστάσεις της OLAF με αξιόπιστο και διαφανή τρόπο και να θεσπίσει ισχυρούς μηχανισμούς εσωτερικού ελέγχου, δεοντολογικής εποπτείας και λογοδοσίας· καλεί τον Οργανισμό να ενημερώσει την αρμόδια για την απαλλαγή αρχή σχετικά με τυχόν διορθωτικά μέτρα που έλαβε χωρίς αδικαιολόγητη καθυστέρηση· τονίζει ότι η ολοκλήρωση των ερευνών της OLAF δεν συνιστά από μόνη της περάτωση των αστοχιών διαχείρισης· επαναλαμβάνει ότι η αρμόδια για την απαλλαγή αρχή διατηρεί πλήρη δικαιώματα εποπτείας έως ότου διορθωθούν και επαληθευτούν πλήρως οι διαρθρωτικές αδυναμίες στη διαχείριση, τη διαφάνεια και τον χειρισμό των συγκρούσεων συμφερόντων·</w:t>
      </w:r>
    </w:p>
    <w:p w14:paraId="581DFC85" w14:textId="0A32D88B" w:rsidR="00F026BE" w:rsidRPr="00512250" w:rsidRDefault="00512250" w:rsidP="00512250">
      <w:pPr>
        <w:pStyle w:val="NormalHanging12a"/>
        <w:ind w:left="570" w:hanging="570"/>
      </w:pPr>
      <w:r w:rsidRPr="00512250">
        <w:t>84.</w:t>
      </w:r>
      <w:r w:rsidRPr="00512250">
        <w:tab/>
      </w:r>
      <w:r w:rsidR="00F026BE" w:rsidRPr="00512250">
        <w:t>σημειώνει ότι, ενώ το 2024 πραγματοποιήθηκαν βελτιώσεις για την ενίσχυση του δεοντολογικού πλαισίου του Οργανισμού, της ευαισθητοποίησης του προσωπικού και των εσωτερικών διαδικασιών σύγκρουσης συμφερόντων, η διαρθρωτική σύγκρουση συμφερόντων που εντόπισε η OLAF όσον αφορά τις καταγγελίες κατά της εκτελεστικής διευθύντριας δεν είχε ακόμη αντιμετωπιστεί, καθώς η νομική μονάδα που είναι αρμόδια για την προετοιμασία τέτοιων υποθέσεων εξακολουθούσε να λειτουργεί υπό την άμεση εποπτεία της εκτελεστικής διευθύντριας, υπονομεύοντας την ανεξαρτησία της διαδικασίας καταγγελιών· σημειώνει ότι τα περισσότερα διορθωτικά μέτρα έχουν προγραμματιστεί για το 2025 και το 2026, συμπεριλαμβανομένων οργανωτικών αλλαγών, προγράμματος βελτιστοποίησης, κατάρτισης για το προσωπικό και τα διευθυντικά στελέχη, βελτιώσεων στα έγγραφα διακυβέρνησης, ενισχυμένης διαφάνειας στην αναφορά παρατυπιών, επανεξέτασης της εσωτερικής καθοδήγησης σχετικά με τις αιτήσεις και τις καταγγελίες δυνάμει του άρθρου 90 του κανονισμού υπηρεσιακής κατάστασης, ενισχυμένης συνεργασίας με τη ΓΔ HR για τον χειρισμό καταγγελιών και επανεξέτασης των διαδικασιών για τις αιτήσεις συνδρομής δυνάμει του άρθρου 24 του κανονισμού υπηρεσιακής κατάστασης·</w:t>
      </w:r>
    </w:p>
    <w:p w14:paraId="116D6A43" w14:textId="75E5C13B" w:rsidR="00F026BE" w:rsidRPr="00512250" w:rsidRDefault="00512250" w:rsidP="00512250">
      <w:pPr>
        <w:pStyle w:val="NormalHanging12a"/>
        <w:ind w:left="570" w:hanging="570"/>
      </w:pPr>
      <w:r w:rsidRPr="00512250">
        <w:t>85.</w:t>
      </w:r>
      <w:r w:rsidRPr="00512250">
        <w:tab/>
      </w:r>
      <w:r w:rsidR="00F026BE" w:rsidRPr="00512250">
        <w:t>τονίζει περαιτέρω την ανάγκη για συνεχή επαγρύπνηση όσον αφορά τα ποσοστά εναλλαγής και ικανοποίησης του προσωπικού του EUAA, την αυστηρή πρόληψη κάθε περίπτωσης νεποτισμού ή ευνοιοκρατίας, την πλήρη διαφάνεια και αξιοκρατικές διαδικασίες στις προσλήψεις και την εξέλιξη της σταδιοδρομίας·</w:t>
      </w:r>
    </w:p>
    <w:p w14:paraId="2D924E0E" w14:textId="46884C59" w:rsidR="00F026BE" w:rsidRPr="00512250" w:rsidRDefault="00512250" w:rsidP="00512250">
      <w:pPr>
        <w:pStyle w:val="NormalHanging12a"/>
        <w:ind w:left="570" w:hanging="570"/>
      </w:pPr>
      <w:r w:rsidRPr="00512250">
        <w:t>86.</w:t>
      </w:r>
      <w:r w:rsidRPr="00512250">
        <w:tab/>
      </w:r>
      <w:r w:rsidR="00F026BE" w:rsidRPr="00512250">
        <w:t>διατηρεί το δικαίωμα να θέτει όρους όσον αφορά μελλοντικές αποφάσεις απαλλαγής ή να τις αναβάλλει σε περίπτωση που οι οργανισμοί δεν υλοποιήσουν πλήρεις και επαληθεύσιμες διαρθρωτικές μεταρρυθμίσεις έπειτα από σοβαρές διαπιστώσεις·</w:t>
      </w:r>
    </w:p>
    <w:p w14:paraId="60C92E06" w14:textId="77777777" w:rsidR="00F026BE" w:rsidRPr="00512250" w:rsidRDefault="00F026BE" w:rsidP="00F026BE">
      <w:pPr>
        <w:pStyle w:val="NormalHanging12a"/>
        <w:rPr>
          <w:i/>
          <w:iCs/>
        </w:rPr>
      </w:pPr>
      <w:r w:rsidRPr="00512250">
        <w:rPr>
          <w:i/>
        </w:rPr>
        <w:t>Συστάσεις</w:t>
      </w:r>
    </w:p>
    <w:p w14:paraId="20F78C33" w14:textId="6430FDDF" w:rsidR="00F026BE" w:rsidRPr="00512250" w:rsidRDefault="00512250" w:rsidP="00512250">
      <w:pPr>
        <w:pStyle w:val="NormalHanging12a"/>
        <w:ind w:left="570" w:hanging="570"/>
      </w:pPr>
      <w:r w:rsidRPr="00512250">
        <w:t>87.</w:t>
      </w:r>
      <w:r w:rsidRPr="00512250">
        <w:tab/>
      </w:r>
      <w:r w:rsidR="00F026BE" w:rsidRPr="00512250">
        <w:t>καλεί τους οργανισμούς της ΕΕ να δώσουν συνέχεια στις παρατηρήσεις του Ελεγκτικού Συνεδρίου, και συγκεκριμένα:</w:t>
      </w:r>
    </w:p>
    <w:p w14:paraId="53CA4935" w14:textId="77777777" w:rsidR="00F026BE" w:rsidRPr="00512250" w:rsidRDefault="00F026BE" w:rsidP="00F026BE">
      <w:pPr>
        <w:pStyle w:val="NormalHanging12a"/>
        <w:ind w:left="1134"/>
      </w:pPr>
      <w:r w:rsidRPr="00512250">
        <w:t>i)</w:t>
      </w:r>
      <w:r w:rsidRPr="00512250">
        <w:tab/>
        <w:t>καλεί το EIGE να ενισχύσει τις πρακτικές σύναψης δημόσιων συμβάσεων με την επανεξέταση υπερβολικά περιοριστικών κριτηρίων υποβολής προσφορών, την ενίσχυση των διαδικασιών αξιολόγησης για την αξιολόγηση των ικανοτήτων διαχείρισης της ομάδας των προσφερόντων και την εφαρμογή αυστηρής επαλήθευσης των συμβάσεων βάσει τιμής ανά ανθρωποώρα για την πρόληψη των αχρεωστήτως καταβληθέντων ποσών·</w:t>
      </w:r>
    </w:p>
    <w:p w14:paraId="12675770" w14:textId="77777777" w:rsidR="00F026BE" w:rsidRPr="00512250" w:rsidRDefault="00F026BE" w:rsidP="00F026BE">
      <w:pPr>
        <w:pStyle w:val="NormalHanging12a"/>
        <w:ind w:left="1134"/>
      </w:pPr>
      <w:proofErr w:type="spellStart"/>
      <w:r w:rsidRPr="00512250">
        <w:lastRenderedPageBreak/>
        <w:t>ii</w:t>
      </w:r>
      <w:proofErr w:type="spellEnd"/>
      <w:r w:rsidRPr="00512250">
        <w:t>)</w:t>
      </w:r>
      <w:r w:rsidRPr="00512250">
        <w:tab/>
        <w:t xml:space="preserve">καλεί τον </w:t>
      </w:r>
      <w:proofErr w:type="spellStart"/>
      <w:r w:rsidRPr="00512250">
        <w:t>eu</w:t>
      </w:r>
      <w:proofErr w:type="spellEnd"/>
      <w:r w:rsidRPr="00512250">
        <w:t xml:space="preserve">-LISA να αντιμετωπίσει τις συστημικές αδυναμίες στον τομέα των δημόσιων συμβάσεων, συμπεριλαμβανομένων των παράτυπων συμβάσεων μίσθωσης και των ακατάλληλων τροποποιήσεων των οικονομικών προσφορών, ενισχύοντας παράλληλα τη διαφάνεια και τον μετριασμό των κινδύνων στις αξιολογήσεις των προσφορών· καλεί τον </w:t>
      </w:r>
      <w:proofErr w:type="spellStart"/>
      <w:r w:rsidRPr="00512250">
        <w:t>eu</w:t>
      </w:r>
      <w:proofErr w:type="spellEnd"/>
      <w:r w:rsidRPr="00512250">
        <w:t>-LISA να παράσχει λεπτομερείς πληροφορίες σχετικά με τη διαφορά που προκύπτει από τις καθυστερήσεις στην εφαρμογή του συστήματος εισόδου/εξόδου (ΣΕΕ), ιδίως όσον αφορά την εσωτερική αξιολόγηση που οδήγησε τον Οργανισμό να αναλάβει δαπάνες αποκατάστασης και ανανέωσης της συντήρησης ύψους 6,6 εκατομμυρίων EUR την περίοδο 2023</w:t>
      </w:r>
      <w:r w:rsidRPr="00512250">
        <w:noBreakHyphen/>
        <w:t xml:space="preserve">2024 βάσει της σύμβασης-πλαισίου για τις διατομεακές λειτουργικές υπηρεσίες, παρά το γεγονός ότι οι δαπάνες αυτές καταλογίζονται συμβατικά στον ανάδοχο του ΣΕΕ· ζητεί διευκρινίσεις σχετικά με τους λόγους για τους οποίους δεν κινήθηκαν νομικές διαδικασίες έως το τέλος του 2024 και σχετικά με το αν διερευνήθηκαν εναλλακτικές δράσεις επίλυσης διαφορών ή αποκατάστασης· συνιστά στον </w:t>
      </w:r>
      <w:proofErr w:type="spellStart"/>
      <w:r w:rsidRPr="00512250">
        <w:t>eu</w:t>
      </w:r>
      <w:proofErr w:type="spellEnd"/>
      <w:r w:rsidRPr="00512250">
        <w:t xml:space="preserve">-LISA να ενισχύσει τους μηχανισμούς του για την επιβολή των συμβάσεων και την επίλυση διαφορών, να θεσπίσει σαφείς διαδικασίες κλιμάκωσης και να διασφαλίσει την ταχεία και διαφανή αντιμετώπιση παρόμοιων διαφορών, προκειμένου να διασφαλιστούν τα οικονομικά συμφέροντα και η επιχειρησιακή συνέχεια του Οργανισμού· ενθαρρύνει τον </w:t>
      </w:r>
      <w:proofErr w:type="spellStart"/>
      <w:r w:rsidRPr="00512250">
        <w:t>eu</w:t>
      </w:r>
      <w:proofErr w:type="spellEnd"/>
      <w:r w:rsidRPr="00512250">
        <w:t>-LISA να γνωμοδοτήσει σχετικά με τις προϋποθέσεις υπό τις οποίες η εκ νέου προκήρυξη διαγωνισμού μπορεί να μην θεωρείται κατάλληλη και σε ποιες περιπτώσεις είναι συνετό να διατηρηθεί ο ίδιος πάροχος/οι ίδιοι πάροχοι προκειμένου να διασφαλιστεί η συνέχεια των δραστηριοτήτων·</w:t>
      </w:r>
    </w:p>
    <w:p w14:paraId="21922DB8" w14:textId="77777777" w:rsidR="00F026BE" w:rsidRPr="00512250" w:rsidRDefault="00F026BE" w:rsidP="00F026BE">
      <w:pPr>
        <w:pStyle w:val="NormalHanging12a"/>
        <w:ind w:left="1134"/>
      </w:pPr>
      <w:proofErr w:type="spellStart"/>
      <w:r w:rsidRPr="00512250">
        <w:t>iii</w:t>
      </w:r>
      <w:proofErr w:type="spellEnd"/>
      <w:r w:rsidRPr="00512250">
        <w:t>)</w:t>
      </w:r>
      <w:r w:rsidRPr="00512250">
        <w:tab/>
        <w:t xml:space="preserve">καλεί τη </w:t>
      </w:r>
      <w:proofErr w:type="spellStart"/>
      <w:r w:rsidRPr="00512250">
        <w:t>Eurojust</w:t>
      </w:r>
      <w:proofErr w:type="spellEnd"/>
      <w:r w:rsidRPr="00512250">
        <w:t xml:space="preserve"> να επικαιροποιήσει επειγόντως τα σχέδια επιχειρησιακής συνέχειας εντός έξι μηνών, ώστε να αντικατοπτρίζουν τις τρέχουσες δραστηριότητες, συμπεριλαμβανομένης της εφαρμογής του SUMMA· την καλεί επίσης να διενεργεί τακτικές δοκιμές αποκατάστασης μετά από καταστροφή και να εκδίδει κατάλληλες αποφάσεις χρηματοδότησης πριν από τις διαδικασίες σύναψης δημόσιων συμβάσεων· ζητεί από την </w:t>
      </w:r>
      <w:proofErr w:type="spellStart"/>
      <w:r w:rsidRPr="00512250">
        <w:t>Eurojust</w:t>
      </w:r>
      <w:proofErr w:type="spellEnd"/>
      <w:r w:rsidRPr="00512250">
        <w:t xml:space="preserve"> να παρουσιάσει τα νέα της σχέδια για την επιχειρησιακή συνέχεια στην έκθεση παρακολούθησης της απαλλαγής</w:t>
      </w:r>
      <w:bookmarkStart w:id="13" w:name="_Hlk219798582"/>
      <w:r w:rsidRPr="00512250">
        <w:t>·</w:t>
      </w:r>
      <w:bookmarkEnd w:id="13"/>
    </w:p>
    <w:p w14:paraId="7FF0B100" w14:textId="56430559" w:rsidR="00F026BE" w:rsidRPr="00512250" w:rsidRDefault="00512250" w:rsidP="00512250">
      <w:pPr>
        <w:pStyle w:val="NormalHanging12a"/>
        <w:ind w:left="570" w:hanging="570"/>
      </w:pPr>
      <w:r w:rsidRPr="00512250">
        <w:t>88.</w:t>
      </w:r>
      <w:r w:rsidRPr="00512250">
        <w:tab/>
      </w:r>
      <w:r w:rsidR="00F026BE" w:rsidRPr="00512250">
        <w:t>Επιπλέον, καλεί τους ακόλουθους οργανισμούς της ΕΕ:</w:t>
      </w:r>
    </w:p>
    <w:p w14:paraId="4FC33FF0" w14:textId="77777777" w:rsidR="00F026BE" w:rsidRPr="00512250" w:rsidRDefault="00F026BE" w:rsidP="00F026BE">
      <w:pPr>
        <w:pStyle w:val="NormalHanging12a"/>
        <w:ind w:left="1134"/>
      </w:pPr>
      <w:r w:rsidRPr="00512250">
        <w:t>i)</w:t>
      </w:r>
      <w:r w:rsidRPr="00512250">
        <w:tab/>
        <w:t>τον ΕΑΑ και όλους τους οργανισμούς της ΕΕ να ενισχύσουν επειγόντως την εσωτερική τους διακυβέρνηση στον τομέα της κυβερνοασφάλειας, να διαθέσουν επαρκείς και σταθερούς πόρους, να ενισχύσουν τις ικανότητες εντοπισμού και αντιμετώπισης και να λάβουν συγκεκριμένα μέτρα για μια προσέγγιση μηδενικής εμπιστοσύνης ώστε να μειώσουν τα τρωτά σημεία και να διασφαλίσουν την ανθεκτικότητα έναντι ολοένα και πιο εξελιγμένων κυβερνοαπειλών·</w:t>
      </w:r>
    </w:p>
    <w:p w14:paraId="1078CC9B" w14:textId="77777777" w:rsidR="00F026BE" w:rsidRPr="00512250" w:rsidRDefault="00F026BE" w:rsidP="00F026BE">
      <w:pPr>
        <w:pStyle w:val="NormalHanging12a"/>
        <w:ind w:left="1134"/>
      </w:pPr>
      <w:proofErr w:type="spellStart"/>
      <w:r w:rsidRPr="00512250">
        <w:t>ii</w:t>
      </w:r>
      <w:proofErr w:type="spellEnd"/>
      <w:r w:rsidRPr="00512250">
        <w:t>)</w:t>
      </w:r>
      <w:r w:rsidRPr="00512250">
        <w:tab/>
        <w:t xml:space="preserve">την </w:t>
      </w:r>
      <w:proofErr w:type="spellStart"/>
      <w:r w:rsidRPr="00512250">
        <w:t>Ευρωπόλ</w:t>
      </w:r>
      <w:proofErr w:type="spellEnd"/>
      <w:r w:rsidRPr="00512250">
        <w:t xml:space="preserve"> να συνεχίσει να επαγρυπνεί όσον αφορά τη διασφάλιση της συμμόρφωσης με τους κανόνες επιλεξιμότητας σε μελλοντικούς κύκλους χρηματοδότησης, μετά την ταχεία λήψη διορθωτικών μέτρων σχετικά με τις επιστροφές ΦΠΑ· παροτρύνει την Επιτροπή να εκδώσει σαφείς κατευθυντήριες γραμμές σχετικά με την εφαρμογή του άρθρου 186 παράγραφος 4 στοιχείο γ) του δημοσιονομικού κανονισμού, δεδομένου ότι ζητήματα σχετικά με την επιλεξιμότητα του ΦΠΑ έχουν προκύψει και σε άλλες περιπτώσεις κατά τα προηγούμενα έτη, γεγονός που καταδεικνύει ορισμένες ασάφειες·</w:t>
      </w:r>
    </w:p>
    <w:p w14:paraId="054E17CD" w14:textId="77777777" w:rsidR="00F026BE" w:rsidRPr="00512250" w:rsidRDefault="00F026BE" w:rsidP="00F026BE">
      <w:pPr>
        <w:pStyle w:val="NormalHanging12a"/>
        <w:ind w:left="1134"/>
      </w:pPr>
      <w:proofErr w:type="spellStart"/>
      <w:r w:rsidRPr="00512250">
        <w:lastRenderedPageBreak/>
        <w:t>iii</w:t>
      </w:r>
      <w:proofErr w:type="spellEnd"/>
      <w:r w:rsidRPr="00512250">
        <w:t>)</w:t>
      </w:r>
      <w:r w:rsidRPr="00512250">
        <w:tab/>
        <w:t>τον EUAA να διασφαλίσει την αυστηρή παρακολούθηση των οροσήμων, ιδίως εκείνων που έχουν προγραμματιστεί για το 2026 και αποτελούν τον πυρήνα των μεταρρυθμιστικών προσπαθειών, και να υποβάλει έκθεση στην αρμόδια για την απαλλαγή αρχή σχετικά με την εφαρμογή διορθωτικών μέτρων·</w:t>
      </w:r>
    </w:p>
    <w:p w14:paraId="1FF3BD82" w14:textId="77777777" w:rsidR="00F026BE" w:rsidRPr="00512250" w:rsidRDefault="00F026BE" w:rsidP="00F026BE">
      <w:pPr>
        <w:pStyle w:val="NormalHanging12a"/>
        <w:ind w:left="1134"/>
      </w:pPr>
      <w:proofErr w:type="spellStart"/>
      <w:r w:rsidRPr="00512250">
        <w:t>iv</w:t>
      </w:r>
      <w:proofErr w:type="spellEnd"/>
      <w:r w:rsidRPr="00512250">
        <w:t>)</w:t>
      </w:r>
      <w:r w:rsidRPr="00512250">
        <w:tab/>
        <w:t xml:space="preserve">τους οργανισμούς της ΕΕ και ιδίως τη </w:t>
      </w:r>
      <w:proofErr w:type="spellStart"/>
      <w:r w:rsidRPr="00512250">
        <w:t>Eurojust</w:t>
      </w:r>
      <w:proofErr w:type="spellEnd"/>
      <w:r w:rsidRPr="00512250">
        <w:t xml:space="preserve"> να θεσπίσουν σαφείς κατευθυντήριες γραμμές για τον χειρισμό πολύπλοκων υποθέσεων παρενόχλησης και να διασφαλίσουν τη συνεπή εφαρμογή του άρθρου 24 του κανονισμού υπηρεσιακής κατάστασης·</w:t>
      </w:r>
    </w:p>
    <w:p w14:paraId="64B9FA3E" w14:textId="77777777" w:rsidR="00F026BE" w:rsidRPr="00512250" w:rsidRDefault="00F026BE" w:rsidP="00F026BE">
      <w:pPr>
        <w:pStyle w:val="NormalHanging12a"/>
        <w:ind w:left="1134"/>
      </w:pPr>
      <w:r w:rsidRPr="00512250">
        <w:t>v)</w:t>
      </w:r>
      <w:r w:rsidRPr="00512250">
        <w:tab/>
        <w:t>τον EUAA να εφαρμόσει αποτελεσματικό μηχανισμό υποβολής καταγγελιών για τον χειρισμό καταγγελιών, διασφαλίζοντας πλήρη αμεροληψία και αποκαθιστώντας την εμπιστοσύνη στη διαχείρισή του·</w:t>
      </w:r>
    </w:p>
    <w:p w14:paraId="4DC20A71" w14:textId="2676E1BB" w:rsidR="00F026BE" w:rsidRPr="00512250" w:rsidRDefault="00F026BE" w:rsidP="00F026BE">
      <w:pPr>
        <w:pStyle w:val="NormalHanging12a"/>
        <w:ind w:left="1134"/>
      </w:pPr>
      <w:proofErr w:type="spellStart"/>
      <w:r w:rsidRPr="00512250">
        <w:t>vi</w:t>
      </w:r>
      <w:proofErr w:type="spellEnd"/>
      <w:r w:rsidRPr="00512250">
        <w:t>)</w:t>
      </w:r>
      <w:r w:rsidRPr="00512250">
        <w:tab/>
        <w:t xml:space="preserve">τον </w:t>
      </w:r>
      <w:proofErr w:type="spellStart"/>
      <w:r w:rsidRPr="00512250">
        <w:t>Frontex</w:t>
      </w:r>
      <w:proofErr w:type="spellEnd"/>
      <w:r w:rsidRPr="00512250">
        <w:t xml:space="preserve"> να ενισχύσει τον σχεδιασμό και την εκτέλεση του προϋπολογισμού προκειμένου να διασφαλιστεί η συμμόρφωση με την αρχή της ετήσιας διάρκειας του προϋπολογισμού· τονίζει ότι η κλίμακα και η πολυπλοκότητα της εντολής του οργανισμού απαιτούν ισχυρούς εσωτερικούς μηχανισμούς και καλεί τον οργανισμό να ενισχύσει την εποπτεία των διαδικασιών σύναψης και διαχείρισης συμβάσεων· ενθαρρύνει τον </w:t>
      </w:r>
      <w:proofErr w:type="spellStart"/>
      <w:r w:rsidRPr="00512250">
        <w:t>Frontex</w:t>
      </w:r>
      <w:proofErr w:type="spellEnd"/>
      <w:r w:rsidRPr="00512250">
        <w:t xml:space="preserve"> να ενισχύσει τις διαδικασίες παρακολούθησης των διαπιστώσεων του ελέγχου και να αναφέρει μετρήσιμη πρόοδο στην αρμόδια για την απαλλαγή αρχή·</w:t>
      </w:r>
    </w:p>
    <w:p w14:paraId="28177CCD" w14:textId="39BE8B17" w:rsidR="00F026BE" w:rsidRPr="00512250" w:rsidRDefault="00F026BE" w:rsidP="00F026BE">
      <w:pPr>
        <w:pStyle w:val="NormalHanging12a"/>
        <w:ind w:left="1134"/>
      </w:pPr>
      <w:proofErr w:type="spellStart"/>
      <w:r w:rsidRPr="00512250">
        <w:t>vii</w:t>
      </w:r>
      <w:proofErr w:type="spellEnd"/>
      <w:r w:rsidRPr="00512250">
        <w:t>)</w:t>
      </w:r>
      <w:r w:rsidRPr="00512250">
        <w:tab/>
        <w:t xml:space="preserve">τη </w:t>
      </w:r>
      <w:proofErr w:type="spellStart"/>
      <w:r w:rsidRPr="00512250">
        <w:t>Eurojust</w:t>
      </w:r>
      <w:proofErr w:type="spellEnd"/>
      <w:r w:rsidRPr="00512250">
        <w:t xml:space="preserve"> να κοινοποιήσει τις μελλοντικές ανάγκες κατάρτισης προϋπολογισμού στην Επιτροπή όσον αφορά τη μελλοντική επέκταση της εντολής και ζητεί να παρασχεθεί επαρκής χρηματοδότηση και στελέχωση για την αντιμετώπιση της εν λόγω επέκτασης της εντολής·</w:t>
      </w:r>
    </w:p>
    <w:p w14:paraId="281B7F98" w14:textId="77777777" w:rsidR="00F026BE" w:rsidRPr="00512250" w:rsidRDefault="00F026BE" w:rsidP="00FC7C15">
      <w:pPr>
        <w:pStyle w:val="NormalHanging12a"/>
        <w:ind w:left="0" w:firstLine="0"/>
        <w:rPr>
          <w:b/>
          <w:bCs/>
          <w:i/>
          <w:iCs/>
        </w:rPr>
      </w:pPr>
      <w:r w:rsidRPr="00512250">
        <w:rPr>
          <w:b/>
          <w:i/>
        </w:rPr>
        <w:t>Οργανισμοί στον τομέα της απασχόλησης, της εκπαίδευσης και των κοινωνικών υποθέσεων</w:t>
      </w:r>
      <w:r w:rsidRPr="00512250">
        <w:rPr>
          <w:b/>
          <w:bCs/>
          <w:i/>
          <w:iCs/>
          <w:vertAlign w:val="superscript"/>
        </w:rPr>
        <w:footnoteReference w:id="412"/>
      </w:r>
    </w:p>
    <w:p w14:paraId="41FAA9C2" w14:textId="78FB2839" w:rsidR="00F026BE" w:rsidRPr="00512250" w:rsidRDefault="00512250" w:rsidP="00512250">
      <w:pPr>
        <w:pStyle w:val="NormalHanging12a"/>
        <w:ind w:left="570" w:hanging="570"/>
      </w:pPr>
      <w:r w:rsidRPr="00512250">
        <w:t>89.</w:t>
      </w:r>
      <w:r w:rsidRPr="00512250">
        <w:tab/>
      </w:r>
      <w:r w:rsidR="00F026BE" w:rsidRPr="00512250">
        <w:t>επισημαίνει την εσφαλμένη ταξινόμηση ενός διορθωτικού προϋπολογισμού από την ELA ως εξωτερικών εσόδων για ειδικό προορισμό, κατά παράβαση των άρθρων 6, 12, 20, 21 και 34 των δημοσιονομικών κανόνων· λαμβάνει υπόψη την απάντηση της ELA στην οποία διευκρινίζεται ότι υπήρξε καθυστέρηση των κονδυλίων και, για τον λόγο αυτό, η ELA ανακατένειμε προσωρινά τον δικό της προϋπολογισμό για να αποφύγει καθυστερήσεις πληρωμών· στη συνέχεια, καταχώρισε τα κονδύλια της Ένωσης ως εξωτερικά έσοδα, ώστε να διασφαλιστεί ότι χρησιμοποιήθηκαν μόνο για μισθούς·</w:t>
      </w:r>
    </w:p>
    <w:p w14:paraId="484F5284" w14:textId="38F3B889" w:rsidR="00F026BE" w:rsidRPr="00512250" w:rsidRDefault="00512250" w:rsidP="00512250">
      <w:pPr>
        <w:pStyle w:val="NormalHanging12a"/>
        <w:ind w:left="570" w:hanging="570"/>
        <w:rPr>
          <w:bCs/>
        </w:rPr>
      </w:pPr>
      <w:r w:rsidRPr="00512250">
        <w:rPr>
          <w:bCs/>
        </w:rPr>
        <w:t>90.</w:t>
      </w:r>
      <w:r w:rsidRPr="00512250">
        <w:rPr>
          <w:bCs/>
        </w:rPr>
        <w:tab/>
      </w:r>
      <w:r w:rsidR="00F026BE" w:rsidRPr="00512250">
        <w:t>λαμβάνει υπόψη τα συμπεράσματα της αξιολόγησης</w:t>
      </w:r>
      <w:r w:rsidR="00F026BE" w:rsidRPr="00512250">
        <w:rPr>
          <w:bCs/>
          <w:vertAlign w:val="superscript"/>
        </w:rPr>
        <w:footnoteReference w:id="413"/>
      </w:r>
      <w:r w:rsidR="00F026BE" w:rsidRPr="00512250">
        <w:t xml:space="preserve"> της ELA, στην οποία τονίζεται η ανάγκη η Αρχή να βελτιώσει το σύστημα παρακολούθησής της με βάση συγκεκριμένους, μετρήσιμους, εφικτούς, συναφείς και χρονικά προσδιορισμένους (SMART) στόχους και βασικούς δείκτες επιδόσεων· σημειώνει με ανησυχία ότι η απουσία αυτή εμπόδισε την αξιολόγηση της οικονομικής αποδοτικότητας των δραστηριοτήτων της ELA και υπονόμευσε την ποιότητα της παρακολούθησης των επιδόσεων· αναγνωρίζει ότι η ELA έχει τη δυνατότητα να ενισχύσει το σύστημα </w:t>
      </w:r>
      <w:r w:rsidR="00F026BE" w:rsidRPr="00512250">
        <w:lastRenderedPageBreak/>
        <w:t>παρακολούθησής της μέσω της εφαρμογής διαρθρωμένων προσεγγίσεων·</w:t>
      </w:r>
    </w:p>
    <w:p w14:paraId="261D6008" w14:textId="777E0787" w:rsidR="00F026BE" w:rsidRPr="00512250" w:rsidRDefault="00512250" w:rsidP="00512250">
      <w:pPr>
        <w:pStyle w:val="NormalHanging12a"/>
        <w:ind w:left="570" w:hanging="570"/>
        <w:rPr>
          <w:bCs/>
        </w:rPr>
      </w:pPr>
      <w:r w:rsidRPr="00512250">
        <w:rPr>
          <w:bCs/>
        </w:rPr>
        <w:t>91.</w:t>
      </w:r>
      <w:r w:rsidRPr="00512250">
        <w:rPr>
          <w:bCs/>
        </w:rPr>
        <w:tab/>
      </w:r>
      <w:r w:rsidR="00F026BE" w:rsidRPr="00512250">
        <w:t>σημειώνει με ανησυχία ότι η ELA εξακολουθεί να βασίζεται υπερβολικά στους έκτακτους υπαλλήλους, τους αποσπασμένους εθνικούς εμπειρογνώμονες και το προσωρινό προσωπικό για βασικές επιχειρησιακές και οικονομικές λειτουργίες· παρατηρεί ότι, στο τέλος του 2022, οι έκτακτοι υπάλληλοι αντιπροσώπευαν το 58 % του εργατικού δυναμικού της ELA και, παρά την ελαφρά μείωση, το ποσοστό παρέμεινε πολύ υψηλό στο 47 % στο τέλος τόσο του 2023 όσο και του 2024· σημειώνει περαιτέρω ότι, σε αντίθεση με το άρθρο 41 παράγραφος 1 των δημοσιονομικών κανόνων της ELA, η Αρχή βασίστηκε σε προσωρινό υπάλληλο και ασκούμενο για την εκτέλεση βασικών οικονομικών δραστηριοτήτων που σχετίζονται με την εκτέλεση του προϋπολογισμού μεταξύ Νοεμβρίου 2022 και Μαρτίου 2023, πρακτική που συνεχίστηκε το 2023 και συνεχίστηκε το 2024 με τη συνεχιζόμενη χρήση προσωρινών υπαλλήλων για βασικά οικονομικά καθήκοντα·</w:t>
      </w:r>
    </w:p>
    <w:p w14:paraId="4FF9D0B9" w14:textId="0E33E251" w:rsidR="00F026BE" w:rsidRPr="00512250" w:rsidRDefault="00512250" w:rsidP="00512250">
      <w:pPr>
        <w:pStyle w:val="NormalHanging12a"/>
        <w:ind w:left="570" w:hanging="570"/>
        <w:rPr>
          <w:bCs/>
        </w:rPr>
      </w:pPr>
      <w:r w:rsidRPr="00512250">
        <w:rPr>
          <w:bCs/>
        </w:rPr>
        <w:t>92.</w:t>
      </w:r>
      <w:r w:rsidRPr="00512250">
        <w:rPr>
          <w:bCs/>
        </w:rPr>
        <w:tab/>
      </w:r>
      <w:r w:rsidR="00F026BE" w:rsidRPr="00512250">
        <w:t>λαμβάνει υπόψη τις εξηγήσεις που παρασχέθηκαν κατά τη διάρκεια της ακρόασης που πραγματοποιήθηκε την 1η Δεκεμβρίου 2025 από τον εκτελεστικό διευθυντή της ELA σχετικά με το διαρθρωτικά υψηλό ποσοστό των έκτακτων υπαλλήλων, ιδίως των αποσπασμένων εθνικών εμπειρογνωμόνων, οι οποίοι επί του παρόντος αντιπροσωπεύουν περίπου το 42-50 % του επιχειρησιακού προσωπικού της ELA και δεν τους επιτρέπεται νομικά να εκτελούν βασικά καθήκοντα, δημιουργώντας έτσι συγκέντρωση αρμοδιοτήτων και υψηλότερο κίνδυνο σφαλμάτων· υποστηρίζει την προσαρμογή του πίνακα προσωπικού ώστε να αντικατασταθούν οι πόροι που βασίζονται σε αποσπασμένους εθνικούς εμπειρογνώμονες με πρόσθετες θέσεις έκτακτων υπαλλήλων, οι οποίες θα καλυφθούν μέσω ανοικτών και ανταγωνιστικών διαδικασιών εντός του υφιστάμενου δημοσιονομικού ανώτατου ορίου· είναι της άποψης ότι η Αρχή Εργασίας θα πρέπει να αποτελεί υπόδειγμα στα εργασιακά πρότυπα και να επιδιώκει να προσφέρει συμβάσεις μεγαλύτερης διάρκειας, οι οποίες θα ωφελούν το προσωπικό, την επιχειρησιακή συνέχεια και τη διατήρηση των γνώσεων· καλεί την Αρχή να ενισχύσει περαιτέρω τη συνεργασία με τις εθνικές αρχές εργασίας, προκειμένου να αποφευχθούν οι αλληλεπικαλύψεις και να βελτιωθεί η ανταλλαγή πληροφοριών·</w:t>
      </w:r>
    </w:p>
    <w:p w14:paraId="3DC91D6D" w14:textId="085A607A" w:rsidR="00F026BE" w:rsidRPr="00512250" w:rsidRDefault="00512250" w:rsidP="00512250">
      <w:pPr>
        <w:pStyle w:val="NormalHanging12a"/>
        <w:ind w:left="570" w:hanging="570"/>
        <w:rPr>
          <w:bCs/>
        </w:rPr>
      </w:pPr>
      <w:r w:rsidRPr="00512250">
        <w:rPr>
          <w:bCs/>
        </w:rPr>
        <w:t>93.</w:t>
      </w:r>
      <w:r w:rsidRPr="00512250">
        <w:rPr>
          <w:bCs/>
        </w:rPr>
        <w:tab/>
      </w:r>
      <w:r w:rsidR="00F026BE" w:rsidRPr="00512250">
        <w:t xml:space="preserve">εφιστά την προσοχή στα συμπεράσματα της αξιολόγησης των οργανισμών της ΕΕ: </w:t>
      </w:r>
      <w:proofErr w:type="spellStart"/>
      <w:r w:rsidR="00F026BE" w:rsidRPr="00512250">
        <w:t>Cedefop</w:t>
      </w:r>
      <w:proofErr w:type="spellEnd"/>
      <w:r w:rsidR="00F026BE" w:rsidRPr="00512250">
        <w:t>, EU</w:t>
      </w:r>
      <w:r w:rsidR="00F026BE" w:rsidRPr="00512250">
        <w:noBreakHyphen/>
        <w:t xml:space="preserve">OSHA, </w:t>
      </w:r>
      <w:proofErr w:type="spellStart"/>
      <w:r w:rsidR="00F026BE" w:rsidRPr="00512250">
        <w:t>Eurofound</w:t>
      </w:r>
      <w:proofErr w:type="spellEnd"/>
      <w:r w:rsidR="00F026BE" w:rsidRPr="00512250">
        <w:t xml:space="preserve">, και ETF· σημειώνει ότι η αξιολόγηση δεν εντόπισε στοιχεία που να αποδεικνύουν την αλλαγή των συμπερασμάτων της προηγούμενης αξιολόγησης του 2019, η οποία κατέληξε στο συμπέρασμα ότι οι επιλογές συγχώνευσης παρουσιάζουν προκλήσεις όσον αφορά την εξισορρόπηση πλεονεκτημάτων και μειονεκτημάτων, ενώ η βελτίωση της αποδοτικότητας μπορεί να επιτευχθεί μέσω καλύτερης συνεργασίας· τονίζει την ανάγκη για ισχυρότερη συνεργασία με την Επιτροπή όσον αφορά τα κοινά αποτελέσματα υψηλής αξίας, όπως η συνεργασία </w:t>
      </w:r>
      <w:proofErr w:type="spellStart"/>
      <w:r w:rsidR="00F026BE" w:rsidRPr="00512250">
        <w:t>Eurofound-Cedefop</w:t>
      </w:r>
      <w:proofErr w:type="spellEnd"/>
      <w:r w:rsidR="00F026BE" w:rsidRPr="00512250">
        <w:t xml:space="preserve"> σχετικά με την έρευνα για τις ευρωπαϊκές επιχειρήσεις και η ευθυγράμμιση </w:t>
      </w:r>
      <w:proofErr w:type="spellStart"/>
      <w:r w:rsidR="00F026BE" w:rsidRPr="00512250">
        <w:t>Cedefop</w:t>
      </w:r>
      <w:proofErr w:type="spellEnd"/>
      <w:r w:rsidR="00F026BE" w:rsidRPr="00512250">
        <w:t xml:space="preserve">-ETF όσον αφορά την παρακολούθηση της πολιτικής ΕΕΚ· παρατηρεί ότι απαιτείται καλύτερος συντονισμός μεταξύ του </w:t>
      </w:r>
      <w:proofErr w:type="spellStart"/>
      <w:r w:rsidR="00F026BE" w:rsidRPr="00512250">
        <w:t>Cedefop</w:t>
      </w:r>
      <w:proofErr w:type="spellEnd"/>
      <w:r w:rsidR="00F026BE" w:rsidRPr="00512250">
        <w:t xml:space="preserve">, της ELA και του </w:t>
      </w:r>
      <w:proofErr w:type="spellStart"/>
      <w:r w:rsidR="00F026BE" w:rsidRPr="00512250">
        <w:t>Eurofound</w:t>
      </w:r>
      <w:proofErr w:type="spellEnd"/>
      <w:r w:rsidR="00F026BE" w:rsidRPr="00512250">
        <w:t xml:space="preserve"> προκειμένου να αποφευχθεί η αλληλοεπικάλυψη στην πρόβλεψη δεξιοτήτων και στην ανάλυση της αγοράς εργασίας·</w:t>
      </w:r>
    </w:p>
    <w:p w14:paraId="677ABEBB" w14:textId="4EEA2A02" w:rsidR="00F026BE" w:rsidRPr="00512250" w:rsidRDefault="00512250" w:rsidP="00512250">
      <w:pPr>
        <w:pStyle w:val="NormalHanging12a"/>
        <w:ind w:left="570" w:hanging="570"/>
        <w:rPr>
          <w:bCs/>
        </w:rPr>
      </w:pPr>
      <w:r w:rsidRPr="00512250">
        <w:rPr>
          <w:bCs/>
        </w:rPr>
        <w:t>94.</w:t>
      </w:r>
      <w:r w:rsidRPr="00512250">
        <w:rPr>
          <w:bCs/>
        </w:rPr>
        <w:tab/>
      </w:r>
      <w:r w:rsidR="00F026BE" w:rsidRPr="00512250">
        <w:t xml:space="preserve">παρατηρεί ότι τα συστήματα παρακολούθησης σε όλους τους οργανισμούς, συμπεριλαμβανομένων των στόχων SMART και των ΒΔΕ, θα πρέπει να ενισχυθούν για τη βελτίωση της αξιολόγησης των επιδόσεων και της συμμετοχής των ενδιαφερόμενων μερών· επισημαίνει ότι τα κενά στα δεδομένα (ιδίως στο ETF), η έλλειψη στόχων </w:t>
      </w:r>
      <w:r w:rsidR="00F026BE" w:rsidRPr="00512250">
        <w:lastRenderedPageBreak/>
        <w:t>επιδόσεων και η απουσία δεικτών σε εθνικό επίπεδο υπονομεύουν την αποτελεσματικότητα· παρατηρεί ότι οι προκλήσεις αυτές απαιτούν βελτιωμένη πληρότητα των δεδομένων, νομικά σαφέστερο καθορισμό στόχων και ενισχυμένα πλαίσια παρακολούθησης για τη διασφάλιση ολοκληρωμένων αξιολογήσεων επιδόσεων και ευθυγράμμισης με τις ανάγκες των ενδιαφερόμενων μερών· τονίζει τη σημασία των διαφανών δομών διακυβέρνησης και των διασφαλίσεων κατά των συγκρούσεων συμφερόντων για τη στήριξη της εμπιστοσύνης των ενδιαφερόμενων μερών στο έργο τους·</w:t>
      </w:r>
    </w:p>
    <w:p w14:paraId="6AF3E77E" w14:textId="3AF7C916" w:rsidR="00F026BE" w:rsidRPr="00512250" w:rsidRDefault="00512250" w:rsidP="00512250">
      <w:pPr>
        <w:pStyle w:val="NormalHanging12a"/>
        <w:ind w:left="570" w:hanging="570"/>
        <w:rPr>
          <w:bCs/>
        </w:rPr>
      </w:pPr>
      <w:r w:rsidRPr="00512250">
        <w:rPr>
          <w:bCs/>
        </w:rPr>
        <w:t>95.</w:t>
      </w:r>
      <w:r w:rsidRPr="00512250">
        <w:rPr>
          <w:bCs/>
        </w:rPr>
        <w:tab/>
      </w:r>
      <w:r w:rsidR="00F026BE" w:rsidRPr="00512250">
        <w:t>σημειώνει ότι οι τέσσερις οργανισμοί (</w:t>
      </w:r>
      <w:proofErr w:type="spellStart"/>
      <w:r w:rsidR="00F026BE" w:rsidRPr="00512250">
        <w:t>Cedefop</w:t>
      </w:r>
      <w:proofErr w:type="spellEnd"/>
      <w:r w:rsidR="00F026BE" w:rsidRPr="00512250">
        <w:t>, EU</w:t>
      </w:r>
      <w:r w:rsidR="00F026BE" w:rsidRPr="00512250">
        <w:noBreakHyphen/>
        <w:t xml:space="preserve">OSHA, </w:t>
      </w:r>
      <w:proofErr w:type="spellStart"/>
      <w:r w:rsidR="00F026BE" w:rsidRPr="00512250">
        <w:t>Eurofound</w:t>
      </w:r>
      <w:proofErr w:type="spellEnd"/>
      <w:r w:rsidR="00F026BE" w:rsidRPr="00512250">
        <w:t xml:space="preserve"> και ETF) έχουν τη δυνατότητα να μειώσουν τον διοικητικό φόρτο και να βελτιώσουν την αποδοτικότητα μέσω κοινών υπηρεσιών</w:t>
      </w:r>
      <w:r w:rsidR="00F026BE" w:rsidRPr="00512250">
        <w:rPr>
          <w:vertAlign w:val="superscript"/>
        </w:rPr>
        <w:t>20</w:t>
      </w:r>
      <w:r w:rsidR="00F026BE" w:rsidRPr="00512250">
        <w:t>· επισημαίνει ότι οι οργανισμοί θα πρέπει να μειώσουν τον διοικητικό φόρτο για το προσωπικό, ώστε να διατηρηθεί ο βιώσιμος φόρτος εργασίας μέσω της κοινής χρήσης κοινών υπηρεσιών για τους ανθρώπινους πόρους, τις νομικές και τεχνικές λειτουργίες, και τις λειτουργίες ΤΠ· επισημαίνει ότι αυτό θα επιτρέψει στους οργανισμούς να μειώσουν το προσωπικό που απασχολείται σε διοικητικές δραστηριότητες και να αυξήσουν την εστίαση στις βασικές λειτουργίες· καλεί τους εν λόγω οργανισμούς, σε στενή συνεργασία με το Ελεγκτικό Συνέδριο, να αναπτύξουν ένα διαρθρωμένο σχέδιο εφαρμογής για κοινές υπηρεσίες με συγκεκριμένα ορόσημα, προκειμένου να διευκολυνθεί η αμοιβαία ανταλλαγή ορθών πρακτικών και συστάσεων μεταξύ των ενδιαφερόμενων οργανισμών, καθώς και στο ευρύτερο πλαίσιο του EUAN, λαμβάνοντας παράλληλα υπόψη τα πορίσματα του ελέγχου και της διατομεακής αξιολόγησης του Ελεγκτικού Συνεδρίου· ζητεί από την Επιτροπή να ενημερώνει σε ετήσια βάση την αρμόδια για την απαλλαγή αρχή σχετικά με την πρόοδο που επιτυγχάνεται επί του ζητήματος·</w:t>
      </w:r>
    </w:p>
    <w:p w14:paraId="2A04CBA1" w14:textId="102905EC" w:rsidR="00F026BE" w:rsidRPr="00512250" w:rsidRDefault="00512250" w:rsidP="00512250">
      <w:pPr>
        <w:pStyle w:val="NormalHanging12a"/>
        <w:ind w:left="570" w:hanging="570"/>
        <w:rPr>
          <w:bCs/>
        </w:rPr>
      </w:pPr>
      <w:bookmarkStart w:id="14" w:name="_Hlk219817761"/>
      <w:bookmarkStart w:id="15" w:name="_Hlk219801757"/>
      <w:r w:rsidRPr="00512250">
        <w:rPr>
          <w:bCs/>
        </w:rPr>
        <w:t>96.</w:t>
      </w:r>
      <w:r w:rsidRPr="00512250">
        <w:rPr>
          <w:bCs/>
        </w:rPr>
        <w:tab/>
      </w:r>
      <w:r w:rsidR="00F026BE" w:rsidRPr="00512250">
        <w:t xml:space="preserve">σημειώνει ότι το </w:t>
      </w:r>
      <w:proofErr w:type="spellStart"/>
      <w:r w:rsidR="00F026BE" w:rsidRPr="00512250">
        <w:t>Cedefop</w:t>
      </w:r>
      <w:proofErr w:type="spellEnd"/>
      <w:r w:rsidR="00F026BE" w:rsidRPr="00512250">
        <w:t xml:space="preserve"> έχει εμπλακεί σε νομική διαφορά με πρώην υπάλληλο, η σύμβαση της οποίας δεν ανανεώθηκε το 2017· υπενθυμίζει ότι, το 2020, το Γενικό Δικαστήριο</w:t>
      </w:r>
      <w:r w:rsidR="00FC7C15" w:rsidRPr="00512250">
        <w:t xml:space="preserve"> της Ευρωπαϊκής Ένωσης</w:t>
      </w:r>
      <w:r w:rsidR="00F026BE" w:rsidRPr="00512250">
        <w:t xml:space="preserve"> ακύρωσε την απόφαση του </w:t>
      </w:r>
      <w:proofErr w:type="spellStart"/>
      <w:r w:rsidR="00F026BE" w:rsidRPr="00512250">
        <w:t>Cedefop</w:t>
      </w:r>
      <w:proofErr w:type="spellEnd"/>
      <w:r w:rsidR="00F026BE" w:rsidRPr="00512250">
        <w:t xml:space="preserve"> και διέταξε την καταβολή χρηματικής αποζημίωσης, η οποία εκτελέστηκε από το </w:t>
      </w:r>
      <w:proofErr w:type="spellStart"/>
      <w:r w:rsidR="00F026BE" w:rsidRPr="00512250">
        <w:t>Cedefop</w:t>
      </w:r>
      <w:proofErr w:type="spellEnd"/>
      <w:r w:rsidR="00F026BE" w:rsidRPr="00512250">
        <w:t>· σημειώνει ότι μεταγενέστερη προσφυγή που άσκησε η πρώην υπάλληλος σχετικά με την εφαρμογή της εν λόγω απόφασης απορρίφθηκε από το Γενικό Δικαστήριο</w:t>
      </w:r>
      <w:r w:rsidR="00FC7C15" w:rsidRPr="00512250">
        <w:t xml:space="preserve"> της Ευρωπαϊκής Ένωσης</w:t>
      </w:r>
      <w:r w:rsidR="00F026BE" w:rsidRPr="00512250">
        <w:t xml:space="preserve"> τον Φεβρουάριο του 2024· παρατηρεί ότι η πρώην υπάλληλος έχει ασκήσει έφεση κατά της απόφασης αυτής ενώπιον του Δικαστηρίου της Ευρωπαϊκής Ένωσης (υπόθεση C-209/24 P) και ότι η τελική απόφαση </w:t>
      </w:r>
      <w:r w:rsidR="00FC7C15" w:rsidRPr="00512250">
        <w:t xml:space="preserve">του Δικαστηρίου της Ευρωπαϊκής Ένωσης αναίρεσε την απόφαση του Γενικού Δικαστηρίου της Ευρωπαϊκής Ένωσης της 7ης Φεβρουαρίου 2024 (T-563/22), ακύρωσε την απόφαση του εκτελεστικού διευθυντή του </w:t>
      </w:r>
      <w:proofErr w:type="spellStart"/>
      <w:r w:rsidR="00FC7C15" w:rsidRPr="00512250">
        <w:t>Cedefop</w:t>
      </w:r>
      <w:proofErr w:type="spellEnd"/>
      <w:r w:rsidR="00FC7C15" w:rsidRPr="00512250">
        <w:t xml:space="preserve"> της 17ης Δεκεμβρίου 2021 και την απόφαση της επιτροπής προσφυγών του οργανισμού της 17ης Ιουνίου 2022, υποχρέωσε το </w:t>
      </w:r>
      <w:proofErr w:type="spellStart"/>
      <w:r w:rsidR="00FC7C15" w:rsidRPr="00512250">
        <w:t>Cedefop</w:t>
      </w:r>
      <w:proofErr w:type="spellEnd"/>
      <w:r w:rsidR="00FC7C15" w:rsidRPr="00512250">
        <w:t xml:space="preserve"> να καταβάλει στην προσφεύγουσα το ποσό των 15 000 EUR ως χρηματική ικανοποίηση για την ηθική βλάβη που υπέστη, καθώς και να φέρει το σύνολο των εξόδων στα οποία υποβλήθηκε η προσφεύγουσα στο πλαίσιο τόσο της πρωτοβάθμιας όσο και της αναιρετικής διαδικασίας· υπενθυμίζει ότι η αρχική απόφαση του Γενικού Δικαστηρίου της Ευρωπαϊκής Ένωσης </w:t>
      </w:r>
      <w:r w:rsidR="00F026BE" w:rsidRPr="00512250">
        <w:t xml:space="preserve">διαπίστωσε παραβιάσεις των θεμελιωδών διαδικαστικών εγγυήσεων, συμπεριλαμβανομένων του δικαιώματος ακρόασης, των δικαιωμάτων υπεράσπισης, του καθήκοντος μέριμνας και της αρχής της χρηστής διοίκησης· </w:t>
      </w:r>
      <w:r w:rsidR="00FC7C15" w:rsidRPr="00512250">
        <w:t>σημειώνει με ανησυχία ότι δεν φαίνεται να έχει κινηθεί πειθαρχική διαδικασία κατά του πρώην εκτελεστικού διευθυντή ή άλλων υπεύθυνων μελών του προσωπικού μετά τα εν λόγω πορίσματα</w:t>
      </w:r>
      <w:r w:rsidR="00F026BE" w:rsidRPr="00512250">
        <w:t xml:space="preserve">· επικρίνει την υπερβολική διάρκεια της διαδικασίας λήψης αποφάσεων, </w:t>
      </w:r>
      <w:r w:rsidR="00FC7C15" w:rsidRPr="00512250">
        <w:t xml:space="preserve">η οποία οφείλεται επίσης σε σφάλμα του γενικού δικαστηρίου βάσει πληροφοριών από τον οργανισμό· τονίζει ότι η ηθική βλάβη </w:t>
      </w:r>
      <w:r w:rsidR="00FC7C15" w:rsidRPr="00512250">
        <w:lastRenderedPageBreak/>
        <w:t xml:space="preserve">οφείλεται άμεσα στη μη ορθή εκτέλεση της ακυρωτικής απόφασης από το </w:t>
      </w:r>
      <w:proofErr w:type="spellStart"/>
      <w:r w:rsidR="00FC7C15" w:rsidRPr="00512250">
        <w:t>Cedefop</w:t>
      </w:r>
      <w:proofErr w:type="spellEnd"/>
      <w:r w:rsidR="00FC7C15" w:rsidRPr="00512250">
        <w:t xml:space="preserve">, πέραν της απλής καταβολής αποζημίωσης, και ότι έχει, επομένως, αποδειχθεί αιτιώδης συνάφεια μεταξύ της παράνομης συμπεριφοράς του </w:t>
      </w:r>
      <w:proofErr w:type="spellStart"/>
      <w:r w:rsidR="00FC7C15" w:rsidRPr="00512250">
        <w:t>Cedefop</w:t>
      </w:r>
      <w:proofErr w:type="spellEnd"/>
      <w:r w:rsidR="00FC7C15" w:rsidRPr="00512250">
        <w:t xml:space="preserve"> και της ζημίας· τονίζει ότι το </w:t>
      </w:r>
      <w:proofErr w:type="spellStart"/>
      <w:r w:rsidR="00FC7C15" w:rsidRPr="00512250">
        <w:t>Cedefop</w:t>
      </w:r>
      <w:proofErr w:type="spellEnd"/>
      <w:r w:rsidR="00FC7C15" w:rsidRPr="00512250">
        <w:t xml:space="preserve"> πρέπει τώρα να επανεξετάσει την αίτηση ανανέωσης της σύμβασης, να επαναλάβει τη διαδικασία από την κατάσταση που επικρατούσε το 2017 και να εκδώσει απόφαση που θα αντικαταστήσει την ακυρωθείσα απόφαση· σημειώνει ότι η επανεξέταση αυτή θα πρέπει να πραγματοποιηθεί σύμφωνα με τη σχετική διαδικασία, όπως ορίζεται στον κανονισμό υπηρεσιακής κατάστασης και στους εσωτερικούς κανόνες του </w:t>
      </w:r>
      <w:proofErr w:type="spellStart"/>
      <w:r w:rsidR="00FC7C15" w:rsidRPr="00512250">
        <w:t>Cedefop</w:t>
      </w:r>
      <w:proofErr w:type="spellEnd"/>
      <w:r w:rsidR="00FC7C15" w:rsidRPr="00512250">
        <w:t xml:space="preserve"> για τις προσλήψεις, συμπεριλαμβανομένης της δυνητικής αναγκαίας αποζημίωσης· ζητεί επιτακτικά οι αποφάσεις που αφορούν το προσωπικό να λαμβάνονται με διαφανή και ανιχνεύσιμο τρόπο, με βάση όλους τους κανόνες που κατοχυρώνονται στον κανονισμό υπηρεσιακής κατάστασης, καθώς και εγκαίρως</w:t>
      </w:r>
      <w:r w:rsidR="00F026BE" w:rsidRPr="00512250">
        <w:t>·</w:t>
      </w:r>
    </w:p>
    <w:bookmarkEnd w:id="14"/>
    <w:bookmarkEnd w:id="15"/>
    <w:p w14:paraId="1504A6E6" w14:textId="76A41791" w:rsidR="00F026BE" w:rsidRPr="00512250" w:rsidRDefault="00512250" w:rsidP="00512250">
      <w:pPr>
        <w:pStyle w:val="NormalHanging12a"/>
        <w:ind w:left="570" w:hanging="570"/>
      </w:pPr>
      <w:r w:rsidRPr="00512250">
        <w:t>97.</w:t>
      </w:r>
      <w:r w:rsidRPr="00512250">
        <w:tab/>
      </w:r>
      <w:r w:rsidR="00F026BE" w:rsidRPr="00512250">
        <w:t>σημειώνει την παρατήρηση του Ελεγκτικού Συνεδρίου ότι ο EU</w:t>
      </w:r>
      <w:r w:rsidR="00F026BE" w:rsidRPr="00512250">
        <w:noBreakHyphen/>
        <w:t xml:space="preserve">OSHA πλήρωσε για διαδικτυακά μαθήματα χωρίς επαρκή επαλήθευση ότι οι </w:t>
      </w:r>
      <w:proofErr w:type="spellStart"/>
      <w:r w:rsidR="00F026BE" w:rsidRPr="00512250">
        <w:t>τιμολογηθείσες</w:t>
      </w:r>
      <w:proofErr w:type="spellEnd"/>
      <w:r w:rsidR="00F026BE" w:rsidRPr="00512250">
        <w:t xml:space="preserve"> ώρες αντιστοιχούσαν στις παρασχεθείσες υπηρεσίες, κατά παράβαση του άρθρου 73 του δημοσιονομικού κανονισμού του Οργανισμού· λαμβάνει υπόψη τη διευκρίνιση του Οργανισμού ότι οι εκ των προτέρων επαληθεύσεις διενεργούνται συστηματικά και ότι η περίπτωση αυτή αποτελούσε περισσότερο ένα κενό στην τεκμηρίωση παρά αποτυχία ελέγχου· εκφράζει την ικανοποίησή του για τα πρόσθετα μέτρα που θεσπίστηκαν για τη διασφάλιση της πλήρους τεκμηρίωσης της παροχής υπηρεσιών και τονίζει τη σημασία της διατήρησης αξιόπιστων αποδεικτικών στοιχείων για όλες τις πληρωμές, ώστε να διασφαλίζεται η νομιμότητα και η κανονικότητα·</w:t>
      </w:r>
    </w:p>
    <w:p w14:paraId="6E837D00" w14:textId="5159A1E1" w:rsidR="00F026BE" w:rsidRPr="00512250" w:rsidRDefault="00512250" w:rsidP="00512250">
      <w:pPr>
        <w:pStyle w:val="NormalHanging12a"/>
        <w:ind w:left="570" w:hanging="570"/>
      </w:pPr>
      <w:r w:rsidRPr="00512250">
        <w:t>98.</w:t>
      </w:r>
      <w:r w:rsidRPr="00512250">
        <w:tab/>
      </w:r>
      <w:r w:rsidR="00F026BE" w:rsidRPr="00512250">
        <w:t>παρατηρεί ότι το 75 % των καρκίνων που σχετίζονται με την εργασία συνδέονται με την έκθεση στον αμίαντο, αναγνωρίζει τη συμβολή του EU-OSHA το 2024 στις νέες κατευθυντήριες γραμμές της Επιτροπής για τον αμίαντο και ενθαρρύνει τον EU-OSHA να συνεχίσει να διαθέτει προσωπικό και δημοσιονομικούς πόρους για να συμβάλει στην ευαισθητοποίηση σχετικά με τον αμίαντο και στις μεθόδους αντιμετώπισης του ευρέως διαδεδομένου ζητήματος του αμιάντου σε ολόκληρη την Ευρώπη·</w:t>
      </w:r>
    </w:p>
    <w:p w14:paraId="455F52B9" w14:textId="437A9958" w:rsidR="00F026BE" w:rsidRPr="00512250" w:rsidRDefault="00512250" w:rsidP="00512250">
      <w:pPr>
        <w:pStyle w:val="NormalHanging12a"/>
        <w:ind w:left="570" w:hanging="570"/>
      </w:pPr>
      <w:r w:rsidRPr="00512250">
        <w:t>99.</w:t>
      </w:r>
      <w:r w:rsidRPr="00512250">
        <w:tab/>
      </w:r>
      <w:r w:rsidR="00F026BE" w:rsidRPr="00512250">
        <w:t>υπενθυμίζει δύο από τις παρατυπίες του ETF στον τομέα των δημόσιων συμβάσεων, οι οποίες επισημάνθηκαν από το Ελεγκτικό Συνέδριο το 2022 και είχαν ως αποτέλεσμα παράτυπες πληρωμές το 2024· σημειώνει ότι, σε μία περίπτωση, το ETF ανέθεσε σύμβαση ύψους 1 εκατομμυρίου EUR για υπηρεσίες υποστήριξης περιεχομένου σε προσφέροντα που δεν πληρούσε το απαιτούμενο όριο κύκλου εργασιών, καθιστώντας έτσι παράτυπη τη σύμβαση και τις σχετικές πληρωμές (186 175 EUR το 2024)· σημειώνει ότι, σε άλλη περίπτωση, κατά τη διάρκεια ανοικτής διαδικασίας σύναψης δημόσιων συμβάσεων ύψους 4 εκατομμυρίων EUR για υπηρεσίες στήριξης εντός της χώρας, ο επιτυχών προσφέρων δεν απέδειξε επαρκή οικονομική και χρηματοπιστωτική ικανότητα, με αποτέλεσμα περαιτέρω παρατυπίες στις πληρωμές (252 714 EUR το 2024)· σημειώνει, επιπλέον, ότι σε διαγωνισμό του 2023 για υποδομές τοπικού δικτύου στις εγκαταστάσεις του, το ETF επέβαλε υπερβολικές απαιτήσεις χρηματοδοτικής ικανότητας χωρίς κατάλληλη αιτιολόγηση, αποθαρρύνοντας δυνητικά τον ανταγωνισμό· σημειώνει ότι το ETF έχει αναγνωρίσει τα ζητήματα αυτά και έχει αναθεωρήσει τη μεθοδολογία του, αλλά επιμένει ότι το ETF πρέπει να εφαρμόσει αυστηρότερους μηχανισμούς συμμόρφωσης για την πρόληψη παραβιάσεων των κανόνων για τις δημόσιες συμβάσεις στο μέλλον·</w:t>
      </w:r>
    </w:p>
    <w:p w14:paraId="74F5686F" w14:textId="2D4ECF7C" w:rsidR="00F026BE" w:rsidRPr="00512250" w:rsidRDefault="00512250" w:rsidP="00512250">
      <w:pPr>
        <w:pStyle w:val="NormalHanging12a"/>
        <w:ind w:left="570" w:hanging="570"/>
      </w:pPr>
      <w:r w:rsidRPr="00512250">
        <w:t>100.</w:t>
      </w:r>
      <w:r w:rsidRPr="00512250">
        <w:tab/>
      </w:r>
      <w:r w:rsidR="00F026BE" w:rsidRPr="00512250">
        <w:t xml:space="preserve">εκφράζει την ανησυχία του για το γεγονός ότι αρκετές παρατηρήσεις σχετικά με τις δημόσιες συμβάσεις από προηγούμενα έτη παραμένουν ανοικτές τόσο για την ELA </w:t>
      </w:r>
      <w:r w:rsidR="00F026BE" w:rsidRPr="00512250">
        <w:lastRenderedPageBreak/>
        <w:t>(πηγή της γνώμης με επιφύλαξη το 2023 και το 2024) όσο και για το ETF·</w:t>
      </w:r>
    </w:p>
    <w:p w14:paraId="05B45361" w14:textId="77777777" w:rsidR="00F026BE" w:rsidRPr="00512250" w:rsidRDefault="00F026BE" w:rsidP="00F026BE">
      <w:pPr>
        <w:pStyle w:val="NormalHanging12a"/>
        <w:rPr>
          <w:bCs/>
          <w:i/>
          <w:iCs/>
        </w:rPr>
      </w:pPr>
      <w:r w:rsidRPr="00512250">
        <w:rPr>
          <w:i/>
        </w:rPr>
        <w:t>Συστάσεις</w:t>
      </w:r>
    </w:p>
    <w:p w14:paraId="71EF56D3" w14:textId="7C38E24E" w:rsidR="00F026BE" w:rsidRPr="00512250" w:rsidRDefault="00512250" w:rsidP="00512250">
      <w:pPr>
        <w:pStyle w:val="NormalHanging12a"/>
        <w:ind w:left="570" w:hanging="570"/>
        <w:rPr>
          <w:bCs/>
        </w:rPr>
      </w:pPr>
      <w:r w:rsidRPr="00512250">
        <w:rPr>
          <w:bCs/>
        </w:rPr>
        <w:t>101.</w:t>
      </w:r>
      <w:r w:rsidRPr="00512250">
        <w:rPr>
          <w:bCs/>
        </w:rPr>
        <w:tab/>
      </w:r>
      <w:r w:rsidR="00F026BE" w:rsidRPr="00512250">
        <w:t>καλεί τους οργανισμούς να δώσουν συνέχεια στις παρατηρήσεις του Ελεγκτικού Συνεδρίου, και συγκεκριμένα:</w:t>
      </w:r>
    </w:p>
    <w:p w14:paraId="05E2CB66" w14:textId="77777777" w:rsidR="00F026BE" w:rsidRPr="00512250" w:rsidRDefault="00F026BE" w:rsidP="00F026BE">
      <w:pPr>
        <w:pStyle w:val="NormalHanging12a"/>
        <w:ind w:left="1134"/>
        <w:rPr>
          <w:bCs/>
        </w:rPr>
      </w:pPr>
      <w:r w:rsidRPr="00512250">
        <w:t>i)</w:t>
      </w:r>
      <w:r w:rsidRPr="00512250">
        <w:tab/>
        <w:t>καλεί την ELA να βελτιώσει τη δημοσιονομική της διαχείριση και να επισημοποιήσει σχέδιο έκτακτης ανάγκης για τις μισθολογικές αναπροσαρμογές, συμπεριλαμβανομένου του έγκαιρου συντονισμού της χρηματοδότησης της Ένωσης·</w:t>
      </w:r>
    </w:p>
    <w:p w14:paraId="68A1CD83" w14:textId="77777777" w:rsidR="00F026BE" w:rsidRPr="00512250" w:rsidRDefault="00F026BE" w:rsidP="00F026BE">
      <w:pPr>
        <w:pStyle w:val="NormalHanging12a"/>
        <w:ind w:left="1134"/>
        <w:rPr>
          <w:bCs/>
        </w:rPr>
      </w:pPr>
      <w:proofErr w:type="spellStart"/>
      <w:r w:rsidRPr="00512250">
        <w:t>ii</w:t>
      </w:r>
      <w:proofErr w:type="spellEnd"/>
      <w:r w:rsidRPr="00512250">
        <w:t>)</w:t>
      </w:r>
      <w:r w:rsidRPr="00512250">
        <w:tab/>
        <w:t>καλεί την ELA, το ETF και τον EU</w:t>
      </w:r>
      <w:r w:rsidRPr="00512250">
        <w:noBreakHyphen/>
        <w:t>OSHA να ενισχύσουν περαιτέρω τα οικεία συστήματα σύναψης δημόσιων συμβάσεων και εσωτερικού ελέγχου, διασφαλίζοντας ότι όλες οι πληρωμές υποστηρίζονται από πλήρη και επαληθεύσιμα αποδεικτικά στοιχεία, ότι οι απαιτήσεις χρηματοδοτικής και τεχνικής ικανότητας εφαρμόζονται με συνέπεια και αναλογικότητα και ότι οι εκ των προτέρων και εκ των υστέρων έλεγχοι τεκμηριώνονται συστηματικά·</w:t>
      </w:r>
    </w:p>
    <w:p w14:paraId="2256030B" w14:textId="65976635" w:rsidR="00F026BE" w:rsidRPr="00512250" w:rsidRDefault="00512250" w:rsidP="00512250">
      <w:pPr>
        <w:pStyle w:val="NormalHanging12a"/>
        <w:ind w:left="570" w:hanging="570"/>
        <w:rPr>
          <w:bCs/>
        </w:rPr>
      </w:pPr>
      <w:r w:rsidRPr="00512250">
        <w:rPr>
          <w:bCs/>
        </w:rPr>
        <w:t>102.</w:t>
      </w:r>
      <w:r w:rsidRPr="00512250">
        <w:rPr>
          <w:bCs/>
        </w:rPr>
        <w:tab/>
      </w:r>
      <w:r w:rsidR="00F026BE" w:rsidRPr="00512250">
        <w:t xml:space="preserve">επιπλέον, καλεί το </w:t>
      </w:r>
      <w:proofErr w:type="spellStart"/>
      <w:r w:rsidR="00F026BE" w:rsidRPr="00512250">
        <w:t>Cedefop</w:t>
      </w:r>
      <w:proofErr w:type="spellEnd"/>
      <w:r w:rsidR="00F026BE" w:rsidRPr="00512250">
        <w:t xml:space="preserve">, την ELA, το ETF, τον EU-OSHA και το </w:t>
      </w:r>
      <w:proofErr w:type="spellStart"/>
      <w:r w:rsidR="00F026BE" w:rsidRPr="00512250">
        <w:t>Eurofound</w:t>
      </w:r>
      <w:proofErr w:type="spellEnd"/>
      <w:r w:rsidR="00F026BE" w:rsidRPr="00512250">
        <w:t>:</w:t>
      </w:r>
    </w:p>
    <w:p w14:paraId="58BF786A" w14:textId="77777777" w:rsidR="00F026BE" w:rsidRPr="00512250" w:rsidRDefault="00F026BE" w:rsidP="00F026BE">
      <w:pPr>
        <w:pStyle w:val="NormalHanging12a"/>
        <w:ind w:left="1134"/>
        <w:rPr>
          <w:bCs/>
        </w:rPr>
      </w:pPr>
      <w:r w:rsidRPr="00512250">
        <w:t>i)</w:t>
      </w:r>
      <w:r w:rsidRPr="00512250">
        <w:tab/>
        <w:t>να ενισχύσουν σημαντικά τα συστήματα παρακολούθησης και μέτρησης των επιδόσεών τους ενσωματώνοντας πλήρως στόχους SMART και αξιόπιστους, προσανατολισμένους στα αποτελέσματα βασικούς δείκτες επιδόσεων, αντιμετωπίζοντας τα κενά στα δεδομένα και ευθυγραμμίζοντας τους δείκτες μέτρησης με τις επιχειρησιακές προτεραιότητες για την ενίσχυση της οικονομικής αποδοτικότητας και της λογοδοσίας των ενδιαφερόμενων μερών·</w:t>
      </w:r>
    </w:p>
    <w:p w14:paraId="447B55EC" w14:textId="77777777" w:rsidR="00F026BE" w:rsidRPr="00512250" w:rsidRDefault="00F026BE" w:rsidP="00F026BE">
      <w:pPr>
        <w:pStyle w:val="NormalHanging12a"/>
        <w:ind w:left="1134"/>
      </w:pPr>
      <w:proofErr w:type="spellStart"/>
      <w:r w:rsidRPr="00512250">
        <w:t>ii</w:t>
      </w:r>
      <w:proofErr w:type="spellEnd"/>
      <w:r w:rsidRPr="00512250">
        <w:t>)</w:t>
      </w:r>
      <w:r w:rsidRPr="00512250">
        <w:tab/>
        <w:t xml:space="preserve"> να υιοθετήσουν δομημένες και συνεκτικές προσεγγίσεις παρακολούθησης, διασφαλίζοντας την πληρότητα και τη συγκρισιμότητα των δεδομένων σε όλους τους κύκλους υποβολής εκθέσεων, θεσπίζοντας συνεκτικούς δείκτες σε εθνικό επίπεδο, κατά περίπτωση, και βελτιώνοντας τις πρακτικές καθορισμού στόχων, ενισχύοντας παράλληλα τη διυπηρεσιακή συνεργασία για την αποφυγή επικαλύψεων και την ενίσχυση της τεκμηριωμένης στήριξης πολιτικής·</w:t>
      </w:r>
    </w:p>
    <w:p w14:paraId="4A9C094A" w14:textId="77777777" w:rsidR="00F026BE" w:rsidRPr="00512250" w:rsidRDefault="00F026BE" w:rsidP="00F026BE">
      <w:pPr>
        <w:pStyle w:val="NormalHanging12a"/>
        <w:ind w:left="1134"/>
      </w:pPr>
      <w:proofErr w:type="spellStart"/>
      <w:r w:rsidRPr="00512250">
        <w:t>iii</w:t>
      </w:r>
      <w:proofErr w:type="spellEnd"/>
      <w:r w:rsidRPr="00512250">
        <w:t>)</w:t>
      </w:r>
      <w:r w:rsidRPr="00512250">
        <w:tab/>
        <w:t xml:space="preserve">να εντείνουν τις προσπάθειες για ένα δομημένο μοντέλο κοινών υπηρεσιών που θα καλύπτει τους ανθρώπινους πόρους, τα νομικά θέματα, τις ΤΠΕ, τη διοικητική και τεχνική υποστήριξη για την αύξηση της συνέργειας, τη μείωση του διοικητικού φόρτου, τη διασφάλιση βιώσιμου φόρτου εργασίας και την αποδέσμευση προσωπικού για βασικά επιχειρησιακά καθήκοντα· αναγνωρίζει ότι αυτό θα απαιτήσει μία προσεκτική στρατηγική, καθώς οι οργανισμοί βρίσκονται σε διαφορετικές περιοχές, και συγκεκριμένα στις πόλεις της Θεσσαλονίκης, της </w:t>
      </w:r>
      <w:proofErr w:type="spellStart"/>
      <w:r w:rsidRPr="00512250">
        <w:t>Μπρατισλάβα</w:t>
      </w:r>
      <w:proofErr w:type="spellEnd"/>
      <w:r w:rsidRPr="00512250">
        <w:t>, του Τορίνο, του Μπιλμπάο και του Δουβλίνου αντίστοιχα·</w:t>
      </w:r>
    </w:p>
    <w:p w14:paraId="40745593" w14:textId="394E5C4C" w:rsidR="00FC7C15" w:rsidRPr="00512250" w:rsidRDefault="00FC7C15" w:rsidP="00F026BE">
      <w:pPr>
        <w:pStyle w:val="NormalHanging12a"/>
        <w:ind w:left="1134"/>
        <w:rPr>
          <w:bCs/>
        </w:rPr>
      </w:pPr>
      <w:proofErr w:type="spellStart"/>
      <w:r w:rsidRPr="00512250">
        <w:rPr>
          <w:bCs/>
        </w:rPr>
        <w:t>iv</w:t>
      </w:r>
      <w:proofErr w:type="spellEnd"/>
      <w:r w:rsidRPr="00512250">
        <w:rPr>
          <w:bCs/>
        </w:rPr>
        <w:t>)</w:t>
      </w:r>
      <w:r w:rsidRPr="00512250">
        <w:rPr>
          <w:bCs/>
        </w:rPr>
        <w:tab/>
        <w:t xml:space="preserve">καλεί επιτακτικά το </w:t>
      </w:r>
      <w:proofErr w:type="spellStart"/>
      <w:r w:rsidRPr="00512250">
        <w:rPr>
          <w:bCs/>
        </w:rPr>
        <w:t>Cedefop</w:t>
      </w:r>
      <w:proofErr w:type="spellEnd"/>
      <w:r w:rsidRPr="00512250">
        <w:rPr>
          <w:bCs/>
        </w:rPr>
        <w:t xml:space="preserve"> να εγκρίνει απόφαση αντικατάστασης που θα εφαρμόζει πλήρως την απόφαση του Δικαστηρίου της Ευρωπαϊκής Ένωσης της 12ης Μαρτίου 2026, σύμφωνα με τον κανονισμό υπηρεσιακής κατάστασης, τις σχετικές εσωτερικές διαδικασίες και κανόνες, και σεβόμενο τα δικαιώματα της υπαλλήλου που υποβάλλει αίτηση ανανέωσης της σύμβασής της· τονίζει την επείγουσα ανάγκη να αποφευχθούν περαιτέρω διαδικασίες και πρόσθετο οικονομικό κόστος για τον Οργανισμό· καλεί το </w:t>
      </w:r>
      <w:proofErr w:type="spellStart"/>
      <w:r w:rsidRPr="00512250">
        <w:rPr>
          <w:bCs/>
        </w:rPr>
        <w:t>Cedefop</w:t>
      </w:r>
      <w:proofErr w:type="spellEnd"/>
      <w:r w:rsidRPr="00512250">
        <w:rPr>
          <w:bCs/>
        </w:rPr>
        <w:t xml:space="preserve"> να υποβάλει σχέδιο </w:t>
      </w:r>
      <w:r w:rsidRPr="00512250">
        <w:rPr>
          <w:bCs/>
        </w:rPr>
        <w:lastRenderedPageBreak/>
        <w:t xml:space="preserve">δράσης που θα περιλαμβάνει: i) πώς θα εφαρμοστεί η διαδικασία για την απόφαση μετά την κατάσταση που επικρατούσε το 2017, συμπεριλαμβανομένου χρονοδιαγράμματος· </w:t>
      </w:r>
      <w:proofErr w:type="spellStart"/>
      <w:r w:rsidRPr="00512250">
        <w:rPr>
          <w:bCs/>
        </w:rPr>
        <w:t>ii</w:t>
      </w:r>
      <w:proofErr w:type="spellEnd"/>
      <w:r w:rsidRPr="00512250">
        <w:rPr>
          <w:bCs/>
        </w:rPr>
        <w:t xml:space="preserve">) πώς προτίθεται το </w:t>
      </w:r>
      <w:proofErr w:type="spellStart"/>
      <w:r w:rsidRPr="00512250">
        <w:rPr>
          <w:bCs/>
        </w:rPr>
        <w:t>Cedefop</w:t>
      </w:r>
      <w:proofErr w:type="spellEnd"/>
      <w:r w:rsidRPr="00512250">
        <w:rPr>
          <w:bCs/>
        </w:rPr>
        <w:t xml:space="preserve"> να μεριμνήσει για την τήρηση των κανόνων του κανονισμού υπηρεσιακής κατάστασης, των εσωτερικών διαδικασιών και όλων των δικαιωμάτων των μελών του προσωπικού· </w:t>
      </w:r>
      <w:proofErr w:type="spellStart"/>
      <w:r w:rsidRPr="00512250">
        <w:rPr>
          <w:bCs/>
        </w:rPr>
        <w:t>iii</w:t>
      </w:r>
      <w:proofErr w:type="spellEnd"/>
      <w:r w:rsidRPr="00512250">
        <w:rPr>
          <w:bCs/>
        </w:rPr>
        <w:t xml:space="preserve">) τι είδους αποζημίωση θα καταβληθεί και για ποιους λόγους· </w:t>
      </w:r>
      <w:proofErr w:type="spellStart"/>
      <w:r w:rsidRPr="00512250">
        <w:rPr>
          <w:bCs/>
        </w:rPr>
        <w:t>iv</w:t>
      </w:r>
      <w:proofErr w:type="spellEnd"/>
      <w:r w:rsidRPr="00512250">
        <w:rPr>
          <w:bCs/>
        </w:rPr>
        <w:t xml:space="preserve">) τι είδους αλλαγές έχει εφαρμόσει ή σχεδιάζει το </w:t>
      </w:r>
      <w:proofErr w:type="spellStart"/>
      <w:r w:rsidRPr="00512250">
        <w:rPr>
          <w:bCs/>
        </w:rPr>
        <w:t>Cedefop</w:t>
      </w:r>
      <w:proofErr w:type="spellEnd"/>
      <w:r w:rsidRPr="00512250">
        <w:rPr>
          <w:bCs/>
        </w:rPr>
        <w:t xml:space="preserve"> για να βελτιώσει τις διαδικασίες κατά την πρόσληψη προσωπικού ή την παράταση συμβάσεων· v) περιγραφή όλων των ειδών δαπανών που πραγματοποιήθηκαν καθ’ όλη τη διάρκεια της νομικής διαφοράς από το 2017, και υποβολή έκθεσης στην αρμόδια για την απαλλαγή αρχή σχετικά με την πρόοδο της εφαρμογής έως τις αρχές Σεπτεμβρίου·</w:t>
      </w:r>
    </w:p>
    <w:p w14:paraId="5F5F1154" w14:textId="52876DBD" w:rsidR="00FC7C15" w:rsidRPr="00512250" w:rsidRDefault="00FC7C15" w:rsidP="00F026BE">
      <w:pPr>
        <w:pStyle w:val="NormalHanging12a"/>
        <w:ind w:left="1134"/>
        <w:rPr>
          <w:bCs/>
        </w:rPr>
      </w:pPr>
      <w:r w:rsidRPr="00512250">
        <w:rPr>
          <w:bCs/>
        </w:rPr>
        <w:t>v)</w:t>
      </w:r>
      <w:r w:rsidRPr="00512250">
        <w:rPr>
          <w:bCs/>
        </w:rPr>
        <w:tab/>
        <w:t>να ενισχύσουν τις πολιτικές στελέχωσής τους προκειμένου να μειωθεί η υπερβολική εξάρτηση από προσωρινό προσωπικό, έκτακτους εργαζομένους και ασκούμενους, ιδίως για βασικά και συνεχή καθήκοντα· τονίζει ότι οι διαρθρωτικά επισφαλείς ρυθμίσεις στελέχωσης μπορούν να αυξήσουν την πίεση στον φόρτο εργασίας, να αποδυναμώσουν την εποπτεία και την κατάρτιση και δεν συμβάλλουν σε υγιείς, ασφαλείς και σταθερές συνθήκες εργασίας· καλεί τους οργανισμούς να διασφαλίσουν ότι οι μόνιμες ανάγκες καλύπτονται πρωτίστως μέσω επαρκώς εκπαιδευμένου μόνιμου και λοιπού προσωπικού, να παρέχουν πιο μακροπρόθεσμες και πιο σταθερές προοπτικές απασχόλησης, κατά περίπτωση, και να διασφαλίσουν ότι οι ασκούμενοι δεν χρησιμοποιούνται για την αντιστάθμιση διαρθρωτικών ελλείψεων προσωπικού ή για την εκτέλεση βασικών καθηκόντων·</w:t>
      </w:r>
    </w:p>
    <w:p w14:paraId="5F1D2B75" w14:textId="77777777" w:rsidR="00F026BE" w:rsidRPr="00512250" w:rsidRDefault="00F026BE" w:rsidP="00F026BE">
      <w:pPr>
        <w:pStyle w:val="NormalHanging12a"/>
        <w:rPr>
          <w:b/>
          <w:bCs/>
          <w:i/>
          <w:iCs/>
        </w:rPr>
      </w:pPr>
      <w:r w:rsidRPr="00512250">
        <w:rPr>
          <w:b/>
          <w:i/>
        </w:rPr>
        <w:t>Οργανισμοί στον τομέα της υγείας και της ασφάλειας των τροφίμων</w:t>
      </w:r>
      <w:r w:rsidRPr="00512250">
        <w:rPr>
          <w:b/>
          <w:bCs/>
          <w:i/>
          <w:iCs/>
          <w:vertAlign w:val="superscript"/>
        </w:rPr>
        <w:footnoteReference w:id="414"/>
      </w:r>
    </w:p>
    <w:p w14:paraId="7D18FD98" w14:textId="2865D489" w:rsidR="00F026BE" w:rsidRPr="00512250" w:rsidRDefault="00512250" w:rsidP="00512250">
      <w:pPr>
        <w:pStyle w:val="NormalHanging12a"/>
        <w:ind w:left="570" w:hanging="570"/>
      </w:pPr>
      <w:r w:rsidRPr="00512250">
        <w:t>103.</w:t>
      </w:r>
      <w:r w:rsidRPr="00512250">
        <w:tab/>
      </w:r>
      <w:r w:rsidR="00F026BE" w:rsidRPr="00512250">
        <w:t xml:space="preserve">σημειώνει με ανησυχία ότι το ζήτημα των πρώην εγκαταστάσεων του EMA στο Λονδίνο εξακολουθεί να υφίσταται, γεγονός που δημιουργεί σημαντικές οικονομικές και επιχειρησιακές προκλήσεις· γνωρίζει ότι, παρά τη μετεγκατάσταση του EMA λόγω του </w:t>
      </w:r>
      <w:proofErr w:type="spellStart"/>
      <w:r w:rsidR="00F026BE" w:rsidRPr="00512250">
        <w:t>Brexit</w:t>
      </w:r>
      <w:proofErr w:type="spellEnd"/>
      <w:r w:rsidR="00F026BE" w:rsidRPr="00512250">
        <w:t xml:space="preserve">, ο Οργανισμός παραμένει οικονομικά υπεύθυνος για τις εγκαταστάσεις αυτές, κατάσταση που επιδεινώθηκε από την επισφαλή οικονομική κατάσταση του υπομισθωτή μετά την πτώχευση της μητρικής εταιρείας της </w:t>
      </w:r>
      <w:proofErr w:type="spellStart"/>
      <w:r w:rsidR="00F026BE" w:rsidRPr="00512250">
        <w:t>WeWork</w:t>
      </w:r>
      <w:proofErr w:type="spellEnd"/>
      <w:r w:rsidR="00F026BE" w:rsidRPr="00512250">
        <w:t xml:space="preserve"> τον Νοέμβριο του 2023· σημειώνει ότι το μέγιστο ποσό, συμπεριλαμβανομένου του φόρου ακινήτων που καταβάλλεται από τον EMA σε περίπτωση που οι εγκαταστάσεις παραμένουν κενές για το υπόλοιπο της μίσθωσης, ανέρχεται σε 543 εκατομμύρια EUR·</w:t>
      </w:r>
    </w:p>
    <w:p w14:paraId="42C5A51B" w14:textId="3530B393" w:rsidR="00F026BE" w:rsidRPr="00512250" w:rsidRDefault="00512250" w:rsidP="00512250">
      <w:pPr>
        <w:pStyle w:val="NormalHanging12a"/>
        <w:ind w:left="570" w:hanging="570"/>
      </w:pPr>
      <w:r w:rsidRPr="00512250">
        <w:t>104.</w:t>
      </w:r>
      <w:r w:rsidRPr="00512250">
        <w:tab/>
      </w:r>
      <w:r w:rsidR="00F026BE" w:rsidRPr="00512250">
        <w:t xml:space="preserve">σημειώνει ότι, τον Οκτώβριο του 2024, σύμφωνα με τις συζητήσεις που πραγματοποιήθηκαν με τις αρμόδιες για τον προϋπολογισμό αρχές της Ένωσης και με τη συγκατάθεση του ιδιοκτήτη του, ο EMA συμφώνησε να τροποποιήσει την υφιστάμενη υπομίσθωση με τον υπομισθωτή, διευκολύνοντας τη μείωση του μισθώματος και διατηρώντας παράλληλα τις πλήρεις πληρωμές για τα τέλη υπηρεσιών και την ασφάλιση του ιδιοκτήτη· σημειώνει ότι η τροποποίηση περιλάμβανε διατάξεις είτε για τον EMA είτε για τον υπομισθωτή για πρόωρη καταγγελία της υπομίσθωσης, δηλαδή πριν από την προγραμματισμένη ημερομηνία λήξης τον Ιούνιο του 2039, υπό ορισμένες προϋποθέσεις· γνωρίζει ότι, στο πλαίσιο αυτό, ο EMA προέβη σε πρόβλεψη για επαχθή σύμβαση, με λογιστική αξία 122,1 εκατομμυρίων EUR στις 31 Δεκεμβρίου 2024· σημειώνει ότι το 2024 ο EMA έλαβε από την Επιτροπή επιστροφή χρημάτων ύψους 11,2 εκατομμυρίων EUR, τα οποία αναγνωρίστηκαν ως έσοδα· επαινεί τα </w:t>
      </w:r>
      <w:r w:rsidR="00F026BE" w:rsidRPr="00512250">
        <w:lastRenderedPageBreak/>
        <w:t>προορατικά μέτρα του EMA και τα συνετά μέτρα για τον μετριασμό μέρους της οικονομικής επιβάρυνσης που προκαλείται από αυτό το ζήτημα·</w:t>
      </w:r>
    </w:p>
    <w:p w14:paraId="335BE46F" w14:textId="2247BD2A" w:rsidR="00F026BE" w:rsidRPr="00512250" w:rsidRDefault="00512250" w:rsidP="00512250">
      <w:pPr>
        <w:pStyle w:val="NormalHanging12a"/>
        <w:ind w:left="570" w:hanging="570"/>
      </w:pPr>
      <w:r w:rsidRPr="00512250">
        <w:t>105.</w:t>
      </w:r>
      <w:r w:rsidRPr="00512250">
        <w:tab/>
      </w:r>
      <w:r w:rsidR="00F026BE" w:rsidRPr="00512250">
        <w:t>επισημαίνει ότι, όταν ο EMA εξέδωσε τους λογαριασμούς του, ο υπομισθωτής είχε εκπληρώσει τις συμβατικές του υποχρεώσεις, με πληρωμές ενοικίων και τελών εξυπηρέτησης που κάλυπταν την περίοδο έως τις 30 Ιουνίου 2025·</w:t>
      </w:r>
    </w:p>
    <w:p w14:paraId="6757582E" w14:textId="4F69A0B9" w:rsidR="00F026BE" w:rsidRPr="00512250" w:rsidRDefault="00512250" w:rsidP="00512250">
      <w:pPr>
        <w:pStyle w:val="NormalHanging12a"/>
        <w:ind w:left="570" w:hanging="570"/>
      </w:pPr>
      <w:r w:rsidRPr="00512250">
        <w:t>106.</w:t>
      </w:r>
      <w:r w:rsidRPr="00512250">
        <w:tab/>
      </w:r>
      <w:r w:rsidR="00F026BE" w:rsidRPr="00512250">
        <w:t>εκφράζει την υποστήριξή του στο αίτημα του διοικητικού συμβουλίου του EMA να επιλυθεί το ζήτημα αυτό στο υψηλότερο πολιτικό επίπεδο, επιτρέποντας έτσι στον EMA να συγκεντρώσει τους πόρους του στην επίσημη εντολή του και να αντιμετωπίσει τις προτεραιότητες στον τομέα της δημόσιας υγείας σε ολόκληρη την Ένωση·</w:t>
      </w:r>
    </w:p>
    <w:p w14:paraId="1CDEBF18" w14:textId="4B171411" w:rsidR="00F026BE" w:rsidRPr="00512250" w:rsidRDefault="00512250" w:rsidP="00512250">
      <w:pPr>
        <w:pStyle w:val="NormalHanging12a"/>
        <w:ind w:left="570" w:hanging="570"/>
      </w:pPr>
      <w:r w:rsidRPr="00512250">
        <w:t>107.</w:t>
      </w:r>
      <w:r w:rsidRPr="00512250">
        <w:tab/>
      </w:r>
      <w:r w:rsidR="00F026BE" w:rsidRPr="00512250">
        <w:t xml:space="preserve">υπενθυμίζει δύο από τις παρατυπίες του EMA στον τομέα των δημόσιων συμβάσεων, οι οποίες επισημάνθηκαν από το Ελεγκτικό Συνέδριο το 2020 και είχαν ως αποτέλεσμα παράτυπες πληρωμές το 2024· σημειώνει ότι ο EMA υπερέβη τα δημοσιονομικά ανώτατα όρια διαφόρων συμβάσεων-πλαισίων ΤΠ, με αυξήσεις που κυμαίνονταν από 77 % έως 124 %, κατά παράβαση του άρθρου 172 παράγραφος 3 στοιχείο α) σημείο </w:t>
      </w:r>
      <w:proofErr w:type="spellStart"/>
      <w:r w:rsidR="00F026BE" w:rsidRPr="00512250">
        <w:t>iii</w:t>
      </w:r>
      <w:proofErr w:type="spellEnd"/>
      <w:r w:rsidR="00F026BE" w:rsidRPr="00512250">
        <w:t>) του δημοσιονομικού κανονισμού, με αποτέλεσμα παράτυπες πληρωμές ύψους 3,1</w:t>
      </w:r>
      <w:r w:rsidR="0023028A" w:rsidRPr="00512250">
        <w:t> </w:t>
      </w:r>
      <w:r w:rsidR="00F026BE" w:rsidRPr="00512250">
        <w:t>εκατομμυρίων EUR το 2024· λαμβάνει υπόψη την απάντηση του EMA ότι οι αυξήσεις ήταν αναγκαίες για την αντιμετώπιση έκτακτων επιχειρησιακών αναγκών που προκύπτουν από απρόβλεπτες νομοθετικές εξελίξεις και εξελίξεις στον τομέα της δημόσιας υγείας, και ότι όλες οι τροποποιήσεις των συμβάσεων καταχωρίστηκαν στο μητρώο εξαιρέσεων·</w:t>
      </w:r>
    </w:p>
    <w:p w14:paraId="2855C227" w14:textId="6097DC8B" w:rsidR="00F026BE" w:rsidRPr="00512250" w:rsidRDefault="00512250" w:rsidP="00512250">
      <w:pPr>
        <w:pStyle w:val="NormalHanging12a"/>
        <w:ind w:left="570" w:hanging="570"/>
      </w:pPr>
      <w:r w:rsidRPr="00512250">
        <w:t>108.</w:t>
      </w:r>
      <w:r w:rsidRPr="00512250">
        <w:tab/>
      </w:r>
      <w:r w:rsidR="00F026BE" w:rsidRPr="00512250">
        <w:t>εφιστά την προσοχή στην εκτελεστική απόφαση της Επιτροπής, της 28ης Ιουνίου 2024, για την ανάκληση της απόφασης C (2018) 4831 της Επιτροπής, η οποία είχε αρνηθεί τη χορήγηση άδειας κυκλοφορίας δυνάμει του κανονισμού (ΕΚ) αριθ.</w:t>
      </w:r>
      <w:r w:rsidR="0023028A" w:rsidRPr="00512250">
        <w:t xml:space="preserve"> </w:t>
      </w:r>
      <w:r w:rsidR="00F026BE" w:rsidRPr="00512250">
        <w:t>726/2004 για το φάρμακο «</w:t>
      </w:r>
      <w:proofErr w:type="spellStart"/>
      <w:r w:rsidR="00F026BE" w:rsidRPr="00512250">
        <w:t>Aplidin</w:t>
      </w:r>
      <w:proofErr w:type="spellEnd"/>
      <w:r w:rsidR="00F026BE" w:rsidRPr="00512250">
        <w:t xml:space="preserve"> (</w:t>
      </w:r>
      <w:proofErr w:type="spellStart"/>
      <w:r w:rsidR="00F026BE" w:rsidRPr="00512250">
        <w:t>πλιτιδεψίνη</w:t>
      </w:r>
      <w:proofErr w:type="spellEnd"/>
      <w:r w:rsidR="00F026BE" w:rsidRPr="00512250">
        <w:t>)», το οποίο προορίζεται για ανθρώπινη χρήση· επισημαίνει ότι η ανάκληση βασίστηκε στη διαπίστωση ότι μία σύγκρουση συμφερόντων που αφορούσε έναν από τους επιστημονικούς συμβούλους που συμμετείχαν στη συμβουλευτική ομάδα είχε ενεργό ρόλο στην ανάπτυξη ανταγωνιστικού φαρμάκου, γεγονός που θα έπρεπε να είχε αποκλείσει τη συμμετοχή του εν λόγω συμβούλου σύμφωνα με την αρχή της αντικειμενικής αμεροληψίας· επισημαίνει ότι ο EMA έχει ενισχύσει σημαντικά την πολιτική του για τον χειρισμό ανταγωνιστικών συμφερόντων για τα μέλη επιστημονικών επιτροπών και τους εμπειρογνώμονες, η οποία εγκρίθηκε από το διοικητικό συμβούλιο του EMA τον Δεκέμβριο του 2024 και τέθηκε σε ισχύ την 1η Μαΐου 2025·</w:t>
      </w:r>
    </w:p>
    <w:p w14:paraId="7D06221D" w14:textId="071B337B" w:rsidR="00F026BE" w:rsidRPr="00512250" w:rsidRDefault="00512250" w:rsidP="00512250">
      <w:pPr>
        <w:pStyle w:val="NormalHanging12a"/>
        <w:ind w:left="570" w:hanging="570"/>
      </w:pPr>
      <w:r w:rsidRPr="00512250">
        <w:t>109.</w:t>
      </w:r>
      <w:r w:rsidRPr="00512250">
        <w:tab/>
      </w:r>
      <w:r w:rsidR="00F026BE" w:rsidRPr="00512250">
        <w:t xml:space="preserve">επικροτεί το έργο του EMA για την αντιμετώπιση της έλλειψης φαρμάκων σε αντιβιοτικά </w:t>
      </w:r>
      <w:proofErr w:type="spellStart"/>
      <w:r w:rsidR="00F026BE" w:rsidRPr="00512250">
        <w:t>αμοξικιλίνης</w:t>
      </w:r>
      <w:proofErr w:type="spellEnd"/>
      <w:r w:rsidR="00F026BE" w:rsidRPr="00512250">
        <w:t xml:space="preserve"> στην Ευρώπη και τη συνεργασία με τον εθνικό οργανισμό φαρμάκων για την αντιμετώπιση της έλλειψης, με αποτέλεσμα η </w:t>
      </w:r>
      <w:proofErr w:type="spellStart"/>
      <w:r w:rsidR="00F026BE" w:rsidRPr="00512250">
        <w:t>αμοξικιλίνη</w:t>
      </w:r>
      <w:proofErr w:type="spellEnd"/>
      <w:r w:rsidR="00F026BE" w:rsidRPr="00512250">
        <w:t xml:space="preserve"> να αφαιρεθεί από τον κατάλογο ελλείψεων το 2024· ενθαρρύνει τον EMA να συνεχίσει να χρησιμοποιεί ανθρώπινους και δημοσιονομικούς πόρους για παρόμοιους στόχους·</w:t>
      </w:r>
    </w:p>
    <w:p w14:paraId="6F57AB78" w14:textId="5EBCABE4" w:rsidR="00F026BE" w:rsidRPr="00512250" w:rsidRDefault="00512250" w:rsidP="00512250">
      <w:pPr>
        <w:pStyle w:val="NormalHanging12a"/>
        <w:ind w:left="570" w:hanging="570"/>
      </w:pPr>
      <w:r w:rsidRPr="00512250">
        <w:t>110.</w:t>
      </w:r>
      <w:r w:rsidRPr="00512250">
        <w:tab/>
      </w:r>
      <w:r w:rsidR="00F026BE" w:rsidRPr="00512250">
        <w:t>σημειώνει ότι, στην ειδική έκθεσή του αριθ. 12/2024, το ΕΕΣ συνέστησε στον EMA να συνεχίσει να εργάζεται προκειμένου να καταστήσει τις ανακοινώσεις του εύκολα προσβάσιμες στο κοινό, ώστε το κοινό να έχει καλύτερη εικόνα της χρήσης των κονδυλίων της Ένωσης από τον εν λόγω οργανισμό·</w:t>
      </w:r>
    </w:p>
    <w:p w14:paraId="1159FB08" w14:textId="58736A2A" w:rsidR="00F026BE" w:rsidRPr="00512250" w:rsidRDefault="00512250" w:rsidP="00512250">
      <w:pPr>
        <w:pStyle w:val="NormalHanging12a"/>
        <w:ind w:left="570" w:hanging="570"/>
      </w:pPr>
      <w:r w:rsidRPr="00512250">
        <w:t>111.</w:t>
      </w:r>
      <w:r w:rsidRPr="00512250">
        <w:tab/>
      </w:r>
      <w:r w:rsidR="00F026BE" w:rsidRPr="00512250">
        <w:t xml:space="preserve">σημειώνει ότι το Ελεγκτικό Συνέδριο, στην ειδική έκθεσή του τον Δεκέμβριο του 2024, συνέστησε στον EMA να συντονιστεί με το ECDC και την HERA για τη βελτίωση της </w:t>
      </w:r>
      <w:r w:rsidR="00F026BE" w:rsidRPr="00512250">
        <w:lastRenderedPageBreak/>
        <w:t>ετοιμότητας για την αντιμετώπιση πανδημιών μέσω καθορισμού των ρόλων του κάθε οργανισμού, αποδοτικότερης χρήσης των κονδυλίων της Ένωσης και επαναξιολόγησης των εργαλείων, των διαδικασιών και της καθοδήγησης που αναπτύχθηκαν κατά τη διάρκεια της πανδημίας, ώστε να καθοριστεί ποια θα πρέπει να διατηρηθούν ή να προσαρμοστούν σύμφωνα με την επιστημονική και τεχνολογική πρόοδο, και ενθαρρύνει τη διάθεση επαρκών πόρων για τη στήριξη αυτής της προσπάθειας·</w:t>
      </w:r>
    </w:p>
    <w:p w14:paraId="44000CB1" w14:textId="530A97EE" w:rsidR="00F026BE" w:rsidRPr="00512250" w:rsidRDefault="00512250" w:rsidP="00512250">
      <w:pPr>
        <w:pStyle w:val="NormalHanging12a"/>
        <w:ind w:left="570" w:hanging="570"/>
      </w:pPr>
      <w:r w:rsidRPr="00512250">
        <w:t>112.</w:t>
      </w:r>
      <w:r w:rsidRPr="00512250">
        <w:tab/>
      </w:r>
      <w:r w:rsidR="00F026BE" w:rsidRPr="00512250">
        <w:t>επισημαίνει ότι ο EMA έχει επισημάνει, μεταξύ άλλων, τις συνεχιζόμενες ελλείψεις φαρμάκων κρίσιμης σημασίας στα κράτη μέλη της Ευρωπαϊκής Ένωσης και του ΕΟΧ, συμπεριλαμβανομένων βασικών αντικαρκινικών φαρμάκων (</w:t>
      </w:r>
      <w:proofErr w:type="spellStart"/>
      <w:r w:rsidR="00F026BE" w:rsidRPr="00512250">
        <w:t>φλουδαραβίνη</w:t>
      </w:r>
      <w:proofErr w:type="spellEnd"/>
      <w:r w:rsidR="00F026BE" w:rsidRPr="00512250">
        <w:t xml:space="preserve">, </w:t>
      </w:r>
      <w:proofErr w:type="spellStart"/>
      <w:r w:rsidR="00F026BE" w:rsidRPr="00512250">
        <w:t>βινδεσίνη</w:t>
      </w:r>
      <w:proofErr w:type="spellEnd"/>
      <w:r w:rsidR="00F026BE" w:rsidRPr="00512250">
        <w:t xml:space="preserve">, </w:t>
      </w:r>
      <w:proofErr w:type="spellStart"/>
      <w:r w:rsidR="00F026BE" w:rsidRPr="00512250">
        <w:t>φθοριοουρακίλη</w:t>
      </w:r>
      <w:proofErr w:type="spellEnd"/>
      <w:r w:rsidR="00F026BE" w:rsidRPr="00512250">
        <w:t xml:space="preserve">, </w:t>
      </w:r>
      <w:proofErr w:type="spellStart"/>
      <w:r w:rsidR="00F026BE" w:rsidRPr="00512250">
        <w:t>σισπλατίνη</w:t>
      </w:r>
      <w:proofErr w:type="spellEnd"/>
      <w:r w:rsidR="00F026BE" w:rsidRPr="00512250">
        <w:t xml:space="preserve">, </w:t>
      </w:r>
      <w:proofErr w:type="spellStart"/>
      <w:r w:rsidR="00F026BE" w:rsidRPr="00512250">
        <w:t>τοποτεκάνη</w:t>
      </w:r>
      <w:proofErr w:type="spellEnd"/>
      <w:r w:rsidR="00F026BE" w:rsidRPr="00512250">
        <w:t xml:space="preserve"> και </w:t>
      </w:r>
      <w:proofErr w:type="spellStart"/>
      <w:r w:rsidR="00F026BE" w:rsidRPr="00512250">
        <w:t>μεθοτρεξάτη</w:t>
      </w:r>
      <w:proofErr w:type="spellEnd"/>
      <w:r w:rsidR="00F026BE" w:rsidRPr="00512250">
        <w:t xml:space="preserve">) για τη λευχαιμία, το λέμφωμα, τον καρκίνο των ωοθηκών και τον </w:t>
      </w:r>
      <w:proofErr w:type="spellStart"/>
      <w:r w:rsidR="00F026BE" w:rsidRPr="00512250">
        <w:t>μικροκυτταρικό</w:t>
      </w:r>
      <w:proofErr w:type="spellEnd"/>
      <w:r w:rsidR="00F026BE" w:rsidRPr="00512250">
        <w:t xml:space="preserve"> καρκίνο του πνεύμονα, καθώς και βασικών θεραπειών για τον διαβήτη (διάφορες ινσουλίνες, </w:t>
      </w:r>
      <w:proofErr w:type="spellStart"/>
      <w:r w:rsidR="00F026BE" w:rsidRPr="00512250">
        <w:t>λιραγλουτίδη</w:t>
      </w:r>
      <w:proofErr w:type="spellEnd"/>
      <w:r w:rsidR="00F026BE" w:rsidRPr="00512250">
        <w:t xml:space="preserve">, </w:t>
      </w:r>
      <w:proofErr w:type="spellStart"/>
      <w:r w:rsidR="00F026BE" w:rsidRPr="00512250">
        <w:t>ντουλαγλουτίδη</w:t>
      </w:r>
      <w:proofErr w:type="spellEnd"/>
      <w:r w:rsidR="00F026BE" w:rsidRPr="00512250">
        <w:t>) που απαιτούνται για τη διαχείριση του διαβήτη τύπου 1 και τύπου 2·</w:t>
      </w:r>
    </w:p>
    <w:p w14:paraId="50F3B146" w14:textId="0DC4D420" w:rsidR="00F026BE" w:rsidRPr="00512250" w:rsidRDefault="00512250" w:rsidP="00512250">
      <w:pPr>
        <w:pStyle w:val="NormalHanging12a"/>
        <w:ind w:left="570" w:hanging="570"/>
      </w:pPr>
      <w:r w:rsidRPr="00512250">
        <w:t>113.</w:t>
      </w:r>
      <w:r w:rsidRPr="00512250">
        <w:tab/>
      </w:r>
      <w:r w:rsidR="00F026BE" w:rsidRPr="00512250">
        <w:t>εκφράζει σοβαρή ανησυχία για τις επανειλημμένες παραβιάσεις του δημοσιονομικού κανονισμού που εντοπίστηκαν στις διαδικασίες σύναψης δημόσιων συμβάσεων του EUDA, λαμβάνοντας υπόψη τις πέντε παρατυπίες που επισημάνθηκαν από το Ελεγκτικό Συνέδριο το 2024· τονίζει ότι οι παρατυπίες αυτές περιλαμβάνουν:</w:t>
      </w:r>
    </w:p>
    <w:p w14:paraId="2FE4B581" w14:textId="77777777" w:rsidR="00F026BE" w:rsidRPr="00512250" w:rsidRDefault="00F026BE" w:rsidP="00F026BE">
      <w:pPr>
        <w:pStyle w:val="NormalHanging12a"/>
        <w:ind w:left="1134"/>
      </w:pPr>
      <w:r w:rsidRPr="00512250">
        <w:t>–</w:t>
      </w:r>
      <w:r w:rsidRPr="00512250">
        <w:tab/>
        <w:t>μη εξουσιοδοτημένη κατάτμηση συμβάσεων και αθέμιτη χρήση διαδικασιών με διαπραγμάτευση χωρίς αιτιολόγηση για τρεις συμβάσεις εκδηλώσεων στη Λισαβόνα (χώρος εκδηλώσεων και εστίαση, συνολικό ύψος: 210 668 EUR), παράλληλα με την έλλειψη βασικής τεκμηρίωσης και τη μη τήρηση των απαιτήσεων δημοσιότητας των δημόσιων συμβάσεων·</w:t>
      </w:r>
    </w:p>
    <w:p w14:paraId="7413DEFE" w14:textId="77777777" w:rsidR="00F026BE" w:rsidRPr="00512250" w:rsidRDefault="00F026BE" w:rsidP="00F026BE">
      <w:pPr>
        <w:pStyle w:val="NormalHanging12a"/>
        <w:ind w:left="1134"/>
      </w:pPr>
      <w:r w:rsidRPr="00512250">
        <w:t>–</w:t>
      </w:r>
      <w:r w:rsidRPr="00512250">
        <w:tab/>
        <w:t>σοβαρές ελλείψεις σε σύμβαση ύψους 410 000 EUR για σύστημα αναφοράς διακίνησης ναρκωτικών, συμπεριλαμβανομένης της έλλειψης κατάλληλης συγγραφής υποχρεώσεων, κριτηρίων ανάθεσης και επιτροπής αξιολόγησης, γεγονότα που καθιστούν παράτυπη τόσο τη σύμβαση όσο και την αντίστοιχη πληρωμή ύψους 60 000 EUR·</w:t>
      </w:r>
    </w:p>
    <w:p w14:paraId="395E9AE7" w14:textId="77777777" w:rsidR="00F026BE" w:rsidRPr="00512250" w:rsidRDefault="00F026BE" w:rsidP="00F026BE">
      <w:pPr>
        <w:pStyle w:val="NormalHanging12a"/>
        <w:ind w:left="1134"/>
      </w:pPr>
      <w:r w:rsidRPr="00512250">
        <w:t>–</w:t>
      </w:r>
      <w:r w:rsidRPr="00512250">
        <w:tab/>
        <w:t>υπερβολικές πληρωμές ύψους 14 007 EUR πάνω από τη συμφωνηθείσα συμβατική αξία για τελετές εγκαινίων, κατά παράβαση του άρθρου 73 του δημοσιονομικού κανονισμού του EUDA·</w:t>
      </w:r>
    </w:p>
    <w:p w14:paraId="7D6967A8" w14:textId="77777777" w:rsidR="00F026BE" w:rsidRPr="00512250" w:rsidRDefault="00F026BE" w:rsidP="00F026BE">
      <w:pPr>
        <w:pStyle w:val="NormalHanging12a"/>
        <w:ind w:left="1134"/>
      </w:pPr>
      <w:r w:rsidRPr="00512250">
        <w:t>–</w:t>
      </w:r>
      <w:r w:rsidRPr="00512250">
        <w:tab/>
        <w:t>πλημμελή προμήθεια για δημόσια σύμβαση συλλογής δεδομένων ύψους 10 000 EUR στην Ουκρανία, η οποία δεν περιλάμβανε κριτήρια ανάθεσης και κατάλληλη τεκμηρίωση·</w:t>
      </w:r>
    </w:p>
    <w:p w14:paraId="4FBA8CC5" w14:textId="77777777" w:rsidR="00F026BE" w:rsidRPr="00512250" w:rsidRDefault="00F026BE" w:rsidP="00F026BE">
      <w:pPr>
        <w:pStyle w:val="NormalHanging12a"/>
        <w:ind w:left="1134"/>
      </w:pPr>
      <w:r w:rsidRPr="00512250">
        <w:t>–</w:t>
      </w:r>
      <w:r w:rsidRPr="00512250">
        <w:tab/>
        <w:t>μη συμμόρφωση με τις απαιτήσεις δημοσιότητας και τις δηλώσεις σύγκρουσης συμφερόντων σε δημόσια σύμβαση προσωρινών υπηρεσιών αξίας 100 000 EUR·</w:t>
      </w:r>
    </w:p>
    <w:p w14:paraId="42B73B68" w14:textId="73A7F73D" w:rsidR="00F026BE" w:rsidRPr="00512250" w:rsidRDefault="00512250" w:rsidP="00512250">
      <w:pPr>
        <w:pStyle w:val="NormalHanging12a"/>
        <w:ind w:left="570" w:hanging="570"/>
      </w:pPr>
      <w:r w:rsidRPr="00512250">
        <w:t>114.</w:t>
      </w:r>
      <w:r w:rsidRPr="00512250">
        <w:tab/>
      </w:r>
      <w:r w:rsidR="00F026BE" w:rsidRPr="00512250">
        <w:t>λαμβάνει υπόψη την απάντηση του EUDA, αναγνωρίζοντας τόσο τις διαδικαστικές ελλείψεις όσο και την ανάγκη για επακόλουθες ενέργειες για τη διασφάλιση της συμμόρφωσης·</w:t>
      </w:r>
    </w:p>
    <w:p w14:paraId="0A6ED675" w14:textId="4FA4784D" w:rsidR="00F026BE" w:rsidRPr="00512250" w:rsidRDefault="00512250" w:rsidP="00512250">
      <w:pPr>
        <w:pStyle w:val="NormalHanging12a"/>
        <w:ind w:left="570" w:hanging="570"/>
      </w:pPr>
      <w:r w:rsidRPr="00512250">
        <w:t>115.</w:t>
      </w:r>
      <w:r w:rsidRPr="00512250">
        <w:tab/>
      </w:r>
      <w:r w:rsidR="00F026BE" w:rsidRPr="00512250">
        <w:t xml:space="preserve">λαμβάνει υπόψη τις συνεχιζόμενες καθυστερήσεις στην υλοποίηση του EUDA όσον αφορά τις συστάσεις της Υπηρεσίας Εσωτερικού Λογιστικού Ελέγχου σχετικά με τη διαχείριση των ανθρώπινων πόρων και τη δεοντολογία, ιδίως την εκκρεμούσα σύσταση σχετικά με τη διαχείριση του φόρτου εργασίας και των επιδόσεων· η εν λόγω σύσταση </w:t>
      </w:r>
      <w:r w:rsidR="00F026BE" w:rsidRPr="00512250">
        <w:lastRenderedPageBreak/>
        <w:t>εξακολουθεί να εκκρεμεί στον τομέα των προκλήσεων υλοποίησης όσον αφορά την αξιολόγηση του φόρτου εργασίας και τις μεθόδους διαχείρισης βάσει δραστηριοτήτων για την κατανομή του προσωπικού/ΙΠΑ και την κατάρτιση του προϋπολογισμού δαπανών· γνωρίζει ότι ο Οργανισμός αναθεώρησε την προθεσμία υλοποίησης των στόχων του έως τις 31 Δεκεμβρίου 2025·</w:t>
      </w:r>
    </w:p>
    <w:p w14:paraId="5925F987" w14:textId="5879B1BD" w:rsidR="00F026BE" w:rsidRPr="00512250" w:rsidRDefault="00512250" w:rsidP="00512250">
      <w:pPr>
        <w:pStyle w:val="NormalHanging12a"/>
        <w:ind w:left="570" w:hanging="570"/>
      </w:pPr>
      <w:r w:rsidRPr="00512250">
        <w:t>116.</w:t>
      </w:r>
      <w:r w:rsidRPr="00512250">
        <w:tab/>
      </w:r>
      <w:r w:rsidR="00F026BE" w:rsidRPr="00512250">
        <w:t>σημειώνει την παρατήρηση του Ελεγκτικού Συνεδρίου ότι τρεις από τις διαδικασίες σύναψης δημόσιων συμβάσεων του ECDC δρομολογήθηκαν χωρίς προηγούμενες αποφάσεις χρηματοδότησης, κατά παράβαση του άρθρου 72 παράγραφος 3 στοιχείο β) του δημοσιονομικού κανονισμού του· σημειώνει περαιτέρω αδυναμίες ελέγχου στην αξιολόγηση μιας σύμβασης διάσκεψης ύψους 2,8 εκατομμυρίων EUR, συμπεριλαμβανομένης της ανεπαρκούς επαλήθευσης των κριτηρίων επιλογής και της έλλειψης ελέγχων σε ασυνήθιστα χαμηλές προσφορές, κατά παράβαση των άρθρων 151 και 167 και του τμήματος 23 του παραρτήματος I του δημοσιονομικού κανονισμού· λαμβάνει υπόψη την απάντηση του Κέντρου στην οποία περιγράφονται διορθωτικά μέτρα, συμπεριλαμβανομένης της ενισχυμένης εκ των προτέρων επαλήθευσης και της ενισχυμένης τεκμηρίωσης για τις αξιολογήσεις των δημόσιων συμβάσεων·</w:t>
      </w:r>
    </w:p>
    <w:p w14:paraId="20E2A4A2" w14:textId="58EEB3EF" w:rsidR="00F026BE" w:rsidRPr="00512250" w:rsidRDefault="00512250" w:rsidP="00512250">
      <w:pPr>
        <w:pStyle w:val="NormalHanging12a"/>
        <w:ind w:left="570" w:hanging="570"/>
      </w:pPr>
      <w:r w:rsidRPr="00512250">
        <w:t>117.</w:t>
      </w:r>
      <w:r w:rsidRPr="00512250">
        <w:tab/>
      </w:r>
      <w:r w:rsidR="00F026BE" w:rsidRPr="00512250">
        <w:t>επισημαίνει ότι το ΕΕΣ συνιστά στο ECDC να συνεργαστεί με τα κράτη μέλη για την ενίσχυση ενός εναρμονισμένου συστήματος επιτήρησης λοιμωδών νόσων σε επίπεδο Ένωσης, τη βελτίωση των εσωτερικών διαδικασιών για την παροχή πιο έγκαιρης και πρακτικής καθοδήγησης και τη σαφέστερη επικοινωνία με το κοινό με τη χρήση απλής γλώσσας, ώστε να αντικατοπτρίζεται καλύτερα η χρήση των κονδυλίων της Ένωσης, όπως επισημαίνεται από το ΕΕΣ στην ειδική έκθεσή του αριθ. 12/2024·</w:t>
      </w:r>
    </w:p>
    <w:p w14:paraId="31D2A69B" w14:textId="77777777" w:rsidR="00F026BE" w:rsidRPr="00512250" w:rsidRDefault="00F026BE" w:rsidP="00F026BE">
      <w:pPr>
        <w:pStyle w:val="NormalHanging12a"/>
        <w:rPr>
          <w:bCs/>
          <w:i/>
          <w:iCs/>
        </w:rPr>
      </w:pPr>
      <w:r w:rsidRPr="00512250">
        <w:rPr>
          <w:i/>
        </w:rPr>
        <w:t>Συστάσεις</w:t>
      </w:r>
    </w:p>
    <w:p w14:paraId="794E5448" w14:textId="4589F7A8" w:rsidR="00F026BE" w:rsidRPr="00512250" w:rsidRDefault="00512250" w:rsidP="00512250">
      <w:pPr>
        <w:pStyle w:val="NormalHanging12a"/>
        <w:ind w:left="570" w:hanging="570"/>
        <w:rPr>
          <w:bCs/>
        </w:rPr>
      </w:pPr>
      <w:r w:rsidRPr="00512250">
        <w:rPr>
          <w:bCs/>
        </w:rPr>
        <w:t>118.</w:t>
      </w:r>
      <w:r w:rsidRPr="00512250">
        <w:rPr>
          <w:bCs/>
        </w:rPr>
        <w:tab/>
      </w:r>
      <w:r w:rsidR="00F026BE" w:rsidRPr="00512250">
        <w:t>καλεί τους οργανισμούς να δώσουν συνέχεια στις παρατηρήσεις του Ελεγκτικού Συνεδρίου, και συγκεκριμένα:</w:t>
      </w:r>
    </w:p>
    <w:p w14:paraId="4D045567" w14:textId="77777777" w:rsidR="00F026BE" w:rsidRPr="00512250" w:rsidRDefault="00F026BE" w:rsidP="00F026BE">
      <w:pPr>
        <w:pStyle w:val="NormalHanging12a"/>
        <w:ind w:left="1134"/>
        <w:rPr>
          <w:bCs/>
        </w:rPr>
      </w:pPr>
      <w:r w:rsidRPr="00512250">
        <w:t>i)</w:t>
      </w:r>
      <w:r w:rsidRPr="00512250">
        <w:tab/>
        <w:t>καλεί τον EUDA να αντιμετωπίσει αμέσως τις παρατυπίες, να ενισχύσει τους εσωτερικούς ελέγχους και να διασφαλίσει την αυστηρή τήρηση των κανόνων για τις δημόσιες συμβάσεις, ώστε να αποφευχθούν περαιτέρω παραβιάσεις·</w:t>
      </w:r>
    </w:p>
    <w:p w14:paraId="3A4D2503" w14:textId="77777777" w:rsidR="00F026BE" w:rsidRPr="00512250" w:rsidRDefault="00F026BE" w:rsidP="00F026BE">
      <w:pPr>
        <w:pStyle w:val="NormalHanging12a"/>
        <w:ind w:left="1134"/>
        <w:rPr>
          <w:bCs/>
        </w:rPr>
      </w:pPr>
      <w:proofErr w:type="spellStart"/>
      <w:r w:rsidRPr="00512250">
        <w:t>ii</w:t>
      </w:r>
      <w:proofErr w:type="spellEnd"/>
      <w:r w:rsidRPr="00512250">
        <w:t>)</w:t>
      </w:r>
      <w:r w:rsidRPr="00512250">
        <w:tab/>
        <w:t>καλεί τον EMA να ενισχύσει τις διαδικασίες του για τον εντοπισμό και την πρόληψη πιθανών συγκρούσεων συμφερόντων κατά την επιλογή των μελών μιας συμβουλευτικής επιτροπής·</w:t>
      </w:r>
    </w:p>
    <w:p w14:paraId="3C91C0B4" w14:textId="77777777" w:rsidR="00F026BE" w:rsidRPr="00512250" w:rsidRDefault="00F026BE" w:rsidP="00F026BE">
      <w:pPr>
        <w:pStyle w:val="NormalHanging12a"/>
        <w:ind w:left="1134"/>
        <w:rPr>
          <w:bCs/>
        </w:rPr>
      </w:pPr>
      <w:proofErr w:type="spellStart"/>
      <w:r w:rsidRPr="00512250">
        <w:t>iii</w:t>
      </w:r>
      <w:proofErr w:type="spellEnd"/>
      <w:r w:rsidRPr="00512250">
        <w:t>)</w:t>
      </w:r>
      <w:r w:rsidRPr="00512250">
        <w:tab/>
        <w:t>καλεί το ECDC να διασφαλίσει τη συνεπή εφαρμογή των κανόνων για τις δημόσιες συμβάσεις, συμπεριλαμβανομένης της ενισχυμένης εκ των προτέρων επαλήθευσης·</w:t>
      </w:r>
    </w:p>
    <w:p w14:paraId="3E9A8059" w14:textId="77777777" w:rsidR="00F026BE" w:rsidRPr="00512250" w:rsidRDefault="00F026BE" w:rsidP="00F026BE">
      <w:pPr>
        <w:pStyle w:val="NormalHanging12a"/>
        <w:ind w:left="1134"/>
        <w:rPr>
          <w:bCs/>
        </w:rPr>
      </w:pPr>
      <w:proofErr w:type="spellStart"/>
      <w:r w:rsidRPr="00512250">
        <w:t>iv</w:t>
      </w:r>
      <w:proofErr w:type="spellEnd"/>
      <w:r w:rsidRPr="00512250">
        <w:t>)</w:t>
      </w:r>
      <w:r w:rsidRPr="00512250">
        <w:tab/>
        <w:t>να παρέχει επαρκή κατάρτιση στο προσωπικό σχετικά με τους κανόνες σύναψης δημόσιων συμβάσεων·</w:t>
      </w:r>
    </w:p>
    <w:p w14:paraId="483AB0B2" w14:textId="108E7E24" w:rsidR="00F026BE" w:rsidRPr="00512250" w:rsidRDefault="00512250" w:rsidP="00512250">
      <w:pPr>
        <w:pStyle w:val="NormalHanging12a"/>
        <w:ind w:left="570" w:hanging="570"/>
        <w:rPr>
          <w:bCs/>
        </w:rPr>
      </w:pPr>
      <w:r w:rsidRPr="00512250">
        <w:rPr>
          <w:bCs/>
        </w:rPr>
        <w:t>119.</w:t>
      </w:r>
      <w:r w:rsidRPr="00512250">
        <w:rPr>
          <w:bCs/>
        </w:rPr>
        <w:tab/>
      </w:r>
      <w:r w:rsidR="00F026BE" w:rsidRPr="00512250">
        <w:t>Επιπλέον, καλεί τους ακόλουθους οργανισμούς:</w:t>
      </w:r>
    </w:p>
    <w:p w14:paraId="0E9978C1" w14:textId="77777777" w:rsidR="00F026BE" w:rsidRPr="00512250" w:rsidRDefault="00F026BE" w:rsidP="00F026BE">
      <w:pPr>
        <w:pStyle w:val="NormalHanging12a"/>
        <w:ind w:left="1134"/>
        <w:rPr>
          <w:bCs/>
        </w:rPr>
      </w:pPr>
      <w:r w:rsidRPr="00512250">
        <w:t>i)</w:t>
      </w:r>
      <w:r w:rsidRPr="00512250">
        <w:tab/>
        <w:t>τον EUDA να υποβάλει έκθεση στην αρμόδια για την απαλλαγή αρχή σχετικά με τις λεπτομέρειες της προόδου της όσον αφορά την εφαρμογή των συστάσεων της Υπηρεσίας Εσωτερικού Ελέγχου σχετικά με τη διαχείριση των ανθρώπινων πόρων και τη δεοντολογία, ιδίως της εκκρεμούσας σύστασης σχετικά με τον φόρτο εργασίας και τη διαχείριση των επιδόσεων·</w:t>
      </w:r>
    </w:p>
    <w:p w14:paraId="30BA40A8" w14:textId="77777777" w:rsidR="00F026BE" w:rsidRPr="00512250" w:rsidRDefault="00F026BE" w:rsidP="00F026BE">
      <w:pPr>
        <w:pStyle w:val="NormalHanging12a"/>
        <w:ind w:left="1134"/>
        <w:rPr>
          <w:bCs/>
        </w:rPr>
      </w:pPr>
      <w:proofErr w:type="spellStart"/>
      <w:r w:rsidRPr="00512250">
        <w:lastRenderedPageBreak/>
        <w:t>ii</w:t>
      </w:r>
      <w:proofErr w:type="spellEnd"/>
      <w:r w:rsidRPr="00512250">
        <w:t>)</w:t>
      </w:r>
      <w:r w:rsidRPr="00512250">
        <w:tab/>
        <w:t>όλους τους οργανισμούς να λάβουν υπόψη τις παρατηρήσεις του Ελεγκτικού Συνεδρίου, ιδίως όσον αφορά τους κανόνες σύναψης δημόσιων συμβάσεων, και να λάβουν τα κατάλληλα μέτρα εφαρμόζοντας τις συστάσεις του Ελεγκτικού Συνεδρίου·</w:t>
      </w:r>
    </w:p>
    <w:p w14:paraId="744F3DE0" w14:textId="56390B9D" w:rsidR="00F026BE" w:rsidRPr="00512250" w:rsidRDefault="00F026BE" w:rsidP="00F026BE">
      <w:pPr>
        <w:pStyle w:val="NormalHanging12a"/>
        <w:ind w:left="1134"/>
      </w:pPr>
      <w:proofErr w:type="spellStart"/>
      <w:r w:rsidRPr="00512250">
        <w:t>iii</w:t>
      </w:r>
      <w:proofErr w:type="spellEnd"/>
      <w:r w:rsidRPr="00512250">
        <w:t>)</w:t>
      </w:r>
      <w:r w:rsidRPr="00512250">
        <w:tab/>
        <w:t>το ECDC και τον EMA να εφαρμόσουν μέρος του προϋπολογισμού τους για την υλοποίηση των συστάσεων που περιγράφονται από το Ελεγκτικό Συνέδριο στην ειδική έκθεση αριθ. 12/2024 και παρατίθενται ανωτέρω·</w:t>
      </w:r>
    </w:p>
    <w:p w14:paraId="1F05BA34" w14:textId="657F6B43" w:rsidR="00F026BE" w:rsidRPr="00512250" w:rsidRDefault="00F026BE" w:rsidP="00F026BE">
      <w:pPr>
        <w:pStyle w:val="NormalHanging12a"/>
        <w:ind w:left="1134"/>
        <w:rPr>
          <w:bCs/>
        </w:rPr>
      </w:pPr>
      <w:proofErr w:type="spellStart"/>
      <w:r w:rsidRPr="00512250">
        <w:t>iv</w:t>
      </w:r>
      <w:proofErr w:type="spellEnd"/>
      <w:r w:rsidRPr="00512250">
        <w:t>)</w:t>
      </w:r>
      <w:r w:rsidRPr="00512250">
        <w:tab/>
        <w:t>τον EMA, την Επιτροπή και τα κράτη μέλη να λάβουν άμεσα μέτρα για την αντιμετώπιση των συνεχιζόμενων ελλείψεων φαρμάκων κρίσιμης σημασίας που αναφέρονται ανωτέρω και, στο πλαίσιο αυτό, παροτρύνει τον EMA να συνεργαστεί στενά με τις εθνικές αρχές και την Επιτροπή προκειμένου</w:t>
      </w:r>
      <w:r w:rsidR="0023028A" w:rsidRPr="00512250">
        <w:t>:</w:t>
      </w:r>
      <w:r w:rsidRPr="00512250">
        <w:t xml:space="preserve"> </w:t>
      </w:r>
      <w:r w:rsidR="0023028A" w:rsidRPr="00512250">
        <w:t xml:space="preserve">i) </w:t>
      </w:r>
      <w:r w:rsidRPr="00512250">
        <w:t xml:space="preserve">να διαθέσουν επαρκείς πόρους για την αντιμετώπιση του προβλήματος </w:t>
      </w:r>
      <w:proofErr w:type="spellStart"/>
      <w:r w:rsidRPr="00512250">
        <w:t>ii</w:t>
      </w:r>
      <w:proofErr w:type="spellEnd"/>
      <w:r w:rsidRPr="00512250">
        <w:t xml:space="preserve">) να αναλύσουν και να προτείνου τρόπους αντιμετώπισης των αιτιών των εν λόγω ελλείψεων, συμπεριλαμβανομένων των προκλήσεων στην παρασκευή, την αλυσίδα εφοδιασμού, τη διανομή και των εμποδίων στην εσωτερική αγορά ή του εθνικού προστατευτισμού, καθώς και της ανάγκης παραγωγής ευρωπαϊκών φαρμάκων </w:t>
      </w:r>
      <w:proofErr w:type="spellStart"/>
      <w:r w:rsidRPr="00512250">
        <w:t>iii</w:t>
      </w:r>
      <w:proofErr w:type="spellEnd"/>
      <w:r w:rsidRPr="00512250">
        <w:t>) να αναπτύξουν σχέδια έκτακτης ανάγκης για τη διασφάλιση της αδιάλειπτης πρόσβασης των ασθενών, συμπεριλαμβανομένης της απόδοσης προτεραιότητας σε περιπτώσεις υψηλής ανάγκης· επισημαίνει ότι η άμεση και συντονισμένη δράση είναι ζωτικής σημασίας για την πρόληψη των καθυστερήσεων στη θεραπεία, την αποφυγή της επιδείνωσης των αποτελεσμάτων για τους ασθενείς και την προστασία της εμπιστοσύνης του κοινού στο ευρωπαϊκό σύστημα υγειονομικής περίθαλψης· ενθαρρύνει τον EMA να χρησιμοποιήσει πρόσθετους εσωτερικούς πόρους από τον προϋπολογισμό του για την επίτευξη του στόχου αυτού·</w:t>
      </w:r>
    </w:p>
    <w:p w14:paraId="39C5323C" w14:textId="77777777" w:rsidR="00F026BE" w:rsidRPr="00512250" w:rsidRDefault="00F026BE" w:rsidP="00F026BE">
      <w:pPr>
        <w:pStyle w:val="NormalHanging12a"/>
        <w:rPr>
          <w:b/>
          <w:bCs/>
          <w:i/>
          <w:iCs/>
        </w:rPr>
      </w:pPr>
      <w:r w:rsidRPr="00512250">
        <w:rPr>
          <w:b/>
          <w:i/>
        </w:rPr>
        <w:t>Οργανισμοί στον τομέα των μεταφορών και της κινητικότητας</w:t>
      </w:r>
      <w:r w:rsidRPr="00512250">
        <w:rPr>
          <w:b/>
          <w:bCs/>
          <w:i/>
          <w:iCs/>
          <w:vertAlign w:val="superscript"/>
        </w:rPr>
        <w:footnoteReference w:id="415"/>
      </w:r>
    </w:p>
    <w:p w14:paraId="5D24FD5D" w14:textId="6771B736" w:rsidR="00F026BE" w:rsidRPr="00512250" w:rsidRDefault="00512250" w:rsidP="00512250">
      <w:pPr>
        <w:pStyle w:val="NormalHanging12a"/>
        <w:ind w:left="570" w:hanging="570"/>
      </w:pPr>
      <w:r w:rsidRPr="00512250">
        <w:t>120.</w:t>
      </w:r>
      <w:r w:rsidRPr="00512250">
        <w:tab/>
      </w:r>
      <w:r w:rsidR="00F026BE" w:rsidRPr="00512250">
        <w:t>σημειώνει την παρατήρηση του Ελεγκτικού Συνεδρίου ότι ο EASA πραγματοποίησε παράτυπες πληρωμές συνολικού ύψους 43 000 EUR το 2024 στο πλαίσιο σύμβασης για υπηρεσία που δεν καλύπτεται από τη σύμβαση· λαμβάνει υπόψη την απάντηση του Οργανισμού που αναγνωρίζει το ζήτημα και δηλώνει ότι ο Οργανισμός έχει λάβει διορθωτικά μέτρα και η υπηρεσία έχει συμπεριληφθεί στη σύμβαση-πλαίσιο από το 2025·</w:t>
      </w:r>
    </w:p>
    <w:p w14:paraId="6F18C341" w14:textId="70A790FA" w:rsidR="00F026BE" w:rsidRPr="00512250" w:rsidRDefault="00512250" w:rsidP="00512250">
      <w:pPr>
        <w:pStyle w:val="NormalHanging12a"/>
        <w:ind w:left="570" w:hanging="570"/>
      </w:pPr>
      <w:r w:rsidRPr="00512250">
        <w:t>121.</w:t>
      </w:r>
      <w:r w:rsidRPr="00512250">
        <w:tab/>
      </w:r>
      <w:r w:rsidR="00F026BE" w:rsidRPr="00512250">
        <w:t>λαμβάνει υπόψη τις παρατηρήσεις του Ελεγκτικού Συνεδρίου σχετικά με τα συστήματα διαχείρισης και ελέγχου του ERA, μεταξύ των οποίων:</w:t>
      </w:r>
    </w:p>
    <w:p w14:paraId="24079917" w14:textId="77777777" w:rsidR="00F026BE" w:rsidRPr="00512250" w:rsidRDefault="00F026BE" w:rsidP="00F026BE">
      <w:pPr>
        <w:pStyle w:val="NormalHanging12a"/>
        <w:ind w:left="1134"/>
      </w:pPr>
      <w:r w:rsidRPr="00512250">
        <w:t>–</w:t>
      </w:r>
      <w:r w:rsidRPr="00512250">
        <w:tab/>
        <w:t>ελλιπής τεκμηρίωση που εμπόδισε τον Οργανισμό να αντιστοιχίσει 144 153 EUR σε πληρωμές για τη διάσκεψη του 2024 για το Ευρωπαϊκό Σύστημα Διαχείρισης της Σιδηροδρομικής Κυκλοφορίας, με πιθανό κίνδυνο την πλήρη είσπραξη των εσόδων·</w:t>
      </w:r>
    </w:p>
    <w:p w14:paraId="5288C03A" w14:textId="77777777" w:rsidR="00F026BE" w:rsidRPr="00512250" w:rsidRDefault="00F026BE" w:rsidP="00F026BE">
      <w:pPr>
        <w:pStyle w:val="NormalHanging12a"/>
        <w:ind w:left="1134"/>
      </w:pPr>
      <w:r w:rsidRPr="00512250">
        <w:t>–</w:t>
      </w:r>
      <w:r w:rsidRPr="00512250">
        <w:tab/>
        <w:t>καθυστερημένη έκδοση χρεωστικών σημειωμάτων κατά παράβαση του άρθρου 43 του ιδρυτικού κανονισμού του ERA, το οποίο απαιτεί την έκδοση χρεωστικών σημειωμάτων εντός 60 ημερών από την παροχή της υπηρεσίας·</w:t>
      </w:r>
    </w:p>
    <w:p w14:paraId="634345BD" w14:textId="77777777" w:rsidR="00F026BE" w:rsidRPr="00512250" w:rsidRDefault="00F026BE" w:rsidP="00F026BE">
      <w:pPr>
        <w:pStyle w:val="NormalHanging12a"/>
        <w:rPr>
          <w:bCs/>
          <w:i/>
          <w:iCs/>
        </w:rPr>
      </w:pPr>
      <w:r w:rsidRPr="00512250">
        <w:rPr>
          <w:i/>
        </w:rPr>
        <w:lastRenderedPageBreak/>
        <w:t>Συστάσεις</w:t>
      </w:r>
    </w:p>
    <w:p w14:paraId="26D7473E" w14:textId="1D195A3D" w:rsidR="00F026BE" w:rsidRPr="00512250" w:rsidRDefault="00512250" w:rsidP="00512250">
      <w:pPr>
        <w:pStyle w:val="NormalHanging12a"/>
        <w:ind w:left="570" w:hanging="570"/>
      </w:pPr>
      <w:r w:rsidRPr="00512250">
        <w:t>122.</w:t>
      </w:r>
      <w:r w:rsidRPr="00512250">
        <w:tab/>
      </w:r>
      <w:r w:rsidR="00F026BE" w:rsidRPr="00512250">
        <w:t>καλεί τους οργανισμούς να δώσουν συνέχεια στις παρατηρήσεις του Ελεγκτικού Συνεδρίου, και συγκεκριμένα:</w:t>
      </w:r>
    </w:p>
    <w:p w14:paraId="2BD4D85C" w14:textId="77777777" w:rsidR="00F026BE" w:rsidRPr="00512250" w:rsidRDefault="00F026BE" w:rsidP="00F026BE">
      <w:pPr>
        <w:pStyle w:val="NormalHanging12a"/>
        <w:ind w:left="1134"/>
      </w:pPr>
      <w:r w:rsidRPr="00512250">
        <w:t>–</w:t>
      </w:r>
      <w:r w:rsidRPr="00512250">
        <w:tab/>
        <w:t>καλεί τον ERA, να θεσπίσει και να επιβάλει ένα τυποποιημένο σύστημα παρακολούθησης για όλες τις εκδηλώσεις για τις οποίες καταβάλλεται τέλος και να εφαρμόσει ένα σύστημα για την αυτοματοποίηση των διαδικασιών τιμολόγησης, ώστε να διασφαλίζεται ότι τα χρεωστικά σημειώματα εκδίδονται εντός 60 ημερών από την παροχή της υπηρεσίας· έτσι θα μειωθεί η εξάρτηση από τη χειροκίνητη ενεργοποίηση, θα επιβληθούν εσωτερικοί έλεγχοι και θα συμπεριλαμβάνεται η έγκαιρη τιμολόγηση ως βασικός δείκτης επιδόσεων (ΒΔΕ) στη χρηματοοικονομική αναφορά·</w:t>
      </w:r>
    </w:p>
    <w:p w14:paraId="1F7D1C2A" w14:textId="77777777" w:rsidR="00F026BE" w:rsidRPr="00512250" w:rsidRDefault="00F026BE" w:rsidP="00F026BE">
      <w:pPr>
        <w:pStyle w:val="NormalHanging12a"/>
        <w:rPr>
          <w:i/>
          <w:iCs/>
        </w:rPr>
      </w:pPr>
      <w:r w:rsidRPr="00512250">
        <w:rPr>
          <w:b/>
          <w:i/>
        </w:rPr>
        <w:t>Οργανισμοί στον τομέα του περιβάλλοντος και της ενέργειας</w:t>
      </w:r>
      <w:r w:rsidRPr="00512250">
        <w:rPr>
          <w:b/>
          <w:bCs/>
          <w:i/>
          <w:iCs/>
          <w:vertAlign w:val="superscript"/>
        </w:rPr>
        <w:footnoteReference w:id="416"/>
      </w:r>
    </w:p>
    <w:p w14:paraId="1DAE2976" w14:textId="477CE2E6" w:rsidR="00F026BE" w:rsidRPr="00512250" w:rsidRDefault="00512250" w:rsidP="00512250">
      <w:pPr>
        <w:pStyle w:val="NormalHanging12a"/>
        <w:ind w:left="570" w:hanging="570"/>
      </w:pPr>
      <w:r w:rsidRPr="00512250">
        <w:t>123.</w:t>
      </w:r>
      <w:r w:rsidRPr="00512250">
        <w:tab/>
      </w:r>
      <w:r w:rsidR="00F026BE" w:rsidRPr="00512250">
        <w:t>σημειώνει τις τρεις παρατηρήσεις του Ελεγκτικού Συνεδρίου σχετικά με τις παρατυπίες στον τομέα των δημόσιων συμβάσεων στον ΕΟΠ, μεταξύ των οποίων:</w:t>
      </w:r>
    </w:p>
    <w:p w14:paraId="3D79622B" w14:textId="77777777" w:rsidR="00F026BE" w:rsidRPr="00512250" w:rsidRDefault="00F026BE" w:rsidP="00F026BE">
      <w:pPr>
        <w:pStyle w:val="NormalHanging12a"/>
        <w:ind w:left="1134"/>
      </w:pPr>
      <w:r w:rsidRPr="00512250">
        <w:t>–</w:t>
      </w:r>
      <w:r w:rsidRPr="00512250">
        <w:tab/>
        <w:t>παράτυπες πληρωμές βάσει σύμβασης-πλαισίου για υπηρεσίες κυλικείου και εστίασης, με επιστροφή 6 514 EUR χωρίς τιμολόγιο προς τον Οργανισμό, κατά παράβαση του άρθρου 111 παράγραφος 2 του δημοσιονομικού κανονισμού· αύξηση των τιμών των γευμάτων κατά 34 % πάνω από τον συμφωνηθέντα μηχανισμό τιμαριθμοποίησης· λαμβάνει υπόψη την απάντηση του Οργανισμού ότι επρόκειτο για μεμονωμένα περιστατικά, με διαδικασίες που έχουν έκτοτε αποσαφηνιστεί και ενισχυθεί, και ότι η προσαρμογή των τιμών οφειλόταν σε έκτακτες συνθήκες πληθωρισμού·</w:t>
      </w:r>
    </w:p>
    <w:p w14:paraId="74B7DE57" w14:textId="77777777" w:rsidR="00F026BE" w:rsidRPr="00512250" w:rsidRDefault="00F026BE" w:rsidP="00F026BE">
      <w:pPr>
        <w:pStyle w:val="NormalHanging12a"/>
        <w:ind w:left="1134"/>
      </w:pPr>
      <w:r w:rsidRPr="00512250">
        <w:t>–</w:t>
      </w:r>
      <w:r w:rsidRPr="00512250">
        <w:tab/>
        <w:t>χρήση του εσωτερικού συστήματος συνεδριάσεων εμπειρογνωμόνων για την παραγγελία υπηρεσιών εστίασης, αντί χρήσης των δελτίων παραγγελίας που απαιτούνται από τη σύμβαση-πλαίσιο, με αποτέλεσμα να παρεμποδίζεται η αξιόπιστη παρακολούθηση των σωρευτικών δαπανών και να υπάρχει κίνδυνος υπέρβασης του ανώτατου ορίου της σύμβασης κατά παράβαση του άρθρου 111 παράγραφος 1 και 3 του δημοσιονομικού κανονισμού· αναγνωρίζει την απάντηση του ΕΟΠ ότι το σύστημα συνεδριάσεων εμπειρογνωμόνων παρέχει μια εξορθολογισμένη διαδικασία ελέγχου και το γεγονός ότι θα τροποποιήσει αναλόγως τη σύμβαση-πλαίσιο· επισημαίνει ότι, προκειμένου να αντιμετωπιστούν πλήρως οι ανησυχίες του Ελεγκτικού Συνεδρίου, το σύστημα συνεδριάσεων εμπειρογνωμόνων θα πρέπει να ενσωματωθεί στο λογιστικό σύστημα, ώστε να διασφαλιστεί ότι όλες οι εντολές εστίασης δημιουργούν αυτόματα νομικά δεσμευτικές υποχρεώσεις·</w:t>
      </w:r>
    </w:p>
    <w:p w14:paraId="4CD99DD3" w14:textId="77777777" w:rsidR="00F026BE" w:rsidRPr="00512250" w:rsidRDefault="00F026BE" w:rsidP="00F026BE">
      <w:pPr>
        <w:pStyle w:val="NormalHanging12a"/>
        <w:ind w:left="1134"/>
      </w:pPr>
      <w:r w:rsidRPr="00512250">
        <w:t>–</w:t>
      </w:r>
      <w:r w:rsidRPr="00512250">
        <w:tab/>
        <w:t xml:space="preserve">τύπος σύμβασης: σημειώνει ότι ο ΕΟΠ δεν προσδιόρισε το είδος της ειδικής σύμβασης (κατ’ </w:t>
      </w:r>
      <w:proofErr w:type="spellStart"/>
      <w:r w:rsidRPr="00512250">
        <w:t>αποκοπήν</w:t>
      </w:r>
      <w:proofErr w:type="spellEnd"/>
      <w:r w:rsidRPr="00512250">
        <w:t xml:space="preserve"> τιμή ή τιμή ανά ανθρωποώρα) για σύμβαση παροχής συμβουλών ΤΠ ύψους 731 000 EUR, σε αντίθεση με το τμήμα 1.1 του παραρτήματος I του δημοσιονομικού κανονισμού, γεγονός που κατέστησε αδύνατη τη συμφωνία του συνολικού ποσού της σύμβασης με την τιμή ανά σύμβουλο· λαμβάνει υπόψη την εξήγηση του ΕΟΠ ότι η παράλειψη δεν είχε δημοσιονομικές επιπτώσεις, καθώς και τη δέσμευση να διασφαλιστεί ότι όλες οι </w:t>
      </w:r>
      <w:r w:rsidRPr="00512250">
        <w:lastRenderedPageBreak/>
        <w:t>μελλοντικές συμβάσεις θα περιλαμβάνουν αυτές τις πληροφορίες·</w:t>
      </w:r>
    </w:p>
    <w:p w14:paraId="538888FC" w14:textId="1690AE56" w:rsidR="00F026BE" w:rsidRPr="00512250" w:rsidRDefault="00512250" w:rsidP="00512250">
      <w:pPr>
        <w:pStyle w:val="NormalHanging12a"/>
        <w:ind w:left="570" w:hanging="570"/>
      </w:pPr>
      <w:r w:rsidRPr="00512250">
        <w:t>124.</w:t>
      </w:r>
      <w:r w:rsidRPr="00512250">
        <w:tab/>
      </w:r>
      <w:r w:rsidR="00F026BE" w:rsidRPr="00512250">
        <w:t>σημειώνει την παρατήρηση του Ελεγκτικού Συνεδρίου ότι ο ECHA υπέγραψε ειδική σύμβαση υποδομής ΤΠ αξίας 8,1 εκατομμυρίων EUR, ποσό που υπερβαίνει κατά 1,3 εκατομμύρια EUR το κατ’ εξουσιοδότηση όριο του διατάκτη· λαμβάνει υπόψη την εξήγηση του Οργανισμού ότι η σύμβαση βασίστηκε σε μη δεσμευτικές εκτιμήσεις του όγκου των υπηρεσιών εντός των ορίων των ετήσιων πιστώσεων και ότι οι πραγματικές δημοσιονομικές αναλήψεις υποχρεώσεων δεν υπερέβησαν την κατ’ εξουσιοδότηση αρμοδιότητα· ενθαρρύνει τον ECHA να διασφαλίσει τη σαφή ευθυγράμμιση μεταξύ των χρηματοδοτικών αντιπροσωπειών και των συμβατικών δεσμεύσεων· καλεί τον Οργανισμό να θεσπίσει ενισχυμένους μελλοντοστραφείς μηχανισμούς ελέγχου για τους εξωτερικούς αναδόχους που συμμετέχουν σε εργασίες που σχετίζονται με τη λήψη κανονιστικών αποφάσεων του Οργανισμού·</w:t>
      </w:r>
    </w:p>
    <w:p w14:paraId="37FC0383" w14:textId="41B34CA8" w:rsidR="00F026BE" w:rsidRPr="00512250" w:rsidRDefault="00512250" w:rsidP="00512250">
      <w:pPr>
        <w:pStyle w:val="NormalHanging12a"/>
        <w:ind w:left="570" w:hanging="570"/>
      </w:pPr>
      <w:r w:rsidRPr="00512250">
        <w:t>125.</w:t>
      </w:r>
      <w:r w:rsidRPr="00512250">
        <w:tab/>
      </w:r>
      <w:r w:rsidR="00F026BE" w:rsidRPr="00512250">
        <w:t xml:space="preserve">εφιστά την προσοχή στις ανησυχίες που εξέφρασαν διάφορες οργανώσεις της κοινωνίας των πολιτών σχετικά με πιθανή επαγγελματική σύγκρουση συμφερόντων στην περίπτωση της </w:t>
      </w:r>
      <w:proofErr w:type="spellStart"/>
      <w:r w:rsidR="00F026BE" w:rsidRPr="00512250">
        <w:t>Ramboll</w:t>
      </w:r>
      <w:proofErr w:type="spellEnd"/>
      <w:r w:rsidR="00F026BE" w:rsidRPr="00512250">
        <w:t xml:space="preserve"> </w:t>
      </w:r>
      <w:proofErr w:type="spellStart"/>
      <w:r w:rsidR="00F026BE" w:rsidRPr="00512250">
        <w:t>Germany</w:t>
      </w:r>
      <w:proofErr w:type="spellEnd"/>
      <w:r w:rsidR="00F026BE" w:rsidRPr="00512250">
        <w:t xml:space="preserve"> </w:t>
      </w:r>
      <w:proofErr w:type="spellStart"/>
      <w:r w:rsidR="00F026BE" w:rsidRPr="00512250">
        <w:t>GmbH</w:t>
      </w:r>
      <w:proofErr w:type="spellEnd"/>
      <w:r w:rsidR="00F026BE" w:rsidRPr="00512250">
        <w:t xml:space="preserve">, συμβουλευτικής εταιρείας που στο παρελθόν διεξήγαγε τεχνικές μελέτες για τον ECHA, παρέχοντας παράλληλα υπηρεσίες σε ενδιαφερόμενα μέρη του κλάδου που επιδιώκουν να επηρεάσουν τους επικείμενους περιορισμούς των PFAS· τονίζει ότι οι συμβουλευτικές δομές εμπειρογνωμόνων θα πρέπει να αντικατοπτρίζουν την ισόρροπη εκπροσώπηση της επιστημονικής και βιομηχανικής εμπειρογνωσίας και της εμπειρογνωσίας της κοινωνίας των πολιτών, προκειμένου να ενισχυθούν η νομιμότητα και η τεκμηριωμένη λήψη αποφάσεων· αναγνωρίζει τον ισχυρισμό των οργανώσεων ότι οι παράλληλες δραστηριότητες της </w:t>
      </w:r>
      <w:proofErr w:type="spellStart"/>
      <w:r w:rsidR="00F026BE" w:rsidRPr="00512250">
        <w:t>Ramboll</w:t>
      </w:r>
      <w:proofErr w:type="spellEnd"/>
      <w:r w:rsidR="00F026BE" w:rsidRPr="00512250">
        <w:t xml:space="preserve"> θα μπορούσαν να υπονομεύσουν την αμεροληψία που απαιτείται βάσει των άρθρων 2 παράγραφος 56 και 143 στοιχείο δ) του δημοσιονομικού κανονισμού· τονίζει ότι, σύμφωνα με την αρχή της χρηστής δημοσιονομικής διαχείρισης, απαιτείται ο Οργανισμός να διασφαλίζει ότι οι δημόσιες συμβάσεις και η εκτέλεση των συμβάσεων διεξάγονται κατά τρόπο που διαφυλάσσει τη θεσμική αμεροληψία και την εμπιστοσύνη του κοινού· σημειώνει ότι οι μη εντοπισθείσες συγκρούσεις συμφερόντων μπορεί να επηρεάσουν την αξιοπιστία των δραστηριοτήτων που χρηματοδοτούνται από την Ένωση, ακόμη και αν δεν υπάρχει διαδικαστική παρατυπία· ζητεί επαρκείς διασφαλίσεις για την αντιμετώπιση τόσο των πραγματικών όσο και των εμφανών κινδύνων·</w:t>
      </w:r>
    </w:p>
    <w:p w14:paraId="5A1F9BDE" w14:textId="5807E399" w:rsidR="00F026BE" w:rsidRPr="00512250" w:rsidRDefault="00512250" w:rsidP="00512250">
      <w:pPr>
        <w:pStyle w:val="NormalHanging12a"/>
        <w:ind w:left="570" w:hanging="570"/>
      </w:pPr>
      <w:r w:rsidRPr="00512250">
        <w:t>126.</w:t>
      </w:r>
      <w:r w:rsidRPr="00512250">
        <w:tab/>
      </w:r>
      <w:r w:rsidR="00F026BE" w:rsidRPr="00512250">
        <w:t xml:space="preserve">σημειώνει, ωστόσο, τη διευκρίνιση του ECHA ότι το έργο που επιτέλεσε η </w:t>
      </w:r>
      <w:proofErr w:type="spellStart"/>
      <w:r w:rsidR="00F026BE" w:rsidRPr="00512250">
        <w:t>Ramboll</w:t>
      </w:r>
      <w:proofErr w:type="spellEnd"/>
      <w:r w:rsidR="00F026BE" w:rsidRPr="00512250">
        <w:t xml:space="preserve"> </w:t>
      </w:r>
      <w:proofErr w:type="spellStart"/>
      <w:r w:rsidR="00F026BE" w:rsidRPr="00512250">
        <w:t>Deutschland</w:t>
      </w:r>
      <w:proofErr w:type="spellEnd"/>
      <w:r w:rsidR="00F026BE" w:rsidRPr="00512250">
        <w:t xml:space="preserve"> για τον Οργανισμό σχετικά με τις PFAS πραγματοποιήθηκε μεταξύ 2020 και 2021, πριν από τη συνεργασία της συμβουλευτικής εταιρείας με τη βιομηχανία το 2022, και ότι οι αξιολογήσεις συγκρούσεων συμφερόντων διενεργήθηκαν σύμφωνα με τις διαδικασίες του ECHA κατά τον χρόνο ανάθεσης της σύμβασης· σημειώνει, επιπλέον, ότι, σύμφωνα με την ισχύουσα σύμβαση-πλαίσιο του 2024, η </w:t>
      </w:r>
      <w:proofErr w:type="spellStart"/>
      <w:r w:rsidR="00F026BE" w:rsidRPr="00512250">
        <w:t>Ramboll</w:t>
      </w:r>
      <w:proofErr w:type="spellEnd"/>
      <w:r w:rsidR="00F026BE" w:rsidRPr="00512250">
        <w:t xml:space="preserve"> δεν έχει υποβάλει προσφορές για ειδικές συμβάσεις· εκφράζει την ικανοποίησή του για τη δήλωση του ECHA ότι διενήργησε λεπτομερή εσωτερική επανεξέταση ως απάντηση σε αιτήματα πρόσβασης σε έγγραφα και ότι δεν διαπίστωσε μη διαχειριζόμενη σύγκρουση συμφερόντων· τονίζει, ωστόσο, ότι είναι σημαντικό να εξασφαλιστούν ισχυροί, προορατικοί και μελλοντοστραφείς έλεγχοι σύγκρουσης συμφερόντων για όλους τους εξωτερικούς αναδόχους, ιδίως για όσους συμμετέχουν σε τεχνικές εργασίες που σχετίζονται με ευαίσθητες ρυθμιστικές αποφάσεις· τονίζει ότι οι ομάδες εμπειρογνωμόνων θα πρέπει να χαρακτηρίζονται από ισορροπία μελών από διάφορους τομείς, μεταξύ άλλων του ιδιωτικού και του επιστημονικού τομέα, καθώς και της κοινωνίας των πολιτών, ώστε να εκπροσωπούνται διαφορετικές ικανότητες και </w:t>
      </w:r>
      <w:r w:rsidR="00F026BE" w:rsidRPr="00512250">
        <w:lastRenderedPageBreak/>
        <w:t>απόψεις· καλεί τον Οργανισμό να ενσωματώσει τους ελέγχους ανεξαρτησίας των αναδόχων στο ευρύτερο πλαίσιο εσωτερικού ελέγχου και διαχείρισης κινδύνων του· τονίζει την ανάγκη να διασφαλιστούν ισχυρές και προορατικές διαδικασίες για την πρόληψη κάθε κινδύνου σύγκρουσης συμφερόντων ή κατάχρησης επιρροής·</w:t>
      </w:r>
    </w:p>
    <w:p w14:paraId="09AB8757" w14:textId="1F2B37C9" w:rsidR="00F026BE" w:rsidRPr="00512250" w:rsidRDefault="00512250" w:rsidP="00512250">
      <w:pPr>
        <w:pStyle w:val="NormalHanging12a"/>
        <w:ind w:left="570" w:hanging="570"/>
      </w:pPr>
      <w:r w:rsidRPr="00512250">
        <w:t>127.</w:t>
      </w:r>
      <w:r w:rsidRPr="00512250">
        <w:tab/>
      </w:r>
      <w:r w:rsidR="00F026BE" w:rsidRPr="00512250">
        <w:t>σημειώνει την παρατήρηση του Ελεγκτικού Συνεδρίου ότι η EFCA εφάρμοσε έναν τύπο για τη σύναψη δημόσιων συμβάσεων για υπηρεσίες ΤΠ με αποτέλεσμα η πραγματική στάθμιση του κριτηρίου της τιμής να μειωθεί κάτω από το ελάχιστο ποσοστό (30 %) που συνιστάται από τις κατευθυντήριες γραμμές της Επιτροπής (παράρτημα I σημείο 21.2 του δημοσιονομικού κανονισμού)· λαμβάνει υπόψη τη δέσμευση της EFCA να μην εφαρμόσει αυτόν τον τύπο σε μελλοντικές διαδικασίες σύναψης δημόσιων συμβάσεων·</w:t>
      </w:r>
    </w:p>
    <w:p w14:paraId="1473D978" w14:textId="5A2A2DC8" w:rsidR="00F026BE" w:rsidRPr="00512250" w:rsidRDefault="00512250" w:rsidP="00512250">
      <w:pPr>
        <w:pStyle w:val="NormalHanging12a"/>
        <w:ind w:left="570" w:hanging="570"/>
      </w:pPr>
      <w:r w:rsidRPr="00512250">
        <w:t>128.</w:t>
      </w:r>
      <w:r w:rsidRPr="00512250">
        <w:tab/>
      </w:r>
      <w:r w:rsidR="00F026BE" w:rsidRPr="00512250">
        <w:t>σημειώνει τις δύο παρατηρήσεις που διατύπωσε το Ελεγκτικό Συνέδριο σχετικά με τις παρατυπίες του ACER στον τομέα των δημόσιων συμβάσεων, οι οποίες είχαν ως αποτέλεσμα παράτυπες πληρωμές το 2024· επισημαίνει ότι, μετά από αλλαγή πολιτικής για τους προμηθευτές, ο ACER παρήγγειλε υπηρεσίες υποστήριξης ΤΠ χωρίς νομική βάση για έξι εβδομάδες πριν από την υπογραφή της τροποποιημένης σύμβασης, με αποτέλεσμα παράτυπες πληρωμές ύψους 8 179 EUR κατά παράβαση του άρθρου 172 παράγραφος 1 του δημοσιονομικού κανονισμού· λαμβάνει υπόψη την απάντηση του Οργανισμού ότι η εξαίρεση αυτή εγκρίθηκε επίσημα για να αποφευχθεί η διαταραχή της υπηρεσίας και ότι οι πληρωμές αφορούσαν δεόντως παρεχόμενες και τεκμηριωμένες υπηρεσίες·</w:t>
      </w:r>
    </w:p>
    <w:p w14:paraId="3B6A814C" w14:textId="2213517F" w:rsidR="00F026BE" w:rsidRPr="00512250" w:rsidRDefault="00512250" w:rsidP="00512250">
      <w:pPr>
        <w:pStyle w:val="NormalHanging12a"/>
        <w:ind w:left="570" w:hanging="570"/>
      </w:pPr>
      <w:r w:rsidRPr="00512250">
        <w:t>129.</w:t>
      </w:r>
      <w:r w:rsidRPr="00512250">
        <w:tab/>
      </w:r>
      <w:r w:rsidR="00F026BE" w:rsidRPr="00512250">
        <w:t>σημειώνει ότι ο ACER αποδέχθηκε αναθεωρημένη οικονομική προσφορά στο πλαίσιο διαδικασίας με διαπραγμάτευση, αυξάνοντας την αξία της σύμβασης από 51 450 EUR σε 79 450 EUR μετά την υποβολή, κατά παράβαση των άρθρων 151, 160 παράγραφος 1 και 170 του δημοσιονομικού κανονισμού·</w:t>
      </w:r>
    </w:p>
    <w:p w14:paraId="7FEF1CFE" w14:textId="106C33FE" w:rsidR="00F026BE" w:rsidRPr="00512250" w:rsidRDefault="00512250" w:rsidP="00512250">
      <w:pPr>
        <w:pStyle w:val="NormalHanging12a"/>
        <w:ind w:left="570" w:hanging="570"/>
        <w:rPr>
          <w:bCs/>
        </w:rPr>
      </w:pPr>
      <w:r w:rsidRPr="00512250">
        <w:rPr>
          <w:bCs/>
        </w:rPr>
        <w:t>130.</w:t>
      </w:r>
      <w:r w:rsidRPr="00512250">
        <w:rPr>
          <w:bCs/>
        </w:rPr>
        <w:tab/>
      </w:r>
      <w:r w:rsidR="00F026BE" w:rsidRPr="00512250">
        <w:t xml:space="preserve">υπενθυμίζει ότι η παρατήρηση του Ελεγκτικού Συνεδρίου σχετικά με τη διαρθρωτική εξάρτηση του ACER από προσωρινά απασχολούμενους εξακολουθεί να εκκρεμεί από το 2019, με το προσωρινό προσωπικό να εξακολουθεί να εκτελεί μακροπρόθεσμα καθήκοντα που κανονικά θα πρέπει να βαρύνουν το άμεσα απασχολούμενο προσωπικό· σημειώνει ότι, παρόλο που ο αριθμός των προσωρινά απασχολουμένων μειώθηκε από 18 το 2023 σε 16 το 2024, η κατάσταση συνεχίστηκε και ο ACER προτίθεται να αναθέσει με υπεργολαβία μέρος αυτών των δραστηριοτήτων· λαμβάνει υπόψη τις απαντήσεις του Οργανισμού στο ερωτηματολόγιο, σύμφωνα με τις οποίες απαιτείται εκτεταμένη εξωτερική ανάθεση λόγω ανεπαρκών εσωτερικών πόρων και εξειδικευμένης εμπειρογνωσίας· παρατηρεί ότι ο ACER αναθέτει σε εξωτερικούς συνεργάτες ευρύ φάσμα καθηκόντων, συμπεριλαμβανομένων της εξαιρετικά εξειδικευμένης παροχής συμβουλών και των μελετών σχετικά με την ενεργειακή ρύθμιση, νομικών υπηρεσιών, της διοργάνωσης εκδηλώσεων και διαφόρων γενικών υπηρεσιών· παρατηρεί ωστόσο ότι η σημαντικότερη εξάρτηση αφορά τον τομέα ΤΠ, όπου ο σχεδιασμός, η ανάπτυξη, η εφαρμογή, η υποστήριξη, η συντήρηση και η ασφάλεια των συστημάτων του πραγματοποιούνται σε μεγάλο βαθμό από εξωτερικούς παρόχους υπηρεσιών· επισημαίνει, στο πλαίσιο αυτό, ότι περισσότεροι από 100 εξωτερικοί εμπειρογνώμονες ΤΠ (όχι απαραίτητα σε καθεστώς πλήρους απασχόλησης) ασχολούνται με την παροχή υπηρεσιών ΤΠ στον ACER, σε σύγκριση με μόνο 17 εσωτερικούς υπαλλήλους ΤΠ, γεγονός που δημιουργεί σημαντική διαρθρωτική ανισορροπία· σημειώνει, επιπλέον, ότι ο ACER δηλώνει ότι αυτό το μοντέλο εξωτερικής ανάθεσης προτάθηκε ρητά από την Επιτροπή λόγω του περιορισμένου </w:t>
      </w:r>
      <w:r w:rsidR="00F026BE" w:rsidRPr="00512250">
        <w:lastRenderedPageBreak/>
        <w:t>πίνακα προσωπικού και των περιορισμένων πόρων του Οργανισμού· υπογραμμίζει, ωστόσο, ότι αυτή η διαρκής εξάρτηση από εξωτερικούς παρόχους για βασικές ικανότητες ΤΠ, σε συνδυασμό με τη συνεχιζόμενη χρήση προσωρινών υπαλλήλων για μόνιμα καθήκοντα, εγείρει ανησυχίες σχετικά με τη διατήρηση των γνώσεων, την επιχειρησιακή συνέχεια και τη μακροπρόθεσμη θεσμική ικανότητα· τονίζει ότι πρέπει να αντιμετωπιστεί επειγόντως η μεγάλη εξάρτηση από τις ΤΠ για τη διασφάλιση της διατήρησης των γνώσεων και της επιχειρησιακής συνέχειας· ζητεί από την Επιτροπή και τον ACER να υποβάλουν έκθεση στην αρμόδια για την απαλλαγή αρχή σχετικά με τα διορθωτικά μέτρα που εγκρίθηκαν·</w:t>
      </w:r>
    </w:p>
    <w:p w14:paraId="13383B0E" w14:textId="77777777" w:rsidR="00F026BE" w:rsidRPr="00512250" w:rsidRDefault="00F026BE" w:rsidP="00F026BE">
      <w:pPr>
        <w:pStyle w:val="NormalHanging12a"/>
        <w:rPr>
          <w:i/>
          <w:iCs/>
        </w:rPr>
      </w:pPr>
      <w:r w:rsidRPr="00512250">
        <w:rPr>
          <w:i/>
        </w:rPr>
        <w:t>Συστάσεις</w:t>
      </w:r>
    </w:p>
    <w:p w14:paraId="6F3E4872" w14:textId="08145E24" w:rsidR="00F026BE" w:rsidRPr="00512250" w:rsidRDefault="00512250" w:rsidP="00512250">
      <w:pPr>
        <w:pStyle w:val="NormalHanging12a"/>
        <w:ind w:left="570" w:hanging="570"/>
        <w:rPr>
          <w:bCs/>
        </w:rPr>
      </w:pPr>
      <w:r w:rsidRPr="00512250">
        <w:rPr>
          <w:bCs/>
        </w:rPr>
        <w:t>131.</w:t>
      </w:r>
      <w:r w:rsidRPr="00512250">
        <w:rPr>
          <w:bCs/>
        </w:rPr>
        <w:tab/>
      </w:r>
      <w:r w:rsidR="00F026BE" w:rsidRPr="00512250">
        <w:t>καλεί τους οργανισμούς να δώσουν συνέχεια στις παρατηρήσεις του Ελεγκτικού Συνεδρίου, και συγκεκριμένα:</w:t>
      </w:r>
    </w:p>
    <w:p w14:paraId="436E3EBE" w14:textId="65A7F128" w:rsidR="00F026BE" w:rsidRPr="00512250" w:rsidRDefault="00F026BE" w:rsidP="00F026BE">
      <w:pPr>
        <w:pStyle w:val="NormalHanging12a"/>
        <w:ind w:left="1134"/>
        <w:rPr>
          <w:bCs/>
        </w:rPr>
      </w:pPr>
      <w:r w:rsidRPr="00512250">
        <w:t>i)</w:t>
      </w:r>
      <w:r w:rsidRPr="00512250">
        <w:tab/>
        <w:t>καλεί τον ΕΟΠ</w:t>
      </w:r>
      <w:r w:rsidR="00F27C05" w:rsidRPr="00512250">
        <w:t xml:space="preserve"> </w:t>
      </w:r>
      <w:r w:rsidRPr="00512250">
        <w:t>να ενισχύσει τις διαδικασίες σύναψης και διαχείρισης δημόσιων συμβάσεων για την πρόληψη παρόμοιων παρατυπιών, ιδίως με τη συστηματική επιβολή των απαιτήσεων τιμολόγησης και τιμαριθμοποίησης του δημοσιονομικού κανονισμού για όλες τις συμβάσεις-πλαίσια,</w:t>
      </w:r>
      <w:r w:rsidR="00F27C05" w:rsidRPr="00512250">
        <w:t xml:space="preserve"> </w:t>
      </w:r>
      <w:r w:rsidRPr="00512250">
        <w:t>να ενσωματώσει το σύστημα συνεδριάσεων εμπειρογνωμόνων στα λογιστικά συστήματα και τα συστήματα δεσμεύσεων του ΕΟΠ, ώστε να διασφαλίζεται ότι οι εντολές εστίασης δημιουργούν νομικά δεσμευτικές υποχρεώσεις και επιτρέπουν την αξιόπιστη παρακολούθηση των σωρευτικών δαπανών σύμφωνα με το άρθρο 111,</w:t>
      </w:r>
      <w:r w:rsidR="00F27C05" w:rsidRPr="00512250">
        <w:t xml:space="preserve"> </w:t>
      </w:r>
      <w:r w:rsidRPr="00512250">
        <w:t xml:space="preserve">να επιβάλει τη συμπερίληψη του είδους της σύμβασης (κατ’ </w:t>
      </w:r>
      <w:proofErr w:type="spellStart"/>
      <w:r w:rsidRPr="00512250">
        <w:t>αποκοπήν</w:t>
      </w:r>
      <w:proofErr w:type="spellEnd"/>
      <w:r w:rsidRPr="00512250">
        <w:t xml:space="preserve"> τιμή ή τιμή ανά ανθρωποώρα) σε όλες τις ειδικές συμβάσεις σύμφωνα με το παράρτημα I,</w:t>
      </w:r>
      <w:r w:rsidR="00F27C05" w:rsidRPr="00512250">
        <w:t xml:space="preserve"> </w:t>
      </w:r>
      <w:r w:rsidRPr="00512250">
        <w:t xml:space="preserve"> και να εφαρμόσει τακτικούς ελέγχους, κατάρτιση του προσωπικού και ενισχυμένους εποπτικούς ελέγχους, με παράλληλη πλήρη τεκμηρίωση όλων των διορθωτικών μέτρων που λαμβάνονται·</w:t>
      </w:r>
    </w:p>
    <w:p w14:paraId="7769C647" w14:textId="19B3355D" w:rsidR="00F026BE" w:rsidRPr="00512250" w:rsidRDefault="00F026BE" w:rsidP="00F026BE">
      <w:pPr>
        <w:pStyle w:val="NormalHanging12a"/>
        <w:ind w:left="1134"/>
        <w:rPr>
          <w:bCs/>
        </w:rPr>
      </w:pPr>
      <w:proofErr w:type="spellStart"/>
      <w:r w:rsidRPr="00512250">
        <w:t>ii</w:t>
      </w:r>
      <w:proofErr w:type="spellEnd"/>
      <w:r w:rsidRPr="00512250">
        <w:t>)</w:t>
      </w:r>
      <w:r w:rsidRPr="00512250">
        <w:tab/>
        <w:t>καλεί τον EFCA</w:t>
      </w:r>
      <w:r w:rsidR="00F27C05" w:rsidRPr="00512250">
        <w:t xml:space="preserve"> </w:t>
      </w:r>
      <w:r w:rsidRPr="00512250">
        <w:t>να διασφαλίσει την αυστηρή συμμόρφωση με τους κανόνες της Ένωσης για τις δημόσιες συμβάσεις, διατηρώντας κριτήρια στάθμισης των τιμών σε ποσοστό τουλάχιστον 30 %,</w:t>
      </w:r>
      <w:r w:rsidR="00F27C05" w:rsidRPr="00512250">
        <w:t xml:space="preserve"> </w:t>
      </w:r>
      <w:r w:rsidRPr="00512250">
        <w:t>να παράσχει εσωτερική κατάρτιση σχετικά με την ορθή εφαρμογή των συντελεστών στάθμισης των δημόσιων συμβάσεων,</w:t>
      </w:r>
      <w:r w:rsidR="00F27C05" w:rsidRPr="00512250">
        <w:t xml:space="preserve"> </w:t>
      </w:r>
      <w:r w:rsidRPr="00512250">
        <w:t>να θεσπίσει υποχρεωτικά αποδεικτικά έγγραφα (π.χ. συμβάσεις μίσθωσης),</w:t>
      </w:r>
      <w:r w:rsidR="00F27C05" w:rsidRPr="00512250">
        <w:t xml:space="preserve"> </w:t>
      </w:r>
      <w:r w:rsidRPr="00512250">
        <w:t>να διενεργεί περιοδικούς ελέγχους διαμονής,</w:t>
      </w:r>
      <w:r w:rsidR="00F27C05" w:rsidRPr="00512250">
        <w:t xml:space="preserve"> </w:t>
      </w:r>
      <w:r w:rsidRPr="00512250">
        <w:t>να ενισχύσει τους ελέγχους για την πρόληψη των καταχρηστικών πληρωμών αποζημιώσεων,</w:t>
      </w:r>
      <w:r w:rsidR="00F27C05" w:rsidRPr="00512250">
        <w:t xml:space="preserve"> </w:t>
      </w:r>
      <w:r w:rsidRPr="00512250">
        <w:t>και να υποβάλει εκθέσεις στην αρμόδια για την απαλλαγή αρχή σχετικά με την εφαρμογή·</w:t>
      </w:r>
    </w:p>
    <w:p w14:paraId="2FE88808" w14:textId="77777777" w:rsidR="00F026BE" w:rsidRPr="00512250" w:rsidRDefault="00F026BE" w:rsidP="00F026BE">
      <w:pPr>
        <w:pStyle w:val="NormalHanging12a"/>
        <w:ind w:left="1134"/>
        <w:rPr>
          <w:bCs/>
        </w:rPr>
      </w:pPr>
      <w:proofErr w:type="spellStart"/>
      <w:r w:rsidRPr="00512250">
        <w:t>iii</w:t>
      </w:r>
      <w:proofErr w:type="spellEnd"/>
      <w:r w:rsidRPr="00512250">
        <w:t>)</w:t>
      </w:r>
      <w:r w:rsidRPr="00512250">
        <w:tab/>
        <w:t>καλεί τον ACER να αποτρέπει μελλοντικές παρατυπίες στον τομέα των δημόσιων συμβάσεων και να διασφαλίζει την πλήρη συμμόρφωση με τον δημοσιονομικό κανονισμό·</w:t>
      </w:r>
    </w:p>
    <w:p w14:paraId="06B766AA" w14:textId="77777777" w:rsidR="00F026BE" w:rsidRPr="00512250" w:rsidRDefault="00F026BE" w:rsidP="00F026BE">
      <w:pPr>
        <w:pStyle w:val="NormalHanging12a"/>
        <w:rPr>
          <w:b/>
          <w:bCs/>
          <w:i/>
          <w:iCs/>
        </w:rPr>
      </w:pPr>
      <w:r w:rsidRPr="00512250">
        <w:rPr>
          <w:b/>
          <w:i/>
        </w:rPr>
        <w:t>Οργανισμοί σε άλλους τομείς</w:t>
      </w:r>
      <w:r w:rsidRPr="00512250">
        <w:rPr>
          <w:b/>
          <w:bCs/>
          <w:i/>
          <w:iCs/>
          <w:vertAlign w:val="superscript"/>
        </w:rPr>
        <w:footnoteReference w:id="417"/>
      </w:r>
    </w:p>
    <w:p w14:paraId="44EA2D5F" w14:textId="5AF51ADC" w:rsidR="00F026BE" w:rsidRPr="00512250" w:rsidRDefault="00512250" w:rsidP="00512250">
      <w:pPr>
        <w:pStyle w:val="NormalHanging12a"/>
        <w:ind w:left="570" w:hanging="570"/>
      </w:pPr>
      <w:r w:rsidRPr="00512250">
        <w:t>132.</w:t>
      </w:r>
      <w:r w:rsidRPr="00512250">
        <w:tab/>
      </w:r>
      <w:r w:rsidR="00F026BE" w:rsidRPr="00512250">
        <w:t xml:space="preserve">σημειώνει ότι, σε δύο διαδικασίες με διαπραγμάτευση, η Υπηρεσία του BEREC δεν προσδιόρισε κριτήρια επιλογής στη συγγραφή υποχρεώσεων, σε αντίθεση με το σημείο 18.2 του παραρτήματος I του δημοσιονομικού κανονισμού, με κίνδυνο ο ανάδοχος να μην έχει την ικανότητα να εκτελέσει τις συμβάσεις· λαμβάνει υπόψη την εξήγηση της Υπηρεσίας του BEREC ότι η ικανότητα των αναδόχων αξιολογήθηκε μέσω </w:t>
      </w:r>
      <w:r w:rsidR="00F026BE" w:rsidRPr="00512250">
        <w:lastRenderedPageBreak/>
        <w:t>προηγούμενων διαβουλεύσεων και ότι θα διασφαλίσει ότι τα κριτήρια επιλογής προσδιορίζονται σε όλους τους μελλοντικούς διαγωνισμούς·</w:t>
      </w:r>
    </w:p>
    <w:p w14:paraId="66DB7664" w14:textId="79FF8743" w:rsidR="00F026BE" w:rsidRPr="00512250" w:rsidRDefault="00512250" w:rsidP="00512250">
      <w:pPr>
        <w:pStyle w:val="NormalHanging12a"/>
        <w:ind w:left="570" w:hanging="570"/>
      </w:pPr>
      <w:r w:rsidRPr="00512250">
        <w:t>133.</w:t>
      </w:r>
      <w:r w:rsidRPr="00512250">
        <w:tab/>
      </w:r>
      <w:r w:rsidR="00F026BE" w:rsidRPr="00512250">
        <w:t>εφιστά την προσοχή στο γεγονός ότι, έως τον Δεκέμβριο του 2023, η Επιτροπή όφειλε να ολοκληρώσει πενταετή αξιολόγηση της Υπηρεσίας του BEREC σύμφωνα με το άρθρο 48 του ιδρυτικού κανονισμού της, με σκοπό την αξιολόγηση πιθανών διαρθρωτικών αλλαγών ή αλλαγών εντολής της Υπηρεσίας, καθώς και τυχόν δημοσιονομικών επιπτώσεων· σημειώνει ότι, έως το τέλος του 2024, η Επιτροπή δεν είχε ακόμη ολοκληρώσει την εν λόγω αξιολόγηση και, σύμφωνα με αίτημα βουλευτή του ΕΚ, η Επιτροπή ενημέρωσε το Κοινοβούλιο ότι η έκθεση αξιολόγησης θα υποβληθεί τον Δεκέμβριο του 2025·</w:t>
      </w:r>
    </w:p>
    <w:p w14:paraId="0C59D537" w14:textId="5B417A59" w:rsidR="00F026BE" w:rsidRPr="00512250" w:rsidRDefault="00512250" w:rsidP="00512250">
      <w:pPr>
        <w:pStyle w:val="NormalHanging12a"/>
        <w:ind w:left="570" w:hanging="570"/>
      </w:pPr>
      <w:r w:rsidRPr="00512250">
        <w:t>134.</w:t>
      </w:r>
      <w:r w:rsidRPr="00512250">
        <w:tab/>
      </w:r>
      <w:r w:rsidR="00F026BE" w:rsidRPr="00512250">
        <w:t xml:space="preserve">σημειώνει την παρατήρηση του Ελεγκτικού Συνεδρίου σχετικά με παρατυπία του </w:t>
      </w:r>
      <w:proofErr w:type="spellStart"/>
      <w:r w:rsidR="00F026BE" w:rsidRPr="00512250">
        <w:t>CdT</w:t>
      </w:r>
      <w:proofErr w:type="spellEnd"/>
      <w:r w:rsidR="00F026BE" w:rsidRPr="00512250">
        <w:t xml:space="preserve"> όσον αφορά τη σύναψη δημόσιας σύμβασης για μισθώσεις πλαισίων εξοπλισμού ΤΠ, η οποία ανατέθηκε το 2016 μέσω διαδικασίας με διαπραγμάτευση χωρίς προηγούμενη δημοσίευση προκήρυξης διαγωνισμού· επισημαίνει ότι η σύμβαση ανανεώθηκε 13 φορές, με εσφαλμένη επίκληση της εξαίρεσης των συμβάσεων ακινήτων σύμφωνα με το άρθρο 134 παράγραφος 1 στοιχείο η) του κατ’ εξουσιοδότηση κανονισμού (ΕΕ) αριθ. 1268/2012 της Επιτροπής, διάταξη η οποία το Ελεγκτικό Συνέδριο έκρινε ότι δεν εφαρμόζεται στις μισθώσεις για πλαίσιο εξοπλισμού ΤΠ·</w:t>
      </w:r>
    </w:p>
    <w:p w14:paraId="6D554E42" w14:textId="692F6BA5" w:rsidR="00F026BE" w:rsidRPr="00512250" w:rsidRDefault="00512250" w:rsidP="00512250">
      <w:pPr>
        <w:pStyle w:val="NormalHanging12a"/>
        <w:ind w:left="570" w:hanging="570"/>
      </w:pPr>
      <w:r w:rsidRPr="00512250">
        <w:t>135.</w:t>
      </w:r>
      <w:r w:rsidRPr="00512250">
        <w:tab/>
      </w:r>
      <w:r w:rsidR="00F026BE" w:rsidRPr="00512250">
        <w:t>σημειώνει ότι ο ENISA δεν εξέδωσε κατάλληλη απόφαση χρηματοδότησης πριν από την έναρξη διαδικασιών σύναψης δημόσιων συμβάσεων για επιχειρησιακές δαπάνες, υπονομεύοντας τον αποτελεσματικό σχεδιασμό και την εποπτεία και παραβιάζοντας τα άρθρα 32 παράγραφος 1 και 72 παράγραφος 3 στοιχείο β) του δημοσιονομικού κανονισμού του· λαμβάνει υπόψη την απάντηση του ENISA ότι συμφωνεί με την παρατήρηση και ότι έχει λάβει τα αναγκαία μέτρα για την αντιμετώπιση του ζητήματος·</w:t>
      </w:r>
    </w:p>
    <w:p w14:paraId="7CA82B6A" w14:textId="676A042F" w:rsidR="00F026BE" w:rsidRPr="00512250" w:rsidRDefault="00512250" w:rsidP="00512250">
      <w:pPr>
        <w:pStyle w:val="NormalHanging12a"/>
        <w:ind w:left="570" w:hanging="570"/>
      </w:pPr>
      <w:r w:rsidRPr="00512250">
        <w:t>136.</w:t>
      </w:r>
      <w:r w:rsidRPr="00512250">
        <w:tab/>
      </w:r>
      <w:r w:rsidR="00F026BE" w:rsidRPr="00512250">
        <w:t>παρατηρεί ότι, για τέσσερις διασκέψεις (2022</w:t>
      </w:r>
      <w:r w:rsidR="00F026BE" w:rsidRPr="00512250">
        <w:noBreakHyphen/>
        <w:t>2024), οι μέσες τιμές ξενοδοχείων που πλήρωσε ο ENISA υπερέβησαν τα ισχύοντα ανώτατα όρια προσωπικού της Ένωσης, με υψηλά τέλη ακύρωσης (30 % των συνολικών δαπανών) για δύο εκδηλώσεις· επισημαίνει την έλλειψη κατευθυντήριων γραμμών ή εκ των προτέρων ελέγχων για τη διοργάνωση διασκέψεων· λαμβάνει υπόψη την απάντηση του ENISA ότι συμφωνεί και ότι θα λάβει διορθωτικά μέτρα·</w:t>
      </w:r>
    </w:p>
    <w:p w14:paraId="5A968202" w14:textId="6EB66C6A" w:rsidR="00F026BE" w:rsidRPr="00512250" w:rsidRDefault="00512250" w:rsidP="00512250">
      <w:pPr>
        <w:pStyle w:val="NormalHanging12a"/>
        <w:ind w:left="570" w:hanging="570"/>
      </w:pPr>
      <w:r w:rsidRPr="00512250">
        <w:t>137.</w:t>
      </w:r>
      <w:r w:rsidRPr="00512250">
        <w:tab/>
      </w:r>
      <w:r w:rsidR="00F026BE" w:rsidRPr="00512250">
        <w:t>εφιστά την προσοχή σε μια διαδικασία σύναψης δημόσιας σύμβασης για υπηρεσίες έρευνας και ανάπτυξης που δεν διέθετε επαρκή τεκμηρίωση για την αιτιολόγηση της εκτιμώμενης αξίας της σύμβασης και δεν καθόρισε συγκεκριμένα και μετρήσιμα κριτήρια επιλογής, όπως απαιτείται από το άρθρο 167 και το παράρτημα Ι σημείο 18.2 του δημοσιονομικού κανονισμού· σημειώνει την απάντηση του ENISA ότι έχει ήδη αντιμετωπίσει το ζήτημα·</w:t>
      </w:r>
    </w:p>
    <w:p w14:paraId="5B067458" w14:textId="7A9985FE" w:rsidR="00F026BE" w:rsidRPr="00512250" w:rsidRDefault="00512250" w:rsidP="00512250">
      <w:pPr>
        <w:pStyle w:val="NormalHanging12a"/>
        <w:ind w:left="570" w:hanging="570"/>
      </w:pPr>
      <w:r w:rsidRPr="00512250">
        <w:t>138.</w:t>
      </w:r>
      <w:r w:rsidRPr="00512250">
        <w:tab/>
      </w:r>
      <w:r w:rsidR="00F026BE" w:rsidRPr="00512250">
        <w:t xml:space="preserve">σημειώνει την παρατήρηση του Ελεγκτικού Συνεδρίου σχετικά με το ΕΙΤ, ιδίως την εξωτερική εκ των υστέρων επαλήθευση αντιπροσωπευτικού δείγματος στοιχείων κόστους στο πλαίσιο πληρωμών επιχορηγήσεων, η οποία είχε ως αποτέλεσμα συνολικό ποσοστό σφάλματος 0,4 %· παρατηρεί ότι το Ελεγκτικό Συνέδριο υπολόγισε εκ νέου το συνολικό ποσοστό σφάλματος για το δείγμα, ενσωματώνοντας ένα πρόσθετο μη επιλέξιμο ποσό που εντοπίστηκε στον έλεγχό του, και κατέληξε στο συμπέρασμα ότι οι πληρωμές επιχορηγήσεων επηρεάστηκαν από εκτιμώμενο ποσοστό σφάλματος 0,8 %, το οποίο εφαρμόστηκε στις εκκαθαρισμένες πληρωμές επιχορηγήσεων του ΕΙΤ ύψους 6 εκατομμυρίων EUR το 2024· υποδεικνύει ότι περίπου 50 000 EUR ενδέχεται να </w:t>
      </w:r>
      <w:r w:rsidR="00F026BE" w:rsidRPr="00512250">
        <w:lastRenderedPageBreak/>
        <w:t>περιέχουν σφάλματα·</w:t>
      </w:r>
    </w:p>
    <w:p w14:paraId="21AA4A35" w14:textId="302E4854" w:rsidR="00F026BE" w:rsidRPr="00512250" w:rsidRDefault="00512250" w:rsidP="00512250">
      <w:pPr>
        <w:pStyle w:val="NormalHanging12a"/>
        <w:ind w:left="570" w:hanging="570"/>
      </w:pPr>
      <w:r w:rsidRPr="00512250">
        <w:t>139.</w:t>
      </w:r>
      <w:r w:rsidRPr="00512250">
        <w:tab/>
      </w:r>
      <w:r w:rsidR="00F026BE" w:rsidRPr="00512250">
        <w:t>σημειώνει ότι, το 2023, το ΕΙΤ άλλαξε τη δομή των συμφωνιών επιχορήγησής του από ετήσια σε πολυετή· εφιστά την προσοχή στο γεγονός ότι η αλλαγή αυτή επηρεάζει την αξιολόγηση της νομιμότητας και της κανονικότητας από το Ελεγκτικό Συνέδριο, η οποία μπορεί να πραγματοποιηθεί μόνο κατά τη διάρκεια των ενδιάμεσων και τελικών πληρωμών· σημειώνει ότι, το 2024, το ΕΙΤ κατέβαλε 412 εκατομμύρια EUR σε προχρηματοδότηση για πολυετείς συμφωνίες, ποσό που αντιστοιχεί στο 92,9 % των συνολικών πληρωμών για το έτος· σημειώνει ότι η νομιμότητα και η κανονικότητα των εν λόγω πληρωμών θα αξιολογηθούν τα επόμενα έτη· τονίζει ότι ένα τόσο υψηλό ποσοστό πληρωμών προχρηματοδότησης απαιτεί ενισχυμένους μηχανισμούς παρακολούθησης και ελέγχου προκειμένου να μετριαστεί ο κίνδυνος μελλοντικών δημοσιονομικών διορθώσεων ή ανακτήσεων·</w:t>
      </w:r>
    </w:p>
    <w:p w14:paraId="1CED9EDC" w14:textId="09F5A7AD" w:rsidR="00F026BE" w:rsidRPr="00512250" w:rsidRDefault="00512250" w:rsidP="00512250">
      <w:pPr>
        <w:pStyle w:val="NormalHanging12a"/>
        <w:ind w:left="570" w:hanging="570"/>
      </w:pPr>
      <w:r w:rsidRPr="00512250">
        <w:t>140.</w:t>
      </w:r>
      <w:r w:rsidRPr="00512250">
        <w:tab/>
      </w:r>
      <w:r w:rsidR="00F026BE" w:rsidRPr="00512250">
        <w:t>εκφράζει την ανησυχία του για τις έρευνες της OLAF σχετικά με τρεις διαφορετικές υποθέσεις που περατώθηκαν το 2024 και τις επακόλουθες δημοσιονομικές και διοικητικές συστάσεις της· σημειώνει ότι η OLAF συνέστησε στο ΕΙΤ να ανακτήσει μεγάλα ποσά από τους δικαιούχους που αφορούσε η συγκεκριμένη έρευνα· λαμβάνει υπόψη ότι το προς ανάκτηση ποσό αφορά συμφωνίες επιχορήγησης που συνήφθησαν από το 2020 έως το 2023· σημειώνει ότι, το 2024, το ΕΙΤ κατέβαλε προχρηματοδότηση ύψους 52,1 εκατομμυρίων EUR σε σχέση με τη συμφωνία επιχορήγησης του 2023 και ότι δεν αποτελούσε μέρος των πληρωμών που ελέγχθηκαν από το Ελεγκτικό Συνέδριο το 2024·</w:t>
      </w:r>
    </w:p>
    <w:p w14:paraId="62F41BF6" w14:textId="1000CE43" w:rsidR="00F026BE" w:rsidRPr="00512250" w:rsidRDefault="00512250" w:rsidP="00512250">
      <w:pPr>
        <w:pStyle w:val="NormalHanging12a"/>
        <w:ind w:left="570" w:hanging="570"/>
      </w:pPr>
      <w:r w:rsidRPr="00512250">
        <w:t>141.</w:t>
      </w:r>
      <w:r w:rsidRPr="00512250">
        <w:tab/>
      </w:r>
      <w:r w:rsidR="00F026BE" w:rsidRPr="00512250">
        <w:t>σημειώνει με ιδιαίτερη προσοχή τις εξηγήσεις που παρασχέθηκαν από τον διευθυντή του ΕΙΤ κατά την ακρόαση που πραγματοποιήθηκε την 1η Δεκεμβρίου 2025, ότι οι παρατυπίες αφορούν δικαιούχους επιχορηγήσεων του ΕΙΤ και όχι μέλη του προσωπικού του ΕΙΤ, και ότι στις δύο κύριες περιπτώσεις, οι παρατυπίες εντοπίστηκαν και αναφέρθηκαν προορατικά από τον ίδιο τον Οργανισμό στην OLAF· σημειώνει περαιτέρω ότι, μετά την παραλαβή των τελικών εκθέσεων της OLAF, το ΕΙΤ έχει λάβει άμεσα διορθωτικά μέτρα, ιδίως για την κύρια παρατυπία, συμπεριλαμβανομένης της αναστολής όλων των πληρωμών στον ενδιαφερόμενο δικαιούχο, της πρόωρης καταγγελίας της εν εξελίξει συμφωνίας επιχορήγησης και της έναρξης διαδικασιών ανάκτησης για προηγούμενες επηρεαζόμενες επιχορηγήσεις, καθώς και της απαίτησης από τον δικαιούχο να βελτιώσει τις διαδικασίες του· αναμένει από το ΕΙΤ να εφαρμόσει πλήρως όλες τις δράσεις παρακολούθησης που απορρέουν από τις συστάσεις της OLAF και να διασφαλίσει ότι οι ενισχυμένοι μηχανισμοί ελέγχου μετριάζουν αποτελεσματικά παρόμοιους κινδύνους σε μελλοντικούς κύκλους χρηματοδότησης·</w:t>
      </w:r>
    </w:p>
    <w:p w14:paraId="49E1957E" w14:textId="69CA4688" w:rsidR="00F026BE" w:rsidRPr="00512250" w:rsidRDefault="00512250" w:rsidP="00512250">
      <w:pPr>
        <w:pStyle w:val="NormalHanging12a"/>
        <w:ind w:left="570" w:hanging="570"/>
      </w:pPr>
      <w:r w:rsidRPr="00512250">
        <w:t>142.</w:t>
      </w:r>
      <w:r w:rsidRPr="00512250">
        <w:tab/>
      </w:r>
      <w:r w:rsidR="00F026BE" w:rsidRPr="00512250">
        <w:t>επισημαίνει ότι, λόγω της πολυπλοκότητας μίας από τις τρεις υποθέσεις, το ΕΙΤ συνεργάζεται στενά με τις νομικές υπηρεσίες της Επιτροπής, την OLAF και τη ΓΔ BUDG και το προς ανάκτηση ποσό εκτιμάται επί του παρόντος στα 15</w:t>
      </w:r>
      <w:r w:rsidR="00F026BE" w:rsidRPr="00512250">
        <w:noBreakHyphen/>
        <w:t>20 εκατομμύρια EUR·</w:t>
      </w:r>
    </w:p>
    <w:p w14:paraId="6E30D68A" w14:textId="2079554E" w:rsidR="00F026BE" w:rsidRPr="00512250" w:rsidRDefault="00512250" w:rsidP="00512250">
      <w:pPr>
        <w:pStyle w:val="NormalHanging12a"/>
        <w:ind w:left="570" w:hanging="570"/>
      </w:pPr>
      <w:r w:rsidRPr="00512250">
        <w:t>143.</w:t>
      </w:r>
      <w:r w:rsidRPr="00512250">
        <w:tab/>
      </w:r>
      <w:r w:rsidR="00F026BE" w:rsidRPr="00512250">
        <w:t>αναγνωρίζει ότι, το 2024, το ΕΙΤ αξιολόγησε τους εσωτερικούς ελέγχους του και εντόπισε τρεις βασικούς κινδύνους με υψηλή πιθανότητα εμφάνισης και σημαντικό αντίκτυπο στις δραστηριότητές του:</w:t>
      </w:r>
    </w:p>
    <w:p w14:paraId="62A36F2E" w14:textId="77777777" w:rsidR="00F026BE" w:rsidRPr="00512250" w:rsidRDefault="00F026BE" w:rsidP="00F026BE">
      <w:pPr>
        <w:pStyle w:val="NormalHanging12a"/>
        <w:ind w:left="1134"/>
      </w:pPr>
      <w:r w:rsidRPr="00512250">
        <w:t>–</w:t>
      </w:r>
      <w:r w:rsidRPr="00512250">
        <w:tab/>
        <w:t xml:space="preserve">Ανεπαρκείς οικονομικοί πόροι σημειώνει ότι το Ελεγκτικό Συνέδριο και η Υπηρεσία Εσωτερικού Λογιστικού Ελέγχου της Επιτροπής αναγνωρίζουν αυτόν τον κίνδυνο, επισημαίνοντας παρατυπίες λόγω υποστελέχωσης· ζητεί επιτακτικά </w:t>
      </w:r>
      <w:r w:rsidRPr="00512250">
        <w:lastRenderedPageBreak/>
        <w:t>να αυξηθεί ο αριθμός του προσωπικού, καθώς και να αυξηθεί αναλόγως η χρηματοδότηση·</w:t>
      </w:r>
    </w:p>
    <w:p w14:paraId="32ED2C13" w14:textId="77777777" w:rsidR="00F026BE" w:rsidRPr="00512250" w:rsidRDefault="00F026BE" w:rsidP="00F026BE">
      <w:pPr>
        <w:pStyle w:val="NormalHanging12a"/>
        <w:ind w:left="1134"/>
      </w:pPr>
      <w:r w:rsidRPr="00512250">
        <w:t>–</w:t>
      </w:r>
      <w:r w:rsidRPr="00512250">
        <w:tab/>
        <w:t>Στρατηγική πρόοδος των ΚΓΚ: εκφράζει τη λύπη του για το γεγονός ότι οι κοινότητες γνώσης και καινοτομίας (ΚΓΚ) ενδέχεται να μην επιτύχουν στρατηγικούς στόχους λόγω μη ευθυγράμμισης, απάτης ή άλλων παραγόντων· εκφράζει την ανησυχία του για το γεγονός ότι ορισμένες ΚΓΚ εξακολουθούν να υστερούν όσον αφορά τα συστήματα καταπολέμησης της απάτης, καθώς οι εν εξελίξει επανεξετάσεις των ερευνών της OLAF σχετικά με τις ΚΓΚ ενδέχεται να απαιτούν ανάκτηση κονδυλίων·</w:t>
      </w:r>
    </w:p>
    <w:p w14:paraId="4FC0B21D" w14:textId="77777777" w:rsidR="00F026BE" w:rsidRPr="00512250" w:rsidRDefault="00F026BE" w:rsidP="00F026BE">
      <w:pPr>
        <w:pStyle w:val="NormalHanging12a"/>
        <w:ind w:left="1134"/>
      </w:pPr>
      <w:r w:rsidRPr="00512250">
        <w:t>–</w:t>
      </w:r>
      <w:r w:rsidRPr="00512250">
        <w:tab/>
        <w:t>Κυβερνοαπειλές: οι κυβερνοεπιθέσεις ενέχουν πολύ υψηλό κίνδυνο, επηρεάζοντας δυνητικά την επιχειρησιακή συνέχεια, προκαλώντας απώλεια δεδομένων και βλάπτοντας τη φήμη·</w:t>
      </w:r>
    </w:p>
    <w:p w14:paraId="2E7DDAE1" w14:textId="3DBD4127" w:rsidR="00F026BE" w:rsidRPr="00512250" w:rsidRDefault="00512250" w:rsidP="00512250">
      <w:pPr>
        <w:pStyle w:val="NormalHanging12a"/>
        <w:ind w:left="570" w:hanging="570"/>
      </w:pPr>
      <w:r w:rsidRPr="00512250">
        <w:t>144.</w:t>
      </w:r>
      <w:r w:rsidRPr="00512250">
        <w:tab/>
      </w:r>
      <w:r w:rsidR="00F026BE" w:rsidRPr="00512250">
        <w:t>εφιστά την προσοχή σε δύο δημοσιονομικές παρατυπίες στον διορθωτικό προϋπολογισμό του ΕΙΤ για το 2025:</w:t>
      </w:r>
    </w:p>
    <w:p w14:paraId="2D42A323" w14:textId="0B12F2A7" w:rsidR="00F026BE" w:rsidRPr="00512250" w:rsidRDefault="00F026BE" w:rsidP="00F026BE">
      <w:pPr>
        <w:pStyle w:val="NormalHanging12a"/>
        <w:ind w:left="1134"/>
      </w:pPr>
      <w:r w:rsidRPr="00512250">
        <w:t>–</w:t>
      </w:r>
      <w:r w:rsidRPr="00512250">
        <w:tab/>
        <w:t>ισοσκέλιση του προϋπολογισμού: σημειώνει ότι η αρχική έκδοση κατέδειξε έσοδα ύψους 463,6 εκατομμυρίων EUR έναντι δαπανών ύψους 446,7</w:t>
      </w:r>
      <w:r w:rsidR="00F27C05" w:rsidRPr="00512250">
        <w:t> </w:t>
      </w:r>
      <w:r w:rsidRPr="00512250">
        <w:t>εκατομμυρίων EUR, κατά παράβαση των άρθρων 8 και 16 του δημοσιονομικού κανονισμού-πλαισίου· αναγνωρίζει τη διορθωμένη έκδοση της 31ης Μαρτίου 2025·</w:t>
      </w:r>
    </w:p>
    <w:p w14:paraId="70792E6F" w14:textId="70F3972E" w:rsidR="00F026BE" w:rsidRPr="00512250" w:rsidRDefault="00F026BE" w:rsidP="00F026BE">
      <w:pPr>
        <w:pStyle w:val="NormalHanging12a"/>
        <w:ind w:left="1134"/>
      </w:pPr>
      <w:r w:rsidRPr="00512250">
        <w:t>–</w:t>
      </w:r>
      <w:r w:rsidRPr="00512250">
        <w:tab/>
        <w:t>σφάλμα ταξινόμησης εσόδων: σημειώνει ότι το ΕΙΤ συμπεριέλαβε 16,7</w:t>
      </w:r>
      <w:r w:rsidR="00F27C05" w:rsidRPr="00512250">
        <w:t> </w:t>
      </w:r>
      <w:r w:rsidRPr="00512250">
        <w:t>εκατομμύρια EUR σε εξωτερικά έσοδα για ειδικό προορισμό στον τίτλο 2 «Συνεισφορές» αντί να δημιουργήσει ειδικό κεφάλαιο, κατά παράβαση των άρθρων 8, 20, 21 και 25· σημειώνει ότι το ΕΙΤ έχει έκτοτε δεσμευτεί να αναδιαρθρώσει τον προϋπολογισμό του για την ορθή ταξινόμηση των εν λόγω εσόδων το 2025·</w:t>
      </w:r>
    </w:p>
    <w:p w14:paraId="73F7456B" w14:textId="14030762" w:rsidR="00F026BE" w:rsidRPr="00512250" w:rsidRDefault="00512250" w:rsidP="00512250">
      <w:pPr>
        <w:pStyle w:val="NormalHanging12a"/>
        <w:ind w:left="570" w:hanging="570"/>
      </w:pPr>
      <w:bookmarkStart w:id="16" w:name="_Hlk216795090"/>
      <w:r w:rsidRPr="00512250">
        <w:t>145.</w:t>
      </w:r>
      <w:r w:rsidRPr="00512250">
        <w:tab/>
      </w:r>
      <w:r w:rsidR="00F026BE" w:rsidRPr="00512250">
        <w:t>σημειώνει ότι η σύμβαση-πλαίσιο του ΕΙΤ για ταξιδιωτικές υπηρεσίες δεν συμμορφώνεται με τους συμβατικούς όρους, καθώς δεν χρησιμοποιούνται δελτία παραγγελίας ή ειδικές συμβάσεις για την παραγγελία ταξιδιωτικών υπηρεσιών· παρατηρεί ότι το ΕΙΤ βασίζεται σε εντολές αποστολής του προσωπικού ως νομικές δεσμεύσεις, αλλά δεν τις κοινοποιεί στον ανάδοχο, αναθέτοντας αντ’ αυτού την πλήρη ευθύνη σε μέλη του προσωπικού που ταξιδεύουν και υποχρεώνοντάς τα να παραγγέλλουν τις ταξιδιωτικές τους υπηρεσίες απευθείας μέσω ηλεκτρονικού ταχυδρομείου</w:t>
      </w:r>
      <w:bookmarkEnd w:id="16"/>
      <w:r w:rsidR="00F026BE" w:rsidRPr="00512250">
        <w:t>· επισημαίνει τρεις περιπτώσεις στις οποίες οι εντολές αποστολής και οι δηλώσεις δαπανών δεν εγκρίθηκαν από δεόντως εξουσιοδοτημένο προσωπικό· επισημαίνει επίσης ότι το ΕΙΤ δεν διαθέτει αξιόπιστο σύστημα για την παρακολούθηση της τήρησης του ανώτατου ορίου της σύμβασης· αναγνωρίζει την απάντηση του ΕΙΤ που επιβεβαιώνει ότι δεν έχει σημειωθεί υπέρβαση του ανώτατου ορίου των συμβάσεων, αλλά καλεί τον Οργανισμό να διασφαλίσει την κατάλληλη ανάθεση της αρχής έγκρισης και να εφαρμόσει σύστημα παρακολούθησης για τη συμμόρφωση με το ανώτατο όριο των συμβάσεων·</w:t>
      </w:r>
    </w:p>
    <w:p w14:paraId="702F05B1" w14:textId="343FF0BB" w:rsidR="00F026BE" w:rsidRPr="00512250" w:rsidRDefault="00512250" w:rsidP="00512250">
      <w:pPr>
        <w:pStyle w:val="NormalHanging12a"/>
        <w:ind w:left="570" w:hanging="570"/>
      </w:pPr>
      <w:r w:rsidRPr="00512250">
        <w:t>146.</w:t>
      </w:r>
      <w:r w:rsidRPr="00512250">
        <w:tab/>
      </w:r>
      <w:r w:rsidR="00F026BE" w:rsidRPr="00512250">
        <w:t xml:space="preserve">παρατηρεί ότι το ΕΙΤ μετέφερε 118 697 EUR σε αναλήψεις υποχρεώσεων για δαπάνες προσωπικού στο 2025 ως πιστώσεις C9, παρά το άρθρο 12 παράγραφος 5 του δημοσιονομικού κανονισμού-πλαισίου που απαιτεί την ακύρωση των εν λόγω αναλήψεων υποχρεώσεων έως το τέλος του έτους· σημειώνει ότι το ΕΙΤ αναγνωρίζει το </w:t>
      </w:r>
      <w:r w:rsidR="00F026BE" w:rsidRPr="00512250">
        <w:lastRenderedPageBreak/>
        <w:t>ζήτημα και δεσμεύεται να ενισχύσει τους εσωτερικούς ελέγχους για την πρόληψη της επανάληψης·</w:t>
      </w:r>
    </w:p>
    <w:p w14:paraId="56FA3FD3" w14:textId="598DE967" w:rsidR="00F026BE" w:rsidRPr="00512250" w:rsidRDefault="00512250" w:rsidP="00512250">
      <w:pPr>
        <w:pStyle w:val="NormalHanging12a"/>
        <w:ind w:left="570" w:hanging="570"/>
      </w:pPr>
      <w:r w:rsidRPr="00512250">
        <w:t>147.</w:t>
      </w:r>
      <w:r w:rsidRPr="00512250">
        <w:tab/>
      </w:r>
      <w:r w:rsidR="00F026BE" w:rsidRPr="00512250">
        <w:t>σημειώνει τον στρατηγικό ρόλο του EUSPA ως βασικού πυλώνα του διαστημικού προγράμματος της ΕΕ για την ενίσχυση της βιομηχανικής βάσης, της ανταγωνιστικότητας και της καινοτομίας της Ένωσης· καλεί την Επιτροπή, κατά την κατάρτιση του επόμενου πολυετούς δημοσιονομικού πλαισίου (ΠΔΠ), να διασφαλίσει ότι ο EUSPA διαθέτει επαρκείς εξουσίες και πόρους για την ενίσχυση των επιδόσεων και της ικανότητας υλοποίησης που διαθέτει με σκοπό τη στήριξη της στρατηγικής αυτονομίας και της κυριαρχίας της Ένωσης, μεταξύ άλλων μέσω της εκτέλεσης νέων καθηκόντων στο πλαίσιο του κανονισμού της ΕΕ για το διάστημα· υπογραμμίζει ότι είναι σημαντικό να δοθεί προτεραιότητα στις ευρωπαϊκές δημόσιες συμβάσεις σε τομείς ζωτικής σημασίας για την ανθεκτικότητα, την ασφάλεια και την τεχνολογική ανεξαρτησία της Ένωσης·</w:t>
      </w:r>
    </w:p>
    <w:p w14:paraId="596F6A7A" w14:textId="1AC6D960" w:rsidR="00F026BE" w:rsidRPr="00512250" w:rsidRDefault="00512250" w:rsidP="00512250">
      <w:pPr>
        <w:pStyle w:val="NormalHanging12a"/>
        <w:ind w:left="570" w:hanging="570"/>
      </w:pPr>
      <w:r w:rsidRPr="00512250">
        <w:t>148.</w:t>
      </w:r>
      <w:r w:rsidRPr="00512250">
        <w:tab/>
      </w:r>
      <w:r w:rsidR="00F026BE" w:rsidRPr="00512250">
        <w:t>καλεί τους οργανισμούς να δώσουν συνέχεια στις παρατηρήσεις του Ελεγκτικού Συνεδρίου, και συγκεκριμένα:</w:t>
      </w:r>
    </w:p>
    <w:p w14:paraId="2254A895" w14:textId="77777777" w:rsidR="00F026BE" w:rsidRPr="00512250" w:rsidRDefault="00F026BE" w:rsidP="00F026BE">
      <w:pPr>
        <w:pStyle w:val="NormalHanging12a"/>
        <w:ind w:left="1134"/>
      </w:pPr>
      <w:r w:rsidRPr="00512250">
        <w:t>i)</w:t>
      </w:r>
      <w:r w:rsidRPr="00512250">
        <w:tab/>
        <w:t>καλεί την Υπηρεσία του BEREC να διασφαλίσει την πλήρη συμμόρφωση με τους κανόνες σύναψης δημόσιων συμβάσεων καθορίζοντας συστηματικά κριτήρια επιλογής στις διαδικασίες με διαπραγμάτευση και να ενισχύσει τους μηχανισμούς διασφάλισης της ικανότητας·</w:t>
      </w:r>
    </w:p>
    <w:p w14:paraId="24D422F0" w14:textId="77777777" w:rsidR="00F026BE" w:rsidRPr="00512250" w:rsidRDefault="00F026BE" w:rsidP="00F026BE">
      <w:pPr>
        <w:pStyle w:val="NormalHanging12a"/>
        <w:ind w:left="1134"/>
      </w:pPr>
      <w:proofErr w:type="spellStart"/>
      <w:r w:rsidRPr="00512250">
        <w:t>ii</w:t>
      </w:r>
      <w:proofErr w:type="spellEnd"/>
      <w:r w:rsidRPr="00512250">
        <w:t>)</w:t>
      </w:r>
      <w:r w:rsidRPr="00512250">
        <w:tab/>
        <w:t xml:space="preserve">καλεί το </w:t>
      </w:r>
      <w:proofErr w:type="spellStart"/>
      <w:r w:rsidRPr="00512250">
        <w:t>CdT</w:t>
      </w:r>
      <w:proofErr w:type="spellEnd"/>
      <w:r w:rsidRPr="00512250">
        <w:t xml:space="preserve"> να ενισχύσει τους ελέγχους των δημόσιων συμβάσεων για την πρόληψη της επανάληψης περιπτώσεων μη συμμόρφωσης με τους ενωσιακούς και εσωτερικούς δημοσιονομικούς κανόνες·</w:t>
      </w:r>
    </w:p>
    <w:p w14:paraId="794D1D9C" w14:textId="77777777" w:rsidR="00F026BE" w:rsidRPr="00512250" w:rsidRDefault="00F026BE" w:rsidP="00F026BE">
      <w:pPr>
        <w:pStyle w:val="NormalHanging12a"/>
        <w:ind w:left="1134"/>
        <w:rPr>
          <w:bCs/>
        </w:rPr>
      </w:pPr>
      <w:proofErr w:type="spellStart"/>
      <w:r w:rsidRPr="00512250">
        <w:t>iii</w:t>
      </w:r>
      <w:proofErr w:type="spellEnd"/>
      <w:r w:rsidRPr="00512250">
        <w:t>)</w:t>
      </w:r>
      <w:r w:rsidRPr="00512250">
        <w:tab/>
        <w:t>καλεί τον ENISA να εγκρίνει αποφάσεις χρηματοδότησης πριν από τη σύναψη δημόσιων συμβάσεων, να θεσπίσει κατευθυντήριες γραμμές και εκ των προτέρων ελέγχους για τη διοργάνωση συνεδρίων και να διασφαλίσει πλήρη τεκμηρίωση και μετρήσιμα κριτήρια επιλογής σε όλες τις διαδικασίες·</w:t>
      </w:r>
    </w:p>
    <w:p w14:paraId="1E75F45E" w14:textId="45D01C82" w:rsidR="00F026BE" w:rsidRPr="00512250" w:rsidRDefault="00F026BE" w:rsidP="00F026BE">
      <w:pPr>
        <w:pStyle w:val="NormalHanging12a"/>
        <w:ind w:left="1134"/>
      </w:pPr>
      <w:proofErr w:type="spellStart"/>
      <w:r w:rsidRPr="00512250">
        <w:t>iv</w:t>
      </w:r>
      <w:proofErr w:type="spellEnd"/>
      <w:r w:rsidRPr="00512250">
        <w:t>)</w:t>
      </w:r>
      <w:r w:rsidRPr="00512250">
        <w:tab/>
        <w:t>καλεί το ΕΙΤ</w:t>
      </w:r>
      <w:r w:rsidR="00726FFE" w:rsidRPr="00512250">
        <w:t xml:space="preserve"> </w:t>
      </w:r>
      <w:r w:rsidRPr="00512250">
        <w:t>να ενισχύσει την εποπτεία των εξωτερικών ελεγκτών και να βελτιώσει τους καταλόγους ελέγχου της αναθεώρησής του,</w:t>
      </w:r>
      <w:r w:rsidR="00726FFE" w:rsidRPr="00512250">
        <w:t xml:space="preserve"> </w:t>
      </w:r>
      <w:r w:rsidRPr="00512250">
        <w:t>να διασφαλίσει την κατάλληλη δημοσιονομική ισορροπία και ταξινόμηση των εσόδων,</w:t>
      </w:r>
      <w:r w:rsidR="00726FFE" w:rsidRPr="00512250">
        <w:t xml:space="preserve"> </w:t>
      </w:r>
      <w:r w:rsidRPr="00512250">
        <w:t>να βελτιώσει την εφαρμογή της σύμβασης-πλαισίου για τις ταξιδιωτικές υπηρεσίες</w:t>
      </w:r>
      <w:r w:rsidR="00726FFE" w:rsidRPr="00512250">
        <w:t xml:space="preserve">, </w:t>
      </w:r>
      <w:r w:rsidRPr="00512250">
        <w:t>και να ενισχύσει τους εσωτερικούς ελέγχους για την αποφυγή παράτυπων μεταφορών πιστώσεων·</w:t>
      </w:r>
    </w:p>
    <w:p w14:paraId="2E2C7604" w14:textId="63BB12A3" w:rsidR="00F026BE" w:rsidRPr="00512250" w:rsidRDefault="00512250" w:rsidP="00512250">
      <w:pPr>
        <w:pStyle w:val="NormalHanging12a"/>
        <w:ind w:left="570" w:hanging="570"/>
      </w:pPr>
      <w:r w:rsidRPr="00512250">
        <w:t>149.</w:t>
      </w:r>
      <w:r w:rsidRPr="00512250">
        <w:tab/>
      </w:r>
      <w:r w:rsidR="00F026BE" w:rsidRPr="00512250">
        <w:t>Επιπλέον, καλεί τους ακόλουθους οργανισμούς:</w:t>
      </w:r>
    </w:p>
    <w:p w14:paraId="7AB8564F" w14:textId="77777777" w:rsidR="00F026BE" w:rsidRPr="00512250" w:rsidRDefault="00F026BE" w:rsidP="00F026BE">
      <w:pPr>
        <w:pStyle w:val="NormalHanging12a"/>
        <w:ind w:left="1134"/>
      </w:pPr>
      <w:r w:rsidRPr="00512250">
        <w:t>i)</w:t>
      </w:r>
      <w:r w:rsidRPr="00512250">
        <w:tab/>
        <w:t>καλεί την Υπηρεσία του BEREC να υποβάλει έκθεση στην αρμόδια για την απαλλαγή αρχή σχετικά με την έγκαιρη ολοκλήρωση και την παρακολούθηση της καθυστερημένης πενταετούς αξιολόγησης της Επιτροπής·</w:t>
      </w:r>
    </w:p>
    <w:p w14:paraId="0CD41342" w14:textId="77777777" w:rsidR="00F026BE" w:rsidRPr="00512250" w:rsidRDefault="00F026BE" w:rsidP="00F026BE">
      <w:pPr>
        <w:pStyle w:val="NormalHanging12a"/>
        <w:ind w:left="1134"/>
      </w:pPr>
      <w:proofErr w:type="spellStart"/>
      <w:r w:rsidRPr="00512250">
        <w:t>ii</w:t>
      </w:r>
      <w:proofErr w:type="spellEnd"/>
      <w:r w:rsidRPr="00512250">
        <w:t>)</w:t>
      </w:r>
      <w:r w:rsidRPr="00512250">
        <w:tab/>
        <w:t>καλεί τον ENISA να ενημερώνει την αρμόδια για την απαλλαγή αρχή σχετικά με την πρόοδο στην εφαρμογή διορθωτικών μέτρων όσον αφορά τον σχεδιασμό των δημόσιων συμβάσεων, τη διαχείριση διασκέψεων και την τεκμηρίωση της διαδικασίας έρευνας και ανάπτυξης·</w:t>
      </w:r>
    </w:p>
    <w:p w14:paraId="3EF37683" w14:textId="36F95FB7" w:rsidR="00F026BE" w:rsidRPr="00512250" w:rsidRDefault="00F026BE" w:rsidP="00F026BE">
      <w:pPr>
        <w:pStyle w:val="NormalHanging12a"/>
        <w:ind w:left="1134"/>
      </w:pPr>
      <w:proofErr w:type="spellStart"/>
      <w:r w:rsidRPr="00512250">
        <w:t>iii</w:t>
      </w:r>
      <w:proofErr w:type="spellEnd"/>
      <w:r w:rsidRPr="00512250">
        <w:t>)</w:t>
      </w:r>
      <w:r w:rsidRPr="00512250">
        <w:tab/>
        <w:t xml:space="preserve">καλεί το ΕΙΤ να ενημερώνει την αρμόδια για την απαλλαγή αρχή σχετικά με την εφαρμογή των συστάσεων της OLAF και τους ενισχυμένους μηχανισμούς </w:t>
      </w:r>
      <w:r w:rsidRPr="00512250">
        <w:lastRenderedPageBreak/>
        <w:t>ελέγχου για την αποφυγή παρόμοιων περιστατικών στο μέλλον· να συνεχίσει να ενισχύει τη διακυβέρνηση της κυβερνοασφάλειας σε πλήρη συμμόρφωση με τον κανονισμό (ΕΕ, Ευρατόμ) 2023/2841, για την περαιτέρω ενίσχυση των εσωτερικών ικανοτήτων κυβερνοανθεκτικότητας·</w:t>
      </w:r>
      <w:r w:rsidR="00783DDB" w:rsidRPr="00512250">
        <w:t xml:space="preserve"> να θεσπίσει πολιτική για την πρόσβαση στα έγγραφα, ώστε να καταστεί δυνατός ο κοινοβουλευτικός και δημόσιος έλεγχος της χρήσης των κονδυλίων της Ένωσης, ιδίως όσον αφορά τις κοινότητες γνώσης και καινοτομίας (ΚΓΚ)·</w:t>
      </w:r>
    </w:p>
    <w:p w14:paraId="4B5EE5A8" w14:textId="43B21398" w:rsidR="00783DDB" w:rsidRPr="00512250" w:rsidRDefault="00783DDB" w:rsidP="00F026BE">
      <w:pPr>
        <w:pStyle w:val="NormalHanging12a"/>
        <w:ind w:left="1134"/>
      </w:pPr>
      <w:proofErr w:type="spellStart"/>
      <w:r w:rsidRPr="00512250">
        <w:t>iv</w:t>
      </w:r>
      <w:proofErr w:type="spellEnd"/>
      <w:r w:rsidRPr="00512250">
        <w:t>)</w:t>
      </w:r>
      <w:r w:rsidRPr="00512250">
        <w:tab/>
        <w:t xml:space="preserve">το </w:t>
      </w:r>
      <w:proofErr w:type="spellStart"/>
      <w:r w:rsidRPr="00512250">
        <w:t>CdT</w:t>
      </w:r>
      <w:proofErr w:type="spellEnd"/>
      <w:r w:rsidRPr="00512250">
        <w:t xml:space="preserve"> να συνεχίσει να βελτιώνει την προσβασιμότητα των εγγράφων σε όλες τις γλώσσες της Ένωσης, προκειμένου να διασφαλιστεί ισότιμη πρόσβαση για όλους τους πολίτες της Ένωσης·</w:t>
      </w:r>
    </w:p>
    <w:p w14:paraId="1D164786" w14:textId="3D1B849B" w:rsidR="00F026BE" w:rsidRPr="00512250" w:rsidRDefault="00512250" w:rsidP="00512250">
      <w:pPr>
        <w:pStyle w:val="NormalHanging12a"/>
        <w:ind w:left="570" w:hanging="570"/>
      </w:pPr>
      <w:r w:rsidRPr="00512250">
        <w:t>150.</w:t>
      </w:r>
      <w:r w:rsidRPr="00512250">
        <w:tab/>
      </w:r>
      <w:r w:rsidR="00F026BE" w:rsidRPr="00512250">
        <w:t>ζητεί από την Επιτροπή:</w:t>
      </w:r>
    </w:p>
    <w:p w14:paraId="7AC2A18A" w14:textId="79027CBF" w:rsidR="00F026BE" w:rsidRPr="00512250" w:rsidRDefault="00F026BE" w:rsidP="00F026BE">
      <w:pPr>
        <w:pStyle w:val="NormalHanging12a"/>
        <w:ind w:left="1134"/>
      </w:pPr>
      <w:r w:rsidRPr="00512250">
        <w:t>i)</w:t>
      </w:r>
      <w:r w:rsidRPr="00512250">
        <w:tab/>
        <w:t>να εντοπίσει συστημικά προβλήματα σε όλους τους οργανισμούς όσον αφορά τις δημόσιες συμβάσεις για υπηρεσίες ΤΠ,</w:t>
      </w:r>
      <w:r w:rsidR="00726FFE" w:rsidRPr="00512250">
        <w:t xml:space="preserve"> </w:t>
      </w:r>
      <w:r w:rsidRPr="00512250">
        <w:t>να διερευνήσει κατά πόσον απαιτούνται πάντα νέες προσκλήσεις υποβολής προσφορών για τη διασφάλιση της συνέχειας των δραστηριοτήτων,</w:t>
      </w:r>
      <w:r w:rsidR="00726FFE" w:rsidRPr="00512250">
        <w:t xml:space="preserve"> </w:t>
      </w:r>
      <w:r w:rsidRPr="00512250">
        <w:t>να διερευνήσει κατά πόσον πρέπει να θεσπιστούν ειδικοί, πιο ευέλικτοι κανόνες όσον αφορά τις δημόσιες συμβάσεις ΤΠ,</w:t>
      </w:r>
      <w:r w:rsidR="00726FFE" w:rsidRPr="00512250">
        <w:t xml:space="preserve"> </w:t>
      </w:r>
      <w:r w:rsidRPr="00512250">
        <w:t>να παράσχει στήριξη και εποπτεία στους οργανισμούς στο πλαίσιο αυτό·</w:t>
      </w:r>
    </w:p>
    <w:p w14:paraId="17BC1E60" w14:textId="5DD3A0E5" w:rsidR="00F01631" w:rsidRPr="00512250" w:rsidRDefault="00F026BE" w:rsidP="00F01631">
      <w:pPr>
        <w:pStyle w:val="NormalHanging12a"/>
        <w:ind w:left="1134"/>
      </w:pPr>
      <w:proofErr w:type="spellStart"/>
      <w:r w:rsidRPr="00512250">
        <w:t>ii</w:t>
      </w:r>
      <w:proofErr w:type="spellEnd"/>
      <w:r w:rsidRPr="00512250">
        <w:t>)</w:t>
      </w:r>
      <w:r w:rsidRPr="00512250">
        <w:tab/>
        <w:t>να παρέχει επαρκή κατάρτιση σχετικά με τις διαδικασίες σύναψης δημόσιων συμβάσεων· παροτρύνει την Επιτροπή να αναλύσει συστημικά ζητήματα στις διαδικασίες σύναψης δημόσιων συμβάσεων σε όλους τους οργανισμούς, να εντοπίσει συγκεκριμένους προβληματικούς τομείς και να προτείνει λύσεις.</w:t>
      </w:r>
    </w:p>
    <w:p w14:paraId="2A802537" w14:textId="554D7B5C" w:rsidR="00E365E1" w:rsidRPr="00512250" w:rsidRDefault="00E365E1" w:rsidP="00E45079"/>
    <w:sectPr w:rsidR="00E365E1" w:rsidRPr="00512250" w:rsidSect="00F01631">
      <w:headerReference w:type="even" r:id="rId74"/>
      <w:headerReference w:type="default" r:id="rId75"/>
      <w:footerReference w:type="even" r:id="rId76"/>
      <w:footerReference w:type="default" r:id="rId77"/>
      <w:headerReference w:type="first" r:id="rId78"/>
      <w:footerReference w:type="first" r:id="rId7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B1CC8" w14:textId="77777777" w:rsidR="00E45079" w:rsidRPr="00F01631" w:rsidRDefault="00E45079">
      <w:r w:rsidRPr="00F01631">
        <w:separator/>
      </w:r>
    </w:p>
  </w:endnote>
  <w:endnote w:type="continuationSeparator" w:id="0">
    <w:p w14:paraId="210500A9" w14:textId="77777777" w:rsidR="00E45079" w:rsidRPr="00F01631" w:rsidRDefault="00E45079">
      <w:r w:rsidRPr="00F016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99664" w14:textId="77777777" w:rsidR="00F026BE" w:rsidRPr="00193D17" w:rsidRDefault="00F026BE" w:rsidP="00806EEE">
    <w:pPr>
      <w:pStyle w:val="EPFooter"/>
      <w:rPr>
        <w:lang w:val="es-ES"/>
      </w:rPr>
    </w:pPr>
    <w:r w:rsidRPr="00193D17">
      <w:rPr>
        <w:rStyle w:val="HideTWBExt"/>
        <w:lang w:val="es-ES"/>
      </w:rPr>
      <w:t>&lt;PathFdR&gt;</w:t>
    </w:r>
    <w:r w:rsidRPr="00193D17">
      <w:rPr>
        <w:lang w:val="es-ES"/>
      </w:rPr>
      <w:t>PR\1326657EN.docx</w:t>
    </w:r>
    <w:r w:rsidRPr="00193D17">
      <w:rPr>
        <w:rStyle w:val="HideTWBExt"/>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8</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lang w:val="es-ES"/>
      </w:rPr>
      <w:t>&lt;NoPE&gt;</w:t>
    </w:r>
    <w:r w:rsidRPr="00193D17">
      <w:rPr>
        <w:lang w:val="es-ES"/>
      </w:rPr>
      <w:t>776.806</w:t>
    </w:r>
    <w:r w:rsidRPr="00193D17">
      <w:rPr>
        <w:rStyle w:val="HideTWBExt"/>
        <w:lang w:val="es-ES"/>
      </w:rPr>
      <w:t>&lt;/NoPE&gt;&lt;Version&gt;</w:t>
    </w:r>
    <w:r w:rsidRPr="00193D17">
      <w:rPr>
        <w:lang w:val="es-ES"/>
      </w:rPr>
      <w:t>v01-00</w:t>
    </w:r>
    <w:r w:rsidRPr="00193D17">
      <w:rPr>
        <w:rStyle w:val="HideTWBExt"/>
        <w:lang w:val="es-ES"/>
      </w:rPr>
      <w:t>&lt;/Version&gt;</w:t>
    </w:r>
  </w:p>
  <w:p w14:paraId="2C8B32AE"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7323F81A" w14:textId="77777777" w:rsidR="00F026BE" w:rsidRPr="00193D17" w:rsidRDefault="00F026BE" w:rsidP="00806EEE">
    <w:pPr>
      <w:rPr>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96A4F"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118052FC"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B37E2"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12</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08FBB019"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3A9F7524" w14:textId="77777777" w:rsidR="00F026BE" w:rsidRPr="00193D17" w:rsidRDefault="00F026BE" w:rsidP="00806EEE">
    <w:pPr>
      <w:rPr>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41709"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221492AE"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E0831"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16</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49DCFE84"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3E1CE911" w14:textId="77777777" w:rsidR="00F026BE" w:rsidRPr="00193D17" w:rsidRDefault="00F026BE" w:rsidP="00806EEE">
    <w:pPr>
      <w:rPr>
        <w:lang w:val="es-E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97267"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6A36AE29"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8E521"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20</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1C6AFE1B"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4FA3007D" w14:textId="77777777" w:rsidR="00F026BE" w:rsidRPr="00193D17" w:rsidRDefault="00F026BE" w:rsidP="00806EEE">
    <w:pPr>
      <w:rPr>
        <w:lang w:val="es-ES"/>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71F31"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3494510D"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6BB93"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24</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0CC6D27E"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4285E851" w14:textId="77777777" w:rsidR="00F026BE" w:rsidRPr="00193D17" w:rsidRDefault="00F026BE" w:rsidP="00806EEE">
    <w:pPr>
      <w:rPr>
        <w:lang w:val="es-ES"/>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B22E5"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4A068062"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442EE"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28</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1958A843"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793BD94B" w14:textId="77777777" w:rsidR="00F026BE" w:rsidRPr="00193D17" w:rsidRDefault="00F026BE" w:rsidP="00806EEE">
    <w:pPr>
      <w:rPr>
        <w:lang w:val="es-ES"/>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0B6B1"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17AD9525"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A2793"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32</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734D008D"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6C1B0C5E" w14:textId="77777777" w:rsidR="00F026BE" w:rsidRPr="00193D17" w:rsidRDefault="00F026BE" w:rsidP="00806EEE">
    <w:pPr>
      <w:rPr>
        <w:lang w:val="es-ES"/>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DC8FF"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0B74B568"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A8125"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36</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7CE94DAB"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1D55822C" w14:textId="77777777" w:rsidR="00F026BE" w:rsidRPr="00193D17" w:rsidRDefault="00F026BE" w:rsidP="00806EEE">
    <w:pPr>
      <w:rPr>
        <w:lang w:val="es-ES"/>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12591"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6D7B177F"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07B38"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40</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5783F19A"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7BD88E1D" w14:textId="77777777" w:rsidR="00F026BE" w:rsidRPr="00193D17" w:rsidRDefault="00F026BE" w:rsidP="00806EEE">
    <w:pPr>
      <w:rPr>
        <w:lang w:val="es-ES"/>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1117C"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53E87DD7"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EAAF2"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44</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2910FDBA"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0BE28D22" w14:textId="77777777" w:rsidR="00F026BE" w:rsidRPr="00193D17" w:rsidRDefault="00F026BE" w:rsidP="00806EEE">
    <w:pPr>
      <w:rPr>
        <w:lang w:val="es-ES"/>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71D5E"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405E7611"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D32C9"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48</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7A7208A2"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03C227DB" w14:textId="77777777" w:rsidR="00F026BE" w:rsidRPr="00193D17" w:rsidRDefault="00F026BE" w:rsidP="00806EEE">
    <w:pPr>
      <w:rPr>
        <w:lang w:val="es-ES"/>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1E0C"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46297B90"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27431"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52</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40604395"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480D856B" w14:textId="77777777" w:rsidR="00F026BE" w:rsidRPr="00193D17" w:rsidRDefault="00F026BE" w:rsidP="00806EEE">
    <w:pPr>
      <w:rPr>
        <w:lang w:val="es-ES"/>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B86F1"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1A8475AA"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BC00A"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56</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48830564"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6572AB49" w14:textId="77777777" w:rsidR="00F026BE" w:rsidRPr="00193D17" w:rsidRDefault="00F026BE" w:rsidP="00806EEE">
    <w:pPr>
      <w:rPr>
        <w:lang w:val="es-ES"/>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A4C9F"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65DA5297"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6ABAC"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60</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4AA493F1"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26CC4FB5" w14:textId="77777777" w:rsidR="00F026BE" w:rsidRPr="00193D17" w:rsidRDefault="00F026BE" w:rsidP="00806EEE">
    <w:pPr>
      <w:rPr>
        <w:lang w:val="es-ES"/>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D6AD2"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37E7CBD0"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D8DEB"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64</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008A61BE"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57D462C1" w14:textId="77777777" w:rsidR="00F026BE" w:rsidRPr="00193D17" w:rsidRDefault="00F026BE" w:rsidP="00806EEE">
    <w:pPr>
      <w:rPr>
        <w:lang w:val="es-ES"/>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DB3AE"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4D22E510"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409F2"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68</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559E7F4D"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3C868683" w14:textId="77777777" w:rsidR="00F026BE" w:rsidRPr="00193D17" w:rsidRDefault="00F026BE" w:rsidP="00806EEE">
    <w:pPr>
      <w:rPr>
        <w:lang w:val="es-ES"/>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24EA0"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6E5F1CD9"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E7805"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72</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403F11D0"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4E9B22AB" w14:textId="77777777" w:rsidR="00F026BE" w:rsidRPr="00193D17" w:rsidRDefault="00F026BE" w:rsidP="00806EEE">
    <w:pPr>
      <w:rPr>
        <w:lang w:val="es-ES"/>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319EB"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30F62E4E"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D1777"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76</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038A00A2"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6046F681" w14:textId="77777777" w:rsidR="00F026BE" w:rsidRPr="00193D17" w:rsidRDefault="00F026BE" w:rsidP="00806EEE">
    <w:pPr>
      <w:rPr>
        <w:lang w:val="es-ES"/>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40467"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4629C4E6"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0108B"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80</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36A77293"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50E32F38" w14:textId="77777777" w:rsidR="00F026BE" w:rsidRPr="00193D17" w:rsidRDefault="00F026BE" w:rsidP="00806EEE">
    <w:pPr>
      <w:rPr>
        <w:lang w:val="es-ES"/>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AB372"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1802F7FB"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86665"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84</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6E0D0788"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04E6DA41" w14:textId="77777777" w:rsidR="00F026BE" w:rsidRPr="00193D17" w:rsidRDefault="00F026BE" w:rsidP="00806EEE">
    <w:pPr>
      <w:rPr>
        <w:lang w:val="es-ES"/>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E7E3"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60A1CCC0"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33817"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88</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499B8373"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6E0EBC59" w14:textId="77777777" w:rsidR="00F026BE" w:rsidRPr="00193D17" w:rsidRDefault="00F026BE" w:rsidP="00806EEE">
    <w:pPr>
      <w:rPr>
        <w:lang w:val="es-ES"/>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F97F7"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5625D544"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CADA1"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92</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649DE41C"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1844F239" w14:textId="77777777" w:rsidR="00F026BE" w:rsidRPr="00193D17" w:rsidRDefault="00F026BE" w:rsidP="00806EEE">
    <w:pPr>
      <w:rPr>
        <w:lang w:val="es-ES"/>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E29AA"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067114EF"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D0E0D"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96</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1AD0BE13"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55189EF7" w14:textId="77777777" w:rsidR="00F026BE" w:rsidRPr="00193D17" w:rsidRDefault="00F026BE" w:rsidP="00806EEE">
    <w:pPr>
      <w:rPr>
        <w:lang w:val="es-ES"/>
      </w:rP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595AA"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0E0B8190"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49D16"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100</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102B3DAC"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65E99971" w14:textId="77777777" w:rsidR="00F026BE" w:rsidRPr="00193D17" w:rsidRDefault="00F026BE" w:rsidP="00806EEE">
    <w:pPr>
      <w:rPr>
        <w:lang w:val="es-ES"/>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095E9"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10F3D0A8"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D49A2"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104</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168E7EBB"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73A08C38" w14:textId="77777777" w:rsidR="00F026BE" w:rsidRPr="00193D17" w:rsidRDefault="00F026BE" w:rsidP="00806EEE">
    <w:pPr>
      <w:rPr>
        <w:lang w:val="es-ES"/>
      </w:rP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8D6B1"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1F613346"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2704E"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108</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7C5B4B8E"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556E8404" w14:textId="77777777" w:rsidR="00F026BE" w:rsidRPr="00193D17" w:rsidRDefault="00F026BE" w:rsidP="00806EEE">
    <w:pPr>
      <w:rPr>
        <w:lang w:val="es-ES"/>
      </w:rP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DF544"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4DA6E9D3"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11937"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112</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16E11213"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537F1421" w14:textId="77777777" w:rsidR="00F026BE" w:rsidRPr="00193D17" w:rsidRDefault="00F026BE" w:rsidP="00806EEE">
    <w:pPr>
      <w:rPr>
        <w:lang w:val="es-ES"/>
      </w:rP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5350"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5C260D69"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5119C"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116</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15618316"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58EEAEAB" w14:textId="77777777" w:rsidR="00F026BE" w:rsidRPr="00193D17" w:rsidRDefault="00F026BE" w:rsidP="00806EEE">
    <w:pPr>
      <w:rPr>
        <w:lang w:val="es-ES"/>
      </w:rP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EE3C8"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46951D70"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3CCE0"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120</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4CE7ABDA"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6EB8BB69" w14:textId="77777777" w:rsidR="00F026BE" w:rsidRPr="00193D17" w:rsidRDefault="00F026BE" w:rsidP="00806EEE">
    <w:pPr>
      <w:rPr>
        <w:lang w:val="es-ES"/>
      </w:rP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00AFB"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6461F6C7"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A988E"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124</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745B3C0D"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6B1BAEF7" w14:textId="77777777" w:rsidR="00F026BE" w:rsidRPr="00193D17" w:rsidRDefault="00F026BE" w:rsidP="00806EEE">
    <w:pPr>
      <w:rPr>
        <w:lang w:val="es-ES"/>
      </w:rP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9FF67"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2C17F613"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FF660"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128</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65AB7373"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7D78F3EA" w14:textId="77777777" w:rsidR="00F026BE" w:rsidRPr="00193D17" w:rsidRDefault="00F026BE" w:rsidP="00806EEE">
    <w:pPr>
      <w:rPr>
        <w:lang w:val="es-ES"/>
      </w:rP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70F00"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75D7499D"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D375"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132</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32D01AF4"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74A6C83F" w14:textId="77777777" w:rsidR="00F026BE" w:rsidRPr="00193D17" w:rsidRDefault="00F026BE" w:rsidP="00806EEE">
    <w:pPr>
      <w:rPr>
        <w:lang w:val="es-ES"/>
      </w:rP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FC9F8" w14:textId="77777777" w:rsidR="00F026BE" w:rsidRPr="00F01631" w:rsidRDefault="00F026BE" w:rsidP="001A54A8">
    <w:pPr>
      <w:pStyle w:val="EPFooter"/>
    </w:pPr>
    <w:r w:rsidRPr="00F01631">
      <w:rPr>
        <w:rStyle w:val="HideTWBExt"/>
        <w:rFonts w:eastAsiaTheme="majorEastAsia"/>
      </w:rPr>
      <w:t>&lt;PathFdR&gt;</w:t>
    </w:r>
    <w:r w:rsidRPr="00F01631">
      <w:t>PR\1326657EN.docx</w:t>
    </w:r>
    <w:r w:rsidRPr="00F01631">
      <w:rPr>
        <w:rStyle w:val="HideTWBExt"/>
        <w:rFonts w:eastAsiaTheme="majorEastAsia"/>
      </w:rPr>
      <w:t>&lt;/PathFdR&gt;</w:t>
    </w:r>
    <w:r w:rsidRPr="00F01631">
      <w:tab/>
    </w:r>
    <w:r w:rsidRPr="00F01631">
      <w:tab/>
      <w:t>PE</w:t>
    </w:r>
    <w:r w:rsidRPr="00F01631">
      <w:rPr>
        <w:rStyle w:val="HideTWBExt"/>
        <w:rFonts w:eastAsiaTheme="majorEastAsia"/>
      </w:rPr>
      <w:t>&lt;NoPE&gt;</w:t>
    </w:r>
    <w:r w:rsidRPr="00F01631">
      <w:t>776.806</w:t>
    </w:r>
    <w:r w:rsidRPr="00F01631">
      <w:rPr>
        <w:rStyle w:val="HideTWBExt"/>
        <w:rFonts w:eastAsiaTheme="majorEastAsia"/>
      </w:rPr>
      <w:t>&lt;/NoPE&gt;&lt;Version&gt;</w:t>
    </w:r>
    <w:r w:rsidRPr="00F01631">
      <w:t>v01-00</w:t>
    </w:r>
    <w:r w:rsidRPr="00F01631">
      <w:rPr>
        <w:rStyle w:val="HideTWBExt"/>
        <w:rFonts w:eastAsiaTheme="majorEastAsia"/>
      </w:rPr>
      <w:t>&lt;/Version&gt;</w:t>
    </w:r>
  </w:p>
  <w:p w14:paraId="7C940B41" w14:textId="77777777" w:rsidR="00F026BE" w:rsidRPr="00F01631" w:rsidRDefault="00F026BE" w:rsidP="00390068">
    <w:pPr>
      <w:pStyle w:val="EPFooter2"/>
      <w:tabs>
        <w:tab w:val="clear" w:pos="4535"/>
        <w:tab w:val="center" w:pos="4536"/>
      </w:tabs>
    </w:pPr>
    <w:r w:rsidRPr="00F01631">
      <w:fldChar w:fldCharType="begin"/>
    </w:r>
    <w:r w:rsidRPr="00F01631">
      <w:instrText xml:space="preserve"> DOCPROPERTY "&lt;Extension&gt;" </w:instrText>
    </w:r>
    <w:r w:rsidRPr="00F01631">
      <w:fldChar w:fldCharType="separate"/>
    </w:r>
    <w:r w:rsidRPr="00F01631">
      <w:t>EL</w:t>
    </w:r>
    <w:r w:rsidRPr="00F01631">
      <w:fldChar w:fldCharType="end"/>
    </w:r>
    <w:r w:rsidRPr="00F01631">
      <w:tab/>
    </w:r>
    <w:r w:rsidRPr="00F01631">
      <w:rPr>
        <w:b w:val="0"/>
        <w:i/>
        <w:color w:val="C0C0C0"/>
        <w:sz w:val="22"/>
        <w:szCs w:val="22"/>
      </w:rPr>
      <w:t xml:space="preserve">United in </w:t>
    </w:r>
    <w:proofErr w:type="spellStart"/>
    <w:r w:rsidRPr="00F01631">
      <w:rPr>
        <w:b w:val="0"/>
        <w:i/>
        <w:color w:val="C0C0C0"/>
        <w:sz w:val="22"/>
        <w:szCs w:val="22"/>
      </w:rPr>
      <w:t>diversity</w:t>
    </w:r>
    <w:proofErr w:type="spellEnd"/>
    <w:r w:rsidRPr="00F01631">
      <w:tab/>
    </w:r>
    <w:r w:rsidRPr="00F01631">
      <w:fldChar w:fldCharType="begin"/>
    </w:r>
    <w:r w:rsidRPr="00F01631">
      <w:instrText xml:space="preserve"> DOCPROPERTY "&lt;Extension&gt;" </w:instrText>
    </w:r>
    <w:r w:rsidRPr="00F01631">
      <w:fldChar w:fldCharType="separate"/>
    </w:r>
    <w:r w:rsidRPr="00F01631">
      <w:t>EL</w:t>
    </w:r>
    <w:r w:rsidRPr="00F01631">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FD637" w14:textId="77777777" w:rsidR="00F026BE" w:rsidRPr="00193D17" w:rsidRDefault="00F026BE" w:rsidP="00806EEE">
    <w:pPr>
      <w:pStyle w:val="EPFooter"/>
      <w:rPr>
        <w:lang w:val="es-ES"/>
      </w:rPr>
    </w:pPr>
    <w:r w:rsidRPr="00193D17">
      <w:rPr>
        <w:rStyle w:val="HideTWBExt"/>
        <w:rFonts w:eastAsiaTheme="majorEastAsia"/>
        <w:lang w:val="es-ES"/>
      </w:rPr>
      <w:t>&lt;PathFdR&gt;</w:t>
    </w:r>
    <w:r w:rsidRPr="00193D17">
      <w:rPr>
        <w:lang w:val="es-ES"/>
      </w:rPr>
      <w:t>PR\1326657EN.docx</w:t>
    </w:r>
    <w:r w:rsidRPr="00193D17">
      <w:rPr>
        <w:rStyle w:val="HideTWBExt"/>
        <w:rFonts w:eastAsiaTheme="majorEastAsia"/>
        <w:lang w:val="es-ES"/>
      </w:rPr>
      <w:t>&lt;/PathFdR&gt;</w:t>
    </w:r>
    <w:r w:rsidRPr="00193D17">
      <w:rPr>
        <w:lang w:val="es-ES"/>
      </w:rPr>
      <w:tab/>
    </w:r>
    <w:r w:rsidRPr="00F01631">
      <w:fldChar w:fldCharType="begin"/>
    </w:r>
    <w:r w:rsidRPr="00193D17">
      <w:rPr>
        <w:lang w:val="es-ES"/>
      </w:rPr>
      <w:instrText xml:space="preserve"> PAGE </w:instrText>
    </w:r>
    <w:r w:rsidRPr="00F01631">
      <w:fldChar w:fldCharType="separate"/>
    </w:r>
    <w:r w:rsidRPr="00193D17">
      <w:rPr>
        <w:noProof/>
        <w:lang w:val="es-ES"/>
      </w:rPr>
      <w:t>138</w:t>
    </w:r>
    <w:r w:rsidRPr="00F01631">
      <w:fldChar w:fldCharType="end"/>
    </w:r>
    <w:r w:rsidRPr="00193D17">
      <w:rPr>
        <w:lang w:val="es-ES"/>
      </w:rPr>
      <w:t>/</w:t>
    </w:r>
    <w:r w:rsidRPr="00F01631">
      <w:fldChar w:fldCharType="begin"/>
    </w:r>
    <w:r w:rsidRPr="00193D17">
      <w:rPr>
        <w:lang w:val="es-ES"/>
      </w:rPr>
      <w:instrText xml:space="preserve"> NUMPAGES </w:instrText>
    </w:r>
    <w:r w:rsidRPr="00F01631">
      <w:fldChar w:fldCharType="separate"/>
    </w:r>
    <w:r w:rsidRPr="00193D17">
      <w:rPr>
        <w:noProof/>
        <w:lang w:val="es-ES"/>
      </w:rPr>
      <w:t>141</w:t>
    </w:r>
    <w:r w:rsidRPr="00F01631">
      <w:rPr>
        <w:noProof/>
      </w:rPr>
      <w:fldChar w:fldCharType="end"/>
    </w:r>
    <w:r w:rsidRPr="00193D17">
      <w:rPr>
        <w:lang w:val="es-ES"/>
      </w:rPr>
      <w:tab/>
      <w:t>PE</w:t>
    </w:r>
    <w:r w:rsidRPr="00193D17">
      <w:rPr>
        <w:rStyle w:val="HideTWBExt"/>
        <w:rFonts w:eastAsiaTheme="majorEastAsia"/>
        <w:lang w:val="es-ES"/>
      </w:rPr>
      <w:t>&lt;NoPE&gt;</w:t>
    </w:r>
    <w:r w:rsidRPr="00193D17">
      <w:rPr>
        <w:lang w:val="es-ES"/>
      </w:rPr>
      <w:t>776.806</w:t>
    </w:r>
    <w:r w:rsidRPr="00193D17">
      <w:rPr>
        <w:rStyle w:val="HideTWBExt"/>
        <w:rFonts w:eastAsiaTheme="majorEastAsia"/>
        <w:lang w:val="es-ES"/>
      </w:rPr>
      <w:t>&lt;/NoPE&gt;&lt;Version&gt;</w:t>
    </w:r>
    <w:r w:rsidRPr="00193D17">
      <w:rPr>
        <w:lang w:val="es-ES"/>
      </w:rPr>
      <w:t>v01-00</w:t>
    </w:r>
    <w:r w:rsidRPr="00193D17">
      <w:rPr>
        <w:rStyle w:val="HideTWBExt"/>
        <w:rFonts w:eastAsiaTheme="majorEastAsia"/>
        <w:lang w:val="es-ES"/>
      </w:rPr>
      <w:t>&lt;/Version&gt;</w:t>
    </w:r>
  </w:p>
  <w:p w14:paraId="6349B66C" w14:textId="77777777" w:rsidR="00F026BE" w:rsidRPr="00193D17" w:rsidRDefault="00F026BE" w:rsidP="00806EEE">
    <w:pPr>
      <w:pStyle w:val="EPFooter2"/>
      <w:rPr>
        <w:lang w:val="es-ES"/>
      </w:rPr>
    </w:pPr>
    <w:r w:rsidRPr="00193D17">
      <w:rPr>
        <w:lang w:val="es-ES"/>
      </w:rPr>
      <w:tab/>
    </w:r>
    <w:r w:rsidRPr="00193D17">
      <w:rPr>
        <w:lang w:val="es-ES"/>
      </w:rPr>
      <w:tab/>
    </w:r>
    <w:r w:rsidRPr="00F01631">
      <w:fldChar w:fldCharType="begin"/>
    </w:r>
    <w:r w:rsidRPr="00193D17">
      <w:rPr>
        <w:lang w:val="es-ES"/>
      </w:rPr>
      <w:instrText xml:space="preserve"> DOCPROPERTY "&lt;Extension&gt;" </w:instrText>
    </w:r>
    <w:r w:rsidRPr="00F01631">
      <w:fldChar w:fldCharType="separate"/>
    </w:r>
    <w:r w:rsidRPr="00193D17">
      <w:rPr>
        <w:lang w:val="es-ES"/>
      </w:rPr>
      <w:t>EL</w:t>
    </w:r>
    <w:r w:rsidRPr="00F01631">
      <w:fldChar w:fldCharType="end"/>
    </w:r>
  </w:p>
  <w:p w14:paraId="1DE84127" w14:textId="77777777" w:rsidR="00F026BE" w:rsidRPr="00193D17" w:rsidRDefault="00F026BE" w:rsidP="00806EEE">
    <w:pPr>
      <w:rPr>
        <w:lang w:val="es-ES"/>
      </w:rP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7AC6F" w14:textId="77777777" w:rsidR="00064002" w:rsidRPr="00F01631" w:rsidRDefault="00064002"/>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B89D2" w14:textId="77777777" w:rsidR="00064002" w:rsidRPr="00F01631" w:rsidRDefault="00064002"/>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1A728" w14:textId="77777777" w:rsidR="00064002" w:rsidRPr="00F016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3E2A1" w14:textId="77777777" w:rsidR="00E45079" w:rsidRPr="00F01631" w:rsidRDefault="00E45079">
      <w:r w:rsidRPr="00F01631">
        <w:separator/>
      </w:r>
    </w:p>
  </w:footnote>
  <w:footnote w:type="continuationSeparator" w:id="0">
    <w:p w14:paraId="65B92865" w14:textId="77777777" w:rsidR="00E45079" w:rsidRPr="00F01631" w:rsidRDefault="00E45079">
      <w:r w:rsidRPr="00F01631">
        <w:continuationSeparator/>
      </w:r>
    </w:p>
  </w:footnote>
  <w:footnote w:id="1">
    <w:p w14:paraId="622B420D" w14:textId="3C3AFA4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2">
    <w:p w14:paraId="3091E4FC" w14:textId="196FDF1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3">
    <w:p w14:paraId="680A5F7A" w14:textId="0C85BA28"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4">
    <w:p w14:paraId="70FDB38B" w14:textId="32DD108D"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5">
    <w:p w14:paraId="4FDDCEBC" w14:textId="4DA02A1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158 της 14.6.2019, σ. 22,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/2019/942/</w:instrText>
      </w:r>
      <w:r>
        <w:instrText>oj</w:instrText>
      </w:r>
      <w:r w:rsidRPr="00B7621E">
        <w:rPr>
          <w:lang w:val="el-GR"/>
        </w:rPr>
        <w:instrText>"</w:instrText>
      </w:r>
      <w:r>
        <w:fldChar w:fldCharType="separate"/>
      </w:r>
      <w:r w:rsidRPr="00F01631">
        <w:rPr>
          <w:rStyle w:val="Hyperlink"/>
          <w:sz w:val="24"/>
          <w:lang w:val="el-GR"/>
        </w:rPr>
        <w:t>https://data.europa.eu/eli/reg/2019/942/oj</w:t>
      </w:r>
      <w:r>
        <w:fldChar w:fldCharType="end"/>
      </w:r>
      <w:r w:rsidRPr="00F01631">
        <w:rPr>
          <w:sz w:val="24"/>
          <w:lang w:val="el-GR"/>
        </w:rPr>
        <w:t>.</w:t>
      </w:r>
    </w:p>
  </w:footnote>
  <w:footnote w:id="6">
    <w:p w14:paraId="0B50EA3A" w14:textId="3E4763C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7">
    <w:p w14:paraId="3A366413" w14:textId="0E2D477F"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8">
    <w:p w14:paraId="53A9FECC" w14:textId="2638E03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9">
    <w:p w14:paraId="3BA0C668" w14:textId="473A8ACA"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10">
    <w:p w14:paraId="21E845A5" w14:textId="74CA09B3"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11">
    <w:p w14:paraId="66C497D1" w14:textId="61A27B2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158 της 14.6.2019, σ. 22,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/2019/942/</w:instrText>
      </w:r>
      <w:r>
        <w:instrText>oj</w:instrText>
      </w:r>
      <w:r w:rsidRPr="00B7621E">
        <w:rPr>
          <w:lang w:val="el-GR"/>
        </w:rPr>
        <w:instrText>"</w:instrText>
      </w:r>
      <w:r>
        <w:fldChar w:fldCharType="separate"/>
      </w:r>
      <w:r w:rsidRPr="00F01631">
        <w:rPr>
          <w:rStyle w:val="Hyperlink"/>
          <w:sz w:val="24"/>
          <w:lang w:val="el-GR"/>
        </w:rPr>
        <w:t>https://data.europa.eu/eli/reg/2019/942/oj</w:t>
      </w:r>
      <w:r>
        <w:fldChar w:fldCharType="end"/>
      </w:r>
      <w:r w:rsidRPr="00F01631">
        <w:rPr>
          <w:sz w:val="24"/>
          <w:lang w:val="el-GR"/>
        </w:rPr>
        <w:t>.</w:t>
      </w:r>
    </w:p>
  </w:footnote>
  <w:footnote w:id="12">
    <w:p w14:paraId="1F0114B4" w14:textId="167A1DF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13">
    <w:p w14:paraId="078406D3" w14:textId="633C7848"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14">
    <w:p w14:paraId="6F06806D" w14:textId="501BBA30"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15">
    <w:p w14:paraId="6779C324" w14:textId="0E8A9B0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16">
    <w:p w14:paraId="45402B7F" w14:textId="0D879418"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17">
    <w:p w14:paraId="49D184CC" w14:textId="16C081F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321 της 17.12.2018, σ. 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/2018/1971/</w:instrText>
      </w:r>
      <w:r>
        <w:instrText>oj</w:instrText>
      </w:r>
      <w:r w:rsidRPr="00B7621E">
        <w:rPr>
          <w:lang w:val="el-GR"/>
        </w:rPr>
        <w:instrText>"</w:instrText>
      </w:r>
      <w:r>
        <w:fldChar w:fldCharType="separate"/>
      </w:r>
      <w:r w:rsidRPr="00F01631">
        <w:rPr>
          <w:rStyle w:val="Hyperlink"/>
          <w:sz w:val="24"/>
          <w:lang w:val="el-GR"/>
        </w:rPr>
        <w:t>https://data.europa.eu/eli/reg/2018/1971/oj</w:t>
      </w:r>
      <w:r>
        <w:fldChar w:fldCharType="end"/>
      </w:r>
      <w:r w:rsidRPr="00F01631">
        <w:rPr>
          <w:sz w:val="24"/>
          <w:lang w:val="el-GR"/>
        </w:rPr>
        <w:t>.</w:t>
      </w:r>
    </w:p>
  </w:footnote>
  <w:footnote w:id="18">
    <w:p w14:paraId="05E061E7" w14:textId="2102DB4A"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19">
    <w:p w14:paraId="0C187B97" w14:textId="2585DE8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20">
    <w:p w14:paraId="224A0AD4" w14:textId="0E8F04E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21">
    <w:p w14:paraId="0D8E189F" w14:textId="35D58AC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22">
    <w:p w14:paraId="1F5348AE" w14:textId="54FBA532"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23">
    <w:p w14:paraId="59180889" w14:textId="5505BB0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321 της 17.12.2018, σ. 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/2018/1971/</w:instrText>
      </w:r>
      <w:r>
        <w:instrText>oj</w:instrText>
      </w:r>
      <w:r w:rsidRPr="00B7621E">
        <w:rPr>
          <w:lang w:val="el-GR"/>
        </w:rPr>
        <w:instrText>"</w:instrText>
      </w:r>
      <w:r>
        <w:fldChar w:fldCharType="separate"/>
      </w:r>
      <w:r w:rsidRPr="00F01631">
        <w:rPr>
          <w:rStyle w:val="Hyperlink"/>
          <w:sz w:val="24"/>
          <w:lang w:val="el-GR"/>
        </w:rPr>
        <w:t>https://data.europa.eu/eli/reg/2018/1971/oj</w:t>
      </w:r>
      <w:r>
        <w:fldChar w:fldCharType="end"/>
      </w:r>
      <w:r w:rsidRPr="00F01631">
        <w:rPr>
          <w:sz w:val="24"/>
          <w:lang w:val="el-GR"/>
        </w:rPr>
        <w:t>.</w:t>
      </w:r>
    </w:p>
  </w:footnote>
  <w:footnote w:id="24">
    <w:p w14:paraId="0A0C5AFF" w14:textId="5BE2A0D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25">
    <w:p w14:paraId="170B9958" w14:textId="527A987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26">
    <w:p w14:paraId="33067AFE" w14:textId="18977346"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27">
    <w:p w14:paraId="1AA93AB1" w14:textId="649EF1D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28">
    <w:p w14:paraId="693D58A9" w14:textId="1FCF2516"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29">
    <w:p w14:paraId="717F4CB8" w14:textId="08CD526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314 της 7.12.1994, σ. 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/1994/2965/</w:instrText>
      </w:r>
      <w:r>
        <w:instrText>oj</w:instrText>
      </w:r>
      <w:r w:rsidRPr="00B7621E">
        <w:rPr>
          <w:lang w:val="el-GR"/>
        </w:rPr>
        <w:instrText>"</w:instrText>
      </w:r>
      <w:r>
        <w:fldChar w:fldCharType="separate"/>
      </w:r>
      <w:r w:rsidRPr="00F01631">
        <w:rPr>
          <w:rStyle w:val="Hyperlink"/>
          <w:sz w:val="24"/>
          <w:lang w:val="el-GR"/>
        </w:rPr>
        <w:t>https://data.europa.eu/eli/reg/1994/2965/oj</w:t>
      </w:r>
      <w:r>
        <w:fldChar w:fldCharType="end"/>
      </w:r>
      <w:r w:rsidRPr="00F01631">
        <w:rPr>
          <w:sz w:val="24"/>
          <w:lang w:val="el-GR"/>
        </w:rPr>
        <w:t>.</w:t>
      </w:r>
    </w:p>
  </w:footnote>
  <w:footnote w:id="30">
    <w:p w14:paraId="3BAF1C51" w14:textId="1D3B6D4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31">
    <w:p w14:paraId="47DE1170" w14:textId="6C07807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32">
    <w:p w14:paraId="2D4FD081" w14:textId="16D62C9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33">
    <w:p w14:paraId="69FE9E08" w14:textId="1EABF613"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34">
    <w:p w14:paraId="68018972" w14:textId="469B75CB"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35">
    <w:p w14:paraId="1E02D3E0" w14:textId="454FE65A"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314 της 7.12.1994, σ. 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/1994/2965/</w:instrText>
      </w:r>
      <w:r>
        <w:instrText>oj</w:instrText>
      </w:r>
      <w:r w:rsidRPr="00B7621E">
        <w:rPr>
          <w:lang w:val="el-GR"/>
        </w:rPr>
        <w:instrText>"</w:instrText>
      </w:r>
      <w:r>
        <w:fldChar w:fldCharType="separate"/>
      </w:r>
      <w:r w:rsidRPr="00F01631">
        <w:rPr>
          <w:rStyle w:val="Hyperlink"/>
          <w:sz w:val="24"/>
          <w:lang w:val="el-GR"/>
        </w:rPr>
        <w:t>https://data.europa.eu/eli/reg/1994/2965/oj</w:t>
      </w:r>
      <w:r>
        <w:fldChar w:fldCharType="end"/>
      </w:r>
      <w:r w:rsidRPr="00F01631">
        <w:rPr>
          <w:sz w:val="24"/>
          <w:lang w:val="el-GR"/>
        </w:rPr>
        <w:t>.</w:t>
      </w:r>
    </w:p>
  </w:footnote>
  <w:footnote w:id="36">
    <w:p w14:paraId="6D86FCB5" w14:textId="1B1B72E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37">
    <w:p w14:paraId="6E999EC4" w14:textId="701D1283"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38">
    <w:p w14:paraId="166CBE84" w14:textId="47B11490"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39">
    <w:p w14:paraId="64D5846D" w14:textId="11B9EBA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40">
    <w:p w14:paraId="6E462575" w14:textId="5CB1C6B3"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41">
    <w:p w14:paraId="1417EDDF" w14:textId="396AF3D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EE L 30 της 31.1.2019, σ. 90,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/2019/128/</w:instrText>
      </w:r>
      <w:r>
        <w:instrText>oj</w:instrText>
      </w:r>
      <w:r w:rsidRPr="00B7621E">
        <w:rPr>
          <w:lang w:val="el-GR"/>
        </w:rPr>
        <w:instrText>"</w:instrText>
      </w:r>
      <w:r>
        <w:fldChar w:fldCharType="separate"/>
      </w:r>
      <w:r w:rsidRPr="00F01631">
        <w:rPr>
          <w:rStyle w:val="Hyperlink"/>
          <w:sz w:val="24"/>
          <w:lang w:val="el-GR"/>
        </w:rPr>
        <w:t>https://data.europa.eu/eli/reg/2019/128/oj</w:t>
      </w:r>
      <w:r>
        <w:fldChar w:fldCharType="end"/>
      </w:r>
      <w:r w:rsidRPr="00F01631">
        <w:rPr>
          <w:sz w:val="24"/>
          <w:lang w:val="el-GR"/>
        </w:rPr>
        <w:t>.</w:t>
      </w:r>
    </w:p>
  </w:footnote>
  <w:footnote w:id="42">
    <w:p w14:paraId="750D3AEE" w14:textId="2CF872D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43">
    <w:p w14:paraId="179AC223" w14:textId="0C08A143"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44">
    <w:p w14:paraId="27166DFE" w14:textId="4538938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45">
    <w:p w14:paraId="2286625F" w14:textId="1660D82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46">
    <w:p w14:paraId="187899BA" w14:textId="5D517D4D"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47">
    <w:p w14:paraId="65AE256C" w14:textId="68085D0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EE L 30 της 31.1.2019, σ. 90,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/2019/128/</w:instrText>
      </w:r>
      <w:r>
        <w:instrText>oj</w:instrText>
      </w:r>
      <w:r w:rsidRPr="00B7621E">
        <w:rPr>
          <w:lang w:val="el-GR"/>
        </w:rPr>
        <w:instrText>"</w:instrText>
      </w:r>
      <w:r>
        <w:fldChar w:fldCharType="separate"/>
      </w:r>
      <w:r w:rsidRPr="00F01631">
        <w:rPr>
          <w:rStyle w:val="Hyperlink"/>
          <w:sz w:val="24"/>
          <w:lang w:val="el-GR"/>
        </w:rPr>
        <w:t>https://data.europa.eu/eli/reg/2019/128/oj</w:t>
      </w:r>
      <w:r>
        <w:fldChar w:fldCharType="end"/>
      </w:r>
      <w:r w:rsidRPr="00F01631">
        <w:rPr>
          <w:sz w:val="24"/>
          <w:lang w:val="el-GR"/>
        </w:rPr>
        <w:t>.</w:t>
      </w:r>
    </w:p>
  </w:footnote>
  <w:footnote w:id="48">
    <w:p w14:paraId="64DE8A8E" w14:textId="11E89A2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49">
    <w:p w14:paraId="4876601F" w14:textId="7AF943B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50">
    <w:p w14:paraId="00526CBE" w14:textId="64B7525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51">
    <w:p w14:paraId="75226294" w14:textId="0B0C4653"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52">
    <w:p w14:paraId="432CB264" w14:textId="2330885F"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53">
    <w:p w14:paraId="24C47A79" w14:textId="4910396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319 της 4.12.2015, σ. 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/2015/2219/</w:instrText>
      </w:r>
      <w:r>
        <w:instrText>oj</w:instrText>
      </w:r>
      <w:r w:rsidRPr="00B7621E">
        <w:rPr>
          <w:lang w:val="el-GR"/>
        </w:rPr>
        <w:instrText>"</w:instrText>
      </w:r>
      <w:r>
        <w:fldChar w:fldCharType="separate"/>
      </w:r>
      <w:r w:rsidRPr="00F01631">
        <w:rPr>
          <w:rStyle w:val="Hyperlink"/>
          <w:sz w:val="24"/>
          <w:lang w:val="el-GR"/>
        </w:rPr>
        <w:t>https://data.europa.eu/eli/reg/2015/2219/oj</w:t>
      </w:r>
      <w:r>
        <w:fldChar w:fldCharType="end"/>
      </w:r>
      <w:r w:rsidRPr="00F01631">
        <w:rPr>
          <w:sz w:val="24"/>
          <w:lang w:val="el-GR"/>
        </w:rPr>
        <w:t>.</w:t>
      </w:r>
    </w:p>
  </w:footnote>
  <w:footnote w:id="54">
    <w:p w14:paraId="209B4D20" w14:textId="695720E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55">
    <w:p w14:paraId="00EA7DF3" w14:textId="79546C3A"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56">
    <w:p w14:paraId="3EEE8508" w14:textId="1FA4D80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57">
    <w:p w14:paraId="5F724EC2" w14:textId="4264C3CA"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58">
    <w:p w14:paraId="3F445F63" w14:textId="69CBA20B"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59">
    <w:p w14:paraId="3D0C3CEB" w14:textId="29E7E9F8"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319 της 4.12.2015, σ. 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/2015/2219/</w:instrText>
      </w:r>
      <w:r>
        <w:instrText>oj</w:instrText>
      </w:r>
      <w:r w:rsidRPr="00B7621E">
        <w:rPr>
          <w:lang w:val="el-GR"/>
        </w:rPr>
        <w:instrText>"</w:instrText>
      </w:r>
      <w:r>
        <w:fldChar w:fldCharType="separate"/>
      </w:r>
      <w:r w:rsidRPr="00F01631">
        <w:rPr>
          <w:rStyle w:val="Hyperlink"/>
          <w:sz w:val="24"/>
          <w:lang w:val="el-GR"/>
        </w:rPr>
        <w:t>https://data.europa.eu/eli/reg/2015/2219/oj</w:t>
      </w:r>
      <w:r>
        <w:fldChar w:fldCharType="end"/>
      </w:r>
      <w:r w:rsidRPr="00F01631">
        <w:rPr>
          <w:sz w:val="24"/>
          <w:lang w:val="el-GR"/>
        </w:rPr>
        <w:t>.</w:t>
      </w:r>
    </w:p>
  </w:footnote>
  <w:footnote w:id="60">
    <w:p w14:paraId="1989E90D" w14:textId="1D2324C8"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61">
    <w:p w14:paraId="5ABE5DDB" w14:textId="2B8D0AD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62">
    <w:p w14:paraId="542374FF" w14:textId="3A7CD33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63">
    <w:p w14:paraId="6F4C3DB0" w14:textId="3A6E84E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64">
    <w:p w14:paraId="5AE78E15" w14:textId="3239FD74"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65">
    <w:p w14:paraId="0042B34B" w14:textId="0BB36778"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212 της 22.8.2018, σ. 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/2018/1139/</w:instrText>
      </w:r>
      <w:r>
        <w:instrText>oj</w:instrText>
      </w:r>
      <w:r w:rsidRPr="00B7621E">
        <w:rPr>
          <w:lang w:val="el-GR"/>
        </w:rPr>
        <w:instrText>"</w:instrText>
      </w:r>
      <w:r>
        <w:fldChar w:fldCharType="separate"/>
      </w:r>
      <w:r w:rsidRPr="00F01631">
        <w:rPr>
          <w:rStyle w:val="Hyperlink"/>
          <w:sz w:val="24"/>
          <w:lang w:val="el-GR"/>
        </w:rPr>
        <w:t>https://data.europa.eu/eli/reg/2018/1139/oj</w:t>
      </w:r>
      <w:r>
        <w:fldChar w:fldCharType="end"/>
      </w:r>
      <w:r w:rsidRPr="00F01631">
        <w:rPr>
          <w:sz w:val="24"/>
          <w:lang w:val="el-GR"/>
        </w:rPr>
        <w:t>.</w:t>
      </w:r>
    </w:p>
  </w:footnote>
  <w:footnote w:id="66">
    <w:p w14:paraId="19E4FACC" w14:textId="13FCA78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67">
    <w:p w14:paraId="00762095" w14:textId="1B60A00E"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68">
    <w:p w14:paraId="4ECCA603" w14:textId="13B409A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69">
    <w:p w14:paraId="1C09A1BB" w14:textId="2EF49348"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70">
    <w:p w14:paraId="388E55E1" w14:textId="591193E6"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71">
    <w:p w14:paraId="47817580" w14:textId="3C32E8A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212 της 22.8.2018, σ. 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/2018/1139/</w:instrText>
      </w:r>
      <w:r>
        <w:instrText>oj</w:instrText>
      </w:r>
      <w:r w:rsidRPr="00B7621E">
        <w:rPr>
          <w:lang w:val="el-GR"/>
        </w:rPr>
        <w:instrText>"</w:instrText>
      </w:r>
      <w:r>
        <w:fldChar w:fldCharType="separate"/>
      </w:r>
      <w:r w:rsidRPr="00F01631">
        <w:rPr>
          <w:rStyle w:val="Hyperlink"/>
          <w:sz w:val="24"/>
          <w:lang w:val="el-GR"/>
        </w:rPr>
        <w:t>https://data.europa.eu/eli/reg/2018/1139/oj</w:t>
      </w:r>
      <w:r>
        <w:fldChar w:fldCharType="end"/>
      </w:r>
      <w:r w:rsidRPr="00F01631">
        <w:rPr>
          <w:sz w:val="24"/>
          <w:lang w:val="el-GR"/>
        </w:rPr>
        <w:t>.</w:t>
      </w:r>
    </w:p>
  </w:footnote>
  <w:footnote w:id="72">
    <w:p w14:paraId="4C858465" w14:textId="35DE991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73">
    <w:p w14:paraId="3934E8D0" w14:textId="0EFDC0F3"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74">
    <w:p w14:paraId="3DD45066" w14:textId="5083A73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75">
    <w:p w14:paraId="151D34EB" w14:textId="4F4E1656"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76">
    <w:p w14:paraId="1C83E960" w14:textId="15419EAD"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77">
    <w:p w14:paraId="0B9CBEBA" w14:textId="20B2B4E8"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331 της 15.12.2010, σ. 12,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/2010/1093/</w:instrText>
      </w:r>
      <w:r>
        <w:instrText>oj</w:instrText>
      </w:r>
      <w:r w:rsidRPr="00B7621E">
        <w:rPr>
          <w:lang w:val="el-GR"/>
        </w:rPr>
        <w:instrText>"</w:instrText>
      </w:r>
      <w:r>
        <w:fldChar w:fldCharType="separate"/>
      </w:r>
      <w:r w:rsidRPr="00F01631">
        <w:rPr>
          <w:rStyle w:val="Hyperlink"/>
          <w:sz w:val="24"/>
          <w:lang w:val="el-GR"/>
        </w:rPr>
        <w:t>https://data.europa.eu/eli/reg/2010/1093/oj</w:t>
      </w:r>
      <w:r>
        <w:fldChar w:fldCharType="end"/>
      </w:r>
      <w:r w:rsidRPr="00F01631">
        <w:rPr>
          <w:sz w:val="24"/>
          <w:lang w:val="el-GR"/>
        </w:rPr>
        <w:t>.</w:t>
      </w:r>
    </w:p>
  </w:footnote>
  <w:footnote w:id="78">
    <w:p w14:paraId="174D978D" w14:textId="4764C676"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79">
    <w:p w14:paraId="16BBB59F" w14:textId="5209669E"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80">
    <w:p w14:paraId="3A334D7C" w14:textId="1B1D5FDA"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81">
    <w:p w14:paraId="5D3054C7" w14:textId="17B8AD4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82">
    <w:p w14:paraId="2231421E" w14:textId="06CF7CB2"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83">
    <w:p w14:paraId="56C23AFC" w14:textId="3766A77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331 της 15.12.2010, σ. 12,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/2010/1093/</w:instrText>
      </w:r>
      <w:r>
        <w:instrText>oj</w:instrText>
      </w:r>
      <w:r w:rsidRPr="00B7621E">
        <w:rPr>
          <w:lang w:val="el-GR"/>
        </w:rPr>
        <w:instrText>"</w:instrText>
      </w:r>
      <w:r>
        <w:fldChar w:fldCharType="separate"/>
      </w:r>
      <w:r w:rsidRPr="00F01631">
        <w:rPr>
          <w:rStyle w:val="Hyperlink"/>
          <w:sz w:val="24"/>
          <w:lang w:val="el-GR"/>
        </w:rPr>
        <w:t>https://data.europa.eu/eli/reg/2010/1093/oj</w:t>
      </w:r>
      <w:r>
        <w:fldChar w:fldCharType="end"/>
      </w:r>
      <w:r w:rsidRPr="00F01631">
        <w:rPr>
          <w:sz w:val="24"/>
          <w:lang w:val="el-GR"/>
        </w:rPr>
        <w:t>.</w:t>
      </w:r>
    </w:p>
  </w:footnote>
  <w:footnote w:id="84">
    <w:p w14:paraId="745DB753" w14:textId="6168317E"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85">
    <w:p w14:paraId="4A4EECEE" w14:textId="75A5589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86">
    <w:p w14:paraId="50E43104" w14:textId="57332430"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87">
    <w:p w14:paraId="5D393607" w14:textId="760BB77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88">
    <w:p w14:paraId="76DA80A2" w14:textId="782C6246"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89">
    <w:p w14:paraId="3785BBBE" w14:textId="12F9562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142 της 30.4.2004, σ. 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/2004/851/</w:instrText>
      </w:r>
      <w:r>
        <w:instrText>oj</w:instrText>
      </w:r>
      <w:r w:rsidRPr="00B7621E">
        <w:rPr>
          <w:lang w:val="el-GR"/>
        </w:rPr>
        <w:instrText>"</w:instrText>
      </w:r>
      <w:r>
        <w:fldChar w:fldCharType="separate"/>
      </w:r>
      <w:r w:rsidRPr="00F01631">
        <w:rPr>
          <w:rStyle w:val="Hyperlink"/>
          <w:sz w:val="24"/>
          <w:lang w:val="el-GR"/>
        </w:rPr>
        <w:t>https://data.europa.eu/eli/reg/2004/851/oj</w:t>
      </w:r>
      <w:r>
        <w:fldChar w:fldCharType="end"/>
      </w:r>
      <w:r w:rsidRPr="00F01631">
        <w:rPr>
          <w:sz w:val="24"/>
          <w:lang w:val="el-GR"/>
        </w:rPr>
        <w:t>.</w:t>
      </w:r>
    </w:p>
  </w:footnote>
  <w:footnote w:id="90">
    <w:p w14:paraId="2080294A" w14:textId="1791F18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91">
    <w:p w14:paraId="6FBCB760" w14:textId="6619D5E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92">
    <w:p w14:paraId="35D3C042" w14:textId="5685997F"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93">
    <w:p w14:paraId="17836A7D" w14:textId="6786901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94">
    <w:p w14:paraId="2798EDF7" w14:textId="1AA3A175"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95">
    <w:p w14:paraId="30EDEB2E" w14:textId="37AD90C8"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142 της 30.4.2004, σ. 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/2004/851/</w:instrText>
      </w:r>
      <w:r>
        <w:instrText>oj</w:instrText>
      </w:r>
      <w:r w:rsidRPr="00B7621E">
        <w:rPr>
          <w:lang w:val="el-GR"/>
        </w:rPr>
        <w:instrText>"</w:instrText>
      </w:r>
      <w:r>
        <w:fldChar w:fldCharType="separate"/>
      </w:r>
      <w:r w:rsidRPr="00F01631">
        <w:rPr>
          <w:rStyle w:val="Hyperlink"/>
          <w:sz w:val="24"/>
          <w:lang w:val="el-GR"/>
        </w:rPr>
        <w:t>https://data.europa.eu/eli/reg/2004/851/oj</w:t>
      </w:r>
      <w:r>
        <w:fldChar w:fldCharType="end"/>
      </w:r>
      <w:r w:rsidRPr="00F01631">
        <w:rPr>
          <w:sz w:val="24"/>
          <w:lang w:val="el-GR"/>
        </w:rPr>
        <w:t>.</w:t>
      </w:r>
    </w:p>
  </w:footnote>
  <w:footnote w:id="96">
    <w:p w14:paraId="3264245F" w14:textId="2AF0D7A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97">
    <w:p w14:paraId="46D41020" w14:textId="6C2A5D8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98">
    <w:p w14:paraId="507B7DA1" w14:textId="6BF99B56"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99">
    <w:p w14:paraId="2C8F79CF" w14:textId="207042A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100">
    <w:p w14:paraId="1740B864" w14:textId="159A1BE7"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101">
    <w:p w14:paraId="28EEA507" w14:textId="2F80E920"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396 της 30.12.2006, σ. 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/2006/1907/</w:instrText>
      </w:r>
      <w:r>
        <w:instrText>oj</w:instrText>
      </w:r>
      <w:r w:rsidRPr="00B7621E">
        <w:rPr>
          <w:lang w:val="el-GR"/>
        </w:rPr>
        <w:instrText>"</w:instrText>
      </w:r>
      <w:r>
        <w:fldChar w:fldCharType="separate"/>
      </w:r>
      <w:r w:rsidRPr="00F01631">
        <w:rPr>
          <w:rStyle w:val="Hyperlink"/>
          <w:sz w:val="24"/>
          <w:lang w:val="el-GR"/>
        </w:rPr>
        <w:t>https://data.europa.eu/eli/reg/2006/1907/oj</w:t>
      </w:r>
      <w:r>
        <w:fldChar w:fldCharType="end"/>
      </w:r>
      <w:r w:rsidRPr="00F01631">
        <w:rPr>
          <w:sz w:val="24"/>
          <w:lang w:val="el-GR"/>
        </w:rPr>
        <w:t>.</w:t>
      </w:r>
    </w:p>
  </w:footnote>
  <w:footnote w:id="102">
    <w:p w14:paraId="663DC912" w14:textId="5C39560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103">
    <w:p w14:paraId="6B5794F9" w14:textId="46D8AC5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104">
    <w:p w14:paraId="19FB01B5" w14:textId="72D90913"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105">
    <w:p w14:paraId="4D7D29EF" w14:textId="6D55839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106">
    <w:p w14:paraId="55BEA3F8" w14:textId="0991CDCE"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107">
    <w:p w14:paraId="0DA53B63" w14:textId="6721D90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396 της 30.12.2006, σ. 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/2006/1907/</w:instrText>
      </w:r>
      <w:r>
        <w:instrText>oj</w:instrText>
      </w:r>
      <w:r w:rsidRPr="00B7621E">
        <w:rPr>
          <w:lang w:val="el-GR"/>
        </w:rPr>
        <w:instrText>"</w:instrText>
      </w:r>
      <w:r>
        <w:fldChar w:fldCharType="separate"/>
      </w:r>
      <w:r w:rsidRPr="00F01631">
        <w:rPr>
          <w:rStyle w:val="Hyperlink"/>
          <w:sz w:val="24"/>
          <w:lang w:val="el-GR"/>
        </w:rPr>
        <w:t>https://data.europa.eu/eli/reg/2006/1907/oj</w:t>
      </w:r>
      <w:r>
        <w:fldChar w:fldCharType="end"/>
      </w:r>
      <w:r w:rsidRPr="00F01631">
        <w:rPr>
          <w:sz w:val="24"/>
          <w:lang w:val="el-GR"/>
        </w:rPr>
        <w:t>.</w:t>
      </w:r>
    </w:p>
  </w:footnote>
  <w:footnote w:id="108">
    <w:p w14:paraId="16E3F3B9" w14:textId="0772175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109">
    <w:p w14:paraId="4209C0DF" w14:textId="24B34BE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110">
    <w:p w14:paraId="0B38FB7D" w14:textId="269CE41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111">
    <w:p w14:paraId="2414A109" w14:textId="2D60D42F"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112">
    <w:p w14:paraId="467299B4" w14:textId="588F4735"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113">
    <w:p w14:paraId="357F7A83" w14:textId="4A8C133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126 της 21.5.2009, σ. 13,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/2009/401/</w:instrText>
      </w:r>
      <w:r>
        <w:instrText>oj</w:instrText>
      </w:r>
      <w:r w:rsidRPr="00B7621E">
        <w:rPr>
          <w:lang w:val="el-GR"/>
        </w:rPr>
        <w:instrText>"</w:instrText>
      </w:r>
      <w:r>
        <w:fldChar w:fldCharType="separate"/>
      </w:r>
      <w:r w:rsidRPr="00F01631">
        <w:rPr>
          <w:rStyle w:val="Hyperlink"/>
          <w:sz w:val="24"/>
          <w:lang w:val="el-GR"/>
        </w:rPr>
        <w:t>https://data.europa.eu/eli/reg/2009/401/oj</w:t>
      </w:r>
      <w:r>
        <w:fldChar w:fldCharType="end"/>
      </w:r>
      <w:r w:rsidRPr="00F01631">
        <w:rPr>
          <w:sz w:val="24"/>
          <w:lang w:val="el-GR"/>
        </w:rPr>
        <w:t>.</w:t>
      </w:r>
    </w:p>
  </w:footnote>
  <w:footnote w:id="114">
    <w:p w14:paraId="768BD18C" w14:textId="62204063"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115">
    <w:p w14:paraId="6CF2DF84" w14:textId="08D1373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116">
    <w:p w14:paraId="3C75CE4E" w14:textId="7E3612D3"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117">
    <w:p w14:paraId="0E7849DA" w14:textId="41A0ABD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118">
    <w:p w14:paraId="37B5D68F" w14:textId="41082378"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119">
    <w:p w14:paraId="55F505CA" w14:textId="3D6C4ED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126 της 21.5.2009, σ. 13,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/2009/401/</w:instrText>
      </w:r>
      <w:r>
        <w:instrText>oj</w:instrText>
      </w:r>
      <w:r w:rsidRPr="00B7621E">
        <w:rPr>
          <w:lang w:val="el-GR"/>
        </w:rPr>
        <w:instrText>"</w:instrText>
      </w:r>
      <w:r>
        <w:fldChar w:fldCharType="separate"/>
      </w:r>
      <w:r w:rsidRPr="00F01631">
        <w:rPr>
          <w:rStyle w:val="Hyperlink"/>
          <w:sz w:val="24"/>
          <w:lang w:val="el-GR"/>
        </w:rPr>
        <w:t>https://data.europa.eu/eli/reg/2009/401/oj</w:t>
      </w:r>
      <w:r>
        <w:fldChar w:fldCharType="end"/>
      </w:r>
      <w:r w:rsidRPr="00F01631">
        <w:rPr>
          <w:sz w:val="24"/>
          <w:lang w:val="el-GR"/>
        </w:rPr>
        <w:t>.</w:t>
      </w:r>
    </w:p>
  </w:footnote>
  <w:footnote w:id="120">
    <w:p w14:paraId="33EBE80E" w14:textId="2204111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121">
    <w:p w14:paraId="7C323A79" w14:textId="5400FB2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122">
    <w:p w14:paraId="2DFA288C" w14:textId="605D986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123">
    <w:p w14:paraId="70F24E9C" w14:textId="273001C0"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124">
    <w:p w14:paraId="1ABEA904" w14:textId="4651606A"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125">
    <w:p w14:paraId="1F66B920" w14:textId="46D10E52" w:rsidR="00F026BE" w:rsidRPr="00422CC9" w:rsidRDefault="00F026BE" w:rsidP="00F01631">
      <w:pPr>
        <w:pStyle w:val="FootnoteText"/>
        <w:ind w:left="567" w:hanging="567"/>
        <w:rPr>
          <w:sz w:val="24"/>
          <w:lang w:val="el-GR"/>
        </w:rPr>
      </w:pPr>
      <w:r w:rsidRPr="00F01631">
        <w:rPr>
          <w:rStyle w:val="FootnoteReference"/>
          <w:sz w:val="24"/>
          <w:lang w:val="el-GR"/>
        </w:rPr>
        <w:footnoteRef/>
      </w:r>
      <w:r w:rsidR="00F01631" w:rsidRPr="00422CC9">
        <w:rPr>
          <w:sz w:val="24"/>
          <w:lang w:val="el-GR"/>
        </w:rPr>
        <w:t xml:space="preserve"> </w:t>
      </w:r>
      <w:r w:rsidR="00F01631" w:rsidRPr="00422CC9">
        <w:rPr>
          <w:sz w:val="24"/>
          <w:lang w:val="el-GR"/>
        </w:rPr>
        <w:tab/>
      </w:r>
      <w:r w:rsidRPr="00F01631">
        <w:rPr>
          <w:sz w:val="24"/>
          <w:lang w:val="el-GR"/>
        </w:rPr>
        <w:t>ΕΕ</w:t>
      </w:r>
      <w:r w:rsidRPr="00422CC9">
        <w:rPr>
          <w:sz w:val="24"/>
          <w:lang w:val="el-GR"/>
        </w:rPr>
        <w:t xml:space="preserve"> </w:t>
      </w:r>
      <w:r w:rsidRPr="00193D17">
        <w:rPr>
          <w:sz w:val="24"/>
          <w:lang w:val="fi-FI"/>
        </w:rPr>
        <w:t>L</w:t>
      </w:r>
      <w:r w:rsidRPr="00422CC9">
        <w:rPr>
          <w:sz w:val="24"/>
          <w:lang w:val="el-GR"/>
        </w:rPr>
        <w:t xml:space="preserve"> 83</w:t>
      </w:r>
      <w:r w:rsidR="00422CC9">
        <w:rPr>
          <w:sz w:val="24"/>
          <w:lang w:val="el-GR"/>
        </w:rPr>
        <w:t xml:space="preserve"> της</w:t>
      </w:r>
      <w:r w:rsidRPr="00422CC9">
        <w:rPr>
          <w:sz w:val="24"/>
          <w:lang w:val="el-GR"/>
        </w:rPr>
        <w:t xml:space="preserve"> 25.3.2019, </w:t>
      </w:r>
      <w:r w:rsidRPr="00F01631">
        <w:rPr>
          <w:sz w:val="24"/>
          <w:lang w:val="el-GR"/>
        </w:rPr>
        <w:t>σ</w:t>
      </w:r>
      <w:r w:rsidRPr="00422CC9">
        <w:rPr>
          <w:sz w:val="24"/>
          <w:lang w:val="el-GR"/>
        </w:rPr>
        <w:t xml:space="preserve">. </w:t>
      </w:r>
      <w:r w:rsidRPr="00422CC9">
        <w:rPr>
          <w:sz w:val="24"/>
          <w:lang w:val="el-GR"/>
        </w:rPr>
        <w:t xml:space="preserve">18, </w:t>
      </w:r>
      <w:r w:rsidRPr="00193D17">
        <w:rPr>
          <w:sz w:val="24"/>
          <w:lang w:val="fi-FI"/>
        </w:rPr>
        <w:t>ELI</w:t>
      </w:r>
      <w:r w:rsidRPr="00422CC9">
        <w:rPr>
          <w:sz w:val="24"/>
          <w:lang w:val="el-GR"/>
        </w:rPr>
        <w:t xml:space="preserve">: </w:t>
      </w:r>
      <w:hyperlink r:id="rId1" w:history="1">
        <w:r w:rsidRPr="00193D17">
          <w:rPr>
            <w:rStyle w:val="Hyperlink"/>
            <w:sz w:val="24"/>
            <w:lang w:val="fi-FI"/>
          </w:rPr>
          <w:t>https</w:t>
        </w:r>
        <w:r w:rsidRPr="00422CC9">
          <w:rPr>
            <w:rStyle w:val="Hyperlink"/>
            <w:sz w:val="24"/>
            <w:lang w:val="el-GR"/>
          </w:rPr>
          <w:t>://</w:t>
        </w:r>
        <w:r w:rsidRPr="00193D17">
          <w:rPr>
            <w:rStyle w:val="Hyperlink"/>
            <w:sz w:val="24"/>
            <w:lang w:val="fi-FI"/>
          </w:rPr>
          <w:t>data</w:t>
        </w:r>
        <w:r w:rsidRPr="00422CC9">
          <w:rPr>
            <w:rStyle w:val="Hyperlink"/>
            <w:sz w:val="24"/>
            <w:lang w:val="el-GR"/>
          </w:rPr>
          <w:t>.</w:t>
        </w:r>
        <w:r w:rsidRPr="00193D17">
          <w:rPr>
            <w:rStyle w:val="Hyperlink"/>
            <w:sz w:val="24"/>
            <w:lang w:val="fi-FI"/>
          </w:rPr>
          <w:t>europa</w:t>
        </w:r>
        <w:r w:rsidRPr="00422CC9">
          <w:rPr>
            <w:rStyle w:val="Hyperlink"/>
            <w:sz w:val="24"/>
            <w:lang w:val="el-GR"/>
          </w:rPr>
          <w:t>.</w:t>
        </w:r>
        <w:r w:rsidRPr="00193D17">
          <w:rPr>
            <w:rStyle w:val="Hyperlink"/>
            <w:sz w:val="24"/>
            <w:lang w:val="fi-FI"/>
          </w:rPr>
          <w:t>eu</w:t>
        </w:r>
        <w:r w:rsidRPr="00422CC9">
          <w:rPr>
            <w:rStyle w:val="Hyperlink"/>
            <w:sz w:val="24"/>
            <w:lang w:val="el-GR"/>
          </w:rPr>
          <w:t>/</w:t>
        </w:r>
        <w:r w:rsidRPr="00193D17">
          <w:rPr>
            <w:rStyle w:val="Hyperlink"/>
            <w:sz w:val="24"/>
            <w:lang w:val="fi-FI"/>
          </w:rPr>
          <w:t>eli</w:t>
        </w:r>
        <w:r w:rsidRPr="00422CC9">
          <w:rPr>
            <w:rStyle w:val="Hyperlink"/>
            <w:sz w:val="24"/>
            <w:lang w:val="el-GR"/>
          </w:rPr>
          <w:t>/</w:t>
        </w:r>
        <w:r w:rsidRPr="00193D17">
          <w:rPr>
            <w:rStyle w:val="Hyperlink"/>
            <w:sz w:val="24"/>
            <w:lang w:val="fi-FI"/>
          </w:rPr>
          <w:t>reg</w:t>
        </w:r>
        <w:r w:rsidRPr="00422CC9">
          <w:rPr>
            <w:rStyle w:val="Hyperlink"/>
            <w:sz w:val="24"/>
            <w:lang w:val="el-GR"/>
          </w:rPr>
          <w:t>/2019/473/</w:t>
        </w:r>
        <w:r w:rsidRPr="00193D17">
          <w:rPr>
            <w:rStyle w:val="Hyperlink"/>
            <w:sz w:val="24"/>
            <w:lang w:val="fi-FI"/>
          </w:rPr>
          <w:t>oj</w:t>
        </w:r>
      </w:hyperlink>
      <w:r w:rsidRPr="00422CC9">
        <w:rPr>
          <w:sz w:val="24"/>
          <w:lang w:val="el-GR"/>
        </w:rPr>
        <w:t>.</w:t>
      </w:r>
    </w:p>
  </w:footnote>
  <w:footnote w:id="126">
    <w:p w14:paraId="42D8BCB8" w14:textId="1308235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127">
    <w:p w14:paraId="0FCCAC3F" w14:textId="1521B5DA"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128">
    <w:p w14:paraId="39F8B8B7" w14:textId="5CBCDB4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129">
    <w:p w14:paraId="15D3176E" w14:textId="092B22F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130">
    <w:p w14:paraId="5E368D5B" w14:textId="18A9E7B0"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131">
    <w:p w14:paraId="6DD9D750" w14:textId="0089B686"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83, 25.3.2019, </w:t>
      </w:r>
      <w:r w:rsidRPr="00F01631">
        <w:rPr>
          <w:sz w:val="24"/>
          <w:lang w:val="el-GR"/>
        </w:rPr>
        <w:t>σ</w:t>
      </w:r>
      <w:r w:rsidRPr="00193D17">
        <w:rPr>
          <w:sz w:val="24"/>
          <w:lang w:val="fi-FI"/>
        </w:rPr>
        <w:t xml:space="preserve">. 18, ELI: </w:t>
      </w:r>
      <w:r>
        <w:fldChar w:fldCharType="begin"/>
      </w:r>
      <w:r w:rsidRPr="00B7621E">
        <w:rPr>
          <w:lang w:val="fi-FI"/>
        </w:rPr>
        <w:instrText>HYPERLINK "https://data.europa.eu/eli/reg/2019/473/oj"</w:instrText>
      </w:r>
      <w:r>
        <w:fldChar w:fldCharType="separate"/>
      </w:r>
      <w:r w:rsidRPr="00193D17">
        <w:rPr>
          <w:rStyle w:val="Hyperlink"/>
          <w:sz w:val="24"/>
          <w:lang w:val="fi-FI"/>
        </w:rPr>
        <w:t>https://data.europa.eu/eli/reg/2019/473/oj</w:t>
      </w:r>
      <w:r>
        <w:fldChar w:fldCharType="end"/>
      </w:r>
      <w:r w:rsidRPr="00193D17">
        <w:rPr>
          <w:sz w:val="24"/>
          <w:lang w:val="fi-FI"/>
        </w:rPr>
        <w:t>.</w:t>
      </w:r>
    </w:p>
  </w:footnote>
  <w:footnote w:id="132">
    <w:p w14:paraId="5926108C" w14:textId="7F5C40C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133">
    <w:p w14:paraId="2455A7B3" w14:textId="4DA4E58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134">
    <w:p w14:paraId="050F3388" w14:textId="599ED03E"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135">
    <w:p w14:paraId="3338900B" w14:textId="08868BEA"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136">
    <w:p w14:paraId="1BFAD336" w14:textId="6CE09542"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137">
    <w:p w14:paraId="00857099" w14:textId="66507EE8"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31 της 1.2.2002, σ. 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/2002/178/</w:instrText>
      </w:r>
      <w:r>
        <w:instrText>oj</w:instrText>
      </w:r>
      <w:r w:rsidRPr="00B7621E">
        <w:rPr>
          <w:lang w:val="el-GR"/>
        </w:rPr>
        <w:instrText>"</w:instrText>
      </w:r>
      <w:r>
        <w:fldChar w:fldCharType="separate"/>
      </w:r>
      <w:r w:rsidRPr="00F01631">
        <w:rPr>
          <w:rStyle w:val="Hyperlink"/>
          <w:sz w:val="24"/>
          <w:lang w:val="el-GR"/>
        </w:rPr>
        <w:t>https://data.europa.eu/eli/reg/2002/178/oj</w:t>
      </w:r>
      <w:r>
        <w:fldChar w:fldCharType="end"/>
      </w:r>
      <w:r w:rsidRPr="00F01631">
        <w:rPr>
          <w:sz w:val="24"/>
          <w:lang w:val="el-GR"/>
        </w:rPr>
        <w:t>.</w:t>
      </w:r>
    </w:p>
  </w:footnote>
  <w:footnote w:id="138">
    <w:p w14:paraId="1A3D56FB" w14:textId="05D71698"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139">
    <w:p w14:paraId="3E3E93E8" w14:textId="0A40B16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140">
    <w:p w14:paraId="01BCFD85" w14:textId="11160D5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141">
    <w:p w14:paraId="4A568506" w14:textId="5DAA769F"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142">
    <w:p w14:paraId="743A0960" w14:textId="34BB0964"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143">
    <w:p w14:paraId="7186A2AE" w14:textId="78633B6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31 της 1.2.2002, σ. 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/2002/178/</w:instrText>
      </w:r>
      <w:r>
        <w:instrText>oj</w:instrText>
      </w:r>
      <w:r w:rsidRPr="00B7621E">
        <w:rPr>
          <w:lang w:val="el-GR"/>
        </w:rPr>
        <w:instrText>"</w:instrText>
      </w:r>
      <w:r>
        <w:fldChar w:fldCharType="separate"/>
      </w:r>
      <w:r w:rsidRPr="00F01631">
        <w:rPr>
          <w:rStyle w:val="Hyperlink"/>
          <w:sz w:val="24"/>
          <w:lang w:val="el-GR"/>
        </w:rPr>
        <w:t>https://data.europa.eu/eli/reg/2002/178/oj</w:t>
      </w:r>
      <w:r>
        <w:fldChar w:fldCharType="end"/>
      </w:r>
      <w:r w:rsidRPr="00F01631">
        <w:rPr>
          <w:sz w:val="24"/>
          <w:lang w:val="el-GR"/>
        </w:rPr>
        <w:t>.</w:t>
      </w:r>
    </w:p>
  </w:footnote>
  <w:footnote w:id="144">
    <w:p w14:paraId="551BE253" w14:textId="177CFBA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145">
    <w:p w14:paraId="29C66066" w14:textId="750AF37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146">
    <w:p w14:paraId="3A6CDF27" w14:textId="663FCE2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147">
    <w:p w14:paraId="7DB9BA8C" w14:textId="7BD886B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148">
    <w:p w14:paraId="593695D4" w14:textId="195F760A"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149">
    <w:p w14:paraId="1E1EC15B" w14:textId="66DE3CE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403 της 30.12.2006, σ. 9,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/2006/1922/</w:instrText>
      </w:r>
      <w:r>
        <w:instrText>oj</w:instrText>
      </w:r>
      <w:r w:rsidRPr="00B7621E">
        <w:rPr>
          <w:lang w:val="el-GR"/>
        </w:rPr>
        <w:instrText>"</w:instrText>
      </w:r>
      <w:r>
        <w:fldChar w:fldCharType="separate"/>
      </w:r>
      <w:r w:rsidRPr="00F01631">
        <w:rPr>
          <w:rStyle w:val="Hyperlink"/>
          <w:sz w:val="24"/>
          <w:lang w:val="el-GR"/>
        </w:rPr>
        <w:t>https://data.europa.eu/eli/reg/2006/1922/oj</w:t>
      </w:r>
      <w:r>
        <w:fldChar w:fldCharType="end"/>
      </w:r>
      <w:r w:rsidRPr="00F01631">
        <w:rPr>
          <w:sz w:val="24"/>
          <w:lang w:val="el-GR"/>
        </w:rPr>
        <w:t>.</w:t>
      </w:r>
    </w:p>
  </w:footnote>
  <w:footnote w:id="150">
    <w:p w14:paraId="1CEC83A5" w14:textId="2034372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151">
    <w:p w14:paraId="388324A3" w14:textId="18A8288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152">
    <w:p w14:paraId="1A2156EF" w14:textId="594B6623"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153">
    <w:p w14:paraId="0C10E0E0" w14:textId="1BA75CB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154">
    <w:p w14:paraId="7E8FA0E0" w14:textId="4C471224"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155">
    <w:p w14:paraId="671BB7B8" w14:textId="106D9EF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403 της 30.12.2006, σ. 9,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/2006/1922/</w:instrText>
      </w:r>
      <w:r>
        <w:instrText>oj</w:instrText>
      </w:r>
      <w:r w:rsidRPr="00B7621E">
        <w:rPr>
          <w:lang w:val="el-GR"/>
        </w:rPr>
        <w:instrText>"</w:instrText>
      </w:r>
      <w:r>
        <w:fldChar w:fldCharType="separate"/>
      </w:r>
      <w:r w:rsidRPr="00F01631">
        <w:rPr>
          <w:rStyle w:val="Hyperlink"/>
          <w:sz w:val="24"/>
          <w:lang w:val="el-GR"/>
        </w:rPr>
        <w:t>https://data.europa.eu/eli/reg/2006/1922/oj</w:t>
      </w:r>
      <w:r>
        <w:fldChar w:fldCharType="end"/>
      </w:r>
      <w:r w:rsidRPr="00F01631">
        <w:rPr>
          <w:sz w:val="24"/>
          <w:lang w:val="el-GR"/>
        </w:rPr>
        <w:t>.</w:t>
      </w:r>
    </w:p>
  </w:footnote>
  <w:footnote w:id="156">
    <w:p w14:paraId="2D6401E9" w14:textId="4A03241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157">
    <w:p w14:paraId="70AA08FB" w14:textId="370D215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158">
    <w:p w14:paraId="46276E02" w14:textId="5FA75BD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159">
    <w:p w14:paraId="71B4210F" w14:textId="207F88B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160">
    <w:p w14:paraId="26653097" w14:textId="3ADBB2F5"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161">
    <w:p w14:paraId="1305D950" w14:textId="633B97E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331 της 15.12.2010, σ. 48,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/2010/1094/</w:instrText>
      </w:r>
      <w:r>
        <w:instrText>oj</w:instrText>
      </w:r>
      <w:r w:rsidRPr="00B7621E">
        <w:rPr>
          <w:lang w:val="el-GR"/>
        </w:rPr>
        <w:instrText>"</w:instrText>
      </w:r>
      <w:r>
        <w:fldChar w:fldCharType="separate"/>
      </w:r>
      <w:r w:rsidRPr="00F01631">
        <w:rPr>
          <w:rStyle w:val="Hyperlink"/>
          <w:sz w:val="24"/>
          <w:lang w:val="el-GR"/>
        </w:rPr>
        <w:t>https://data.europa.eu/eli/reg/2010/1094/oj</w:t>
      </w:r>
      <w:r>
        <w:fldChar w:fldCharType="end"/>
      </w:r>
      <w:r w:rsidRPr="00F01631">
        <w:rPr>
          <w:sz w:val="24"/>
          <w:lang w:val="el-GR"/>
        </w:rPr>
        <w:t>.</w:t>
      </w:r>
    </w:p>
  </w:footnote>
  <w:footnote w:id="162">
    <w:p w14:paraId="626E9E56" w14:textId="1E6789A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163">
    <w:p w14:paraId="48BD45FF" w14:textId="76B2A94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164">
    <w:p w14:paraId="2033320A" w14:textId="171149E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165">
    <w:p w14:paraId="67135A69" w14:textId="31F7084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166">
    <w:p w14:paraId="6C80517F" w14:textId="3C216FB7"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167">
    <w:p w14:paraId="11C36FCC" w14:textId="447CB91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331 της 15.12.2010, σ. 48,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/2010/1094/</w:instrText>
      </w:r>
      <w:r>
        <w:instrText>oj</w:instrText>
      </w:r>
      <w:r w:rsidRPr="00B7621E">
        <w:rPr>
          <w:lang w:val="el-GR"/>
        </w:rPr>
        <w:instrText>"</w:instrText>
      </w:r>
      <w:r>
        <w:fldChar w:fldCharType="separate"/>
      </w:r>
      <w:r w:rsidRPr="00F01631">
        <w:rPr>
          <w:rStyle w:val="Hyperlink"/>
          <w:sz w:val="24"/>
          <w:lang w:val="el-GR"/>
        </w:rPr>
        <w:t>https://data.europa.eu/eli/reg/2010/1094/oj</w:t>
      </w:r>
      <w:r>
        <w:fldChar w:fldCharType="end"/>
      </w:r>
      <w:r w:rsidRPr="00F01631">
        <w:rPr>
          <w:sz w:val="24"/>
          <w:lang w:val="el-GR"/>
        </w:rPr>
        <w:t>.</w:t>
      </w:r>
    </w:p>
  </w:footnote>
  <w:footnote w:id="168">
    <w:p w14:paraId="11A4A5ED" w14:textId="530A8596"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169">
    <w:p w14:paraId="747E2D24" w14:textId="57FC97C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170">
    <w:p w14:paraId="2796B930" w14:textId="7CD7966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171">
    <w:p w14:paraId="5C4B2AB2" w14:textId="01C5E1E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172">
    <w:p w14:paraId="4AB1DAB6" w14:textId="0612FCF3"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173">
    <w:p w14:paraId="24204F1C" w14:textId="0B884EE6"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189 της 28.5.2021, σ. 61,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/2021/819/</w:instrText>
      </w:r>
      <w:r>
        <w:instrText>oj</w:instrText>
      </w:r>
      <w:r w:rsidRPr="00B7621E">
        <w:rPr>
          <w:lang w:val="el-GR"/>
        </w:rPr>
        <w:instrText>"</w:instrText>
      </w:r>
      <w:r>
        <w:fldChar w:fldCharType="separate"/>
      </w:r>
      <w:r w:rsidRPr="00F01631">
        <w:rPr>
          <w:rStyle w:val="Hyperlink"/>
          <w:sz w:val="24"/>
          <w:lang w:val="el-GR"/>
        </w:rPr>
        <w:t>https://data.europa.eu/eli/reg/2021/819/oj</w:t>
      </w:r>
      <w:r>
        <w:fldChar w:fldCharType="end"/>
      </w:r>
      <w:r w:rsidRPr="00F01631">
        <w:rPr>
          <w:sz w:val="24"/>
          <w:lang w:val="el-GR"/>
        </w:rPr>
        <w:t>.</w:t>
      </w:r>
    </w:p>
  </w:footnote>
  <w:footnote w:id="174">
    <w:p w14:paraId="0687BA98" w14:textId="6137958A"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175">
    <w:p w14:paraId="200E0F65" w14:textId="08997738"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176">
    <w:p w14:paraId="567155AE" w14:textId="2CD1D5A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177">
    <w:p w14:paraId="54F0D2B2" w14:textId="2C78049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178">
    <w:p w14:paraId="35CFD261" w14:textId="0DC90F39"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179">
    <w:p w14:paraId="00C6934E" w14:textId="7D5B39C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189 της 28.5.2021, σ. 61,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/2021/819/</w:instrText>
      </w:r>
      <w:r>
        <w:instrText>oj</w:instrText>
      </w:r>
      <w:r w:rsidRPr="00B7621E">
        <w:rPr>
          <w:lang w:val="el-GR"/>
        </w:rPr>
        <w:instrText>"</w:instrText>
      </w:r>
      <w:r>
        <w:fldChar w:fldCharType="separate"/>
      </w:r>
      <w:r w:rsidRPr="00F01631">
        <w:rPr>
          <w:rStyle w:val="Hyperlink"/>
          <w:sz w:val="24"/>
          <w:lang w:val="el-GR"/>
        </w:rPr>
        <w:t>https://data.europa.eu/eli/reg/2021/819/oj</w:t>
      </w:r>
      <w:r>
        <w:fldChar w:fldCharType="end"/>
      </w:r>
      <w:r w:rsidRPr="00F01631">
        <w:rPr>
          <w:sz w:val="24"/>
          <w:lang w:val="el-GR"/>
        </w:rPr>
        <w:t>.</w:t>
      </w:r>
    </w:p>
  </w:footnote>
  <w:footnote w:id="180">
    <w:p w14:paraId="5D0DD66D" w14:textId="1F58C8F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181">
    <w:p w14:paraId="76E7EB30" w14:textId="7D43A94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182">
    <w:p w14:paraId="3A3682B4" w14:textId="77865163"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183">
    <w:p w14:paraId="58410D61" w14:textId="70E2BEC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184">
    <w:p w14:paraId="52AB21D9" w14:textId="42437CF3"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185">
    <w:p w14:paraId="0A3E52FC" w14:textId="64AC79D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186 της 11.7.2019, σ. 21,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/2019/1149/</w:instrText>
      </w:r>
      <w:r>
        <w:instrText>oj</w:instrText>
      </w:r>
      <w:r w:rsidRPr="00B7621E">
        <w:rPr>
          <w:lang w:val="el-GR"/>
        </w:rPr>
        <w:instrText>"</w:instrText>
      </w:r>
      <w:r>
        <w:fldChar w:fldCharType="separate"/>
      </w:r>
      <w:r w:rsidRPr="00F01631">
        <w:rPr>
          <w:rStyle w:val="Hyperlink"/>
          <w:sz w:val="24"/>
          <w:lang w:val="el-GR"/>
        </w:rPr>
        <w:t>https://data.europa.eu/eli/reg/2019/1149/oj</w:t>
      </w:r>
      <w:r>
        <w:fldChar w:fldCharType="end"/>
      </w:r>
      <w:r w:rsidRPr="00F01631">
        <w:rPr>
          <w:sz w:val="24"/>
          <w:lang w:val="el-GR"/>
        </w:rPr>
        <w:t>.</w:t>
      </w:r>
    </w:p>
  </w:footnote>
  <w:footnote w:id="186">
    <w:p w14:paraId="14023629" w14:textId="208F632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187">
    <w:p w14:paraId="33E4879B" w14:textId="0E6140D3"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188">
    <w:p w14:paraId="61330E70" w14:textId="12BC17D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189">
    <w:p w14:paraId="7EBDC350" w14:textId="07D22DE0"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190">
    <w:p w14:paraId="50FAD217" w14:textId="30B3AB8A"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191">
    <w:p w14:paraId="415AAA47" w14:textId="1DCC8CE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186 της 11.7.2019, σ. 21,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/2019/1149/</w:instrText>
      </w:r>
      <w:r>
        <w:instrText>oj</w:instrText>
      </w:r>
      <w:r w:rsidRPr="00B7621E">
        <w:rPr>
          <w:lang w:val="el-GR"/>
        </w:rPr>
        <w:instrText>"</w:instrText>
      </w:r>
      <w:r>
        <w:fldChar w:fldCharType="separate"/>
      </w:r>
      <w:r w:rsidRPr="00F01631">
        <w:rPr>
          <w:rStyle w:val="Hyperlink"/>
          <w:sz w:val="24"/>
          <w:lang w:val="el-GR"/>
        </w:rPr>
        <w:t>https://data.europa.eu/eli/reg/2019/1149/oj</w:t>
      </w:r>
      <w:r>
        <w:fldChar w:fldCharType="end"/>
      </w:r>
      <w:r w:rsidRPr="00F01631">
        <w:rPr>
          <w:sz w:val="24"/>
          <w:lang w:val="el-GR"/>
        </w:rPr>
        <w:t>.</w:t>
      </w:r>
    </w:p>
  </w:footnote>
  <w:footnote w:id="192">
    <w:p w14:paraId="4E432B2D" w14:textId="4047044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193">
    <w:p w14:paraId="01DC3ED5" w14:textId="38941C5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194">
    <w:p w14:paraId="796330EA" w14:textId="735A23CE"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195">
    <w:p w14:paraId="6D588269" w14:textId="01CD364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196">
    <w:p w14:paraId="778FDB38" w14:textId="7A66A373"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197">
    <w:p w14:paraId="64D9F4E5" w14:textId="51E9D206"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136 της 30.4.2004,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/2004/726/</w:instrText>
      </w:r>
      <w:r>
        <w:instrText>oj</w:instrText>
      </w:r>
      <w:r w:rsidRPr="00B7621E">
        <w:rPr>
          <w:lang w:val="el-GR"/>
        </w:rPr>
        <w:instrText>"</w:instrText>
      </w:r>
      <w:r>
        <w:fldChar w:fldCharType="separate"/>
      </w:r>
      <w:r w:rsidRPr="00F01631">
        <w:rPr>
          <w:rStyle w:val="Hyperlink"/>
          <w:sz w:val="24"/>
          <w:lang w:val="el-GR"/>
        </w:rPr>
        <w:t>http://data.europa.eu/eli/reg/2004/726/oj</w:t>
      </w:r>
      <w:r>
        <w:fldChar w:fldCharType="end"/>
      </w:r>
      <w:r w:rsidRPr="00F01631">
        <w:rPr>
          <w:sz w:val="24"/>
          <w:lang w:val="el-GR"/>
        </w:rPr>
        <w:t>.</w:t>
      </w:r>
    </w:p>
  </w:footnote>
  <w:footnote w:id="198">
    <w:p w14:paraId="1894D148" w14:textId="29766ADF"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199">
    <w:p w14:paraId="202D73B3" w14:textId="5A097E4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200">
    <w:p w14:paraId="0ABC6AE1" w14:textId="7509F37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201">
    <w:p w14:paraId="795CECD6" w14:textId="4BA6812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202">
    <w:p w14:paraId="7CF6C94C" w14:textId="6B66AA38"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203">
    <w:p w14:paraId="229556AE" w14:textId="50145D66"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136 της 30.4.2004,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/2004/726/</w:instrText>
      </w:r>
      <w:r>
        <w:instrText>oj</w:instrText>
      </w:r>
      <w:r w:rsidRPr="00B7621E">
        <w:rPr>
          <w:lang w:val="el-GR"/>
        </w:rPr>
        <w:instrText>"</w:instrText>
      </w:r>
      <w:r>
        <w:fldChar w:fldCharType="separate"/>
      </w:r>
      <w:r w:rsidRPr="00F01631">
        <w:rPr>
          <w:rStyle w:val="Hyperlink"/>
          <w:sz w:val="24"/>
          <w:lang w:val="el-GR"/>
        </w:rPr>
        <w:t>http://data.europa.eu/eli/reg/2004/726/oj</w:t>
      </w:r>
      <w:r>
        <w:fldChar w:fldCharType="end"/>
      </w:r>
      <w:r w:rsidRPr="00F01631">
        <w:rPr>
          <w:sz w:val="24"/>
          <w:lang w:val="el-GR"/>
        </w:rPr>
        <w:t>.</w:t>
      </w:r>
    </w:p>
  </w:footnote>
  <w:footnote w:id="204">
    <w:p w14:paraId="562B249B" w14:textId="1A576BF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205">
    <w:p w14:paraId="50282E84" w14:textId="1D8616B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206">
    <w:p w14:paraId="308D607C" w14:textId="7277AC6A"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207">
    <w:p w14:paraId="3ABB496B" w14:textId="68FB2C7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208">
    <w:p w14:paraId="3DFC5594" w14:textId="4470A281"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209">
    <w:p w14:paraId="146BE217" w14:textId="588AB5E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376 της 27.12.2006, σ. 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/2006/1920/</w:instrText>
      </w:r>
      <w:r>
        <w:instrText>oj</w:instrText>
      </w:r>
      <w:r w:rsidRPr="00B7621E">
        <w:rPr>
          <w:lang w:val="el-GR"/>
        </w:rPr>
        <w:instrText>"</w:instrText>
      </w:r>
      <w:r>
        <w:fldChar w:fldCharType="separate"/>
      </w:r>
      <w:r w:rsidRPr="00F01631">
        <w:rPr>
          <w:rStyle w:val="Hyperlink"/>
          <w:sz w:val="24"/>
          <w:lang w:val="el-GR"/>
        </w:rPr>
        <w:t>https://data.europa.eu/eli/reg/2006/1920/oj</w:t>
      </w:r>
      <w:r>
        <w:fldChar w:fldCharType="end"/>
      </w:r>
      <w:r w:rsidRPr="00F01631">
        <w:rPr>
          <w:sz w:val="24"/>
          <w:lang w:val="el-GR"/>
        </w:rPr>
        <w:t>.</w:t>
      </w:r>
    </w:p>
  </w:footnote>
  <w:footnote w:id="210">
    <w:p w14:paraId="09CD3F3C" w14:textId="580D7A6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166 της 30.6.2023, σ. 6,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/2023/1322/</w:instrText>
      </w:r>
      <w:r>
        <w:instrText>oj</w:instrText>
      </w:r>
      <w:r w:rsidRPr="00B7621E">
        <w:rPr>
          <w:lang w:val="el-GR"/>
        </w:rPr>
        <w:instrText>"</w:instrText>
      </w:r>
      <w:r>
        <w:fldChar w:fldCharType="separate"/>
      </w:r>
      <w:r w:rsidRPr="00F01631">
        <w:rPr>
          <w:rStyle w:val="Hyperlink"/>
          <w:sz w:val="24"/>
          <w:lang w:val="el-GR"/>
        </w:rPr>
        <w:t>https://data.europa.eu/eli/reg/2023/1322/oj</w:t>
      </w:r>
      <w:r>
        <w:fldChar w:fldCharType="end"/>
      </w:r>
      <w:r w:rsidRPr="00F01631">
        <w:rPr>
          <w:sz w:val="24"/>
          <w:lang w:val="el-GR"/>
        </w:rPr>
        <w:t>.</w:t>
      </w:r>
    </w:p>
  </w:footnote>
  <w:footnote w:id="211">
    <w:p w14:paraId="21FFA116" w14:textId="60B4030F"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212">
    <w:p w14:paraId="66D39CFC" w14:textId="6F9B7E4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213">
    <w:p w14:paraId="5F3A6123" w14:textId="5847A58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214">
    <w:p w14:paraId="5DAD63A4" w14:textId="1613083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215">
    <w:p w14:paraId="5FD461F1" w14:textId="52033C90"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216">
    <w:p w14:paraId="71BE52CF" w14:textId="23E6944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376 της 27.12.2006, σ. 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/2006/1920/</w:instrText>
      </w:r>
      <w:r>
        <w:instrText>oj</w:instrText>
      </w:r>
      <w:r w:rsidRPr="00B7621E">
        <w:rPr>
          <w:lang w:val="el-GR"/>
        </w:rPr>
        <w:instrText>"</w:instrText>
      </w:r>
      <w:r>
        <w:fldChar w:fldCharType="separate"/>
      </w:r>
      <w:r w:rsidRPr="00F01631">
        <w:rPr>
          <w:rStyle w:val="Hyperlink"/>
          <w:sz w:val="24"/>
          <w:lang w:val="el-GR"/>
        </w:rPr>
        <w:t>https://data.europa.eu/eli/reg/2006/1920/oj</w:t>
      </w:r>
      <w:r>
        <w:fldChar w:fldCharType="end"/>
      </w:r>
      <w:r w:rsidRPr="00F01631">
        <w:rPr>
          <w:sz w:val="24"/>
          <w:lang w:val="el-GR"/>
        </w:rPr>
        <w:t>.</w:t>
      </w:r>
    </w:p>
  </w:footnote>
  <w:footnote w:id="217">
    <w:p w14:paraId="2D7BBD7F" w14:textId="787854C6"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166 της 30.6.2023, σ. 6,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/2023/1322/</w:instrText>
      </w:r>
      <w:r>
        <w:instrText>oj</w:instrText>
      </w:r>
      <w:r w:rsidRPr="00B7621E">
        <w:rPr>
          <w:lang w:val="el-GR"/>
        </w:rPr>
        <w:instrText>"</w:instrText>
      </w:r>
      <w:r>
        <w:fldChar w:fldCharType="separate"/>
      </w:r>
      <w:r w:rsidRPr="00F01631">
        <w:rPr>
          <w:rStyle w:val="Hyperlink"/>
          <w:sz w:val="24"/>
          <w:lang w:val="el-GR"/>
        </w:rPr>
        <w:t>https://data.europa.eu/eli/reg/2023/1322/oj</w:t>
      </w:r>
      <w:r>
        <w:fldChar w:fldCharType="end"/>
      </w:r>
      <w:r w:rsidRPr="00F01631">
        <w:rPr>
          <w:sz w:val="24"/>
          <w:lang w:val="el-GR"/>
        </w:rPr>
        <w:t>.</w:t>
      </w:r>
    </w:p>
  </w:footnote>
  <w:footnote w:id="218">
    <w:p w14:paraId="7F2172FF" w14:textId="081B292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219">
    <w:p w14:paraId="414593E0" w14:textId="65D9B9CF"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220">
    <w:p w14:paraId="2546E04D" w14:textId="5384D12A"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221">
    <w:p w14:paraId="2B17C157" w14:textId="498F8A16"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222">
    <w:p w14:paraId="4960F880" w14:textId="146CEBF6"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223">
    <w:p w14:paraId="282A34CC" w14:textId="532FCFA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208 της 5.8.2002, σ. 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/2002/1406/</w:instrText>
      </w:r>
      <w:r>
        <w:instrText>oj</w:instrText>
      </w:r>
      <w:r w:rsidRPr="00B7621E">
        <w:rPr>
          <w:lang w:val="el-GR"/>
        </w:rPr>
        <w:instrText>"</w:instrText>
      </w:r>
      <w:r>
        <w:fldChar w:fldCharType="separate"/>
      </w:r>
      <w:r w:rsidRPr="00F01631">
        <w:rPr>
          <w:rStyle w:val="Hyperlink"/>
          <w:sz w:val="24"/>
          <w:lang w:val="el-GR"/>
        </w:rPr>
        <w:t>https://data.europa.eu/eli/reg/2002/1406/oj</w:t>
      </w:r>
      <w:r>
        <w:fldChar w:fldCharType="end"/>
      </w:r>
      <w:r w:rsidRPr="00F01631">
        <w:rPr>
          <w:sz w:val="24"/>
          <w:lang w:val="el-GR"/>
        </w:rPr>
        <w:t>.</w:t>
      </w:r>
    </w:p>
  </w:footnote>
  <w:footnote w:id="224">
    <w:p w14:paraId="763837F8" w14:textId="35FBC5D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225">
    <w:p w14:paraId="65C81855" w14:textId="3687E69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226">
    <w:p w14:paraId="485A5CCE" w14:textId="17C563F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227">
    <w:p w14:paraId="4DA72234" w14:textId="12B1371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228">
    <w:p w14:paraId="1FD7F6CA" w14:textId="26EAD7C6"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229">
    <w:p w14:paraId="3B236B51" w14:textId="4B3AA02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208 της 5.8.2002, σ. 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/2002/1406/</w:instrText>
      </w:r>
      <w:r>
        <w:instrText>oj</w:instrText>
      </w:r>
      <w:r w:rsidRPr="00B7621E">
        <w:rPr>
          <w:lang w:val="el-GR"/>
        </w:rPr>
        <w:instrText>"</w:instrText>
      </w:r>
      <w:r>
        <w:fldChar w:fldCharType="separate"/>
      </w:r>
      <w:r w:rsidRPr="00F01631">
        <w:rPr>
          <w:rStyle w:val="Hyperlink"/>
          <w:sz w:val="24"/>
          <w:lang w:val="el-GR"/>
        </w:rPr>
        <w:t>https://data.europa.eu/eli/reg/2002/1406/oj</w:t>
      </w:r>
      <w:r>
        <w:fldChar w:fldCharType="end"/>
      </w:r>
      <w:r w:rsidRPr="00F01631">
        <w:rPr>
          <w:sz w:val="24"/>
          <w:lang w:val="el-GR"/>
        </w:rPr>
        <w:t>.</w:t>
      </w:r>
    </w:p>
  </w:footnote>
  <w:footnote w:id="230">
    <w:p w14:paraId="58D8C449" w14:textId="752B637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231">
    <w:p w14:paraId="0EEF17C3" w14:textId="4A53DCA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232">
    <w:p w14:paraId="056F5542" w14:textId="2C91150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233">
    <w:p w14:paraId="1B26680C" w14:textId="5B9A1AAA"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234">
    <w:p w14:paraId="2B724823" w14:textId="377A716B"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235">
    <w:p w14:paraId="5A462DE5" w14:textId="26DF67D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151 της 7.6.2019, σ. 15,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/2019/881/</w:instrText>
      </w:r>
      <w:r>
        <w:instrText>oj</w:instrText>
      </w:r>
      <w:r w:rsidRPr="00B7621E">
        <w:rPr>
          <w:lang w:val="el-GR"/>
        </w:rPr>
        <w:instrText>"</w:instrText>
      </w:r>
      <w:r>
        <w:fldChar w:fldCharType="separate"/>
      </w:r>
      <w:r w:rsidRPr="00F01631">
        <w:rPr>
          <w:rStyle w:val="Hyperlink"/>
          <w:sz w:val="24"/>
          <w:lang w:val="el-GR"/>
        </w:rPr>
        <w:t>https://data.europa.eu/eli/reg/2019/881/oj</w:t>
      </w:r>
      <w:r>
        <w:fldChar w:fldCharType="end"/>
      </w:r>
      <w:r w:rsidRPr="00F01631">
        <w:rPr>
          <w:sz w:val="24"/>
          <w:lang w:val="el-GR"/>
        </w:rPr>
        <w:t>.</w:t>
      </w:r>
    </w:p>
  </w:footnote>
  <w:footnote w:id="236">
    <w:p w14:paraId="515B9976" w14:textId="107DBAB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237">
    <w:p w14:paraId="421B1397" w14:textId="521AE0E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238">
    <w:p w14:paraId="23CB6BE3" w14:textId="52B860F0"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239">
    <w:p w14:paraId="4DF6A9BF" w14:textId="509F96FA"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240">
    <w:p w14:paraId="0ADAECC4" w14:textId="1012A290"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241">
    <w:p w14:paraId="0BB9CFA8" w14:textId="6CA55953"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151 της 7.6.2019, σ. 15,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/2019/881/</w:instrText>
      </w:r>
      <w:r>
        <w:instrText>oj</w:instrText>
      </w:r>
      <w:r w:rsidRPr="00B7621E">
        <w:rPr>
          <w:lang w:val="el-GR"/>
        </w:rPr>
        <w:instrText>"</w:instrText>
      </w:r>
      <w:r>
        <w:fldChar w:fldCharType="separate"/>
      </w:r>
      <w:r w:rsidRPr="00F01631">
        <w:rPr>
          <w:rStyle w:val="Hyperlink"/>
          <w:sz w:val="24"/>
          <w:lang w:val="el-GR"/>
        </w:rPr>
        <w:t>https://data.europa.eu/eli/reg/2019/881/oj</w:t>
      </w:r>
      <w:r>
        <w:fldChar w:fldCharType="end"/>
      </w:r>
      <w:r w:rsidRPr="00F01631">
        <w:rPr>
          <w:sz w:val="24"/>
          <w:lang w:val="el-GR"/>
        </w:rPr>
        <w:t>.</w:t>
      </w:r>
    </w:p>
  </w:footnote>
  <w:footnote w:id="242">
    <w:p w14:paraId="72601933" w14:textId="2974713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243">
    <w:p w14:paraId="6BB3AA11" w14:textId="2820D4E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244">
    <w:p w14:paraId="669047C8" w14:textId="5FBF479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245">
    <w:p w14:paraId="481EBC5E" w14:textId="49CB3616"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246">
    <w:p w14:paraId="5E2D2D86" w14:textId="5DE772F3"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247">
    <w:p w14:paraId="0638638C" w14:textId="0B6E298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138 της 26.5.2016, σ. 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/2016/796/</w:instrText>
      </w:r>
      <w:r>
        <w:instrText>oj</w:instrText>
      </w:r>
      <w:r w:rsidRPr="00B7621E">
        <w:rPr>
          <w:lang w:val="el-GR"/>
        </w:rPr>
        <w:instrText>"</w:instrText>
      </w:r>
      <w:r>
        <w:fldChar w:fldCharType="separate"/>
      </w:r>
      <w:r w:rsidRPr="00F01631">
        <w:rPr>
          <w:rStyle w:val="Hyperlink"/>
          <w:sz w:val="24"/>
          <w:lang w:val="el-GR"/>
        </w:rPr>
        <w:t>https://data.europa.eu/eli/reg/2016/796/oj</w:t>
      </w:r>
      <w:r>
        <w:fldChar w:fldCharType="end"/>
      </w:r>
      <w:r w:rsidRPr="00F01631">
        <w:rPr>
          <w:sz w:val="24"/>
          <w:lang w:val="el-GR"/>
        </w:rPr>
        <w:t>.</w:t>
      </w:r>
    </w:p>
  </w:footnote>
  <w:footnote w:id="248">
    <w:p w14:paraId="3C4F9A9F" w14:textId="1526E3A8"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249">
    <w:p w14:paraId="54EB9868" w14:textId="474BAA7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250">
    <w:p w14:paraId="6D42B508" w14:textId="34D5E18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251">
    <w:p w14:paraId="3327D949" w14:textId="2B5BBDF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252">
    <w:p w14:paraId="1AC79638" w14:textId="72AA999A"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253">
    <w:p w14:paraId="75DAADDE" w14:textId="1F2D260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138 της 26.5.2016, σ. 1,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/2016/796/</w:instrText>
      </w:r>
      <w:r>
        <w:instrText>oj</w:instrText>
      </w:r>
      <w:r w:rsidRPr="00B7621E">
        <w:rPr>
          <w:lang w:val="el-GR"/>
        </w:rPr>
        <w:instrText>"</w:instrText>
      </w:r>
      <w:r>
        <w:fldChar w:fldCharType="separate"/>
      </w:r>
      <w:r w:rsidRPr="00F01631">
        <w:rPr>
          <w:rStyle w:val="Hyperlink"/>
          <w:sz w:val="24"/>
          <w:lang w:val="el-GR"/>
        </w:rPr>
        <w:t>https://data.europa.eu/eli/reg/2016/796/oj</w:t>
      </w:r>
      <w:r>
        <w:fldChar w:fldCharType="end"/>
      </w:r>
      <w:r w:rsidRPr="00F01631">
        <w:rPr>
          <w:sz w:val="24"/>
          <w:lang w:val="el-GR"/>
        </w:rPr>
        <w:t>.</w:t>
      </w:r>
    </w:p>
  </w:footnote>
  <w:footnote w:id="254">
    <w:p w14:paraId="614D2172" w14:textId="3527B5B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255">
    <w:p w14:paraId="6708FFBB" w14:textId="35E9365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256">
    <w:p w14:paraId="5F47A9A9" w14:textId="5414D47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257">
    <w:p w14:paraId="5B44947B" w14:textId="184A921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258">
    <w:p w14:paraId="71011596" w14:textId="102529AC"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259">
    <w:p w14:paraId="51A612B4" w14:textId="111A5036"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41 της 15.2.2008, σ. 15,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dec</w:instrText>
      </w:r>
      <w:r w:rsidRPr="00B7621E">
        <w:rPr>
          <w:lang w:val="el-GR"/>
        </w:rPr>
        <w:instrText>/2008/114(1)/</w:instrText>
      </w:r>
      <w:r>
        <w:instrText>oj</w:instrText>
      </w:r>
      <w:r w:rsidRPr="00B7621E">
        <w:rPr>
          <w:lang w:val="el-GR"/>
        </w:rPr>
        <w:instrText>"</w:instrText>
      </w:r>
      <w:r>
        <w:fldChar w:fldCharType="separate"/>
      </w:r>
      <w:r w:rsidRPr="00F01631">
        <w:rPr>
          <w:rStyle w:val="Hyperlink"/>
          <w:sz w:val="24"/>
          <w:lang w:val="el-GR"/>
        </w:rPr>
        <w:t>https://data.europa.eu/eli/dec/2008/114(1)/oj</w:t>
      </w:r>
      <w:r>
        <w:fldChar w:fldCharType="end"/>
      </w:r>
      <w:r w:rsidRPr="00F01631">
        <w:rPr>
          <w:sz w:val="24"/>
          <w:lang w:val="el-GR"/>
        </w:rPr>
        <w:t>.</w:t>
      </w:r>
    </w:p>
  </w:footnote>
  <w:footnote w:id="260">
    <w:p w14:paraId="6B285CED" w14:textId="6996940A"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261">
    <w:p w14:paraId="0681F2A0" w14:textId="00DFE77F"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262">
    <w:p w14:paraId="4245A7C9" w14:textId="0DDBB59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263">
    <w:p w14:paraId="0542A4B0" w14:textId="2FC910D6"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264">
    <w:p w14:paraId="68B49F2B" w14:textId="096AFB1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41 της 15.2.2008, σ. 15,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dec</w:instrText>
      </w:r>
      <w:r w:rsidRPr="00B7621E">
        <w:rPr>
          <w:lang w:val="el-GR"/>
        </w:rPr>
        <w:instrText>/2008/114(1)/</w:instrText>
      </w:r>
      <w:r>
        <w:instrText>oj</w:instrText>
      </w:r>
      <w:r w:rsidRPr="00B7621E">
        <w:rPr>
          <w:lang w:val="el-GR"/>
        </w:rPr>
        <w:instrText>"</w:instrText>
      </w:r>
      <w:r>
        <w:fldChar w:fldCharType="separate"/>
      </w:r>
      <w:r w:rsidRPr="00F01631">
        <w:rPr>
          <w:rStyle w:val="Hyperlink"/>
          <w:sz w:val="24"/>
          <w:lang w:val="el-GR"/>
        </w:rPr>
        <w:t>https://data.europa.eu/eli/dec/2008/114(1)/oj</w:t>
      </w:r>
      <w:r>
        <w:fldChar w:fldCharType="end"/>
      </w:r>
      <w:r w:rsidRPr="00F01631">
        <w:rPr>
          <w:sz w:val="24"/>
          <w:lang w:val="el-GR"/>
        </w:rPr>
        <w:t>.</w:t>
      </w:r>
    </w:p>
  </w:footnote>
  <w:footnote w:id="265">
    <w:p w14:paraId="744B2D67" w14:textId="3BAF7E70"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266">
    <w:p w14:paraId="0319C122" w14:textId="331F5ED6"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267">
    <w:p w14:paraId="0E12DA72" w14:textId="29AA6FA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268">
    <w:p w14:paraId="0452F786" w14:textId="4A7DCDE8"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269">
    <w:p w14:paraId="7DEE8B52" w14:textId="610961B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331 της 15.12.2010, σ. 84,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/2010/1095/</w:instrText>
      </w:r>
      <w:r>
        <w:instrText>oj</w:instrText>
      </w:r>
      <w:r w:rsidRPr="00B7621E">
        <w:rPr>
          <w:lang w:val="el-GR"/>
        </w:rPr>
        <w:instrText>"</w:instrText>
      </w:r>
      <w:r>
        <w:fldChar w:fldCharType="separate"/>
      </w:r>
      <w:r w:rsidRPr="00F01631">
        <w:rPr>
          <w:rStyle w:val="Hyperlink"/>
          <w:sz w:val="24"/>
          <w:lang w:val="el-GR"/>
        </w:rPr>
        <w:t>https://data.europa.eu/eli/reg/2010/1095/oj</w:t>
      </w:r>
      <w:r>
        <w:fldChar w:fldCharType="end"/>
      </w:r>
      <w:r w:rsidRPr="00F01631">
        <w:rPr>
          <w:sz w:val="24"/>
          <w:lang w:val="el-GR"/>
        </w:rPr>
        <w:t>.</w:t>
      </w:r>
    </w:p>
  </w:footnote>
  <w:footnote w:id="270">
    <w:p w14:paraId="4363B91B" w14:textId="143149F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271">
    <w:p w14:paraId="63C1256F" w14:textId="73928C9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272">
    <w:p w14:paraId="03C6115C" w14:textId="44BB987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273">
    <w:p w14:paraId="60949777" w14:textId="74AE02B3"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274">
    <w:p w14:paraId="3F838E0B" w14:textId="793A740F"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275">
    <w:p w14:paraId="34ECFF5C" w14:textId="3490659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331 της 15.12.2010, σ. 84,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/2010/1095/</w:instrText>
      </w:r>
      <w:r>
        <w:instrText>oj</w:instrText>
      </w:r>
      <w:r w:rsidRPr="00B7621E">
        <w:rPr>
          <w:lang w:val="el-GR"/>
        </w:rPr>
        <w:instrText>"</w:instrText>
      </w:r>
      <w:r>
        <w:fldChar w:fldCharType="separate"/>
      </w:r>
      <w:r w:rsidRPr="00F01631">
        <w:rPr>
          <w:rStyle w:val="Hyperlink"/>
          <w:sz w:val="24"/>
          <w:lang w:val="el-GR"/>
        </w:rPr>
        <w:t>https://data.europa.eu/eli/reg/2010/1095/oj</w:t>
      </w:r>
      <w:r>
        <w:fldChar w:fldCharType="end"/>
      </w:r>
      <w:r w:rsidRPr="00F01631">
        <w:rPr>
          <w:sz w:val="24"/>
          <w:lang w:val="el-GR"/>
        </w:rPr>
        <w:t>.</w:t>
      </w:r>
    </w:p>
  </w:footnote>
  <w:footnote w:id="276">
    <w:p w14:paraId="030D2B37" w14:textId="2DCB0F7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277">
    <w:p w14:paraId="2B3F98B3" w14:textId="239EC27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278">
    <w:p w14:paraId="41D1DBF4" w14:textId="3552CACF"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279">
    <w:p w14:paraId="2AEFF0B7" w14:textId="507EC21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280">
    <w:p w14:paraId="51F2647C" w14:textId="39B23B20"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281">
    <w:p w14:paraId="5B05D83D" w14:textId="5E0358B0"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354 της 31.12.2008, σ. 82,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/2008/1339"</w:instrText>
      </w:r>
      <w:r>
        <w:fldChar w:fldCharType="separate"/>
      </w:r>
      <w:r w:rsidRPr="00F01631">
        <w:rPr>
          <w:rStyle w:val="Hyperlink"/>
          <w:sz w:val="24"/>
          <w:lang w:val="el-GR"/>
        </w:rPr>
        <w:t>https://data.europa.eu/eli/reg/2008/1339</w:t>
      </w:r>
      <w:r>
        <w:fldChar w:fldCharType="end"/>
      </w:r>
      <w:r w:rsidRPr="00F01631">
        <w:rPr>
          <w:sz w:val="24"/>
          <w:lang w:val="el-GR"/>
        </w:rPr>
        <w:t>.</w:t>
      </w:r>
    </w:p>
  </w:footnote>
  <w:footnote w:id="282">
    <w:p w14:paraId="0A458B48" w14:textId="146D6ED8"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283">
    <w:p w14:paraId="28FD0AF2" w14:textId="4EBCBF7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284">
    <w:p w14:paraId="0E99ABD3" w14:textId="67A35B9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285">
    <w:p w14:paraId="38618330" w14:textId="3EB6B5F0"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286">
    <w:p w14:paraId="0FF2917F" w14:textId="1B1B9081"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287">
    <w:p w14:paraId="67C46C6F" w14:textId="383BCCCF"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354 της 31.12.2008, σ. 82, ELI: </w:t>
      </w:r>
      <w:r>
        <w:fldChar w:fldCharType="begin"/>
      </w:r>
      <w:r>
        <w:instrText>HYPERLINK</w:instrText>
      </w:r>
      <w:r w:rsidRPr="00B7621E">
        <w:rPr>
          <w:lang w:val="el-GR"/>
        </w:rPr>
        <w:instrText xml:space="preserve"> "</w:instrText>
      </w:r>
      <w:r>
        <w:instrText>https</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/2008/1339"</w:instrText>
      </w:r>
      <w:r>
        <w:fldChar w:fldCharType="separate"/>
      </w:r>
      <w:r w:rsidRPr="00F01631">
        <w:rPr>
          <w:rStyle w:val="Hyperlink"/>
          <w:sz w:val="24"/>
          <w:lang w:val="el-GR"/>
        </w:rPr>
        <w:t>https://data.europa.eu/eli/reg/2008/1339</w:t>
      </w:r>
      <w:r>
        <w:fldChar w:fldCharType="end"/>
      </w:r>
      <w:r w:rsidRPr="00F01631">
        <w:rPr>
          <w:sz w:val="24"/>
          <w:lang w:val="el-GR"/>
        </w:rPr>
        <w:t>.</w:t>
      </w:r>
    </w:p>
  </w:footnote>
  <w:footnote w:id="288">
    <w:p w14:paraId="7580BA1C" w14:textId="7ABD17B8"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289">
    <w:p w14:paraId="6670B191" w14:textId="2A4F8B00"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290">
    <w:p w14:paraId="0C58E903" w14:textId="243349DE"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291">
    <w:p w14:paraId="49EFC9B1" w14:textId="25CA8DC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292">
    <w:p w14:paraId="0F196E96" w14:textId="73F5E786"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293">
    <w:p w14:paraId="5DB41774" w14:textId="4920467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468 της 30.12.2021,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/2021/2303/</w:instrText>
      </w:r>
      <w:r>
        <w:instrText>oj</w:instrText>
      </w:r>
      <w:r w:rsidRPr="00B7621E">
        <w:rPr>
          <w:lang w:val="el-GR"/>
        </w:rPr>
        <w:instrText>"</w:instrText>
      </w:r>
      <w:r>
        <w:fldChar w:fldCharType="separate"/>
      </w:r>
      <w:r w:rsidRPr="00F01631">
        <w:rPr>
          <w:rStyle w:val="Hyperlink"/>
          <w:sz w:val="24"/>
          <w:lang w:val="el-GR"/>
        </w:rPr>
        <w:t>http://data.europa.eu/eli/reg/2021/2303/oj</w:t>
      </w:r>
      <w:r>
        <w:fldChar w:fldCharType="end"/>
      </w:r>
      <w:r w:rsidRPr="00F01631">
        <w:rPr>
          <w:sz w:val="24"/>
          <w:lang w:val="el-GR"/>
        </w:rPr>
        <w:t>.</w:t>
      </w:r>
    </w:p>
  </w:footnote>
  <w:footnote w:id="294">
    <w:p w14:paraId="60F4A85C" w14:textId="2237911E"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295">
    <w:p w14:paraId="24EBCEDB" w14:textId="3D5ADE4F"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296">
    <w:p w14:paraId="056B5D96" w14:textId="05CF3768"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297">
    <w:p w14:paraId="02F1F58C" w14:textId="24EEB27A"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298">
    <w:p w14:paraId="1765BC3A" w14:textId="5AED23FE"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299">
    <w:p w14:paraId="34F2B1AC" w14:textId="7E727DBA"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468 της 30.12.2021,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/2021/2303/</w:instrText>
      </w:r>
      <w:r>
        <w:instrText>oj</w:instrText>
      </w:r>
      <w:r w:rsidRPr="00B7621E">
        <w:rPr>
          <w:lang w:val="el-GR"/>
        </w:rPr>
        <w:instrText>"</w:instrText>
      </w:r>
      <w:r>
        <w:fldChar w:fldCharType="separate"/>
      </w:r>
      <w:r w:rsidRPr="00F01631">
        <w:rPr>
          <w:rStyle w:val="Hyperlink"/>
          <w:sz w:val="24"/>
          <w:lang w:val="el-GR"/>
        </w:rPr>
        <w:t>http://data.europa.eu/eli/reg/2021/2303/oj</w:t>
      </w:r>
      <w:r>
        <w:fldChar w:fldCharType="end"/>
      </w:r>
      <w:r w:rsidRPr="00F01631">
        <w:rPr>
          <w:sz w:val="24"/>
          <w:lang w:val="el-GR"/>
        </w:rPr>
        <w:t>.</w:t>
      </w:r>
    </w:p>
  </w:footnote>
  <w:footnote w:id="300">
    <w:p w14:paraId="5D96F198" w14:textId="2F69398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301">
    <w:p w14:paraId="02BF3375" w14:textId="6DE1254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302">
    <w:p w14:paraId="7C25BDCE" w14:textId="6EA292E6"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303">
    <w:p w14:paraId="4EEF91C8" w14:textId="4B7C9F80"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304">
    <w:p w14:paraId="57B87F7F" w14:textId="04BB9EDD"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305">
    <w:p w14:paraId="5BFFFCCF" w14:textId="09F5554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295 της 21.11.2018, σ. 99,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/2018/1726/</w:instrText>
      </w:r>
      <w:r>
        <w:instrText>oj</w:instrText>
      </w:r>
      <w:r w:rsidRPr="00B7621E">
        <w:rPr>
          <w:lang w:val="el-GR"/>
        </w:rPr>
        <w:instrText>"</w:instrText>
      </w:r>
      <w:r>
        <w:fldChar w:fldCharType="separate"/>
      </w:r>
      <w:r w:rsidRPr="00F01631">
        <w:rPr>
          <w:rStyle w:val="Hyperlink"/>
          <w:sz w:val="24"/>
          <w:lang w:val="el-GR"/>
        </w:rPr>
        <w:t>http://data.europa.eu/eli/reg/2018/1726/oj</w:t>
      </w:r>
      <w:r>
        <w:fldChar w:fldCharType="end"/>
      </w:r>
      <w:r w:rsidRPr="00F01631">
        <w:rPr>
          <w:sz w:val="24"/>
          <w:lang w:val="el-GR"/>
        </w:rPr>
        <w:t>.</w:t>
      </w:r>
    </w:p>
  </w:footnote>
  <w:footnote w:id="306">
    <w:p w14:paraId="06926A98" w14:textId="5A43A5A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307">
    <w:p w14:paraId="3A0FF115" w14:textId="13B4987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308">
    <w:p w14:paraId="10A07E62" w14:textId="748F5BB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309">
    <w:p w14:paraId="781D4193" w14:textId="7489C52F"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310">
    <w:p w14:paraId="1569ABA7" w14:textId="5BBB0B76"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311">
    <w:p w14:paraId="11EAD3E7" w14:textId="258A5DD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295 της 21.11.2018, σ. 99,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/2018/1726/</w:instrText>
      </w:r>
      <w:r>
        <w:instrText>oj</w:instrText>
      </w:r>
      <w:r w:rsidRPr="00B7621E">
        <w:rPr>
          <w:lang w:val="el-GR"/>
        </w:rPr>
        <w:instrText>"</w:instrText>
      </w:r>
      <w:r>
        <w:fldChar w:fldCharType="separate"/>
      </w:r>
      <w:r w:rsidRPr="00F01631">
        <w:rPr>
          <w:rStyle w:val="Hyperlink"/>
          <w:sz w:val="24"/>
          <w:lang w:val="el-GR"/>
        </w:rPr>
        <w:t>http://data.europa.eu/eli/reg/2018/1726/oj</w:t>
      </w:r>
      <w:r>
        <w:fldChar w:fldCharType="end"/>
      </w:r>
      <w:r w:rsidRPr="00F01631">
        <w:rPr>
          <w:sz w:val="24"/>
          <w:lang w:val="el-GR"/>
        </w:rPr>
        <w:t>.</w:t>
      </w:r>
    </w:p>
  </w:footnote>
  <w:footnote w:id="312">
    <w:p w14:paraId="78CFFB2A" w14:textId="12105FC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313">
    <w:p w14:paraId="5DE36794" w14:textId="1EC2088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314">
    <w:p w14:paraId="78097333" w14:textId="19238F63"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315">
    <w:p w14:paraId="1D9574F3" w14:textId="7B3CF91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316">
    <w:p w14:paraId="09B446DA" w14:textId="47E70EAD"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317">
    <w:p w14:paraId="640ED1FD" w14:textId="449DECFE"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30 της 31.1.2019, σ. 58,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/2019/126/</w:instrText>
      </w:r>
      <w:r>
        <w:instrText>oj</w:instrText>
      </w:r>
      <w:r w:rsidRPr="00B7621E">
        <w:rPr>
          <w:lang w:val="el-GR"/>
        </w:rPr>
        <w:instrText>"</w:instrText>
      </w:r>
      <w:r>
        <w:fldChar w:fldCharType="separate"/>
      </w:r>
      <w:r w:rsidRPr="00F01631">
        <w:rPr>
          <w:rStyle w:val="Hyperlink"/>
          <w:sz w:val="24"/>
          <w:lang w:val="el-GR"/>
        </w:rPr>
        <w:t>http://data.europa.eu/eli/reg/2019/126/oj</w:t>
      </w:r>
      <w:r>
        <w:fldChar w:fldCharType="end"/>
      </w:r>
      <w:r w:rsidRPr="00F01631">
        <w:rPr>
          <w:sz w:val="24"/>
          <w:lang w:val="el-GR"/>
        </w:rPr>
        <w:t>.</w:t>
      </w:r>
    </w:p>
  </w:footnote>
  <w:footnote w:id="318">
    <w:p w14:paraId="279ACAFA" w14:textId="5B38A75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319">
    <w:p w14:paraId="78699A28" w14:textId="6A2D2878"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320">
    <w:p w14:paraId="064BD95C" w14:textId="73C670E8"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321">
    <w:p w14:paraId="26DE5665" w14:textId="5810C990"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322">
    <w:p w14:paraId="3AA52E78" w14:textId="1EE6CD19"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323">
    <w:p w14:paraId="6DF479E6" w14:textId="2081681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30 της 31.1.2019, σ. 58,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/2019/126/</w:instrText>
      </w:r>
      <w:r>
        <w:instrText>oj</w:instrText>
      </w:r>
      <w:r w:rsidRPr="00B7621E">
        <w:rPr>
          <w:lang w:val="el-GR"/>
        </w:rPr>
        <w:instrText>"</w:instrText>
      </w:r>
      <w:r>
        <w:fldChar w:fldCharType="separate"/>
      </w:r>
      <w:r w:rsidRPr="00F01631">
        <w:rPr>
          <w:rStyle w:val="Hyperlink"/>
          <w:sz w:val="24"/>
          <w:lang w:val="el-GR"/>
        </w:rPr>
        <w:t>http://data.europa.eu/eli/reg/2019/126/oj</w:t>
      </w:r>
      <w:r>
        <w:fldChar w:fldCharType="end"/>
      </w:r>
      <w:r w:rsidRPr="00F01631">
        <w:rPr>
          <w:sz w:val="24"/>
          <w:lang w:val="el-GR"/>
        </w:rPr>
        <w:t>.</w:t>
      </w:r>
    </w:p>
  </w:footnote>
  <w:footnote w:id="324">
    <w:p w14:paraId="56F55142" w14:textId="312ABDA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325">
    <w:p w14:paraId="1C3B2F9D" w14:textId="7C917C7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326">
    <w:p w14:paraId="259E5D53" w14:textId="0B7DAC1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327">
    <w:p w14:paraId="476EF0F9" w14:textId="1AD5461E"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328">
    <w:p w14:paraId="061F66AA" w14:textId="559672F6"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329">
    <w:p w14:paraId="7DB231F0" w14:textId="6BC0956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30 της 31.1.2019, σ. 74,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/2019/127/</w:instrText>
      </w:r>
      <w:r>
        <w:instrText>oj</w:instrText>
      </w:r>
      <w:r w:rsidRPr="00B7621E">
        <w:rPr>
          <w:lang w:val="el-GR"/>
        </w:rPr>
        <w:instrText>"</w:instrText>
      </w:r>
      <w:r>
        <w:fldChar w:fldCharType="separate"/>
      </w:r>
      <w:r w:rsidRPr="00F01631">
        <w:rPr>
          <w:rStyle w:val="Hyperlink"/>
          <w:sz w:val="24"/>
          <w:lang w:val="el-GR"/>
        </w:rPr>
        <w:t>http://data.europa.eu/eli/reg/2019/127/oj</w:t>
      </w:r>
      <w:r>
        <w:fldChar w:fldCharType="end"/>
      </w:r>
      <w:r w:rsidRPr="00F01631">
        <w:rPr>
          <w:sz w:val="24"/>
          <w:lang w:val="el-GR"/>
        </w:rPr>
        <w:t>.</w:t>
      </w:r>
    </w:p>
  </w:footnote>
  <w:footnote w:id="330">
    <w:p w14:paraId="3832CE82" w14:textId="6F5FEFE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331">
    <w:p w14:paraId="102910B2" w14:textId="01DE011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332">
    <w:p w14:paraId="12722A60" w14:textId="74B2F75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333">
    <w:p w14:paraId="40D050B5" w14:textId="34130B70"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334">
    <w:p w14:paraId="12B51390" w14:textId="18440AED"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335">
    <w:p w14:paraId="47BC2CB1" w14:textId="76198D7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30 της 31.1.2019, σ. 74,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/2019/127/</w:instrText>
      </w:r>
      <w:r>
        <w:instrText>oj</w:instrText>
      </w:r>
      <w:r w:rsidRPr="00B7621E">
        <w:rPr>
          <w:lang w:val="el-GR"/>
        </w:rPr>
        <w:instrText>"</w:instrText>
      </w:r>
      <w:r>
        <w:fldChar w:fldCharType="separate"/>
      </w:r>
      <w:r w:rsidRPr="00F01631">
        <w:rPr>
          <w:rStyle w:val="Hyperlink"/>
          <w:sz w:val="24"/>
          <w:lang w:val="el-GR"/>
        </w:rPr>
        <w:t>http://data.europa.eu/eli/reg/2019/127/oj</w:t>
      </w:r>
      <w:r>
        <w:fldChar w:fldCharType="end"/>
      </w:r>
      <w:r w:rsidRPr="00F01631">
        <w:rPr>
          <w:sz w:val="24"/>
          <w:lang w:val="el-GR"/>
        </w:rPr>
        <w:t>.</w:t>
      </w:r>
    </w:p>
  </w:footnote>
  <w:footnote w:id="336">
    <w:p w14:paraId="190B50AE" w14:textId="2429C97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337">
    <w:p w14:paraId="6222D689" w14:textId="661C739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338">
    <w:p w14:paraId="6D8D2FDE" w14:textId="2EDD6BF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339">
    <w:p w14:paraId="5C723947" w14:textId="5B5871A6"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340">
    <w:p w14:paraId="250C4CB6" w14:textId="781E288B"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341">
    <w:p w14:paraId="63E79584" w14:textId="33E27FEE"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295 της 21.11.2018, σ. 138,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/2018/1727/</w:instrText>
      </w:r>
      <w:r>
        <w:instrText>oj</w:instrText>
      </w:r>
      <w:r w:rsidRPr="00B7621E">
        <w:rPr>
          <w:lang w:val="el-GR"/>
        </w:rPr>
        <w:instrText>"</w:instrText>
      </w:r>
      <w:r>
        <w:fldChar w:fldCharType="separate"/>
      </w:r>
      <w:r w:rsidRPr="00F01631">
        <w:rPr>
          <w:rStyle w:val="Hyperlink"/>
          <w:sz w:val="24"/>
          <w:lang w:val="el-GR"/>
        </w:rPr>
        <w:t>http://data.europa.eu/eli/reg/2018/1727/oj</w:t>
      </w:r>
      <w:r>
        <w:fldChar w:fldCharType="end"/>
      </w:r>
      <w:r w:rsidRPr="00F01631">
        <w:rPr>
          <w:sz w:val="24"/>
          <w:lang w:val="el-GR"/>
        </w:rPr>
        <w:t>.</w:t>
      </w:r>
    </w:p>
  </w:footnote>
  <w:footnote w:id="342">
    <w:p w14:paraId="465FDA05" w14:textId="413C7DD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343">
    <w:p w14:paraId="663BCF53" w14:textId="27EB009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344">
    <w:p w14:paraId="1F8D975E" w14:textId="62A5EFC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345">
    <w:p w14:paraId="15F4C06D" w14:textId="7F03422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346">
    <w:p w14:paraId="6986CFD1" w14:textId="2C8F3F3F"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347">
    <w:p w14:paraId="73DF63EF" w14:textId="235FE82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295 της 21.11.2018, σ. 138,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/2018/1727/</w:instrText>
      </w:r>
      <w:r>
        <w:instrText>oj</w:instrText>
      </w:r>
      <w:r w:rsidRPr="00B7621E">
        <w:rPr>
          <w:lang w:val="el-GR"/>
        </w:rPr>
        <w:instrText>"</w:instrText>
      </w:r>
      <w:r>
        <w:fldChar w:fldCharType="separate"/>
      </w:r>
      <w:r w:rsidRPr="00F01631">
        <w:rPr>
          <w:rStyle w:val="Hyperlink"/>
          <w:sz w:val="24"/>
          <w:lang w:val="el-GR"/>
        </w:rPr>
        <w:t>http://data.europa.eu/eli/reg/2018/1727/oj</w:t>
      </w:r>
      <w:r>
        <w:fldChar w:fldCharType="end"/>
      </w:r>
      <w:r w:rsidRPr="00F01631">
        <w:rPr>
          <w:sz w:val="24"/>
          <w:lang w:val="el-GR"/>
        </w:rPr>
        <w:t>.</w:t>
      </w:r>
    </w:p>
  </w:footnote>
  <w:footnote w:id="348">
    <w:p w14:paraId="5C09ADF3" w14:textId="1E745FE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349">
    <w:p w14:paraId="7A63334B" w14:textId="7A91D0E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350">
    <w:p w14:paraId="4AB3B34A" w14:textId="03949F6F"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351">
    <w:p w14:paraId="6AF1FF36" w14:textId="17BCB98F"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352">
    <w:p w14:paraId="60D8B8F2" w14:textId="33F42BE6"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353">
    <w:p w14:paraId="753BFF57" w14:textId="47DD6C50"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135 της 24.5.2016, σ. 53,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/2016/794/</w:instrText>
      </w:r>
      <w:r>
        <w:instrText>oj</w:instrText>
      </w:r>
      <w:r w:rsidRPr="00B7621E">
        <w:rPr>
          <w:lang w:val="el-GR"/>
        </w:rPr>
        <w:instrText>"</w:instrText>
      </w:r>
      <w:r>
        <w:fldChar w:fldCharType="separate"/>
      </w:r>
      <w:r w:rsidRPr="00F01631">
        <w:rPr>
          <w:rStyle w:val="Hyperlink"/>
          <w:sz w:val="24"/>
          <w:lang w:val="el-GR"/>
        </w:rPr>
        <w:t>http://data.europa.eu/eli/reg/2016/794/oj</w:t>
      </w:r>
      <w:r>
        <w:fldChar w:fldCharType="end"/>
      </w:r>
      <w:r w:rsidRPr="00F01631">
        <w:rPr>
          <w:sz w:val="24"/>
          <w:lang w:val="el-GR"/>
        </w:rPr>
        <w:t>.</w:t>
      </w:r>
    </w:p>
  </w:footnote>
  <w:footnote w:id="354">
    <w:p w14:paraId="19BFAE3C" w14:textId="419865E8"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355">
    <w:p w14:paraId="698BF090" w14:textId="7249FB7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356">
    <w:p w14:paraId="3898AA11" w14:textId="6CD1F2E8"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357">
    <w:p w14:paraId="53C11B47" w14:textId="22843BB0"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358">
    <w:p w14:paraId="3240491D" w14:textId="3A4EC90A"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359">
    <w:p w14:paraId="67419A9A" w14:textId="2FDFDA98"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135 της 24.5.2016, σ. 53,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/2016/794/</w:instrText>
      </w:r>
      <w:r>
        <w:instrText>oj</w:instrText>
      </w:r>
      <w:r w:rsidRPr="00B7621E">
        <w:rPr>
          <w:lang w:val="el-GR"/>
        </w:rPr>
        <w:instrText>"</w:instrText>
      </w:r>
      <w:r>
        <w:fldChar w:fldCharType="separate"/>
      </w:r>
      <w:r w:rsidRPr="00F01631">
        <w:rPr>
          <w:rStyle w:val="Hyperlink"/>
          <w:sz w:val="24"/>
          <w:lang w:val="el-GR"/>
        </w:rPr>
        <w:t>http://data.europa.eu/eli/reg/2016/794/oj</w:t>
      </w:r>
      <w:r>
        <w:fldChar w:fldCharType="end"/>
      </w:r>
      <w:r w:rsidRPr="00F01631">
        <w:rPr>
          <w:sz w:val="24"/>
          <w:lang w:val="el-GR"/>
        </w:rPr>
        <w:t>.</w:t>
      </w:r>
    </w:p>
  </w:footnote>
  <w:footnote w:id="360">
    <w:p w14:paraId="5AD4E135" w14:textId="522E158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361">
    <w:p w14:paraId="33D0913C" w14:textId="4879D29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362">
    <w:p w14:paraId="6360829C" w14:textId="14F2145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363">
    <w:p w14:paraId="087F9662" w14:textId="35004E5F"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364">
    <w:p w14:paraId="21B8DCCF" w14:textId="3295C719"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365">
    <w:p w14:paraId="4BFBB54F" w14:textId="479E301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170 της 12.5.2021, σ. 69,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/2021/696/</w:instrText>
      </w:r>
      <w:r>
        <w:instrText>oj</w:instrText>
      </w:r>
      <w:r w:rsidRPr="00B7621E">
        <w:rPr>
          <w:lang w:val="el-GR"/>
        </w:rPr>
        <w:instrText>"</w:instrText>
      </w:r>
      <w:r>
        <w:fldChar w:fldCharType="separate"/>
      </w:r>
      <w:r w:rsidRPr="00F01631">
        <w:rPr>
          <w:rStyle w:val="Hyperlink"/>
          <w:sz w:val="24"/>
          <w:lang w:val="el-GR"/>
        </w:rPr>
        <w:t>http://data.europa.eu/eli/reg/2021/696/oj</w:t>
      </w:r>
      <w:r>
        <w:fldChar w:fldCharType="end"/>
      </w:r>
      <w:r w:rsidRPr="00F01631">
        <w:rPr>
          <w:sz w:val="24"/>
          <w:lang w:val="el-GR"/>
        </w:rPr>
        <w:t>.</w:t>
      </w:r>
    </w:p>
  </w:footnote>
  <w:footnote w:id="366">
    <w:p w14:paraId="126775D0" w14:textId="57C7D556"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367">
    <w:p w14:paraId="261F656F" w14:textId="18D8B6C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368">
    <w:p w14:paraId="1D8327FF" w14:textId="6C6602B2"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369">
    <w:p w14:paraId="4BA21EDA" w14:textId="6B11157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370">
    <w:p w14:paraId="25867A66" w14:textId="7AF2E70B"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371">
    <w:p w14:paraId="33124F6E" w14:textId="5C837B2A"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170 της 12.5.2021, σ. 69,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/2021/696/</w:instrText>
      </w:r>
      <w:r>
        <w:instrText>oj</w:instrText>
      </w:r>
      <w:r w:rsidRPr="00B7621E">
        <w:rPr>
          <w:lang w:val="el-GR"/>
        </w:rPr>
        <w:instrText>"</w:instrText>
      </w:r>
      <w:r>
        <w:fldChar w:fldCharType="separate"/>
      </w:r>
      <w:r w:rsidRPr="00F01631">
        <w:rPr>
          <w:rStyle w:val="Hyperlink"/>
          <w:sz w:val="24"/>
          <w:lang w:val="el-GR"/>
        </w:rPr>
        <w:t>http://data.europa.eu/eli/reg/2021/696/oj</w:t>
      </w:r>
      <w:r>
        <w:fldChar w:fldCharType="end"/>
      </w:r>
      <w:r w:rsidRPr="00F01631">
        <w:rPr>
          <w:sz w:val="24"/>
          <w:lang w:val="el-GR"/>
        </w:rPr>
        <w:t>.</w:t>
      </w:r>
    </w:p>
  </w:footnote>
  <w:footnote w:id="372">
    <w:p w14:paraId="607E0786" w14:textId="5FD3AC5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373">
    <w:p w14:paraId="5DF39457" w14:textId="5CF8C8A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374">
    <w:p w14:paraId="648EC6B0" w14:textId="32C4B5A6"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375">
    <w:p w14:paraId="54693C28" w14:textId="330054F0"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376">
    <w:p w14:paraId="6435ABC9" w14:textId="47DF0864"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377">
    <w:p w14:paraId="7A0C3561" w14:textId="51069CC0"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53 της 22.2.2007,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/2007/168/</w:instrText>
      </w:r>
      <w:r>
        <w:instrText>oj</w:instrText>
      </w:r>
      <w:r w:rsidRPr="00B7621E">
        <w:rPr>
          <w:lang w:val="el-GR"/>
        </w:rPr>
        <w:instrText>"</w:instrText>
      </w:r>
      <w:r>
        <w:fldChar w:fldCharType="separate"/>
      </w:r>
      <w:r w:rsidRPr="00F01631">
        <w:rPr>
          <w:rStyle w:val="Hyperlink"/>
          <w:sz w:val="24"/>
          <w:lang w:val="el-GR"/>
        </w:rPr>
        <w:t>http://data.europa.eu/eli/reg/2007/168/oj</w:t>
      </w:r>
      <w:r>
        <w:fldChar w:fldCharType="end"/>
      </w:r>
      <w:r w:rsidRPr="00F01631">
        <w:rPr>
          <w:sz w:val="24"/>
          <w:lang w:val="el-GR"/>
        </w:rPr>
        <w:t>.</w:t>
      </w:r>
    </w:p>
  </w:footnote>
  <w:footnote w:id="378">
    <w:p w14:paraId="4168B1A4" w14:textId="4B3681F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379">
    <w:p w14:paraId="6873AD87" w14:textId="2B2A18D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380">
    <w:p w14:paraId="38D502CA" w14:textId="7FBB3C2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381">
    <w:p w14:paraId="5ED8C4B1" w14:textId="2E47C04A"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382">
    <w:p w14:paraId="3CFE94D1" w14:textId="69D48859"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383">
    <w:p w14:paraId="0D9FD997" w14:textId="37D1A07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53 της 22.2.2007,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/2007/168/</w:instrText>
      </w:r>
      <w:r>
        <w:instrText>oj</w:instrText>
      </w:r>
      <w:r w:rsidRPr="00B7621E">
        <w:rPr>
          <w:lang w:val="el-GR"/>
        </w:rPr>
        <w:instrText>"</w:instrText>
      </w:r>
      <w:r>
        <w:fldChar w:fldCharType="separate"/>
      </w:r>
      <w:r w:rsidRPr="00F01631">
        <w:rPr>
          <w:rStyle w:val="Hyperlink"/>
          <w:sz w:val="24"/>
          <w:lang w:val="el-GR"/>
        </w:rPr>
        <w:t>http://data.europa.eu/eli/reg/2007/168/oj</w:t>
      </w:r>
      <w:r>
        <w:fldChar w:fldCharType="end"/>
      </w:r>
      <w:r w:rsidRPr="00F01631">
        <w:rPr>
          <w:sz w:val="24"/>
          <w:lang w:val="el-GR"/>
        </w:rPr>
        <w:t>.</w:t>
      </w:r>
    </w:p>
  </w:footnote>
  <w:footnote w:id="384">
    <w:p w14:paraId="486B2A28" w14:textId="1C0EA83E"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385">
    <w:p w14:paraId="523D1221" w14:textId="1CD9E55E"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386">
    <w:p w14:paraId="0BED4E6A" w14:textId="47983DD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387">
    <w:p w14:paraId="29E5E47E" w14:textId="04AC87B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388">
    <w:p w14:paraId="737B8126" w14:textId="1C843809"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389">
    <w:p w14:paraId="641684AA" w14:textId="408B036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295 της 14.11.2019,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/2019/1896/</w:instrText>
      </w:r>
      <w:r>
        <w:instrText>oj</w:instrText>
      </w:r>
      <w:r w:rsidRPr="00B7621E">
        <w:rPr>
          <w:lang w:val="el-GR"/>
        </w:rPr>
        <w:instrText>"</w:instrText>
      </w:r>
      <w:r>
        <w:fldChar w:fldCharType="separate"/>
      </w:r>
      <w:r w:rsidRPr="00F01631">
        <w:rPr>
          <w:rStyle w:val="Hyperlink"/>
          <w:sz w:val="24"/>
          <w:lang w:val="el-GR"/>
        </w:rPr>
        <w:t>http://data.europa.eu/eli/reg/2019/1896/oj</w:t>
      </w:r>
      <w:r>
        <w:fldChar w:fldCharType="end"/>
      </w:r>
      <w:r w:rsidRPr="00F01631">
        <w:rPr>
          <w:sz w:val="24"/>
          <w:lang w:val="el-GR"/>
        </w:rPr>
        <w:t>.</w:t>
      </w:r>
    </w:p>
  </w:footnote>
  <w:footnote w:id="390">
    <w:p w14:paraId="4EEC6352" w14:textId="14A85D56"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391">
    <w:p w14:paraId="5DAB1A67" w14:textId="7DB424BC"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C/2025/5734, 30.10.2025,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/2025/5734/</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http://data.europa.eu/eli/C/2025/5734/oj</w:t>
      </w:r>
      <w:r>
        <w:fldChar w:fldCharType="end"/>
      </w:r>
      <w:r w:rsidRPr="00F01631">
        <w:rPr>
          <w:sz w:val="24"/>
          <w:lang w:val="el-GR"/>
        </w:rPr>
        <w:t>.</w:t>
      </w:r>
    </w:p>
  </w:footnote>
  <w:footnote w:id="392">
    <w:p w14:paraId="0820C48D" w14:textId="111FA629"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ΕΕ C, C/2025/5407, 13.10.2025,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C</w:instrText>
      </w:r>
      <w:r w:rsidRPr="00B7621E">
        <w:rPr>
          <w:lang w:val="el-GR"/>
        </w:rPr>
        <w:instrText>/2025/5407/</w:instrText>
      </w:r>
      <w:r>
        <w:instrText>oj</w:instrText>
      </w:r>
      <w:r w:rsidRPr="00B7621E">
        <w:rPr>
          <w:lang w:val="el-GR"/>
        </w:rPr>
        <w:instrText>" \</w:instrText>
      </w:r>
      <w:r>
        <w:instrText>t</w:instrText>
      </w:r>
      <w:r w:rsidRPr="00B7621E">
        <w:rPr>
          <w:lang w:val="el-GR"/>
        </w:rPr>
        <w:instrText xml:space="preserve"> "_</w:instrText>
      </w:r>
      <w:r>
        <w:instrText>blank</w:instrText>
      </w:r>
      <w:r w:rsidRPr="00B7621E">
        <w:rPr>
          <w:lang w:val="el-GR"/>
        </w:rPr>
        <w:instrText>" \</w:instrText>
      </w:r>
      <w:r>
        <w:instrText>o</w:instrText>
      </w:r>
      <w:r w:rsidRPr="00B7621E">
        <w:rPr>
          <w:lang w:val="el-GR"/>
        </w:rPr>
        <w:instrText xml:space="preserve"> "Πρόσβαση στο έγγραφο μέσω </w:instrText>
      </w:r>
      <w:r>
        <w:instrText>URI</w:instrText>
      </w:r>
      <w:r w:rsidRPr="00B7621E">
        <w:rPr>
          <w:lang w:val="el-GR"/>
        </w:rPr>
        <w:instrText xml:space="preserve"> τύπου </w:instrText>
      </w:r>
      <w:r>
        <w:instrText>ELI</w:instrText>
      </w:r>
      <w:r w:rsidRPr="00B7621E">
        <w:rPr>
          <w:lang w:val="el-GR"/>
        </w:rPr>
        <w:instrText>."</w:instrText>
      </w:r>
      <w:r>
        <w:fldChar w:fldCharType="separate"/>
      </w:r>
      <w:r w:rsidRPr="00F01631">
        <w:rPr>
          <w:rStyle w:val="Hyperlink"/>
          <w:sz w:val="24"/>
          <w:lang w:val="el-GR"/>
        </w:rPr>
        <w:t>http://data.europa.eu/eli/C/2025/5407/oj</w:t>
      </w:r>
      <w:r>
        <w:fldChar w:fldCharType="end"/>
      </w:r>
      <w:r w:rsidRPr="00F01631">
        <w:rPr>
          <w:sz w:val="24"/>
          <w:lang w:val="el-GR"/>
        </w:rPr>
        <w:t>.</w:t>
      </w:r>
    </w:p>
  </w:footnote>
  <w:footnote w:id="393">
    <w:p w14:paraId="6C21149C" w14:textId="22319066"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193 της 30.7.2018,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/2018/1046/</w:instrText>
      </w:r>
      <w:r>
        <w:instrText>oj</w:instrText>
      </w:r>
      <w:r w:rsidRPr="00B7621E">
        <w:rPr>
          <w:lang w:val="el-GR"/>
        </w:rPr>
        <w:instrText>"</w:instrText>
      </w:r>
      <w:r>
        <w:fldChar w:fldCharType="separate"/>
      </w:r>
      <w:r w:rsidRPr="00F01631">
        <w:rPr>
          <w:rStyle w:val="Hyperlink"/>
          <w:sz w:val="24"/>
          <w:lang w:val="el-GR"/>
        </w:rPr>
        <w:t>http://data.europa.eu/eli/reg/2018/1046/oj</w:t>
      </w:r>
      <w:r>
        <w:fldChar w:fldCharType="end"/>
      </w:r>
      <w:r w:rsidRPr="00F01631">
        <w:rPr>
          <w:sz w:val="24"/>
          <w:lang w:val="el-GR"/>
        </w:rPr>
        <w:t>.</w:t>
      </w:r>
    </w:p>
  </w:footnote>
  <w:footnote w:id="394">
    <w:p w14:paraId="4C209823" w14:textId="5B171E39" w:rsidR="00F026BE" w:rsidRPr="00193D17" w:rsidRDefault="00F026BE" w:rsidP="00F01631">
      <w:pPr>
        <w:pStyle w:val="FootnoteText"/>
        <w:ind w:left="567" w:hanging="567"/>
        <w:rPr>
          <w:sz w:val="24"/>
          <w:lang w:val="fi-FI"/>
        </w:rPr>
      </w:pPr>
      <w:r w:rsidRPr="00F01631">
        <w:rPr>
          <w:rStyle w:val="FootnoteReference"/>
          <w:sz w:val="24"/>
          <w:lang w:val="el-GR"/>
        </w:rPr>
        <w:footnoteRef/>
      </w:r>
      <w:r w:rsidR="00F01631" w:rsidRPr="00193D17">
        <w:rPr>
          <w:sz w:val="24"/>
          <w:lang w:val="fi-FI"/>
        </w:rPr>
        <w:t xml:space="preserve"> </w:t>
      </w:r>
      <w:r w:rsidR="00F01631" w:rsidRPr="00193D17">
        <w:rPr>
          <w:sz w:val="24"/>
          <w:lang w:val="fi-FI"/>
        </w:rPr>
        <w:tab/>
      </w:r>
      <w:r w:rsidRPr="00F01631">
        <w:rPr>
          <w:sz w:val="24"/>
          <w:lang w:val="el-GR"/>
        </w:rPr>
        <w:t>ΕΕ</w:t>
      </w:r>
      <w:r w:rsidRPr="00193D17">
        <w:rPr>
          <w:sz w:val="24"/>
          <w:lang w:val="fi-FI"/>
        </w:rPr>
        <w:t xml:space="preserve"> L, 2024/2509, 26.9.2024, ELI: </w:t>
      </w:r>
      <w:r>
        <w:fldChar w:fldCharType="begin"/>
      </w:r>
      <w:r w:rsidRPr="00B7621E">
        <w:rPr>
          <w:lang w:val="fi-FI"/>
        </w:rPr>
        <w:instrText>HYPERLINK "http://data.europa.eu/eli/reg/2024/2509/oj"</w:instrText>
      </w:r>
      <w:r>
        <w:fldChar w:fldCharType="separate"/>
      </w:r>
      <w:r w:rsidRPr="00193D17">
        <w:rPr>
          <w:rStyle w:val="Hyperlink"/>
          <w:sz w:val="24"/>
          <w:lang w:val="fi-FI"/>
        </w:rPr>
        <w:t>http://data.europa.eu/eli/reg/2024/2509/oj</w:t>
      </w:r>
      <w:r>
        <w:fldChar w:fldCharType="end"/>
      </w:r>
      <w:r w:rsidRPr="00193D17">
        <w:rPr>
          <w:sz w:val="24"/>
          <w:lang w:val="fi-FI"/>
        </w:rPr>
        <w:t>.</w:t>
      </w:r>
    </w:p>
  </w:footnote>
  <w:footnote w:id="395">
    <w:p w14:paraId="19794D1C" w14:textId="78915276"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295 της 14.11.2019,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/2019/1896/</w:instrText>
      </w:r>
      <w:r>
        <w:instrText>oj</w:instrText>
      </w:r>
      <w:r w:rsidRPr="00B7621E">
        <w:rPr>
          <w:lang w:val="el-GR"/>
        </w:rPr>
        <w:instrText>"</w:instrText>
      </w:r>
      <w:r>
        <w:fldChar w:fldCharType="separate"/>
      </w:r>
      <w:r w:rsidRPr="00F01631">
        <w:rPr>
          <w:rStyle w:val="Hyperlink"/>
          <w:sz w:val="24"/>
          <w:lang w:val="el-GR"/>
        </w:rPr>
        <w:t>http://data.europa.eu/eli/reg/2019/1896/oj</w:t>
      </w:r>
      <w:r>
        <w:fldChar w:fldCharType="end"/>
      </w:r>
      <w:r w:rsidRPr="00F01631">
        <w:rPr>
          <w:sz w:val="24"/>
          <w:lang w:val="el-GR"/>
        </w:rPr>
        <w:t>.</w:t>
      </w:r>
    </w:p>
  </w:footnote>
  <w:footnote w:id="396">
    <w:p w14:paraId="5D8FEF35" w14:textId="1A3E990E"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ΕΕ L 122 της 10.5.2019, σ. 1,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_</w:instrText>
      </w:r>
      <w:r>
        <w:instrText>del</w:instrText>
      </w:r>
      <w:r w:rsidRPr="00B7621E">
        <w:rPr>
          <w:lang w:val="el-GR"/>
        </w:rPr>
        <w:instrText>/2019/715/</w:instrText>
      </w:r>
      <w:r>
        <w:instrText>oj</w:instrText>
      </w:r>
      <w:r w:rsidRPr="00B7621E">
        <w:rPr>
          <w:lang w:val="el-GR"/>
        </w:rPr>
        <w:instrText>"</w:instrText>
      </w:r>
      <w:r>
        <w:fldChar w:fldCharType="separate"/>
      </w:r>
      <w:r w:rsidRPr="00F01631">
        <w:rPr>
          <w:rStyle w:val="Hyperlink"/>
          <w:sz w:val="24"/>
          <w:lang w:val="el-GR"/>
        </w:rPr>
        <w:t>http://data.europa.eu/eli/reg_del/2019/715/oj</w:t>
      </w:r>
      <w:r>
        <w:fldChar w:fldCharType="end"/>
      </w:r>
      <w:r w:rsidRPr="00F01631">
        <w:rPr>
          <w:sz w:val="24"/>
          <w:lang w:val="el-GR"/>
        </w:rPr>
        <w:t>.</w:t>
      </w:r>
    </w:p>
  </w:footnote>
  <w:footnote w:id="397">
    <w:p w14:paraId="75D89B64" w14:textId="5C9AA20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Κοινή δήλωση του Ευρωπαϊκού Κοινοβουλίου, του Συμβουλίου της ΕΕ και της Ευρωπαϊκής Επιτροπής για τους αποκεντρωμένους οργανισμούς, του Ιουλίου 2012 (</w:t>
      </w:r>
      <w:r>
        <w:fldChar w:fldCharType="begin"/>
      </w:r>
      <w:r>
        <w:instrText>HYPERLINK</w:instrText>
      </w:r>
      <w:r w:rsidRPr="00B7621E">
        <w:rPr>
          <w:lang w:val="el-GR"/>
        </w:rPr>
        <w:instrText xml:space="preserve"> "</w:instrText>
      </w:r>
      <w:r>
        <w:instrText>https</w:instrText>
      </w:r>
      <w:r w:rsidRPr="00B7621E">
        <w:rPr>
          <w:lang w:val="el-GR"/>
        </w:rPr>
        <w:instrText>://</w:instrText>
      </w:r>
      <w:r>
        <w:instrText>european</w:instrText>
      </w:r>
      <w:r w:rsidRPr="00B7621E">
        <w:rPr>
          <w:lang w:val="el-GR"/>
        </w:rPr>
        <w:instrText>-</w:instrText>
      </w:r>
      <w:r>
        <w:instrText>union</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document</w:instrText>
      </w:r>
      <w:r w:rsidRPr="00B7621E">
        <w:rPr>
          <w:lang w:val="el-GR"/>
        </w:rPr>
        <w:instrText>/</w:instrText>
      </w:r>
      <w:r>
        <w:instrText>download</w:instrText>
      </w:r>
      <w:r w:rsidRPr="00B7621E">
        <w:rPr>
          <w:lang w:val="el-GR"/>
        </w:rPr>
        <w:instrText>/</w:instrText>
      </w:r>
      <w:r>
        <w:instrText>d</w:instrText>
      </w:r>
      <w:r w:rsidRPr="00B7621E">
        <w:rPr>
          <w:lang w:val="el-GR"/>
        </w:rPr>
        <w:instrText>4199</w:instrText>
      </w:r>
      <w:r>
        <w:instrText>ff</w:instrText>
      </w:r>
      <w:r w:rsidRPr="00B7621E">
        <w:rPr>
          <w:lang w:val="el-GR"/>
        </w:rPr>
        <w:instrText>4-1</w:instrText>
      </w:r>
      <w:r>
        <w:instrText>e</w:instrText>
      </w:r>
      <w:r w:rsidRPr="00B7621E">
        <w:rPr>
          <w:lang w:val="el-GR"/>
        </w:rPr>
        <w:instrText>3</w:instrText>
      </w:r>
      <w:r>
        <w:instrText>d</w:instrText>
      </w:r>
      <w:r w:rsidRPr="00B7621E">
        <w:rPr>
          <w:lang w:val="el-GR"/>
        </w:rPr>
        <w:instrText>-45</w:instrText>
      </w:r>
      <w:r>
        <w:instrText>e</w:instrText>
      </w:r>
      <w:r w:rsidRPr="00B7621E">
        <w:rPr>
          <w:lang w:val="el-GR"/>
        </w:rPr>
        <w:instrText>6-</w:instrText>
      </w:r>
      <w:r>
        <w:instrText>af</w:instrText>
      </w:r>
      <w:r w:rsidRPr="00B7621E">
        <w:rPr>
          <w:lang w:val="el-GR"/>
        </w:rPr>
        <w:instrText>7</w:instrText>
      </w:r>
      <w:r>
        <w:instrText>e</w:instrText>
      </w:r>
      <w:r w:rsidRPr="00B7621E">
        <w:rPr>
          <w:lang w:val="el-GR"/>
        </w:rPr>
        <w:instrText>-90</w:instrText>
      </w:r>
      <w:r>
        <w:instrText>cf</w:instrText>
      </w:r>
      <w:r w:rsidRPr="00B7621E">
        <w:rPr>
          <w:lang w:val="el-GR"/>
        </w:rPr>
        <w:instrText>1</w:instrText>
      </w:r>
      <w:r>
        <w:instrText>a</w:instrText>
      </w:r>
      <w:r w:rsidRPr="00B7621E">
        <w:rPr>
          <w:lang w:val="el-GR"/>
        </w:rPr>
        <w:instrText>7</w:instrText>
      </w:r>
      <w:r>
        <w:instrText>b</w:instrText>
      </w:r>
      <w:r w:rsidRPr="00B7621E">
        <w:rPr>
          <w:lang w:val="el-GR"/>
        </w:rPr>
        <w:instrText>10</w:instrText>
      </w:r>
      <w:r>
        <w:instrText>bc</w:instrText>
      </w:r>
      <w:r w:rsidRPr="00B7621E">
        <w:rPr>
          <w:lang w:val="el-GR"/>
        </w:rPr>
        <w:instrText>_</w:instrText>
      </w:r>
      <w:r>
        <w:instrText>en</w:instrText>
      </w:r>
      <w:r w:rsidRPr="00B7621E">
        <w:rPr>
          <w:lang w:val="el-GR"/>
        </w:rPr>
        <w:instrText>?</w:instrText>
      </w:r>
      <w:r>
        <w:instrText>filename</w:instrText>
      </w:r>
      <w:r w:rsidRPr="00B7621E">
        <w:rPr>
          <w:lang w:val="el-GR"/>
        </w:rPr>
        <w:instrText>=</w:instrText>
      </w:r>
      <w:r>
        <w:instrText>joint</w:instrText>
      </w:r>
      <w:r w:rsidRPr="00B7621E">
        <w:rPr>
          <w:lang w:val="el-GR"/>
        </w:rPr>
        <w:instrText>_</w:instrText>
      </w:r>
      <w:r>
        <w:instrText>statement</w:instrText>
      </w:r>
      <w:r w:rsidRPr="00B7621E">
        <w:rPr>
          <w:lang w:val="el-GR"/>
        </w:rPr>
        <w:instrText>_</w:instrText>
      </w:r>
      <w:r>
        <w:instrText>on</w:instrText>
      </w:r>
      <w:r w:rsidRPr="00B7621E">
        <w:rPr>
          <w:lang w:val="el-GR"/>
        </w:rPr>
        <w:instrText>_</w:instrText>
      </w:r>
      <w:r>
        <w:instrText>decentralised</w:instrText>
      </w:r>
      <w:r w:rsidRPr="00B7621E">
        <w:rPr>
          <w:lang w:val="el-GR"/>
        </w:rPr>
        <w:instrText>_</w:instrText>
      </w:r>
      <w:r>
        <w:instrText>agencies</w:instrText>
      </w:r>
      <w:r w:rsidRPr="00B7621E">
        <w:rPr>
          <w:lang w:val="el-GR"/>
        </w:rPr>
        <w:instrText>_</w:instrText>
      </w:r>
      <w:r>
        <w:instrText>en</w:instrText>
      </w:r>
      <w:r w:rsidRPr="00B7621E">
        <w:rPr>
          <w:lang w:val="el-GR"/>
        </w:rPr>
        <w:instrText>.</w:instrText>
      </w:r>
      <w:r>
        <w:instrText>pdf</w:instrText>
      </w:r>
      <w:r w:rsidRPr="00B7621E">
        <w:rPr>
          <w:lang w:val="el-GR"/>
        </w:rPr>
        <w:instrText>"</w:instrText>
      </w:r>
      <w:r>
        <w:fldChar w:fldCharType="separate"/>
      </w:r>
      <w:r w:rsidRPr="00F01631">
        <w:rPr>
          <w:rStyle w:val="Hyperlink"/>
          <w:sz w:val="24"/>
          <w:lang w:val="el-GR"/>
        </w:rPr>
        <w:t>https://european-union.europa.eu/document/download/d4199ff4-1e3d-45e6-af7e-90cf1a7b10bc_en?filename=joint_statement_on_decentralised_agencies_en.pdf</w:t>
      </w:r>
      <w:r>
        <w:fldChar w:fldCharType="end"/>
      </w:r>
      <w:r w:rsidRPr="00F01631">
        <w:rPr>
          <w:sz w:val="24"/>
          <w:lang w:val="el-GR"/>
        </w:rPr>
        <w:t>).</w:t>
      </w:r>
    </w:p>
  </w:footnote>
  <w:footnote w:id="398">
    <w:p w14:paraId="11CE550D" w14:textId="298CE56A"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fldChar w:fldCharType="begin"/>
      </w:r>
      <w:r>
        <w:instrText>HYPERLINK</w:instrText>
      </w:r>
      <w:r w:rsidRPr="00B7621E">
        <w:rPr>
          <w:lang w:val="el-GR"/>
        </w:rPr>
        <w:instrText xml:space="preserve"> "</w:instrText>
      </w:r>
      <w:r>
        <w:instrText>https</w:instrText>
      </w:r>
      <w:r w:rsidRPr="00B7621E">
        <w:rPr>
          <w:lang w:val="el-GR"/>
        </w:rPr>
        <w:instrText>://</w:instrText>
      </w:r>
      <w:r>
        <w:instrText>agencies</w:instrText>
      </w:r>
      <w:r w:rsidRPr="00B7621E">
        <w:rPr>
          <w:lang w:val="el-GR"/>
        </w:rPr>
        <w:instrText>-</w:instrText>
      </w:r>
      <w:r>
        <w:instrText>network</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document</w:instrText>
      </w:r>
      <w:r w:rsidRPr="00B7621E">
        <w:rPr>
          <w:lang w:val="el-GR"/>
        </w:rPr>
        <w:instrText>/</w:instrText>
      </w:r>
      <w:r>
        <w:instrText>download</w:instrText>
      </w:r>
      <w:r w:rsidRPr="00B7621E">
        <w:rPr>
          <w:lang w:val="el-GR"/>
        </w:rPr>
        <w:instrText>/04667</w:instrText>
      </w:r>
      <w:r>
        <w:instrText>fb</w:instrText>
      </w:r>
      <w:r w:rsidRPr="00B7621E">
        <w:rPr>
          <w:lang w:val="el-GR"/>
        </w:rPr>
        <w:instrText>8-</w:instrText>
      </w:r>
      <w:r>
        <w:instrText>be</w:instrText>
      </w:r>
      <w:r w:rsidRPr="00B7621E">
        <w:rPr>
          <w:lang w:val="el-GR"/>
        </w:rPr>
        <w:instrText>05-4818-9</w:instrText>
      </w:r>
      <w:r>
        <w:instrText>f</w:instrText>
      </w:r>
      <w:r w:rsidRPr="00B7621E">
        <w:rPr>
          <w:lang w:val="el-GR"/>
        </w:rPr>
        <w:instrText>62-0</w:instrText>
      </w:r>
      <w:r>
        <w:instrText>cb</w:instrText>
      </w:r>
      <w:r w:rsidRPr="00B7621E">
        <w:rPr>
          <w:lang w:val="el-GR"/>
        </w:rPr>
        <w:instrText>99</w:instrText>
      </w:r>
      <w:r>
        <w:instrText>f</w:instrText>
      </w:r>
      <w:r w:rsidRPr="00B7621E">
        <w:rPr>
          <w:lang w:val="el-GR"/>
        </w:rPr>
        <w:instrText>0</w:instrText>
      </w:r>
      <w:r>
        <w:instrText>c</w:instrText>
      </w:r>
      <w:r w:rsidRPr="00B7621E">
        <w:rPr>
          <w:lang w:val="el-GR"/>
        </w:rPr>
        <w:instrText>5538_</w:instrText>
      </w:r>
      <w:r>
        <w:instrText>en</w:instrText>
      </w:r>
      <w:r w:rsidRPr="00B7621E">
        <w:rPr>
          <w:lang w:val="el-GR"/>
        </w:rPr>
        <w:instrText>?</w:instrText>
      </w:r>
      <w:r>
        <w:instrText>filename</w:instrText>
      </w:r>
      <w:r w:rsidRPr="00B7621E">
        <w:rPr>
          <w:lang w:val="el-GR"/>
        </w:rPr>
        <w:instrText>=</w:instrText>
      </w:r>
      <w:r>
        <w:instrText>EUAN</w:instrText>
      </w:r>
      <w:r w:rsidRPr="00B7621E">
        <w:rPr>
          <w:lang w:val="el-GR"/>
        </w:rPr>
        <w:instrText>%20</w:instrText>
      </w:r>
      <w:r>
        <w:instrText>WG</w:instrText>
      </w:r>
      <w:r w:rsidRPr="00B7621E">
        <w:rPr>
          <w:lang w:val="el-GR"/>
        </w:rPr>
        <w:instrText>%25"</w:instrText>
      </w:r>
      <w:r>
        <w:fldChar w:fldCharType="separate"/>
      </w:r>
      <w:r w:rsidRPr="00F01631">
        <w:rPr>
          <w:rStyle w:val="Hyperlink"/>
          <w:sz w:val="24"/>
          <w:lang w:val="el-GR"/>
        </w:rPr>
        <w:t>https://agencies-network.europa.eu/document/download/04667fb8-be05-4818-9f62-0cb99f0c5538_en?filename=EUAN%20WG%25</w:t>
      </w:r>
      <w:r>
        <w:fldChar w:fldCharType="end"/>
      </w:r>
    </w:p>
  </w:footnote>
  <w:footnote w:id="399">
    <w:p w14:paraId="33A181CE" w14:textId="4822183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Στοιχεία σχετικά με τις καταστάσεις εσόδων και δαπανών για το οικονομικό έτος 2024, όπως δημοσιεύθηκαν στην Επίσημη Εφημερίδα της Ευρωπαϊκής Ένωσης για κάθε επιμέρους οργανισμό.</w:t>
      </w:r>
    </w:p>
  </w:footnote>
  <w:footnote w:id="400">
    <w:p w14:paraId="55FD8A82" w14:textId="733A9F00"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Αφαιρέθηκε το πλεόνασμα που μεταφέρθηκε από το προηγούμενο οικονομικό έτος.</w:t>
      </w:r>
    </w:p>
  </w:footnote>
  <w:footnote w:id="401">
    <w:p w14:paraId="7AB792C9" w14:textId="37426D03"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Αφαιρέθηκαν οι δημοσιονομικές διορθώσεις που αντιστοιχούν στο σωρευτικό πλεόνασμα.</w:t>
      </w:r>
    </w:p>
  </w:footnote>
  <w:footnote w:id="402">
    <w:p w14:paraId="6F8728FF" w14:textId="0BCF15B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Το σύνολο της συνεισφοράς της ΕΕ και τρίτων χωρών ανέρχεται συνολικά σε 67,8 εκατ</w:t>
      </w:r>
      <w:r w:rsidR="00B17933">
        <w:rPr>
          <w:sz w:val="24"/>
          <w:lang w:val="el-GR"/>
        </w:rPr>
        <w:t>ομμύρια</w:t>
      </w:r>
      <w:r w:rsidRPr="00F01631">
        <w:rPr>
          <w:sz w:val="24"/>
          <w:lang w:val="el-GR"/>
        </w:rPr>
        <w:t xml:space="preserve"> EUR. Οι επιχορηγήσεις, οι συνεισφορές και η ΣΕΥ ανέρχονται συνολικά σε 33,8 εκατ</w:t>
      </w:r>
      <w:r w:rsidR="00B17933">
        <w:rPr>
          <w:sz w:val="24"/>
          <w:lang w:val="el-GR"/>
        </w:rPr>
        <w:t>ομμύρια EUR</w:t>
      </w:r>
      <w:r w:rsidRPr="00F01631">
        <w:rPr>
          <w:sz w:val="24"/>
          <w:lang w:val="el-GR"/>
        </w:rPr>
        <w:t>.</w:t>
      </w:r>
    </w:p>
  </w:footnote>
  <w:footnote w:id="403">
    <w:p w14:paraId="2F3CA1C5" w14:textId="3E68B28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Κατά τη διάρκεια του 2024, ο ENISA λειτούργησε με προϋπολογισμό 26,2</w:t>
      </w:r>
      <w:r w:rsidR="00B17933">
        <w:rPr>
          <w:sz w:val="24"/>
          <w:lang w:val="el-GR"/>
        </w:rPr>
        <w:t> </w:t>
      </w:r>
      <w:r w:rsidRPr="00F01631">
        <w:rPr>
          <w:sz w:val="24"/>
          <w:lang w:val="el-GR"/>
        </w:rPr>
        <w:t>εκατ</w:t>
      </w:r>
      <w:r w:rsidR="00B17933">
        <w:rPr>
          <w:sz w:val="24"/>
          <w:lang w:val="el-GR"/>
        </w:rPr>
        <w:t>ομμυρίων</w:t>
      </w:r>
      <w:r w:rsidRPr="00F01631">
        <w:rPr>
          <w:sz w:val="24"/>
          <w:lang w:val="el-GR"/>
        </w:rPr>
        <w:t xml:space="preserve"> EUR σε σύγκριση με τον προϋπολογισμό του 2023 που ανερχόταν σε 25,2 εκατ</w:t>
      </w:r>
      <w:r w:rsidR="00B17933">
        <w:rPr>
          <w:sz w:val="24"/>
          <w:lang w:val="el-GR"/>
        </w:rPr>
        <w:t>ομμύρια</w:t>
      </w:r>
      <w:r w:rsidRPr="00F01631">
        <w:rPr>
          <w:sz w:val="24"/>
          <w:lang w:val="el-GR"/>
        </w:rPr>
        <w:t xml:space="preserve"> EUR. Στα τέλη Δεκεμβρίου του 2023 υπογράφηκε συμφωνία συνεισφοράς μεταξύ της ΓΔ CONNECT και του ENISA, με την οποία χορηγήθηκε συνολικό ποσό 20 εκατ</w:t>
      </w:r>
      <w:r w:rsidR="00B17933">
        <w:rPr>
          <w:sz w:val="24"/>
          <w:lang w:val="el-GR"/>
        </w:rPr>
        <w:t>ομμυρίων</w:t>
      </w:r>
      <w:r w:rsidRPr="00F01631">
        <w:rPr>
          <w:sz w:val="24"/>
          <w:lang w:val="el-GR"/>
        </w:rPr>
        <w:t xml:space="preserve"> EUR για την υλοποίηση δράσεων </w:t>
      </w:r>
      <w:proofErr w:type="spellStart"/>
      <w:r w:rsidRPr="00F01631">
        <w:rPr>
          <w:sz w:val="24"/>
          <w:lang w:val="el-GR"/>
        </w:rPr>
        <w:t>κυβερνοστήριξης</w:t>
      </w:r>
      <w:proofErr w:type="spellEnd"/>
      <w:r w:rsidRPr="00F01631">
        <w:rPr>
          <w:sz w:val="24"/>
          <w:lang w:val="el-GR"/>
        </w:rPr>
        <w:t xml:space="preserve"> και κέντρων αντιμετώπισης κρίσιμων κατάστασης κατά την περίοδο 2024</w:t>
      </w:r>
      <w:r w:rsidRPr="00F01631">
        <w:rPr>
          <w:sz w:val="24"/>
          <w:lang w:val="el-GR"/>
        </w:rPr>
        <w:noBreakHyphen/>
        <w:t>2026. Η πρώτη δόση ύψους 16 εκατ</w:t>
      </w:r>
      <w:r w:rsidR="00B17933">
        <w:rPr>
          <w:sz w:val="24"/>
          <w:lang w:val="el-GR"/>
        </w:rPr>
        <w:t>ομμύρια</w:t>
      </w:r>
      <w:r w:rsidRPr="00F01631">
        <w:rPr>
          <w:sz w:val="24"/>
          <w:lang w:val="el-GR"/>
        </w:rPr>
        <w:t xml:space="preserve"> EUR ελήφθη τον Φεβρουάριο του 2024 για την υλοποίηση των συμφωνημένων δράσεων.</w:t>
      </w:r>
    </w:p>
  </w:footnote>
  <w:footnote w:id="404">
    <w:p w14:paraId="4416C208" w14:textId="32BFB99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Τα ίδια έσοδα αφορούν τα τέλη που χρεώνονται για τα πιστοποιητικά, τις άδειες, την καταχώριση ουσιών, τις συνεισφορές, τη συλλογή δεδομένων, την εποπτεία της αγοράς, την επιτήρηση και άλλες υπηρεσίες.</w:t>
      </w:r>
    </w:p>
  </w:footnote>
  <w:footnote w:id="405">
    <w:p w14:paraId="381E80FA" w14:textId="5A0549C7"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Τα ίδια έσοδα αναφέρονται στις συνεισφορές των εθνικών εποπτικών αρχών.</w:t>
      </w:r>
    </w:p>
  </w:footnote>
  <w:footnote w:id="406">
    <w:p w14:paraId="0546C905" w14:textId="1B6120EC" w:rsidR="00F026BE" w:rsidRPr="00F01631" w:rsidRDefault="00F026BE" w:rsidP="00F01631">
      <w:pPr>
        <w:pStyle w:val="FootnoteText"/>
        <w:ind w:left="567" w:hanging="567"/>
        <w:rPr>
          <w:sz w:val="24"/>
          <w:lang w:val="el-GR"/>
        </w:rPr>
      </w:pPr>
      <w:r w:rsidRPr="00F01631">
        <w:rPr>
          <w:sz w:val="24"/>
          <w:vertAlign w:val="superscript"/>
          <w:lang w:val="el-GR"/>
        </w:rPr>
        <w:footnoteRef/>
      </w:r>
      <w:r w:rsidR="00F01631" w:rsidRPr="00F01631">
        <w:rPr>
          <w:sz w:val="24"/>
          <w:lang w:val="el-GR"/>
        </w:rPr>
        <w:t xml:space="preserve"> </w:t>
      </w:r>
      <w:r w:rsidR="00F01631" w:rsidRPr="00F01631">
        <w:rPr>
          <w:sz w:val="24"/>
          <w:lang w:val="el-GR"/>
        </w:rPr>
        <w:tab/>
      </w:r>
      <w:r w:rsidRPr="00F01631">
        <w:rPr>
          <w:sz w:val="24"/>
          <w:lang w:val="el-GR"/>
        </w:rPr>
        <w:t>Τα ίδια έσοδα αναφέρονται στις συνεισφορές των εθνικών εποπτικών αρχών.</w:t>
      </w:r>
    </w:p>
  </w:footnote>
  <w:footnote w:id="407">
    <w:p w14:paraId="079A8243" w14:textId="7D4E2907" w:rsidR="00F026BE" w:rsidRPr="00F01631" w:rsidRDefault="00F026BE" w:rsidP="00F01631">
      <w:pPr>
        <w:pStyle w:val="FootnoteText"/>
        <w:ind w:left="567" w:hanging="567"/>
        <w:rPr>
          <w:sz w:val="24"/>
          <w:lang w:val="el-GR"/>
        </w:rPr>
      </w:pPr>
      <w:r w:rsidRPr="00F01631">
        <w:rPr>
          <w:sz w:val="24"/>
          <w:vertAlign w:val="superscript"/>
          <w:lang w:val="el-GR"/>
        </w:rPr>
        <w:footnoteRef/>
      </w:r>
      <w:r w:rsidR="00F01631" w:rsidRPr="00F01631">
        <w:rPr>
          <w:sz w:val="24"/>
          <w:lang w:val="el-GR"/>
        </w:rPr>
        <w:t xml:space="preserve"> </w:t>
      </w:r>
      <w:r w:rsidR="00F01631" w:rsidRPr="00F01631">
        <w:rPr>
          <w:sz w:val="24"/>
          <w:lang w:val="el-GR"/>
        </w:rPr>
        <w:tab/>
      </w:r>
      <w:r w:rsidRPr="00F01631">
        <w:rPr>
          <w:sz w:val="24"/>
          <w:lang w:val="el-GR"/>
        </w:rPr>
        <w:t>Τα ίδια έσοδα περιλαμβάνουν τη συνεισφορά των εθνικών εποπτικών αρχών και τα τέλη που καταβάλλονται στην αρχή.</w:t>
      </w:r>
    </w:p>
  </w:footnote>
  <w:footnote w:id="408">
    <w:p w14:paraId="4D83F5B8" w14:textId="510266FB"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ΕΑΤ, EIOPA and ESMA.</w:t>
      </w:r>
    </w:p>
  </w:footnote>
  <w:footnote w:id="409">
    <w:p w14:paraId="5A766238" w14:textId="3D48783D"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CEPOL, EIGE, EUAA, </w:t>
      </w:r>
      <w:proofErr w:type="spellStart"/>
      <w:r w:rsidRPr="00F01631">
        <w:rPr>
          <w:sz w:val="24"/>
          <w:lang w:val="el-GR"/>
        </w:rPr>
        <w:t>eu</w:t>
      </w:r>
      <w:proofErr w:type="spellEnd"/>
      <w:r w:rsidRPr="00F01631">
        <w:rPr>
          <w:sz w:val="24"/>
          <w:lang w:val="el-GR"/>
        </w:rPr>
        <w:t xml:space="preserve">-LISA, </w:t>
      </w:r>
      <w:proofErr w:type="spellStart"/>
      <w:r w:rsidRPr="00F01631">
        <w:rPr>
          <w:sz w:val="24"/>
          <w:lang w:val="el-GR"/>
        </w:rPr>
        <w:t>Eurojust</w:t>
      </w:r>
      <w:proofErr w:type="spellEnd"/>
      <w:r w:rsidRPr="00F01631">
        <w:rPr>
          <w:sz w:val="24"/>
          <w:lang w:val="el-GR"/>
        </w:rPr>
        <w:t xml:space="preserve">, EUROPOL, FRA και </w:t>
      </w:r>
      <w:proofErr w:type="spellStart"/>
      <w:r w:rsidRPr="00F01631">
        <w:rPr>
          <w:sz w:val="24"/>
          <w:lang w:val="el-GR"/>
        </w:rPr>
        <w:t>Frontex</w:t>
      </w:r>
      <w:proofErr w:type="spellEnd"/>
      <w:r w:rsidRPr="00F01631">
        <w:rPr>
          <w:sz w:val="24"/>
          <w:lang w:val="el-GR"/>
        </w:rPr>
        <w:t>.</w:t>
      </w:r>
    </w:p>
  </w:footnote>
  <w:footnote w:id="410">
    <w:p w14:paraId="0AA2D809" w14:textId="18EB83A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Κανονισμός (ΕΕ, Ευρατόμ) 2023/2841 του Ευρωπαϊκού Κοινοβουλίου και του Συμβουλίου, της 13ης Δεκεμβρίου 2023, για τον καθορισμό μέτρων για υψηλό κοινό επίπεδο κυβερνοασφάλειας στα θεσμικά και λοιπά όργανα και οργανισμούς της Ένωσης (</w:t>
      </w:r>
      <w:r w:rsidR="00B17933">
        <w:rPr>
          <w:sz w:val="24"/>
          <w:lang w:val="el-GR"/>
        </w:rPr>
        <w:t>ΕΕ</w:t>
      </w:r>
      <w:r w:rsidRPr="00F01631">
        <w:rPr>
          <w:sz w:val="24"/>
          <w:lang w:val="el-GR"/>
        </w:rPr>
        <w:t xml:space="preserve"> L, 2023/2841, 18.12.2023, ELI: </w:t>
      </w:r>
      <w:r>
        <w:fldChar w:fldCharType="begin"/>
      </w:r>
      <w:r>
        <w:instrText>HYPERLINK</w:instrText>
      </w:r>
      <w:r w:rsidRPr="00B7621E">
        <w:rPr>
          <w:lang w:val="el-GR"/>
        </w:rPr>
        <w:instrText xml:space="preserve"> "</w:instrText>
      </w:r>
      <w:r>
        <w:instrText>http</w:instrText>
      </w:r>
      <w:r w:rsidRPr="00B7621E">
        <w:rPr>
          <w:lang w:val="el-GR"/>
        </w:rPr>
        <w:instrText>://</w:instrText>
      </w:r>
      <w:r>
        <w:instrText>data</w:instrText>
      </w:r>
      <w:r w:rsidRPr="00B7621E">
        <w:rPr>
          <w:lang w:val="el-GR"/>
        </w:rPr>
        <w:instrText>.</w:instrText>
      </w:r>
      <w:r>
        <w:instrText>europa</w:instrText>
      </w:r>
      <w:r w:rsidRPr="00B7621E">
        <w:rPr>
          <w:lang w:val="el-GR"/>
        </w:rPr>
        <w:instrText>.</w:instrText>
      </w:r>
      <w:r>
        <w:instrText>eu</w:instrText>
      </w:r>
      <w:r w:rsidRPr="00B7621E">
        <w:rPr>
          <w:lang w:val="el-GR"/>
        </w:rPr>
        <w:instrText>/</w:instrText>
      </w:r>
      <w:r>
        <w:instrText>eli</w:instrText>
      </w:r>
      <w:r w:rsidRPr="00B7621E">
        <w:rPr>
          <w:lang w:val="el-GR"/>
        </w:rPr>
        <w:instrText>/</w:instrText>
      </w:r>
      <w:r>
        <w:instrText>reg</w:instrText>
      </w:r>
      <w:r w:rsidRPr="00B7621E">
        <w:rPr>
          <w:lang w:val="el-GR"/>
        </w:rPr>
        <w:instrText>/2023/2841/</w:instrText>
      </w:r>
      <w:r>
        <w:instrText>oj</w:instrText>
      </w:r>
      <w:r w:rsidRPr="00B7621E">
        <w:rPr>
          <w:lang w:val="el-GR"/>
        </w:rPr>
        <w:instrText>"</w:instrText>
      </w:r>
      <w:r>
        <w:fldChar w:fldCharType="separate"/>
      </w:r>
      <w:r w:rsidRPr="00B17933">
        <w:rPr>
          <w:rStyle w:val="Hyperlink"/>
          <w:sz w:val="24"/>
          <w:lang w:val="el-GR"/>
        </w:rPr>
        <w:t>http://data.europa.eu/eli/reg/2023/2841/oj</w:t>
      </w:r>
      <w:r>
        <w:fldChar w:fldCharType="end"/>
      </w:r>
      <w:r w:rsidRPr="00F01631">
        <w:rPr>
          <w:sz w:val="24"/>
          <w:lang w:val="el-GR"/>
        </w:rPr>
        <w:t>).</w:t>
      </w:r>
    </w:p>
  </w:footnote>
  <w:footnote w:id="411">
    <w:p w14:paraId="24469502" w14:textId="295CE900" w:rsidR="00F026BE" w:rsidRPr="00FC7C15" w:rsidRDefault="00F026BE" w:rsidP="00F01631">
      <w:pPr>
        <w:pStyle w:val="FootnoteText"/>
        <w:ind w:left="567" w:hanging="567"/>
        <w:rPr>
          <w:sz w:val="24"/>
          <w:lang w:val="el-GR"/>
        </w:rPr>
      </w:pPr>
      <w:r w:rsidRPr="00F01631">
        <w:rPr>
          <w:rStyle w:val="FootnoteReference"/>
          <w:sz w:val="24"/>
          <w:lang w:val="el-GR"/>
        </w:rPr>
        <w:footnoteRef/>
      </w:r>
      <w:r w:rsidR="00F01631" w:rsidRPr="00FC7C15">
        <w:rPr>
          <w:sz w:val="24"/>
          <w:lang w:val="el-GR"/>
        </w:rPr>
        <w:t xml:space="preserve"> </w:t>
      </w:r>
      <w:r w:rsidR="00F01631" w:rsidRPr="00FC7C15">
        <w:rPr>
          <w:sz w:val="24"/>
          <w:lang w:val="el-GR"/>
        </w:rPr>
        <w:tab/>
      </w:r>
      <w:bookmarkStart w:id="12" w:name="_Hlk227750908"/>
      <w:r w:rsidR="00B17933">
        <w:rPr>
          <w:sz w:val="24"/>
          <w:lang w:val="el-GR"/>
        </w:rPr>
        <w:t>Απόφαση</w:t>
      </w:r>
      <w:r w:rsidR="00B17933" w:rsidRPr="00B17933">
        <w:rPr>
          <w:sz w:val="24"/>
          <w:lang w:val="el-GR"/>
        </w:rPr>
        <w:t xml:space="preserve"> </w:t>
      </w:r>
      <w:r w:rsidR="00B17933">
        <w:rPr>
          <w:sz w:val="24"/>
          <w:lang w:val="el-GR"/>
        </w:rPr>
        <w:t>του</w:t>
      </w:r>
      <w:r w:rsidR="00B17933" w:rsidRPr="00B17933">
        <w:rPr>
          <w:sz w:val="24"/>
          <w:lang w:val="el-GR"/>
        </w:rPr>
        <w:t xml:space="preserve"> </w:t>
      </w:r>
      <w:r w:rsidR="00B17933">
        <w:rPr>
          <w:sz w:val="24"/>
          <w:lang w:val="el-GR"/>
        </w:rPr>
        <w:t>Γενικού</w:t>
      </w:r>
      <w:r w:rsidR="00B17933" w:rsidRPr="00B17933">
        <w:rPr>
          <w:sz w:val="24"/>
          <w:lang w:val="el-GR"/>
        </w:rPr>
        <w:t xml:space="preserve"> </w:t>
      </w:r>
      <w:r w:rsidR="00B17933">
        <w:rPr>
          <w:sz w:val="24"/>
          <w:lang w:val="el-GR"/>
        </w:rPr>
        <w:t xml:space="preserve">Δικαστηρίου της </w:t>
      </w:r>
      <w:r w:rsidR="00B17933" w:rsidRPr="00FC7C15">
        <w:rPr>
          <w:sz w:val="24"/>
          <w:lang w:val="el-GR"/>
        </w:rPr>
        <w:t>15</w:t>
      </w:r>
      <w:r w:rsidR="00B17933">
        <w:rPr>
          <w:sz w:val="24"/>
          <w:lang w:val="el-GR"/>
        </w:rPr>
        <w:t xml:space="preserve">ης Οκτωβρίου </w:t>
      </w:r>
      <w:r w:rsidR="00B17933" w:rsidRPr="00FC7C15">
        <w:rPr>
          <w:sz w:val="24"/>
          <w:lang w:val="el-GR"/>
        </w:rPr>
        <w:t xml:space="preserve">2025, </w:t>
      </w:r>
      <w:r w:rsidR="00B17933" w:rsidRPr="00980D3E">
        <w:rPr>
          <w:i/>
          <w:iCs/>
          <w:sz w:val="24"/>
          <w:lang w:val="en-GB"/>
        </w:rPr>
        <w:t>WU</w:t>
      </w:r>
      <w:r w:rsidR="00B17933" w:rsidRPr="00FC7C15">
        <w:rPr>
          <w:i/>
          <w:iCs/>
          <w:sz w:val="24"/>
          <w:lang w:val="el-GR"/>
        </w:rPr>
        <w:t xml:space="preserve"> </w:t>
      </w:r>
      <w:r w:rsidR="00B17933">
        <w:rPr>
          <w:i/>
          <w:iCs/>
          <w:sz w:val="24"/>
          <w:lang w:val="el-GR"/>
        </w:rPr>
        <w:t xml:space="preserve">κατά </w:t>
      </w:r>
      <w:r w:rsidR="00B17933" w:rsidRPr="00980D3E">
        <w:rPr>
          <w:i/>
          <w:iCs/>
          <w:sz w:val="24"/>
          <w:lang w:val="en-GB"/>
        </w:rPr>
        <w:t>Eurojust</w:t>
      </w:r>
      <w:r w:rsidR="00B17933" w:rsidRPr="00FC7C15">
        <w:rPr>
          <w:b/>
          <w:bCs/>
          <w:sz w:val="24"/>
          <w:lang w:val="el-GR"/>
        </w:rPr>
        <w:t>,</w:t>
      </w:r>
      <w:r w:rsidR="00B17933">
        <w:rPr>
          <w:b/>
          <w:bCs/>
          <w:sz w:val="24"/>
          <w:lang w:val="el-GR"/>
        </w:rPr>
        <w:t xml:space="preserve"> </w:t>
      </w:r>
      <w:r w:rsidR="00B17933" w:rsidRPr="00FC7C15">
        <w:rPr>
          <w:sz w:val="24"/>
          <w:lang w:val="el-GR"/>
        </w:rPr>
        <w:t>υποθέσεις</w:t>
      </w:r>
      <w:r w:rsidR="00B17933">
        <w:rPr>
          <w:b/>
          <w:bCs/>
          <w:sz w:val="24"/>
          <w:lang w:val="el-GR"/>
        </w:rPr>
        <w:t xml:space="preserve"> </w:t>
      </w:r>
      <w:r w:rsidR="00B17933" w:rsidRPr="00980D3E">
        <w:rPr>
          <w:sz w:val="24"/>
          <w:lang w:val="en-GB"/>
        </w:rPr>
        <w:t>T</w:t>
      </w:r>
      <w:r w:rsidR="00B17933" w:rsidRPr="00FC7C15">
        <w:rPr>
          <w:sz w:val="24"/>
          <w:lang w:val="el-GR"/>
        </w:rPr>
        <w:noBreakHyphen/>
        <w:t xml:space="preserve">295/23 </w:t>
      </w:r>
      <w:r w:rsidR="00B17933">
        <w:rPr>
          <w:sz w:val="24"/>
          <w:lang w:val="el-GR"/>
        </w:rPr>
        <w:t xml:space="preserve">και </w:t>
      </w:r>
      <w:r w:rsidR="00B17933" w:rsidRPr="00980D3E">
        <w:rPr>
          <w:sz w:val="24"/>
          <w:lang w:val="en-GB"/>
        </w:rPr>
        <w:t>T</w:t>
      </w:r>
      <w:r w:rsidR="00B17933" w:rsidRPr="00FC7C15">
        <w:rPr>
          <w:sz w:val="24"/>
          <w:lang w:val="el-GR"/>
        </w:rPr>
        <w:noBreakHyphen/>
        <w:t xml:space="preserve">1176/23, </w:t>
      </w:r>
      <w:r w:rsidR="00B17933" w:rsidRPr="00980D3E">
        <w:rPr>
          <w:sz w:val="24"/>
          <w:lang w:val="en-IE"/>
        </w:rPr>
        <w:t>ECLI</w:t>
      </w:r>
      <w:r w:rsidR="00B17933" w:rsidRPr="00FC7C15">
        <w:rPr>
          <w:sz w:val="24"/>
          <w:lang w:val="el-GR"/>
        </w:rPr>
        <w:t>:</w:t>
      </w:r>
      <w:r w:rsidR="00B17933" w:rsidRPr="00980D3E">
        <w:rPr>
          <w:sz w:val="24"/>
          <w:lang w:val="en-IE"/>
        </w:rPr>
        <w:t>EU</w:t>
      </w:r>
      <w:r w:rsidR="00B17933" w:rsidRPr="00FC7C15">
        <w:rPr>
          <w:sz w:val="24"/>
          <w:lang w:val="el-GR"/>
        </w:rPr>
        <w:t>:</w:t>
      </w:r>
      <w:r w:rsidR="00B17933" w:rsidRPr="001E63DA">
        <w:rPr>
          <w:sz w:val="24"/>
          <w:lang w:val="en-GB"/>
        </w:rPr>
        <w:t>T</w:t>
      </w:r>
      <w:r w:rsidR="00B17933" w:rsidRPr="00FC7C15">
        <w:rPr>
          <w:sz w:val="24"/>
          <w:lang w:val="el-GR"/>
        </w:rPr>
        <w:t>:2025:963.</w:t>
      </w:r>
      <w:bookmarkEnd w:id="12"/>
    </w:p>
  </w:footnote>
  <w:footnote w:id="412">
    <w:p w14:paraId="42CF28FF" w14:textId="263D770F" w:rsidR="00F026BE" w:rsidRPr="00193D17" w:rsidRDefault="00F026BE" w:rsidP="00F01631">
      <w:pPr>
        <w:pStyle w:val="FootnoteText"/>
        <w:ind w:left="567" w:hanging="567"/>
        <w:rPr>
          <w:sz w:val="24"/>
          <w:lang w:val="pt-PT"/>
        </w:rPr>
      </w:pPr>
      <w:r w:rsidRPr="00F01631">
        <w:rPr>
          <w:rStyle w:val="FootnoteReference"/>
          <w:sz w:val="24"/>
          <w:lang w:val="el-GR"/>
        </w:rPr>
        <w:footnoteRef/>
      </w:r>
      <w:r w:rsidR="00F01631" w:rsidRPr="00193D17">
        <w:rPr>
          <w:sz w:val="24"/>
          <w:lang w:val="pt-PT"/>
        </w:rPr>
        <w:t xml:space="preserve"> </w:t>
      </w:r>
      <w:r w:rsidR="00F01631" w:rsidRPr="00193D17">
        <w:rPr>
          <w:sz w:val="24"/>
          <w:lang w:val="pt-PT"/>
        </w:rPr>
        <w:tab/>
      </w:r>
      <w:proofErr w:type="spellStart"/>
      <w:r w:rsidRPr="00193D17">
        <w:rPr>
          <w:sz w:val="24"/>
          <w:lang w:val="pt-PT"/>
        </w:rPr>
        <w:t>Cedefop</w:t>
      </w:r>
      <w:proofErr w:type="spellEnd"/>
      <w:r w:rsidRPr="00193D17">
        <w:rPr>
          <w:sz w:val="24"/>
          <w:lang w:val="pt-PT"/>
        </w:rPr>
        <w:t xml:space="preserve">, ELA, ETF, </w:t>
      </w:r>
      <w:proofErr w:type="spellStart"/>
      <w:r w:rsidRPr="00193D17">
        <w:rPr>
          <w:sz w:val="24"/>
          <w:lang w:val="pt-PT"/>
        </w:rPr>
        <w:t>Eurofound</w:t>
      </w:r>
      <w:proofErr w:type="spellEnd"/>
      <w:r w:rsidRPr="00193D17">
        <w:rPr>
          <w:sz w:val="24"/>
          <w:lang w:val="pt-PT"/>
        </w:rPr>
        <w:t xml:space="preserve"> </w:t>
      </w:r>
      <w:r w:rsidRPr="00F01631">
        <w:rPr>
          <w:sz w:val="24"/>
          <w:lang w:val="el-GR"/>
        </w:rPr>
        <w:t>και</w:t>
      </w:r>
      <w:r w:rsidRPr="00193D17">
        <w:rPr>
          <w:sz w:val="24"/>
          <w:lang w:val="pt-PT"/>
        </w:rPr>
        <w:t xml:space="preserve"> EU-OSHA.</w:t>
      </w:r>
    </w:p>
  </w:footnote>
  <w:footnote w:id="413">
    <w:p w14:paraId="20648C1D" w14:textId="0EB7C815"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Αξιολόγηση της Ευρωπαϊκής Αρχής Εργασίας (ELA) Βρυξέλλες, 26.5.2025 COM(2025)256 και SWD(2025)128.</w:t>
      </w:r>
    </w:p>
  </w:footnote>
  <w:footnote w:id="414">
    <w:p w14:paraId="4C600755" w14:textId="2D7744E4"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ECDC, EFSA, EMA και EUDA.</w:t>
      </w:r>
    </w:p>
  </w:footnote>
  <w:footnote w:id="415">
    <w:p w14:paraId="1B0616B5" w14:textId="16535A73"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EASA, EMSA και ERA.</w:t>
      </w:r>
    </w:p>
  </w:footnote>
  <w:footnote w:id="416">
    <w:p w14:paraId="53A1D487" w14:textId="425B0C51"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ACER, ECHA, ΕΟΠ και EFCA.</w:t>
      </w:r>
    </w:p>
  </w:footnote>
  <w:footnote w:id="417">
    <w:p w14:paraId="0263106B" w14:textId="036E3A3E" w:rsidR="00F026BE" w:rsidRPr="00F01631" w:rsidRDefault="00F026BE" w:rsidP="00F01631">
      <w:pPr>
        <w:pStyle w:val="FootnoteText"/>
        <w:ind w:left="567" w:hanging="567"/>
        <w:rPr>
          <w:sz w:val="24"/>
          <w:lang w:val="el-GR"/>
        </w:rPr>
      </w:pPr>
      <w:r w:rsidRPr="00F01631">
        <w:rPr>
          <w:rStyle w:val="FootnoteReference"/>
          <w:sz w:val="24"/>
          <w:lang w:val="el-GR"/>
        </w:rPr>
        <w:footnoteRef/>
      </w:r>
      <w:r w:rsidR="00F01631" w:rsidRPr="00F01631">
        <w:rPr>
          <w:sz w:val="24"/>
          <w:lang w:val="el-GR"/>
        </w:rPr>
        <w:t xml:space="preserve"> </w:t>
      </w:r>
      <w:r w:rsidR="00F01631" w:rsidRPr="00F01631">
        <w:rPr>
          <w:sz w:val="24"/>
          <w:lang w:val="el-GR"/>
        </w:rPr>
        <w:tab/>
      </w:r>
      <w:r w:rsidRPr="00F01631">
        <w:rPr>
          <w:sz w:val="24"/>
          <w:lang w:val="el-GR"/>
        </w:rPr>
        <w:t xml:space="preserve">Υπηρεσία του BEREC, </w:t>
      </w:r>
      <w:proofErr w:type="spellStart"/>
      <w:r w:rsidRPr="00F01631">
        <w:rPr>
          <w:sz w:val="24"/>
          <w:lang w:val="el-GR"/>
        </w:rPr>
        <w:t>CdT</w:t>
      </w:r>
      <w:proofErr w:type="spellEnd"/>
      <w:r w:rsidRPr="00F01631">
        <w:rPr>
          <w:sz w:val="24"/>
          <w:lang w:val="el-GR"/>
        </w:rPr>
        <w:t xml:space="preserve">, ENISA, EIT, EUSPA και ESA </w:t>
      </w:r>
      <w:proofErr w:type="spellStart"/>
      <w:r w:rsidRPr="00F01631">
        <w:rPr>
          <w:sz w:val="24"/>
          <w:lang w:val="el-GR"/>
        </w:rPr>
        <w:t>Euratom</w:t>
      </w:r>
      <w:proofErr w:type="spellEnd"/>
      <w:r w:rsidRPr="00F01631">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1D894" w14:textId="77777777" w:rsidR="00064002" w:rsidRPr="00F0163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77257" w14:textId="77777777" w:rsidR="00064002" w:rsidRPr="00F0163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AC17E" w14:textId="77777777" w:rsidR="00064002" w:rsidRPr="00F016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E6643"/>
    <w:multiLevelType w:val="hybridMultilevel"/>
    <w:tmpl w:val="C8BA08D6"/>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8953A89"/>
    <w:multiLevelType w:val="hybridMultilevel"/>
    <w:tmpl w:val="B782A390"/>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D828D3"/>
    <w:multiLevelType w:val="hybridMultilevel"/>
    <w:tmpl w:val="1522FB98"/>
    <w:lvl w:ilvl="0" w:tplc="C4EAFA14">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EEE3A5A"/>
    <w:multiLevelType w:val="hybridMultilevel"/>
    <w:tmpl w:val="A768B3C8"/>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3411E3"/>
    <w:multiLevelType w:val="hybridMultilevel"/>
    <w:tmpl w:val="C3C6F75E"/>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3D5F141F"/>
    <w:multiLevelType w:val="hybridMultilevel"/>
    <w:tmpl w:val="2F0AEA7E"/>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F35935"/>
    <w:multiLevelType w:val="hybridMultilevel"/>
    <w:tmpl w:val="335A792A"/>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E528EB"/>
    <w:multiLevelType w:val="hybridMultilevel"/>
    <w:tmpl w:val="EA38F73A"/>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4A5F7A"/>
    <w:multiLevelType w:val="hybridMultilevel"/>
    <w:tmpl w:val="09D0D744"/>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DB16F2"/>
    <w:multiLevelType w:val="hybridMultilevel"/>
    <w:tmpl w:val="12AE1056"/>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A80FA5"/>
    <w:multiLevelType w:val="hybridMultilevel"/>
    <w:tmpl w:val="DF0EA0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0E44CFC"/>
    <w:multiLevelType w:val="hybridMultilevel"/>
    <w:tmpl w:val="2532493E"/>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4D34C72"/>
    <w:multiLevelType w:val="hybridMultilevel"/>
    <w:tmpl w:val="06322C88"/>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18720A9"/>
    <w:multiLevelType w:val="hybridMultilevel"/>
    <w:tmpl w:val="54C0AB8C"/>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2ED3BC6"/>
    <w:multiLevelType w:val="hybridMultilevel"/>
    <w:tmpl w:val="D5302FDA"/>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358432B"/>
    <w:multiLevelType w:val="hybridMultilevel"/>
    <w:tmpl w:val="0BDC4C16"/>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75C59FD"/>
    <w:multiLevelType w:val="hybridMultilevel"/>
    <w:tmpl w:val="ECD41AAE"/>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C687A52"/>
    <w:multiLevelType w:val="hybridMultilevel"/>
    <w:tmpl w:val="C414AE9A"/>
    <w:lvl w:ilvl="0" w:tplc="C4EAFA1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48541865">
    <w:abstractNumId w:val="1"/>
  </w:num>
  <w:num w:numId="2" w16cid:durableId="521286761">
    <w:abstractNumId w:val="6"/>
  </w:num>
  <w:num w:numId="3" w16cid:durableId="1473401142">
    <w:abstractNumId w:val="12"/>
  </w:num>
  <w:num w:numId="4" w16cid:durableId="1165631814">
    <w:abstractNumId w:val="3"/>
  </w:num>
  <w:num w:numId="5" w16cid:durableId="1419979371">
    <w:abstractNumId w:val="16"/>
  </w:num>
  <w:num w:numId="6" w16cid:durableId="1310326846">
    <w:abstractNumId w:val="17"/>
  </w:num>
  <w:num w:numId="7" w16cid:durableId="1794010357">
    <w:abstractNumId w:val="10"/>
  </w:num>
  <w:num w:numId="8" w16cid:durableId="1143541536">
    <w:abstractNumId w:val="14"/>
  </w:num>
  <w:num w:numId="9" w16cid:durableId="1383403592">
    <w:abstractNumId w:val="9"/>
  </w:num>
  <w:num w:numId="10" w16cid:durableId="484518945">
    <w:abstractNumId w:val="5"/>
  </w:num>
  <w:num w:numId="11" w16cid:durableId="1793818215">
    <w:abstractNumId w:val="0"/>
  </w:num>
  <w:num w:numId="12" w16cid:durableId="1077947350">
    <w:abstractNumId w:val="15"/>
  </w:num>
  <w:num w:numId="13" w16cid:durableId="42755666">
    <w:abstractNumId w:val="2"/>
  </w:num>
  <w:num w:numId="14" w16cid:durableId="316308135">
    <w:abstractNumId w:val="8"/>
  </w:num>
  <w:num w:numId="15" w16cid:durableId="1958027769">
    <w:abstractNumId w:val="19"/>
  </w:num>
  <w:num w:numId="16" w16cid:durableId="1128358419">
    <w:abstractNumId w:val="7"/>
  </w:num>
  <w:num w:numId="17" w16cid:durableId="1034576435">
    <w:abstractNumId w:val="18"/>
  </w:num>
  <w:num w:numId="18" w16cid:durableId="1987005248">
    <w:abstractNumId w:val="4"/>
  </w:num>
  <w:num w:numId="19" w16cid:durableId="119301191">
    <w:abstractNumId w:val="11"/>
  </w:num>
  <w:num w:numId="20" w16cid:durableId="822627315">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7/2026"/>
    <w:docVar w:name="dvlangue" w:val="EL"/>
    <w:docVar w:name="dvnumam" w:val="0"/>
    <w:docVar w:name="dvpe" w:val="776.806"/>
    <w:docVar w:name="dvrapporteur" w:val="Εισηγήτρια: "/>
    <w:docVar w:name="dvtitre" w:val="1. Απόφαση του Ευρωπαϊκού Κοινοβουλίου της ... 2026 σχετικά με την απαλλαγή όσον αφορά την εκτέλεση του προϋπολογισμού των οργανισμών της Ευρωπαϊκής Ένωσης για το οικονομικό έτος 2024(2025/2156(DEC))"/>
  </w:docVars>
  <w:rsids>
    <w:rsidRoot w:val="00E45079"/>
    <w:rsid w:val="00002272"/>
    <w:rsid w:val="00064002"/>
    <w:rsid w:val="000677B9"/>
    <w:rsid w:val="000831BA"/>
    <w:rsid w:val="000A42CC"/>
    <w:rsid w:val="000E7DD9"/>
    <w:rsid w:val="0010095E"/>
    <w:rsid w:val="00125B37"/>
    <w:rsid w:val="001653D9"/>
    <w:rsid w:val="00187494"/>
    <w:rsid w:val="00193D17"/>
    <w:rsid w:val="001F32AE"/>
    <w:rsid w:val="0023028A"/>
    <w:rsid w:val="002767FF"/>
    <w:rsid w:val="002B18FE"/>
    <w:rsid w:val="002B5493"/>
    <w:rsid w:val="00343214"/>
    <w:rsid w:val="00361C00"/>
    <w:rsid w:val="00395FA1"/>
    <w:rsid w:val="003E15D4"/>
    <w:rsid w:val="00411CCE"/>
    <w:rsid w:val="0041666E"/>
    <w:rsid w:val="00421060"/>
    <w:rsid w:val="00422CC9"/>
    <w:rsid w:val="00471C19"/>
    <w:rsid w:val="004867E3"/>
    <w:rsid w:val="00494A28"/>
    <w:rsid w:val="004C0004"/>
    <w:rsid w:val="004C5D52"/>
    <w:rsid w:val="0050519A"/>
    <w:rsid w:val="005072A1"/>
    <w:rsid w:val="00512250"/>
    <w:rsid w:val="00514517"/>
    <w:rsid w:val="00545827"/>
    <w:rsid w:val="00560270"/>
    <w:rsid w:val="005C2568"/>
    <w:rsid w:val="005F1B17"/>
    <w:rsid w:val="006037C0"/>
    <w:rsid w:val="006631B6"/>
    <w:rsid w:val="00680577"/>
    <w:rsid w:val="006F74FA"/>
    <w:rsid w:val="00726FFE"/>
    <w:rsid w:val="00731ADD"/>
    <w:rsid w:val="007329DF"/>
    <w:rsid w:val="00734777"/>
    <w:rsid w:val="00747932"/>
    <w:rsid w:val="00751A4A"/>
    <w:rsid w:val="00756632"/>
    <w:rsid w:val="00762C74"/>
    <w:rsid w:val="00783DDB"/>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0728"/>
    <w:rsid w:val="00A1687D"/>
    <w:rsid w:val="00A43E52"/>
    <w:rsid w:val="00A4678D"/>
    <w:rsid w:val="00A550D6"/>
    <w:rsid w:val="00A778C7"/>
    <w:rsid w:val="00AB441E"/>
    <w:rsid w:val="00AB6293"/>
    <w:rsid w:val="00AC6858"/>
    <w:rsid w:val="00AE0928"/>
    <w:rsid w:val="00AF3B82"/>
    <w:rsid w:val="00B00CB8"/>
    <w:rsid w:val="00B12E95"/>
    <w:rsid w:val="00B17933"/>
    <w:rsid w:val="00B22876"/>
    <w:rsid w:val="00B558F0"/>
    <w:rsid w:val="00B7621E"/>
    <w:rsid w:val="00BD48FE"/>
    <w:rsid w:val="00BD7BD8"/>
    <w:rsid w:val="00BE6ADC"/>
    <w:rsid w:val="00C05BFE"/>
    <w:rsid w:val="00C23CD4"/>
    <w:rsid w:val="00C61C0C"/>
    <w:rsid w:val="00C941CB"/>
    <w:rsid w:val="00CC1E67"/>
    <w:rsid w:val="00CC2357"/>
    <w:rsid w:val="00CF071A"/>
    <w:rsid w:val="00D058B8"/>
    <w:rsid w:val="00D56C11"/>
    <w:rsid w:val="00D834A0"/>
    <w:rsid w:val="00D872DF"/>
    <w:rsid w:val="00D91E21"/>
    <w:rsid w:val="00DA7FCD"/>
    <w:rsid w:val="00DB0178"/>
    <w:rsid w:val="00E365E1"/>
    <w:rsid w:val="00E45079"/>
    <w:rsid w:val="00E820A4"/>
    <w:rsid w:val="00EB006A"/>
    <w:rsid w:val="00EB4772"/>
    <w:rsid w:val="00ED169E"/>
    <w:rsid w:val="00ED4235"/>
    <w:rsid w:val="00F01631"/>
    <w:rsid w:val="00F016D5"/>
    <w:rsid w:val="00F026BE"/>
    <w:rsid w:val="00F04346"/>
    <w:rsid w:val="00F075DC"/>
    <w:rsid w:val="00F149E9"/>
    <w:rsid w:val="00F27C05"/>
    <w:rsid w:val="00F5134D"/>
    <w:rsid w:val="00F74202"/>
    <w:rsid w:val="00F87713"/>
    <w:rsid w:val="00FB4360"/>
    <w:rsid w:val="00FC7C1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0FDB9B"/>
  <w15:chartTrackingRefBased/>
  <w15:docId w15:val="{11BF0A35-FA2E-4A40-B8ED-E15F74D96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026BE"/>
    <w:rPr>
      <w:b/>
      <w:kern w:val="28"/>
      <w:sz w:val="28"/>
      <w:lang w:val="fr-FR" w:eastAsia="fr-FR"/>
    </w:rPr>
  </w:style>
  <w:style w:type="character" w:customStyle="1" w:styleId="Heading2Char">
    <w:name w:val="Heading 2 Char"/>
    <w:basedOn w:val="DefaultParagraphFont"/>
    <w:link w:val="Heading2"/>
    <w:semiHidden/>
    <w:rsid w:val="00F026BE"/>
    <w:rPr>
      <w:sz w:val="24"/>
      <w:lang w:val="fr-FR" w:eastAsia="fr-FR"/>
    </w:rPr>
  </w:style>
  <w:style w:type="character" w:customStyle="1" w:styleId="Heading3Char">
    <w:name w:val="Heading 3 Char"/>
    <w:basedOn w:val="DefaultParagraphFont"/>
    <w:link w:val="Heading3"/>
    <w:semiHidden/>
    <w:rsid w:val="00F026BE"/>
    <w:rPr>
      <w:rFonts w:ascii="Arial" w:hAnsi="Arial"/>
      <w:sz w:val="24"/>
      <w:lang w:val="fr-FR" w:eastAsia="fr-FR"/>
    </w:rPr>
  </w:style>
  <w:style w:type="character" w:customStyle="1" w:styleId="Heading4Char">
    <w:name w:val="Heading 4 Char"/>
    <w:basedOn w:val="DefaultParagraphFont"/>
    <w:link w:val="Heading4"/>
    <w:semiHidden/>
    <w:rsid w:val="00F026BE"/>
    <w:rPr>
      <w:sz w:val="24"/>
      <w:lang w:val="en-US" w:eastAsia="fr-FR"/>
    </w:rPr>
  </w:style>
  <w:style w:type="character" w:customStyle="1" w:styleId="Heading5Char">
    <w:name w:val="Heading 5 Char"/>
    <w:basedOn w:val="DefaultParagraphFont"/>
    <w:link w:val="Heading5"/>
    <w:semiHidden/>
    <w:rsid w:val="00F026BE"/>
    <w:rPr>
      <w:sz w:val="24"/>
      <w:lang w:val="en-US" w:eastAsia="fr-FR"/>
    </w:rPr>
  </w:style>
  <w:style w:type="character" w:customStyle="1" w:styleId="Heading6Char">
    <w:name w:val="Heading 6 Char"/>
    <w:basedOn w:val="DefaultParagraphFont"/>
    <w:link w:val="Heading6"/>
    <w:semiHidden/>
    <w:rsid w:val="00F026BE"/>
    <w:rPr>
      <w:i/>
      <w:sz w:val="22"/>
      <w:lang w:val="el-GR"/>
    </w:rPr>
  </w:style>
  <w:style w:type="character" w:customStyle="1" w:styleId="Heading7Char">
    <w:name w:val="Heading 7 Char"/>
    <w:basedOn w:val="DefaultParagraphFont"/>
    <w:link w:val="Heading7"/>
    <w:semiHidden/>
    <w:rsid w:val="00F026BE"/>
    <w:rPr>
      <w:rFonts w:ascii="Arial" w:hAnsi="Arial"/>
      <w:sz w:val="24"/>
      <w:lang w:val="el-GR"/>
    </w:rPr>
  </w:style>
  <w:style w:type="character" w:customStyle="1" w:styleId="Heading8Char">
    <w:name w:val="Heading 8 Char"/>
    <w:basedOn w:val="DefaultParagraphFont"/>
    <w:link w:val="Heading8"/>
    <w:semiHidden/>
    <w:rsid w:val="00F026BE"/>
    <w:rPr>
      <w:rFonts w:ascii="Arial" w:hAnsi="Arial"/>
      <w:i/>
      <w:sz w:val="24"/>
      <w:lang w:val="el-GR"/>
    </w:rPr>
  </w:style>
  <w:style w:type="character" w:customStyle="1" w:styleId="Heading9Char">
    <w:name w:val="Heading 9 Char"/>
    <w:basedOn w:val="DefaultParagraphFont"/>
    <w:link w:val="Heading9"/>
    <w:semiHidden/>
    <w:rsid w:val="00F026BE"/>
    <w:rPr>
      <w:rFonts w:ascii="Arial" w:hAnsi="Arial"/>
      <w:b/>
      <w:i/>
      <w:sz w:val="18"/>
      <w:lang w:val="el-GR"/>
    </w:rPr>
  </w:style>
  <w:style w:type="paragraph" w:styleId="TOCHeading">
    <w:name w:val="TOC Heading"/>
    <w:basedOn w:val="Normal"/>
    <w:next w:val="Normal"/>
    <w:unhideWhenUsed/>
    <w:qFormat/>
    <w:rsid w:val="00F026BE"/>
    <w:pPr>
      <w:widowControl/>
      <w:spacing w:after="240"/>
    </w:pPr>
    <w:rPr>
      <w:lang w:val="en-GB"/>
    </w:rPr>
  </w:style>
  <w:style w:type="paragraph" w:customStyle="1" w:styleId="EPFooter2">
    <w:name w:val="EPFooter2"/>
    <w:basedOn w:val="Normal"/>
    <w:next w:val="Normal"/>
    <w:link w:val="EPFooter2Char"/>
    <w:rsid w:val="00F026BE"/>
    <w:pPr>
      <w:widowControl/>
      <w:tabs>
        <w:tab w:val="center" w:pos="4535"/>
        <w:tab w:val="right" w:pos="9921"/>
      </w:tabs>
      <w:ind w:left="-850" w:right="-850"/>
    </w:pPr>
    <w:rPr>
      <w:rFonts w:ascii="Arial" w:hAnsi="Arial" w:cs="Arial"/>
      <w:b/>
      <w:sz w:val="48"/>
      <w:lang w:eastAsia="en-US"/>
    </w:rPr>
  </w:style>
  <w:style w:type="paragraph" w:customStyle="1" w:styleId="EPComma">
    <w:name w:val="EPComma"/>
    <w:basedOn w:val="Normal"/>
    <w:rsid w:val="00F026BE"/>
    <w:pPr>
      <w:spacing w:before="480" w:after="240"/>
    </w:pPr>
  </w:style>
  <w:style w:type="paragraph" w:customStyle="1" w:styleId="TOCPage">
    <w:name w:val="TOC Page"/>
    <w:basedOn w:val="Normal"/>
    <w:next w:val="TOC1"/>
    <w:rsid w:val="00F026BE"/>
    <w:pPr>
      <w:keepNext/>
      <w:spacing w:after="240"/>
      <w:jc w:val="right"/>
    </w:pPr>
    <w:rPr>
      <w:rFonts w:ascii="Arial" w:hAnsi="Arial"/>
      <w:b/>
    </w:rPr>
  </w:style>
  <w:style w:type="paragraph" w:customStyle="1" w:styleId="PageHeading">
    <w:name w:val="PageHeading"/>
    <w:basedOn w:val="Normal"/>
    <w:link w:val="PageHeadingChar"/>
    <w:rsid w:val="00F026BE"/>
    <w:pPr>
      <w:keepNext/>
      <w:spacing w:after="480"/>
      <w:jc w:val="center"/>
    </w:pPr>
    <w:rPr>
      <w:rFonts w:ascii="Arial" w:hAnsi="Arial" w:cs="Arial"/>
      <w:b/>
    </w:rPr>
  </w:style>
  <w:style w:type="paragraph" w:customStyle="1" w:styleId="NormalBold">
    <w:name w:val="NormalBold"/>
    <w:basedOn w:val="Normal"/>
    <w:rsid w:val="00F026BE"/>
    <w:rPr>
      <w:b/>
    </w:rPr>
  </w:style>
  <w:style w:type="paragraph" w:customStyle="1" w:styleId="NormalHanging12a">
    <w:name w:val="NormalHanging12a"/>
    <w:basedOn w:val="Normal"/>
    <w:link w:val="NormalHanging12aChar"/>
    <w:rsid w:val="00F026BE"/>
    <w:pPr>
      <w:spacing w:after="240"/>
      <w:ind w:left="567" w:hanging="567"/>
    </w:pPr>
  </w:style>
  <w:style w:type="paragraph" w:customStyle="1" w:styleId="CoverNormal24a">
    <w:name w:val="CoverNormal24a"/>
    <w:basedOn w:val="Normal"/>
    <w:rsid w:val="00F026BE"/>
    <w:pPr>
      <w:spacing w:after="480"/>
      <w:ind w:left="1417"/>
    </w:pPr>
  </w:style>
  <w:style w:type="paragraph" w:customStyle="1" w:styleId="CoverNormal">
    <w:name w:val="CoverNormal"/>
    <w:basedOn w:val="Normal"/>
    <w:rsid w:val="00F026BE"/>
    <w:pPr>
      <w:ind w:left="1418"/>
    </w:pPr>
  </w:style>
  <w:style w:type="paragraph" w:customStyle="1" w:styleId="NormalCenter12a">
    <w:name w:val="NormalCenter12a"/>
    <w:basedOn w:val="Normal"/>
    <w:rsid w:val="00F026BE"/>
    <w:pPr>
      <w:spacing w:after="240"/>
      <w:jc w:val="center"/>
    </w:pPr>
  </w:style>
  <w:style w:type="paragraph" w:customStyle="1" w:styleId="CoverReference">
    <w:name w:val="CoverReference"/>
    <w:basedOn w:val="Normal"/>
    <w:rsid w:val="00F026BE"/>
    <w:pPr>
      <w:spacing w:before="1080"/>
      <w:jc w:val="right"/>
    </w:pPr>
    <w:rPr>
      <w:rFonts w:ascii="Arial" w:hAnsi="Arial" w:cs="Arial"/>
      <w:b/>
    </w:rPr>
  </w:style>
  <w:style w:type="paragraph" w:customStyle="1" w:styleId="CoverDocType24a">
    <w:name w:val="CoverDocType24a"/>
    <w:basedOn w:val="Normal"/>
    <w:rsid w:val="00F026BE"/>
    <w:pPr>
      <w:spacing w:after="480"/>
      <w:ind w:left="1418"/>
    </w:pPr>
    <w:rPr>
      <w:rFonts w:ascii="Arial" w:hAnsi="Arial"/>
      <w:b/>
      <w:sz w:val="48"/>
    </w:rPr>
  </w:style>
  <w:style w:type="paragraph" w:customStyle="1" w:styleId="CoverDate">
    <w:name w:val="CoverDate"/>
    <w:basedOn w:val="Normal"/>
    <w:rsid w:val="00F026BE"/>
    <w:pPr>
      <w:spacing w:before="240" w:after="1200"/>
    </w:pPr>
  </w:style>
  <w:style w:type="paragraph" w:styleId="Header">
    <w:name w:val="header"/>
    <w:basedOn w:val="Normal"/>
    <w:link w:val="HeaderChar"/>
    <w:rsid w:val="00F026BE"/>
    <w:pPr>
      <w:tabs>
        <w:tab w:val="center" w:pos="4513"/>
        <w:tab w:val="right" w:pos="9026"/>
      </w:tabs>
    </w:pPr>
  </w:style>
  <w:style w:type="character" w:customStyle="1" w:styleId="HeaderChar">
    <w:name w:val="Header Char"/>
    <w:basedOn w:val="DefaultParagraphFont"/>
    <w:link w:val="Header"/>
    <w:rsid w:val="00F026BE"/>
    <w:rPr>
      <w:sz w:val="24"/>
      <w:lang w:val="el-GR"/>
    </w:rPr>
  </w:style>
  <w:style w:type="paragraph" w:customStyle="1" w:styleId="EPBody">
    <w:name w:val="EPBody"/>
    <w:basedOn w:val="Normal"/>
    <w:rsid w:val="00F026BE"/>
    <w:pPr>
      <w:jc w:val="center"/>
    </w:pPr>
    <w:rPr>
      <w:rFonts w:ascii="Arial" w:hAnsi="Arial" w:cs="Arial"/>
      <w:i/>
      <w:sz w:val="22"/>
      <w:szCs w:val="22"/>
    </w:rPr>
  </w:style>
  <w:style w:type="paragraph" w:customStyle="1" w:styleId="EPFooter">
    <w:name w:val="EPFooter"/>
    <w:basedOn w:val="Normal"/>
    <w:link w:val="EPFooterChar"/>
    <w:rsid w:val="00F026BE"/>
    <w:pPr>
      <w:tabs>
        <w:tab w:val="center" w:pos="4535"/>
        <w:tab w:val="right" w:pos="9071"/>
      </w:tabs>
      <w:spacing w:before="240" w:after="240"/>
    </w:pPr>
    <w:rPr>
      <w:color w:val="010000"/>
      <w:sz w:val="22"/>
      <w:lang w:eastAsia="en-US"/>
    </w:rPr>
  </w:style>
  <w:style w:type="character" w:customStyle="1" w:styleId="NormalHanging12aChar">
    <w:name w:val="NormalHanging12a Char"/>
    <w:basedOn w:val="DefaultParagraphFont"/>
    <w:link w:val="NormalHanging12a"/>
    <w:rsid w:val="00F026BE"/>
    <w:rPr>
      <w:sz w:val="24"/>
      <w:lang w:val="el-GR"/>
    </w:rPr>
  </w:style>
  <w:style w:type="paragraph" w:customStyle="1" w:styleId="PageHeadingDec">
    <w:name w:val="PageHeadingDec"/>
    <w:basedOn w:val="PageHeading"/>
    <w:link w:val="PageHeadingDecChar"/>
    <w:qFormat/>
    <w:rsid w:val="00F026BE"/>
  </w:style>
  <w:style w:type="character" w:customStyle="1" w:styleId="PageHeadingChar">
    <w:name w:val="PageHeading Char"/>
    <w:basedOn w:val="DefaultParagraphFont"/>
    <w:link w:val="PageHeading"/>
    <w:rsid w:val="00F026BE"/>
    <w:rPr>
      <w:rFonts w:ascii="Arial" w:hAnsi="Arial" w:cs="Arial"/>
      <w:b/>
      <w:sz w:val="24"/>
      <w:lang w:val="el-GR"/>
    </w:rPr>
  </w:style>
  <w:style w:type="character" w:customStyle="1" w:styleId="PageHeadingDecChar">
    <w:name w:val="PageHeadingDec Char"/>
    <w:basedOn w:val="PageHeadingChar"/>
    <w:link w:val="PageHeadingDec"/>
    <w:rsid w:val="00F026BE"/>
    <w:rPr>
      <w:rFonts w:ascii="Arial" w:hAnsi="Arial" w:cs="Arial"/>
      <w:b/>
      <w:sz w:val="24"/>
      <w:lang w:val="el-GR"/>
    </w:rPr>
  </w:style>
  <w:style w:type="paragraph" w:styleId="TOC9">
    <w:name w:val="toc 9"/>
    <w:basedOn w:val="Normal"/>
    <w:next w:val="Normal"/>
    <w:autoRedefine/>
    <w:uiPriority w:val="39"/>
    <w:rsid w:val="00F026BE"/>
    <w:pPr>
      <w:spacing w:after="100"/>
      <w:jc w:val="center"/>
    </w:pPr>
  </w:style>
  <w:style w:type="paragraph" w:styleId="TOC8">
    <w:name w:val="toc 8"/>
    <w:basedOn w:val="Normal"/>
    <w:next w:val="Normal"/>
    <w:autoRedefine/>
    <w:uiPriority w:val="39"/>
    <w:rsid w:val="00F026BE"/>
    <w:pPr>
      <w:spacing w:after="240"/>
    </w:pPr>
    <w:rPr>
      <w:b/>
    </w:rPr>
  </w:style>
  <w:style w:type="paragraph" w:customStyle="1" w:styleId="PageHeadingNotTOC">
    <w:name w:val="PageHeadingNotTOC"/>
    <w:basedOn w:val="Normal"/>
    <w:link w:val="PageHeadingNotTOCChar"/>
    <w:rsid w:val="00F026BE"/>
    <w:pPr>
      <w:keepNext/>
      <w:spacing w:after="480"/>
      <w:jc w:val="center"/>
    </w:pPr>
    <w:rPr>
      <w:rFonts w:ascii="Arial" w:hAnsi="Arial" w:cs="Arial"/>
      <w:b/>
    </w:rPr>
  </w:style>
  <w:style w:type="paragraph" w:styleId="TOC7">
    <w:name w:val="toc 7"/>
    <w:basedOn w:val="Normal"/>
    <w:next w:val="Normal"/>
    <w:autoRedefine/>
    <w:uiPriority w:val="39"/>
    <w:rsid w:val="00F026BE"/>
    <w:pPr>
      <w:spacing w:after="240"/>
      <w:ind w:left="720" w:hanging="720"/>
    </w:pPr>
  </w:style>
  <w:style w:type="paragraph" w:styleId="BalloonText">
    <w:name w:val="Balloon Text"/>
    <w:basedOn w:val="Normal"/>
    <w:link w:val="BalloonTextChar"/>
    <w:uiPriority w:val="99"/>
    <w:unhideWhenUsed/>
    <w:rsid w:val="00F026BE"/>
    <w:rPr>
      <w:rFonts w:ascii="Segoe UI" w:hAnsi="Segoe UI" w:cs="Segoe UI"/>
      <w:sz w:val="18"/>
      <w:szCs w:val="18"/>
    </w:rPr>
  </w:style>
  <w:style w:type="character" w:customStyle="1" w:styleId="BalloonTextChar">
    <w:name w:val="Balloon Text Char"/>
    <w:basedOn w:val="DefaultParagraphFont"/>
    <w:link w:val="BalloonText"/>
    <w:uiPriority w:val="99"/>
    <w:rsid w:val="00F026BE"/>
    <w:rPr>
      <w:rFonts w:ascii="Segoe UI" w:hAnsi="Segoe UI" w:cs="Segoe UI"/>
      <w:sz w:val="18"/>
      <w:szCs w:val="18"/>
      <w:lang w:val="el-GR"/>
    </w:rPr>
  </w:style>
  <w:style w:type="character" w:styleId="Hyperlink">
    <w:name w:val="Hyperlink"/>
    <w:basedOn w:val="DefaultParagraphFont"/>
    <w:rsid w:val="00F026BE"/>
    <w:rPr>
      <w:color w:val="0563C1" w:themeColor="hyperlink"/>
      <w:u w:val="single"/>
    </w:rPr>
  </w:style>
  <w:style w:type="character" w:styleId="UnresolvedMention">
    <w:name w:val="Unresolved Mention"/>
    <w:basedOn w:val="DefaultParagraphFont"/>
    <w:uiPriority w:val="99"/>
    <w:semiHidden/>
    <w:unhideWhenUsed/>
    <w:rsid w:val="00F026BE"/>
    <w:rPr>
      <w:color w:val="605E5C"/>
      <w:shd w:val="clear" w:color="auto" w:fill="E1DFDD"/>
    </w:rPr>
  </w:style>
  <w:style w:type="character" w:styleId="CommentReference">
    <w:name w:val="annotation reference"/>
    <w:basedOn w:val="DefaultParagraphFont"/>
    <w:rsid w:val="00F026BE"/>
    <w:rPr>
      <w:sz w:val="16"/>
      <w:szCs w:val="16"/>
    </w:rPr>
  </w:style>
  <w:style w:type="paragraph" w:styleId="CommentText">
    <w:name w:val="annotation text"/>
    <w:basedOn w:val="Normal"/>
    <w:link w:val="CommentTextChar"/>
    <w:rsid w:val="00F026BE"/>
    <w:rPr>
      <w:sz w:val="20"/>
    </w:rPr>
  </w:style>
  <w:style w:type="character" w:customStyle="1" w:styleId="CommentTextChar">
    <w:name w:val="Comment Text Char"/>
    <w:basedOn w:val="DefaultParagraphFont"/>
    <w:link w:val="CommentText"/>
    <w:rsid w:val="00F026BE"/>
    <w:rPr>
      <w:lang w:val="el-GR"/>
    </w:rPr>
  </w:style>
  <w:style w:type="paragraph" w:styleId="CommentSubject">
    <w:name w:val="annotation subject"/>
    <w:basedOn w:val="CommentText"/>
    <w:next w:val="CommentText"/>
    <w:link w:val="CommentSubjectChar"/>
    <w:unhideWhenUsed/>
    <w:rsid w:val="00F026BE"/>
    <w:rPr>
      <w:b/>
      <w:bCs/>
    </w:rPr>
  </w:style>
  <w:style w:type="character" w:customStyle="1" w:styleId="CommentSubjectChar">
    <w:name w:val="Comment Subject Char"/>
    <w:basedOn w:val="CommentTextChar"/>
    <w:link w:val="CommentSubject"/>
    <w:rsid w:val="00F026BE"/>
    <w:rPr>
      <w:b/>
      <w:bCs/>
      <w:lang w:val="el-GR"/>
    </w:rPr>
  </w:style>
  <w:style w:type="paragraph" w:styleId="Revision">
    <w:name w:val="Revision"/>
    <w:hidden/>
    <w:uiPriority w:val="99"/>
    <w:semiHidden/>
    <w:rsid w:val="00F026BE"/>
    <w:rPr>
      <w:sz w:val="24"/>
      <w:lang w:val="el-GR"/>
    </w:rPr>
  </w:style>
  <w:style w:type="character" w:styleId="FollowedHyperlink">
    <w:name w:val="FollowedHyperlink"/>
    <w:basedOn w:val="DefaultParagraphFont"/>
    <w:uiPriority w:val="99"/>
    <w:rsid w:val="00F026BE"/>
    <w:rPr>
      <w:color w:val="954F72" w:themeColor="followedHyperlink"/>
      <w:u w:val="single"/>
    </w:rPr>
  </w:style>
  <w:style w:type="paragraph" w:customStyle="1" w:styleId="Normal12Hanging">
    <w:name w:val="Normal12Hanging"/>
    <w:basedOn w:val="Normal"/>
    <w:rsid w:val="00F026BE"/>
    <w:pPr>
      <w:spacing w:after="240"/>
      <w:ind w:left="567" w:hanging="567"/>
    </w:pPr>
  </w:style>
  <w:style w:type="paragraph" w:customStyle="1" w:styleId="Normal24a">
    <w:name w:val="Normal24a"/>
    <w:basedOn w:val="Normal"/>
    <w:rsid w:val="00F026BE"/>
    <w:pPr>
      <w:spacing w:after="480"/>
    </w:pPr>
  </w:style>
  <w:style w:type="paragraph" w:customStyle="1" w:styleId="NormalBoldCenter">
    <w:name w:val="NormalBoldCenter"/>
    <w:basedOn w:val="Normal"/>
    <w:rsid w:val="00F026BE"/>
    <w:pPr>
      <w:jc w:val="center"/>
    </w:pPr>
    <w:rPr>
      <w:b/>
    </w:rPr>
  </w:style>
  <w:style w:type="paragraph" w:customStyle="1" w:styleId="Footprint12b">
    <w:name w:val="Footprint12b"/>
    <w:basedOn w:val="Normal"/>
    <w:rsid w:val="00F026BE"/>
    <w:pPr>
      <w:spacing w:before="240"/>
    </w:pPr>
    <w:rPr>
      <w:szCs w:val="24"/>
    </w:rPr>
  </w:style>
  <w:style w:type="paragraph" w:customStyle="1" w:styleId="NormalSingle">
    <w:name w:val="NormalSingle"/>
    <w:basedOn w:val="Normal"/>
    <w:qFormat/>
    <w:rsid w:val="00F026BE"/>
    <w:rPr>
      <w:szCs w:val="24"/>
    </w:rPr>
  </w:style>
  <w:style w:type="paragraph" w:customStyle="1" w:styleId="Normal12a">
    <w:name w:val="Normal12a"/>
    <w:basedOn w:val="Normal"/>
    <w:rsid w:val="00F026BE"/>
    <w:pPr>
      <w:spacing w:after="240"/>
    </w:pPr>
  </w:style>
  <w:style w:type="paragraph" w:customStyle="1" w:styleId="RollCallSymbols14pt">
    <w:name w:val="RollCallSymbols14pt"/>
    <w:basedOn w:val="Normal"/>
    <w:rsid w:val="00F026B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026BE"/>
    <w:pPr>
      <w:tabs>
        <w:tab w:val="center" w:pos="284"/>
        <w:tab w:val="left" w:pos="426"/>
      </w:tabs>
    </w:pPr>
    <w:rPr>
      <w:snapToGrid w:val="0"/>
      <w:lang w:eastAsia="en-US"/>
    </w:rPr>
  </w:style>
  <w:style w:type="paragraph" w:customStyle="1" w:styleId="RollCallVotes">
    <w:name w:val="RollCallVotes"/>
    <w:basedOn w:val="Normal"/>
    <w:rsid w:val="00F026BE"/>
    <w:pPr>
      <w:spacing w:before="120" w:after="120"/>
      <w:jc w:val="center"/>
    </w:pPr>
    <w:rPr>
      <w:b/>
      <w:bCs/>
      <w:snapToGrid w:val="0"/>
      <w:sz w:val="16"/>
      <w:lang w:eastAsia="en-US"/>
    </w:rPr>
  </w:style>
  <w:style w:type="paragraph" w:customStyle="1" w:styleId="RollCallTable">
    <w:name w:val="RollCallTable"/>
    <w:basedOn w:val="Normal"/>
    <w:rsid w:val="00F026BE"/>
    <w:pPr>
      <w:spacing w:before="120" w:after="120"/>
    </w:pPr>
    <w:rPr>
      <w:snapToGrid w:val="0"/>
      <w:sz w:val="16"/>
      <w:lang w:eastAsia="en-US"/>
    </w:rPr>
  </w:style>
  <w:style w:type="paragraph" w:customStyle="1" w:styleId="RollCallHeading">
    <w:name w:val="RollCallHeading"/>
    <w:basedOn w:val="Normal"/>
    <w:qFormat/>
    <w:rsid w:val="00F026BE"/>
    <w:pPr>
      <w:snapToGrid w:val="0"/>
      <w:spacing w:before="480" w:after="480"/>
      <w:jc w:val="center"/>
    </w:pPr>
    <w:rPr>
      <w:b/>
      <w:sz w:val="28"/>
      <w:lang w:eastAsia="en-US"/>
    </w:rPr>
  </w:style>
  <w:style w:type="paragraph" w:customStyle="1" w:styleId="Normal12">
    <w:name w:val="Normal12"/>
    <w:basedOn w:val="Normal"/>
    <w:qFormat/>
    <w:rsid w:val="00F026BE"/>
    <w:pPr>
      <w:snapToGrid w:val="0"/>
      <w:spacing w:after="240"/>
    </w:pPr>
    <w:rPr>
      <w:lang w:eastAsia="en-US"/>
    </w:rPr>
  </w:style>
  <w:style w:type="paragraph" w:customStyle="1" w:styleId="RollCallContents">
    <w:name w:val="RollCallContents"/>
    <w:basedOn w:val="Normal"/>
    <w:qFormat/>
    <w:rsid w:val="00F026BE"/>
    <w:pPr>
      <w:snapToGrid w:val="0"/>
      <w:spacing w:before="480" w:after="480"/>
      <w:jc w:val="center"/>
    </w:pPr>
    <w:rPr>
      <w:b/>
      <w:lang w:eastAsia="en-US"/>
    </w:rPr>
  </w:style>
  <w:style w:type="paragraph" w:customStyle="1" w:styleId="RollCallSubtitle">
    <w:name w:val="RollCallSubtitle"/>
    <w:basedOn w:val="Normal"/>
    <w:link w:val="RollCallSubtitleChar"/>
    <w:qFormat/>
    <w:rsid w:val="00F026BE"/>
    <w:pPr>
      <w:snapToGrid w:val="0"/>
      <w:spacing w:after="240"/>
    </w:pPr>
    <w:rPr>
      <w:lang w:eastAsia="en-US"/>
    </w:rPr>
  </w:style>
  <w:style w:type="paragraph" w:customStyle="1" w:styleId="NormalTabs">
    <w:name w:val="NormalTabs"/>
    <w:basedOn w:val="Normal"/>
    <w:qFormat/>
    <w:rsid w:val="00F026BE"/>
    <w:pPr>
      <w:tabs>
        <w:tab w:val="center" w:pos="284"/>
        <w:tab w:val="left" w:pos="426"/>
      </w:tabs>
      <w:snapToGrid w:val="0"/>
    </w:pPr>
    <w:rPr>
      <w:lang w:eastAsia="en-US"/>
    </w:rPr>
  </w:style>
  <w:style w:type="character" w:customStyle="1" w:styleId="PageHeadingNotTOCChar">
    <w:name w:val="PageHeadingNotTOC Char"/>
    <w:basedOn w:val="DefaultParagraphFont"/>
    <w:link w:val="PageHeadingNotTOC"/>
    <w:rsid w:val="00F026BE"/>
    <w:rPr>
      <w:rFonts w:ascii="Arial" w:hAnsi="Arial" w:cs="Arial"/>
      <w:b/>
      <w:sz w:val="24"/>
      <w:lang w:val="el-GR"/>
    </w:rPr>
  </w:style>
  <w:style w:type="character" w:customStyle="1" w:styleId="RollCallSubtitleChar">
    <w:name w:val="RollCallSubtitle Char"/>
    <w:basedOn w:val="DefaultParagraphFont"/>
    <w:link w:val="RollCallSubtitle"/>
    <w:rsid w:val="00F026BE"/>
    <w:rPr>
      <w:sz w:val="24"/>
      <w:lang w:val="el-GR" w:eastAsia="en-US"/>
    </w:rPr>
  </w:style>
  <w:style w:type="character" w:customStyle="1" w:styleId="EPFooter2Char">
    <w:name w:val="EPFooter2 Char"/>
    <w:basedOn w:val="RollCallSubtitleChar"/>
    <w:link w:val="EPFooter2"/>
    <w:rsid w:val="00F026BE"/>
    <w:rPr>
      <w:rFonts w:ascii="Arial" w:hAnsi="Arial" w:cs="Arial"/>
      <w:b/>
      <w:sz w:val="48"/>
      <w:lang w:val="el-GR" w:eastAsia="en-US"/>
    </w:rPr>
  </w:style>
  <w:style w:type="character" w:customStyle="1" w:styleId="EPFooterChar">
    <w:name w:val="EPFooter Char"/>
    <w:basedOn w:val="RollCallSubtitleChar"/>
    <w:link w:val="EPFooter"/>
    <w:rsid w:val="00F026BE"/>
    <w:rPr>
      <w:color w:val="010000"/>
      <w:sz w:val="22"/>
      <w:lang w:val="el-GR" w:eastAsia="en-US"/>
    </w:rPr>
  </w:style>
  <w:style w:type="paragraph" w:customStyle="1" w:styleId="NormalBold0">
    <w:name w:val="Normal Bold"/>
    <w:basedOn w:val="Normal"/>
    <w:uiPriority w:val="99"/>
    <w:rsid w:val="00F026BE"/>
    <w:pPr>
      <w:snapToGrid w:val="0"/>
    </w:pPr>
    <w:rPr>
      <w:b/>
      <w:lang w:eastAsia="en-US"/>
    </w:rPr>
  </w:style>
  <w:style w:type="paragraph" w:styleId="Footer">
    <w:name w:val="footer"/>
    <w:basedOn w:val="Normal"/>
    <w:link w:val="FooterChar"/>
    <w:uiPriority w:val="99"/>
    <w:rsid w:val="00F026BE"/>
    <w:pPr>
      <w:tabs>
        <w:tab w:val="center" w:pos="4513"/>
        <w:tab w:val="right" w:pos="9026"/>
      </w:tabs>
    </w:pPr>
  </w:style>
  <w:style w:type="character" w:customStyle="1" w:styleId="FooterChar">
    <w:name w:val="Footer Char"/>
    <w:basedOn w:val="DefaultParagraphFont"/>
    <w:link w:val="Footer"/>
    <w:uiPriority w:val="99"/>
    <w:rsid w:val="00F026BE"/>
    <w:rPr>
      <w:sz w:val="24"/>
      <w:lang w:val="el-GR"/>
    </w:rPr>
  </w:style>
  <w:style w:type="paragraph" w:styleId="ListParagraph">
    <w:name w:val="List Paragraph"/>
    <w:basedOn w:val="Normal"/>
    <w:uiPriority w:val="34"/>
    <w:qFormat/>
    <w:rsid w:val="00726F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8.xml"/><Relationship Id="rId21" Type="http://schemas.openxmlformats.org/officeDocument/2006/relationships/footer" Target="footer13.xml"/><Relationship Id="rId42" Type="http://schemas.openxmlformats.org/officeDocument/2006/relationships/footer" Target="footer34.xml"/><Relationship Id="rId47" Type="http://schemas.openxmlformats.org/officeDocument/2006/relationships/footer" Target="footer39.xml"/><Relationship Id="rId63" Type="http://schemas.openxmlformats.org/officeDocument/2006/relationships/footer" Target="footer55.xml"/><Relationship Id="rId68" Type="http://schemas.openxmlformats.org/officeDocument/2006/relationships/footer" Target="footer60.xml"/><Relationship Id="rId16" Type="http://schemas.openxmlformats.org/officeDocument/2006/relationships/footer" Target="footer8.xml"/><Relationship Id="rId11" Type="http://schemas.openxmlformats.org/officeDocument/2006/relationships/footer" Target="footer3.xml"/><Relationship Id="rId32" Type="http://schemas.openxmlformats.org/officeDocument/2006/relationships/footer" Target="footer24.xml"/><Relationship Id="rId37" Type="http://schemas.openxmlformats.org/officeDocument/2006/relationships/footer" Target="footer29.xml"/><Relationship Id="rId53" Type="http://schemas.openxmlformats.org/officeDocument/2006/relationships/footer" Target="footer45.xml"/><Relationship Id="rId58" Type="http://schemas.openxmlformats.org/officeDocument/2006/relationships/footer" Target="footer50.xml"/><Relationship Id="rId74" Type="http://schemas.openxmlformats.org/officeDocument/2006/relationships/header" Target="header1.xml"/><Relationship Id="rId79" Type="http://schemas.openxmlformats.org/officeDocument/2006/relationships/footer" Target="footer68.xml"/><Relationship Id="rId5" Type="http://schemas.openxmlformats.org/officeDocument/2006/relationships/webSettings" Target="webSettings.xml"/><Relationship Id="rId61" Type="http://schemas.openxmlformats.org/officeDocument/2006/relationships/footer" Target="footer53.xml"/><Relationship Id="rId19" Type="http://schemas.openxmlformats.org/officeDocument/2006/relationships/footer" Target="footer11.xml"/><Relationship Id="rId14" Type="http://schemas.openxmlformats.org/officeDocument/2006/relationships/footer" Target="footer6.xml"/><Relationship Id="rId22" Type="http://schemas.openxmlformats.org/officeDocument/2006/relationships/footer" Target="footer14.xml"/><Relationship Id="rId27" Type="http://schemas.openxmlformats.org/officeDocument/2006/relationships/footer" Target="footer19.xml"/><Relationship Id="rId30" Type="http://schemas.openxmlformats.org/officeDocument/2006/relationships/footer" Target="footer22.xml"/><Relationship Id="rId35" Type="http://schemas.openxmlformats.org/officeDocument/2006/relationships/footer" Target="footer27.xml"/><Relationship Id="rId43" Type="http://schemas.openxmlformats.org/officeDocument/2006/relationships/footer" Target="footer35.xml"/><Relationship Id="rId48" Type="http://schemas.openxmlformats.org/officeDocument/2006/relationships/footer" Target="footer40.xml"/><Relationship Id="rId56" Type="http://schemas.openxmlformats.org/officeDocument/2006/relationships/footer" Target="footer48.xml"/><Relationship Id="rId64" Type="http://schemas.openxmlformats.org/officeDocument/2006/relationships/footer" Target="footer56.xml"/><Relationship Id="rId69" Type="http://schemas.openxmlformats.org/officeDocument/2006/relationships/footer" Target="footer61.xml"/><Relationship Id="rId77" Type="http://schemas.openxmlformats.org/officeDocument/2006/relationships/footer" Target="footer67.xml"/><Relationship Id="rId8" Type="http://schemas.openxmlformats.org/officeDocument/2006/relationships/image" Target="media/image1.png"/><Relationship Id="rId51" Type="http://schemas.openxmlformats.org/officeDocument/2006/relationships/footer" Target="footer43.xml"/><Relationship Id="rId72" Type="http://schemas.openxmlformats.org/officeDocument/2006/relationships/footer" Target="footer64.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footer" Target="footer17.xml"/><Relationship Id="rId33" Type="http://schemas.openxmlformats.org/officeDocument/2006/relationships/footer" Target="footer25.xml"/><Relationship Id="rId38" Type="http://schemas.openxmlformats.org/officeDocument/2006/relationships/footer" Target="footer30.xml"/><Relationship Id="rId46" Type="http://schemas.openxmlformats.org/officeDocument/2006/relationships/footer" Target="footer38.xml"/><Relationship Id="rId59" Type="http://schemas.openxmlformats.org/officeDocument/2006/relationships/footer" Target="footer51.xml"/><Relationship Id="rId67" Type="http://schemas.openxmlformats.org/officeDocument/2006/relationships/footer" Target="footer59.xml"/><Relationship Id="rId20" Type="http://schemas.openxmlformats.org/officeDocument/2006/relationships/footer" Target="footer12.xml"/><Relationship Id="rId41" Type="http://schemas.openxmlformats.org/officeDocument/2006/relationships/footer" Target="footer33.xml"/><Relationship Id="rId54" Type="http://schemas.openxmlformats.org/officeDocument/2006/relationships/footer" Target="footer46.xml"/><Relationship Id="rId62" Type="http://schemas.openxmlformats.org/officeDocument/2006/relationships/footer" Target="footer54.xml"/><Relationship Id="rId70" Type="http://schemas.openxmlformats.org/officeDocument/2006/relationships/footer" Target="footer62.xm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7.xml"/><Relationship Id="rId23" Type="http://schemas.openxmlformats.org/officeDocument/2006/relationships/footer" Target="footer15.xml"/><Relationship Id="rId28" Type="http://schemas.openxmlformats.org/officeDocument/2006/relationships/footer" Target="footer20.xml"/><Relationship Id="rId36" Type="http://schemas.openxmlformats.org/officeDocument/2006/relationships/footer" Target="footer28.xml"/><Relationship Id="rId49" Type="http://schemas.openxmlformats.org/officeDocument/2006/relationships/footer" Target="footer41.xml"/><Relationship Id="rId57" Type="http://schemas.openxmlformats.org/officeDocument/2006/relationships/footer" Target="footer49.xml"/><Relationship Id="rId10" Type="http://schemas.openxmlformats.org/officeDocument/2006/relationships/footer" Target="footer2.xml"/><Relationship Id="rId31" Type="http://schemas.openxmlformats.org/officeDocument/2006/relationships/footer" Target="footer23.xml"/><Relationship Id="rId44" Type="http://schemas.openxmlformats.org/officeDocument/2006/relationships/footer" Target="footer36.xml"/><Relationship Id="rId52" Type="http://schemas.openxmlformats.org/officeDocument/2006/relationships/footer" Target="footer44.xml"/><Relationship Id="rId60" Type="http://schemas.openxmlformats.org/officeDocument/2006/relationships/footer" Target="footer52.xml"/><Relationship Id="rId65" Type="http://schemas.openxmlformats.org/officeDocument/2006/relationships/footer" Target="footer57.xml"/><Relationship Id="rId73" Type="http://schemas.openxmlformats.org/officeDocument/2006/relationships/footer" Target="footer65.xm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10.xml"/><Relationship Id="rId39" Type="http://schemas.openxmlformats.org/officeDocument/2006/relationships/footer" Target="footer31.xml"/><Relationship Id="rId34" Type="http://schemas.openxmlformats.org/officeDocument/2006/relationships/footer" Target="footer26.xml"/><Relationship Id="rId50" Type="http://schemas.openxmlformats.org/officeDocument/2006/relationships/footer" Target="footer42.xml"/><Relationship Id="rId55" Type="http://schemas.openxmlformats.org/officeDocument/2006/relationships/footer" Target="footer47.xml"/><Relationship Id="rId76" Type="http://schemas.openxmlformats.org/officeDocument/2006/relationships/footer" Target="footer66.xml"/><Relationship Id="rId7" Type="http://schemas.openxmlformats.org/officeDocument/2006/relationships/endnotes" Target="endnotes.xml"/><Relationship Id="rId71" Type="http://schemas.openxmlformats.org/officeDocument/2006/relationships/footer" Target="footer63.xml"/><Relationship Id="rId2" Type="http://schemas.openxmlformats.org/officeDocument/2006/relationships/numbering" Target="numbering.xml"/><Relationship Id="rId29" Type="http://schemas.openxmlformats.org/officeDocument/2006/relationships/footer" Target="footer21.xml"/><Relationship Id="rId24" Type="http://schemas.openxmlformats.org/officeDocument/2006/relationships/footer" Target="footer16.xml"/><Relationship Id="rId40" Type="http://schemas.openxmlformats.org/officeDocument/2006/relationships/footer" Target="footer32.xml"/><Relationship Id="rId45" Type="http://schemas.openxmlformats.org/officeDocument/2006/relationships/footer" Target="footer37.xml"/><Relationship Id="rId66" Type="http://schemas.openxmlformats.org/officeDocument/2006/relationships/footer" Target="footer58.xml"/></Relationships>
</file>

<file path=word/_rels/footnotes.xml.rels><?xml version="1.0" encoding="UTF-8" standalone="yes"?>
<Relationships xmlns="http://schemas.openxmlformats.org/package/2006/relationships"><Relationship Id="rId1" Type="http://schemas.openxmlformats.org/officeDocument/2006/relationships/hyperlink" Target="https://data.europa.eu/eli/reg/2019/4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181</Pages>
  <Words>55866</Words>
  <Characters>337591</Characters>
  <Application>Microsoft Office Word</Application>
  <DocSecurity>0</DocSecurity>
  <Lines>2813</Lines>
  <Paragraphs>785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cp:lastModifiedBy>
  <cp:revision>2</cp:revision>
  <cp:lastPrinted>2004-11-19T15:42:00Z</cp:lastPrinted>
  <dcterms:created xsi:type="dcterms:W3CDTF">2026-05-11T09:09:00Z</dcterms:created>
  <dcterms:modified xsi:type="dcterms:W3CDTF">2026-05-11T09:09:00Z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P10_TA(2026)0136_</vt:lpwstr>
  </property>
  <property fmtid="{D5CDD505-2E9C-101B-9397-08002B2CF9AE}" pid="4" name="&lt;Type&gt;">
    <vt:lpwstr>RR</vt:lpwstr>
  </property>
</Properties>
</file>