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5E1C" w14:paraId="2D224326" w14:textId="77777777" w:rsidTr="0010095E">
        <w:trPr>
          <w:trHeight w:hRule="exact" w:val="1418"/>
        </w:trPr>
        <w:tc>
          <w:tcPr>
            <w:tcW w:w="6804" w:type="dxa"/>
            <w:shd w:val="clear" w:color="auto" w:fill="auto"/>
            <w:vAlign w:val="center"/>
          </w:tcPr>
          <w:p w14:paraId="7B560BAC" w14:textId="77777777" w:rsidR="00751A4A" w:rsidRPr="00EC5E1C" w:rsidRDefault="000524F0" w:rsidP="0010095E">
            <w:pPr>
              <w:pStyle w:val="EPName"/>
            </w:pPr>
            <w:r w:rsidRPr="00EC5E1C">
              <w:t>Eiropas Parlaments</w:t>
            </w:r>
          </w:p>
          <w:p w14:paraId="2F0AD2A7" w14:textId="77777777" w:rsidR="00751A4A" w:rsidRPr="00EC5E1C" w:rsidRDefault="005F1B17" w:rsidP="005F1B17">
            <w:pPr>
              <w:pStyle w:val="EPTerm"/>
              <w:rPr>
                <w:rStyle w:val="HideTWBExt"/>
                <w:noProof w:val="0"/>
                <w:vanish w:val="0"/>
                <w:color w:val="auto"/>
              </w:rPr>
            </w:pPr>
            <w:r w:rsidRPr="00EC5E1C">
              <w:t>2024</w:t>
            </w:r>
            <w:r w:rsidR="00817416" w:rsidRPr="00EC5E1C">
              <w:t>-202</w:t>
            </w:r>
            <w:r w:rsidRPr="00EC5E1C">
              <w:t>9</w:t>
            </w:r>
          </w:p>
        </w:tc>
        <w:tc>
          <w:tcPr>
            <w:tcW w:w="2268" w:type="dxa"/>
            <w:shd w:val="clear" w:color="auto" w:fill="auto"/>
          </w:tcPr>
          <w:p w14:paraId="4D400C3C" w14:textId="77777777" w:rsidR="00751A4A" w:rsidRPr="00EC5E1C" w:rsidRDefault="00187494" w:rsidP="0010095E">
            <w:pPr>
              <w:pStyle w:val="EPLogo"/>
            </w:pPr>
            <w:r w:rsidRPr="00EC5E1C">
              <w:rPr>
                <w:noProof/>
                <w:lang w:eastAsia="ja-JP"/>
              </w:rPr>
              <w:drawing>
                <wp:inline distT="0" distB="0" distL="0" distR="0" wp14:anchorId="6A68D523" wp14:editId="52C598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76CB1E" w14:textId="77777777" w:rsidR="00D058B8" w:rsidRPr="00EC5E1C" w:rsidRDefault="00D058B8" w:rsidP="004C5D52">
      <w:pPr>
        <w:pStyle w:val="LineTop"/>
      </w:pPr>
    </w:p>
    <w:p w14:paraId="665B0E38" w14:textId="77777777" w:rsidR="00680577" w:rsidRPr="00EC5E1C" w:rsidRDefault="000524F0" w:rsidP="00680577">
      <w:pPr>
        <w:pStyle w:val="EPBodyTA1"/>
      </w:pPr>
      <w:r w:rsidRPr="00EC5E1C">
        <w:t>PIEŅEMTIE TEKSTI</w:t>
      </w:r>
    </w:p>
    <w:p w14:paraId="4E3D6FC1" w14:textId="77777777" w:rsidR="00D058B8" w:rsidRPr="00EC5E1C" w:rsidRDefault="00D058B8" w:rsidP="00D058B8">
      <w:pPr>
        <w:pStyle w:val="LineBottom"/>
      </w:pPr>
    </w:p>
    <w:p w14:paraId="25F53128" w14:textId="0A35B3FC" w:rsidR="000524F0" w:rsidRPr="00EC5E1C" w:rsidRDefault="000524F0" w:rsidP="000524F0">
      <w:pPr>
        <w:pStyle w:val="ATHeading1"/>
      </w:pPr>
      <w:bookmarkStart w:id="0" w:name="TANumber"/>
      <w:r w:rsidRPr="00EC5E1C">
        <w:t>P10_TA(2026)0</w:t>
      </w:r>
      <w:bookmarkEnd w:id="0"/>
      <w:r w:rsidR="00F77397" w:rsidRPr="00EC5E1C">
        <w:t>136</w:t>
      </w:r>
    </w:p>
    <w:p w14:paraId="4A6B908A" w14:textId="77777777" w:rsidR="000524F0" w:rsidRPr="00EC5E1C" w:rsidRDefault="000524F0" w:rsidP="000524F0">
      <w:pPr>
        <w:pStyle w:val="ATHeading2"/>
      </w:pPr>
      <w:bookmarkStart w:id="1" w:name="title"/>
      <w:r w:rsidRPr="00EC5E1C">
        <w:t>2024. gada budžeta izpildes apstiprināšana: aģentūras</w:t>
      </w:r>
      <w:bookmarkEnd w:id="1"/>
    </w:p>
    <w:p w14:paraId="1B94E324" w14:textId="77777777" w:rsidR="000524F0" w:rsidRPr="00EC5E1C" w:rsidRDefault="000524F0" w:rsidP="000524F0">
      <w:pPr>
        <w:rPr>
          <w:i/>
          <w:vanish/>
        </w:rPr>
      </w:pPr>
      <w:r w:rsidRPr="00EC5E1C">
        <w:rPr>
          <w:i/>
        </w:rPr>
        <w:fldChar w:fldCharType="begin"/>
      </w:r>
      <w:r w:rsidRPr="00EC5E1C">
        <w:rPr>
          <w:i/>
        </w:rPr>
        <w:instrText xml:space="preserve"> TC"(</w:instrText>
      </w:r>
      <w:bookmarkStart w:id="2" w:name="DocNumber"/>
      <w:r w:rsidRPr="00EC5E1C">
        <w:rPr>
          <w:i/>
        </w:rPr>
        <w:instrText>A10-0087/2026</w:instrText>
      </w:r>
      <w:bookmarkEnd w:id="2"/>
      <w:r w:rsidRPr="00EC5E1C">
        <w:rPr>
          <w:i/>
        </w:rPr>
        <w:instrText xml:space="preserve"> - Referente: Monika Hohlmeier)"\l3 \n&gt; \* MERGEFORMAT </w:instrText>
      </w:r>
      <w:r w:rsidRPr="00EC5E1C">
        <w:rPr>
          <w:i/>
        </w:rPr>
        <w:fldChar w:fldCharType="end"/>
      </w:r>
    </w:p>
    <w:p w14:paraId="39DA89DC" w14:textId="77777777" w:rsidR="000524F0" w:rsidRPr="00EC5E1C" w:rsidRDefault="000524F0" w:rsidP="000524F0">
      <w:pPr>
        <w:rPr>
          <w:vanish/>
        </w:rPr>
      </w:pPr>
      <w:bookmarkStart w:id="3" w:name="Commission"/>
      <w:r w:rsidRPr="00EC5E1C">
        <w:rPr>
          <w:vanish/>
        </w:rPr>
        <w:t>Budžeta kontroles komiteja</w:t>
      </w:r>
      <w:bookmarkEnd w:id="3"/>
    </w:p>
    <w:p w14:paraId="0FE79617" w14:textId="77777777" w:rsidR="000524F0" w:rsidRPr="00EC5E1C" w:rsidRDefault="000524F0" w:rsidP="000524F0">
      <w:pPr>
        <w:rPr>
          <w:vanish/>
        </w:rPr>
      </w:pPr>
      <w:bookmarkStart w:id="4" w:name="PE"/>
      <w:r w:rsidRPr="00EC5E1C">
        <w:rPr>
          <w:vanish/>
        </w:rPr>
        <w:t>PE776.806</w:t>
      </w:r>
      <w:bookmarkEnd w:id="4"/>
    </w:p>
    <w:p w14:paraId="4275A9AD" w14:textId="3C9524A7" w:rsidR="000524F0" w:rsidRPr="00EC5E1C" w:rsidRDefault="00B44DA1" w:rsidP="000524F0">
      <w:pPr>
        <w:pStyle w:val="ATHeading3"/>
      </w:pPr>
      <w:bookmarkStart w:id="5" w:name="Sujet"/>
      <w:r w:rsidRPr="00EC5E1C">
        <w:t xml:space="preserve">1. </w:t>
      </w:r>
      <w:r w:rsidR="000524F0" w:rsidRPr="00EC5E1C">
        <w:t xml:space="preserve">Eiropas Parlamenta 2026. gada </w:t>
      </w:r>
      <w:r w:rsidR="00AF222A" w:rsidRPr="00EC5E1C">
        <w:t xml:space="preserve">29. aprīļa </w:t>
      </w:r>
      <w:r w:rsidR="000524F0" w:rsidRPr="00EC5E1C">
        <w:t xml:space="preserve">lēmums par </w:t>
      </w:r>
      <w:bookmarkEnd w:id="5"/>
      <w:r w:rsidR="008F67AA" w:rsidRPr="00EC5E1C">
        <w:rPr>
          <w:bCs/>
        </w:rPr>
        <w:t xml:space="preserve">Eiropas Savienības </w:t>
      </w:r>
      <w:proofErr w:type="spellStart"/>
      <w:r w:rsidR="008F67AA" w:rsidRPr="00EC5E1C">
        <w:rPr>
          <w:bCs/>
        </w:rPr>
        <w:t>Energoregulatoru</w:t>
      </w:r>
      <w:proofErr w:type="spellEnd"/>
      <w:r w:rsidR="008F67AA" w:rsidRPr="00EC5E1C">
        <w:rPr>
          <w:bCs/>
        </w:rPr>
        <w:t xml:space="preserve"> sadarbības aģentūras 2023. finanšu gada budžeta izpildes apstiprināšanu</w:t>
      </w:r>
      <w:r w:rsidR="000524F0" w:rsidRPr="00EC5E1C">
        <w:t xml:space="preserve"> </w:t>
      </w:r>
      <w:bookmarkStart w:id="6" w:name="References"/>
      <w:r w:rsidR="000524F0" w:rsidRPr="00EC5E1C">
        <w:t>(2025/2156(DEC))</w:t>
      </w:r>
      <w:bookmarkEnd w:id="6"/>
    </w:p>
    <w:p w14:paraId="69224828" w14:textId="77777777" w:rsidR="00EA2C2C" w:rsidRPr="00EC5E1C" w:rsidRDefault="00EA2C2C" w:rsidP="00EA2C2C">
      <w:pPr>
        <w:pStyle w:val="EPComma"/>
      </w:pPr>
      <w:bookmarkStart w:id="7" w:name="TextBodyBegin"/>
      <w:bookmarkEnd w:id="7"/>
      <w:r w:rsidRPr="00EC5E1C">
        <w:rPr>
          <w:i/>
          <w:iCs/>
        </w:rPr>
        <w:t>Eiropas Parlaments</w:t>
      </w:r>
      <w:r w:rsidRPr="00EC5E1C">
        <w:t>,</w:t>
      </w:r>
    </w:p>
    <w:p w14:paraId="6337277B" w14:textId="77777777" w:rsidR="00EA2C2C" w:rsidRPr="00EC5E1C" w:rsidRDefault="00EA2C2C" w:rsidP="00EA2C2C">
      <w:pPr>
        <w:pStyle w:val="NormalHanging12a"/>
      </w:pPr>
      <w:r w:rsidRPr="00EC5E1C">
        <w:t>–</w:t>
      </w:r>
      <w:r w:rsidRPr="00EC5E1C">
        <w:tab/>
        <w:t xml:space="preserve">ņemot vērā Eiropas Savienības </w:t>
      </w:r>
      <w:proofErr w:type="spellStart"/>
      <w:r w:rsidRPr="00EC5E1C">
        <w:t>Energoregulatoru</w:t>
      </w:r>
      <w:proofErr w:type="spellEnd"/>
      <w:r w:rsidRPr="00EC5E1C">
        <w:t xml:space="preserve"> sadarbības aģentūras 2024. finanšu gada galīgos pārskatus,</w:t>
      </w:r>
    </w:p>
    <w:p w14:paraId="55F28AAD"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
      </w:r>
      <w:r w:rsidRPr="00EC5E1C">
        <w:t>,</w:t>
      </w:r>
    </w:p>
    <w:p w14:paraId="54BEE564"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
      </w:r>
      <w:r w:rsidRPr="00EC5E1C">
        <w:t xml:space="preserve"> par pārskatu ticamību, kā arī par pakārtoto darījumu likumību un pareizību, kuru Revīzijas palāta sniegusi par 2024. finanšu gadu saskaņā ar Līguma par Eiropas Savienības darbību 287. pantu,</w:t>
      </w:r>
    </w:p>
    <w:p w14:paraId="3A72FF4D"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68B8FBDF" w14:textId="77777777" w:rsidR="00EA2C2C" w:rsidRPr="00EC5E1C" w:rsidRDefault="00EA2C2C" w:rsidP="00EA2C2C">
      <w:pPr>
        <w:pStyle w:val="NormalHanging12a"/>
      </w:pPr>
      <w:r w:rsidRPr="00EC5E1C">
        <w:t>–</w:t>
      </w:r>
      <w:r w:rsidRPr="00EC5E1C">
        <w:tab/>
        <w:t>ņemot vērā Līguma par Eiropas Savienības darbību 319. pantu,</w:t>
      </w:r>
    </w:p>
    <w:p w14:paraId="1BA37E1E"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
      </w:r>
      <w:r w:rsidRPr="00EC5E1C">
        <w:t>, un jo īpaši tās 70. pantu,</w:t>
      </w:r>
    </w:p>
    <w:p w14:paraId="6A2A1226"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4"/>
      </w:r>
      <w:r w:rsidRPr="00EC5E1C">
        <w:t>, un jo īpaši tās 70. pantu,</w:t>
      </w:r>
    </w:p>
    <w:p w14:paraId="6B07200E" w14:textId="77777777" w:rsidR="00EA2C2C" w:rsidRPr="00EC5E1C" w:rsidRDefault="00EA2C2C" w:rsidP="00EA2C2C">
      <w:pPr>
        <w:pStyle w:val="NormalHanging12a"/>
      </w:pPr>
      <w:r w:rsidRPr="00EC5E1C">
        <w:t>–</w:t>
      </w:r>
      <w:r w:rsidRPr="00EC5E1C">
        <w:tab/>
        <w:t xml:space="preserve">ņemot vērā Eiropas Parlamenta un Padomes 2019. gada 5. jūnija Regulu (ES) 2019/942, </w:t>
      </w:r>
      <w:r w:rsidRPr="00EC5E1C">
        <w:lastRenderedPageBreak/>
        <w:t xml:space="preserve">ar ko izveido Eiropas Savienības </w:t>
      </w:r>
      <w:proofErr w:type="spellStart"/>
      <w:r w:rsidRPr="00EC5E1C">
        <w:t>Energoregulatoru</w:t>
      </w:r>
      <w:proofErr w:type="spellEnd"/>
      <w:r w:rsidRPr="00EC5E1C">
        <w:t xml:space="preserve"> sadarbības aģentūru</w:t>
      </w:r>
      <w:r w:rsidRPr="00EC5E1C">
        <w:rPr>
          <w:rStyle w:val="FootnoteReference"/>
        </w:rPr>
        <w:footnoteReference w:id="5"/>
      </w:r>
      <w:r w:rsidRPr="00EC5E1C">
        <w:t>, un jo īpaši tās 35. pantu,</w:t>
      </w:r>
    </w:p>
    <w:p w14:paraId="0B65BAA4"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6"/>
      </w:r>
      <w:r w:rsidRPr="00EC5E1C">
        <w:t>, un jo īpaši tās 105. pantu,</w:t>
      </w:r>
    </w:p>
    <w:p w14:paraId="58B5DB4D" w14:textId="77777777" w:rsidR="00EA2C2C" w:rsidRPr="00EC5E1C" w:rsidRDefault="00EA2C2C" w:rsidP="00EA2C2C">
      <w:pPr>
        <w:pStyle w:val="NormalHanging12a"/>
      </w:pPr>
      <w:r w:rsidRPr="00EC5E1C">
        <w:t>–</w:t>
      </w:r>
      <w:r w:rsidRPr="00EC5E1C">
        <w:tab/>
        <w:t>ņemot vērā Reglamenta 102. pantu un V pielikumu,</w:t>
      </w:r>
    </w:p>
    <w:p w14:paraId="53AAFBE1"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618DB796" w14:textId="77777777" w:rsidR="00EA2C2C" w:rsidRPr="00EC5E1C" w:rsidRDefault="00EA2C2C" w:rsidP="00EA2C2C">
      <w:pPr>
        <w:pStyle w:val="NormalHanging12a"/>
      </w:pPr>
      <w:r w:rsidRPr="00EC5E1C">
        <w:t>–</w:t>
      </w:r>
      <w:r w:rsidRPr="00EC5E1C">
        <w:tab/>
        <w:t>ņemot vērā Budžeta kontroles komitejas ziņojumu (A10-0087/2026),</w:t>
      </w:r>
    </w:p>
    <w:p w14:paraId="14C8CEF6" w14:textId="77777777" w:rsidR="00EA2C2C" w:rsidRPr="00EC5E1C" w:rsidRDefault="00EA2C2C" w:rsidP="00EA2C2C">
      <w:pPr>
        <w:pStyle w:val="NormalHanging12a"/>
      </w:pPr>
      <w:r w:rsidRPr="00EC5E1C">
        <w:t>1.</w:t>
      </w:r>
      <w:r w:rsidRPr="00EC5E1C">
        <w:tab/>
        <w:t xml:space="preserve">sniedz Eiropas Savienības </w:t>
      </w:r>
      <w:proofErr w:type="spellStart"/>
      <w:r w:rsidRPr="00EC5E1C">
        <w:t>Energoregulatoru</w:t>
      </w:r>
      <w:proofErr w:type="spellEnd"/>
      <w:r w:rsidRPr="00EC5E1C">
        <w:t xml:space="preserve"> sadarbības aģentūras pagaidu direktoram apstiprinājumu par Aģentūras 2024. finanšu gada budžeta izpildi;</w:t>
      </w:r>
    </w:p>
    <w:p w14:paraId="76B86232" w14:textId="77777777" w:rsidR="00EA2C2C" w:rsidRPr="00EC5E1C" w:rsidRDefault="00EA2C2C" w:rsidP="00EA2C2C">
      <w:pPr>
        <w:pStyle w:val="NormalHanging12a"/>
      </w:pPr>
      <w:r w:rsidRPr="00EC5E1C">
        <w:t>2.</w:t>
      </w:r>
      <w:r w:rsidRPr="00EC5E1C">
        <w:tab/>
        <w:t>izklāsta savus konstatējumus turpmāk tekstā iekļautajā rezolūcijā;</w:t>
      </w:r>
    </w:p>
    <w:p w14:paraId="1A9C0629"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w:t>
      </w:r>
      <w:proofErr w:type="spellStart"/>
      <w:r w:rsidRPr="00EC5E1C">
        <w:t>Energoregulatoru</w:t>
      </w:r>
      <w:proofErr w:type="spellEnd"/>
      <w:r w:rsidRPr="00EC5E1C">
        <w:t xml:space="preserve"> sadarbības aģentūras pagaidu direktoram, Padomei, Komisijai un Revīzijas palātai un nodrošināt to publicēšanu </w:t>
      </w:r>
      <w:r w:rsidRPr="00EC5E1C">
        <w:rPr>
          <w:i/>
          <w:iCs/>
        </w:rPr>
        <w:t>Eiropas Savienības Oficiālajā Vēstnesī</w:t>
      </w:r>
      <w:r w:rsidRPr="00EC5E1C">
        <w:t xml:space="preserve"> (L sērijā).</w:t>
      </w:r>
    </w:p>
    <w:p w14:paraId="6EA51F3E" w14:textId="77777777" w:rsidR="00EA2C2C" w:rsidRPr="00EC5E1C" w:rsidRDefault="00EA2C2C" w:rsidP="00EA2C2C"/>
    <w:p w14:paraId="4FAC913F" w14:textId="77777777" w:rsidR="00EA2C2C" w:rsidRPr="00EC5E1C" w:rsidRDefault="00EA2C2C" w:rsidP="00EA2C2C">
      <w:pPr>
        <w:pStyle w:val="PageHeadingDec"/>
        <w:sectPr w:rsidR="00EA2C2C" w:rsidRPr="00EC5E1C" w:rsidSect="00D106D3">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2E13E8" w14:textId="77777777" w:rsidR="00B44DA1" w:rsidRPr="00EC5E1C" w:rsidRDefault="00B44DA1" w:rsidP="00B44DA1">
      <w:pPr>
        <w:pStyle w:val="ATHeading3"/>
      </w:pPr>
      <w:r w:rsidRPr="00EC5E1C">
        <w:lastRenderedPageBreak/>
        <w:t xml:space="preserve">2. Eiropas Parlamenta 2026. gada 29. aprīļa lēmums par Eiropas Savienības </w:t>
      </w:r>
      <w:proofErr w:type="spellStart"/>
      <w:r w:rsidRPr="00EC5E1C">
        <w:t>Energoregulatoru</w:t>
      </w:r>
      <w:proofErr w:type="spellEnd"/>
      <w:r w:rsidRPr="00EC5E1C">
        <w:t xml:space="preserve"> sadarbības aģentūras 2024. finanšu gada pārskatu apstiprināšanu (2025/2156(DEC))</w:t>
      </w:r>
    </w:p>
    <w:p w14:paraId="5B9A044C" w14:textId="77777777" w:rsidR="00EA2C2C" w:rsidRPr="00EC5E1C" w:rsidRDefault="00EA2C2C" w:rsidP="00EA2C2C">
      <w:pPr>
        <w:pStyle w:val="EPComma"/>
      </w:pPr>
      <w:r w:rsidRPr="00EC5E1C">
        <w:rPr>
          <w:i/>
          <w:iCs/>
        </w:rPr>
        <w:t>Eiropas Parlaments</w:t>
      </w:r>
      <w:r w:rsidRPr="00EC5E1C">
        <w:t>,</w:t>
      </w:r>
    </w:p>
    <w:p w14:paraId="3EA3B98B" w14:textId="77777777" w:rsidR="00EA2C2C" w:rsidRPr="00EC5E1C" w:rsidRDefault="00EA2C2C" w:rsidP="00EA2C2C">
      <w:pPr>
        <w:pStyle w:val="NormalHanging12a"/>
      </w:pPr>
      <w:r w:rsidRPr="00EC5E1C">
        <w:t>–</w:t>
      </w:r>
      <w:r w:rsidRPr="00EC5E1C">
        <w:tab/>
        <w:t xml:space="preserve">ņemot vērā Eiropas Savienības </w:t>
      </w:r>
      <w:proofErr w:type="spellStart"/>
      <w:r w:rsidRPr="00EC5E1C">
        <w:t>Energoregulatoru</w:t>
      </w:r>
      <w:proofErr w:type="spellEnd"/>
      <w:r w:rsidRPr="00EC5E1C">
        <w:t xml:space="preserve"> sadarbības aģentūras 2024. finanšu gada galīgos pārskatus,</w:t>
      </w:r>
    </w:p>
    <w:p w14:paraId="2A11CC7C"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7"/>
      </w:r>
      <w:r w:rsidRPr="00EC5E1C">
        <w:t>,</w:t>
      </w:r>
    </w:p>
    <w:p w14:paraId="07DE735D"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8"/>
      </w:r>
      <w:r w:rsidRPr="00EC5E1C">
        <w:t xml:space="preserve"> par pārskatu ticamību, kā arī par pakārtoto darījumu likumību un pareizību, kuru Revīzijas palāta sniegusi par 2024. finanšu gadu saskaņā ar Līguma par Eiropas Savienības darbību 287. pantu,</w:t>
      </w:r>
    </w:p>
    <w:p w14:paraId="7BFC60BE"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1C184E70" w14:textId="77777777" w:rsidR="00EA2C2C" w:rsidRPr="00EC5E1C" w:rsidRDefault="00EA2C2C" w:rsidP="00EA2C2C">
      <w:pPr>
        <w:pStyle w:val="NormalHanging12a"/>
      </w:pPr>
      <w:r w:rsidRPr="00EC5E1C">
        <w:t>–</w:t>
      </w:r>
      <w:r w:rsidRPr="00EC5E1C">
        <w:tab/>
        <w:t>ņemot vērā Līguma par Eiropas Savienības darbību 319. pantu,</w:t>
      </w:r>
    </w:p>
    <w:p w14:paraId="6B85EA70"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9"/>
      </w:r>
      <w:r w:rsidRPr="00EC5E1C">
        <w:t>, un jo īpaši tās 70. pantu,</w:t>
      </w:r>
    </w:p>
    <w:p w14:paraId="0B7FBD08"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0"/>
      </w:r>
      <w:r w:rsidRPr="00EC5E1C">
        <w:t>, un jo īpaši tās 70. pantu,</w:t>
      </w:r>
    </w:p>
    <w:p w14:paraId="3E839693" w14:textId="77777777" w:rsidR="00EA2C2C" w:rsidRPr="00EC5E1C" w:rsidRDefault="00EA2C2C" w:rsidP="00EA2C2C">
      <w:pPr>
        <w:pStyle w:val="NormalHanging12a"/>
      </w:pPr>
      <w:r w:rsidRPr="00EC5E1C">
        <w:t>–</w:t>
      </w:r>
      <w:r w:rsidRPr="00EC5E1C">
        <w:tab/>
        <w:t xml:space="preserve">ņemot vērā Eiropas Parlamenta un Padomes 2019. gada 5. jūnija Regulu (ES) 2019/942, ar ko izveido Eiropas Savienības </w:t>
      </w:r>
      <w:proofErr w:type="spellStart"/>
      <w:r w:rsidRPr="00EC5E1C">
        <w:t>Energoregulatoru</w:t>
      </w:r>
      <w:proofErr w:type="spellEnd"/>
      <w:r w:rsidRPr="00EC5E1C">
        <w:t xml:space="preserve"> sadarbības aģentūru</w:t>
      </w:r>
      <w:r w:rsidRPr="00EC5E1C">
        <w:rPr>
          <w:rStyle w:val="FootnoteReference"/>
        </w:rPr>
        <w:footnoteReference w:id="11"/>
      </w:r>
      <w:r w:rsidRPr="00EC5E1C">
        <w:t>, un jo īpaši tās 35. pantu,</w:t>
      </w:r>
    </w:p>
    <w:p w14:paraId="593467DB"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2"/>
      </w:r>
      <w:r w:rsidRPr="00EC5E1C">
        <w:t>, un jo īpaši tās 105. pantu,</w:t>
      </w:r>
    </w:p>
    <w:p w14:paraId="4A813053" w14:textId="77777777" w:rsidR="00EA2C2C" w:rsidRPr="00EC5E1C" w:rsidRDefault="00EA2C2C" w:rsidP="00EA2C2C">
      <w:pPr>
        <w:pStyle w:val="NormalHanging12a"/>
      </w:pPr>
      <w:r w:rsidRPr="00EC5E1C">
        <w:t>–</w:t>
      </w:r>
      <w:r w:rsidRPr="00EC5E1C">
        <w:tab/>
        <w:t>ņemot vērā Reglamenta 102. pantu un V pielikumu,</w:t>
      </w:r>
    </w:p>
    <w:p w14:paraId="5927ABFB"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w:t>
      </w:r>
      <w:r w:rsidRPr="00EC5E1C">
        <w:lastRenderedPageBreak/>
        <w:t xml:space="preserve">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61FD8F21" w14:textId="77777777" w:rsidR="00EA2C2C" w:rsidRPr="00EC5E1C" w:rsidRDefault="00EA2C2C" w:rsidP="00EA2C2C">
      <w:pPr>
        <w:pStyle w:val="NormalHanging12a"/>
      </w:pPr>
      <w:r w:rsidRPr="00EC5E1C">
        <w:t>–</w:t>
      </w:r>
      <w:r w:rsidRPr="00EC5E1C">
        <w:tab/>
        <w:t>ņemot vērā Budžeta kontroles komitejas ziņojumu (A10-0087/2026),</w:t>
      </w:r>
    </w:p>
    <w:p w14:paraId="5768C1C0" w14:textId="77777777" w:rsidR="00EA2C2C" w:rsidRPr="00EC5E1C" w:rsidRDefault="00EA2C2C" w:rsidP="00EA2C2C">
      <w:pPr>
        <w:pStyle w:val="NormalHanging12a"/>
      </w:pPr>
      <w:r w:rsidRPr="00EC5E1C">
        <w:t>1.</w:t>
      </w:r>
      <w:r w:rsidRPr="00EC5E1C">
        <w:tab/>
        <w:t xml:space="preserve">apstiprina Eiropas Savienības </w:t>
      </w:r>
      <w:proofErr w:type="spellStart"/>
      <w:r w:rsidRPr="00EC5E1C">
        <w:t>Energoregulatoru</w:t>
      </w:r>
      <w:proofErr w:type="spellEnd"/>
      <w:r w:rsidRPr="00EC5E1C">
        <w:t xml:space="preserve"> sadarbības aģentūras 2024. finanšu gada pārskatus;</w:t>
      </w:r>
    </w:p>
    <w:p w14:paraId="68DDB7A4" w14:textId="77777777" w:rsidR="00EA2C2C" w:rsidRPr="00EC5E1C" w:rsidRDefault="00EA2C2C" w:rsidP="00EA2C2C">
      <w:pPr>
        <w:pStyle w:val="NormalHanging12a"/>
      </w:pPr>
      <w:r w:rsidRPr="00EC5E1C">
        <w:t>2.</w:t>
      </w:r>
      <w:r w:rsidRPr="00EC5E1C">
        <w:tab/>
        <w:t xml:space="preserve">uzdod priekšsēdētājai šo lēmumu nosūtīt Eiropas Savienības </w:t>
      </w:r>
      <w:proofErr w:type="spellStart"/>
      <w:r w:rsidRPr="00EC5E1C">
        <w:t>Energoregulatoru</w:t>
      </w:r>
      <w:proofErr w:type="spellEnd"/>
      <w:r w:rsidRPr="00EC5E1C">
        <w:t xml:space="preserve"> sadarbības aģentūras pagaidu direktoram, Padomei, Komisijai un Revīzijas palātai un nodrošināt tā publicēšanu </w:t>
      </w:r>
      <w:r w:rsidRPr="00EC5E1C">
        <w:rPr>
          <w:i/>
          <w:iCs/>
        </w:rPr>
        <w:t>Eiropas Savienības Oficiālajā Vēstnesī</w:t>
      </w:r>
      <w:r w:rsidRPr="00EC5E1C">
        <w:t xml:space="preserve"> (L sērijā).</w:t>
      </w:r>
    </w:p>
    <w:p w14:paraId="1CDB0711" w14:textId="77777777" w:rsidR="00EA2C2C" w:rsidRPr="00EC5E1C" w:rsidRDefault="00EA2C2C" w:rsidP="00EA2C2C"/>
    <w:p w14:paraId="19AACDA7" w14:textId="3B3C43F6" w:rsidR="00EA2C2C" w:rsidRPr="00EC5E1C" w:rsidRDefault="00EA2C2C" w:rsidP="00EA2C2C">
      <w:pPr>
        <w:pStyle w:val="PageHeadingDec"/>
      </w:pPr>
    </w:p>
    <w:p w14:paraId="48A0352B" w14:textId="77777777" w:rsidR="00EA2C2C" w:rsidRPr="00EC5E1C" w:rsidRDefault="00EA2C2C" w:rsidP="00EA2C2C">
      <w:pPr>
        <w:pStyle w:val="PageHeadingDec"/>
        <w:sectPr w:rsidR="00EA2C2C" w:rsidRPr="00EC5E1C" w:rsidSect="00D106D3">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1FA1CF2" w14:textId="77777777" w:rsidR="00B44DA1" w:rsidRPr="00EC5E1C" w:rsidRDefault="00B44DA1" w:rsidP="00B44DA1">
      <w:pPr>
        <w:pStyle w:val="ATHeading3"/>
      </w:pPr>
      <w:r w:rsidRPr="00EC5E1C">
        <w:lastRenderedPageBreak/>
        <w:t>3. Eiropas Parlamenta 2026. gada 29. aprīļa lēmums par BEREC atbalsta aģentūras 2024. finanšu gada budžeta izpildes apstiprināšanu (2025/2156(DEC))</w:t>
      </w:r>
    </w:p>
    <w:p w14:paraId="01C8A9DF" w14:textId="77777777" w:rsidR="00EA2C2C" w:rsidRPr="00EC5E1C" w:rsidRDefault="00EA2C2C" w:rsidP="00EA2C2C">
      <w:pPr>
        <w:pStyle w:val="EPComma"/>
      </w:pPr>
      <w:r w:rsidRPr="00EC5E1C">
        <w:rPr>
          <w:i/>
          <w:iCs/>
        </w:rPr>
        <w:t>Eiropas Parlaments</w:t>
      </w:r>
      <w:r w:rsidRPr="00EC5E1C">
        <w:t>,</w:t>
      </w:r>
    </w:p>
    <w:p w14:paraId="0A2988BC" w14:textId="77777777" w:rsidR="00EA2C2C" w:rsidRPr="00EC5E1C" w:rsidRDefault="00EA2C2C" w:rsidP="00EA2C2C">
      <w:pPr>
        <w:pStyle w:val="NormalHanging12a"/>
      </w:pPr>
      <w:r w:rsidRPr="00EC5E1C">
        <w:t>–</w:t>
      </w:r>
      <w:r w:rsidRPr="00EC5E1C">
        <w:tab/>
        <w:t xml:space="preserve">ņemot vērā </w:t>
      </w:r>
      <w:r w:rsidRPr="00EC5E1C">
        <w:rPr>
          <w:i/>
          <w:iCs/>
        </w:rPr>
        <w:t>BEREC</w:t>
      </w:r>
      <w:r w:rsidRPr="00EC5E1C">
        <w:t xml:space="preserve"> atbalsta aģentūras 2024. finanšu gada galīgos pārskatus,</w:t>
      </w:r>
    </w:p>
    <w:p w14:paraId="766F5B07"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3"/>
      </w:r>
      <w:r w:rsidRPr="00EC5E1C">
        <w:t>,</w:t>
      </w:r>
    </w:p>
    <w:p w14:paraId="29041E5C"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4"/>
      </w:r>
      <w:r w:rsidRPr="00EC5E1C">
        <w:t xml:space="preserve"> par pārskatu ticamību, kā arī par pakārtoto darījumu likumību un pareizību, kuru Revīzijas palāta sniegusi par 2024. finanšu gadu saskaņā ar Līguma par Eiropas Savienības darbību 287. pantu,</w:t>
      </w:r>
    </w:p>
    <w:p w14:paraId="1E0D7FAC"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06E7B192" w14:textId="77777777" w:rsidR="00EA2C2C" w:rsidRPr="00EC5E1C" w:rsidRDefault="00EA2C2C" w:rsidP="00EA2C2C">
      <w:pPr>
        <w:pStyle w:val="NormalHanging12a"/>
      </w:pPr>
      <w:r w:rsidRPr="00EC5E1C">
        <w:t>–</w:t>
      </w:r>
      <w:r w:rsidRPr="00EC5E1C">
        <w:tab/>
        <w:t>ņemot vērā Līguma par Eiropas Savienības darbību 319. pantu,</w:t>
      </w:r>
    </w:p>
    <w:p w14:paraId="0193D77B"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5"/>
      </w:r>
      <w:r w:rsidRPr="00EC5E1C">
        <w:t>, un jo īpaši tās 70. pantu,</w:t>
      </w:r>
    </w:p>
    <w:p w14:paraId="1FBE27F5"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6"/>
      </w:r>
      <w:r w:rsidRPr="00EC5E1C">
        <w:t>, un jo īpaši tās 70. pantu,</w:t>
      </w:r>
    </w:p>
    <w:p w14:paraId="5D0FA42A" w14:textId="77777777" w:rsidR="00EA2C2C" w:rsidRPr="00EC5E1C" w:rsidRDefault="00EA2C2C" w:rsidP="00EA2C2C">
      <w:pPr>
        <w:pStyle w:val="NormalHanging12a"/>
      </w:pPr>
      <w:r w:rsidRPr="00EC5E1C">
        <w:t>–</w:t>
      </w:r>
      <w:r w:rsidRPr="00EC5E1C">
        <w:tab/>
        <w:t>ņemot vērā Eiropas Parlamenta un Padomes 2018. gada 11. decembra Regulu (ES) 2018/1971, ar ko izveido Eiropas Elektronisko sakaru regulatoru iestādi (</w:t>
      </w:r>
      <w:r w:rsidRPr="00EC5E1C">
        <w:rPr>
          <w:i/>
          <w:iCs/>
        </w:rPr>
        <w:t>BEREC</w:t>
      </w:r>
      <w:r w:rsidRPr="00EC5E1C">
        <w:t xml:space="preserve">) un </w:t>
      </w:r>
      <w:r w:rsidRPr="00EC5E1C">
        <w:rPr>
          <w:i/>
          <w:iCs/>
        </w:rPr>
        <w:t>BEREC</w:t>
      </w:r>
      <w:r w:rsidRPr="00EC5E1C">
        <w:t xml:space="preserve"> atbalsta aģentūru (</w:t>
      </w:r>
      <w:r w:rsidRPr="00EC5E1C">
        <w:rPr>
          <w:i/>
          <w:iCs/>
        </w:rPr>
        <w:t>BEREC</w:t>
      </w:r>
      <w:r w:rsidRPr="00EC5E1C">
        <w:t xml:space="preserve"> birojs), groza Regulu (ES) 2015/2120 un atceļ Regulu (EK) Nr. 1211/2009</w:t>
      </w:r>
      <w:r w:rsidRPr="00EC5E1C">
        <w:rPr>
          <w:rStyle w:val="FootnoteReference"/>
        </w:rPr>
        <w:footnoteReference w:id="17"/>
      </w:r>
      <w:r w:rsidRPr="00EC5E1C">
        <w:t>, un jo īpaši tās 28. pantu,</w:t>
      </w:r>
    </w:p>
    <w:p w14:paraId="3C19D382"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8"/>
      </w:r>
      <w:r w:rsidRPr="00EC5E1C">
        <w:t>, un jo īpaši tās 105. pantu,</w:t>
      </w:r>
    </w:p>
    <w:p w14:paraId="45D40821" w14:textId="77777777" w:rsidR="00EA2C2C" w:rsidRPr="00EC5E1C" w:rsidRDefault="00EA2C2C" w:rsidP="00EA2C2C">
      <w:pPr>
        <w:pStyle w:val="NormalHanging12a"/>
      </w:pPr>
      <w:r w:rsidRPr="00EC5E1C">
        <w:t>–</w:t>
      </w:r>
      <w:r w:rsidRPr="00EC5E1C">
        <w:tab/>
        <w:t>ņemot vērā Reglamenta 102. pantu un V pielikumu,</w:t>
      </w:r>
    </w:p>
    <w:p w14:paraId="7248B506"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6A559B9E" w14:textId="77777777" w:rsidR="00EA2C2C" w:rsidRPr="00EC5E1C" w:rsidRDefault="00EA2C2C" w:rsidP="00EA2C2C">
      <w:pPr>
        <w:pStyle w:val="NormalHanging12a"/>
      </w:pPr>
      <w:r w:rsidRPr="00EC5E1C">
        <w:t>–</w:t>
      </w:r>
      <w:r w:rsidRPr="00EC5E1C">
        <w:tab/>
        <w:t>ņemot vērā Budžeta kontroles komitejas ziņojumu (A10-0087/2026),</w:t>
      </w:r>
    </w:p>
    <w:p w14:paraId="713FE0BA" w14:textId="77777777" w:rsidR="00EA2C2C" w:rsidRPr="00EC5E1C" w:rsidRDefault="00EA2C2C" w:rsidP="00EA2C2C">
      <w:pPr>
        <w:pStyle w:val="NormalHanging12a"/>
      </w:pPr>
      <w:r w:rsidRPr="00EC5E1C">
        <w:t>1.</w:t>
      </w:r>
      <w:r w:rsidRPr="00EC5E1C">
        <w:tab/>
        <w:t xml:space="preserve">sniedz </w:t>
      </w:r>
      <w:r w:rsidRPr="00EC5E1C">
        <w:rPr>
          <w:i/>
          <w:iCs/>
        </w:rPr>
        <w:t>BEREC</w:t>
      </w:r>
      <w:r w:rsidRPr="00EC5E1C">
        <w:t xml:space="preserve"> atbalsta aģentūras direktorei apstiprinājumu par Aģentūras 2024. finanšu gada budžeta izpildi;</w:t>
      </w:r>
    </w:p>
    <w:p w14:paraId="3A9D21BA" w14:textId="77777777" w:rsidR="00EA2C2C" w:rsidRPr="00EC5E1C" w:rsidRDefault="00EA2C2C" w:rsidP="00EA2C2C">
      <w:pPr>
        <w:pStyle w:val="NormalHanging12a"/>
      </w:pPr>
      <w:r w:rsidRPr="00EC5E1C">
        <w:t>2.</w:t>
      </w:r>
      <w:r w:rsidRPr="00EC5E1C">
        <w:tab/>
        <w:t>izklāsta savus konstatējumus turpmāk tekstā iekļautajā rezolūcijā;</w:t>
      </w:r>
    </w:p>
    <w:p w14:paraId="3923B49D"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w:t>
      </w:r>
      <w:r w:rsidRPr="00EC5E1C">
        <w:rPr>
          <w:i/>
          <w:iCs/>
        </w:rPr>
        <w:t>BEREC</w:t>
      </w:r>
      <w:r w:rsidRPr="00EC5E1C">
        <w:t xml:space="preserve"> atbalsta aģentūras direktorei, Padomei, Komisijai un Revīzijas palātai un nodrošināt to publicēšanu </w:t>
      </w:r>
      <w:r w:rsidRPr="00EC5E1C">
        <w:rPr>
          <w:i/>
          <w:iCs/>
        </w:rPr>
        <w:t>Eiropas Savienības Oficiālajā Vēstnesī</w:t>
      </w:r>
      <w:r w:rsidRPr="00EC5E1C">
        <w:t xml:space="preserve"> (L sērijā).</w:t>
      </w:r>
    </w:p>
    <w:p w14:paraId="29D4AEEC" w14:textId="77777777" w:rsidR="00EA2C2C" w:rsidRPr="00EC5E1C" w:rsidRDefault="00EA2C2C" w:rsidP="00EA2C2C"/>
    <w:p w14:paraId="5F475CF0" w14:textId="77777777" w:rsidR="00EA2C2C" w:rsidRPr="00EC5E1C" w:rsidRDefault="00EA2C2C" w:rsidP="00EA2C2C">
      <w:pPr>
        <w:pStyle w:val="PageHeadingDec"/>
        <w:sectPr w:rsidR="00EA2C2C" w:rsidRPr="00EC5E1C" w:rsidSect="00D106D3">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CC8E4F" w14:textId="77777777" w:rsidR="00B44DA1" w:rsidRPr="00EC5E1C" w:rsidRDefault="00B44DA1" w:rsidP="00B44DA1">
      <w:pPr>
        <w:pStyle w:val="ATHeading3"/>
      </w:pPr>
      <w:r w:rsidRPr="00EC5E1C">
        <w:lastRenderedPageBreak/>
        <w:t>4. Eiropas Parlamenta 2026. gada 29. aprīļa lēmums par BEREC atbalsta aģentūras 2024. finanšu gada pārskatu apstiprināšanu (2025/2156(DEC))</w:t>
      </w:r>
    </w:p>
    <w:p w14:paraId="2B2024CB" w14:textId="77777777" w:rsidR="00EA2C2C" w:rsidRPr="00EC5E1C" w:rsidRDefault="00EA2C2C" w:rsidP="00EA2C2C">
      <w:pPr>
        <w:pStyle w:val="EPComma"/>
      </w:pPr>
      <w:r w:rsidRPr="00EC5E1C">
        <w:rPr>
          <w:i/>
          <w:iCs/>
        </w:rPr>
        <w:t>Eiropas Parlaments</w:t>
      </w:r>
      <w:r w:rsidRPr="00EC5E1C">
        <w:t>,</w:t>
      </w:r>
    </w:p>
    <w:p w14:paraId="0B3054DE" w14:textId="77777777" w:rsidR="00EA2C2C" w:rsidRPr="00EC5E1C" w:rsidRDefault="00EA2C2C" w:rsidP="00EA2C2C">
      <w:pPr>
        <w:pStyle w:val="NormalHanging12a"/>
      </w:pPr>
      <w:r w:rsidRPr="00EC5E1C">
        <w:t>–</w:t>
      </w:r>
      <w:r w:rsidRPr="00EC5E1C">
        <w:tab/>
        <w:t xml:space="preserve">ņemot vērā </w:t>
      </w:r>
      <w:r w:rsidRPr="00EC5E1C">
        <w:rPr>
          <w:i/>
          <w:iCs/>
        </w:rPr>
        <w:t>BEREC</w:t>
      </w:r>
      <w:r w:rsidRPr="00EC5E1C">
        <w:t xml:space="preserve"> atbalsta aģentūras 2024. finanšu gada galīgos pārskatus,</w:t>
      </w:r>
    </w:p>
    <w:p w14:paraId="5834894F"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9"/>
      </w:r>
      <w:r w:rsidRPr="00EC5E1C">
        <w:t>,</w:t>
      </w:r>
    </w:p>
    <w:p w14:paraId="72849288"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0"/>
      </w:r>
      <w:r w:rsidRPr="00EC5E1C">
        <w:t xml:space="preserve"> par pārskatu ticamību, kā arī par pakārtoto darījumu likumību un pareizību, kuru Revīzijas palāta sniegusi par 2024. finanšu gadu saskaņā ar Līguma par Eiropas Savienības darbību 287. pantu,</w:t>
      </w:r>
    </w:p>
    <w:p w14:paraId="62F66EC1"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2303CBFD" w14:textId="77777777" w:rsidR="00EA2C2C" w:rsidRPr="00EC5E1C" w:rsidRDefault="00EA2C2C" w:rsidP="00EA2C2C">
      <w:pPr>
        <w:pStyle w:val="NormalHanging12a"/>
      </w:pPr>
      <w:r w:rsidRPr="00EC5E1C">
        <w:t>–</w:t>
      </w:r>
      <w:r w:rsidRPr="00EC5E1C">
        <w:tab/>
        <w:t>ņemot vērā Līguma par Eiropas Savienības darbību 319. pantu,</w:t>
      </w:r>
    </w:p>
    <w:p w14:paraId="63B575A3"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1"/>
      </w:r>
      <w:r w:rsidRPr="00EC5E1C">
        <w:t>, un jo īpaši tās 70. pantu,</w:t>
      </w:r>
    </w:p>
    <w:p w14:paraId="436EC80E"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2"/>
      </w:r>
      <w:r w:rsidRPr="00EC5E1C">
        <w:t>, un jo īpaši tās 70. pantu,</w:t>
      </w:r>
    </w:p>
    <w:p w14:paraId="0BFD92C3" w14:textId="77777777" w:rsidR="00EA2C2C" w:rsidRPr="00EC5E1C" w:rsidRDefault="00EA2C2C" w:rsidP="00EA2C2C">
      <w:pPr>
        <w:pStyle w:val="NormalHanging12a"/>
      </w:pPr>
      <w:r w:rsidRPr="00EC5E1C">
        <w:t>–</w:t>
      </w:r>
      <w:r w:rsidRPr="00EC5E1C">
        <w:tab/>
        <w:t>ņemot vērā Eiropas Parlamenta un Padomes 2018. gada 11. decembra Regulu (ES) 2018/1971, ar ko izveido Eiropas Elektronisko sakaru regulatoru iestādi (</w:t>
      </w:r>
      <w:r w:rsidRPr="00EC5E1C">
        <w:rPr>
          <w:i/>
          <w:iCs/>
        </w:rPr>
        <w:t>BEREC</w:t>
      </w:r>
      <w:r w:rsidRPr="00EC5E1C">
        <w:t xml:space="preserve">) un </w:t>
      </w:r>
      <w:r w:rsidRPr="00EC5E1C">
        <w:rPr>
          <w:i/>
          <w:iCs/>
        </w:rPr>
        <w:t>BEREC</w:t>
      </w:r>
      <w:r w:rsidRPr="00EC5E1C">
        <w:t xml:space="preserve"> atbalsta aģentūru (</w:t>
      </w:r>
      <w:r w:rsidRPr="00EC5E1C">
        <w:rPr>
          <w:i/>
          <w:iCs/>
        </w:rPr>
        <w:t>BEREC</w:t>
      </w:r>
      <w:r w:rsidRPr="00EC5E1C">
        <w:t xml:space="preserve"> birojs), groza Regulu (ES) 2015/2120 un atceļ Regulu (EK) Nr. 1211/2009</w:t>
      </w:r>
      <w:r w:rsidRPr="00EC5E1C">
        <w:rPr>
          <w:rStyle w:val="FootnoteReference"/>
        </w:rPr>
        <w:footnoteReference w:id="23"/>
      </w:r>
      <w:r w:rsidRPr="00EC5E1C">
        <w:t>, un jo īpaši tās 28. pantu,</w:t>
      </w:r>
    </w:p>
    <w:p w14:paraId="19F3F5DE"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4"/>
      </w:r>
      <w:r w:rsidRPr="00EC5E1C">
        <w:t>, un jo īpaši tās 105. pantu,</w:t>
      </w:r>
    </w:p>
    <w:p w14:paraId="3F2C13E0" w14:textId="77777777" w:rsidR="00EA2C2C" w:rsidRPr="00EC5E1C" w:rsidRDefault="00EA2C2C" w:rsidP="00EA2C2C">
      <w:pPr>
        <w:pStyle w:val="NormalHanging12a"/>
      </w:pPr>
      <w:r w:rsidRPr="00EC5E1C">
        <w:t>–</w:t>
      </w:r>
      <w:r w:rsidRPr="00EC5E1C">
        <w:tab/>
        <w:t>ņemot vērā Reglamenta 102. pantu un V pielikumu,</w:t>
      </w:r>
    </w:p>
    <w:p w14:paraId="19034421"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2D5971F8" w14:textId="77777777" w:rsidR="00EA2C2C" w:rsidRPr="00EC5E1C" w:rsidRDefault="00EA2C2C" w:rsidP="00EA2C2C">
      <w:pPr>
        <w:pStyle w:val="NormalHanging12a"/>
      </w:pPr>
      <w:r w:rsidRPr="00EC5E1C">
        <w:t>–</w:t>
      </w:r>
      <w:r w:rsidRPr="00EC5E1C">
        <w:tab/>
        <w:t>ņemot vērā Budžeta kontroles komitejas ziņojumu (A10-0087/2026),</w:t>
      </w:r>
    </w:p>
    <w:p w14:paraId="5B75F19D" w14:textId="77777777" w:rsidR="00EA2C2C" w:rsidRPr="00EC5E1C" w:rsidRDefault="00EA2C2C" w:rsidP="00EA2C2C">
      <w:pPr>
        <w:pStyle w:val="NormalHanging12a"/>
      </w:pPr>
      <w:r w:rsidRPr="00EC5E1C">
        <w:t>1.</w:t>
      </w:r>
      <w:r w:rsidRPr="00EC5E1C">
        <w:tab/>
        <w:t xml:space="preserve">apstiprina </w:t>
      </w:r>
      <w:r w:rsidRPr="00EC5E1C">
        <w:rPr>
          <w:i/>
          <w:iCs/>
        </w:rPr>
        <w:t>BEREC</w:t>
      </w:r>
      <w:r w:rsidRPr="00EC5E1C">
        <w:t xml:space="preserve"> atbalsta aģentūras 2024. finanšu gada pārskatus;</w:t>
      </w:r>
    </w:p>
    <w:p w14:paraId="56C2E88E" w14:textId="77777777" w:rsidR="00EA2C2C" w:rsidRPr="00EC5E1C" w:rsidRDefault="00EA2C2C" w:rsidP="00EA2C2C">
      <w:pPr>
        <w:pStyle w:val="NormalHanging12a"/>
      </w:pPr>
      <w:r w:rsidRPr="00EC5E1C">
        <w:t>2.</w:t>
      </w:r>
      <w:r w:rsidRPr="00EC5E1C">
        <w:tab/>
        <w:t xml:space="preserve">uzdod priekšsēdētājai šo lēmumu nosūtīt </w:t>
      </w:r>
      <w:r w:rsidRPr="00EC5E1C">
        <w:rPr>
          <w:i/>
          <w:iCs/>
        </w:rPr>
        <w:t>BEREC</w:t>
      </w:r>
      <w:r w:rsidRPr="00EC5E1C">
        <w:t xml:space="preserve"> atbalsta aģentūras direktorei, Padomei, Komisijai un Revīzijas palātai un nodrošināt tā publicēšanu </w:t>
      </w:r>
      <w:r w:rsidRPr="00EC5E1C">
        <w:rPr>
          <w:i/>
          <w:iCs/>
        </w:rPr>
        <w:t>Eiropas Savienības Oficiālajā Vēstnesī</w:t>
      </w:r>
      <w:r w:rsidRPr="00EC5E1C">
        <w:t xml:space="preserve"> (L sērijā).</w:t>
      </w:r>
    </w:p>
    <w:p w14:paraId="0E60653B" w14:textId="77777777" w:rsidR="00EA2C2C" w:rsidRPr="00EC5E1C" w:rsidRDefault="00EA2C2C" w:rsidP="00EA2C2C"/>
    <w:p w14:paraId="23185384" w14:textId="77777777" w:rsidR="00EA2C2C" w:rsidRPr="00EC5E1C" w:rsidRDefault="00EA2C2C" w:rsidP="00EA2C2C"/>
    <w:p w14:paraId="7748A293" w14:textId="2501BF05" w:rsidR="00EA2C2C" w:rsidRPr="00EC5E1C" w:rsidRDefault="00EA2C2C" w:rsidP="00EA2C2C">
      <w:pPr>
        <w:pStyle w:val="PageHeadingDec"/>
      </w:pPr>
    </w:p>
    <w:p w14:paraId="3891E760" w14:textId="77777777" w:rsidR="00EA2C2C" w:rsidRPr="00EC5E1C" w:rsidRDefault="00EA2C2C" w:rsidP="00EA2C2C">
      <w:pPr>
        <w:pStyle w:val="PageHeadingDec"/>
        <w:sectPr w:rsidR="00EA2C2C" w:rsidRPr="00EC5E1C" w:rsidSect="00D106D3">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D27DF5" w14:textId="77777777" w:rsidR="00B44DA1" w:rsidRPr="00EC5E1C" w:rsidRDefault="00B44DA1" w:rsidP="00B44DA1">
      <w:pPr>
        <w:pStyle w:val="ATHeading3"/>
      </w:pPr>
      <w:r w:rsidRPr="00EC5E1C">
        <w:lastRenderedPageBreak/>
        <w:t>5. Eiropas Parlamenta 2026. gada 29. aprīļa lēmums par Eiropas Savienības iestāžu Tulkošanas centra 2024. finanšu gada budžeta izpildes apstiprināšanu (2025/2156(DEC))</w:t>
      </w:r>
    </w:p>
    <w:p w14:paraId="0873A2BB" w14:textId="77777777" w:rsidR="00EA2C2C" w:rsidRPr="00EC5E1C" w:rsidRDefault="00EA2C2C" w:rsidP="00EA2C2C">
      <w:pPr>
        <w:pStyle w:val="EPComma"/>
      </w:pPr>
      <w:r w:rsidRPr="00EC5E1C">
        <w:rPr>
          <w:i/>
          <w:iCs/>
        </w:rPr>
        <w:t>Eiropas Parlaments</w:t>
      </w:r>
      <w:r w:rsidRPr="00EC5E1C">
        <w:t>,</w:t>
      </w:r>
    </w:p>
    <w:p w14:paraId="5736A52B" w14:textId="77777777" w:rsidR="00EA2C2C" w:rsidRPr="00EC5E1C" w:rsidRDefault="00EA2C2C" w:rsidP="00EA2C2C">
      <w:pPr>
        <w:pStyle w:val="NormalHanging12a"/>
      </w:pPr>
      <w:r w:rsidRPr="00EC5E1C">
        <w:t>–</w:t>
      </w:r>
      <w:r w:rsidRPr="00EC5E1C">
        <w:tab/>
        <w:t>ņemot vērā Eiropas Savienības iestāžu Tulkošanas centra 2024. finanšu gada galīgos pārskatus,</w:t>
      </w:r>
    </w:p>
    <w:p w14:paraId="666B362A"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5"/>
      </w:r>
      <w:r w:rsidRPr="00EC5E1C">
        <w:t>,</w:t>
      </w:r>
    </w:p>
    <w:p w14:paraId="3A09D767"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6"/>
      </w:r>
      <w:r w:rsidRPr="00EC5E1C">
        <w:t xml:space="preserve"> par pārskatu ticamību, kā arī par pakārtoto darījumu likumību un pareizību, kuru Revīzijas palāta sniegusi par 2024. finanšu gadu saskaņā ar Līguma par Eiropas Savienības darbību 287. pantu,</w:t>
      </w:r>
    </w:p>
    <w:p w14:paraId="269964B5" w14:textId="77777777" w:rsidR="00EA2C2C" w:rsidRPr="00EC5E1C" w:rsidRDefault="00EA2C2C" w:rsidP="00EA2C2C">
      <w:pPr>
        <w:pStyle w:val="NormalHanging12a"/>
      </w:pPr>
      <w:r w:rsidRPr="00EC5E1C">
        <w:t>–</w:t>
      </w:r>
      <w:r w:rsidRPr="00EC5E1C">
        <w:tab/>
        <w:t>ņemot vērā Padomes 2026. gada 2. marta ieteikumu par apstiprinājumu, ko sniedz Centram par 2024. finanšu gada budžeta izpildi (05750/2026 – C10-0148/2026),</w:t>
      </w:r>
    </w:p>
    <w:p w14:paraId="65B948DF" w14:textId="77777777" w:rsidR="00EA2C2C" w:rsidRPr="00EC5E1C" w:rsidRDefault="00EA2C2C" w:rsidP="00EA2C2C">
      <w:pPr>
        <w:pStyle w:val="NormalHanging12a"/>
      </w:pPr>
      <w:r w:rsidRPr="00EC5E1C">
        <w:t>–</w:t>
      </w:r>
      <w:r w:rsidRPr="00EC5E1C">
        <w:tab/>
        <w:t>ņemot vērā Līguma par Eiropas Savienības darbību 319. pantu,</w:t>
      </w:r>
    </w:p>
    <w:p w14:paraId="102D7A0B"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7"/>
      </w:r>
      <w:r w:rsidRPr="00EC5E1C">
        <w:t>, un jo īpaši tās 70. pantu,</w:t>
      </w:r>
    </w:p>
    <w:p w14:paraId="3BAFA21B"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8"/>
      </w:r>
      <w:r w:rsidRPr="00EC5E1C">
        <w:t>, un jo īpaši tās 70. pantu,</w:t>
      </w:r>
    </w:p>
    <w:p w14:paraId="5BEAC2CB" w14:textId="77777777" w:rsidR="00EA2C2C" w:rsidRPr="00EC5E1C" w:rsidRDefault="00EA2C2C" w:rsidP="00EA2C2C">
      <w:pPr>
        <w:pStyle w:val="NormalHanging12a"/>
      </w:pPr>
      <w:r w:rsidRPr="00EC5E1C">
        <w:t>–</w:t>
      </w:r>
      <w:r w:rsidRPr="00EC5E1C">
        <w:tab/>
        <w:t>ņemot vērā Padomes 1994. gada 28. novembra Regulu (EK) Nr. 2965/94, ar ko izveido Eiropas Savienības iestāžu Tulkošanas centru</w:t>
      </w:r>
      <w:r w:rsidRPr="00EC5E1C">
        <w:rPr>
          <w:rStyle w:val="FootnoteReference"/>
        </w:rPr>
        <w:footnoteReference w:id="29"/>
      </w:r>
      <w:r w:rsidRPr="00EC5E1C">
        <w:t>, un jo īpaši tās 14. pantu,</w:t>
      </w:r>
    </w:p>
    <w:p w14:paraId="583FCF8B"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0"/>
      </w:r>
      <w:r w:rsidRPr="00EC5E1C">
        <w:t>, un jo īpaši tās 105. pantu,</w:t>
      </w:r>
    </w:p>
    <w:p w14:paraId="2309F39F" w14:textId="77777777" w:rsidR="00EA2C2C" w:rsidRPr="00EC5E1C" w:rsidRDefault="00EA2C2C" w:rsidP="00EA2C2C">
      <w:pPr>
        <w:pStyle w:val="NormalHanging12a"/>
      </w:pPr>
      <w:r w:rsidRPr="00EC5E1C">
        <w:t>–</w:t>
      </w:r>
      <w:r w:rsidRPr="00EC5E1C">
        <w:tab/>
        <w:t>ņemot vērā Reglamenta 102. pantu un V pielikumu,</w:t>
      </w:r>
    </w:p>
    <w:p w14:paraId="4FD3D25C"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0C39E4B9" w14:textId="77777777" w:rsidR="00EA2C2C" w:rsidRPr="00EC5E1C" w:rsidRDefault="00EA2C2C" w:rsidP="00EA2C2C">
      <w:pPr>
        <w:pStyle w:val="NormalHanging12a"/>
      </w:pPr>
      <w:r w:rsidRPr="00EC5E1C">
        <w:t>–</w:t>
      </w:r>
      <w:r w:rsidRPr="00EC5E1C">
        <w:tab/>
        <w:t>ņemot vērā Budžeta kontroles komitejas ziņojumu (A10-0087/2026),</w:t>
      </w:r>
    </w:p>
    <w:p w14:paraId="240843C2" w14:textId="77777777" w:rsidR="00EA2C2C" w:rsidRPr="00EC5E1C" w:rsidRDefault="00EA2C2C" w:rsidP="00EA2C2C">
      <w:pPr>
        <w:pStyle w:val="NormalHanging12a"/>
      </w:pPr>
      <w:r w:rsidRPr="00EC5E1C">
        <w:t>1.</w:t>
      </w:r>
      <w:r w:rsidRPr="00EC5E1C">
        <w:tab/>
        <w:t>sniedz Eiropas Savienības iestāžu Tulkošanas centra direktora pienākumu izpildītājam apstiprinājumu par Centra 2024. finanšu gada budžeta izpildi;</w:t>
      </w:r>
    </w:p>
    <w:p w14:paraId="6C1C25F1" w14:textId="77777777" w:rsidR="00EA2C2C" w:rsidRPr="00EC5E1C" w:rsidRDefault="00EA2C2C" w:rsidP="00EA2C2C">
      <w:pPr>
        <w:pStyle w:val="NormalHanging12a"/>
      </w:pPr>
      <w:r w:rsidRPr="00EC5E1C">
        <w:t>2.</w:t>
      </w:r>
      <w:r w:rsidRPr="00EC5E1C">
        <w:tab/>
        <w:t>izklāsta savus konstatējumus turpmāk tekstā iekļautajā rezolūcijā;</w:t>
      </w:r>
    </w:p>
    <w:p w14:paraId="0EE87ECC"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iestāžu Tulkošanas centra direktora pienākumu izpildītājam, Padomei, Komisijai un Revīzijas palātai un nodrošināt to publicēšanu </w:t>
      </w:r>
      <w:r w:rsidRPr="00EC5E1C">
        <w:rPr>
          <w:i/>
          <w:iCs/>
        </w:rPr>
        <w:t>Eiropas Savienības Oficiālajā Vēstnesī</w:t>
      </w:r>
      <w:r w:rsidRPr="00EC5E1C">
        <w:t xml:space="preserve"> (L sērijā).</w:t>
      </w:r>
    </w:p>
    <w:p w14:paraId="08550F7C" w14:textId="77777777" w:rsidR="00EA2C2C" w:rsidRPr="00EC5E1C" w:rsidRDefault="00EA2C2C" w:rsidP="00EA2C2C"/>
    <w:p w14:paraId="423FC470" w14:textId="77777777" w:rsidR="00EA2C2C" w:rsidRPr="00EC5E1C" w:rsidRDefault="00EA2C2C" w:rsidP="00EA2C2C">
      <w:pPr>
        <w:pStyle w:val="PageHeadingDec"/>
        <w:sectPr w:rsidR="00EA2C2C" w:rsidRPr="00EC5E1C" w:rsidSect="00D106D3">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C05752" w14:textId="77777777" w:rsidR="00B44DA1" w:rsidRPr="00EC5E1C" w:rsidRDefault="00B44DA1" w:rsidP="00B44DA1">
      <w:pPr>
        <w:pStyle w:val="ATHeading3"/>
      </w:pPr>
      <w:r w:rsidRPr="00EC5E1C">
        <w:lastRenderedPageBreak/>
        <w:t>6. Eiropas Parlamenta 2026. gada 29. aprīļa lēmums par Eiropas Savienības iestāžu Tulkošanas centra 2024. finanšu gada pārskatu apstiprināšanu (2025/2156(DEC))</w:t>
      </w:r>
    </w:p>
    <w:p w14:paraId="33536E02" w14:textId="77777777" w:rsidR="00EA2C2C" w:rsidRPr="00EC5E1C" w:rsidRDefault="00EA2C2C" w:rsidP="00EA2C2C">
      <w:pPr>
        <w:pStyle w:val="EPComma"/>
      </w:pPr>
      <w:r w:rsidRPr="00EC5E1C">
        <w:rPr>
          <w:i/>
          <w:iCs/>
        </w:rPr>
        <w:t>Eiropas Parlaments</w:t>
      </w:r>
      <w:r w:rsidRPr="00EC5E1C">
        <w:t>,</w:t>
      </w:r>
    </w:p>
    <w:p w14:paraId="22B011EE" w14:textId="77777777" w:rsidR="00EA2C2C" w:rsidRPr="00EC5E1C" w:rsidRDefault="00EA2C2C" w:rsidP="00EA2C2C">
      <w:pPr>
        <w:pStyle w:val="NormalHanging12a"/>
      </w:pPr>
      <w:r w:rsidRPr="00EC5E1C">
        <w:t>–</w:t>
      </w:r>
      <w:r w:rsidRPr="00EC5E1C">
        <w:tab/>
        <w:t>ņemot vērā Eiropas Savienības iestāžu Tulkošanas centra 2024. finanšu gada galīgos pārskatus,</w:t>
      </w:r>
    </w:p>
    <w:p w14:paraId="57AC8AB6"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1"/>
      </w:r>
      <w:r w:rsidRPr="00EC5E1C">
        <w:t>,</w:t>
      </w:r>
    </w:p>
    <w:p w14:paraId="11524B40"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2"/>
      </w:r>
      <w:r w:rsidRPr="00EC5E1C">
        <w:t xml:space="preserve"> par pārskatu ticamību, kā arī par pakārtoto darījumu likumību un pareizību, kuru Revīzijas palāta sniegusi par 2024. finanšu gadu saskaņā ar Līguma par Eiropas Savienības darbību 287. pantu,</w:t>
      </w:r>
    </w:p>
    <w:p w14:paraId="1D1D95A4" w14:textId="77777777" w:rsidR="00EA2C2C" w:rsidRPr="00EC5E1C" w:rsidRDefault="00EA2C2C" w:rsidP="00EA2C2C">
      <w:pPr>
        <w:pStyle w:val="NormalHanging12a"/>
      </w:pPr>
      <w:r w:rsidRPr="00EC5E1C">
        <w:t>–</w:t>
      </w:r>
      <w:r w:rsidRPr="00EC5E1C">
        <w:tab/>
        <w:t>ņemot vērā Padomes 2026. gada 2. marta ieteikumu par apstiprinājumu, ko sniedz Centram par 2024. finanšu gada budžeta izpildi (05750/2026 – C10-0148/2026),</w:t>
      </w:r>
    </w:p>
    <w:p w14:paraId="130281AF" w14:textId="77777777" w:rsidR="00EA2C2C" w:rsidRPr="00EC5E1C" w:rsidRDefault="00EA2C2C" w:rsidP="00EA2C2C">
      <w:pPr>
        <w:pStyle w:val="NormalHanging12a"/>
      </w:pPr>
      <w:r w:rsidRPr="00EC5E1C">
        <w:t>–</w:t>
      </w:r>
      <w:r w:rsidRPr="00EC5E1C">
        <w:tab/>
        <w:t>ņemot vērā Līguma par Eiropas Savienības darbību 319. pantu,</w:t>
      </w:r>
    </w:p>
    <w:p w14:paraId="6235C687"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3"/>
      </w:r>
      <w:r w:rsidRPr="00EC5E1C">
        <w:t>, un jo īpaši tās 70. pantu,</w:t>
      </w:r>
    </w:p>
    <w:p w14:paraId="440E0C79"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4"/>
      </w:r>
      <w:r w:rsidRPr="00EC5E1C">
        <w:t>, un jo īpaši tās 70. pantu,</w:t>
      </w:r>
    </w:p>
    <w:p w14:paraId="6A015938" w14:textId="77777777" w:rsidR="00EA2C2C" w:rsidRPr="00EC5E1C" w:rsidRDefault="00EA2C2C" w:rsidP="00EA2C2C">
      <w:pPr>
        <w:pStyle w:val="NormalHanging12a"/>
      </w:pPr>
      <w:r w:rsidRPr="00EC5E1C">
        <w:t>–</w:t>
      </w:r>
      <w:r w:rsidRPr="00EC5E1C">
        <w:tab/>
        <w:t>ņemot vērā Padomes 1994. gada 28. novembra Regulu (EK) Nr. 2965/94, ar ko izveido Eiropas Savienības iestāžu Tulkošanas centru</w:t>
      </w:r>
      <w:r w:rsidRPr="00EC5E1C">
        <w:rPr>
          <w:rStyle w:val="FootnoteReference"/>
        </w:rPr>
        <w:footnoteReference w:id="35"/>
      </w:r>
      <w:r w:rsidRPr="00EC5E1C">
        <w:t>, un jo īpaši tās 14. pantu,</w:t>
      </w:r>
    </w:p>
    <w:p w14:paraId="50C89C53"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6"/>
      </w:r>
      <w:r w:rsidRPr="00EC5E1C">
        <w:t>, un jo īpaši tās 105. pantu,</w:t>
      </w:r>
    </w:p>
    <w:p w14:paraId="3B21F3F8" w14:textId="77777777" w:rsidR="00EA2C2C" w:rsidRPr="00EC5E1C" w:rsidRDefault="00EA2C2C" w:rsidP="00EA2C2C">
      <w:pPr>
        <w:pStyle w:val="NormalHanging12a"/>
      </w:pPr>
      <w:r w:rsidRPr="00EC5E1C">
        <w:t>–</w:t>
      </w:r>
      <w:r w:rsidRPr="00EC5E1C">
        <w:tab/>
        <w:t>ņemot vērā Reglamenta 102. pantu un V pielikumu,</w:t>
      </w:r>
    </w:p>
    <w:p w14:paraId="20994670"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33300C42" w14:textId="77777777" w:rsidR="00EA2C2C" w:rsidRPr="00EC5E1C" w:rsidRDefault="00EA2C2C" w:rsidP="00EA2C2C">
      <w:pPr>
        <w:pStyle w:val="NormalHanging12a"/>
      </w:pPr>
      <w:r w:rsidRPr="00EC5E1C">
        <w:t>–</w:t>
      </w:r>
      <w:r w:rsidRPr="00EC5E1C">
        <w:tab/>
        <w:t>ņemot vērā Budžeta kontroles komitejas ziņojumu (A10-0087/2026),</w:t>
      </w:r>
    </w:p>
    <w:p w14:paraId="55530416" w14:textId="77777777" w:rsidR="00EA2C2C" w:rsidRPr="00EC5E1C" w:rsidRDefault="00EA2C2C" w:rsidP="00EA2C2C">
      <w:pPr>
        <w:pStyle w:val="NormalHanging12a"/>
      </w:pPr>
      <w:r w:rsidRPr="00EC5E1C">
        <w:t>1.</w:t>
      </w:r>
      <w:r w:rsidRPr="00EC5E1C">
        <w:tab/>
        <w:t>apstiprina Eiropas Savienības iestāžu Tulkošanas centra 2024. finanšu gada pārskatus;</w:t>
      </w:r>
    </w:p>
    <w:p w14:paraId="6CD09E1A" w14:textId="77777777" w:rsidR="00EA2C2C" w:rsidRPr="00EC5E1C" w:rsidRDefault="00EA2C2C" w:rsidP="00EA2C2C">
      <w:pPr>
        <w:pStyle w:val="NormalHanging12a"/>
      </w:pPr>
      <w:r w:rsidRPr="00EC5E1C">
        <w:t>2.</w:t>
      </w:r>
      <w:r w:rsidRPr="00EC5E1C">
        <w:tab/>
        <w:t xml:space="preserve">uzdod priekšsēdētājai šo lēmumu nosūtīt Eiropas Savienības iestāžu Tulkošanas centra direktora pienākumu izpildītājam, Padomei, Komisijai un Revīzijas palātai un nodrošināt tā publicēšanu </w:t>
      </w:r>
      <w:r w:rsidRPr="00EC5E1C">
        <w:rPr>
          <w:i/>
          <w:iCs/>
        </w:rPr>
        <w:t>Eiropas Savienības Oficiālajā Vēstnesī</w:t>
      </w:r>
      <w:r w:rsidRPr="00EC5E1C">
        <w:t xml:space="preserve"> (L sērijā).</w:t>
      </w:r>
    </w:p>
    <w:p w14:paraId="1A4E2AAF" w14:textId="77777777" w:rsidR="00EA2C2C" w:rsidRPr="00EC5E1C" w:rsidRDefault="00EA2C2C" w:rsidP="00EA2C2C"/>
    <w:p w14:paraId="43C829F4" w14:textId="77777777" w:rsidR="00EA2C2C" w:rsidRPr="00EC5E1C" w:rsidRDefault="00EA2C2C" w:rsidP="00EA2C2C"/>
    <w:p w14:paraId="70FE6030" w14:textId="5AB4F292" w:rsidR="00EA2C2C" w:rsidRPr="00EC5E1C" w:rsidRDefault="00EA2C2C" w:rsidP="00EA2C2C">
      <w:pPr>
        <w:pStyle w:val="PageHeadingDec"/>
      </w:pPr>
    </w:p>
    <w:p w14:paraId="69BCF683" w14:textId="77777777" w:rsidR="00EA2C2C" w:rsidRPr="00EC5E1C" w:rsidRDefault="00EA2C2C" w:rsidP="00EA2C2C">
      <w:pPr>
        <w:pStyle w:val="PageHeadingDec"/>
        <w:sectPr w:rsidR="00EA2C2C" w:rsidRPr="00EC5E1C" w:rsidSect="00D106D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CCF59A5" w14:textId="77777777" w:rsidR="00B44DA1" w:rsidRPr="00EC5E1C" w:rsidRDefault="00B44DA1" w:rsidP="00B44DA1">
      <w:pPr>
        <w:pStyle w:val="ATHeading3"/>
      </w:pPr>
      <w:r w:rsidRPr="00EC5E1C">
        <w:lastRenderedPageBreak/>
        <w:t>7. Eiropas Parlamenta 2026. gada 29. aprīļa lēmums par Eiropas Profesionālās izglītības attīstības centra 2024. finanšu gada budžeta izpildes apstiprināšanu (2025/2156(DEC))</w:t>
      </w:r>
    </w:p>
    <w:p w14:paraId="10247638" w14:textId="77777777" w:rsidR="00EA2C2C" w:rsidRPr="00EC5E1C" w:rsidRDefault="00EA2C2C" w:rsidP="00EA2C2C">
      <w:pPr>
        <w:pStyle w:val="EPComma"/>
      </w:pPr>
      <w:r w:rsidRPr="00EC5E1C">
        <w:rPr>
          <w:i/>
          <w:iCs/>
        </w:rPr>
        <w:t>Eiropas Parlaments</w:t>
      </w:r>
      <w:r w:rsidRPr="00EC5E1C">
        <w:t>,</w:t>
      </w:r>
    </w:p>
    <w:p w14:paraId="61D7F512" w14:textId="77777777" w:rsidR="00EA2C2C" w:rsidRPr="00EC5E1C" w:rsidRDefault="00EA2C2C" w:rsidP="00EA2C2C">
      <w:pPr>
        <w:pStyle w:val="NormalHanging12a"/>
      </w:pPr>
      <w:r w:rsidRPr="00EC5E1C">
        <w:t>–</w:t>
      </w:r>
      <w:r w:rsidRPr="00EC5E1C">
        <w:tab/>
        <w:t>ņemot vērā Eiropas Profesionālās izglītības attīstības centra 2024. finanšu gada galīgos pārskatus,</w:t>
      </w:r>
    </w:p>
    <w:p w14:paraId="34E18C41"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7"/>
      </w:r>
      <w:r w:rsidRPr="00EC5E1C">
        <w:t>,</w:t>
      </w:r>
    </w:p>
    <w:p w14:paraId="4BCE75D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8"/>
      </w:r>
      <w:r w:rsidRPr="00EC5E1C">
        <w:t xml:space="preserve"> par pārskatu ticamību, kā arī par pakārtoto darījumu likumību un pareizību, kuru Revīzijas palāta sniegusi par 2024. finanšu gadu saskaņā ar Līguma par Eiropas Savienības darbību 287. pantu,</w:t>
      </w:r>
    </w:p>
    <w:p w14:paraId="4A8BF6AC" w14:textId="77777777" w:rsidR="00EA2C2C" w:rsidRPr="00EC5E1C" w:rsidRDefault="00EA2C2C" w:rsidP="00EA2C2C">
      <w:pPr>
        <w:pStyle w:val="NormalHanging12a"/>
      </w:pPr>
      <w:r w:rsidRPr="00EC5E1C">
        <w:t>–</w:t>
      </w:r>
      <w:r w:rsidRPr="00EC5E1C">
        <w:tab/>
        <w:t>ņemot vērā Padomes 2026. gada 2. marta ieteikumu par apstiprinājumu, ko sniedz Centram par 2024. finanšu gada budžeta izpildi (05750/2026 – C10-0148/2026),</w:t>
      </w:r>
    </w:p>
    <w:p w14:paraId="76831373" w14:textId="77777777" w:rsidR="00EA2C2C" w:rsidRPr="00EC5E1C" w:rsidRDefault="00EA2C2C" w:rsidP="00EA2C2C">
      <w:pPr>
        <w:pStyle w:val="NormalHanging12a"/>
      </w:pPr>
      <w:r w:rsidRPr="00EC5E1C">
        <w:t>–</w:t>
      </w:r>
      <w:r w:rsidRPr="00EC5E1C">
        <w:tab/>
        <w:t>ņemot vērā Līguma par Eiropas Savienības darbību 319. pantu,</w:t>
      </w:r>
    </w:p>
    <w:p w14:paraId="1D8E235B"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9"/>
      </w:r>
      <w:r w:rsidRPr="00EC5E1C">
        <w:t>, un jo īpaši tās 70. pantu,</w:t>
      </w:r>
    </w:p>
    <w:p w14:paraId="70EF2835"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40"/>
      </w:r>
      <w:r w:rsidRPr="00EC5E1C">
        <w:t>, un jo īpaši tās 70. pantu,</w:t>
      </w:r>
    </w:p>
    <w:p w14:paraId="21E66467" w14:textId="77777777" w:rsidR="00EA2C2C" w:rsidRPr="00EC5E1C" w:rsidRDefault="00EA2C2C" w:rsidP="00EA2C2C">
      <w:pPr>
        <w:pStyle w:val="NormalHanging12a"/>
      </w:pPr>
      <w:r w:rsidRPr="00EC5E1C">
        <w:t>–</w:t>
      </w:r>
      <w:r w:rsidRPr="00EC5E1C">
        <w:tab/>
        <w:t>ņemot vērā Eiropas Parlamenta un Padomes 2019. gada 16. janvāra Regulu (ES) 2019/128, ar ko izveido Eiropas Profesionālās izglītības attīstības centru (</w:t>
      </w:r>
      <w:proofErr w:type="spellStart"/>
      <w:r w:rsidRPr="00EC5E1C">
        <w:rPr>
          <w:i/>
          <w:iCs/>
        </w:rPr>
        <w:t>Cedefop</w:t>
      </w:r>
      <w:proofErr w:type="spellEnd"/>
      <w:r w:rsidRPr="00EC5E1C">
        <w:t>) un atceļ Padomes Regulu (EEK) Nr. 337/75</w:t>
      </w:r>
      <w:r w:rsidRPr="00EC5E1C">
        <w:rPr>
          <w:rStyle w:val="FootnoteReference"/>
        </w:rPr>
        <w:footnoteReference w:id="41"/>
      </w:r>
      <w:r w:rsidRPr="00EC5E1C">
        <w:t>, un jo īpaši tās 15. pantu,</w:t>
      </w:r>
    </w:p>
    <w:p w14:paraId="1EA693AB"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42"/>
      </w:r>
      <w:r w:rsidRPr="00EC5E1C">
        <w:t>, un jo īpaši tās 105. pantu,</w:t>
      </w:r>
    </w:p>
    <w:p w14:paraId="777BCF33" w14:textId="77777777" w:rsidR="00EA2C2C" w:rsidRPr="00EC5E1C" w:rsidRDefault="00EA2C2C" w:rsidP="00EA2C2C">
      <w:pPr>
        <w:pStyle w:val="NormalHanging12a"/>
      </w:pPr>
      <w:r w:rsidRPr="00EC5E1C">
        <w:t>–</w:t>
      </w:r>
      <w:r w:rsidRPr="00EC5E1C">
        <w:tab/>
        <w:t>ņemot vērā Reglamenta 102. pantu un V pielikumu,</w:t>
      </w:r>
    </w:p>
    <w:p w14:paraId="63C8CDB0"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2987C403" w14:textId="77777777" w:rsidR="00EA2C2C" w:rsidRPr="00EC5E1C" w:rsidRDefault="00EA2C2C" w:rsidP="00EA2C2C">
      <w:pPr>
        <w:pStyle w:val="NormalHanging12a"/>
      </w:pPr>
      <w:r w:rsidRPr="00EC5E1C">
        <w:t>–</w:t>
      </w:r>
      <w:r w:rsidRPr="00EC5E1C">
        <w:tab/>
        <w:t>ņemot vērā Budžeta kontroles komitejas ziņojumu (A10-0087/2026),</w:t>
      </w:r>
    </w:p>
    <w:p w14:paraId="58777038" w14:textId="77777777" w:rsidR="00EA2C2C" w:rsidRPr="00EC5E1C" w:rsidRDefault="00EA2C2C" w:rsidP="00EA2C2C">
      <w:pPr>
        <w:pStyle w:val="NormalHanging12a"/>
      </w:pPr>
      <w:r w:rsidRPr="00EC5E1C">
        <w:t>1.</w:t>
      </w:r>
      <w:r w:rsidRPr="00EC5E1C">
        <w:tab/>
        <w:t>sniedz Eiropas Profesionālās izglītības attīstības centra izpilddirektoram apstiprinājumu par Centra 2024. finanšu gada budžeta izpildi;</w:t>
      </w:r>
    </w:p>
    <w:p w14:paraId="7918F8F8" w14:textId="77777777" w:rsidR="00EA2C2C" w:rsidRPr="00EC5E1C" w:rsidRDefault="00EA2C2C" w:rsidP="00EA2C2C">
      <w:pPr>
        <w:pStyle w:val="NormalHanging12a"/>
      </w:pPr>
      <w:r w:rsidRPr="00EC5E1C">
        <w:t>2.</w:t>
      </w:r>
      <w:r w:rsidRPr="00EC5E1C">
        <w:tab/>
        <w:t>izklāsta savus konstatējumus turpmāk tekstā iekļautajā rezolūcijā;</w:t>
      </w:r>
    </w:p>
    <w:p w14:paraId="4E14401F"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Profesionālās izglītības attīstības centra izpilddirektoram, Padomei, Komisijai un Revīzijas palātai un nodrošināt to publicēšanu </w:t>
      </w:r>
      <w:r w:rsidRPr="00EC5E1C">
        <w:rPr>
          <w:i/>
          <w:iCs/>
        </w:rPr>
        <w:t>Eiropas Savienības Oficiālajā Vēstnesī</w:t>
      </w:r>
      <w:r w:rsidRPr="00EC5E1C">
        <w:t xml:space="preserve"> (L sērijā).</w:t>
      </w:r>
    </w:p>
    <w:p w14:paraId="79ECD32E" w14:textId="77777777" w:rsidR="00EA2C2C" w:rsidRPr="00EC5E1C" w:rsidRDefault="00EA2C2C" w:rsidP="00EA2C2C"/>
    <w:p w14:paraId="0D6E7776" w14:textId="77777777" w:rsidR="00EA2C2C" w:rsidRPr="00EC5E1C" w:rsidRDefault="00EA2C2C" w:rsidP="00EA2C2C">
      <w:pPr>
        <w:pStyle w:val="PageHeadingDec"/>
        <w:sectPr w:rsidR="00EA2C2C" w:rsidRPr="00EC5E1C" w:rsidSect="00D106D3">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C5888E" w14:textId="77777777" w:rsidR="00B44DA1" w:rsidRPr="00EC5E1C" w:rsidRDefault="00B44DA1" w:rsidP="00B44DA1">
      <w:pPr>
        <w:pStyle w:val="ATHeading3"/>
      </w:pPr>
      <w:r w:rsidRPr="00EC5E1C">
        <w:lastRenderedPageBreak/>
        <w:t>8. Eiropas Parlamenta 2026. gada 29. aprīļa lēmums par Eiropas Profesionālās izglītības attīstības centra 2024. finanšu gada pārskatu apstiprināšanu (2025/2156(DEC))</w:t>
      </w:r>
    </w:p>
    <w:p w14:paraId="6932A368" w14:textId="77777777" w:rsidR="00EA2C2C" w:rsidRPr="00EC5E1C" w:rsidRDefault="00EA2C2C" w:rsidP="00EA2C2C">
      <w:pPr>
        <w:pStyle w:val="EPComma"/>
      </w:pPr>
      <w:r w:rsidRPr="00EC5E1C">
        <w:rPr>
          <w:i/>
          <w:iCs/>
        </w:rPr>
        <w:t>Eiropas Parlaments</w:t>
      </w:r>
      <w:r w:rsidRPr="00EC5E1C">
        <w:t>,</w:t>
      </w:r>
    </w:p>
    <w:p w14:paraId="56B3A9EB" w14:textId="77777777" w:rsidR="00EA2C2C" w:rsidRPr="00EC5E1C" w:rsidRDefault="00EA2C2C" w:rsidP="00EA2C2C">
      <w:pPr>
        <w:pStyle w:val="NormalHanging12a"/>
      </w:pPr>
      <w:r w:rsidRPr="00EC5E1C">
        <w:t>–</w:t>
      </w:r>
      <w:r w:rsidRPr="00EC5E1C">
        <w:tab/>
        <w:t>ņemot vērā Eiropas Profesionālās izglītības attīstības centra 2024. finanšu gada galīgos pārskatus,</w:t>
      </w:r>
    </w:p>
    <w:p w14:paraId="458A6DBE"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43"/>
      </w:r>
      <w:r w:rsidRPr="00EC5E1C">
        <w:t>,</w:t>
      </w:r>
    </w:p>
    <w:p w14:paraId="6AA0F5E7"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44"/>
      </w:r>
      <w:r w:rsidRPr="00EC5E1C">
        <w:t xml:space="preserve"> par pārskatu ticamību, kā arī par pakārtoto darījumu likumību un pareizību, kuru Revīzijas palāta sniegusi par 2024. finanšu gadu saskaņā ar Līguma par Eiropas Savienības darbību 287. pantu,</w:t>
      </w:r>
    </w:p>
    <w:p w14:paraId="3C067DA1" w14:textId="77777777" w:rsidR="00EA2C2C" w:rsidRPr="00EC5E1C" w:rsidRDefault="00EA2C2C" w:rsidP="00EA2C2C">
      <w:pPr>
        <w:pStyle w:val="NormalHanging12a"/>
      </w:pPr>
      <w:r w:rsidRPr="00EC5E1C">
        <w:t>–</w:t>
      </w:r>
      <w:r w:rsidRPr="00EC5E1C">
        <w:tab/>
        <w:t>ņemot vērā Padomes 2026. gada 2. marta ieteikumu par apstiprinājumu, ko sniedz Centram par 2024. finanšu gada budžeta izpildi (05750/2026 – C10-0148/2026),</w:t>
      </w:r>
    </w:p>
    <w:p w14:paraId="600E53BE" w14:textId="77777777" w:rsidR="00EA2C2C" w:rsidRPr="00EC5E1C" w:rsidRDefault="00EA2C2C" w:rsidP="00EA2C2C">
      <w:pPr>
        <w:pStyle w:val="NormalHanging12a"/>
      </w:pPr>
      <w:r w:rsidRPr="00EC5E1C">
        <w:t>–</w:t>
      </w:r>
      <w:r w:rsidRPr="00EC5E1C">
        <w:tab/>
        <w:t>ņemot vērā Līguma par Eiropas Savienības darbību 319. pantu,</w:t>
      </w:r>
    </w:p>
    <w:p w14:paraId="20AF7A17"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45"/>
      </w:r>
      <w:r w:rsidRPr="00EC5E1C">
        <w:t>, un jo īpaši tās 70. pantu,</w:t>
      </w:r>
    </w:p>
    <w:p w14:paraId="06EB8493"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46"/>
      </w:r>
      <w:r w:rsidRPr="00EC5E1C">
        <w:t>, un jo īpaši tās 70. pantu,</w:t>
      </w:r>
    </w:p>
    <w:p w14:paraId="1449A211" w14:textId="77777777" w:rsidR="00EA2C2C" w:rsidRPr="00EC5E1C" w:rsidRDefault="00EA2C2C" w:rsidP="00EA2C2C">
      <w:pPr>
        <w:pStyle w:val="NormalHanging12a"/>
      </w:pPr>
      <w:r w:rsidRPr="00EC5E1C">
        <w:t>–</w:t>
      </w:r>
      <w:r w:rsidRPr="00EC5E1C">
        <w:tab/>
        <w:t>ņemot vērā Eiropas Parlamenta un Padomes 2019. gada 16. janvāra Regulu (ES) 2019/128, ar ko izveido Eiropas Profesionālās izglītības attīstības centru (</w:t>
      </w:r>
      <w:proofErr w:type="spellStart"/>
      <w:r w:rsidRPr="00EC5E1C">
        <w:rPr>
          <w:i/>
          <w:iCs/>
        </w:rPr>
        <w:t>Cedefop</w:t>
      </w:r>
      <w:proofErr w:type="spellEnd"/>
      <w:r w:rsidRPr="00EC5E1C">
        <w:t>) un atceļ Padomes Regulu (EEK) Nr. 337/75</w:t>
      </w:r>
      <w:r w:rsidRPr="00EC5E1C">
        <w:rPr>
          <w:rStyle w:val="FootnoteReference"/>
        </w:rPr>
        <w:footnoteReference w:id="47"/>
      </w:r>
      <w:r w:rsidRPr="00EC5E1C">
        <w:t>, un jo īpaši tās 15. pantu,</w:t>
      </w:r>
    </w:p>
    <w:p w14:paraId="67DB3586"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48"/>
      </w:r>
      <w:r w:rsidRPr="00EC5E1C">
        <w:t>, un jo īpaši tās 105. pantu,</w:t>
      </w:r>
    </w:p>
    <w:p w14:paraId="5FA13D3B" w14:textId="77777777" w:rsidR="00EA2C2C" w:rsidRPr="00EC5E1C" w:rsidRDefault="00EA2C2C" w:rsidP="00EA2C2C">
      <w:pPr>
        <w:pStyle w:val="NormalHanging12a"/>
      </w:pPr>
      <w:r w:rsidRPr="00EC5E1C">
        <w:t>–</w:t>
      </w:r>
      <w:r w:rsidRPr="00EC5E1C">
        <w:tab/>
        <w:t>ņemot vērā Reglamenta 102. pantu un V pielikumu,</w:t>
      </w:r>
    </w:p>
    <w:p w14:paraId="47B6DB52"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4D08BF4A" w14:textId="77777777" w:rsidR="00EA2C2C" w:rsidRPr="00EC5E1C" w:rsidRDefault="00EA2C2C" w:rsidP="00EA2C2C">
      <w:pPr>
        <w:pStyle w:val="NormalHanging12a"/>
      </w:pPr>
      <w:r w:rsidRPr="00EC5E1C">
        <w:t>–</w:t>
      </w:r>
      <w:r w:rsidRPr="00EC5E1C">
        <w:tab/>
        <w:t>ņemot vērā Budžeta kontroles komitejas ziņojumu (A10-0087/2026),</w:t>
      </w:r>
    </w:p>
    <w:p w14:paraId="639F664D" w14:textId="77777777" w:rsidR="00EA2C2C" w:rsidRPr="00EC5E1C" w:rsidRDefault="00EA2C2C" w:rsidP="00EA2C2C">
      <w:pPr>
        <w:pStyle w:val="NormalHanging12a"/>
      </w:pPr>
      <w:r w:rsidRPr="00EC5E1C">
        <w:t>1.</w:t>
      </w:r>
      <w:r w:rsidRPr="00EC5E1C">
        <w:tab/>
        <w:t>apstiprina Eiropas Profesionālās izglītības attīstības centra 2024. finanšu gada pārskatus;</w:t>
      </w:r>
    </w:p>
    <w:p w14:paraId="752491CE" w14:textId="77777777" w:rsidR="00EA2C2C" w:rsidRPr="00EC5E1C" w:rsidRDefault="00EA2C2C" w:rsidP="00EA2C2C">
      <w:pPr>
        <w:pStyle w:val="NormalHanging12a"/>
      </w:pPr>
      <w:r w:rsidRPr="00EC5E1C">
        <w:t>2.</w:t>
      </w:r>
      <w:r w:rsidRPr="00EC5E1C">
        <w:tab/>
        <w:t xml:space="preserve">uzdod priekšsēdētājai šo lēmumu nosūtīt Eiropas Profesionālās izglītības attīstības centra izpilddirektoram, Padomei, Komisijai un Revīzijas palātai un nodrošināt tā publicēšanu </w:t>
      </w:r>
      <w:r w:rsidRPr="00EC5E1C">
        <w:rPr>
          <w:i/>
          <w:iCs/>
        </w:rPr>
        <w:t>Eiropas Savienības Oficiālajā Vēstnesī</w:t>
      </w:r>
      <w:r w:rsidRPr="00EC5E1C">
        <w:t xml:space="preserve"> (L sērijā).</w:t>
      </w:r>
    </w:p>
    <w:p w14:paraId="16FA7304" w14:textId="77777777" w:rsidR="00EA2C2C" w:rsidRPr="00EC5E1C" w:rsidRDefault="00EA2C2C" w:rsidP="00EA2C2C"/>
    <w:p w14:paraId="211B1894" w14:textId="77777777" w:rsidR="00EA2C2C" w:rsidRPr="00EC5E1C" w:rsidRDefault="00EA2C2C" w:rsidP="00EA2C2C"/>
    <w:p w14:paraId="278A9B1E" w14:textId="60D2AAD6" w:rsidR="00EA2C2C" w:rsidRPr="00EC5E1C" w:rsidRDefault="00EA2C2C" w:rsidP="00EA2C2C">
      <w:pPr>
        <w:pStyle w:val="PageHeadingDec"/>
      </w:pPr>
    </w:p>
    <w:p w14:paraId="0B6D8DF7" w14:textId="77777777" w:rsidR="00EA2C2C" w:rsidRPr="00EC5E1C" w:rsidRDefault="00EA2C2C" w:rsidP="00EA2C2C">
      <w:pPr>
        <w:pStyle w:val="PageHeadingDec"/>
        <w:sectPr w:rsidR="00EA2C2C" w:rsidRPr="00EC5E1C" w:rsidSect="00D106D3">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953900" w14:textId="77777777" w:rsidR="00B44DA1" w:rsidRPr="00EC5E1C" w:rsidRDefault="00B44DA1" w:rsidP="00B44DA1">
      <w:pPr>
        <w:pStyle w:val="ATHeading3"/>
      </w:pPr>
      <w:r w:rsidRPr="00EC5E1C">
        <w:lastRenderedPageBreak/>
        <w:t>9. Eiropas Parlamenta 2026. gada 29. aprīļa lēmums par Eiropas Savienības Tiesībaizsardzības apmācības aģentūras 2024. finanšu gada budžeta izpildes apstiprināšanu (2025/2156(DEC))</w:t>
      </w:r>
    </w:p>
    <w:p w14:paraId="3955E411" w14:textId="77777777" w:rsidR="00EA2C2C" w:rsidRPr="00EC5E1C" w:rsidRDefault="00EA2C2C" w:rsidP="00EA2C2C">
      <w:pPr>
        <w:pStyle w:val="EPComma"/>
      </w:pPr>
      <w:r w:rsidRPr="00EC5E1C">
        <w:rPr>
          <w:i/>
          <w:iCs/>
        </w:rPr>
        <w:t>Eiropas Parlaments</w:t>
      </w:r>
      <w:r w:rsidRPr="00EC5E1C">
        <w:t>,</w:t>
      </w:r>
    </w:p>
    <w:p w14:paraId="2F1B232A" w14:textId="77777777" w:rsidR="00EA2C2C" w:rsidRPr="00EC5E1C" w:rsidRDefault="00EA2C2C" w:rsidP="00EA2C2C">
      <w:pPr>
        <w:pStyle w:val="NormalHanging12a"/>
      </w:pPr>
      <w:r w:rsidRPr="00EC5E1C">
        <w:t>–</w:t>
      </w:r>
      <w:r w:rsidRPr="00EC5E1C">
        <w:tab/>
        <w:t>ņemot vērā Eiropas Savienības Tiesībaizsardzības apmācības aģentūras 2024. finanšu gada galīgos pārskatus,</w:t>
      </w:r>
    </w:p>
    <w:p w14:paraId="3F20C492"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49"/>
      </w:r>
      <w:r w:rsidRPr="00EC5E1C">
        <w:t>,</w:t>
      </w:r>
    </w:p>
    <w:p w14:paraId="6721E55C"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50"/>
      </w:r>
      <w:r w:rsidRPr="00EC5E1C">
        <w:t xml:space="preserve"> par pārskatu ticamību, kā arī par pakārtoto darījumu likumību un pareizību, kuru Revīzijas palāta sniegusi par 2024. finanšu gadu saskaņā ar Līguma par Eiropas Savienības darbību 287. pantu,</w:t>
      </w:r>
    </w:p>
    <w:p w14:paraId="1A68EFD6"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46C5B06B" w14:textId="77777777" w:rsidR="00EA2C2C" w:rsidRPr="00EC5E1C" w:rsidRDefault="00EA2C2C" w:rsidP="00EA2C2C">
      <w:pPr>
        <w:pStyle w:val="NormalHanging12a"/>
      </w:pPr>
      <w:r w:rsidRPr="00EC5E1C">
        <w:t>–</w:t>
      </w:r>
      <w:r w:rsidRPr="00EC5E1C">
        <w:tab/>
        <w:t>ņemot vērā Līguma par Eiropas Savienības darbību 319. pantu,</w:t>
      </w:r>
    </w:p>
    <w:p w14:paraId="290DE43F"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51"/>
      </w:r>
      <w:r w:rsidRPr="00EC5E1C">
        <w:t>, un jo īpaši tās 70. pantu,</w:t>
      </w:r>
    </w:p>
    <w:p w14:paraId="14FA0388"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52"/>
      </w:r>
      <w:r w:rsidRPr="00EC5E1C">
        <w:t>, un jo īpaši tās 70. pantu,</w:t>
      </w:r>
    </w:p>
    <w:p w14:paraId="56662630" w14:textId="0FCD4D36" w:rsidR="00EA2C2C" w:rsidRPr="00EC5E1C" w:rsidRDefault="00EA2C2C" w:rsidP="00EA2C2C">
      <w:pPr>
        <w:pStyle w:val="NormalHanging12a"/>
      </w:pPr>
      <w:r w:rsidRPr="00EC5E1C">
        <w:t>–</w:t>
      </w:r>
      <w:r w:rsidRPr="00EC5E1C">
        <w:tab/>
        <w:t>ņemot vērā Eiropas Parlamenta un Padomes 2015. gada 25. novembra Regulu (ES) 2015/2219 par Eiropas Savienības Tiesībaizsardzības apmācības aģentūru (</w:t>
      </w:r>
      <w:r w:rsidRPr="00EC5E1C">
        <w:rPr>
          <w:i/>
          <w:iCs/>
        </w:rPr>
        <w:t>CEPOL</w:t>
      </w:r>
      <w:r w:rsidRPr="00EC5E1C">
        <w:t>) un ar ko aizstāj un atceļ Padomes Lēmumu 2005/681/TI</w:t>
      </w:r>
      <w:r w:rsidRPr="00EC5E1C">
        <w:rPr>
          <w:rStyle w:val="FootnoteReference"/>
        </w:rPr>
        <w:footnoteReference w:id="53"/>
      </w:r>
      <w:r w:rsidRPr="00EC5E1C">
        <w:t>, un jo īpaši tās 20. pantu,</w:t>
      </w:r>
    </w:p>
    <w:p w14:paraId="27D3D89B"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54"/>
      </w:r>
      <w:r w:rsidRPr="00EC5E1C">
        <w:t>, un jo īpaši tās 105. pantu,</w:t>
      </w:r>
    </w:p>
    <w:p w14:paraId="05296BA2" w14:textId="77777777" w:rsidR="00EA2C2C" w:rsidRPr="00EC5E1C" w:rsidRDefault="00EA2C2C" w:rsidP="00EA2C2C">
      <w:pPr>
        <w:pStyle w:val="NormalHanging12a"/>
      </w:pPr>
      <w:r w:rsidRPr="00EC5E1C">
        <w:t>–</w:t>
      </w:r>
      <w:r w:rsidRPr="00EC5E1C">
        <w:tab/>
        <w:t>ņemot vērā Reglamenta 102. pantu un V pielikumu,</w:t>
      </w:r>
    </w:p>
    <w:p w14:paraId="2112D79B"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w:t>
      </w:r>
      <w:r w:rsidRPr="00EC5E1C">
        <w:lastRenderedPageBreak/>
        <w:t xml:space="preserve">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6AE62029" w14:textId="77777777" w:rsidR="00EA2C2C" w:rsidRPr="00EC5E1C" w:rsidRDefault="00EA2C2C" w:rsidP="00EA2C2C">
      <w:pPr>
        <w:pStyle w:val="NormalHanging12a"/>
      </w:pPr>
      <w:r w:rsidRPr="00EC5E1C">
        <w:t>–</w:t>
      </w:r>
      <w:r w:rsidRPr="00EC5E1C">
        <w:tab/>
        <w:t>ņemot vērā Budžeta kontroles komitejas ziņojumu (A10-0087/2026),</w:t>
      </w:r>
    </w:p>
    <w:p w14:paraId="196CB058" w14:textId="77777777" w:rsidR="00EA2C2C" w:rsidRPr="00EC5E1C" w:rsidRDefault="00EA2C2C" w:rsidP="00EA2C2C">
      <w:pPr>
        <w:pStyle w:val="NormalHanging12a"/>
      </w:pPr>
      <w:r w:rsidRPr="00EC5E1C">
        <w:t>1.</w:t>
      </w:r>
      <w:r w:rsidRPr="00EC5E1C">
        <w:tab/>
        <w:t>sniedz Eiropas Savienības Tiesībaizsardzības apmācības aģentūras izpilddirektorei apstiprinājumu par Aģentūras 2024. finanšu gada budžeta izpildi;</w:t>
      </w:r>
    </w:p>
    <w:p w14:paraId="79B5E5B9" w14:textId="77777777" w:rsidR="00EA2C2C" w:rsidRPr="00EC5E1C" w:rsidRDefault="00EA2C2C" w:rsidP="00EA2C2C">
      <w:pPr>
        <w:pStyle w:val="NormalHanging12a"/>
      </w:pPr>
      <w:r w:rsidRPr="00EC5E1C">
        <w:t>2.</w:t>
      </w:r>
      <w:r w:rsidRPr="00EC5E1C">
        <w:tab/>
        <w:t>izklāsta savus konstatējumus turpmāk tekstā iekļautajā rezolūcijā;</w:t>
      </w:r>
    </w:p>
    <w:p w14:paraId="523AEE88"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Tiesībaizsardzības apmācības aģentūras izpilddirektorei, Padomei, Komisijai un Revīzijas palātai un nodrošināt to publicēšanu </w:t>
      </w:r>
      <w:r w:rsidRPr="00EC5E1C">
        <w:rPr>
          <w:i/>
          <w:iCs/>
        </w:rPr>
        <w:t>Eiropas Savienības Oficiālajā Vēstnesī</w:t>
      </w:r>
      <w:r w:rsidRPr="00EC5E1C">
        <w:t xml:space="preserve"> (L sērijā).</w:t>
      </w:r>
    </w:p>
    <w:p w14:paraId="39DDA8DB" w14:textId="77777777" w:rsidR="00EA2C2C" w:rsidRPr="00EC5E1C" w:rsidRDefault="00EA2C2C" w:rsidP="00EA2C2C"/>
    <w:p w14:paraId="07A39E0C" w14:textId="77777777" w:rsidR="00EA2C2C" w:rsidRPr="00EC5E1C" w:rsidRDefault="00EA2C2C" w:rsidP="00EA2C2C">
      <w:pPr>
        <w:pStyle w:val="PageHeadingDec"/>
        <w:sectPr w:rsidR="00EA2C2C" w:rsidRPr="00EC5E1C" w:rsidSect="00D106D3">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32C0F0" w14:textId="77777777" w:rsidR="00B44DA1" w:rsidRPr="00EC5E1C" w:rsidRDefault="00B44DA1" w:rsidP="00B44DA1">
      <w:pPr>
        <w:pStyle w:val="ATHeading3"/>
      </w:pPr>
      <w:r w:rsidRPr="00EC5E1C">
        <w:lastRenderedPageBreak/>
        <w:t>10. Eiropas Parlamenta 2026. gada 29. aprīļa lēmums par Eiropas Savienības Tiesībaizsardzības apmācības aģentūras 2024. finanšu gada pārskatu apstiprināšanu (2025/2156(DEC))</w:t>
      </w:r>
    </w:p>
    <w:p w14:paraId="08D80AD0" w14:textId="77777777" w:rsidR="00EA2C2C" w:rsidRPr="00EC5E1C" w:rsidRDefault="00EA2C2C" w:rsidP="00EA2C2C">
      <w:pPr>
        <w:pStyle w:val="EPComma"/>
      </w:pPr>
      <w:r w:rsidRPr="00EC5E1C">
        <w:rPr>
          <w:i/>
          <w:iCs/>
        </w:rPr>
        <w:t>Eiropas Parlaments</w:t>
      </w:r>
      <w:r w:rsidRPr="00EC5E1C">
        <w:t>,</w:t>
      </w:r>
    </w:p>
    <w:p w14:paraId="63237619" w14:textId="77777777" w:rsidR="00EA2C2C" w:rsidRPr="00EC5E1C" w:rsidRDefault="00EA2C2C" w:rsidP="00EA2C2C">
      <w:pPr>
        <w:pStyle w:val="NormalHanging12a"/>
      </w:pPr>
      <w:r w:rsidRPr="00EC5E1C">
        <w:t>–</w:t>
      </w:r>
      <w:r w:rsidRPr="00EC5E1C">
        <w:tab/>
        <w:t>ņemot vērā Eiropas Savienības Tiesībaizsardzības apmācības aģentūras 2024. finanšu gada galīgos pārskatus,</w:t>
      </w:r>
    </w:p>
    <w:p w14:paraId="6276812F"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55"/>
      </w:r>
      <w:r w:rsidRPr="00EC5E1C">
        <w:t>,</w:t>
      </w:r>
    </w:p>
    <w:p w14:paraId="7746DBAF"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56"/>
      </w:r>
      <w:r w:rsidRPr="00EC5E1C">
        <w:t xml:space="preserve"> par pārskatu ticamību, kā arī par pakārtoto darījumu likumību un pareizību, kuru Revīzijas palāta sniegusi par 2024. finanšu gadu saskaņā ar Līguma par Eiropas Savienības darbību 287. pantu,</w:t>
      </w:r>
    </w:p>
    <w:p w14:paraId="7466D330"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27C0DA24" w14:textId="77777777" w:rsidR="00EA2C2C" w:rsidRPr="00EC5E1C" w:rsidRDefault="00EA2C2C" w:rsidP="00EA2C2C">
      <w:pPr>
        <w:pStyle w:val="NormalHanging12a"/>
      </w:pPr>
      <w:r w:rsidRPr="00EC5E1C">
        <w:t>–</w:t>
      </w:r>
      <w:r w:rsidRPr="00EC5E1C">
        <w:tab/>
        <w:t>ņemot vērā Līguma par Eiropas Savienības darbību 319. pantu,</w:t>
      </w:r>
    </w:p>
    <w:p w14:paraId="2C7D5ABD"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57"/>
      </w:r>
      <w:r w:rsidRPr="00EC5E1C">
        <w:t>, un jo īpaši tās 70. pantu,</w:t>
      </w:r>
    </w:p>
    <w:p w14:paraId="600EDF52"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58"/>
      </w:r>
      <w:r w:rsidRPr="00EC5E1C">
        <w:t>, un jo īpaši tās 70. pantu,</w:t>
      </w:r>
    </w:p>
    <w:p w14:paraId="359A44C0" w14:textId="38FB4362" w:rsidR="00EA2C2C" w:rsidRPr="00EC5E1C" w:rsidRDefault="00EA2C2C" w:rsidP="00EA2C2C">
      <w:pPr>
        <w:pStyle w:val="NormalHanging12a"/>
      </w:pPr>
      <w:r w:rsidRPr="00EC5E1C">
        <w:t>–</w:t>
      </w:r>
      <w:r w:rsidRPr="00EC5E1C">
        <w:tab/>
        <w:t>ņemot vērā Eiropas Parlamenta un Padomes 2015. gada 25. novembra Regulu (ES)</w:t>
      </w:r>
      <w:r w:rsidR="006D2360">
        <w:t> </w:t>
      </w:r>
      <w:r w:rsidRPr="00EC5E1C">
        <w:t>2015/2219 par Eiropas Savienības Tiesībaizsardzības apmācības aģentūru (</w:t>
      </w:r>
      <w:r w:rsidRPr="00EC5E1C">
        <w:rPr>
          <w:i/>
          <w:iCs/>
        </w:rPr>
        <w:t>CEPOL</w:t>
      </w:r>
      <w:r w:rsidRPr="00EC5E1C">
        <w:t>) un ar ko aizstāj un atceļ Padomes Lēmumu 2005/681/TI</w:t>
      </w:r>
      <w:r w:rsidRPr="00EC5E1C">
        <w:rPr>
          <w:rStyle w:val="FootnoteReference"/>
        </w:rPr>
        <w:footnoteReference w:id="59"/>
      </w:r>
      <w:r w:rsidRPr="00EC5E1C">
        <w:t>, un jo īpaši tās 20. pantu,</w:t>
      </w:r>
    </w:p>
    <w:p w14:paraId="7A4C4C2B"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60"/>
      </w:r>
      <w:r w:rsidRPr="00EC5E1C">
        <w:t>, un jo īpaši tās 105. pantu,</w:t>
      </w:r>
    </w:p>
    <w:p w14:paraId="5C130654" w14:textId="77777777" w:rsidR="00EA2C2C" w:rsidRPr="00EC5E1C" w:rsidRDefault="00EA2C2C" w:rsidP="00EA2C2C">
      <w:pPr>
        <w:pStyle w:val="NormalHanging12a"/>
      </w:pPr>
      <w:r w:rsidRPr="00EC5E1C">
        <w:t>–</w:t>
      </w:r>
      <w:r w:rsidRPr="00EC5E1C">
        <w:tab/>
        <w:t>ņemot vērā Reglamenta 102. pantu un V pielikumu,</w:t>
      </w:r>
    </w:p>
    <w:p w14:paraId="60E6B654"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w:t>
      </w:r>
      <w:r w:rsidRPr="00EC5E1C">
        <w:lastRenderedPageBreak/>
        <w:t xml:space="preserve">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0DEDB159" w14:textId="77777777" w:rsidR="00EA2C2C" w:rsidRPr="00EC5E1C" w:rsidRDefault="00EA2C2C" w:rsidP="00EA2C2C">
      <w:pPr>
        <w:pStyle w:val="NormalHanging12a"/>
      </w:pPr>
      <w:r w:rsidRPr="00EC5E1C">
        <w:t>–</w:t>
      </w:r>
      <w:r w:rsidRPr="00EC5E1C">
        <w:tab/>
        <w:t>ņemot vērā Budžeta kontroles komitejas ziņojumu (A10-0087/2026),</w:t>
      </w:r>
    </w:p>
    <w:p w14:paraId="72B96E55" w14:textId="77777777" w:rsidR="00EA2C2C" w:rsidRPr="00EC5E1C" w:rsidRDefault="00EA2C2C" w:rsidP="00EA2C2C">
      <w:pPr>
        <w:pStyle w:val="NormalHanging12a"/>
      </w:pPr>
      <w:r w:rsidRPr="00EC5E1C">
        <w:t>1.</w:t>
      </w:r>
      <w:r w:rsidRPr="00EC5E1C">
        <w:tab/>
        <w:t>apstiprina Eiropas Savienības Tiesībaizsardzības apmācības aģentūras 2024. finanšu gada pārskatus;</w:t>
      </w:r>
    </w:p>
    <w:p w14:paraId="4ECAAC43" w14:textId="77777777" w:rsidR="00EA2C2C" w:rsidRPr="00EC5E1C" w:rsidRDefault="00EA2C2C" w:rsidP="00EA2C2C">
      <w:pPr>
        <w:pStyle w:val="NormalHanging12a"/>
      </w:pPr>
      <w:r w:rsidRPr="00EC5E1C">
        <w:t>2.</w:t>
      </w:r>
      <w:r w:rsidRPr="00EC5E1C">
        <w:tab/>
        <w:t xml:space="preserve">uzdod priekšsēdētājai šo lēmumu nosūtīt Eiropas Savienības Tiesībaizsardzības apmācības aģentūras izpilddirektorei, Padomei, Komisijai un Revīzijas palātai un nodrošināt tā publicēšanu </w:t>
      </w:r>
      <w:r w:rsidRPr="00EC5E1C">
        <w:rPr>
          <w:i/>
          <w:iCs/>
        </w:rPr>
        <w:t>Eiropas Savienības Oficiālajā Vēstnesī</w:t>
      </w:r>
      <w:r w:rsidRPr="00EC5E1C">
        <w:t xml:space="preserve"> (L sērijā).</w:t>
      </w:r>
    </w:p>
    <w:p w14:paraId="503F6A12" w14:textId="77777777" w:rsidR="00EA2C2C" w:rsidRPr="00EC5E1C" w:rsidRDefault="00EA2C2C" w:rsidP="00EA2C2C"/>
    <w:p w14:paraId="2BD50550" w14:textId="77777777" w:rsidR="00EA2C2C" w:rsidRPr="00EC5E1C" w:rsidRDefault="00EA2C2C" w:rsidP="00EA2C2C"/>
    <w:p w14:paraId="2639A08F" w14:textId="3FE185AE" w:rsidR="00EA2C2C" w:rsidRPr="00EC5E1C" w:rsidRDefault="00EA2C2C" w:rsidP="00EA2C2C">
      <w:pPr>
        <w:pStyle w:val="PageHeadingDec"/>
      </w:pPr>
    </w:p>
    <w:p w14:paraId="0BD16744" w14:textId="77777777" w:rsidR="00EA2C2C" w:rsidRPr="00EC5E1C" w:rsidRDefault="00EA2C2C" w:rsidP="00EA2C2C">
      <w:pPr>
        <w:pStyle w:val="PageHeadingDec"/>
        <w:sectPr w:rsidR="00EA2C2C" w:rsidRPr="00EC5E1C" w:rsidSect="00D106D3">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FE62BFA" w14:textId="77777777" w:rsidR="00B44DA1" w:rsidRPr="00EC5E1C" w:rsidRDefault="00B44DA1" w:rsidP="00B44DA1">
      <w:pPr>
        <w:pStyle w:val="ATHeading3"/>
      </w:pPr>
      <w:r w:rsidRPr="00EC5E1C">
        <w:lastRenderedPageBreak/>
        <w:t>11. Eiropas Parlamenta 2026. gada 29. aprīļa lēmums par Eiropas Savienības Aviācijas drošības aģentūras 2024. finanšu gada budžeta izpildes apstiprināšanu (2025/2156(DEC))</w:t>
      </w:r>
    </w:p>
    <w:p w14:paraId="26EC2CC6" w14:textId="77777777" w:rsidR="00EA2C2C" w:rsidRPr="00EC5E1C" w:rsidRDefault="00EA2C2C" w:rsidP="00EA2C2C">
      <w:pPr>
        <w:pStyle w:val="EPComma"/>
      </w:pPr>
      <w:r w:rsidRPr="00EC5E1C">
        <w:rPr>
          <w:i/>
          <w:iCs/>
        </w:rPr>
        <w:t>Eiropas Parlaments</w:t>
      </w:r>
      <w:r w:rsidRPr="00EC5E1C">
        <w:t>,</w:t>
      </w:r>
    </w:p>
    <w:p w14:paraId="4D7E6273" w14:textId="77777777" w:rsidR="00EA2C2C" w:rsidRPr="00EC5E1C" w:rsidRDefault="00EA2C2C" w:rsidP="00EA2C2C">
      <w:pPr>
        <w:pStyle w:val="NormalHanging12a"/>
      </w:pPr>
      <w:r w:rsidRPr="00EC5E1C">
        <w:t>–</w:t>
      </w:r>
      <w:r w:rsidRPr="00EC5E1C">
        <w:tab/>
        <w:t>ņemot vērā Eiropas Savienības Aviācijas drošības aģentūras 2024. finanšu gada galīgos pārskatus,</w:t>
      </w:r>
    </w:p>
    <w:p w14:paraId="0493AA4D"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61"/>
      </w:r>
      <w:r w:rsidRPr="00EC5E1C">
        <w:t>,</w:t>
      </w:r>
    </w:p>
    <w:p w14:paraId="2FF8FB41"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62"/>
      </w:r>
      <w:r w:rsidRPr="00EC5E1C">
        <w:t xml:space="preserve"> par pārskatu ticamību, kā arī par pakārtoto darījumu likumību un pareizību, kuru Revīzijas palāta sniegusi par 2024. finanšu gadu saskaņā ar Līguma par Eiropas Savienības darbību 287. pantu,</w:t>
      </w:r>
    </w:p>
    <w:p w14:paraId="7DCBB7B0"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0B52DB4B" w14:textId="77777777" w:rsidR="00EA2C2C" w:rsidRPr="00EC5E1C" w:rsidRDefault="00EA2C2C" w:rsidP="00EA2C2C">
      <w:pPr>
        <w:pStyle w:val="NormalHanging12a"/>
      </w:pPr>
      <w:r w:rsidRPr="00EC5E1C">
        <w:t>–</w:t>
      </w:r>
      <w:r w:rsidRPr="00EC5E1C">
        <w:tab/>
        <w:t>ņemot vērā Līguma par Eiropas Savienības darbību 319. pantu,</w:t>
      </w:r>
    </w:p>
    <w:p w14:paraId="04B38592"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63"/>
      </w:r>
      <w:r w:rsidRPr="00EC5E1C">
        <w:t>, un jo īpaši tās 70. pantu,</w:t>
      </w:r>
    </w:p>
    <w:p w14:paraId="7617E3CA"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64"/>
      </w:r>
      <w:r w:rsidRPr="00EC5E1C">
        <w:t>, un jo īpaši tās 70. pantu,</w:t>
      </w:r>
    </w:p>
    <w:p w14:paraId="0D8AAD9A" w14:textId="77777777" w:rsidR="00EA2C2C" w:rsidRPr="00EC5E1C" w:rsidRDefault="00EA2C2C" w:rsidP="00EA2C2C">
      <w:pPr>
        <w:pStyle w:val="NormalHanging12a"/>
      </w:pPr>
      <w:r w:rsidRPr="00EC5E1C">
        <w:t>–</w:t>
      </w:r>
      <w:r w:rsidRPr="00EC5E1C">
        <w:tab/>
        <w:t>ņemot vērā Eiropas Parlamenta un Padomes 2018. gada 4. jūlija Regulu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w:t>
      </w:r>
      <w:r w:rsidRPr="00EC5E1C">
        <w:rPr>
          <w:rStyle w:val="FootnoteReference"/>
        </w:rPr>
        <w:footnoteReference w:id="65"/>
      </w:r>
      <w:r w:rsidRPr="00EC5E1C">
        <w:t>, un jo īpaši tās 121. pantu,</w:t>
      </w:r>
    </w:p>
    <w:p w14:paraId="1C32B21B"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66"/>
      </w:r>
      <w:r w:rsidRPr="00EC5E1C">
        <w:t>, un jo īpaši tās 105. pantu,</w:t>
      </w:r>
    </w:p>
    <w:p w14:paraId="5FE78262" w14:textId="77777777" w:rsidR="00EA2C2C" w:rsidRPr="00EC5E1C" w:rsidRDefault="00EA2C2C" w:rsidP="00EA2C2C">
      <w:pPr>
        <w:pStyle w:val="NormalHanging12a"/>
      </w:pPr>
      <w:r w:rsidRPr="00EC5E1C">
        <w:lastRenderedPageBreak/>
        <w:t>–</w:t>
      </w:r>
      <w:r w:rsidRPr="00EC5E1C">
        <w:tab/>
        <w:t>ņemot vērā Reglamenta 102. pantu un V pielikumu,</w:t>
      </w:r>
    </w:p>
    <w:p w14:paraId="4F81DBDE"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43DCAD90" w14:textId="77777777" w:rsidR="00EA2C2C" w:rsidRPr="00EC5E1C" w:rsidRDefault="00EA2C2C" w:rsidP="00EA2C2C">
      <w:pPr>
        <w:pStyle w:val="NormalHanging12a"/>
      </w:pPr>
      <w:r w:rsidRPr="00EC5E1C">
        <w:t>–</w:t>
      </w:r>
      <w:r w:rsidRPr="00EC5E1C">
        <w:tab/>
        <w:t>ņemot vērā Budžeta kontroles komitejas ziņojumu (A10-0087/2026),</w:t>
      </w:r>
    </w:p>
    <w:p w14:paraId="03FB45F5" w14:textId="77777777" w:rsidR="00EA2C2C" w:rsidRPr="00EC5E1C" w:rsidRDefault="00EA2C2C" w:rsidP="00EA2C2C">
      <w:pPr>
        <w:pStyle w:val="NormalHanging12a"/>
      </w:pPr>
      <w:r w:rsidRPr="00EC5E1C">
        <w:t>1.</w:t>
      </w:r>
      <w:r w:rsidRPr="00EC5E1C">
        <w:tab/>
        <w:t>sniedz Eiropas Savienības Aviācijas drošības aģentūras izpilddirektoram apstiprinājumu par Aģentūras 2024. finanšu gada budžeta izpildi;</w:t>
      </w:r>
    </w:p>
    <w:p w14:paraId="59B776E8" w14:textId="77777777" w:rsidR="00EA2C2C" w:rsidRPr="00EC5E1C" w:rsidRDefault="00EA2C2C" w:rsidP="00EA2C2C">
      <w:pPr>
        <w:pStyle w:val="NormalHanging12a"/>
      </w:pPr>
      <w:r w:rsidRPr="00EC5E1C">
        <w:t>2.</w:t>
      </w:r>
      <w:r w:rsidRPr="00EC5E1C">
        <w:tab/>
        <w:t>izklāsta savus konstatējumus turpmāk tekstā iekļautajā rezolūcijā;</w:t>
      </w:r>
    </w:p>
    <w:p w14:paraId="6E59973E"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Aviācijas drošības aģentūras izpilddirektoram, Padomei, Komisijai un Revīzijas palātai un nodrošināt to publicēšanu </w:t>
      </w:r>
      <w:r w:rsidRPr="00EC5E1C">
        <w:rPr>
          <w:i/>
          <w:iCs/>
        </w:rPr>
        <w:t>Eiropas Savienības Oficiālajā Vēstnesī</w:t>
      </w:r>
      <w:r w:rsidRPr="00EC5E1C">
        <w:t xml:space="preserve"> (L sērijā).</w:t>
      </w:r>
    </w:p>
    <w:p w14:paraId="7E0C141D" w14:textId="77777777" w:rsidR="00EA2C2C" w:rsidRPr="00EC5E1C" w:rsidRDefault="00EA2C2C" w:rsidP="00EA2C2C"/>
    <w:p w14:paraId="306CA0A3" w14:textId="77777777" w:rsidR="00EA2C2C" w:rsidRPr="00EC5E1C" w:rsidRDefault="00EA2C2C" w:rsidP="00EA2C2C">
      <w:pPr>
        <w:pStyle w:val="PageHeadingDec"/>
        <w:sectPr w:rsidR="00EA2C2C" w:rsidRPr="00EC5E1C" w:rsidSect="00D106D3">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A7BBE3" w14:textId="77777777" w:rsidR="00B44DA1" w:rsidRPr="00EC5E1C" w:rsidRDefault="00B44DA1" w:rsidP="00B44DA1">
      <w:pPr>
        <w:pStyle w:val="ATHeading3"/>
      </w:pPr>
      <w:r w:rsidRPr="00EC5E1C">
        <w:lastRenderedPageBreak/>
        <w:t>12. Eiropas Parlamenta 2026. gada 29. aprīļa lēmums par Eiropas Savienības Aviācijas drošības aģentūras 2024. finanšu gada pārskatu apstiprināšanu (2025/2156(DEC))</w:t>
      </w:r>
    </w:p>
    <w:p w14:paraId="66285F63" w14:textId="77777777" w:rsidR="00EA2C2C" w:rsidRPr="00EC5E1C" w:rsidRDefault="00EA2C2C" w:rsidP="00EA2C2C">
      <w:pPr>
        <w:pStyle w:val="EPComma"/>
      </w:pPr>
      <w:r w:rsidRPr="00EC5E1C">
        <w:rPr>
          <w:i/>
          <w:iCs/>
        </w:rPr>
        <w:t>Eiropas Parlaments</w:t>
      </w:r>
      <w:r w:rsidRPr="00EC5E1C">
        <w:t>,</w:t>
      </w:r>
    </w:p>
    <w:p w14:paraId="35E04A7B" w14:textId="77777777" w:rsidR="00EA2C2C" w:rsidRPr="00EC5E1C" w:rsidRDefault="00EA2C2C" w:rsidP="00EA2C2C">
      <w:pPr>
        <w:pStyle w:val="NormalHanging12a"/>
      </w:pPr>
      <w:r w:rsidRPr="00EC5E1C">
        <w:t>–</w:t>
      </w:r>
      <w:r w:rsidRPr="00EC5E1C">
        <w:tab/>
        <w:t>ņemot vērā Eiropas Savienības Aviācijas drošības aģentūras 2024. finanšu gada galīgos pārskatus,</w:t>
      </w:r>
    </w:p>
    <w:p w14:paraId="789631A3"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67"/>
      </w:r>
      <w:r w:rsidRPr="00EC5E1C">
        <w:t>,</w:t>
      </w:r>
    </w:p>
    <w:p w14:paraId="34FB3C11"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68"/>
      </w:r>
      <w:r w:rsidRPr="00EC5E1C">
        <w:t xml:space="preserve"> par pārskatu ticamību, kā arī par pakārtoto darījumu likumību un pareizību, kuru Revīzijas palāta sniegusi par 2024. finanšu gadu saskaņā ar Līguma par Eiropas Savienības darbību 287. pantu,</w:t>
      </w:r>
    </w:p>
    <w:p w14:paraId="253C29C6"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101B635B" w14:textId="77777777" w:rsidR="00EA2C2C" w:rsidRPr="00EC5E1C" w:rsidRDefault="00EA2C2C" w:rsidP="00EA2C2C">
      <w:pPr>
        <w:pStyle w:val="NormalHanging12a"/>
      </w:pPr>
      <w:r w:rsidRPr="00EC5E1C">
        <w:t>–</w:t>
      </w:r>
      <w:r w:rsidRPr="00EC5E1C">
        <w:tab/>
        <w:t>ņemot vērā Līguma par Eiropas Savienības darbību 319. pantu,</w:t>
      </w:r>
    </w:p>
    <w:p w14:paraId="05BF460C"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69"/>
      </w:r>
      <w:r w:rsidRPr="00EC5E1C">
        <w:t>, un jo īpaši tās 70. pantu,</w:t>
      </w:r>
    </w:p>
    <w:p w14:paraId="15EEDF60"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70"/>
      </w:r>
      <w:r w:rsidRPr="00EC5E1C">
        <w:t>, un jo īpaši tās 70. pantu,</w:t>
      </w:r>
    </w:p>
    <w:p w14:paraId="07FC3561" w14:textId="77777777" w:rsidR="00EA2C2C" w:rsidRPr="00EC5E1C" w:rsidRDefault="00EA2C2C" w:rsidP="00EA2C2C">
      <w:pPr>
        <w:pStyle w:val="NormalHanging12a"/>
      </w:pPr>
      <w:r w:rsidRPr="00EC5E1C">
        <w:t>–</w:t>
      </w:r>
      <w:r w:rsidRPr="00EC5E1C">
        <w:tab/>
        <w:t>ņemot vērā Eiropas Parlamenta un Padomes 2018. gada 4. jūlija Regulu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w:t>
      </w:r>
      <w:r w:rsidRPr="00EC5E1C">
        <w:rPr>
          <w:rStyle w:val="FootnoteReference"/>
        </w:rPr>
        <w:footnoteReference w:id="71"/>
      </w:r>
      <w:r w:rsidRPr="00EC5E1C">
        <w:t>, un jo īpaši tās 121. pantu,</w:t>
      </w:r>
    </w:p>
    <w:p w14:paraId="719872FF"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72"/>
      </w:r>
      <w:r w:rsidRPr="00EC5E1C">
        <w:t>, un jo īpaši tās 105. pantu,</w:t>
      </w:r>
    </w:p>
    <w:p w14:paraId="008099A6" w14:textId="77777777" w:rsidR="00EA2C2C" w:rsidRPr="00EC5E1C" w:rsidRDefault="00EA2C2C" w:rsidP="00EA2C2C">
      <w:pPr>
        <w:pStyle w:val="NormalHanging12a"/>
      </w:pPr>
      <w:r w:rsidRPr="00EC5E1C">
        <w:lastRenderedPageBreak/>
        <w:t>–</w:t>
      </w:r>
      <w:r w:rsidRPr="00EC5E1C">
        <w:tab/>
        <w:t>ņemot vērā Reglamenta 102. pantu un V pielikumu,</w:t>
      </w:r>
    </w:p>
    <w:p w14:paraId="60933644"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0A95BB0E" w14:textId="77777777" w:rsidR="00EA2C2C" w:rsidRPr="00EC5E1C" w:rsidRDefault="00EA2C2C" w:rsidP="00EA2C2C">
      <w:pPr>
        <w:pStyle w:val="NormalHanging12a"/>
      </w:pPr>
      <w:r w:rsidRPr="00EC5E1C">
        <w:t>–</w:t>
      </w:r>
      <w:r w:rsidRPr="00EC5E1C">
        <w:tab/>
        <w:t>ņemot vērā Budžeta kontroles komitejas ziņojumu (A10-0087/2026),</w:t>
      </w:r>
    </w:p>
    <w:p w14:paraId="2D35B9B1" w14:textId="77777777" w:rsidR="00EA2C2C" w:rsidRPr="00EC5E1C" w:rsidRDefault="00EA2C2C" w:rsidP="00EA2C2C">
      <w:pPr>
        <w:pStyle w:val="NormalHanging12a"/>
      </w:pPr>
      <w:r w:rsidRPr="00EC5E1C">
        <w:t>1.</w:t>
      </w:r>
      <w:r w:rsidRPr="00EC5E1C">
        <w:tab/>
        <w:t>apstiprina Eiropas Savienības Aviācijas drošības aģentūras 2024. finanšu gada pārskatus;</w:t>
      </w:r>
    </w:p>
    <w:p w14:paraId="01217839" w14:textId="77777777" w:rsidR="00EA2C2C" w:rsidRPr="00EC5E1C" w:rsidRDefault="00EA2C2C" w:rsidP="00EA2C2C">
      <w:pPr>
        <w:pStyle w:val="NormalHanging12a"/>
      </w:pPr>
      <w:r w:rsidRPr="00EC5E1C">
        <w:t>2.</w:t>
      </w:r>
      <w:r w:rsidRPr="00EC5E1C">
        <w:tab/>
        <w:t xml:space="preserve">uzdod priekšsēdētājai šo lēmumu nosūtīt Eiropas Savienības Aviācijas drošības aģentūras izpilddirektoram, Padomei, Komisijai un Revīzijas palātai un nodrošināt tā publicēšanu </w:t>
      </w:r>
      <w:r w:rsidRPr="00EC5E1C">
        <w:rPr>
          <w:i/>
          <w:iCs/>
        </w:rPr>
        <w:t>Eiropas Savienības Oficiālajā Vēstnesī</w:t>
      </w:r>
      <w:r w:rsidRPr="00EC5E1C">
        <w:t xml:space="preserve"> (L sērijā).</w:t>
      </w:r>
    </w:p>
    <w:p w14:paraId="7C0DC9AB" w14:textId="77777777" w:rsidR="00EA2C2C" w:rsidRPr="00EC5E1C" w:rsidRDefault="00EA2C2C" w:rsidP="00EA2C2C"/>
    <w:p w14:paraId="37FE9058" w14:textId="77777777" w:rsidR="00EA2C2C" w:rsidRPr="00EC5E1C" w:rsidRDefault="00EA2C2C" w:rsidP="00EA2C2C"/>
    <w:p w14:paraId="3BF462A6" w14:textId="7991404A" w:rsidR="00EA2C2C" w:rsidRPr="00EC5E1C" w:rsidRDefault="00EA2C2C" w:rsidP="00EA2C2C">
      <w:pPr>
        <w:pStyle w:val="PageHeadingDec"/>
      </w:pPr>
    </w:p>
    <w:p w14:paraId="29795C9D" w14:textId="77777777" w:rsidR="00EA2C2C" w:rsidRPr="00EC5E1C" w:rsidRDefault="00EA2C2C" w:rsidP="00EA2C2C">
      <w:pPr>
        <w:pStyle w:val="PageHeadingDec"/>
        <w:sectPr w:rsidR="00EA2C2C" w:rsidRPr="00EC5E1C" w:rsidSect="00D106D3">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1B29BB" w14:textId="77777777" w:rsidR="00B44DA1" w:rsidRPr="00EC5E1C" w:rsidRDefault="00B44DA1" w:rsidP="00B44DA1">
      <w:pPr>
        <w:pStyle w:val="ATHeading3"/>
      </w:pPr>
      <w:r w:rsidRPr="00EC5E1C">
        <w:lastRenderedPageBreak/>
        <w:t>13. Eiropas Parlamenta 2026. gada 29. aprīļa lēmums par Eiropas Banku iestādes 2024. finanšu gada budžeta izpildes apstiprināšanu (2025/2156(DEC))</w:t>
      </w:r>
    </w:p>
    <w:p w14:paraId="495BF49A" w14:textId="77777777" w:rsidR="00EA2C2C" w:rsidRPr="00EC5E1C" w:rsidRDefault="00EA2C2C" w:rsidP="00EA2C2C">
      <w:pPr>
        <w:pStyle w:val="EPComma"/>
      </w:pPr>
      <w:r w:rsidRPr="00EC5E1C">
        <w:rPr>
          <w:i/>
          <w:iCs/>
        </w:rPr>
        <w:t>Eiropas Parlaments</w:t>
      </w:r>
      <w:r w:rsidRPr="00EC5E1C">
        <w:t>,</w:t>
      </w:r>
    </w:p>
    <w:p w14:paraId="67C38FAF" w14:textId="77777777" w:rsidR="00EA2C2C" w:rsidRPr="00EC5E1C" w:rsidRDefault="00EA2C2C" w:rsidP="00EA2C2C">
      <w:pPr>
        <w:pStyle w:val="NormalHanging12a"/>
      </w:pPr>
      <w:r w:rsidRPr="00EC5E1C">
        <w:t>–</w:t>
      </w:r>
      <w:r w:rsidRPr="00EC5E1C">
        <w:tab/>
        <w:t>ņemot vērā Eiropas Banku iestādes 2024. finanšu gada galīgos pārskatus,</w:t>
      </w:r>
    </w:p>
    <w:p w14:paraId="546C2150"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73"/>
      </w:r>
      <w:r w:rsidRPr="00EC5E1C">
        <w:t>,</w:t>
      </w:r>
    </w:p>
    <w:p w14:paraId="5346D3C0"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74"/>
      </w:r>
      <w:r w:rsidRPr="00EC5E1C">
        <w:t xml:space="preserve"> par pārskatu ticamību, kā arī par pakārtoto darījumu likumību un pareizību, kuru Revīzijas palāta sniegusi par 2024. finanšu gadu saskaņā ar Līguma par Eiropas Savienības darbību 287. pantu,</w:t>
      </w:r>
    </w:p>
    <w:p w14:paraId="5F3656D9" w14:textId="77777777" w:rsidR="00EA2C2C" w:rsidRPr="00EC5E1C" w:rsidRDefault="00EA2C2C" w:rsidP="00EA2C2C">
      <w:pPr>
        <w:pStyle w:val="NormalHanging12a"/>
      </w:pPr>
      <w:r w:rsidRPr="00EC5E1C">
        <w:t>–</w:t>
      </w:r>
      <w:r w:rsidRPr="00EC5E1C">
        <w:tab/>
        <w:t>ņemot vērā Padomes 2026. gada 2. marta ieteikumu par apstiprinājumu, ko sniedz Iestādei par 2024. finanšu gada budžeta izpildi (05750/2026 – C10-0148/2026),</w:t>
      </w:r>
    </w:p>
    <w:p w14:paraId="42AEA477" w14:textId="77777777" w:rsidR="00EA2C2C" w:rsidRPr="00EC5E1C" w:rsidRDefault="00EA2C2C" w:rsidP="00EA2C2C">
      <w:pPr>
        <w:pStyle w:val="NormalHanging12a"/>
      </w:pPr>
      <w:r w:rsidRPr="00EC5E1C">
        <w:t>–</w:t>
      </w:r>
      <w:r w:rsidRPr="00EC5E1C">
        <w:tab/>
        <w:t>ņemot vērā Līguma par Eiropas Savienības darbību 319. pantu,</w:t>
      </w:r>
    </w:p>
    <w:p w14:paraId="40E836B5"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75"/>
      </w:r>
      <w:r w:rsidRPr="00EC5E1C">
        <w:t>, un jo īpaši tās 70. pantu,</w:t>
      </w:r>
    </w:p>
    <w:p w14:paraId="2787908D"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76"/>
      </w:r>
      <w:r w:rsidRPr="00EC5E1C">
        <w:t>, un jo īpaši tās 70. pantu,</w:t>
      </w:r>
    </w:p>
    <w:p w14:paraId="16C1400D" w14:textId="77777777" w:rsidR="00EA2C2C" w:rsidRPr="00EC5E1C" w:rsidRDefault="00EA2C2C" w:rsidP="00EA2C2C">
      <w:pPr>
        <w:pStyle w:val="NormalHanging12a"/>
      </w:pPr>
      <w:r w:rsidRPr="00EC5E1C">
        <w:t>–</w:t>
      </w:r>
      <w:r w:rsidRPr="00EC5E1C">
        <w:tab/>
        <w:t>ņemot vērā Eiropas Parlamenta un Padomes 2010. gada 24. novembra Regulu (ES) Nr. 1093/2010, ar ko izveido Eiropas Uzraudzības iestādi (Eiropas Banku iestādi), groza Lēmumu Nr. 716/2009/EK un atceļ Komisijas Lēmumu 2009/78/EK</w:t>
      </w:r>
      <w:r w:rsidRPr="00EC5E1C">
        <w:rPr>
          <w:rStyle w:val="FootnoteReference"/>
        </w:rPr>
        <w:footnoteReference w:id="77"/>
      </w:r>
      <w:r w:rsidRPr="00EC5E1C">
        <w:t>, un jo īpaši tās 64. pantu,</w:t>
      </w:r>
    </w:p>
    <w:p w14:paraId="0EC2E980"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78"/>
      </w:r>
      <w:r w:rsidRPr="00EC5E1C">
        <w:t>, un jo īpaši tās 105. pantu,</w:t>
      </w:r>
    </w:p>
    <w:p w14:paraId="66847E82" w14:textId="77777777" w:rsidR="00EA2C2C" w:rsidRPr="00EC5E1C" w:rsidRDefault="00EA2C2C" w:rsidP="00EA2C2C">
      <w:pPr>
        <w:pStyle w:val="NormalHanging12a"/>
      </w:pPr>
      <w:r w:rsidRPr="00EC5E1C">
        <w:t>–</w:t>
      </w:r>
      <w:r w:rsidRPr="00EC5E1C">
        <w:tab/>
        <w:t>ņemot vērā Reglamenta 102. pantu un V pielikumu,</w:t>
      </w:r>
    </w:p>
    <w:p w14:paraId="03F6251C"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14FA5B85" w14:textId="77777777" w:rsidR="00EA2C2C" w:rsidRPr="00EC5E1C" w:rsidRDefault="00EA2C2C" w:rsidP="00EA2C2C">
      <w:pPr>
        <w:pStyle w:val="NormalHanging12a"/>
      </w:pPr>
      <w:r w:rsidRPr="00EC5E1C">
        <w:t>–</w:t>
      </w:r>
      <w:r w:rsidRPr="00EC5E1C">
        <w:tab/>
        <w:t>ņemot vērā Budžeta kontroles komitejas ziņojumu (A10-0087/2026),</w:t>
      </w:r>
    </w:p>
    <w:p w14:paraId="6395C792" w14:textId="77777777" w:rsidR="00EA2C2C" w:rsidRPr="00EC5E1C" w:rsidRDefault="00EA2C2C" w:rsidP="00EA2C2C">
      <w:pPr>
        <w:pStyle w:val="NormalHanging12a"/>
      </w:pPr>
      <w:r w:rsidRPr="00EC5E1C">
        <w:t>1.</w:t>
      </w:r>
      <w:r w:rsidRPr="00EC5E1C">
        <w:tab/>
        <w:t>sniedz Eiropas Banku iestādes izpilddirektoram apstiprinājumu par Iestādes 2024. finanšu gada budžeta izpildi;</w:t>
      </w:r>
    </w:p>
    <w:p w14:paraId="0416061B" w14:textId="77777777" w:rsidR="00EA2C2C" w:rsidRPr="00EC5E1C" w:rsidRDefault="00EA2C2C" w:rsidP="00EA2C2C">
      <w:pPr>
        <w:pStyle w:val="NormalHanging12a"/>
      </w:pPr>
      <w:r w:rsidRPr="00EC5E1C">
        <w:t>2.</w:t>
      </w:r>
      <w:r w:rsidRPr="00EC5E1C">
        <w:tab/>
        <w:t>izklāsta savus konstatējumus turpmāk tekstā iekļautajā rezolūcijā;</w:t>
      </w:r>
    </w:p>
    <w:p w14:paraId="5BF4FA05"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Banku iestādes izpilddirektoram, Padomei, Komisijai un Revīzijas palātai un nodrošināt to publicēšanu </w:t>
      </w:r>
      <w:r w:rsidRPr="00EC5E1C">
        <w:rPr>
          <w:i/>
          <w:iCs/>
        </w:rPr>
        <w:t>Eiropas Savienības Oficiālajā Vēstnesī</w:t>
      </w:r>
      <w:r w:rsidRPr="00EC5E1C">
        <w:t xml:space="preserve"> (L sērijā).</w:t>
      </w:r>
    </w:p>
    <w:p w14:paraId="60288534" w14:textId="77777777" w:rsidR="00EA2C2C" w:rsidRPr="00EC5E1C" w:rsidRDefault="00EA2C2C" w:rsidP="00EA2C2C"/>
    <w:p w14:paraId="0D8B119B" w14:textId="77777777" w:rsidR="00EA2C2C" w:rsidRPr="00EC5E1C" w:rsidRDefault="00EA2C2C" w:rsidP="00EA2C2C">
      <w:pPr>
        <w:pStyle w:val="PageHeadingDec"/>
        <w:sectPr w:rsidR="00EA2C2C" w:rsidRPr="00EC5E1C" w:rsidSect="00D106D3">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CE8B87" w14:textId="77777777" w:rsidR="00B44DA1" w:rsidRPr="00EC5E1C" w:rsidRDefault="00B44DA1" w:rsidP="00B44DA1">
      <w:pPr>
        <w:pStyle w:val="ATHeading3"/>
      </w:pPr>
      <w:r w:rsidRPr="00EC5E1C">
        <w:lastRenderedPageBreak/>
        <w:t>14. Eiropas Parlamenta 2026. gada 29. aprīļa lēmums par Eiropas Banku iestādes 2024. finanšu gada pārskatu apstiprināšanu (2025/2156(DEC))</w:t>
      </w:r>
    </w:p>
    <w:p w14:paraId="563E1EA2" w14:textId="77777777" w:rsidR="00EA2C2C" w:rsidRPr="00EC5E1C" w:rsidRDefault="00EA2C2C" w:rsidP="00EA2C2C">
      <w:pPr>
        <w:pStyle w:val="EPComma"/>
      </w:pPr>
      <w:r w:rsidRPr="00EC5E1C">
        <w:rPr>
          <w:i/>
          <w:iCs/>
        </w:rPr>
        <w:t>Eiropas Parlaments</w:t>
      </w:r>
      <w:r w:rsidRPr="00EC5E1C">
        <w:t>,</w:t>
      </w:r>
    </w:p>
    <w:p w14:paraId="282A0053" w14:textId="77777777" w:rsidR="00EA2C2C" w:rsidRPr="00EC5E1C" w:rsidRDefault="00EA2C2C" w:rsidP="00EA2C2C">
      <w:pPr>
        <w:pStyle w:val="NormalHanging12a"/>
      </w:pPr>
      <w:r w:rsidRPr="00EC5E1C">
        <w:t>–</w:t>
      </w:r>
      <w:r w:rsidRPr="00EC5E1C">
        <w:tab/>
        <w:t>ņemot vērā Eiropas Banku iestādes 2024. finanšu gada galīgos pārskatus,</w:t>
      </w:r>
    </w:p>
    <w:p w14:paraId="6E5B30F6"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79"/>
      </w:r>
      <w:r w:rsidRPr="00EC5E1C">
        <w:t>,</w:t>
      </w:r>
    </w:p>
    <w:p w14:paraId="3B725224"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80"/>
      </w:r>
      <w:r w:rsidRPr="00EC5E1C">
        <w:t xml:space="preserve"> par pārskatu ticamību, kā arī par pakārtoto darījumu likumību un pareizību, kuru Revīzijas palāta sniegusi par 2024. finanšu gadu saskaņā ar Līguma par Eiropas Savienības darbību 287. pantu,</w:t>
      </w:r>
    </w:p>
    <w:p w14:paraId="2BC603D3" w14:textId="77777777" w:rsidR="00EA2C2C" w:rsidRPr="00EC5E1C" w:rsidRDefault="00EA2C2C" w:rsidP="00EA2C2C">
      <w:pPr>
        <w:pStyle w:val="NormalHanging12a"/>
      </w:pPr>
      <w:r w:rsidRPr="00EC5E1C">
        <w:t>–</w:t>
      </w:r>
      <w:r w:rsidRPr="00EC5E1C">
        <w:tab/>
        <w:t>ņemot vērā Padomes 2026. gada 2. marta ieteikumu par apstiprinājumu, ko sniedz Iestādei par 2024. finanšu gada budžeta izpildi (05750/2026 – C10-0148/2026),</w:t>
      </w:r>
    </w:p>
    <w:p w14:paraId="668D79D6" w14:textId="77777777" w:rsidR="00EA2C2C" w:rsidRPr="00EC5E1C" w:rsidRDefault="00EA2C2C" w:rsidP="00EA2C2C">
      <w:pPr>
        <w:pStyle w:val="NormalHanging12a"/>
      </w:pPr>
      <w:r w:rsidRPr="00EC5E1C">
        <w:t>–</w:t>
      </w:r>
      <w:r w:rsidRPr="00EC5E1C">
        <w:tab/>
        <w:t>ņemot vērā Līguma par Eiropas Savienības darbību 319. pantu,</w:t>
      </w:r>
    </w:p>
    <w:p w14:paraId="5C87EBD2"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81"/>
      </w:r>
      <w:r w:rsidRPr="00EC5E1C">
        <w:t>, un jo īpaši tās 70. pantu,</w:t>
      </w:r>
    </w:p>
    <w:p w14:paraId="656EB266"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82"/>
      </w:r>
      <w:r w:rsidRPr="00EC5E1C">
        <w:t>, un jo īpaši tās 70. pantu,</w:t>
      </w:r>
    </w:p>
    <w:p w14:paraId="62BEEE76" w14:textId="77777777" w:rsidR="00EA2C2C" w:rsidRPr="00EC5E1C" w:rsidRDefault="00EA2C2C" w:rsidP="00EA2C2C">
      <w:pPr>
        <w:pStyle w:val="NormalHanging12a"/>
      </w:pPr>
      <w:r w:rsidRPr="00EC5E1C">
        <w:t>–</w:t>
      </w:r>
      <w:r w:rsidRPr="00EC5E1C">
        <w:tab/>
        <w:t>ņemot vērā Eiropas Parlamenta un Padomes 2010. gada 24. novembra Regulu (ES) Nr. 1093/2010, ar ko izveido Eiropas Uzraudzības iestādi (Eiropas Banku iestādi), groza Lēmumu Nr. 716/2009/EK un atceļ Komisijas Lēmumu 2009/78/EK</w:t>
      </w:r>
      <w:r w:rsidRPr="00EC5E1C">
        <w:rPr>
          <w:rStyle w:val="FootnoteReference"/>
        </w:rPr>
        <w:footnoteReference w:id="83"/>
      </w:r>
      <w:r w:rsidRPr="00EC5E1C">
        <w:t>, un jo īpaši tās 64. pantu,</w:t>
      </w:r>
    </w:p>
    <w:p w14:paraId="51CF04ED"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84"/>
      </w:r>
      <w:r w:rsidRPr="00EC5E1C">
        <w:t>, un jo īpaši tās 105. pantu,</w:t>
      </w:r>
    </w:p>
    <w:p w14:paraId="0DFCCCB2" w14:textId="77777777" w:rsidR="00EA2C2C" w:rsidRPr="00EC5E1C" w:rsidRDefault="00EA2C2C" w:rsidP="00EA2C2C">
      <w:pPr>
        <w:pStyle w:val="NormalHanging12a"/>
      </w:pPr>
      <w:r w:rsidRPr="00EC5E1C">
        <w:t>–</w:t>
      </w:r>
      <w:r w:rsidRPr="00EC5E1C">
        <w:tab/>
        <w:t>ņemot vērā Reglamenta 102. pantu un V pielikumu,</w:t>
      </w:r>
    </w:p>
    <w:p w14:paraId="36457EEA"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23229DF8" w14:textId="77777777" w:rsidR="00EA2C2C" w:rsidRPr="00EC5E1C" w:rsidRDefault="00EA2C2C" w:rsidP="00EA2C2C">
      <w:pPr>
        <w:pStyle w:val="NormalHanging12a"/>
      </w:pPr>
      <w:r w:rsidRPr="00EC5E1C">
        <w:t>–</w:t>
      </w:r>
      <w:r w:rsidRPr="00EC5E1C">
        <w:tab/>
        <w:t>ņemot vērā Budžeta kontroles komitejas ziņojumu (A10-0087/2026),</w:t>
      </w:r>
    </w:p>
    <w:p w14:paraId="0212E719" w14:textId="77777777" w:rsidR="00EA2C2C" w:rsidRPr="00EC5E1C" w:rsidRDefault="00EA2C2C" w:rsidP="00EA2C2C">
      <w:pPr>
        <w:pStyle w:val="NormalHanging12a"/>
      </w:pPr>
      <w:r w:rsidRPr="00EC5E1C">
        <w:t>1.</w:t>
      </w:r>
      <w:r w:rsidRPr="00EC5E1C">
        <w:tab/>
        <w:t>apstiprina Eiropas Banku iestādes 2024. finanšu gada pārskatus;</w:t>
      </w:r>
    </w:p>
    <w:p w14:paraId="2A385FCF" w14:textId="77777777" w:rsidR="00EA2C2C" w:rsidRPr="00EC5E1C" w:rsidRDefault="00EA2C2C" w:rsidP="00EA2C2C">
      <w:pPr>
        <w:pStyle w:val="NormalHanging12a"/>
      </w:pPr>
      <w:r w:rsidRPr="00EC5E1C">
        <w:t>2.</w:t>
      </w:r>
      <w:r w:rsidRPr="00EC5E1C">
        <w:tab/>
        <w:t xml:space="preserve">uzdod priekšsēdētājai šo lēmumu nosūtīt Eiropas Banku iestādes izpilddirektoram, Padomei, Komisijai un Revīzijas palātai un nodrošināt tā publicēšanu </w:t>
      </w:r>
      <w:r w:rsidRPr="00EC5E1C">
        <w:rPr>
          <w:i/>
          <w:iCs/>
        </w:rPr>
        <w:t>Eiropas Savienības Oficiālajā Vēstnesī</w:t>
      </w:r>
      <w:r w:rsidRPr="00EC5E1C">
        <w:t xml:space="preserve"> (L sērijā).</w:t>
      </w:r>
    </w:p>
    <w:p w14:paraId="4FC044BE" w14:textId="77777777" w:rsidR="00EA2C2C" w:rsidRPr="00EC5E1C" w:rsidRDefault="00EA2C2C" w:rsidP="00EA2C2C"/>
    <w:p w14:paraId="1E1A14E0" w14:textId="77777777" w:rsidR="00EA2C2C" w:rsidRPr="00EC5E1C" w:rsidRDefault="00EA2C2C" w:rsidP="00EA2C2C"/>
    <w:p w14:paraId="699FA5C5" w14:textId="24AB6488" w:rsidR="00EA2C2C" w:rsidRPr="00EC5E1C" w:rsidRDefault="00EA2C2C" w:rsidP="00EA2C2C">
      <w:pPr>
        <w:pStyle w:val="PageHeadingDec"/>
      </w:pPr>
    </w:p>
    <w:p w14:paraId="2CA772F3" w14:textId="77777777" w:rsidR="00EA2C2C" w:rsidRPr="00EC5E1C" w:rsidRDefault="00EA2C2C" w:rsidP="00EA2C2C">
      <w:pPr>
        <w:pStyle w:val="PageHeadingDec"/>
        <w:sectPr w:rsidR="00EA2C2C" w:rsidRPr="00EC5E1C" w:rsidSect="00D106D3">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14B55A" w14:textId="77777777" w:rsidR="00B44DA1" w:rsidRPr="00EC5E1C" w:rsidRDefault="00B44DA1" w:rsidP="00B44DA1">
      <w:pPr>
        <w:pStyle w:val="ATHeading3"/>
      </w:pPr>
      <w:r w:rsidRPr="00EC5E1C">
        <w:lastRenderedPageBreak/>
        <w:t>15. Eiropas Parlamenta 2026. gada 29. aprīļa lēmums par Eiropas Slimību profilakses un kontroles centra 2024. finanšu gada budžeta izpildes apstiprināšanu (2025/2156(DEC))</w:t>
      </w:r>
    </w:p>
    <w:p w14:paraId="56EAA0B6" w14:textId="77777777" w:rsidR="00EA2C2C" w:rsidRPr="00EC5E1C" w:rsidRDefault="00EA2C2C" w:rsidP="00EA2C2C">
      <w:pPr>
        <w:pStyle w:val="EPComma"/>
      </w:pPr>
      <w:r w:rsidRPr="00EC5E1C">
        <w:rPr>
          <w:i/>
          <w:iCs/>
        </w:rPr>
        <w:t>Eiropas Parlaments</w:t>
      </w:r>
      <w:r w:rsidRPr="00EC5E1C">
        <w:t>,</w:t>
      </w:r>
    </w:p>
    <w:p w14:paraId="02244129" w14:textId="77777777" w:rsidR="00EA2C2C" w:rsidRPr="00EC5E1C" w:rsidRDefault="00EA2C2C" w:rsidP="00EA2C2C">
      <w:pPr>
        <w:pStyle w:val="NormalHanging12a"/>
      </w:pPr>
      <w:r w:rsidRPr="00EC5E1C">
        <w:t>–</w:t>
      </w:r>
      <w:r w:rsidRPr="00EC5E1C">
        <w:tab/>
        <w:t>ņemot vērā Eiropas Slimību profilakses un kontroles centra 2024. finanšu gada galīgos pārskatus,</w:t>
      </w:r>
    </w:p>
    <w:p w14:paraId="43E4809C"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85"/>
      </w:r>
      <w:r w:rsidRPr="00EC5E1C">
        <w:t>,</w:t>
      </w:r>
    </w:p>
    <w:p w14:paraId="3026BBC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86"/>
      </w:r>
      <w:r w:rsidRPr="00EC5E1C">
        <w:t xml:space="preserve"> par pārskatu ticamību, kā arī par pakārtoto darījumu likumību un pareizību, kuru Revīzijas palāta sniegusi par 2024. finanšu gadu saskaņā ar Līguma par Eiropas Savienības darbību 287. pantu,</w:t>
      </w:r>
    </w:p>
    <w:p w14:paraId="58FEFA11" w14:textId="77777777" w:rsidR="00EA2C2C" w:rsidRPr="00EC5E1C" w:rsidRDefault="00EA2C2C" w:rsidP="00EA2C2C">
      <w:pPr>
        <w:pStyle w:val="NormalHanging12a"/>
      </w:pPr>
      <w:r w:rsidRPr="00EC5E1C">
        <w:t>–</w:t>
      </w:r>
      <w:r w:rsidRPr="00EC5E1C">
        <w:tab/>
        <w:t>ņemot vērā Padomes 2026. gada 2. marta ieteikumu par apstiprinājumu, ko sniedz Centram par 2024. finanšu gada budžeta izpildi (05750/2026 – C10-0148/2026),</w:t>
      </w:r>
    </w:p>
    <w:p w14:paraId="48CC352B" w14:textId="77777777" w:rsidR="00EA2C2C" w:rsidRPr="00EC5E1C" w:rsidRDefault="00EA2C2C" w:rsidP="00EA2C2C">
      <w:pPr>
        <w:pStyle w:val="NormalHanging12a"/>
      </w:pPr>
      <w:r w:rsidRPr="00EC5E1C">
        <w:t>–</w:t>
      </w:r>
      <w:r w:rsidRPr="00EC5E1C">
        <w:tab/>
        <w:t>ņemot vērā Līguma par Eiropas Savienības darbību 319. pantu,</w:t>
      </w:r>
    </w:p>
    <w:p w14:paraId="5D20880A"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87"/>
      </w:r>
      <w:r w:rsidRPr="00EC5E1C">
        <w:t>, un jo īpaši tās 70. pantu,</w:t>
      </w:r>
    </w:p>
    <w:p w14:paraId="440FC42B"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88"/>
      </w:r>
      <w:r w:rsidRPr="00EC5E1C">
        <w:t>, un jo īpaši tās 70. pantu,</w:t>
      </w:r>
    </w:p>
    <w:p w14:paraId="2BE58BFA" w14:textId="77777777" w:rsidR="00EA2C2C" w:rsidRPr="00EC5E1C" w:rsidRDefault="00EA2C2C" w:rsidP="00EA2C2C">
      <w:pPr>
        <w:pStyle w:val="NormalHanging12a"/>
      </w:pPr>
      <w:r w:rsidRPr="00EC5E1C">
        <w:t>–</w:t>
      </w:r>
      <w:r w:rsidRPr="00EC5E1C">
        <w:tab/>
        <w:t>ņemot vērā Eiropas Parlamenta un Padomes 2004. gada 21. aprīļa Regulu (EK) Nr. 851/2004, ar ko izveido Eiropas Slimību profilakses un kontroles centru</w:t>
      </w:r>
      <w:r w:rsidRPr="00EC5E1C">
        <w:rPr>
          <w:rStyle w:val="FootnoteReference"/>
        </w:rPr>
        <w:footnoteReference w:id="89"/>
      </w:r>
      <w:r w:rsidRPr="00EC5E1C">
        <w:t>, un jo īpaši tās 23. pantu,</w:t>
      </w:r>
    </w:p>
    <w:p w14:paraId="2037ADF2"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90"/>
      </w:r>
      <w:r w:rsidRPr="00EC5E1C">
        <w:t>, un jo īpaši tās 105. pantu,</w:t>
      </w:r>
    </w:p>
    <w:p w14:paraId="1318D244" w14:textId="77777777" w:rsidR="00EA2C2C" w:rsidRPr="00EC5E1C" w:rsidRDefault="00EA2C2C" w:rsidP="00EA2C2C">
      <w:pPr>
        <w:pStyle w:val="NormalHanging12a"/>
      </w:pPr>
      <w:r w:rsidRPr="00EC5E1C">
        <w:t>–</w:t>
      </w:r>
      <w:r w:rsidRPr="00EC5E1C">
        <w:tab/>
        <w:t>ņemot vērā Reglamenta 102. pantu un V pielikumu,</w:t>
      </w:r>
    </w:p>
    <w:p w14:paraId="3A473AC4"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w:t>
      </w:r>
      <w:r w:rsidRPr="00EC5E1C">
        <w:lastRenderedPageBreak/>
        <w:t xml:space="preserve">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59A656A8" w14:textId="77777777" w:rsidR="00EA2C2C" w:rsidRPr="00EC5E1C" w:rsidRDefault="00EA2C2C" w:rsidP="00EA2C2C">
      <w:pPr>
        <w:pStyle w:val="NormalHanging12a"/>
      </w:pPr>
      <w:r w:rsidRPr="00EC5E1C">
        <w:t>–</w:t>
      </w:r>
      <w:r w:rsidRPr="00EC5E1C">
        <w:tab/>
        <w:t>ņemot vērā Budžeta kontroles komitejas ziņojumu (A10-0087/2026),</w:t>
      </w:r>
    </w:p>
    <w:p w14:paraId="5D57429F" w14:textId="77777777" w:rsidR="00EA2C2C" w:rsidRPr="00EC5E1C" w:rsidRDefault="00EA2C2C" w:rsidP="00EA2C2C">
      <w:pPr>
        <w:pStyle w:val="NormalHanging12a"/>
      </w:pPr>
      <w:r w:rsidRPr="00EC5E1C">
        <w:t>1.</w:t>
      </w:r>
      <w:r w:rsidRPr="00EC5E1C">
        <w:tab/>
        <w:t>sniedz Eiropas Slimību profilakses un kontroles centra direktorei apstiprinājumu par Centra 2024. finanšu gada budžeta izpildi;</w:t>
      </w:r>
    </w:p>
    <w:p w14:paraId="77A3B48F" w14:textId="77777777" w:rsidR="00EA2C2C" w:rsidRPr="00EC5E1C" w:rsidRDefault="00EA2C2C" w:rsidP="00EA2C2C">
      <w:pPr>
        <w:pStyle w:val="NormalHanging12a"/>
      </w:pPr>
      <w:r w:rsidRPr="00EC5E1C">
        <w:t>2.</w:t>
      </w:r>
      <w:r w:rsidRPr="00EC5E1C">
        <w:tab/>
        <w:t>izklāsta savus konstatējumus turpmāk tekstā iekļautajā rezolūcijā;</w:t>
      </w:r>
    </w:p>
    <w:p w14:paraId="5E52DA3E"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Slimību profilakses un kontroles centra direktorei, Padomei, Komisijai un Revīzijas palātai un nodrošināt to publicēšanu </w:t>
      </w:r>
      <w:r w:rsidRPr="00EC5E1C">
        <w:rPr>
          <w:i/>
          <w:iCs/>
        </w:rPr>
        <w:t>Eiropas Savienības Oficiālajā Vēstnesī</w:t>
      </w:r>
      <w:r w:rsidRPr="00EC5E1C">
        <w:t xml:space="preserve"> (L sērijā).</w:t>
      </w:r>
    </w:p>
    <w:p w14:paraId="2B8B65F3" w14:textId="77777777" w:rsidR="00EA2C2C" w:rsidRPr="00EC5E1C" w:rsidRDefault="00EA2C2C" w:rsidP="00EA2C2C"/>
    <w:p w14:paraId="1DD2E48F" w14:textId="77777777" w:rsidR="00EA2C2C" w:rsidRPr="00EC5E1C" w:rsidRDefault="00EA2C2C" w:rsidP="00EA2C2C">
      <w:pPr>
        <w:pStyle w:val="PageHeadingDec"/>
        <w:sectPr w:rsidR="00EA2C2C" w:rsidRPr="00EC5E1C" w:rsidSect="00D106D3">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40011E" w14:textId="77777777" w:rsidR="00B44DA1" w:rsidRPr="00EC5E1C" w:rsidRDefault="00B44DA1" w:rsidP="00B44DA1">
      <w:pPr>
        <w:pStyle w:val="ATHeading3"/>
      </w:pPr>
      <w:r w:rsidRPr="00EC5E1C">
        <w:lastRenderedPageBreak/>
        <w:t>16. Eiropas Parlamenta 2026. gada 29. aprīļa lēmums par Eiropas Slimību profilakses un kontroles centra 2024. finanšu gada pārskatu apstiprināšanu (2025/2156(DEC))</w:t>
      </w:r>
    </w:p>
    <w:p w14:paraId="241391A5" w14:textId="77777777" w:rsidR="00EA2C2C" w:rsidRPr="00EC5E1C" w:rsidRDefault="00EA2C2C" w:rsidP="00EA2C2C">
      <w:pPr>
        <w:pStyle w:val="EPComma"/>
      </w:pPr>
      <w:r w:rsidRPr="00EC5E1C">
        <w:rPr>
          <w:i/>
          <w:iCs/>
        </w:rPr>
        <w:t>Eiropas Parlaments</w:t>
      </w:r>
      <w:r w:rsidRPr="00EC5E1C">
        <w:t>,</w:t>
      </w:r>
    </w:p>
    <w:p w14:paraId="1DC72775" w14:textId="77777777" w:rsidR="00EA2C2C" w:rsidRPr="00EC5E1C" w:rsidRDefault="00EA2C2C" w:rsidP="00EA2C2C">
      <w:pPr>
        <w:pStyle w:val="NormalHanging12a"/>
      </w:pPr>
      <w:r w:rsidRPr="00EC5E1C">
        <w:t>–</w:t>
      </w:r>
      <w:r w:rsidRPr="00EC5E1C">
        <w:tab/>
        <w:t>ņemot vērā Eiropas Slimību profilakses un kontroles centra 2024. finanšu gada galīgos pārskatus,</w:t>
      </w:r>
    </w:p>
    <w:p w14:paraId="7C417609"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91"/>
      </w:r>
      <w:r w:rsidRPr="00EC5E1C">
        <w:t>,</w:t>
      </w:r>
    </w:p>
    <w:p w14:paraId="765A42DC"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92"/>
      </w:r>
      <w:r w:rsidRPr="00EC5E1C">
        <w:t xml:space="preserve"> par pārskatu ticamību, kā arī par pakārtoto darījumu likumību un pareizību, kuru Revīzijas palāta sniegusi par 2024. finanšu gadu saskaņā ar Līguma par Eiropas Savienības darbību 287. pantu,</w:t>
      </w:r>
    </w:p>
    <w:p w14:paraId="7FC3DB0B" w14:textId="77777777" w:rsidR="00EA2C2C" w:rsidRPr="00EC5E1C" w:rsidRDefault="00EA2C2C" w:rsidP="00EA2C2C">
      <w:pPr>
        <w:pStyle w:val="NormalHanging12a"/>
      </w:pPr>
      <w:r w:rsidRPr="00EC5E1C">
        <w:t>–</w:t>
      </w:r>
      <w:r w:rsidRPr="00EC5E1C">
        <w:tab/>
        <w:t>ņemot vērā Padomes 2026. gada 2. marta ieteikumu par apstiprinājumu, ko sniedz Centram par 2024. finanšu gada budžeta izpildi (05750/2026 – C10-0148/2026),</w:t>
      </w:r>
    </w:p>
    <w:p w14:paraId="17B72F35" w14:textId="77777777" w:rsidR="00EA2C2C" w:rsidRPr="00EC5E1C" w:rsidRDefault="00EA2C2C" w:rsidP="00EA2C2C">
      <w:pPr>
        <w:pStyle w:val="NormalHanging12a"/>
      </w:pPr>
      <w:r w:rsidRPr="00EC5E1C">
        <w:t>–</w:t>
      </w:r>
      <w:r w:rsidRPr="00EC5E1C">
        <w:tab/>
        <w:t>ņemot vērā Līguma par Eiropas Savienības darbību 319. pantu,</w:t>
      </w:r>
    </w:p>
    <w:p w14:paraId="699AC19E"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93"/>
      </w:r>
      <w:r w:rsidRPr="00EC5E1C">
        <w:t>, un jo īpaši tās 70. pantu,</w:t>
      </w:r>
    </w:p>
    <w:p w14:paraId="7102C188"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94"/>
      </w:r>
      <w:r w:rsidRPr="00EC5E1C">
        <w:t>, un jo īpaši tās 70. pantu,</w:t>
      </w:r>
    </w:p>
    <w:p w14:paraId="11C77745" w14:textId="77777777" w:rsidR="00EA2C2C" w:rsidRPr="00EC5E1C" w:rsidRDefault="00EA2C2C" w:rsidP="00EA2C2C">
      <w:pPr>
        <w:pStyle w:val="NormalHanging12a"/>
      </w:pPr>
      <w:r w:rsidRPr="00EC5E1C">
        <w:t>–</w:t>
      </w:r>
      <w:r w:rsidRPr="00EC5E1C">
        <w:tab/>
        <w:t>ņemot vērā Eiropas Parlamenta un Padomes 2004. gada 21. aprīļa Regulu (EK) Nr. 851/2004, ar ko izveido Eiropas Slimību profilakses un kontroles centru</w:t>
      </w:r>
      <w:r w:rsidRPr="00EC5E1C">
        <w:rPr>
          <w:rStyle w:val="FootnoteReference"/>
        </w:rPr>
        <w:footnoteReference w:id="95"/>
      </w:r>
      <w:r w:rsidRPr="00EC5E1C">
        <w:t>, un jo īpaši tās 23. pantu,</w:t>
      </w:r>
    </w:p>
    <w:p w14:paraId="2C374518"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96"/>
      </w:r>
      <w:r w:rsidRPr="00EC5E1C">
        <w:t>, un jo īpaši tās 105. pantu,</w:t>
      </w:r>
    </w:p>
    <w:p w14:paraId="5F6277F1" w14:textId="77777777" w:rsidR="00EA2C2C" w:rsidRPr="00EC5E1C" w:rsidRDefault="00EA2C2C" w:rsidP="00EA2C2C">
      <w:pPr>
        <w:pStyle w:val="NormalHanging12a"/>
      </w:pPr>
      <w:r w:rsidRPr="00EC5E1C">
        <w:t>–</w:t>
      </w:r>
      <w:r w:rsidRPr="00EC5E1C">
        <w:tab/>
        <w:t>ņemot vērā Reglamenta 102. pantu un V pielikumu,</w:t>
      </w:r>
    </w:p>
    <w:p w14:paraId="5FA04AAA"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235D4E1A" w14:textId="77777777" w:rsidR="00EA2C2C" w:rsidRPr="00EC5E1C" w:rsidRDefault="00EA2C2C" w:rsidP="00EA2C2C">
      <w:pPr>
        <w:pStyle w:val="NormalHanging12a"/>
      </w:pPr>
      <w:r w:rsidRPr="00EC5E1C">
        <w:t>–</w:t>
      </w:r>
      <w:r w:rsidRPr="00EC5E1C">
        <w:tab/>
        <w:t>ņemot vērā Budžeta kontroles komitejas ziņojumu (A10-0087/2026),</w:t>
      </w:r>
    </w:p>
    <w:p w14:paraId="4D89F5F7" w14:textId="77777777" w:rsidR="00EA2C2C" w:rsidRPr="00EC5E1C" w:rsidRDefault="00EA2C2C" w:rsidP="00EA2C2C">
      <w:pPr>
        <w:pStyle w:val="NormalHanging12a"/>
      </w:pPr>
      <w:r w:rsidRPr="00EC5E1C">
        <w:t>1.</w:t>
      </w:r>
      <w:r w:rsidRPr="00EC5E1C">
        <w:tab/>
        <w:t>apstiprina Eiropas Slimību profilakses un kontroles centra 2024. finanšu gada pārskatus;</w:t>
      </w:r>
    </w:p>
    <w:p w14:paraId="40ADD940" w14:textId="77777777" w:rsidR="00EA2C2C" w:rsidRPr="00EC5E1C" w:rsidRDefault="00EA2C2C" w:rsidP="00EA2C2C">
      <w:pPr>
        <w:pStyle w:val="NormalHanging12a"/>
      </w:pPr>
      <w:r w:rsidRPr="00EC5E1C">
        <w:t>2.</w:t>
      </w:r>
      <w:r w:rsidRPr="00EC5E1C">
        <w:tab/>
        <w:t xml:space="preserve">uzdod priekšsēdētājai šo lēmumu nosūtīt Eiropas Slimību profilakses un kontroles centra direktorei, Padomei, Komisijai un Revīzijas palātai un nodrošināt tā publicēšanu </w:t>
      </w:r>
      <w:r w:rsidRPr="00EC5E1C">
        <w:rPr>
          <w:i/>
          <w:iCs/>
        </w:rPr>
        <w:t>Eiropas Savienības Oficiālajā Vēstnesī</w:t>
      </w:r>
      <w:r w:rsidRPr="00EC5E1C">
        <w:t xml:space="preserve"> (L sērijā).</w:t>
      </w:r>
    </w:p>
    <w:p w14:paraId="687441E4" w14:textId="77777777" w:rsidR="00EA2C2C" w:rsidRPr="00EC5E1C" w:rsidRDefault="00EA2C2C" w:rsidP="00EA2C2C"/>
    <w:p w14:paraId="4F10B945" w14:textId="77777777" w:rsidR="00EA2C2C" w:rsidRPr="00EC5E1C" w:rsidRDefault="00EA2C2C" w:rsidP="00EA2C2C"/>
    <w:p w14:paraId="4FA0660E" w14:textId="76919064" w:rsidR="00EA2C2C" w:rsidRPr="00EC5E1C" w:rsidRDefault="00EA2C2C" w:rsidP="00EA2C2C">
      <w:pPr>
        <w:pStyle w:val="PageHeadingDec"/>
      </w:pPr>
    </w:p>
    <w:p w14:paraId="577806B1" w14:textId="77777777" w:rsidR="00EA2C2C" w:rsidRPr="00EC5E1C" w:rsidRDefault="00EA2C2C" w:rsidP="00EA2C2C">
      <w:pPr>
        <w:pStyle w:val="PageHeadingDec"/>
        <w:sectPr w:rsidR="00EA2C2C" w:rsidRPr="00EC5E1C" w:rsidSect="00D106D3">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FBB0567" w14:textId="77777777" w:rsidR="00B44DA1" w:rsidRPr="00EC5E1C" w:rsidRDefault="00B44DA1" w:rsidP="00B44DA1">
      <w:pPr>
        <w:pStyle w:val="ATHeading3"/>
      </w:pPr>
      <w:r w:rsidRPr="00EC5E1C">
        <w:lastRenderedPageBreak/>
        <w:t>17. Eiropas Parlamenta 2026. gada 29. aprīļa lēmums par Eiropas Ķimikāliju aģentūras 2024. finanšu gada budžeta izpildes apstiprināšanu (2025/2156(DEC))</w:t>
      </w:r>
    </w:p>
    <w:p w14:paraId="1C2D329A" w14:textId="77777777" w:rsidR="00EA2C2C" w:rsidRPr="00EC5E1C" w:rsidRDefault="00EA2C2C" w:rsidP="00EA2C2C">
      <w:pPr>
        <w:pStyle w:val="EPComma"/>
      </w:pPr>
      <w:r w:rsidRPr="00EC5E1C">
        <w:rPr>
          <w:i/>
          <w:iCs/>
        </w:rPr>
        <w:t>Eiropas Parlaments</w:t>
      </w:r>
      <w:r w:rsidRPr="00EC5E1C">
        <w:t>,</w:t>
      </w:r>
    </w:p>
    <w:p w14:paraId="0CFAFC37" w14:textId="77777777" w:rsidR="00EA2C2C" w:rsidRPr="00EC5E1C" w:rsidRDefault="00EA2C2C" w:rsidP="00EA2C2C">
      <w:pPr>
        <w:pStyle w:val="NormalHanging12a"/>
      </w:pPr>
      <w:r w:rsidRPr="00EC5E1C">
        <w:t>–</w:t>
      </w:r>
      <w:r w:rsidRPr="00EC5E1C">
        <w:tab/>
        <w:t>ņemot vērā Eiropas Ķimikāliju aģentūras 2024. finanšu gada galīgos pārskatus,</w:t>
      </w:r>
    </w:p>
    <w:p w14:paraId="13AA7B49"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97"/>
      </w:r>
      <w:r w:rsidRPr="00EC5E1C">
        <w:t>,</w:t>
      </w:r>
    </w:p>
    <w:p w14:paraId="0E4866EE"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98"/>
      </w:r>
      <w:r w:rsidRPr="00EC5E1C">
        <w:t xml:space="preserve"> par pārskatu ticamību, kā arī par pakārtoto darījumu likumību un pareizību, kuru Revīzijas palāta sniegusi par 2024. finanšu gadu saskaņā ar Līguma par Eiropas Savienības darbību 287. pantu,</w:t>
      </w:r>
    </w:p>
    <w:p w14:paraId="0AA16FE9"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6E4F0101" w14:textId="77777777" w:rsidR="00EA2C2C" w:rsidRPr="00EC5E1C" w:rsidRDefault="00EA2C2C" w:rsidP="00EA2C2C">
      <w:pPr>
        <w:pStyle w:val="NormalHanging12a"/>
      </w:pPr>
      <w:r w:rsidRPr="00EC5E1C">
        <w:t>–</w:t>
      </w:r>
      <w:r w:rsidRPr="00EC5E1C">
        <w:tab/>
        <w:t>ņemot vērā Līguma par Eiropas Savienības darbību 319. pantu,</w:t>
      </w:r>
    </w:p>
    <w:p w14:paraId="67E66884"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99"/>
      </w:r>
      <w:r w:rsidRPr="00EC5E1C">
        <w:t>, un jo īpaši tās 70. pantu,</w:t>
      </w:r>
    </w:p>
    <w:p w14:paraId="0D447230"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00"/>
      </w:r>
      <w:r w:rsidRPr="00EC5E1C">
        <w:t>, un jo īpaši tās 70. pantu,</w:t>
      </w:r>
    </w:p>
    <w:p w14:paraId="15DD53F0" w14:textId="77777777" w:rsidR="00EA2C2C" w:rsidRPr="00EC5E1C" w:rsidRDefault="00EA2C2C" w:rsidP="00EA2C2C">
      <w:pPr>
        <w:pStyle w:val="NormalHanging12a"/>
      </w:pPr>
      <w:r w:rsidRPr="00EC5E1C">
        <w:t>–</w:t>
      </w:r>
      <w:r w:rsidRPr="00EC5E1C">
        <w:tab/>
        <w:t>ņemot vērā Eiropas Parlamenta un Padomes 2006. gada 18. decembra Regulu (EK) Nr. 1907/2006, kas attiecas uz ķimikāliju reģistrēšanu, vērtēšanu, licencēšanu un ierobežošanu (</w:t>
      </w:r>
      <w:r w:rsidRPr="00EC5E1C">
        <w:rPr>
          <w:i/>
          <w:iCs/>
        </w:rPr>
        <w:t>REACH</w:t>
      </w:r>
      <w:r w:rsidRPr="00EC5E1C">
        <w:t>), un ar kuru izveido Eiropas Ķimikāliju aģentūru, groza Direktīvu 1999/45/EK un atceļ Padomes Regulu (EEK) Nr. 793/93 un Komisijas Regulu (EK) Nr. 1488/94, kā arī Padomes Direktīvu 76/769/EEK un Komisijas Direktīvu 91/155/EEK, Direktīvu 93/67/EEK, Direktīvu 93/105/EK un Direktīvu 2000/21/EK</w:t>
      </w:r>
      <w:r w:rsidRPr="00EC5E1C">
        <w:rPr>
          <w:rStyle w:val="FootnoteReference"/>
        </w:rPr>
        <w:footnoteReference w:id="101"/>
      </w:r>
      <w:r w:rsidRPr="00EC5E1C">
        <w:t>, un jo īpaši tās 97. pantu,</w:t>
      </w:r>
    </w:p>
    <w:p w14:paraId="66E9D003"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02"/>
      </w:r>
      <w:r w:rsidRPr="00EC5E1C">
        <w:t>, un jo īpaši tās 105. pantu,</w:t>
      </w:r>
    </w:p>
    <w:p w14:paraId="32DDFB47" w14:textId="77777777" w:rsidR="00EA2C2C" w:rsidRPr="00EC5E1C" w:rsidRDefault="00EA2C2C" w:rsidP="00EA2C2C">
      <w:pPr>
        <w:pStyle w:val="NormalHanging12a"/>
      </w:pPr>
      <w:r w:rsidRPr="00EC5E1C">
        <w:t>–</w:t>
      </w:r>
      <w:r w:rsidRPr="00EC5E1C">
        <w:tab/>
        <w:t>ņemot vērā Reglamenta 102. pantu un V pielikumu,</w:t>
      </w:r>
    </w:p>
    <w:p w14:paraId="08FD93C2" w14:textId="77777777" w:rsidR="00EA2C2C" w:rsidRPr="00EC5E1C" w:rsidRDefault="00EA2C2C" w:rsidP="00EA2C2C">
      <w:pPr>
        <w:pStyle w:val="NormalHanging12a"/>
      </w:pPr>
      <w:r w:rsidRPr="00EC5E1C">
        <w:lastRenderedPageBreak/>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031A3F77" w14:textId="77777777" w:rsidR="00EA2C2C" w:rsidRPr="00EC5E1C" w:rsidRDefault="00EA2C2C" w:rsidP="00EA2C2C">
      <w:pPr>
        <w:pStyle w:val="NormalHanging12a"/>
      </w:pPr>
      <w:r w:rsidRPr="00EC5E1C">
        <w:t>–</w:t>
      </w:r>
      <w:r w:rsidRPr="00EC5E1C">
        <w:tab/>
        <w:t>ņemot vērā Budžeta kontroles komitejas ziņojumu (A10-0087/2026),</w:t>
      </w:r>
    </w:p>
    <w:p w14:paraId="21015E5F" w14:textId="77777777" w:rsidR="00EA2C2C" w:rsidRPr="00EC5E1C" w:rsidRDefault="00EA2C2C" w:rsidP="00EA2C2C">
      <w:pPr>
        <w:pStyle w:val="NormalHanging12a"/>
      </w:pPr>
      <w:r w:rsidRPr="00EC5E1C">
        <w:t>1.</w:t>
      </w:r>
      <w:r w:rsidRPr="00EC5E1C">
        <w:tab/>
        <w:t>sniedz Eiropas Ķimikāliju aģentūras izpilddirektorei apstiprinājumu par Aģentūras 2024. finanšu gada budžeta izpildi;</w:t>
      </w:r>
    </w:p>
    <w:p w14:paraId="4C8E2773" w14:textId="77777777" w:rsidR="00EA2C2C" w:rsidRPr="00EC5E1C" w:rsidRDefault="00EA2C2C" w:rsidP="00EA2C2C">
      <w:pPr>
        <w:pStyle w:val="NormalHanging12a"/>
      </w:pPr>
      <w:r w:rsidRPr="00EC5E1C">
        <w:t>2.</w:t>
      </w:r>
      <w:r w:rsidRPr="00EC5E1C">
        <w:tab/>
        <w:t>izklāsta savus konstatējumus turpmāk tekstā iekļautajā rezolūcijā;</w:t>
      </w:r>
    </w:p>
    <w:p w14:paraId="048C3575"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Ķimikāliju aģentūras izpilddirektorei, Padomei, Komisijai un Revīzijas palātai un nodrošināt to publicēšanu </w:t>
      </w:r>
      <w:r w:rsidRPr="00EC5E1C">
        <w:rPr>
          <w:i/>
          <w:iCs/>
        </w:rPr>
        <w:t>Eiropas Savienības Oficiālajā Vēstnesī</w:t>
      </w:r>
      <w:r w:rsidRPr="00EC5E1C">
        <w:t xml:space="preserve"> (L sērijā).</w:t>
      </w:r>
    </w:p>
    <w:p w14:paraId="11EB7258" w14:textId="77777777" w:rsidR="00EA2C2C" w:rsidRPr="00EC5E1C" w:rsidRDefault="00EA2C2C" w:rsidP="00EA2C2C"/>
    <w:p w14:paraId="108E4D39" w14:textId="77777777" w:rsidR="00EA2C2C" w:rsidRPr="00EC5E1C" w:rsidRDefault="00EA2C2C" w:rsidP="00EA2C2C">
      <w:pPr>
        <w:pStyle w:val="PageHeadingDec"/>
        <w:sectPr w:rsidR="00EA2C2C" w:rsidRPr="00EC5E1C" w:rsidSect="00D106D3">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5E7DC0" w14:textId="77777777" w:rsidR="00B44DA1" w:rsidRPr="00EC5E1C" w:rsidRDefault="00B44DA1" w:rsidP="00B44DA1">
      <w:pPr>
        <w:pStyle w:val="ATHeading3"/>
      </w:pPr>
      <w:r w:rsidRPr="00EC5E1C">
        <w:lastRenderedPageBreak/>
        <w:t>18. Eiropas Parlamenta 2026. gada 29. aprīļa lēmums par Eiropas Ķimikāliju aģentūras 2024. finanšu gada pārskatu apstiprināšanu (2025/2156(DEC))</w:t>
      </w:r>
    </w:p>
    <w:p w14:paraId="6907E0A9" w14:textId="77777777" w:rsidR="00EA2C2C" w:rsidRPr="00EC5E1C" w:rsidRDefault="00EA2C2C" w:rsidP="00EA2C2C">
      <w:pPr>
        <w:pStyle w:val="EPComma"/>
      </w:pPr>
      <w:r w:rsidRPr="00EC5E1C">
        <w:rPr>
          <w:i/>
          <w:iCs/>
        </w:rPr>
        <w:t>Eiropas Parlaments</w:t>
      </w:r>
      <w:r w:rsidRPr="00EC5E1C">
        <w:t>,</w:t>
      </w:r>
    </w:p>
    <w:p w14:paraId="6E4296D2" w14:textId="77777777" w:rsidR="00EA2C2C" w:rsidRPr="00EC5E1C" w:rsidRDefault="00EA2C2C" w:rsidP="00EA2C2C">
      <w:pPr>
        <w:pStyle w:val="NormalHanging12a"/>
      </w:pPr>
      <w:r w:rsidRPr="00EC5E1C">
        <w:t>–</w:t>
      </w:r>
      <w:r w:rsidRPr="00EC5E1C">
        <w:tab/>
        <w:t>ņemot vērā Eiropas Ķimikāliju aģentūras 2024. finanšu gada galīgos pārskatus,</w:t>
      </w:r>
    </w:p>
    <w:p w14:paraId="0BA0F7EB"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03"/>
      </w:r>
      <w:r w:rsidRPr="00EC5E1C">
        <w:t>,</w:t>
      </w:r>
    </w:p>
    <w:p w14:paraId="3953AF24"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04"/>
      </w:r>
      <w:r w:rsidRPr="00EC5E1C">
        <w:t xml:space="preserve"> par pārskatu ticamību, kā arī par pakārtoto darījumu likumību un pareizību, kuru Revīzijas palāta sniegusi par 2024. finanšu gadu saskaņā ar Līguma par Eiropas Savienības darbību 287. pantu,</w:t>
      </w:r>
    </w:p>
    <w:p w14:paraId="5A72B777"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7DF543B1" w14:textId="77777777" w:rsidR="00EA2C2C" w:rsidRPr="00EC5E1C" w:rsidRDefault="00EA2C2C" w:rsidP="00EA2C2C">
      <w:pPr>
        <w:pStyle w:val="NormalHanging12a"/>
      </w:pPr>
      <w:r w:rsidRPr="00EC5E1C">
        <w:t>–</w:t>
      </w:r>
      <w:r w:rsidRPr="00EC5E1C">
        <w:tab/>
        <w:t>ņemot vērā Līguma par Eiropas Savienības darbību 319. pantu,</w:t>
      </w:r>
    </w:p>
    <w:p w14:paraId="4532D9FB"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05"/>
      </w:r>
      <w:r w:rsidRPr="00EC5E1C">
        <w:t>, un jo īpaši tās 70. pantu,</w:t>
      </w:r>
    </w:p>
    <w:p w14:paraId="4AE1559D"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06"/>
      </w:r>
      <w:r w:rsidRPr="00EC5E1C">
        <w:t>, un jo īpaši tās 70. pantu,</w:t>
      </w:r>
    </w:p>
    <w:p w14:paraId="419E434C" w14:textId="77777777" w:rsidR="00EA2C2C" w:rsidRPr="00EC5E1C" w:rsidRDefault="00EA2C2C" w:rsidP="00EA2C2C">
      <w:pPr>
        <w:pStyle w:val="NormalHanging12a"/>
      </w:pPr>
      <w:r w:rsidRPr="00EC5E1C">
        <w:t>–</w:t>
      </w:r>
      <w:r w:rsidRPr="00EC5E1C">
        <w:tab/>
        <w:t>ņemot vērā Eiropas Parlamenta un Padomes 2006. gada 18. decembra Regulu (EK) Nr. 1907/2006, kas attiecas uz ķimikāliju reģistrēšanu, vērtēšanu, licencēšanu un ierobežošanu (</w:t>
      </w:r>
      <w:r w:rsidRPr="00EC5E1C">
        <w:rPr>
          <w:i/>
          <w:iCs/>
        </w:rPr>
        <w:t>REACH</w:t>
      </w:r>
      <w:r w:rsidRPr="00EC5E1C">
        <w:t>), un ar kuru izveido Eiropas Ķimikāliju aģentūru, groza Direktīvu 1999/45/EK un atceļ Padomes Regulu (EEK) Nr. 793/93 un Komisijas Regulu (EK) Nr. 1488/94, kā arī Padomes Direktīvu 76/769/EEK un Komisijas Direktīvu 91/155/EEK, Direktīvu 93/67/EEK, Direktīvu 93/105/EK un Direktīvu 2000/21/EK</w:t>
      </w:r>
      <w:r w:rsidRPr="00EC5E1C">
        <w:rPr>
          <w:rStyle w:val="FootnoteReference"/>
        </w:rPr>
        <w:footnoteReference w:id="107"/>
      </w:r>
      <w:r w:rsidRPr="00EC5E1C">
        <w:t>, un jo īpaši tās 97. pantu,</w:t>
      </w:r>
    </w:p>
    <w:p w14:paraId="6F889D96"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08"/>
      </w:r>
      <w:r w:rsidRPr="00EC5E1C">
        <w:t>, un jo īpaši tās 105. pantu,</w:t>
      </w:r>
    </w:p>
    <w:p w14:paraId="671281AB" w14:textId="77777777" w:rsidR="00EA2C2C" w:rsidRPr="00EC5E1C" w:rsidRDefault="00EA2C2C" w:rsidP="00EA2C2C">
      <w:pPr>
        <w:pStyle w:val="NormalHanging12a"/>
      </w:pPr>
      <w:r w:rsidRPr="00EC5E1C">
        <w:t>–</w:t>
      </w:r>
      <w:r w:rsidRPr="00EC5E1C">
        <w:tab/>
        <w:t>ņemot vērā Reglamenta 102. pantu un V pielikumu,</w:t>
      </w:r>
    </w:p>
    <w:p w14:paraId="4C0578D4" w14:textId="77777777" w:rsidR="00EA2C2C" w:rsidRPr="00EC5E1C" w:rsidRDefault="00EA2C2C" w:rsidP="00EA2C2C">
      <w:pPr>
        <w:pStyle w:val="NormalHanging12a"/>
      </w:pPr>
      <w:r w:rsidRPr="00EC5E1C">
        <w:lastRenderedPageBreak/>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08F93296" w14:textId="77777777" w:rsidR="00EA2C2C" w:rsidRPr="00EC5E1C" w:rsidRDefault="00EA2C2C" w:rsidP="00EA2C2C">
      <w:pPr>
        <w:pStyle w:val="NormalHanging12a"/>
      </w:pPr>
      <w:r w:rsidRPr="00EC5E1C">
        <w:t>–</w:t>
      </w:r>
      <w:r w:rsidRPr="00EC5E1C">
        <w:tab/>
        <w:t>ņemot vērā Budžeta kontroles komitejas ziņojumu (A10-0087/2026),</w:t>
      </w:r>
    </w:p>
    <w:p w14:paraId="5B16689A" w14:textId="77777777" w:rsidR="00EA2C2C" w:rsidRPr="00EC5E1C" w:rsidRDefault="00EA2C2C" w:rsidP="00EA2C2C">
      <w:pPr>
        <w:pStyle w:val="NormalHanging12a"/>
      </w:pPr>
      <w:r w:rsidRPr="00EC5E1C">
        <w:t>1.</w:t>
      </w:r>
      <w:r w:rsidRPr="00EC5E1C">
        <w:tab/>
        <w:t>apstiprina Eiropas Ķimikāliju aģentūras 2024. finanšu gada pārskatus;</w:t>
      </w:r>
    </w:p>
    <w:p w14:paraId="05B7BA0F" w14:textId="77777777" w:rsidR="00EA2C2C" w:rsidRPr="00EC5E1C" w:rsidRDefault="00EA2C2C" w:rsidP="00EA2C2C">
      <w:pPr>
        <w:pStyle w:val="NormalHanging12a"/>
      </w:pPr>
      <w:r w:rsidRPr="00EC5E1C">
        <w:t>2.</w:t>
      </w:r>
      <w:r w:rsidRPr="00EC5E1C">
        <w:tab/>
        <w:t xml:space="preserve">uzdod priekšsēdētājai šo lēmumu nosūtīt Eiropas Ķimikāliju aģentūras izpilddirektorei, Padomei, Komisijai un Revīzijas palātai un nodrošināt tā publicēšanu </w:t>
      </w:r>
      <w:r w:rsidRPr="00EC5E1C">
        <w:rPr>
          <w:i/>
          <w:iCs/>
        </w:rPr>
        <w:t>Eiropas Savienības Oficiālajā Vēstnesī</w:t>
      </w:r>
      <w:r w:rsidRPr="00EC5E1C">
        <w:t xml:space="preserve"> (L sērijā).</w:t>
      </w:r>
    </w:p>
    <w:p w14:paraId="74698A51" w14:textId="77777777" w:rsidR="00EA2C2C" w:rsidRPr="00EC5E1C" w:rsidRDefault="00EA2C2C" w:rsidP="00EA2C2C"/>
    <w:p w14:paraId="0FEC4076" w14:textId="77777777" w:rsidR="00EA2C2C" w:rsidRPr="00EC5E1C" w:rsidRDefault="00EA2C2C" w:rsidP="00EA2C2C"/>
    <w:p w14:paraId="7571AC3B" w14:textId="3336B16C" w:rsidR="00EA2C2C" w:rsidRPr="00EC5E1C" w:rsidRDefault="00EA2C2C" w:rsidP="00EA2C2C">
      <w:pPr>
        <w:pStyle w:val="PageHeadingDec"/>
      </w:pPr>
    </w:p>
    <w:p w14:paraId="24E94A92" w14:textId="77777777" w:rsidR="00EA2C2C" w:rsidRPr="00EC5E1C" w:rsidRDefault="00EA2C2C" w:rsidP="00EA2C2C">
      <w:pPr>
        <w:pStyle w:val="PageHeadingDec"/>
        <w:sectPr w:rsidR="00EA2C2C" w:rsidRPr="00EC5E1C" w:rsidSect="00D106D3">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A3D097" w14:textId="77777777" w:rsidR="00B44DA1" w:rsidRPr="00EC5E1C" w:rsidRDefault="00B44DA1" w:rsidP="00B44DA1">
      <w:pPr>
        <w:pStyle w:val="ATHeading3"/>
      </w:pPr>
      <w:r w:rsidRPr="00EC5E1C">
        <w:lastRenderedPageBreak/>
        <w:t>19. Eiropas Parlamenta 2026. gada 29. aprīļa lēmums par Eiropas Vides aģentūras 2024. finanšu gada budžeta izpildes apstiprināšanu (2025/2156(DEC))</w:t>
      </w:r>
    </w:p>
    <w:p w14:paraId="15EB0088" w14:textId="77777777" w:rsidR="00EA2C2C" w:rsidRPr="00EC5E1C" w:rsidRDefault="00EA2C2C" w:rsidP="00EA2C2C">
      <w:pPr>
        <w:pStyle w:val="EPComma"/>
      </w:pPr>
      <w:r w:rsidRPr="00EC5E1C">
        <w:rPr>
          <w:i/>
          <w:iCs/>
        </w:rPr>
        <w:t>Eiropas Parlaments</w:t>
      </w:r>
      <w:r w:rsidRPr="00EC5E1C">
        <w:t>,</w:t>
      </w:r>
    </w:p>
    <w:p w14:paraId="738025F6" w14:textId="77777777" w:rsidR="00EA2C2C" w:rsidRPr="00EC5E1C" w:rsidRDefault="00EA2C2C" w:rsidP="00EA2C2C">
      <w:pPr>
        <w:pStyle w:val="NormalHanging12a"/>
      </w:pPr>
      <w:r w:rsidRPr="00EC5E1C">
        <w:t>–</w:t>
      </w:r>
      <w:r w:rsidRPr="00EC5E1C">
        <w:tab/>
        <w:t>ņemot vērā Eiropas Vides aģentūras 2024. finanšu gada galīgos pārskatus,</w:t>
      </w:r>
    </w:p>
    <w:p w14:paraId="163D564A"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09"/>
      </w:r>
      <w:r w:rsidRPr="00EC5E1C">
        <w:t>,</w:t>
      </w:r>
    </w:p>
    <w:p w14:paraId="4A241B8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10"/>
      </w:r>
      <w:r w:rsidRPr="00EC5E1C">
        <w:t xml:space="preserve"> par pārskatu ticamību, kā arī par pakārtoto darījumu likumību un pareizību, kuru Revīzijas palāta sniegusi par 2024. finanšu gadu saskaņā ar Līguma par Eiropas Savienības darbību 287. pantu,</w:t>
      </w:r>
    </w:p>
    <w:p w14:paraId="664161FC"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7558ED1D" w14:textId="77777777" w:rsidR="00EA2C2C" w:rsidRPr="00EC5E1C" w:rsidRDefault="00EA2C2C" w:rsidP="00EA2C2C">
      <w:pPr>
        <w:pStyle w:val="NormalHanging12a"/>
      </w:pPr>
      <w:r w:rsidRPr="00EC5E1C">
        <w:t>–</w:t>
      </w:r>
      <w:r w:rsidRPr="00EC5E1C">
        <w:tab/>
        <w:t>ņemot vērā Līguma par Eiropas Savienības darbību 319. pantu,</w:t>
      </w:r>
    </w:p>
    <w:p w14:paraId="6F8D794D"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11"/>
      </w:r>
      <w:r w:rsidRPr="00EC5E1C">
        <w:t>, un jo īpaši tās 70. pantu,</w:t>
      </w:r>
    </w:p>
    <w:p w14:paraId="21738446"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12"/>
      </w:r>
      <w:r w:rsidRPr="00EC5E1C">
        <w:t>, un jo īpaši tās 70. pantu,</w:t>
      </w:r>
    </w:p>
    <w:p w14:paraId="67A62A4C" w14:textId="77777777" w:rsidR="00EA2C2C" w:rsidRPr="00EC5E1C" w:rsidRDefault="00EA2C2C" w:rsidP="00EA2C2C">
      <w:pPr>
        <w:pStyle w:val="NormalHanging12a"/>
      </w:pPr>
      <w:r w:rsidRPr="00EC5E1C">
        <w:t>–</w:t>
      </w:r>
      <w:r w:rsidRPr="00EC5E1C">
        <w:tab/>
        <w:t>ņemot vērā Eiropas Parlamenta un Padomes 2009. gada 23. aprīļa Regulu (EK) Nr. 401/2009 par Eiropas Vides aģentūru un Eiropas Vides informācijas un novērojumu tīklu</w:t>
      </w:r>
      <w:r w:rsidRPr="00EC5E1C">
        <w:rPr>
          <w:rStyle w:val="FootnoteReference"/>
        </w:rPr>
        <w:footnoteReference w:id="113"/>
      </w:r>
      <w:r w:rsidRPr="00EC5E1C">
        <w:t xml:space="preserve"> un jo īpaši tās 13. pantu,</w:t>
      </w:r>
    </w:p>
    <w:p w14:paraId="6CB1A0A4"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14"/>
      </w:r>
      <w:r w:rsidRPr="00EC5E1C">
        <w:t>, un jo īpaši tās 105. pantu,</w:t>
      </w:r>
    </w:p>
    <w:p w14:paraId="756C9728" w14:textId="77777777" w:rsidR="00EA2C2C" w:rsidRPr="00EC5E1C" w:rsidRDefault="00EA2C2C" w:rsidP="00EA2C2C">
      <w:pPr>
        <w:pStyle w:val="NormalHanging12a"/>
      </w:pPr>
      <w:r w:rsidRPr="00EC5E1C">
        <w:t>–</w:t>
      </w:r>
      <w:r w:rsidRPr="00EC5E1C">
        <w:tab/>
        <w:t>ņemot vērā Reglamenta 102. pantu un V pielikumu,</w:t>
      </w:r>
    </w:p>
    <w:p w14:paraId="61EFC2CE"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46113A9E" w14:textId="77777777" w:rsidR="00EA2C2C" w:rsidRPr="00EC5E1C" w:rsidRDefault="00EA2C2C" w:rsidP="00EA2C2C">
      <w:pPr>
        <w:pStyle w:val="NormalHanging12a"/>
      </w:pPr>
      <w:r w:rsidRPr="00EC5E1C">
        <w:t>–</w:t>
      </w:r>
      <w:r w:rsidRPr="00EC5E1C">
        <w:tab/>
        <w:t>ņemot vērā Budžeta kontroles komitejas ziņojumu (A10-0087/2026),</w:t>
      </w:r>
    </w:p>
    <w:p w14:paraId="1E029AD0" w14:textId="77777777" w:rsidR="00EA2C2C" w:rsidRPr="00EC5E1C" w:rsidRDefault="00EA2C2C" w:rsidP="00EA2C2C">
      <w:pPr>
        <w:pStyle w:val="NormalHanging12a"/>
      </w:pPr>
      <w:r w:rsidRPr="00EC5E1C">
        <w:t>1.</w:t>
      </w:r>
      <w:r w:rsidRPr="00EC5E1C">
        <w:tab/>
        <w:t>sniedz Eiropas Vides aģentūras izpilddirektorei apstiprinājumu par Aģentūras 2024. finanšu gada budžeta izpildi;</w:t>
      </w:r>
    </w:p>
    <w:p w14:paraId="64F9E81D" w14:textId="77777777" w:rsidR="00EA2C2C" w:rsidRPr="00EC5E1C" w:rsidRDefault="00EA2C2C" w:rsidP="00EA2C2C">
      <w:pPr>
        <w:pStyle w:val="NormalHanging12a"/>
      </w:pPr>
      <w:r w:rsidRPr="00EC5E1C">
        <w:t>2.</w:t>
      </w:r>
      <w:r w:rsidRPr="00EC5E1C">
        <w:tab/>
        <w:t>izklāsta savus konstatējumus turpmāk tekstā iekļautajā rezolūcijā;</w:t>
      </w:r>
    </w:p>
    <w:p w14:paraId="624A9678"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Vides aģentūras izpilddirektorei, Padomei, Komisijai un Revīzijas palātai un nodrošināt to publicēšanu </w:t>
      </w:r>
      <w:r w:rsidRPr="00EC5E1C">
        <w:rPr>
          <w:i/>
          <w:iCs/>
        </w:rPr>
        <w:t>Eiropas Savienības Oficiālajā Vēstnesī</w:t>
      </w:r>
      <w:r w:rsidRPr="00EC5E1C">
        <w:t xml:space="preserve"> (L sērijā).</w:t>
      </w:r>
    </w:p>
    <w:p w14:paraId="627B760C" w14:textId="77777777" w:rsidR="00EA2C2C" w:rsidRPr="00EC5E1C" w:rsidRDefault="00EA2C2C" w:rsidP="00EA2C2C"/>
    <w:p w14:paraId="356C9F40" w14:textId="77777777" w:rsidR="00EA2C2C" w:rsidRPr="00EC5E1C" w:rsidRDefault="00EA2C2C" w:rsidP="00EA2C2C">
      <w:pPr>
        <w:pStyle w:val="PageHeadingDec"/>
        <w:sectPr w:rsidR="00EA2C2C" w:rsidRPr="00EC5E1C" w:rsidSect="00D106D3">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F469CB" w14:textId="77777777" w:rsidR="00B44DA1" w:rsidRPr="00EC5E1C" w:rsidRDefault="00B44DA1" w:rsidP="00B44DA1">
      <w:pPr>
        <w:pStyle w:val="ATHeading3"/>
      </w:pPr>
      <w:r w:rsidRPr="00EC5E1C">
        <w:lastRenderedPageBreak/>
        <w:t>20. Eiropas Parlamenta 2026. gada 29. aprīļa lēmums par Eiropas Vides aģentūras 2024. finanšu gada pārskatu apstiprināšanu (2025/2156(DEC))</w:t>
      </w:r>
    </w:p>
    <w:p w14:paraId="27CC758B" w14:textId="77777777" w:rsidR="00EA2C2C" w:rsidRPr="00EC5E1C" w:rsidRDefault="00EA2C2C" w:rsidP="00EA2C2C">
      <w:pPr>
        <w:pStyle w:val="EPComma"/>
      </w:pPr>
      <w:r w:rsidRPr="00EC5E1C">
        <w:rPr>
          <w:i/>
          <w:iCs/>
        </w:rPr>
        <w:t>Eiropas Parlaments</w:t>
      </w:r>
      <w:r w:rsidRPr="00EC5E1C">
        <w:t>,</w:t>
      </w:r>
    </w:p>
    <w:p w14:paraId="69C62571" w14:textId="77777777" w:rsidR="00EA2C2C" w:rsidRPr="00EC5E1C" w:rsidRDefault="00EA2C2C" w:rsidP="00EA2C2C">
      <w:pPr>
        <w:pStyle w:val="NormalHanging12a"/>
      </w:pPr>
      <w:r w:rsidRPr="00EC5E1C">
        <w:t>–</w:t>
      </w:r>
      <w:r w:rsidRPr="00EC5E1C">
        <w:tab/>
        <w:t>ņemot vērā Eiropas Vides aģentūras 2024. finanšu gada galīgos pārskatus,</w:t>
      </w:r>
    </w:p>
    <w:p w14:paraId="719758FB"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15"/>
      </w:r>
      <w:r w:rsidRPr="00EC5E1C">
        <w:t>,</w:t>
      </w:r>
    </w:p>
    <w:p w14:paraId="563D9BD4"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16"/>
      </w:r>
      <w:r w:rsidRPr="00EC5E1C">
        <w:t xml:space="preserve"> par pārskatu ticamību, kā arī par pakārtoto darījumu likumību un pareizību, kuru Revīzijas palāta sniegusi par 2024. finanšu gadu saskaņā ar Līguma par Eiropas Savienības darbību 287. pantu,</w:t>
      </w:r>
    </w:p>
    <w:p w14:paraId="148FFD98"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73006112" w14:textId="77777777" w:rsidR="00EA2C2C" w:rsidRPr="00EC5E1C" w:rsidRDefault="00EA2C2C" w:rsidP="00EA2C2C">
      <w:pPr>
        <w:pStyle w:val="NormalHanging12a"/>
      </w:pPr>
      <w:r w:rsidRPr="00EC5E1C">
        <w:t>–</w:t>
      </w:r>
      <w:r w:rsidRPr="00EC5E1C">
        <w:tab/>
        <w:t>ņemot vērā Līguma par Eiropas Savienības darbību 319. pantu,</w:t>
      </w:r>
    </w:p>
    <w:p w14:paraId="7098D9DC"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17"/>
      </w:r>
      <w:r w:rsidRPr="00EC5E1C">
        <w:t>, un jo īpaši tās 70. pantu,</w:t>
      </w:r>
    </w:p>
    <w:p w14:paraId="32EAC389"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18"/>
      </w:r>
      <w:r w:rsidRPr="00EC5E1C">
        <w:t>, un jo īpaši tās 70. pantu,</w:t>
      </w:r>
    </w:p>
    <w:p w14:paraId="735C26EC" w14:textId="77777777" w:rsidR="00EA2C2C" w:rsidRPr="00EC5E1C" w:rsidRDefault="00EA2C2C" w:rsidP="00EA2C2C">
      <w:pPr>
        <w:pStyle w:val="NormalHanging12a"/>
      </w:pPr>
      <w:r w:rsidRPr="00EC5E1C">
        <w:t>–</w:t>
      </w:r>
      <w:r w:rsidRPr="00EC5E1C">
        <w:tab/>
        <w:t>ņemot vērā Eiropas Parlamenta un Padomes 2009. gada 23. aprīļa Regulu (EK) Nr. 401/2009 par Eiropas Vides aģentūru un Eiropas Vides informācijas un novērojumu tīklu</w:t>
      </w:r>
      <w:r w:rsidRPr="00EC5E1C">
        <w:rPr>
          <w:rStyle w:val="FootnoteReference"/>
        </w:rPr>
        <w:footnoteReference w:id="119"/>
      </w:r>
      <w:r w:rsidRPr="00EC5E1C">
        <w:t xml:space="preserve"> un jo īpaši tās 13. pantu,</w:t>
      </w:r>
    </w:p>
    <w:p w14:paraId="314E28DE"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20"/>
      </w:r>
      <w:r w:rsidRPr="00EC5E1C">
        <w:t>, un jo īpaši tās 105. pantu,</w:t>
      </w:r>
    </w:p>
    <w:p w14:paraId="1E828D50" w14:textId="77777777" w:rsidR="00EA2C2C" w:rsidRPr="00EC5E1C" w:rsidRDefault="00EA2C2C" w:rsidP="00EA2C2C">
      <w:pPr>
        <w:pStyle w:val="NormalHanging12a"/>
      </w:pPr>
      <w:r w:rsidRPr="00EC5E1C">
        <w:t>–</w:t>
      </w:r>
      <w:r w:rsidRPr="00EC5E1C">
        <w:tab/>
        <w:t>ņemot vērā Reglamenta 102. pantu un V pielikumu,</w:t>
      </w:r>
    </w:p>
    <w:p w14:paraId="1174068A"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2B2B92C2" w14:textId="77777777" w:rsidR="00EA2C2C" w:rsidRPr="00EC5E1C" w:rsidRDefault="00EA2C2C" w:rsidP="00EA2C2C">
      <w:pPr>
        <w:pStyle w:val="NormalHanging12a"/>
      </w:pPr>
      <w:r w:rsidRPr="00EC5E1C">
        <w:t>–</w:t>
      </w:r>
      <w:r w:rsidRPr="00EC5E1C">
        <w:tab/>
        <w:t>ņemot vērā Budžeta kontroles komitejas ziņojumu (A10-0087/2026),</w:t>
      </w:r>
    </w:p>
    <w:p w14:paraId="41A9DFEA" w14:textId="77777777" w:rsidR="00EA2C2C" w:rsidRPr="00EC5E1C" w:rsidRDefault="00EA2C2C" w:rsidP="00EA2C2C">
      <w:pPr>
        <w:pStyle w:val="NormalHanging12a"/>
      </w:pPr>
      <w:r w:rsidRPr="00EC5E1C">
        <w:t>1.</w:t>
      </w:r>
      <w:r w:rsidRPr="00EC5E1C">
        <w:tab/>
        <w:t>apstiprina Eiropas Vides aģentūras 2024. finanšu gada pārskatus;</w:t>
      </w:r>
    </w:p>
    <w:p w14:paraId="2CFFD9C4" w14:textId="77777777" w:rsidR="00EA2C2C" w:rsidRPr="00EC5E1C" w:rsidRDefault="00EA2C2C" w:rsidP="00EA2C2C">
      <w:pPr>
        <w:pStyle w:val="NormalHanging12a"/>
      </w:pPr>
      <w:r w:rsidRPr="00EC5E1C">
        <w:t>2.</w:t>
      </w:r>
      <w:r w:rsidRPr="00EC5E1C">
        <w:tab/>
        <w:t xml:space="preserve">uzdod priekšsēdētājai šo lēmumu nosūtīt Eiropas Vides aģentūras izpilddirektorei, Padomei, Komisijai un Revīzijas palātai un nodrošināt tā publicēšanu </w:t>
      </w:r>
      <w:r w:rsidRPr="00EC5E1C">
        <w:rPr>
          <w:i/>
          <w:iCs/>
        </w:rPr>
        <w:t>Eiropas Savienības Oficiālajā Vēstnesī</w:t>
      </w:r>
      <w:r w:rsidRPr="00EC5E1C">
        <w:t xml:space="preserve"> (L sērijā).</w:t>
      </w:r>
    </w:p>
    <w:p w14:paraId="6E521229" w14:textId="77777777" w:rsidR="00EA2C2C" w:rsidRPr="00EC5E1C" w:rsidRDefault="00EA2C2C" w:rsidP="00EA2C2C"/>
    <w:p w14:paraId="5D8FA68E" w14:textId="77777777" w:rsidR="00EA2C2C" w:rsidRPr="00EC5E1C" w:rsidRDefault="00EA2C2C" w:rsidP="00EA2C2C"/>
    <w:p w14:paraId="6AF57292" w14:textId="6937990A" w:rsidR="00EA2C2C" w:rsidRPr="00EC5E1C" w:rsidRDefault="00EA2C2C" w:rsidP="00EA2C2C">
      <w:pPr>
        <w:pStyle w:val="PageHeadingDec"/>
      </w:pPr>
    </w:p>
    <w:p w14:paraId="653934D6" w14:textId="77777777" w:rsidR="00EA2C2C" w:rsidRPr="00EC5E1C" w:rsidRDefault="00EA2C2C" w:rsidP="00EA2C2C">
      <w:pPr>
        <w:pStyle w:val="PageHeadingDec"/>
        <w:sectPr w:rsidR="00EA2C2C" w:rsidRPr="00EC5E1C" w:rsidSect="00D106D3">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8A8DE8" w14:textId="77777777" w:rsidR="00B44DA1" w:rsidRPr="00EC5E1C" w:rsidRDefault="00B44DA1" w:rsidP="00B44DA1">
      <w:pPr>
        <w:pStyle w:val="ATHeading3"/>
      </w:pPr>
      <w:r w:rsidRPr="00EC5E1C">
        <w:lastRenderedPageBreak/>
        <w:t>21. Eiropas Parlamenta 2026. gada 29. aprīļa lēmums par Eiropas Zivsaimniecības kontroles aģentūras 2024. finanšu gada budžeta izpildes apstiprināšanu (2025/2156(DEC))</w:t>
      </w:r>
    </w:p>
    <w:p w14:paraId="6A4522FC" w14:textId="77777777" w:rsidR="00EA2C2C" w:rsidRPr="00EC5E1C" w:rsidRDefault="00EA2C2C" w:rsidP="00EA2C2C">
      <w:pPr>
        <w:pStyle w:val="EPComma"/>
      </w:pPr>
      <w:r w:rsidRPr="00EC5E1C">
        <w:rPr>
          <w:i/>
          <w:iCs/>
        </w:rPr>
        <w:t>Eiropas Parlaments</w:t>
      </w:r>
      <w:r w:rsidRPr="00EC5E1C">
        <w:t>,</w:t>
      </w:r>
    </w:p>
    <w:p w14:paraId="795C0060" w14:textId="77777777" w:rsidR="00EA2C2C" w:rsidRPr="00EC5E1C" w:rsidRDefault="00EA2C2C" w:rsidP="00EA2C2C">
      <w:pPr>
        <w:pStyle w:val="NormalHanging12a"/>
      </w:pPr>
      <w:r w:rsidRPr="00EC5E1C">
        <w:t>–</w:t>
      </w:r>
      <w:r w:rsidRPr="00EC5E1C">
        <w:tab/>
        <w:t>ņemot vērā Eiropas Zivsaimniecības kontroles aģentūras 2024. finanšu gada galīgos pārskatus,</w:t>
      </w:r>
    </w:p>
    <w:p w14:paraId="5987531E"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21"/>
      </w:r>
      <w:r w:rsidRPr="00EC5E1C">
        <w:t>,</w:t>
      </w:r>
    </w:p>
    <w:p w14:paraId="378C83A2"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22"/>
      </w:r>
      <w:r w:rsidRPr="00EC5E1C">
        <w:t xml:space="preserve"> par pārskatu ticamību, kā arī par pakārtoto darījumu likumību un pareizību, kuru Revīzijas palāta sniegusi par 2024. finanšu gadu saskaņā ar Līguma par Eiropas Savienības darbību 287. pantu,</w:t>
      </w:r>
    </w:p>
    <w:p w14:paraId="24A2C09C"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12C3E396" w14:textId="77777777" w:rsidR="00EA2C2C" w:rsidRPr="00EC5E1C" w:rsidRDefault="00EA2C2C" w:rsidP="00EA2C2C">
      <w:pPr>
        <w:pStyle w:val="NormalHanging12a"/>
      </w:pPr>
      <w:r w:rsidRPr="00EC5E1C">
        <w:t>–</w:t>
      </w:r>
      <w:r w:rsidRPr="00EC5E1C">
        <w:tab/>
        <w:t>ņemot vērā Līguma par Eiropas Savienības darbību 319. pantu,</w:t>
      </w:r>
    </w:p>
    <w:p w14:paraId="7FFEACD5"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23"/>
      </w:r>
      <w:r w:rsidRPr="00EC5E1C">
        <w:t>, un jo īpaši tās 70. pantu,</w:t>
      </w:r>
    </w:p>
    <w:p w14:paraId="6839622F"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24"/>
      </w:r>
      <w:r w:rsidRPr="00EC5E1C">
        <w:t>, un jo īpaši tās 70. pantu,</w:t>
      </w:r>
    </w:p>
    <w:p w14:paraId="7C789A2F" w14:textId="77777777" w:rsidR="00EA2C2C" w:rsidRPr="00EC5E1C" w:rsidRDefault="00EA2C2C" w:rsidP="00EA2C2C">
      <w:pPr>
        <w:pStyle w:val="NormalHanging12a"/>
      </w:pPr>
      <w:r w:rsidRPr="00EC5E1C">
        <w:t>–</w:t>
      </w:r>
      <w:r w:rsidRPr="00EC5E1C">
        <w:tab/>
        <w:t>ņemot vērā Eiropas Parlamenta un Padomes 2019. gada 19. marta Regulu (ES) 2019/473 par Eiropas Zivsaimniecības kontroles aģentūru</w:t>
      </w:r>
      <w:r w:rsidRPr="00EC5E1C">
        <w:rPr>
          <w:rStyle w:val="FootnoteReference"/>
        </w:rPr>
        <w:footnoteReference w:id="125"/>
      </w:r>
      <w:r w:rsidRPr="00EC5E1C">
        <w:t xml:space="preserve"> un jo īpaši tās 45. pantu,</w:t>
      </w:r>
    </w:p>
    <w:p w14:paraId="39BFF99B"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26"/>
      </w:r>
      <w:r w:rsidRPr="00EC5E1C">
        <w:t>, un jo īpaši tās 105. pantu,</w:t>
      </w:r>
    </w:p>
    <w:p w14:paraId="14D784F4" w14:textId="77777777" w:rsidR="00EA2C2C" w:rsidRPr="00EC5E1C" w:rsidRDefault="00EA2C2C" w:rsidP="00EA2C2C">
      <w:pPr>
        <w:pStyle w:val="NormalHanging12a"/>
      </w:pPr>
      <w:r w:rsidRPr="00EC5E1C">
        <w:t>–</w:t>
      </w:r>
      <w:r w:rsidRPr="00EC5E1C">
        <w:tab/>
        <w:t>ņemot vērā Reglamenta 102. pantu un V pielikumu,</w:t>
      </w:r>
    </w:p>
    <w:p w14:paraId="2B144FB8"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45431FD5" w14:textId="77777777" w:rsidR="00EA2C2C" w:rsidRPr="00EC5E1C" w:rsidRDefault="00EA2C2C" w:rsidP="00EA2C2C">
      <w:pPr>
        <w:pStyle w:val="NormalHanging12a"/>
      </w:pPr>
      <w:r w:rsidRPr="00EC5E1C">
        <w:t>–</w:t>
      </w:r>
      <w:r w:rsidRPr="00EC5E1C">
        <w:tab/>
        <w:t>ņemot vērā Budžeta kontroles komitejas ziņojumu (A10-0087/2026),</w:t>
      </w:r>
    </w:p>
    <w:p w14:paraId="3B290DFD" w14:textId="77777777" w:rsidR="00EA2C2C" w:rsidRPr="00EC5E1C" w:rsidRDefault="00EA2C2C" w:rsidP="00EA2C2C">
      <w:pPr>
        <w:pStyle w:val="NormalHanging12a"/>
      </w:pPr>
      <w:r w:rsidRPr="00EC5E1C">
        <w:t>1.</w:t>
      </w:r>
      <w:r w:rsidRPr="00EC5E1C">
        <w:tab/>
        <w:t>sniedz Eiropas Zivsaimniecības kontroles aģentūras izpilddirektorei apstiprinājumu par Aģentūras 2024. finanšu gada budžeta izpildi;</w:t>
      </w:r>
    </w:p>
    <w:p w14:paraId="310A740F" w14:textId="77777777" w:rsidR="00EA2C2C" w:rsidRPr="00EC5E1C" w:rsidRDefault="00EA2C2C" w:rsidP="00EA2C2C">
      <w:pPr>
        <w:pStyle w:val="NormalHanging12a"/>
      </w:pPr>
      <w:r w:rsidRPr="00EC5E1C">
        <w:t>2.</w:t>
      </w:r>
      <w:r w:rsidRPr="00EC5E1C">
        <w:tab/>
        <w:t>izklāsta savus konstatējumus turpmāk tekstā iekļautajā rezolūcijā;</w:t>
      </w:r>
    </w:p>
    <w:p w14:paraId="7913326C"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Zivsaimniecības kontroles aģentūras izpilddirektorei, Padomei, Komisijai un Revīzijas palātai un nodrošināt to publicēšanu </w:t>
      </w:r>
      <w:r w:rsidRPr="00EC5E1C">
        <w:rPr>
          <w:i/>
          <w:iCs/>
        </w:rPr>
        <w:t>Eiropas Savienības Oficiālajā Vēstnesī</w:t>
      </w:r>
      <w:r w:rsidRPr="00EC5E1C">
        <w:t xml:space="preserve"> (L sērijā).</w:t>
      </w:r>
    </w:p>
    <w:p w14:paraId="7082444E" w14:textId="77777777" w:rsidR="00EA2C2C" w:rsidRPr="00EC5E1C" w:rsidRDefault="00EA2C2C" w:rsidP="00EA2C2C"/>
    <w:p w14:paraId="508353E7" w14:textId="77777777" w:rsidR="00EA2C2C" w:rsidRPr="00EC5E1C" w:rsidRDefault="00EA2C2C" w:rsidP="00EA2C2C">
      <w:pPr>
        <w:pStyle w:val="PageHeadingDec"/>
        <w:sectPr w:rsidR="00EA2C2C" w:rsidRPr="00EC5E1C" w:rsidSect="00D106D3">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6620F0" w14:textId="77777777" w:rsidR="00B44DA1" w:rsidRPr="00EC5E1C" w:rsidRDefault="00B44DA1" w:rsidP="00B44DA1">
      <w:pPr>
        <w:pStyle w:val="ATHeading3"/>
      </w:pPr>
      <w:r w:rsidRPr="00EC5E1C">
        <w:lastRenderedPageBreak/>
        <w:t>22. Eiropas Parlamenta 2026. gada 29. aprīļa lēmums par Eiropas Zivsaimniecības kontroles aģentūras 2024. finanšu gada pārskatu apstiprināšanu (2025/2156(DEC))</w:t>
      </w:r>
    </w:p>
    <w:p w14:paraId="431E75A6" w14:textId="77777777" w:rsidR="00EA2C2C" w:rsidRPr="00EC5E1C" w:rsidRDefault="00EA2C2C" w:rsidP="00EA2C2C">
      <w:pPr>
        <w:pStyle w:val="EPComma"/>
      </w:pPr>
      <w:r w:rsidRPr="00EC5E1C">
        <w:rPr>
          <w:i/>
          <w:iCs/>
        </w:rPr>
        <w:t>Eiropas Parlaments</w:t>
      </w:r>
      <w:r w:rsidRPr="00EC5E1C">
        <w:t>,</w:t>
      </w:r>
    </w:p>
    <w:p w14:paraId="0294330E" w14:textId="77777777" w:rsidR="00EA2C2C" w:rsidRPr="00EC5E1C" w:rsidRDefault="00EA2C2C" w:rsidP="00EA2C2C">
      <w:pPr>
        <w:pStyle w:val="NormalHanging12a"/>
      </w:pPr>
      <w:r w:rsidRPr="00EC5E1C">
        <w:t>–</w:t>
      </w:r>
      <w:r w:rsidRPr="00EC5E1C">
        <w:tab/>
        <w:t>ņemot vērā Eiropas Zivsaimniecības kontroles aģentūras 2024. finanšu gada galīgos pārskatus,</w:t>
      </w:r>
    </w:p>
    <w:p w14:paraId="0A775A16"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27"/>
      </w:r>
      <w:r w:rsidRPr="00EC5E1C">
        <w:t>,</w:t>
      </w:r>
    </w:p>
    <w:p w14:paraId="1FC7A1BD"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28"/>
      </w:r>
      <w:r w:rsidRPr="00EC5E1C">
        <w:t xml:space="preserve"> par pārskatu ticamību, kā arī par pakārtoto darījumu likumību un pareizību, kuru Revīzijas palāta sniegusi par 2024. finanšu gadu saskaņā ar Līguma par Eiropas Savienības darbību 287. pantu,</w:t>
      </w:r>
    </w:p>
    <w:p w14:paraId="48948C6B"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05DBBB61" w14:textId="77777777" w:rsidR="00EA2C2C" w:rsidRPr="00EC5E1C" w:rsidRDefault="00EA2C2C" w:rsidP="00EA2C2C">
      <w:pPr>
        <w:pStyle w:val="NormalHanging12a"/>
      </w:pPr>
      <w:r w:rsidRPr="00EC5E1C">
        <w:t>–</w:t>
      </w:r>
      <w:r w:rsidRPr="00EC5E1C">
        <w:tab/>
        <w:t>ņemot vērā Līguma par Eiropas Savienības darbību 319. pantu,</w:t>
      </w:r>
    </w:p>
    <w:p w14:paraId="59B03395"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29"/>
      </w:r>
      <w:r w:rsidRPr="00EC5E1C">
        <w:t>, un jo īpaši tās 70. pantu,</w:t>
      </w:r>
    </w:p>
    <w:p w14:paraId="57B7AF92"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30"/>
      </w:r>
      <w:r w:rsidRPr="00EC5E1C">
        <w:t>, un jo īpaši tās 70. pantu,</w:t>
      </w:r>
    </w:p>
    <w:p w14:paraId="3CD76914" w14:textId="77777777" w:rsidR="00EA2C2C" w:rsidRPr="00EC5E1C" w:rsidRDefault="00EA2C2C" w:rsidP="00EA2C2C">
      <w:pPr>
        <w:pStyle w:val="NormalHanging12a"/>
      </w:pPr>
      <w:r w:rsidRPr="00EC5E1C">
        <w:t>–</w:t>
      </w:r>
      <w:r w:rsidRPr="00EC5E1C">
        <w:tab/>
        <w:t>ņemot vērā Eiropas Parlamenta un Padomes 2019. gada 19. marta Regulu (ES) 2019/473 par Eiropas Zivsaimniecības kontroles aģentūru</w:t>
      </w:r>
      <w:r w:rsidRPr="00EC5E1C">
        <w:rPr>
          <w:rStyle w:val="FootnoteReference"/>
        </w:rPr>
        <w:footnoteReference w:id="131"/>
      </w:r>
      <w:r w:rsidRPr="00EC5E1C">
        <w:t xml:space="preserve"> un jo īpaši tās 45. pantu,</w:t>
      </w:r>
    </w:p>
    <w:p w14:paraId="2EE6F377"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32"/>
      </w:r>
      <w:r w:rsidRPr="00EC5E1C">
        <w:t>, un jo īpaši tās 105. pantu,</w:t>
      </w:r>
    </w:p>
    <w:p w14:paraId="6D16F5D8" w14:textId="77777777" w:rsidR="00EA2C2C" w:rsidRPr="00EC5E1C" w:rsidRDefault="00EA2C2C" w:rsidP="00EA2C2C">
      <w:pPr>
        <w:pStyle w:val="NormalHanging12a"/>
      </w:pPr>
      <w:r w:rsidRPr="00EC5E1C">
        <w:t>–</w:t>
      </w:r>
      <w:r w:rsidRPr="00EC5E1C">
        <w:tab/>
        <w:t>ņemot vērā Reglamenta 102. pantu un V pielikumu,</w:t>
      </w:r>
    </w:p>
    <w:p w14:paraId="24E2429A"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1721CD6A" w14:textId="77777777" w:rsidR="00EA2C2C" w:rsidRPr="00EC5E1C" w:rsidRDefault="00EA2C2C" w:rsidP="00EA2C2C">
      <w:pPr>
        <w:pStyle w:val="NormalHanging12a"/>
      </w:pPr>
      <w:r w:rsidRPr="00EC5E1C">
        <w:t>–</w:t>
      </w:r>
      <w:r w:rsidRPr="00EC5E1C">
        <w:tab/>
        <w:t>ņemot vērā Budžeta kontroles komitejas ziņojumu (A10-0087/2026),</w:t>
      </w:r>
    </w:p>
    <w:p w14:paraId="06D20938" w14:textId="77777777" w:rsidR="00EA2C2C" w:rsidRPr="00EC5E1C" w:rsidRDefault="00EA2C2C" w:rsidP="00EA2C2C">
      <w:pPr>
        <w:pStyle w:val="NormalHanging12a"/>
      </w:pPr>
      <w:r w:rsidRPr="00EC5E1C">
        <w:t>1.</w:t>
      </w:r>
      <w:r w:rsidRPr="00EC5E1C">
        <w:tab/>
        <w:t>apstiprina Eiropas Zivsaimniecības kontroles aģentūras 2024. finanšu gada pārskatus;</w:t>
      </w:r>
    </w:p>
    <w:p w14:paraId="42B8552D" w14:textId="77777777" w:rsidR="00EA2C2C" w:rsidRPr="00EC5E1C" w:rsidRDefault="00EA2C2C" w:rsidP="00EA2C2C">
      <w:pPr>
        <w:pStyle w:val="NormalHanging12a"/>
      </w:pPr>
      <w:r w:rsidRPr="00EC5E1C">
        <w:t>2.</w:t>
      </w:r>
      <w:r w:rsidRPr="00EC5E1C">
        <w:tab/>
        <w:t xml:space="preserve">uzdod priekšsēdētājai šo lēmumu nosūtīt Eiropas Zivsaimniecības kontroles aģentūras izpilddirektorei, Padomei, Komisijai un Revīzijas palātai un nodrošināt tā publicēšanu </w:t>
      </w:r>
      <w:r w:rsidRPr="00EC5E1C">
        <w:rPr>
          <w:i/>
          <w:iCs/>
        </w:rPr>
        <w:t>Eiropas Savienības Oficiālajā Vēstnesī</w:t>
      </w:r>
      <w:r w:rsidRPr="00EC5E1C">
        <w:t xml:space="preserve"> (L sērijā).</w:t>
      </w:r>
    </w:p>
    <w:p w14:paraId="34A88327" w14:textId="77777777" w:rsidR="00EA2C2C" w:rsidRPr="00EC5E1C" w:rsidRDefault="00EA2C2C" w:rsidP="00EA2C2C"/>
    <w:p w14:paraId="3FBC46E9" w14:textId="77777777" w:rsidR="00EA2C2C" w:rsidRPr="00EC5E1C" w:rsidRDefault="00EA2C2C" w:rsidP="00EA2C2C"/>
    <w:p w14:paraId="34F92705" w14:textId="29CA0792" w:rsidR="00EA2C2C" w:rsidRPr="00EC5E1C" w:rsidRDefault="00EA2C2C" w:rsidP="00EA2C2C">
      <w:pPr>
        <w:pStyle w:val="PageHeadingDec"/>
      </w:pPr>
    </w:p>
    <w:p w14:paraId="555AC481" w14:textId="77777777" w:rsidR="00EA2C2C" w:rsidRPr="00EC5E1C" w:rsidRDefault="00EA2C2C" w:rsidP="00EA2C2C">
      <w:pPr>
        <w:pStyle w:val="PageHeadingDec"/>
        <w:sectPr w:rsidR="00EA2C2C" w:rsidRPr="00EC5E1C" w:rsidSect="00D106D3">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744FAF" w14:textId="77777777" w:rsidR="00B44DA1" w:rsidRPr="00EC5E1C" w:rsidRDefault="00B44DA1" w:rsidP="00B44DA1">
      <w:pPr>
        <w:pStyle w:val="ATHeading3"/>
      </w:pPr>
      <w:r w:rsidRPr="00EC5E1C">
        <w:lastRenderedPageBreak/>
        <w:t>23. Eiropas Parlamenta 2026. gada 29. aprīļa lēmums par Eiropas Pārtikas nekaitīguma iestādes 2024. finanšu gada budžeta izpildes apstiprināšanu (2025/2156(DEC))</w:t>
      </w:r>
    </w:p>
    <w:p w14:paraId="704CC51E" w14:textId="77777777" w:rsidR="00EA2C2C" w:rsidRPr="00EC5E1C" w:rsidRDefault="00EA2C2C" w:rsidP="00EA2C2C">
      <w:pPr>
        <w:pStyle w:val="EPComma"/>
      </w:pPr>
      <w:r w:rsidRPr="00EC5E1C">
        <w:rPr>
          <w:i/>
          <w:iCs/>
        </w:rPr>
        <w:t>Eiropas Parlaments</w:t>
      </w:r>
      <w:r w:rsidRPr="00EC5E1C">
        <w:t>,</w:t>
      </w:r>
    </w:p>
    <w:p w14:paraId="4C32F5BA" w14:textId="77777777" w:rsidR="00EA2C2C" w:rsidRPr="00EC5E1C" w:rsidRDefault="00EA2C2C" w:rsidP="00EA2C2C">
      <w:pPr>
        <w:pStyle w:val="NormalHanging12a"/>
      </w:pPr>
      <w:r w:rsidRPr="00EC5E1C">
        <w:t>–</w:t>
      </w:r>
      <w:r w:rsidRPr="00EC5E1C">
        <w:tab/>
        <w:t>ņemot vērā Eiropas Pārtikas nekaitīguma iestādes 2024. finanšu gada galīgos pārskatus,</w:t>
      </w:r>
    </w:p>
    <w:p w14:paraId="5A09B4B7"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33"/>
      </w:r>
      <w:r w:rsidRPr="00EC5E1C">
        <w:t>,</w:t>
      </w:r>
    </w:p>
    <w:p w14:paraId="4166A9A5"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34"/>
      </w:r>
      <w:r w:rsidRPr="00EC5E1C">
        <w:t xml:space="preserve"> par pārskatu ticamību, kā arī par pakārtoto darījumu likumību un pareizību, kuru Revīzijas palāta sniegusi par 2024. finanšu gadu saskaņā ar Līguma par Eiropas Savienības darbību 287. pantu,</w:t>
      </w:r>
    </w:p>
    <w:p w14:paraId="1A86FEA1" w14:textId="77777777" w:rsidR="00EA2C2C" w:rsidRPr="00EC5E1C" w:rsidRDefault="00EA2C2C" w:rsidP="00EA2C2C">
      <w:pPr>
        <w:pStyle w:val="NormalHanging12a"/>
      </w:pPr>
      <w:r w:rsidRPr="00EC5E1C">
        <w:t>–</w:t>
      </w:r>
      <w:r w:rsidRPr="00EC5E1C">
        <w:tab/>
        <w:t>ņemot vērā Padomes 2026. gada 2. marta ieteikumu par apstiprinājumu, ko sniedz Iestādei par 2024. finanšu gada budžeta izpildi (05750/2026 – C10-0148/2026),</w:t>
      </w:r>
    </w:p>
    <w:p w14:paraId="47E3183E" w14:textId="77777777" w:rsidR="00EA2C2C" w:rsidRPr="00EC5E1C" w:rsidRDefault="00EA2C2C" w:rsidP="00EA2C2C">
      <w:pPr>
        <w:pStyle w:val="NormalHanging12a"/>
      </w:pPr>
      <w:r w:rsidRPr="00EC5E1C">
        <w:t>–</w:t>
      </w:r>
      <w:r w:rsidRPr="00EC5E1C">
        <w:tab/>
        <w:t>ņemot vērā Līguma par Eiropas Savienības darbību 319. pantu,</w:t>
      </w:r>
    </w:p>
    <w:p w14:paraId="6E25CD60"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35"/>
      </w:r>
      <w:r w:rsidRPr="00EC5E1C">
        <w:t>, un jo īpaši tās 70. pantu,</w:t>
      </w:r>
    </w:p>
    <w:p w14:paraId="3B44C753"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36"/>
      </w:r>
      <w:r w:rsidRPr="00EC5E1C">
        <w:t>, un jo īpaši tās 70. pantu,</w:t>
      </w:r>
    </w:p>
    <w:p w14:paraId="589F80E9" w14:textId="77777777" w:rsidR="00EA2C2C" w:rsidRPr="00EC5E1C" w:rsidRDefault="00EA2C2C" w:rsidP="00EA2C2C">
      <w:pPr>
        <w:pStyle w:val="NormalHanging12a"/>
      </w:pPr>
      <w:r w:rsidRPr="00EC5E1C">
        <w:t>–</w:t>
      </w:r>
      <w:r w:rsidRPr="00EC5E1C">
        <w:tab/>
        <w:t>ņemot vērā Eiropas Parlamenta un Padomes 2002. gada 28. janvāra Regulu (EK) Nr. 178/2002, ar ko paredz pārtikas aprites tiesību aktu vispārīgus principus un prasības, izveido Eiropas Pārtikas nekaitīguma iestādi un paredz procedūras saistībā ar pārtikas nekaitīgumu</w:t>
      </w:r>
      <w:r w:rsidRPr="00EC5E1C">
        <w:rPr>
          <w:rStyle w:val="FootnoteReference"/>
        </w:rPr>
        <w:footnoteReference w:id="137"/>
      </w:r>
      <w:r w:rsidRPr="00EC5E1C">
        <w:t>, un jo īpaši tās 44. pantu,</w:t>
      </w:r>
    </w:p>
    <w:p w14:paraId="7A21489A"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38"/>
      </w:r>
      <w:r w:rsidRPr="00EC5E1C">
        <w:t>, un jo īpaši tās 105. pantu,</w:t>
      </w:r>
    </w:p>
    <w:p w14:paraId="69EB339B" w14:textId="77777777" w:rsidR="00EA2C2C" w:rsidRPr="00EC5E1C" w:rsidRDefault="00EA2C2C" w:rsidP="00EA2C2C">
      <w:pPr>
        <w:pStyle w:val="NormalHanging12a"/>
      </w:pPr>
      <w:r w:rsidRPr="00EC5E1C">
        <w:t>–</w:t>
      </w:r>
      <w:r w:rsidRPr="00EC5E1C">
        <w:tab/>
        <w:t>ņemot vērā Reglamenta 102. pantu un V pielikumu,</w:t>
      </w:r>
    </w:p>
    <w:p w14:paraId="7F279E4B"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2DF08D0C" w14:textId="77777777" w:rsidR="00EA2C2C" w:rsidRPr="00EC5E1C" w:rsidRDefault="00EA2C2C" w:rsidP="00EA2C2C">
      <w:pPr>
        <w:pStyle w:val="NormalHanging12a"/>
      </w:pPr>
      <w:r w:rsidRPr="00EC5E1C">
        <w:t>–</w:t>
      </w:r>
      <w:r w:rsidRPr="00EC5E1C">
        <w:tab/>
        <w:t>ņemot vērā Budžeta kontroles komitejas ziņojumu (A10-0087/2026),</w:t>
      </w:r>
    </w:p>
    <w:p w14:paraId="005FCB1F" w14:textId="77777777" w:rsidR="00EA2C2C" w:rsidRPr="00EC5E1C" w:rsidRDefault="00EA2C2C" w:rsidP="00EA2C2C">
      <w:pPr>
        <w:pStyle w:val="NormalHanging12a"/>
      </w:pPr>
      <w:r w:rsidRPr="00EC5E1C">
        <w:t>1.</w:t>
      </w:r>
      <w:r w:rsidRPr="00EC5E1C">
        <w:tab/>
        <w:t>sniedz Eiropas Pārtikas nekaitīguma iestādes izpilddirektoram apstiprinājumu par Iestādes 2024. finanšu gada budžeta izpildi;</w:t>
      </w:r>
    </w:p>
    <w:p w14:paraId="76001BDB" w14:textId="77777777" w:rsidR="00EA2C2C" w:rsidRPr="00EC5E1C" w:rsidRDefault="00EA2C2C" w:rsidP="00EA2C2C">
      <w:pPr>
        <w:pStyle w:val="NormalHanging12a"/>
      </w:pPr>
      <w:r w:rsidRPr="00EC5E1C">
        <w:t>2.</w:t>
      </w:r>
      <w:r w:rsidRPr="00EC5E1C">
        <w:tab/>
        <w:t>izklāsta savus konstatējumus turpmāk tekstā iekļautajā rezolūcijā;</w:t>
      </w:r>
    </w:p>
    <w:p w14:paraId="7D399838"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Pārtikas nekaitīguma iestādes izpilddirektoram, Padomei, Komisijai un Revīzijas palātai un nodrošināt to publicēšanu </w:t>
      </w:r>
      <w:r w:rsidRPr="00EC5E1C">
        <w:rPr>
          <w:i/>
          <w:iCs/>
        </w:rPr>
        <w:t>Eiropas Savienības Oficiālajā Vēstnesī</w:t>
      </w:r>
      <w:r w:rsidRPr="00EC5E1C">
        <w:t xml:space="preserve"> (L sērijā).</w:t>
      </w:r>
    </w:p>
    <w:p w14:paraId="259187B8" w14:textId="77777777" w:rsidR="00EA2C2C" w:rsidRPr="00EC5E1C" w:rsidRDefault="00EA2C2C" w:rsidP="00EA2C2C"/>
    <w:p w14:paraId="5B105C8F" w14:textId="77777777" w:rsidR="00EA2C2C" w:rsidRPr="00EC5E1C" w:rsidRDefault="00EA2C2C" w:rsidP="00EA2C2C">
      <w:pPr>
        <w:pStyle w:val="PageHeadingDec"/>
        <w:sectPr w:rsidR="00EA2C2C" w:rsidRPr="00EC5E1C" w:rsidSect="00D106D3">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638F8E" w14:textId="77777777" w:rsidR="00B44DA1" w:rsidRPr="00EC5E1C" w:rsidRDefault="00B44DA1" w:rsidP="00B44DA1">
      <w:pPr>
        <w:pStyle w:val="ATHeading3"/>
      </w:pPr>
      <w:r w:rsidRPr="00EC5E1C">
        <w:lastRenderedPageBreak/>
        <w:t>24. Eiropas Parlamenta 2026. gada 29. aprīļa lēmums par Eiropas Pārtikas nekaitīguma iestādes 2024. finanšu gada pārskatu apstiprināšanu (2025/2156(DEC))</w:t>
      </w:r>
    </w:p>
    <w:p w14:paraId="6EDCE1FD" w14:textId="77777777" w:rsidR="00EA2C2C" w:rsidRPr="00EC5E1C" w:rsidRDefault="00EA2C2C" w:rsidP="00EA2C2C">
      <w:pPr>
        <w:pStyle w:val="EPComma"/>
      </w:pPr>
      <w:r w:rsidRPr="00EC5E1C">
        <w:rPr>
          <w:i/>
          <w:iCs/>
        </w:rPr>
        <w:t>Eiropas Parlaments</w:t>
      </w:r>
      <w:r w:rsidRPr="00EC5E1C">
        <w:t>,</w:t>
      </w:r>
    </w:p>
    <w:p w14:paraId="2AD6A9E3" w14:textId="77777777" w:rsidR="00EA2C2C" w:rsidRPr="00EC5E1C" w:rsidRDefault="00EA2C2C" w:rsidP="00EA2C2C">
      <w:pPr>
        <w:pStyle w:val="NormalHanging12a"/>
      </w:pPr>
      <w:r w:rsidRPr="00EC5E1C">
        <w:t>–</w:t>
      </w:r>
      <w:r w:rsidRPr="00EC5E1C">
        <w:tab/>
        <w:t>ņemot vērā Eiropas Pārtikas nekaitīguma iestādes 2024. finanšu gada galīgos pārskatus,</w:t>
      </w:r>
    </w:p>
    <w:p w14:paraId="0840306D"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39"/>
      </w:r>
      <w:r w:rsidRPr="00EC5E1C">
        <w:t>,</w:t>
      </w:r>
    </w:p>
    <w:p w14:paraId="218E799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40"/>
      </w:r>
      <w:r w:rsidRPr="00EC5E1C">
        <w:t xml:space="preserve"> par pārskatu ticamību, kā arī par pakārtoto darījumu likumību un pareizību, kuru Revīzijas palāta sniegusi par 2024. finanšu gadu saskaņā ar Līguma par Eiropas Savienības darbību 287. pantu,</w:t>
      </w:r>
    </w:p>
    <w:p w14:paraId="71DBBEAB" w14:textId="77777777" w:rsidR="00EA2C2C" w:rsidRPr="00EC5E1C" w:rsidRDefault="00EA2C2C" w:rsidP="00EA2C2C">
      <w:pPr>
        <w:pStyle w:val="NormalHanging12a"/>
      </w:pPr>
      <w:r w:rsidRPr="00EC5E1C">
        <w:t>–</w:t>
      </w:r>
      <w:r w:rsidRPr="00EC5E1C">
        <w:tab/>
        <w:t>ņemot vērā Padomes 2026. gada 2. marta ieteikumu par apstiprinājumu, ko sniedz Iestādei par 2024. finanšu gada budžeta izpildi (05750/2026 – C10-0148/2026),</w:t>
      </w:r>
    </w:p>
    <w:p w14:paraId="162E8908" w14:textId="77777777" w:rsidR="00EA2C2C" w:rsidRPr="00EC5E1C" w:rsidRDefault="00EA2C2C" w:rsidP="00EA2C2C">
      <w:pPr>
        <w:pStyle w:val="NormalHanging12a"/>
      </w:pPr>
      <w:r w:rsidRPr="00EC5E1C">
        <w:t>–</w:t>
      </w:r>
      <w:r w:rsidRPr="00EC5E1C">
        <w:tab/>
        <w:t>ņemot vērā Līguma par Eiropas Savienības darbību 319. pantu,</w:t>
      </w:r>
    </w:p>
    <w:p w14:paraId="124BA265"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41"/>
      </w:r>
      <w:r w:rsidRPr="00EC5E1C">
        <w:t>, un jo īpaši tās 70. pantu,</w:t>
      </w:r>
    </w:p>
    <w:p w14:paraId="7AA1AFCA"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42"/>
      </w:r>
      <w:r w:rsidRPr="00EC5E1C">
        <w:t>, un jo īpaši tās 70. pantu,</w:t>
      </w:r>
    </w:p>
    <w:p w14:paraId="27E1D3F1" w14:textId="77777777" w:rsidR="00EA2C2C" w:rsidRPr="00EC5E1C" w:rsidRDefault="00EA2C2C" w:rsidP="00EA2C2C">
      <w:pPr>
        <w:pStyle w:val="NormalHanging12a"/>
      </w:pPr>
      <w:r w:rsidRPr="00EC5E1C">
        <w:t>–</w:t>
      </w:r>
      <w:r w:rsidRPr="00EC5E1C">
        <w:tab/>
        <w:t>ņemot vērā Eiropas Parlamenta un Padomes 2002. gada 28. janvāra Regulu (EK) Nr. 178/2002, ar ko paredz pārtikas aprites tiesību aktu vispārīgus principus un prasības, izveido Eiropas Pārtikas nekaitīguma iestādi un paredz procedūras saistībā ar pārtikas nekaitīgumu</w:t>
      </w:r>
      <w:r w:rsidRPr="00EC5E1C">
        <w:rPr>
          <w:rStyle w:val="FootnoteReference"/>
        </w:rPr>
        <w:footnoteReference w:id="143"/>
      </w:r>
      <w:r w:rsidRPr="00EC5E1C">
        <w:t>, un jo īpaši tās 44. pantu,</w:t>
      </w:r>
    </w:p>
    <w:p w14:paraId="1D8C8C42"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44"/>
      </w:r>
      <w:r w:rsidRPr="00EC5E1C">
        <w:t>, un jo īpaši tās 105. pantu,</w:t>
      </w:r>
    </w:p>
    <w:p w14:paraId="33ED934C" w14:textId="77777777" w:rsidR="00EA2C2C" w:rsidRPr="00EC5E1C" w:rsidRDefault="00EA2C2C" w:rsidP="00EA2C2C">
      <w:pPr>
        <w:pStyle w:val="NormalHanging12a"/>
      </w:pPr>
      <w:r w:rsidRPr="00EC5E1C">
        <w:t>–</w:t>
      </w:r>
      <w:r w:rsidRPr="00EC5E1C">
        <w:tab/>
        <w:t>ņemot vērā Reglamenta 102. pantu un V pielikumu,</w:t>
      </w:r>
    </w:p>
    <w:p w14:paraId="3C38A3D9"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63F2A27B" w14:textId="77777777" w:rsidR="00EA2C2C" w:rsidRPr="00EC5E1C" w:rsidRDefault="00EA2C2C" w:rsidP="00EA2C2C">
      <w:pPr>
        <w:pStyle w:val="NormalHanging12a"/>
      </w:pPr>
      <w:r w:rsidRPr="00EC5E1C">
        <w:t>–</w:t>
      </w:r>
      <w:r w:rsidRPr="00EC5E1C">
        <w:tab/>
        <w:t>ņemot vērā Budžeta kontroles komitejas ziņojumu (A10-0087/2026),</w:t>
      </w:r>
    </w:p>
    <w:p w14:paraId="6E50430A" w14:textId="77777777" w:rsidR="00EA2C2C" w:rsidRPr="00EC5E1C" w:rsidRDefault="00EA2C2C" w:rsidP="00EA2C2C">
      <w:pPr>
        <w:pStyle w:val="NormalHanging12a"/>
      </w:pPr>
      <w:r w:rsidRPr="00EC5E1C">
        <w:t>1.</w:t>
      </w:r>
      <w:r w:rsidRPr="00EC5E1C">
        <w:tab/>
        <w:t>apstiprina Eiropas Pārtikas nekaitīguma iestādes 2024. finanšu gada pārskatus;</w:t>
      </w:r>
    </w:p>
    <w:p w14:paraId="1828C83A" w14:textId="77777777" w:rsidR="00EA2C2C" w:rsidRPr="00EC5E1C" w:rsidRDefault="00EA2C2C" w:rsidP="00EA2C2C">
      <w:pPr>
        <w:pStyle w:val="NormalHanging12a"/>
      </w:pPr>
      <w:r w:rsidRPr="00EC5E1C">
        <w:t>2.</w:t>
      </w:r>
      <w:r w:rsidRPr="00EC5E1C">
        <w:tab/>
        <w:t xml:space="preserve">uzdod priekšsēdētājai šo lēmumu nosūtīt Eiropas Pārtikas nekaitīguma iestādes izpilddirektoram, Padomei, Komisijai un Revīzijas palātai un nodrošināt tā publicēšanu </w:t>
      </w:r>
      <w:r w:rsidRPr="00EC5E1C">
        <w:rPr>
          <w:i/>
          <w:iCs/>
        </w:rPr>
        <w:t>Eiropas Savienības Oficiālajā Vēstnesī</w:t>
      </w:r>
      <w:r w:rsidRPr="00EC5E1C">
        <w:t xml:space="preserve"> (L sērijā).</w:t>
      </w:r>
    </w:p>
    <w:p w14:paraId="6F961AA1" w14:textId="77777777" w:rsidR="00EA2C2C" w:rsidRPr="00EC5E1C" w:rsidRDefault="00EA2C2C" w:rsidP="00EA2C2C"/>
    <w:p w14:paraId="6C889037" w14:textId="77777777" w:rsidR="00EA2C2C" w:rsidRPr="00EC5E1C" w:rsidRDefault="00EA2C2C" w:rsidP="00EA2C2C"/>
    <w:p w14:paraId="4E118664" w14:textId="0A303042" w:rsidR="00EA2C2C" w:rsidRPr="00EC5E1C" w:rsidRDefault="00EA2C2C" w:rsidP="00EA2C2C">
      <w:pPr>
        <w:pStyle w:val="PageHeadingDec"/>
      </w:pPr>
    </w:p>
    <w:p w14:paraId="115D8046" w14:textId="77777777" w:rsidR="00EA2C2C" w:rsidRPr="00EC5E1C" w:rsidRDefault="00EA2C2C" w:rsidP="00EA2C2C">
      <w:pPr>
        <w:pStyle w:val="PageHeadingDec"/>
        <w:sectPr w:rsidR="00EA2C2C" w:rsidRPr="00EC5E1C" w:rsidSect="00D106D3">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B2408DE" w14:textId="77777777" w:rsidR="00B44DA1" w:rsidRPr="00EC5E1C" w:rsidRDefault="00B44DA1" w:rsidP="00B44DA1">
      <w:pPr>
        <w:pStyle w:val="ATHeading3"/>
      </w:pPr>
      <w:r w:rsidRPr="00EC5E1C">
        <w:lastRenderedPageBreak/>
        <w:t>25. Eiropas Parlamenta 2026. gada 29. aprīļa lēmums par Eiropas Dzimumu līdztiesības institūta 2024. finanšu gada budžeta izpildes apstiprināšanu (2025/2156(DEC))</w:t>
      </w:r>
    </w:p>
    <w:p w14:paraId="380EC39E" w14:textId="77777777" w:rsidR="00EA2C2C" w:rsidRPr="00EC5E1C" w:rsidRDefault="00EA2C2C" w:rsidP="00EA2C2C">
      <w:pPr>
        <w:pStyle w:val="EPComma"/>
      </w:pPr>
      <w:r w:rsidRPr="00EC5E1C">
        <w:rPr>
          <w:i/>
          <w:iCs/>
        </w:rPr>
        <w:t>Eiropas Parlaments</w:t>
      </w:r>
      <w:r w:rsidRPr="00EC5E1C">
        <w:t>,</w:t>
      </w:r>
    </w:p>
    <w:p w14:paraId="29734DAE" w14:textId="77777777" w:rsidR="00EA2C2C" w:rsidRPr="00EC5E1C" w:rsidRDefault="00EA2C2C" w:rsidP="00EA2C2C">
      <w:pPr>
        <w:pStyle w:val="NormalHanging12a"/>
      </w:pPr>
      <w:r w:rsidRPr="00EC5E1C">
        <w:t>–</w:t>
      </w:r>
      <w:r w:rsidRPr="00EC5E1C">
        <w:tab/>
        <w:t>ņemot vērā Eiropas Dzimumu līdztiesības institūta 2024. finanšu gada galīgos pārskatus,</w:t>
      </w:r>
    </w:p>
    <w:p w14:paraId="4777D86A"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45"/>
      </w:r>
      <w:r w:rsidRPr="00EC5E1C">
        <w:t>,</w:t>
      </w:r>
    </w:p>
    <w:p w14:paraId="5BB629EE"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46"/>
      </w:r>
      <w:r w:rsidRPr="00EC5E1C">
        <w:t xml:space="preserve"> par pārskatu ticamību, kā arī par pakārtoto darījumu likumību un pareizību, kuru Revīzijas palāta sniegusi par 2024. finanšu gadu saskaņā ar Līguma par Eiropas Savienības darbību 287. pantu,</w:t>
      </w:r>
    </w:p>
    <w:p w14:paraId="76737DFA" w14:textId="77777777" w:rsidR="00EA2C2C" w:rsidRPr="00EC5E1C" w:rsidRDefault="00EA2C2C" w:rsidP="00EA2C2C">
      <w:pPr>
        <w:pStyle w:val="NormalHanging12a"/>
      </w:pPr>
      <w:r w:rsidRPr="00EC5E1C">
        <w:t>–</w:t>
      </w:r>
      <w:r w:rsidRPr="00EC5E1C">
        <w:tab/>
        <w:t>ņemot vērā Padomes 2026. gada 2. marta ieteikumu par apstiprinājumu, ko sniedz Institūtam par 2024. finanšu gada budžeta izpildi (05750/2026 – C10-0148/2026),</w:t>
      </w:r>
    </w:p>
    <w:p w14:paraId="47B4DCF3" w14:textId="77777777" w:rsidR="00EA2C2C" w:rsidRPr="00EC5E1C" w:rsidRDefault="00EA2C2C" w:rsidP="00EA2C2C">
      <w:pPr>
        <w:pStyle w:val="NormalHanging12a"/>
      </w:pPr>
      <w:r w:rsidRPr="00EC5E1C">
        <w:t>–</w:t>
      </w:r>
      <w:r w:rsidRPr="00EC5E1C">
        <w:tab/>
        <w:t>ņemot vērā Līguma par Eiropas Savienības darbību 319. pantu,</w:t>
      </w:r>
    </w:p>
    <w:p w14:paraId="008D3D4F"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47"/>
      </w:r>
      <w:r w:rsidRPr="00EC5E1C">
        <w:t>, un jo īpaši tās 70. pantu,</w:t>
      </w:r>
    </w:p>
    <w:p w14:paraId="4575A9CF"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48"/>
      </w:r>
      <w:r w:rsidRPr="00EC5E1C">
        <w:t>, un jo īpaši tās 70. pantu,</w:t>
      </w:r>
    </w:p>
    <w:p w14:paraId="4E004730" w14:textId="77777777" w:rsidR="00EA2C2C" w:rsidRPr="00EC5E1C" w:rsidRDefault="00EA2C2C" w:rsidP="00EA2C2C">
      <w:pPr>
        <w:pStyle w:val="NormalHanging12a"/>
      </w:pPr>
      <w:r w:rsidRPr="00EC5E1C">
        <w:t>–</w:t>
      </w:r>
      <w:r w:rsidRPr="00EC5E1C">
        <w:tab/>
        <w:t>ņemot vērā Eiropas Parlamenta un Padomes 2006. gada 20. decembra Regulu (EK) Nr. 1922/2006 par Eiropas Dzimumu līdztiesības institūta izveidi</w:t>
      </w:r>
      <w:r w:rsidRPr="00EC5E1C">
        <w:rPr>
          <w:rStyle w:val="FootnoteReference"/>
        </w:rPr>
        <w:footnoteReference w:id="149"/>
      </w:r>
      <w:r w:rsidRPr="00EC5E1C">
        <w:t xml:space="preserve"> un jo īpaši tās 15. pantu,</w:t>
      </w:r>
    </w:p>
    <w:p w14:paraId="7BB7CB55"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50"/>
      </w:r>
      <w:r w:rsidRPr="00EC5E1C">
        <w:t>, un jo īpaši tās 105. pantu,</w:t>
      </w:r>
    </w:p>
    <w:p w14:paraId="55008658" w14:textId="77777777" w:rsidR="00EA2C2C" w:rsidRPr="00EC5E1C" w:rsidRDefault="00EA2C2C" w:rsidP="00EA2C2C">
      <w:pPr>
        <w:pStyle w:val="NormalHanging12a"/>
      </w:pPr>
      <w:r w:rsidRPr="00EC5E1C">
        <w:t>–</w:t>
      </w:r>
      <w:r w:rsidRPr="00EC5E1C">
        <w:tab/>
        <w:t>ņemot vērā Reglamenta 102. pantu un V pielikumu,</w:t>
      </w:r>
    </w:p>
    <w:p w14:paraId="102ED196"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6F2B2561" w14:textId="77777777" w:rsidR="00EA2C2C" w:rsidRPr="00EC5E1C" w:rsidRDefault="00EA2C2C" w:rsidP="00EA2C2C">
      <w:pPr>
        <w:pStyle w:val="NormalHanging12a"/>
      </w:pPr>
      <w:r w:rsidRPr="00EC5E1C">
        <w:t>–</w:t>
      </w:r>
      <w:r w:rsidRPr="00EC5E1C">
        <w:tab/>
        <w:t>ņemot vērā Budžeta kontroles komitejas ziņojumu (A10-0087/2026),</w:t>
      </w:r>
    </w:p>
    <w:p w14:paraId="6545FBCA" w14:textId="77777777" w:rsidR="00EA2C2C" w:rsidRPr="00EC5E1C" w:rsidRDefault="00EA2C2C" w:rsidP="00EA2C2C">
      <w:pPr>
        <w:pStyle w:val="NormalHanging12a"/>
      </w:pPr>
      <w:r w:rsidRPr="00EC5E1C">
        <w:t>1.</w:t>
      </w:r>
      <w:r w:rsidRPr="00EC5E1C">
        <w:tab/>
        <w:t>sniedz Eiropas Dzimumu līdztiesības institūta direktorei apstiprinājumu par Institūta 2024. finanšu gada budžeta izpildi;</w:t>
      </w:r>
    </w:p>
    <w:p w14:paraId="48D95078" w14:textId="77777777" w:rsidR="00EA2C2C" w:rsidRPr="00EC5E1C" w:rsidRDefault="00EA2C2C" w:rsidP="00EA2C2C">
      <w:pPr>
        <w:pStyle w:val="NormalHanging12a"/>
      </w:pPr>
      <w:r w:rsidRPr="00EC5E1C">
        <w:t>2.</w:t>
      </w:r>
      <w:r w:rsidRPr="00EC5E1C">
        <w:tab/>
        <w:t>izklāsta savus konstatējumus turpmāk tekstā iekļautajā rezolūcijā;</w:t>
      </w:r>
    </w:p>
    <w:p w14:paraId="53F0EE80"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Dzimumu līdztiesības institūta direktorei, Padomei, Komisijai un Revīzijas palātai un nodrošināt to publicēšanu </w:t>
      </w:r>
      <w:r w:rsidRPr="00EC5E1C">
        <w:rPr>
          <w:i/>
          <w:iCs/>
        </w:rPr>
        <w:t>Eiropas Savienības Oficiālajā Vēstnesī</w:t>
      </w:r>
      <w:r w:rsidRPr="00EC5E1C">
        <w:t xml:space="preserve"> (L sērijā).</w:t>
      </w:r>
    </w:p>
    <w:p w14:paraId="5CFA7559" w14:textId="77777777" w:rsidR="00EA2C2C" w:rsidRPr="00EC5E1C" w:rsidRDefault="00EA2C2C" w:rsidP="00EA2C2C"/>
    <w:p w14:paraId="0F74B0CD" w14:textId="77777777" w:rsidR="00EA2C2C" w:rsidRPr="00EC5E1C" w:rsidRDefault="00EA2C2C" w:rsidP="00EA2C2C">
      <w:pPr>
        <w:pStyle w:val="PageHeadingDec"/>
        <w:sectPr w:rsidR="00EA2C2C" w:rsidRPr="00EC5E1C" w:rsidSect="00D106D3">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E81FBE" w14:textId="77777777" w:rsidR="00B44DA1" w:rsidRPr="00EC5E1C" w:rsidRDefault="00B44DA1" w:rsidP="00B44DA1">
      <w:pPr>
        <w:pStyle w:val="ATHeading3"/>
      </w:pPr>
      <w:r w:rsidRPr="00EC5E1C">
        <w:lastRenderedPageBreak/>
        <w:t>26. Eiropas Parlamenta 2026. gada 29. aprīļa lēmums par Eiropas Dzimumu līdztiesības institūta 2024. finanšu gada pārskatu apstiprināšanu (2025/2156(DEC))</w:t>
      </w:r>
    </w:p>
    <w:p w14:paraId="6C3D72C6" w14:textId="77777777" w:rsidR="00EA2C2C" w:rsidRPr="00EC5E1C" w:rsidRDefault="00EA2C2C" w:rsidP="00EA2C2C">
      <w:pPr>
        <w:pStyle w:val="EPComma"/>
      </w:pPr>
      <w:r w:rsidRPr="00EC5E1C">
        <w:rPr>
          <w:i/>
          <w:iCs/>
        </w:rPr>
        <w:t>Eiropas Parlaments</w:t>
      </w:r>
      <w:r w:rsidRPr="00EC5E1C">
        <w:t>,</w:t>
      </w:r>
    </w:p>
    <w:p w14:paraId="0C68FC36" w14:textId="77777777" w:rsidR="00EA2C2C" w:rsidRPr="00EC5E1C" w:rsidRDefault="00EA2C2C" w:rsidP="00EA2C2C">
      <w:pPr>
        <w:pStyle w:val="NormalHanging12a"/>
      </w:pPr>
      <w:r w:rsidRPr="00EC5E1C">
        <w:t>–</w:t>
      </w:r>
      <w:r w:rsidRPr="00EC5E1C">
        <w:tab/>
        <w:t>ņemot vērā Eiropas Dzimumu līdztiesības institūta 2024. finanšu gada galīgos pārskatus,</w:t>
      </w:r>
    </w:p>
    <w:p w14:paraId="32A054D9"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51"/>
      </w:r>
      <w:r w:rsidRPr="00EC5E1C">
        <w:t>,</w:t>
      </w:r>
    </w:p>
    <w:p w14:paraId="4BE3C945"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52"/>
      </w:r>
      <w:r w:rsidRPr="00EC5E1C">
        <w:t xml:space="preserve"> par pārskatu ticamību, kā arī par pakārtoto darījumu likumību un pareizību, kuru Revīzijas palāta sniegusi par 2024. finanšu gadu saskaņā ar Līguma par Eiropas Savienības darbību 287. pantu,</w:t>
      </w:r>
    </w:p>
    <w:p w14:paraId="7CAD3DFF" w14:textId="77777777" w:rsidR="00EA2C2C" w:rsidRPr="00EC5E1C" w:rsidRDefault="00EA2C2C" w:rsidP="00EA2C2C">
      <w:pPr>
        <w:pStyle w:val="NormalHanging12a"/>
      </w:pPr>
      <w:r w:rsidRPr="00EC5E1C">
        <w:t>–</w:t>
      </w:r>
      <w:r w:rsidRPr="00EC5E1C">
        <w:tab/>
        <w:t>ņemot vērā Padomes 2026. gada 2. marta ieteikumu par apstiprinājumu, ko sniedz Institūtam par 2024. finanšu gada budžeta izpildi (05750/2026 – C10-0148/2026),</w:t>
      </w:r>
    </w:p>
    <w:p w14:paraId="1D3048FD" w14:textId="77777777" w:rsidR="00EA2C2C" w:rsidRPr="00EC5E1C" w:rsidRDefault="00EA2C2C" w:rsidP="00EA2C2C">
      <w:pPr>
        <w:pStyle w:val="NormalHanging12a"/>
      </w:pPr>
      <w:r w:rsidRPr="00EC5E1C">
        <w:t>–</w:t>
      </w:r>
      <w:r w:rsidRPr="00EC5E1C">
        <w:tab/>
        <w:t>ņemot vērā Līguma par Eiropas Savienības darbību 319. pantu,</w:t>
      </w:r>
    </w:p>
    <w:p w14:paraId="606CD45F"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53"/>
      </w:r>
      <w:r w:rsidRPr="00EC5E1C">
        <w:t>, un jo īpaši tās 70. pantu,</w:t>
      </w:r>
    </w:p>
    <w:p w14:paraId="4A1C1EC5"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54"/>
      </w:r>
      <w:r w:rsidRPr="00EC5E1C">
        <w:t>, un jo īpaši tās 70. pantu,</w:t>
      </w:r>
    </w:p>
    <w:p w14:paraId="33D558BD" w14:textId="77777777" w:rsidR="00EA2C2C" w:rsidRPr="00EC5E1C" w:rsidRDefault="00EA2C2C" w:rsidP="00EA2C2C">
      <w:pPr>
        <w:pStyle w:val="NormalHanging12a"/>
      </w:pPr>
      <w:r w:rsidRPr="00EC5E1C">
        <w:t>–</w:t>
      </w:r>
      <w:r w:rsidRPr="00EC5E1C">
        <w:tab/>
        <w:t>ņemot vērā Eiropas Parlamenta un Padomes 2006. gada 20. decembra Regulu (EK) Nr. 1922/2006 par Eiropas Dzimumu līdztiesības institūta izveidi</w:t>
      </w:r>
      <w:r w:rsidRPr="00EC5E1C">
        <w:rPr>
          <w:rStyle w:val="FootnoteReference"/>
        </w:rPr>
        <w:footnoteReference w:id="155"/>
      </w:r>
      <w:r w:rsidRPr="00EC5E1C">
        <w:t xml:space="preserve"> un jo īpaši tās 15. pantu,</w:t>
      </w:r>
    </w:p>
    <w:p w14:paraId="1ABA1717"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56"/>
      </w:r>
      <w:r w:rsidRPr="00EC5E1C">
        <w:t>, un jo īpaši tās 105. pantu,</w:t>
      </w:r>
    </w:p>
    <w:p w14:paraId="70148B52" w14:textId="77777777" w:rsidR="00EA2C2C" w:rsidRPr="00EC5E1C" w:rsidRDefault="00EA2C2C" w:rsidP="00EA2C2C">
      <w:pPr>
        <w:pStyle w:val="NormalHanging12a"/>
      </w:pPr>
      <w:r w:rsidRPr="00EC5E1C">
        <w:t>–</w:t>
      </w:r>
      <w:r w:rsidRPr="00EC5E1C">
        <w:tab/>
        <w:t>ņemot vērā Reglamenta 102. pantu un V pielikumu,</w:t>
      </w:r>
    </w:p>
    <w:p w14:paraId="5F31AAF2"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0F77DDF5" w14:textId="77777777" w:rsidR="00EA2C2C" w:rsidRPr="00EC5E1C" w:rsidRDefault="00EA2C2C" w:rsidP="00EA2C2C">
      <w:pPr>
        <w:pStyle w:val="NormalHanging12a"/>
      </w:pPr>
      <w:r w:rsidRPr="00EC5E1C">
        <w:t>–</w:t>
      </w:r>
      <w:r w:rsidRPr="00EC5E1C">
        <w:tab/>
        <w:t>ņemot vērā Budžeta kontroles komitejas ziņojumu (A10-0087/2026),</w:t>
      </w:r>
    </w:p>
    <w:p w14:paraId="048AC3E5" w14:textId="77777777" w:rsidR="00EA2C2C" w:rsidRPr="00EC5E1C" w:rsidRDefault="00EA2C2C" w:rsidP="00EA2C2C">
      <w:pPr>
        <w:pStyle w:val="NormalHanging12a"/>
      </w:pPr>
      <w:r w:rsidRPr="00EC5E1C">
        <w:t>1.</w:t>
      </w:r>
      <w:r w:rsidRPr="00EC5E1C">
        <w:tab/>
        <w:t>apstiprina Eiropas Dzimumu līdztiesības institūta 2024. finanšu gada pārskatus;</w:t>
      </w:r>
    </w:p>
    <w:p w14:paraId="5A89CB08" w14:textId="77777777" w:rsidR="00EA2C2C" w:rsidRPr="00EC5E1C" w:rsidRDefault="00EA2C2C" w:rsidP="00EA2C2C">
      <w:pPr>
        <w:pStyle w:val="NormalHanging12a"/>
      </w:pPr>
      <w:r w:rsidRPr="00EC5E1C">
        <w:t>2.</w:t>
      </w:r>
      <w:r w:rsidRPr="00EC5E1C">
        <w:tab/>
        <w:t xml:space="preserve">uzdod priekšsēdētājai šo lēmumu nosūtīt Eiropas Dzimumu līdztiesības institūta direktorei, Padomei, Komisijai un Revīzijas palātai un nodrošināt tā publicēšanu </w:t>
      </w:r>
      <w:r w:rsidRPr="00EC5E1C">
        <w:rPr>
          <w:i/>
          <w:iCs/>
        </w:rPr>
        <w:t>Eiropas Savienības Oficiālajā Vēstnesī</w:t>
      </w:r>
      <w:r w:rsidRPr="00EC5E1C">
        <w:t xml:space="preserve"> (L sērijā).</w:t>
      </w:r>
    </w:p>
    <w:p w14:paraId="733EDD80" w14:textId="77777777" w:rsidR="00EA2C2C" w:rsidRPr="00EC5E1C" w:rsidRDefault="00EA2C2C" w:rsidP="00EA2C2C"/>
    <w:p w14:paraId="4DC47168" w14:textId="77777777" w:rsidR="00EA2C2C" w:rsidRPr="00EC5E1C" w:rsidRDefault="00EA2C2C" w:rsidP="00EA2C2C"/>
    <w:p w14:paraId="043F9101" w14:textId="1A3DD65F" w:rsidR="00EA2C2C" w:rsidRPr="00EC5E1C" w:rsidRDefault="00EA2C2C" w:rsidP="00EA2C2C">
      <w:pPr>
        <w:pStyle w:val="PageHeadingDec"/>
      </w:pPr>
    </w:p>
    <w:p w14:paraId="15AA8E43" w14:textId="77777777" w:rsidR="00EA2C2C" w:rsidRPr="00EC5E1C" w:rsidRDefault="00EA2C2C" w:rsidP="00EA2C2C">
      <w:pPr>
        <w:pStyle w:val="PageHeadingDec"/>
        <w:sectPr w:rsidR="00EA2C2C" w:rsidRPr="00EC5E1C" w:rsidSect="00D106D3">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407D8EC" w14:textId="77777777" w:rsidR="00B44DA1" w:rsidRPr="00EC5E1C" w:rsidRDefault="00B44DA1" w:rsidP="00B44DA1">
      <w:pPr>
        <w:pStyle w:val="ATHeading3"/>
      </w:pPr>
      <w:r w:rsidRPr="00EC5E1C">
        <w:lastRenderedPageBreak/>
        <w:t>27. Eiropas Parlamenta 2026. gada 29. aprīļa lēmums par Eiropas Apdrošināšanas un aroda pensiju iestādes 2024. finanšu gada budžeta izpildes apstiprināšanu (2025/2156(DEC))</w:t>
      </w:r>
    </w:p>
    <w:p w14:paraId="6B602EC1" w14:textId="77777777" w:rsidR="00EA2C2C" w:rsidRPr="00EC5E1C" w:rsidRDefault="00EA2C2C" w:rsidP="00EA2C2C">
      <w:pPr>
        <w:pStyle w:val="EPComma"/>
      </w:pPr>
      <w:r w:rsidRPr="00EC5E1C">
        <w:rPr>
          <w:i/>
          <w:iCs/>
        </w:rPr>
        <w:t>Eiropas Parlaments</w:t>
      </w:r>
      <w:r w:rsidRPr="00EC5E1C">
        <w:t>,</w:t>
      </w:r>
    </w:p>
    <w:p w14:paraId="63EE8DEF" w14:textId="77777777" w:rsidR="00EA2C2C" w:rsidRPr="00EC5E1C" w:rsidRDefault="00EA2C2C" w:rsidP="00EA2C2C">
      <w:pPr>
        <w:pStyle w:val="NormalHanging12a"/>
      </w:pPr>
      <w:r w:rsidRPr="00EC5E1C">
        <w:t>–</w:t>
      </w:r>
      <w:r w:rsidRPr="00EC5E1C">
        <w:tab/>
        <w:t>ņemot vērā Eiropas Apdrošināšanas un aroda pensiju iestādes 2024. finanšu gada galīgos pārskatus,</w:t>
      </w:r>
    </w:p>
    <w:p w14:paraId="51C7F259"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57"/>
      </w:r>
      <w:r w:rsidRPr="00EC5E1C">
        <w:t>,</w:t>
      </w:r>
    </w:p>
    <w:p w14:paraId="7EA92914"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58"/>
      </w:r>
      <w:r w:rsidRPr="00EC5E1C">
        <w:t xml:space="preserve"> par pārskatu ticamību, kā arī par pakārtoto darījumu likumību un pareizību, kuru Revīzijas palāta sniegusi par 2024. finanšu gadu saskaņā ar Līguma par Eiropas Savienības darbību 287. pantu,</w:t>
      </w:r>
    </w:p>
    <w:p w14:paraId="3A99E1EC" w14:textId="77777777" w:rsidR="00EA2C2C" w:rsidRPr="00EC5E1C" w:rsidRDefault="00EA2C2C" w:rsidP="00EA2C2C">
      <w:pPr>
        <w:pStyle w:val="NormalHanging12a"/>
      </w:pPr>
      <w:r w:rsidRPr="00EC5E1C">
        <w:t>–</w:t>
      </w:r>
      <w:r w:rsidRPr="00EC5E1C">
        <w:tab/>
        <w:t>ņemot vērā Padomes 2026. gada 2. marta ieteikumu par apstiprinājumu, ko sniedz Iestādei par 2024. finanšu gada budžeta izpildi (05750/2026 – C10-0148/2026),</w:t>
      </w:r>
    </w:p>
    <w:p w14:paraId="3C7CE5BD" w14:textId="77777777" w:rsidR="00EA2C2C" w:rsidRPr="00EC5E1C" w:rsidRDefault="00EA2C2C" w:rsidP="00EA2C2C">
      <w:pPr>
        <w:pStyle w:val="NormalHanging12a"/>
      </w:pPr>
      <w:r w:rsidRPr="00EC5E1C">
        <w:t>–</w:t>
      </w:r>
      <w:r w:rsidRPr="00EC5E1C">
        <w:tab/>
        <w:t>ņemot vērā Līguma par Eiropas Savienības darbību 319. pantu,</w:t>
      </w:r>
    </w:p>
    <w:p w14:paraId="1E8656AF"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59"/>
      </w:r>
      <w:r w:rsidRPr="00EC5E1C">
        <w:t>, un jo īpaši tās 70. pantu,</w:t>
      </w:r>
    </w:p>
    <w:p w14:paraId="22B834F1"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60"/>
      </w:r>
      <w:r w:rsidRPr="00EC5E1C">
        <w:t>, un jo īpaši tās 70. pantu,</w:t>
      </w:r>
    </w:p>
    <w:p w14:paraId="0FD3D254" w14:textId="77777777" w:rsidR="00EA2C2C" w:rsidRPr="00EC5E1C" w:rsidRDefault="00EA2C2C" w:rsidP="00EA2C2C">
      <w:pPr>
        <w:pStyle w:val="NormalHanging12a"/>
      </w:pPr>
      <w:r w:rsidRPr="00EC5E1C">
        <w:t>–</w:t>
      </w:r>
      <w:r w:rsidRPr="00EC5E1C">
        <w:tab/>
        <w:t>ņemot vērā Eiropas Parlamenta un Padomes 2010. gada 24. novembra Regulu (ES) Nr. 1094/2010, ar ko izveido Eiropas Uzraudzības iestādi (Eiropas Apdrošināšanas un aroda pensiju iestādi), groza Lēmumu Nr. 716/2009/EK un atceļ Komisijas Lēmumu 2009/79/EK</w:t>
      </w:r>
      <w:r w:rsidRPr="00EC5E1C">
        <w:rPr>
          <w:rStyle w:val="FootnoteReference"/>
        </w:rPr>
        <w:footnoteReference w:id="161"/>
      </w:r>
      <w:r w:rsidRPr="00EC5E1C">
        <w:t>, un jo īpaši tās 64. pantu,</w:t>
      </w:r>
    </w:p>
    <w:p w14:paraId="4C388CA6"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62"/>
      </w:r>
      <w:r w:rsidRPr="00EC5E1C">
        <w:t>, un jo īpaši tās 105. pantu,</w:t>
      </w:r>
    </w:p>
    <w:p w14:paraId="3078959F" w14:textId="77777777" w:rsidR="00EA2C2C" w:rsidRPr="00EC5E1C" w:rsidRDefault="00EA2C2C" w:rsidP="00EA2C2C">
      <w:pPr>
        <w:pStyle w:val="NormalHanging12a"/>
      </w:pPr>
      <w:r w:rsidRPr="00EC5E1C">
        <w:t>–</w:t>
      </w:r>
      <w:r w:rsidRPr="00EC5E1C">
        <w:tab/>
        <w:t>ņemot vērā Reglamenta 102. pantu un V pielikumu,</w:t>
      </w:r>
    </w:p>
    <w:p w14:paraId="1D10BC05"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w:t>
      </w:r>
      <w:r w:rsidRPr="00EC5E1C">
        <w:lastRenderedPageBreak/>
        <w:t xml:space="preserve">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2609DBB1" w14:textId="77777777" w:rsidR="00EA2C2C" w:rsidRPr="00EC5E1C" w:rsidRDefault="00EA2C2C" w:rsidP="00EA2C2C">
      <w:pPr>
        <w:pStyle w:val="NormalHanging12a"/>
      </w:pPr>
      <w:r w:rsidRPr="00EC5E1C">
        <w:t>–</w:t>
      </w:r>
      <w:r w:rsidRPr="00EC5E1C">
        <w:tab/>
        <w:t>ņemot vērā Budžeta kontroles komitejas ziņojumu (A10-0087/2026),</w:t>
      </w:r>
    </w:p>
    <w:p w14:paraId="633DE0E7" w14:textId="77777777" w:rsidR="00EA2C2C" w:rsidRPr="00EC5E1C" w:rsidRDefault="00EA2C2C" w:rsidP="00EA2C2C">
      <w:pPr>
        <w:pStyle w:val="NormalHanging12a"/>
      </w:pPr>
      <w:r w:rsidRPr="00EC5E1C">
        <w:t>1.</w:t>
      </w:r>
      <w:r w:rsidRPr="00EC5E1C">
        <w:tab/>
        <w:t>sniedz Eiropas Apdrošināšanas un aroda pensiju iestādes izpilddirektoram apstiprinājumu par Iestādes 2024. finanšu gada budžeta izpildi;</w:t>
      </w:r>
    </w:p>
    <w:p w14:paraId="57E9E252" w14:textId="77777777" w:rsidR="00EA2C2C" w:rsidRPr="00EC5E1C" w:rsidRDefault="00EA2C2C" w:rsidP="00EA2C2C">
      <w:pPr>
        <w:pStyle w:val="NormalHanging12a"/>
      </w:pPr>
      <w:r w:rsidRPr="00EC5E1C">
        <w:t>2.</w:t>
      </w:r>
      <w:r w:rsidRPr="00EC5E1C">
        <w:tab/>
        <w:t>izklāsta savus konstatējumus turpmāk tekstā iekļautajā rezolūcijā;</w:t>
      </w:r>
    </w:p>
    <w:p w14:paraId="429C4CEA"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Apdrošināšanas un aroda pensiju iestādes izpilddirektoram, Padomei, Komisijai un Revīzijas palātai un nodrošināt to publicēšanu </w:t>
      </w:r>
      <w:r w:rsidRPr="00EC5E1C">
        <w:rPr>
          <w:i/>
          <w:iCs/>
        </w:rPr>
        <w:t>Eiropas Savienības Oficiālajā Vēstnesī</w:t>
      </w:r>
      <w:r w:rsidRPr="00EC5E1C">
        <w:t xml:space="preserve"> (L sērijā).</w:t>
      </w:r>
    </w:p>
    <w:p w14:paraId="013F80C8" w14:textId="77777777" w:rsidR="00EA2C2C" w:rsidRPr="00EC5E1C" w:rsidRDefault="00EA2C2C" w:rsidP="00EA2C2C"/>
    <w:p w14:paraId="7C3C2EFA" w14:textId="77777777" w:rsidR="00EA2C2C" w:rsidRPr="00EC5E1C" w:rsidRDefault="00EA2C2C" w:rsidP="00EA2C2C">
      <w:pPr>
        <w:pStyle w:val="PageHeadingDec"/>
        <w:sectPr w:rsidR="00EA2C2C" w:rsidRPr="00EC5E1C" w:rsidSect="00D106D3">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BBD0243" w14:textId="77777777" w:rsidR="00B44DA1" w:rsidRPr="00EC5E1C" w:rsidRDefault="00B44DA1" w:rsidP="00B44DA1">
      <w:pPr>
        <w:pStyle w:val="ATHeading3"/>
      </w:pPr>
      <w:r w:rsidRPr="00EC5E1C">
        <w:lastRenderedPageBreak/>
        <w:t>28. Eiropas Parlamenta 2026. gada 29. aprīļa lēmums par Eiropas Apdrošināšanas un aroda pensiju iestādes 2024. finanšu gada pārskatu apstiprināšanu (2025/2156(DEC))</w:t>
      </w:r>
    </w:p>
    <w:p w14:paraId="5AB1AFA3" w14:textId="77777777" w:rsidR="00EA2C2C" w:rsidRPr="00EC5E1C" w:rsidRDefault="00EA2C2C" w:rsidP="00EA2C2C">
      <w:pPr>
        <w:pStyle w:val="EPComma"/>
      </w:pPr>
      <w:r w:rsidRPr="00EC5E1C">
        <w:rPr>
          <w:i/>
          <w:iCs/>
        </w:rPr>
        <w:t>Eiropas Parlaments</w:t>
      </w:r>
      <w:r w:rsidRPr="00EC5E1C">
        <w:t>,</w:t>
      </w:r>
    </w:p>
    <w:p w14:paraId="6DABF626" w14:textId="77777777" w:rsidR="00EA2C2C" w:rsidRPr="00EC5E1C" w:rsidRDefault="00EA2C2C" w:rsidP="00EA2C2C">
      <w:pPr>
        <w:pStyle w:val="NormalHanging12a"/>
      </w:pPr>
      <w:r w:rsidRPr="00EC5E1C">
        <w:t>–</w:t>
      </w:r>
      <w:r w:rsidRPr="00EC5E1C">
        <w:tab/>
        <w:t>ņemot vērā Eiropas Apdrošināšanas un aroda pensiju iestādes 2024. finanšu gada galīgos pārskatus,</w:t>
      </w:r>
    </w:p>
    <w:p w14:paraId="790F0C42"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63"/>
      </w:r>
      <w:r w:rsidRPr="00EC5E1C">
        <w:t>,</w:t>
      </w:r>
    </w:p>
    <w:p w14:paraId="515634F0"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64"/>
      </w:r>
      <w:r w:rsidRPr="00EC5E1C">
        <w:t xml:space="preserve"> par pārskatu ticamību, kā arī par pakārtoto darījumu likumību un pareizību, kuru Revīzijas palāta sniegusi par 2024. finanšu gadu saskaņā ar Līguma par Eiropas Savienības darbību 287. pantu,</w:t>
      </w:r>
    </w:p>
    <w:p w14:paraId="7339C9DB" w14:textId="77777777" w:rsidR="00EA2C2C" w:rsidRPr="00EC5E1C" w:rsidRDefault="00EA2C2C" w:rsidP="00EA2C2C">
      <w:pPr>
        <w:pStyle w:val="NormalHanging12a"/>
      </w:pPr>
      <w:r w:rsidRPr="00EC5E1C">
        <w:t>–</w:t>
      </w:r>
      <w:r w:rsidRPr="00EC5E1C">
        <w:tab/>
        <w:t>ņemot vērā Padomes 2026. gada 2. marta ieteikumu par apstiprinājumu, ko sniedz Iestādei par 2024. finanšu gada budžeta izpildi (05750/2026 – C10-0148/2026),</w:t>
      </w:r>
    </w:p>
    <w:p w14:paraId="0B01BB44" w14:textId="77777777" w:rsidR="00EA2C2C" w:rsidRPr="00EC5E1C" w:rsidRDefault="00EA2C2C" w:rsidP="00EA2C2C">
      <w:pPr>
        <w:pStyle w:val="NormalHanging12a"/>
      </w:pPr>
      <w:r w:rsidRPr="00EC5E1C">
        <w:t>–</w:t>
      </w:r>
      <w:r w:rsidRPr="00EC5E1C">
        <w:tab/>
        <w:t>ņemot vērā Līguma par Eiropas Savienības darbību 319. pantu,</w:t>
      </w:r>
    </w:p>
    <w:p w14:paraId="5C79D7F9"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65"/>
      </w:r>
      <w:r w:rsidRPr="00EC5E1C">
        <w:t>, un jo īpaši tās 70. pantu,</w:t>
      </w:r>
    </w:p>
    <w:p w14:paraId="495F551B"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66"/>
      </w:r>
      <w:r w:rsidRPr="00EC5E1C">
        <w:t>, un jo īpaši tās 70. pantu,</w:t>
      </w:r>
    </w:p>
    <w:p w14:paraId="6950CAFE" w14:textId="77777777" w:rsidR="00EA2C2C" w:rsidRPr="00EC5E1C" w:rsidRDefault="00EA2C2C" w:rsidP="00EA2C2C">
      <w:pPr>
        <w:pStyle w:val="NormalHanging12a"/>
      </w:pPr>
      <w:r w:rsidRPr="00EC5E1C">
        <w:t>–</w:t>
      </w:r>
      <w:r w:rsidRPr="00EC5E1C">
        <w:tab/>
        <w:t>ņemot vērā Eiropas Parlamenta un Padomes 2010. gada 24. novembra Regulu (ES) Nr. 1094/2010, ar ko izveido Eiropas Uzraudzības iestādi (Eiropas Apdrošināšanas un aroda pensiju iestādi), groza Lēmumu Nr. 716/2009/EK un atceļ Komisijas Lēmumu 2009/79/EK</w:t>
      </w:r>
      <w:r w:rsidRPr="00EC5E1C">
        <w:rPr>
          <w:rStyle w:val="FootnoteReference"/>
        </w:rPr>
        <w:footnoteReference w:id="167"/>
      </w:r>
      <w:r w:rsidRPr="00EC5E1C">
        <w:t>, un jo īpaši tās 64. pantu,</w:t>
      </w:r>
    </w:p>
    <w:p w14:paraId="5B885879"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68"/>
      </w:r>
      <w:r w:rsidRPr="00EC5E1C">
        <w:t>, un jo īpaši tās 105. pantu,</w:t>
      </w:r>
    </w:p>
    <w:p w14:paraId="18B710DF" w14:textId="77777777" w:rsidR="00EA2C2C" w:rsidRPr="00EC5E1C" w:rsidRDefault="00EA2C2C" w:rsidP="00EA2C2C">
      <w:pPr>
        <w:pStyle w:val="NormalHanging12a"/>
      </w:pPr>
      <w:r w:rsidRPr="00EC5E1C">
        <w:t>–</w:t>
      </w:r>
      <w:r w:rsidRPr="00EC5E1C">
        <w:tab/>
        <w:t>ņemot vērā Reglamenta 102. pantu un V pielikumu,</w:t>
      </w:r>
    </w:p>
    <w:p w14:paraId="420EF89A"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w:t>
      </w:r>
      <w:r w:rsidRPr="00EC5E1C">
        <w:lastRenderedPageBreak/>
        <w:t xml:space="preserve">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5364119F" w14:textId="77777777" w:rsidR="00EA2C2C" w:rsidRPr="00EC5E1C" w:rsidRDefault="00EA2C2C" w:rsidP="00EA2C2C">
      <w:pPr>
        <w:pStyle w:val="NormalHanging12a"/>
      </w:pPr>
      <w:r w:rsidRPr="00EC5E1C">
        <w:t>–</w:t>
      </w:r>
      <w:r w:rsidRPr="00EC5E1C">
        <w:tab/>
        <w:t>ņemot vērā Budžeta kontroles komitejas ziņojumu (A10-0087/2026),</w:t>
      </w:r>
    </w:p>
    <w:p w14:paraId="4104ED42" w14:textId="77777777" w:rsidR="00EA2C2C" w:rsidRPr="00EC5E1C" w:rsidRDefault="00EA2C2C" w:rsidP="00EA2C2C">
      <w:pPr>
        <w:pStyle w:val="NormalHanging12a"/>
      </w:pPr>
      <w:r w:rsidRPr="00EC5E1C">
        <w:t>1.</w:t>
      </w:r>
      <w:r w:rsidRPr="00EC5E1C">
        <w:tab/>
        <w:t>apstiprina Eiropas Apdrošināšanas un aroda pensiju iestādes 2024. finanšu gada pārskatus;</w:t>
      </w:r>
    </w:p>
    <w:p w14:paraId="750ED769" w14:textId="77777777" w:rsidR="00EA2C2C" w:rsidRPr="00EC5E1C" w:rsidRDefault="00EA2C2C" w:rsidP="00EA2C2C">
      <w:pPr>
        <w:pStyle w:val="NormalHanging12a"/>
      </w:pPr>
      <w:r w:rsidRPr="00EC5E1C">
        <w:t>2.</w:t>
      </w:r>
      <w:r w:rsidRPr="00EC5E1C">
        <w:tab/>
        <w:t xml:space="preserve">uzdod priekšsēdētājai šo lēmumu nosūtīt Eiropas Apdrošināšanas un aroda pensiju iestādes izpilddirektoram, Padomei, Komisijai un Revīzijas palātai un nodrošināt tā publicēšanu </w:t>
      </w:r>
      <w:r w:rsidRPr="00EC5E1C">
        <w:rPr>
          <w:i/>
          <w:iCs/>
        </w:rPr>
        <w:t>Eiropas Savienības Oficiālajā Vēstnesī</w:t>
      </w:r>
      <w:r w:rsidRPr="00EC5E1C">
        <w:t xml:space="preserve"> (L sērijā).</w:t>
      </w:r>
    </w:p>
    <w:p w14:paraId="556AE090" w14:textId="77777777" w:rsidR="00EA2C2C" w:rsidRPr="00EC5E1C" w:rsidRDefault="00EA2C2C" w:rsidP="00EA2C2C"/>
    <w:p w14:paraId="0035D340" w14:textId="77777777" w:rsidR="00EA2C2C" w:rsidRPr="00EC5E1C" w:rsidRDefault="00EA2C2C" w:rsidP="00EA2C2C"/>
    <w:p w14:paraId="2BF5F70C" w14:textId="1587535A" w:rsidR="00EA2C2C" w:rsidRPr="00EC5E1C" w:rsidRDefault="00EA2C2C" w:rsidP="00EA2C2C">
      <w:pPr>
        <w:pStyle w:val="PageHeadingDec"/>
      </w:pPr>
    </w:p>
    <w:p w14:paraId="16135510" w14:textId="77777777" w:rsidR="00EA2C2C" w:rsidRPr="00EC5E1C" w:rsidRDefault="00EA2C2C" w:rsidP="00EA2C2C">
      <w:pPr>
        <w:pStyle w:val="PageHeadingDec"/>
        <w:sectPr w:rsidR="00EA2C2C" w:rsidRPr="00EC5E1C" w:rsidSect="00D106D3">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1A3C83" w14:textId="77777777" w:rsidR="00B44DA1" w:rsidRPr="00EC5E1C" w:rsidRDefault="00B44DA1" w:rsidP="00B44DA1">
      <w:pPr>
        <w:pStyle w:val="ATHeading3"/>
      </w:pPr>
      <w:r w:rsidRPr="00EC5E1C">
        <w:lastRenderedPageBreak/>
        <w:t>29. Eiropas Parlamenta 2026. gada 29. aprīļa lēmums par Eiropas Inovāciju un tehnoloģiju institūta 2024. finanšu gada budžeta izpildes apstiprināšanu (2025/2156(DEC))</w:t>
      </w:r>
    </w:p>
    <w:p w14:paraId="4198EB5C" w14:textId="77777777" w:rsidR="00EA2C2C" w:rsidRPr="00EC5E1C" w:rsidRDefault="00EA2C2C" w:rsidP="00EA2C2C">
      <w:pPr>
        <w:pStyle w:val="EPComma"/>
      </w:pPr>
      <w:r w:rsidRPr="00EC5E1C">
        <w:rPr>
          <w:i/>
          <w:iCs/>
        </w:rPr>
        <w:t>Eiropas Parlaments</w:t>
      </w:r>
      <w:r w:rsidRPr="00EC5E1C">
        <w:t>,</w:t>
      </w:r>
    </w:p>
    <w:p w14:paraId="2289FF1E" w14:textId="77777777" w:rsidR="00EA2C2C" w:rsidRPr="00EC5E1C" w:rsidRDefault="00EA2C2C" w:rsidP="00EA2C2C">
      <w:pPr>
        <w:pStyle w:val="NormalHanging12a"/>
      </w:pPr>
      <w:r w:rsidRPr="00EC5E1C">
        <w:t>–</w:t>
      </w:r>
      <w:r w:rsidRPr="00EC5E1C">
        <w:tab/>
        <w:t>ņemot vērā Eiropas Inovāciju un tehnoloģiju institūta 2024. finanšu gada galīgos pārskatus,</w:t>
      </w:r>
    </w:p>
    <w:p w14:paraId="230CDB72"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69"/>
      </w:r>
      <w:r w:rsidRPr="00EC5E1C">
        <w:t>,</w:t>
      </w:r>
    </w:p>
    <w:p w14:paraId="3F4B6B12"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70"/>
      </w:r>
      <w:r w:rsidRPr="00EC5E1C">
        <w:t xml:space="preserve"> par pārskatu ticamību, kā arī par pakārtoto darījumu likumību un pareizību, kuru Revīzijas palāta sniegusi par 2024. finanšu gadu saskaņā ar Līguma par Eiropas Savienības darbību 287. pantu,</w:t>
      </w:r>
    </w:p>
    <w:p w14:paraId="4B577664" w14:textId="77777777" w:rsidR="00EA2C2C" w:rsidRPr="00EC5E1C" w:rsidRDefault="00EA2C2C" w:rsidP="00EA2C2C">
      <w:pPr>
        <w:pStyle w:val="NormalHanging12a"/>
      </w:pPr>
      <w:r w:rsidRPr="00EC5E1C">
        <w:t>–</w:t>
      </w:r>
      <w:r w:rsidRPr="00EC5E1C">
        <w:tab/>
        <w:t>ņemot vērā Padomes 2026. gada 2. marta ieteikumu par apstiprinājumu, ko sniedz Institūtam par 2024. finanšu gada budžeta izpildi (05750/2026 – C10-0148/2026),</w:t>
      </w:r>
    </w:p>
    <w:p w14:paraId="7565C6E5" w14:textId="77777777" w:rsidR="00EA2C2C" w:rsidRPr="00EC5E1C" w:rsidRDefault="00EA2C2C" w:rsidP="00EA2C2C">
      <w:pPr>
        <w:pStyle w:val="NormalHanging12a"/>
      </w:pPr>
      <w:r w:rsidRPr="00EC5E1C">
        <w:t>–</w:t>
      </w:r>
      <w:r w:rsidRPr="00EC5E1C">
        <w:tab/>
        <w:t>ņemot vērā Līguma par Eiropas Savienības darbību 319. pantu,</w:t>
      </w:r>
    </w:p>
    <w:p w14:paraId="5C8C46F6"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71"/>
      </w:r>
      <w:r w:rsidRPr="00EC5E1C">
        <w:t>, un jo īpaši tās 70. pantu,</w:t>
      </w:r>
    </w:p>
    <w:p w14:paraId="0C8B2A4E"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72"/>
      </w:r>
      <w:r w:rsidRPr="00EC5E1C">
        <w:t>, un jo īpaši tās 70. pantu,</w:t>
      </w:r>
    </w:p>
    <w:p w14:paraId="51E2AB21" w14:textId="77777777" w:rsidR="00EA2C2C" w:rsidRPr="00EC5E1C" w:rsidRDefault="00EA2C2C" w:rsidP="00EA2C2C">
      <w:pPr>
        <w:pStyle w:val="NormalHanging12a"/>
      </w:pPr>
      <w:r w:rsidRPr="00EC5E1C">
        <w:t>–</w:t>
      </w:r>
      <w:r w:rsidRPr="00EC5E1C">
        <w:tab/>
        <w:t>ņemot vērā Eiropas Parlamenta un Padomes 2021. gada 20. maija Regulu (ES) 2021/819 par Eiropas Inovāciju un tehnoloģiju institūtu</w:t>
      </w:r>
      <w:r w:rsidRPr="00EC5E1C">
        <w:rPr>
          <w:rStyle w:val="FootnoteReference"/>
        </w:rPr>
        <w:footnoteReference w:id="173"/>
      </w:r>
      <w:r w:rsidRPr="00EC5E1C">
        <w:t xml:space="preserve"> un jo īpaši tās 23. pantu,</w:t>
      </w:r>
    </w:p>
    <w:p w14:paraId="7FCC050C"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74"/>
      </w:r>
      <w:r w:rsidRPr="00EC5E1C">
        <w:t>, un jo īpaši tās 105. pantu,</w:t>
      </w:r>
    </w:p>
    <w:p w14:paraId="50EAAB6C" w14:textId="77777777" w:rsidR="00EA2C2C" w:rsidRPr="00EC5E1C" w:rsidRDefault="00EA2C2C" w:rsidP="00EA2C2C">
      <w:pPr>
        <w:pStyle w:val="NormalHanging12a"/>
      </w:pPr>
      <w:r w:rsidRPr="00EC5E1C">
        <w:t>–</w:t>
      </w:r>
      <w:r w:rsidRPr="00EC5E1C">
        <w:tab/>
        <w:t>ņemot vērā Reglamenta 102. pantu un V pielikumu,</w:t>
      </w:r>
    </w:p>
    <w:p w14:paraId="55BF370F"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23B018B6" w14:textId="77777777" w:rsidR="00EA2C2C" w:rsidRPr="00EC5E1C" w:rsidRDefault="00EA2C2C" w:rsidP="00EA2C2C">
      <w:pPr>
        <w:pStyle w:val="NormalHanging12a"/>
      </w:pPr>
      <w:r w:rsidRPr="00EC5E1C">
        <w:t>–</w:t>
      </w:r>
      <w:r w:rsidRPr="00EC5E1C">
        <w:tab/>
        <w:t>ņemot vērā Budžeta kontroles komitejas ziņojumu (A10-0087/2026),</w:t>
      </w:r>
    </w:p>
    <w:p w14:paraId="35B0C4ED" w14:textId="77777777" w:rsidR="00EA2C2C" w:rsidRPr="00EC5E1C" w:rsidRDefault="00EA2C2C" w:rsidP="00EA2C2C">
      <w:pPr>
        <w:pStyle w:val="NormalHanging12a"/>
      </w:pPr>
      <w:r w:rsidRPr="00EC5E1C">
        <w:t>1.</w:t>
      </w:r>
      <w:r w:rsidRPr="00EC5E1C">
        <w:tab/>
        <w:t>sniedz Eiropas Inovāciju un tehnoloģiju institūta direktoram apstiprinājumu par Institūta 2024. finanšu gada budžeta izpildi;</w:t>
      </w:r>
    </w:p>
    <w:p w14:paraId="597F8486" w14:textId="77777777" w:rsidR="00EA2C2C" w:rsidRPr="00EC5E1C" w:rsidRDefault="00EA2C2C" w:rsidP="00EA2C2C">
      <w:pPr>
        <w:pStyle w:val="NormalHanging12a"/>
      </w:pPr>
      <w:r w:rsidRPr="00EC5E1C">
        <w:t>2.</w:t>
      </w:r>
      <w:r w:rsidRPr="00EC5E1C">
        <w:tab/>
        <w:t>izklāsta savus konstatējumus turpmāk tekstā iekļautajā rezolūcijā;</w:t>
      </w:r>
    </w:p>
    <w:p w14:paraId="0C0BED03"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Inovāciju un tehnoloģiju institūta direktoram, Padomei, Komisijai un Revīzijas palātai un nodrošināt to publicēšanu </w:t>
      </w:r>
      <w:r w:rsidRPr="00EC5E1C">
        <w:rPr>
          <w:i/>
          <w:iCs/>
        </w:rPr>
        <w:t>Eiropas Savienības Oficiālajā Vēstnesī</w:t>
      </w:r>
      <w:r w:rsidRPr="00EC5E1C">
        <w:t xml:space="preserve"> (L sērijā).</w:t>
      </w:r>
    </w:p>
    <w:p w14:paraId="409047E2" w14:textId="77777777" w:rsidR="00EA2C2C" w:rsidRPr="00EC5E1C" w:rsidRDefault="00EA2C2C" w:rsidP="00EA2C2C"/>
    <w:p w14:paraId="7A2280FD" w14:textId="77777777" w:rsidR="00EA2C2C" w:rsidRPr="00EC5E1C" w:rsidRDefault="00EA2C2C" w:rsidP="00EA2C2C">
      <w:pPr>
        <w:pStyle w:val="PageHeadingDec"/>
        <w:sectPr w:rsidR="00EA2C2C" w:rsidRPr="00EC5E1C" w:rsidSect="00D106D3">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79DF24C" w14:textId="77777777" w:rsidR="00B44DA1" w:rsidRPr="00EC5E1C" w:rsidRDefault="00B44DA1" w:rsidP="00B44DA1">
      <w:pPr>
        <w:pStyle w:val="ATHeading3"/>
      </w:pPr>
      <w:r w:rsidRPr="00EC5E1C">
        <w:lastRenderedPageBreak/>
        <w:t>30. Eiropas Parlamenta 2026. gada 29. aprīļa lēmums par Eiropas Inovāciju un tehnoloģiju institūta 2024. finanšu gada pārskatu apstiprināšanu (2025/2156(DEC))</w:t>
      </w:r>
    </w:p>
    <w:p w14:paraId="7B7A4CDB" w14:textId="77777777" w:rsidR="00EA2C2C" w:rsidRPr="00EC5E1C" w:rsidRDefault="00EA2C2C" w:rsidP="00EA2C2C">
      <w:pPr>
        <w:pStyle w:val="EPComma"/>
      </w:pPr>
      <w:r w:rsidRPr="00EC5E1C">
        <w:rPr>
          <w:i/>
          <w:iCs/>
        </w:rPr>
        <w:t>Eiropas Parlaments</w:t>
      </w:r>
      <w:r w:rsidRPr="00EC5E1C">
        <w:t>,</w:t>
      </w:r>
    </w:p>
    <w:p w14:paraId="1DE35E8E" w14:textId="77777777" w:rsidR="00EA2C2C" w:rsidRPr="00EC5E1C" w:rsidRDefault="00EA2C2C" w:rsidP="00EA2C2C">
      <w:pPr>
        <w:pStyle w:val="NormalHanging12a"/>
      </w:pPr>
      <w:r w:rsidRPr="00EC5E1C">
        <w:t>–</w:t>
      </w:r>
      <w:r w:rsidRPr="00EC5E1C">
        <w:tab/>
        <w:t>ņemot vērā Eiropas Inovāciju un tehnoloģiju institūta 2024. finanšu gada galīgos pārskatus,</w:t>
      </w:r>
    </w:p>
    <w:p w14:paraId="36AF1DC4"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75"/>
      </w:r>
      <w:r w:rsidRPr="00EC5E1C">
        <w:t>,</w:t>
      </w:r>
    </w:p>
    <w:p w14:paraId="7715BA2C"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76"/>
      </w:r>
      <w:r w:rsidRPr="00EC5E1C">
        <w:t xml:space="preserve"> par pārskatu ticamību, kā arī par pakārtoto darījumu likumību un pareizību, kuru Revīzijas palāta sniegusi par 2024. finanšu gadu saskaņā ar Līguma par Eiropas Savienības darbību 287. pantu,</w:t>
      </w:r>
    </w:p>
    <w:p w14:paraId="17941F40" w14:textId="77777777" w:rsidR="00EA2C2C" w:rsidRPr="00EC5E1C" w:rsidRDefault="00EA2C2C" w:rsidP="00EA2C2C">
      <w:pPr>
        <w:pStyle w:val="NormalHanging12a"/>
      </w:pPr>
      <w:r w:rsidRPr="00EC5E1C">
        <w:t>–</w:t>
      </w:r>
      <w:r w:rsidRPr="00EC5E1C">
        <w:tab/>
        <w:t>ņemot vērā Padomes 2026. gada 2. marta ieteikumu par apstiprinājumu, ko sniedz Institūtam par 2024. finanšu gada budžeta izpildi (05750/2026 – C10-0148/2026),</w:t>
      </w:r>
    </w:p>
    <w:p w14:paraId="287F9811" w14:textId="77777777" w:rsidR="00EA2C2C" w:rsidRPr="00EC5E1C" w:rsidRDefault="00EA2C2C" w:rsidP="00EA2C2C">
      <w:pPr>
        <w:pStyle w:val="NormalHanging12a"/>
      </w:pPr>
      <w:r w:rsidRPr="00EC5E1C">
        <w:t>–</w:t>
      </w:r>
      <w:r w:rsidRPr="00EC5E1C">
        <w:tab/>
        <w:t>ņemot vērā Līguma par Eiropas Savienības darbību 319. pantu,</w:t>
      </w:r>
    </w:p>
    <w:p w14:paraId="41F99865"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77"/>
      </w:r>
      <w:r w:rsidRPr="00EC5E1C">
        <w:t>, un jo īpaši tās 70. pantu,</w:t>
      </w:r>
    </w:p>
    <w:p w14:paraId="1F583AD4"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78"/>
      </w:r>
      <w:r w:rsidRPr="00EC5E1C">
        <w:t>, un jo īpaši tās 70. pantu,</w:t>
      </w:r>
    </w:p>
    <w:p w14:paraId="16D58C38" w14:textId="77777777" w:rsidR="00EA2C2C" w:rsidRPr="00EC5E1C" w:rsidRDefault="00EA2C2C" w:rsidP="00EA2C2C">
      <w:pPr>
        <w:pStyle w:val="NormalHanging12a"/>
      </w:pPr>
      <w:r w:rsidRPr="00EC5E1C">
        <w:t>–</w:t>
      </w:r>
      <w:r w:rsidRPr="00EC5E1C">
        <w:tab/>
        <w:t>ņemot vērā Eiropas Parlamenta un Padomes 2021. gada 20. maija Regulu (ES) 2021/819 par Eiropas Inovāciju un tehnoloģiju institūtu</w:t>
      </w:r>
      <w:r w:rsidRPr="00EC5E1C">
        <w:rPr>
          <w:rStyle w:val="FootnoteReference"/>
        </w:rPr>
        <w:footnoteReference w:id="179"/>
      </w:r>
      <w:r w:rsidRPr="00EC5E1C">
        <w:t xml:space="preserve"> un jo īpaši tās 23. pantu,</w:t>
      </w:r>
    </w:p>
    <w:p w14:paraId="1970F279"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80"/>
      </w:r>
      <w:r w:rsidRPr="00EC5E1C">
        <w:t>, un jo īpaši tās 105. pantu,</w:t>
      </w:r>
    </w:p>
    <w:p w14:paraId="1D12D34B" w14:textId="77777777" w:rsidR="00EA2C2C" w:rsidRPr="00EC5E1C" w:rsidRDefault="00EA2C2C" w:rsidP="00EA2C2C">
      <w:pPr>
        <w:pStyle w:val="NormalHanging12a"/>
      </w:pPr>
      <w:r w:rsidRPr="00EC5E1C">
        <w:t>–</w:t>
      </w:r>
      <w:r w:rsidRPr="00EC5E1C">
        <w:tab/>
        <w:t>ņemot vērā Reglamenta 102. pantu un V pielikumu,</w:t>
      </w:r>
    </w:p>
    <w:p w14:paraId="764094B9"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26966B0E" w14:textId="77777777" w:rsidR="00EA2C2C" w:rsidRPr="00EC5E1C" w:rsidRDefault="00EA2C2C" w:rsidP="00EA2C2C">
      <w:pPr>
        <w:pStyle w:val="NormalHanging12a"/>
      </w:pPr>
      <w:r w:rsidRPr="00EC5E1C">
        <w:t>–</w:t>
      </w:r>
      <w:r w:rsidRPr="00EC5E1C">
        <w:tab/>
        <w:t>ņemot vērā Budžeta kontroles komitejas ziņojumu (A10-0087/2026),</w:t>
      </w:r>
    </w:p>
    <w:p w14:paraId="7395B6A6" w14:textId="77777777" w:rsidR="00EA2C2C" w:rsidRPr="00EC5E1C" w:rsidRDefault="00EA2C2C" w:rsidP="00EA2C2C">
      <w:pPr>
        <w:pStyle w:val="NormalHanging12a"/>
      </w:pPr>
      <w:r w:rsidRPr="00EC5E1C">
        <w:t>1.</w:t>
      </w:r>
      <w:r w:rsidRPr="00EC5E1C">
        <w:tab/>
        <w:t>apstiprina Eiropas Inovāciju un tehnoloģiju institūta 2024. finanšu gada pārskatus;</w:t>
      </w:r>
    </w:p>
    <w:p w14:paraId="518CF1D8" w14:textId="77777777" w:rsidR="00EA2C2C" w:rsidRPr="00EC5E1C" w:rsidRDefault="00EA2C2C" w:rsidP="00EA2C2C">
      <w:pPr>
        <w:pStyle w:val="NormalHanging12a"/>
      </w:pPr>
      <w:r w:rsidRPr="00EC5E1C">
        <w:t>2.</w:t>
      </w:r>
      <w:r w:rsidRPr="00EC5E1C">
        <w:tab/>
        <w:t xml:space="preserve">uzdod priekšsēdētājai šo lēmumu nosūtīt Eiropas Inovāciju un tehnoloģiju institūta direktoram, Padomei, Komisijai un Revīzijas palātai un nodrošināt tā publicēšanu </w:t>
      </w:r>
      <w:r w:rsidRPr="00EC5E1C">
        <w:rPr>
          <w:i/>
          <w:iCs/>
        </w:rPr>
        <w:t>Eiropas Savienības Oficiālajā Vēstnesī</w:t>
      </w:r>
      <w:r w:rsidRPr="00EC5E1C">
        <w:t xml:space="preserve"> (L sērijā).</w:t>
      </w:r>
    </w:p>
    <w:p w14:paraId="2726C8E8" w14:textId="77777777" w:rsidR="00EA2C2C" w:rsidRPr="00EC5E1C" w:rsidRDefault="00EA2C2C" w:rsidP="00EA2C2C"/>
    <w:p w14:paraId="15F6332B" w14:textId="77777777" w:rsidR="00EA2C2C" w:rsidRPr="00EC5E1C" w:rsidRDefault="00EA2C2C" w:rsidP="00EA2C2C"/>
    <w:p w14:paraId="2115A5A8" w14:textId="180CB5BC" w:rsidR="00EA2C2C" w:rsidRPr="00EC5E1C" w:rsidRDefault="00EA2C2C" w:rsidP="00EA2C2C">
      <w:pPr>
        <w:pStyle w:val="PageHeadingDec"/>
      </w:pPr>
    </w:p>
    <w:p w14:paraId="5680D7E0" w14:textId="77777777" w:rsidR="00EA2C2C" w:rsidRPr="00EC5E1C" w:rsidRDefault="00EA2C2C" w:rsidP="00EA2C2C">
      <w:pPr>
        <w:pStyle w:val="PageHeadingDec"/>
        <w:sectPr w:rsidR="00EA2C2C" w:rsidRPr="00EC5E1C" w:rsidSect="00D106D3">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F11F630" w14:textId="77777777" w:rsidR="00B44DA1" w:rsidRPr="00EC5E1C" w:rsidRDefault="00B44DA1" w:rsidP="00B44DA1">
      <w:pPr>
        <w:pStyle w:val="ATHeading3"/>
      </w:pPr>
      <w:r w:rsidRPr="00EC5E1C">
        <w:lastRenderedPageBreak/>
        <w:t>31. Eiropas Parlamenta 2026. gada 29. aprīļa lēmums par Eiropas Darba iestādes 2024. finanšu gada budžeta izpildes apstiprināšanu (2025/2156(DEC))</w:t>
      </w:r>
    </w:p>
    <w:p w14:paraId="68722A31" w14:textId="77777777" w:rsidR="00EA2C2C" w:rsidRPr="00EC5E1C" w:rsidRDefault="00EA2C2C" w:rsidP="00EA2C2C">
      <w:pPr>
        <w:pStyle w:val="EPComma"/>
      </w:pPr>
      <w:r w:rsidRPr="00EC5E1C">
        <w:rPr>
          <w:i/>
          <w:iCs/>
        </w:rPr>
        <w:t>Eiropas Parlaments</w:t>
      </w:r>
      <w:r w:rsidRPr="00EC5E1C">
        <w:t>,</w:t>
      </w:r>
    </w:p>
    <w:p w14:paraId="7EC99966" w14:textId="77777777" w:rsidR="00EA2C2C" w:rsidRPr="00EC5E1C" w:rsidRDefault="00EA2C2C" w:rsidP="00EA2C2C">
      <w:pPr>
        <w:pStyle w:val="NormalHanging12a"/>
      </w:pPr>
      <w:r w:rsidRPr="00EC5E1C">
        <w:t>–</w:t>
      </w:r>
      <w:r w:rsidRPr="00EC5E1C">
        <w:tab/>
        <w:t>ņemot vērā Eiropas Darba iestādes 2024. finanšu gada galīgos pārskatus,</w:t>
      </w:r>
    </w:p>
    <w:p w14:paraId="170EEB13"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81"/>
      </w:r>
      <w:r w:rsidRPr="00EC5E1C">
        <w:t>,</w:t>
      </w:r>
    </w:p>
    <w:p w14:paraId="325CE5AF"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82"/>
      </w:r>
      <w:r w:rsidRPr="00EC5E1C">
        <w:t xml:space="preserve"> par pārskatu ticamību, kā arī par pakārtoto darījumu likumību un pareizību, kuru Revīzijas palāta sniegusi par 2024. finanšu gadu saskaņā ar Līguma par Eiropas Savienības darbību 287. pantu,</w:t>
      </w:r>
    </w:p>
    <w:p w14:paraId="30E443BD" w14:textId="77777777" w:rsidR="00EA2C2C" w:rsidRPr="00EC5E1C" w:rsidRDefault="00EA2C2C" w:rsidP="00EA2C2C">
      <w:pPr>
        <w:pStyle w:val="NormalHanging12a"/>
      </w:pPr>
      <w:r w:rsidRPr="00EC5E1C">
        <w:t>–</w:t>
      </w:r>
      <w:r w:rsidRPr="00EC5E1C">
        <w:tab/>
        <w:t>ņemot vērā Padomes 2026. gada 2. marta ieteikumu par apstiprinājumu, ko sniedz Iestādei par 2024. finanšu gada budžeta izpildi (05750/2026 – C10-0148/2026),</w:t>
      </w:r>
    </w:p>
    <w:p w14:paraId="40078958" w14:textId="77777777" w:rsidR="00EA2C2C" w:rsidRPr="00EC5E1C" w:rsidRDefault="00EA2C2C" w:rsidP="00EA2C2C">
      <w:pPr>
        <w:pStyle w:val="NormalHanging12a"/>
      </w:pPr>
      <w:r w:rsidRPr="00EC5E1C">
        <w:t>–</w:t>
      </w:r>
      <w:r w:rsidRPr="00EC5E1C">
        <w:tab/>
        <w:t>ņemot vērā Līguma par Eiropas Savienības darbību 319. pantu,</w:t>
      </w:r>
    </w:p>
    <w:p w14:paraId="7C2CCD15"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83"/>
      </w:r>
      <w:r w:rsidRPr="00EC5E1C">
        <w:t>, un jo īpaši tās 70. pantu,</w:t>
      </w:r>
    </w:p>
    <w:p w14:paraId="5DC48FD8"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84"/>
      </w:r>
      <w:r w:rsidRPr="00EC5E1C">
        <w:t>, un jo īpaši tās 70. pantu,</w:t>
      </w:r>
    </w:p>
    <w:p w14:paraId="58CF3CFD" w14:textId="77777777" w:rsidR="00EA2C2C" w:rsidRPr="00EC5E1C" w:rsidRDefault="00EA2C2C" w:rsidP="00EA2C2C">
      <w:pPr>
        <w:pStyle w:val="NormalHanging12a"/>
      </w:pPr>
      <w:r w:rsidRPr="00EC5E1C">
        <w:t>–</w:t>
      </w:r>
      <w:r w:rsidRPr="00EC5E1C">
        <w:tab/>
        <w:t>ņemot vērā Eiropas Parlamenta un Padomes 2019. gada 20. jūnija Regulu (ES) 2019/1149, ar ko izveido Eiropas Darba iestādi, groza Regulas (EK) Nr. 883/2004, (ES) Nr. 492/2011 un (ES) 2016/589 un atceļ Lēmumu (ES) 2016/344</w:t>
      </w:r>
      <w:r w:rsidRPr="00EC5E1C">
        <w:rPr>
          <w:rStyle w:val="FootnoteReference"/>
        </w:rPr>
        <w:footnoteReference w:id="185"/>
      </w:r>
      <w:r w:rsidRPr="00EC5E1C">
        <w:t>, un jo īpaši tās 28. pantu,</w:t>
      </w:r>
    </w:p>
    <w:p w14:paraId="2163A8DA"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86"/>
      </w:r>
      <w:r w:rsidRPr="00EC5E1C">
        <w:t>, un jo īpaši tās 105. pantu,</w:t>
      </w:r>
    </w:p>
    <w:p w14:paraId="07517F1A" w14:textId="77777777" w:rsidR="00EA2C2C" w:rsidRPr="00EC5E1C" w:rsidRDefault="00EA2C2C" w:rsidP="00EA2C2C">
      <w:pPr>
        <w:pStyle w:val="NormalHanging12a"/>
      </w:pPr>
      <w:r w:rsidRPr="00EC5E1C">
        <w:t>–</w:t>
      </w:r>
      <w:r w:rsidRPr="00EC5E1C">
        <w:tab/>
        <w:t>ņemot vērā Reglamenta 102. pantu un V pielikumu,</w:t>
      </w:r>
    </w:p>
    <w:p w14:paraId="5C85BBFF"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1189FE48" w14:textId="77777777" w:rsidR="00EA2C2C" w:rsidRPr="00EC5E1C" w:rsidRDefault="00EA2C2C" w:rsidP="00EA2C2C">
      <w:pPr>
        <w:pStyle w:val="NormalHanging12a"/>
      </w:pPr>
      <w:r w:rsidRPr="00EC5E1C">
        <w:t>–</w:t>
      </w:r>
      <w:r w:rsidRPr="00EC5E1C">
        <w:tab/>
        <w:t>ņemot vērā Budžeta kontroles komitejas ziņojumu (A10-0087/2026),</w:t>
      </w:r>
    </w:p>
    <w:p w14:paraId="75ECBF0F" w14:textId="77777777" w:rsidR="00EA2C2C" w:rsidRPr="00EC5E1C" w:rsidRDefault="00EA2C2C" w:rsidP="00EA2C2C">
      <w:pPr>
        <w:pStyle w:val="NormalHanging12a"/>
      </w:pPr>
      <w:r w:rsidRPr="00EC5E1C">
        <w:t>1.</w:t>
      </w:r>
      <w:r w:rsidRPr="00EC5E1C">
        <w:tab/>
        <w:t>sniedz Eiropas Darba iestādes izpilddirektoram apstiprinājumu par Iestādes 2024. finanšu gada budžeta izpildi;</w:t>
      </w:r>
    </w:p>
    <w:p w14:paraId="166A976A" w14:textId="77777777" w:rsidR="00EA2C2C" w:rsidRPr="00EC5E1C" w:rsidRDefault="00EA2C2C" w:rsidP="00EA2C2C">
      <w:pPr>
        <w:pStyle w:val="NormalHanging12a"/>
      </w:pPr>
      <w:r w:rsidRPr="00EC5E1C">
        <w:t>2.</w:t>
      </w:r>
      <w:r w:rsidRPr="00EC5E1C">
        <w:tab/>
        <w:t>izklāsta savus konstatējumus turpmāk tekstā iekļautajā rezolūcijā;</w:t>
      </w:r>
    </w:p>
    <w:p w14:paraId="123F85D1"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Darba iestādes izpilddirektoram, Padomei, Komisijai un Revīzijas palātai un nodrošināt to publicēšanu </w:t>
      </w:r>
      <w:r w:rsidRPr="00EC5E1C">
        <w:rPr>
          <w:i/>
          <w:iCs/>
        </w:rPr>
        <w:t>Eiropas Savienības Oficiālajā Vēstnesī</w:t>
      </w:r>
      <w:r w:rsidRPr="00EC5E1C">
        <w:t xml:space="preserve"> (L sērijā).</w:t>
      </w:r>
    </w:p>
    <w:p w14:paraId="29FD6145" w14:textId="77777777" w:rsidR="00EA2C2C" w:rsidRPr="00EC5E1C" w:rsidRDefault="00EA2C2C" w:rsidP="00EA2C2C"/>
    <w:p w14:paraId="78894C56" w14:textId="77777777" w:rsidR="00EA2C2C" w:rsidRPr="00EC5E1C" w:rsidRDefault="00EA2C2C" w:rsidP="00EA2C2C">
      <w:pPr>
        <w:pStyle w:val="PageHeadingDec"/>
        <w:sectPr w:rsidR="00EA2C2C" w:rsidRPr="00EC5E1C" w:rsidSect="00D106D3">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F22A70" w14:textId="77777777" w:rsidR="00B44DA1" w:rsidRPr="00EC5E1C" w:rsidRDefault="00B44DA1" w:rsidP="00B44DA1">
      <w:pPr>
        <w:pStyle w:val="ATHeading3"/>
      </w:pPr>
      <w:r w:rsidRPr="00EC5E1C">
        <w:lastRenderedPageBreak/>
        <w:t>32. Eiropas Parlamenta 2026. gada 29. aprīļa lēmums par Eiropas Darba iestādes 2024. finanšu gada pārskatu apstiprināšanu (2025/2156(DEC))</w:t>
      </w:r>
    </w:p>
    <w:p w14:paraId="07D34FBB" w14:textId="77777777" w:rsidR="00EA2C2C" w:rsidRPr="00EC5E1C" w:rsidRDefault="00EA2C2C" w:rsidP="00EA2C2C">
      <w:pPr>
        <w:pStyle w:val="EPComma"/>
      </w:pPr>
      <w:r w:rsidRPr="00EC5E1C">
        <w:rPr>
          <w:i/>
          <w:iCs/>
        </w:rPr>
        <w:t>Eiropas Parlaments</w:t>
      </w:r>
      <w:r w:rsidRPr="00EC5E1C">
        <w:t>,</w:t>
      </w:r>
    </w:p>
    <w:p w14:paraId="50A65ED9" w14:textId="77777777" w:rsidR="00EA2C2C" w:rsidRPr="00EC5E1C" w:rsidRDefault="00EA2C2C" w:rsidP="00EA2C2C">
      <w:pPr>
        <w:pStyle w:val="NormalHanging12a"/>
      </w:pPr>
      <w:r w:rsidRPr="00EC5E1C">
        <w:t>–</w:t>
      </w:r>
      <w:r w:rsidRPr="00EC5E1C">
        <w:tab/>
        <w:t>ņemot vērā Eiropas Darba iestādes 2024. finanšu gada galīgos pārskatus,</w:t>
      </w:r>
    </w:p>
    <w:p w14:paraId="1991813A"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87"/>
      </w:r>
      <w:r w:rsidRPr="00EC5E1C">
        <w:t>,</w:t>
      </w:r>
    </w:p>
    <w:p w14:paraId="7E17521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88"/>
      </w:r>
      <w:r w:rsidRPr="00EC5E1C">
        <w:t xml:space="preserve"> par pārskatu ticamību, kā arī par pakārtoto darījumu likumību un pareizību, kuru Revīzijas palāta sniegusi par 2024. finanšu gadu saskaņā ar Līguma par Eiropas Savienības darbību 287. pantu,</w:t>
      </w:r>
    </w:p>
    <w:p w14:paraId="5FB5ACF3" w14:textId="77777777" w:rsidR="00EA2C2C" w:rsidRPr="00EC5E1C" w:rsidRDefault="00EA2C2C" w:rsidP="00EA2C2C">
      <w:pPr>
        <w:pStyle w:val="NormalHanging12a"/>
      </w:pPr>
      <w:r w:rsidRPr="00EC5E1C">
        <w:t>–</w:t>
      </w:r>
      <w:r w:rsidRPr="00EC5E1C">
        <w:tab/>
        <w:t>ņemot vērā Padomes 2026. gada 2. marta ieteikumu par apstiprinājumu, ko sniedz Iestādei par 2024. finanšu gada budžeta izpildi (05750/2026 – C10-0148/2026),</w:t>
      </w:r>
    </w:p>
    <w:p w14:paraId="57B8C9B5" w14:textId="77777777" w:rsidR="00EA2C2C" w:rsidRPr="00EC5E1C" w:rsidRDefault="00EA2C2C" w:rsidP="00EA2C2C">
      <w:pPr>
        <w:pStyle w:val="NormalHanging12a"/>
      </w:pPr>
      <w:r w:rsidRPr="00EC5E1C">
        <w:t>–</w:t>
      </w:r>
      <w:r w:rsidRPr="00EC5E1C">
        <w:tab/>
        <w:t>ņemot vērā Līguma par Eiropas Savienības darbību 319. pantu,</w:t>
      </w:r>
    </w:p>
    <w:p w14:paraId="671F0004"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89"/>
      </w:r>
      <w:r w:rsidRPr="00EC5E1C">
        <w:t>, un jo īpaši tās 70. pantu,</w:t>
      </w:r>
    </w:p>
    <w:p w14:paraId="2B507C6F"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90"/>
      </w:r>
      <w:r w:rsidRPr="00EC5E1C">
        <w:t>, un jo īpaši tās 70. pantu,</w:t>
      </w:r>
    </w:p>
    <w:p w14:paraId="49C28624" w14:textId="77777777" w:rsidR="00EA2C2C" w:rsidRPr="00EC5E1C" w:rsidRDefault="00EA2C2C" w:rsidP="00EA2C2C">
      <w:pPr>
        <w:pStyle w:val="NormalHanging12a"/>
      </w:pPr>
      <w:r w:rsidRPr="00EC5E1C">
        <w:t>–</w:t>
      </w:r>
      <w:r w:rsidRPr="00EC5E1C">
        <w:tab/>
        <w:t>ņemot vērā Eiropas Parlamenta un Padomes 2019. gada 20. jūnija Regulu (ES) 2019/1149, ar ko izveido Eiropas Darba iestādi, groza Regulas (EK) Nr. 883/2004, (ES) Nr. 492/2011 un (ES) 2016/589 un atceļ Lēmumu (ES) 2016/344</w:t>
      </w:r>
      <w:r w:rsidRPr="00EC5E1C">
        <w:rPr>
          <w:rStyle w:val="FootnoteReference"/>
        </w:rPr>
        <w:footnoteReference w:id="191"/>
      </w:r>
      <w:r w:rsidRPr="00EC5E1C">
        <w:t>, un jo īpaši tās 28. pantu,</w:t>
      </w:r>
    </w:p>
    <w:p w14:paraId="46A0E86C"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92"/>
      </w:r>
      <w:r w:rsidRPr="00EC5E1C">
        <w:t>, un jo īpaši tās 105. pantu,</w:t>
      </w:r>
    </w:p>
    <w:p w14:paraId="26014CCE" w14:textId="77777777" w:rsidR="00EA2C2C" w:rsidRPr="00EC5E1C" w:rsidRDefault="00EA2C2C" w:rsidP="00EA2C2C">
      <w:pPr>
        <w:pStyle w:val="NormalHanging12a"/>
      </w:pPr>
      <w:r w:rsidRPr="00EC5E1C">
        <w:t>–</w:t>
      </w:r>
      <w:r w:rsidRPr="00EC5E1C">
        <w:tab/>
        <w:t>ņemot vērā Reglamenta 102. pantu un V pielikumu,</w:t>
      </w:r>
    </w:p>
    <w:p w14:paraId="1AEC3EF3"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7437A805" w14:textId="77777777" w:rsidR="00EA2C2C" w:rsidRPr="00EC5E1C" w:rsidRDefault="00EA2C2C" w:rsidP="00EA2C2C">
      <w:pPr>
        <w:pStyle w:val="NormalHanging12a"/>
      </w:pPr>
      <w:r w:rsidRPr="00EC5E1C">
        <w:t>–</w:t>
      </w:r>
      <w:r w:rsidRPr="00EC5E1C">
        <w:tab/>
        <w:t>ņemot vērā Budžeta kontroles komitejas ziņojumu (A10-0087/2026),</w:t>
      </w:r>
    </w:p>
    <w:p w14:paraId="1635CD6B" w14:textId="77777777" w:rsidR="00EA2C2C" w:rsidRPr="00EC5E1C" w:rsidRDefault="00EA2C2C" w:rsidP="00EA2C2C">
      <w:pPr>
        <w:pStyle w:val="NormalHanging12a"/>
      </w:pPr>
      <w:r w:rsidRPr="00EC5E1C">
        <w:t>1.</w:t>
      </w:r>
      <w:r w:rsidRPr="00EC5E1C">
        <w:tab/>
        <w:t>apstiprina Eiropas Darba iestādes 2024. finanšu gada pārskatus;</w:t>
      </w:r>
    </w:p>
    <w:p w14:paraId="29163041" w14:textId="77777777" w:rsidR="00EA2C2C" w:rsidRPr="00EC5E1C" w:rsidRDefault="00EA2C2C" w:rsidP="00EA2C2C">
      <w:pPr>
        <w:pStyle w:val="NormalHanging12a"/>
      </w:pPr>
      <w:r w:rsidRPr="00EC5E1C">
        <w:t>2.</w:t>
      </w:r>
      <w:r w:rsidRPr="00EC5E1C">
        <w:tab/>
        <w:t xml:space="preserve">uzdod priekšsēdētājai šo lēmumu nosūtīt Eiropas Darba iestādes izpilddirektoram, Padomei, Komisijai un Revīzijas palātai un nodrošināt tā publicēšanu </w:t>
      </w:r>
      <w:r w:rsidRPr="00EC5E1C">
        <w:rPr>
          <w:i/>
          <w:iCs/>
        </w:rPr>
        <w:t>Eiropas Savienības Oficiālajā Vēstnesī</w:t>
      </w:r>
      <w:r w:rsidRPr="00EC5E1C">
        <w:t xml:space="preserve"> (L sērijā).</w:t>
      </w:r>
    </w:p>
    <w:p w14:paraId="5345F1CC" w14:textId="77777777" w:rsidR="00EA2C2C" w:rsidRPr="00EC5E1C" w:rsidRDefault="00EA2C2C" w:rsidP="00EA2C2C"/>
    <w:p w14:paraId="3D5A0430" w14:textId="77777777" w:rsidR="00EA2C2C" w:rsidRPr="00EC5E1C" w:rsidRDefault="00EA2C2C" w:rsidP="00EA2C2C"/>
    <w:p w14:paraId="415F808D" w14:textId="1E7230CE" w:rsidR="00EA2C2C" w:rsidRPr="00EC5E1C" w:rsidRDefault="00EA2C2C" w:rsidP="00EA2C2C">
      <w:pPr>
        <w:pStyle w:val="PageHeadingDec"/>
      </w:pPr>
    </w:p>
    <w:p w14:paraId="07D37645" w14:textId="77777777" w:rsidR="00EA2C2C" w:rsidRPr="00EC5E1C" w:rsidRDefault="00EA2C2C" w:rsidP="00EA2C2C">
      <w:pPr>
        <w:pStyle w:val="PageHeadingDec"/>
        <w:sectPr w:rsidR="00EA2C2C" w:rsidRPr="00EC5E1C" w:rsidSect="00D106D3">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1F02DB" w14:textId="77777777" w:rsidR="00B44DA1" w:rsidRPr="00EC5E1C" w:rsidRDefault="00B44DA1" w:rsidP="00B44DA1">
      <w:pPr>
        <w:pStyle w:val="ATHeading3"/>
      </w:pPr>
      <w:r w:rsidRPr="00EC5E1C">
        <w:lastRenderedPageBreak/>
        <w:t>33. Eiropas Parlamenta 2026. gada 29. aprīļa lēmums par Eiropas Zāļu aģentūras 2024. finanšu gada budžeta izpildes apstiprināšanu (2025/2156(DEC))</w:t>
      </w:r>
    </w:p>
    <w:p w14:paraId="5C495F25" w14:textId="77777777" w:rsidR="00EA2C2C" w:rsidRPr="00EC5E1C" w:rsidRDefault="00EA2C2C" w:rsidP="00EA2C2C">
      <w:pPr>
        <w:pStyle w:val="EPComma"/>
      </w:pPr>
      <w:r w:rsidRPr="00EC5E1C">
        <w:rPr>
          <w:i/>
          <w:iCs/>
        </w:rPr>
        <w:t>Eiropas Parlaments</w:t>
      </w:r>
      <w:r w:rsidRPr="00EC5E1C">
        <w:t>,</w:t>
      </w:r>
    </w:p>
    <w:p w14:paraId="05D3E8CF" w14:textId="77777777" w:rsidR="00EA2C2C" w:rsidRPr="00EC5E1C" w:rsidRDefault="00EA2C2C" w:rsidP="00EA2C2C">
      <w:pPr>
        <w:pStyle w:val="NormalHanging12a"/>
      </w:pPr>
      <w:r w:rsidRPr="00EC5E1C">
        <w:t>–</w:t>
      </w:r>
      <w:r w:rsidRPr="00EC5E1C">
        <w:tab/>
        <w:t>ņemot vērā Eiropas Zāļu aģentūras 2024. finanšu gada galīgos pārskatus,</w:t>
      </w:r>
    </w:p>
    <w:p w14:paraId="2D9702ED"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93"/>
      </w:r>
      <w:r w:rsidRPr="00EC5E1C">
        <w:t>,</w:t>
      </w:r>
    </w:p>
    <w:p w14:paraId="1557FAA5"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194"/>
      </w:r>
      <w:r w:rsidRPr="00EC5E1C">
        <w:t xml:space="preserve"> par pārskatu ticamību, kā arī par pakārtoto darījumu likumību un pareizību, kuru Revīzijas palāta sniegusi par 2024. finanšu gadu saskaņā ar Līguma par Eiropas Savienības darbību 287. pantu,</w:t>
      </w:r>
    </w:p>
    <w:p w14:paraId="6B37366C"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402FCD10" w14:textId="77777777" w:rsidR="00EA2C2C" w:rsidRPr="00EC5E1C" w:rsidRDefault="00EA2C2C" w:rsidP="00EA2C2C">
      <w:pPr>
        <w:pStyle w:val="NormalHanging12a"/>
      </w:pPr>
      <w:r w:rsidRPr="00EC5E1C">
        <w:t>–</w:t>
      </w:r>
      <w:r w:rsidRPr="00EC5E1C">
        <w:tab/>
        <w:t>ņemot vērā Līguma par Eiropas Savienības darbību 319. pantu,</w:t>
      </w:r>
    </w:p>
    <w:p w14:paraId="04DAB429"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195"/>
      </w:r>
      <w:r w:rsidRPr="00EC5E1C">
        <w:t>, un jo īpaši tās 70. pantu,</w:t>
      </w:r>
    </w:p>
    <w:p w14:paraId="553E3819"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196"/>
      </w:r>
      <w:r w:rsidRPr="00EC5E1C">
        <w:t>, un jo īpaši tās 70. pantu,</w:t>
      </w:r>
    </w:p>
    <w:p w14:paraId="4EFB018E" w14:textId="77777777" w:rsidR="00EA2C2C" w:rsidRPr="00EC5E1C" w:rsidRDefault="00EA2C2C" w:rsidP="00EA2C2C">
      <w:pPr>
        <w:pStyle w:val="NormalHanging12a"/>
      </w:pPr>
      <w:r w:rsidRPr="00EC5E1C">
        <w:t>–</w:t>
      </w:r>
      <w:r w:rsidRPr="00EC5E1C">
        <w:tab/>
        <w:t>ņemot vērā Eiropas Parlamenta un Padomes 2004. gada 31. marta Regulu (EK) Nr. 726/2004, ar ko nosaka cilvēkiem paredzēto zāļu reģistrēšanas un uzraudzības Savienības procedūras un izveido Eiropas Zāļu aģentūru</w:t>
      </w:r>
      <w:r w:rsidRPr="00EC5E1C">
        <w:rPr>
          <w:rStyle w:val="FootnoteReference"/>
        </w:rPr>
        <w:footnoteReference w:id="197"/>
      </w:r>
      <w:r w:rsidRPr="00EC5E1C">
        <w:t>, un jo īpaši tās 68. pantu,</w:t>
      </w:r>
    </w:p>
    <w:p w14:paraId="0E7782B3"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198"/>
      </w:r>
      <w:r w:rsidRPr="00EC5E1C">
        <w:t>, un jo īpaši tās 105. pantu,</w:t>
      </w:r>
    </w:p>
    <w:p w14:paraId="19DDC5E7" w14:textId="77777777" w:rsidR="00EA2C2C" w:rsidRPr="00EC5E1C" w:rsidRDefault="00EA2C2C" w:rsidP="00EA2C2C">
      <w:pPr>
        <w:pStyle w:val="NormalHanging12a"/>
      </w:pPr>
      <w:r w:rsidRPr="00EC5E1C">
        <w:t>–</w:t>
      </w:r>
      <w:r w:rsidRPr="00EC5E1C">
        <w:tab/>
        <w:t>ņemot vērā Reglamenta 102. pantu un V pielikumu,</w:t>
      </w:r>
    </w:p>
    <w:p w14:paraId="6BFDDD39"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051CB74A" w14:textId="77777777" w:rsidR="00EA2C2C" w:rsidRPr="00EC5E1C" w:rsidRDefault="00EA2C2C" w:rsidP="00EA2C2C">
      <w:pPr>
        <w:pStyle w:val="NormalHanging12a"/>
      </w:pPr>
      <w:r w:rsidRPr="00EC5E1C">
        <w:t>–</w:t>
      </w:r>
      <w:r w:rsidRPr="00EC5E1C">
        <w:tab/>
        <w:t>ņemot vērā Budžeta kontroles komitejas ziņojumu (A10-0087/2026),</w:t>
      </w:r>
    </w:p>
    <w:p w14:paraId="39B054CB" w14:textId="77777777" w:rsidR="00EA2C2C" w:rsidRPr="00EC5E1C" w:rsidRDefault="00EA2C2C" w:rsidP="00EA2C2C">
      <w:pPr>
        <w:pStyle w:val="NormalHanging12a"/>
      </w:pPr>
      <w:r w:rsidRPr="00EC5E1C">
        <w:t>1.</w:t>
      </w:r>
      <w:r w:rsidRPr="00EC5E1C">
        <w:tab/>
        <w:t>sniedz Eiropas Zāļu aģentūras izpilddirektorei apstiprinājumu par Aģentūras 2024. finanšu gada budžeta izpildi;</w:t>
      </w:r>
    </w:p>
    <w:p w14:paraId="3CB1D174" w14:textId="77777777" w:rsidR="00EA2C2C" w:rsidRPr="00EC5E1C" w:rsidRDefault="00EA2C2C" w:rsidP="00EA2C2C">
      <w:pPr>
        <w:pStyle w:val="NormalHanging12a"/>
      </w:pPr>
      <w:r w:rsidRPr="00EC5E1C">
        <w:t>2.</w:t>
      </w:r>
      <w:r w:rsidRPr="00EC5E1C">
        <w:tab/>
        <w:t>izklāsta savus konstatējumus turpmāk tekstā iekļautajā rezolūcijā;</w:t>
      </w:r>
    </w:p>
    <w:p w14:paraId="0CBD2397"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Zāļu aģentūras izpilddirektorei, Padomei, Komisijai un Revīzijas palātai un nodrošināt to publicēšanu </w:t>
      </w:r>
      <w:r w:rsidRPr="00EC5E1C">
        <w:rPr>
          <w:i/>
          <w:iCs/>
        </w:rPr>
        <w:t>Eiropas Savienības Oficiālajā Vēstnesī</w:t>
      </w:r>
      <w:r w:rsidRPr="00EC5E1C">
        <w:t xml:space="preserve"> (L sērijā).</w:t>
      </w:r>
    </w:p>
    <w:p w14:paraId="4F0B002B" w14:textId="77777777" w:rsidR="00EA2C2C" w:rsidRPr="00EC5E1C" w:rsidRDefault="00EA2C2C" w:rsidP="00EA2C2C"/>
    <w:p w14:paraId="741240D1" w14:textId="77777777" w:rsidR="00EA2C2C" w:rsidRPr="00EC5E1C" w:rsidRDefault="00EA2C2C" w:rsidP="00EA2C2C">
      <w:pPr>
        <w:pStyle w:val="PageHeadingDec"/>
        <w:sectPr w:rsidR="00EA2C2C" w:rsidRPr="00EC5E1C" w:rsidSect="00D106D3">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E774C8" w14:textId="77777777" w:rsidR="00B44DA1" w:rsidRPr="00EC5E1C" w:rsidRDefault="00B44DA1" w:rsidP="00B44DA1">
      <w:pPr>
        <w:pStyle w:val="ATHeading3"/>
      </w:pPr>
      <w:r w:rsidRPr="00EC5E1C">
        <w:lastRenderedPageBreak/>
        <w:t>34. Eiropas Parlamenta 2026. gada 29. aprīļa lēmums par Eiropas Zāļu aģentūras 2024. finanšu gada pārskatu apstiprināšanu (2025/2156(DEC))</w:t>
      </w:r>
    </w:p>
    <w:p w14:paraId="4C2BCD82" w14:textId="77777777" w:rsidR="00EA2C2C" w:rsidRPr="00EC5E1C" w:rsidRDefault="00EA2C2C" w:rsidP="00EA2C2C">
      <w:pPr>
        <w:pStyle w:val="EPComma"/>
      </w:pPr>
      <w:r w:rsidRPr="00EC5E1C">
        <w:rPr>
          <w:i/>
          <w:iCs/>
        </w:rPr>
        <w:t>Eiropas Parlaments</w:t>
      </w:r>
      <w:r w:rsidRPr="00EC5E1C">
        <w:t>,</w:t>
      </w:r>
    </w:p>
    <w:p w14:paraId="4777C66C" w14:textId="77777777" w:rsidR="00EA2C2C" w:rsidRPr="00EC5E1C" w:rsidRDefault="00EA2C2C" w:rsidP="00EA2C2C">
      <w:pPr>
        <w:pStyle w:val="NormalHanging12a"/>
      </w:pPr>
      <w:r w:rsidRPr="00EC5E1C">
        <w:t>–</w:t>
      </w:r>
      <w:r w:rsidRPr="00EC5E1C">
        <w:tab/>
        <w:t>ņemot vērā Eiropas Zāļu aģentūras 2024. finanšu gada galīgos pārskatus,</w:t>
      </w:r>
    </w:p>
    <w:p w14:paraId="5904010A"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199"/>
      </w:r>
      <w:r w:rsidRPr="00EC5E1C">
        <w:t>,</w:t>
      </w:r>
    </w:p>
    <w:p w14:paraId="09A8B461"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00"/>
      </w:r>
      <w:r w:rsidRPr="00EC5E1C">
        <w:t xml:space="preserve"> par pārskatu ticamību, kā arī par pakārtoto darījumu likumību un pareizību, kuru Revīzijas palāta sniegusi par 2024. finanšu gadu saskaņā ar Līguma par Eiropas Savienības darbību 287. pantu,</w:t>
      </w:r>
    </w:p>
    <w:p w14:paraId="281C9540"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6B9691F0" w14:textId="77777777" w:rsidR="00EA2C2C" w:rsidRPr="00EC5E1C" w:rsidRDefault="00EA2C2C" w:rsidP="00EA2C2C">
      <w:pPr>
        <w:pStyle w:val="NormalHanging12a"/>
      </w:pPr>
      <w:r w:rsidRPr="00EC5E1C">
        <w:t>–</w:t>
      </w:r>
      <w:r w:rsidRPr="00EC5E1C">
        <w:tab/>
        <w:t>ņemot vērā Līguma par Eiropas Savienības darbību 319. pantu,</w:t>
      </w:r>
    </w:p>
    <w:p w14:paraId="0A698E4A"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01"/>
      </w:r>
      <w:r w:rsidRPr="00EC5E1C">
        <w:t>, un jo īpaši tās 70. pantu,</w:t>
      </w:r>
    </w:p>
    <w:p w14:paraId="0E846828"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02"/>
      </w:r>
      <w:r w:rsidRPr="00EC5E1C">
        <w:t>, un jo īpaši tās 70. pantu,</w:t>
      </w:r>
    </w:p>
    <w:p w14:paraId="089C6DA6" w14:textId="77777777" w:rsidR="00EA2C2C" w:rsidRPr="00EC5E1C" w:rsidRDefault="00EA2C2C" w:rsidP="00EA2C2C">
      <w:pPr>
        <w:pStyle w:val="NormalHanging12a"/>
      </w:pPr>
      <w:r w:rsidRPr="00EC5E1C">
        <w:t>–</w:t>
      </w:r>
      <w:r w:rsidRPr="00EC5E1C">
        <w:tab/>
        <w:t>ņemot vērā Eiropas Parlamenta un Padomes 2004. gada 31. marta Regulu (EK) Nr. 726/2004, ar ko nosaka cilvēkiem paredzēto zāļu reģistrēšanas un uzraudzības Savienības procedūras un izveido Eiropas Zāļu aģentūru</w:t>
      </w:r>
      <w:r w:rsidRPr="00EC5E1C">
        <w:rPr>
          <w:rStyle w:val="FootnoteReference"/>
        </w:rPr>
        <w:footnoteReference w:id="203"/>
      </w:r>
      <w:r w:rsidRPr="00EC5E1C">
        <w:t>, un jo īpaši tās 68. pantu,</w:t>
      </w:r>
    </w:p>
    <w:p w14:paraId="742725BC"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04"/>
      </w:r>
      <w:r w:rsidRPr="00EC5E1C">
        <w:t>, un jo īpaši tās 105. pantu,</w:t>
      </w:r>
    </w:p>
    <w:p w14:paraId="1CDF927D" w14:textId="77777777" w:rsidR="00EA2C2C" w:rsidRPr="00EC5E1C" w:rsidRDefault="00EA2C2C" w:rsidP="00EA2C2C">
      <w:pPr>
        <w:pStyle w:val="NormalHanging12a"/>
      </w:pPr>
      <w:r w:rsidRPr="00EC5E1C">
        <w:t>–</w:t>
      </w:r>
      <w:r w:rsidRPr="00EC5E1C">
        <w:tab/>
        <w:t>ņemot vērā Reglamenta 102. pantu un V pielikumu,</w:t>
      </w:r>
    </w:p>
    <w:p w14:paraId="48037C2F"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48BFE872" w14:textId="77777777" w:rsidR="00EA2C2C" w:rsidRPr="00EC5E1C" w:rsidRDefault="00EA2C2C" w:rsidP="00EA2C2C">
      <w:pPr>
        <w:pStyle w:val="NormalHanging12a"/>
      </w:pPr>
      <w:r w:rsidRPr="00EC5E1C">
        <w:t>–</w:t>
      </w:r>
      <w:r w:rsidRPr="00EC5E1C">
        <w:tab/>
        <w:t>ņemot vērā Budžeta kontroles komitejas ziņojumu (A10-0087/2026),</w:t>
      </w:r>
    </w:p>
    <w:p w14:paraId="0545414C" w14:textId="77777777" w:rsidR="00EA2C2C" w:rsidRPr="00EC5E1C" w:rsidRDefault="00EA2C2C" w:rsidP="00EA2C2C">
      <w:pPr>
        <w:pStyle w:val="NormalHanging12a"/>
      </w:pPr>
      <w:r w:rsidRPr="00EC5E1C">
        <w:t>1.</w:t>
      </w:r>
      <w:r w:rsidRPr="00EC5E1C">
        <w:tab/>
        <w:t>apstiprina Eiropas Zāļu aģentūras 2024. finanšu gada pārskatus;</w:t>
      </w:r>
    </w:p>
    <w:p w14:paraId="4CE6B8F4" w14:textId="77777777" w:rsidR="00EA2C2C" w:rsidRPr="00EC5E1C" w:rsidRDefault="00EA2C2C" w:rsidP="00EA2C2C">
      <w:pPr>
        <w:pStyle w:val="NormalHanging12a"/>
      </w:pPr>
      <w:r w:rsidRPr="00EC5E1C">
        <w:t>2.</w:t>
      </w:r>
      <w:r w:rsidRPr="00EC5E1C">
        <w:tab/>
        <w:t xml:space="preserve">uzdod priekšsēdētājai šo lēmumu nosūtīt Eiropas Zāļu aģentūras izpilddirektorei, Padomei, Komisijai un Revīzijas palātai un nodrošināt tā publicēšanu </w:t>
      </w:r>
      <w:r w:rsidRPr="00EC5E1C">
        <w:rPr>
          <w:i/>
          <w:iCs/>
        </w:rPr>
        <w:t>Eiropas Savienības Oficiālajā Vēstnesī</w:t>
      </w:r>
      <w:r w:rsidRPr="00EC5E1C">
        <w:t xml:space="preserve"> (L sērijā).</w:t>
      </w:r>
    </w:p>
    <w:p w14:paraId="4A525942" w14:textId="77777777" w:rsidR="00EA2C2C" w:rsidRPr="00EC5E1C" w:rsidRDefault="00EA2C2C" w:rsidP="00EA2C2C"/>
    <w:p w14:paraId="5437130A" w14:textId="77777777" w:rsidR="00EA2C2C" w:rsidRPr="00EC5E1C" w:rsidRDefault="00EA2C2C" w:rsidP="00EA2C2C"/>
    <w:p w14:paraId="5FE24D35" w14:textId="7BB62F9E" w:rsidR="00EA2C2C" w:rsidRPr="00EC5E1C" w:rsidRDefault="00EA2C2C" w:rsidP="00EA2C2C">
      <w:pPr>
        <w:pStyle w:val="PageHeadingDec"/>
      </w:pPr>
    </w:p>
    <w:p w14:paraId="07B8DDA6" w14:textId="77777777" w:rsidR="00EA2C2C" w:rsidRPr="00EC5E1C" w:rsidRDefault="00EA2C2C" w:rsidP="00EA2C2C">
      <w:pPr>
        <w:pStyle w:val="PageHeadingDec"/>
        <w:sectPr w:rsidR="00EA2C2C" w:rsidRPr="00EC5E1C" w:rsidSect="00D106D3">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B801492" w14:textId="77777777" w:rsidR="00B44DA1" w:rsidRPr="00EC5E1C" w:rsidRDefault="00B44DA1" w:rsidP="00B44DA1">
      <w:pPr>
        <w:pStyle w:val="ATHeading3"/>
      </w:pPr>
      <w:r w:rsidRPr="00EC5E1C">
        <w:lastRenderedPageBreak/>
        <w:t>35. Eiropas Parlamenta 2026. gada 29. aprīļa lēmums par Eiropas Savienības Narkotiku aģentūras (pirms 2.7.2024. – Eiropas Narkotiku un narkomānijas uzraudzības centrs) 2024. finanšu gada budžeta izpildes apstiprināšanu (2025/2156(DEC))</w:t>
      </w:r>
    </w:p>
    <w:p w14:paraId="6850EF31" w14:textId="77777777" w:rsidR="00EA2C2C" w:rsidRPr="00EC5E1C" w:rsidRDefault="00EA2C2C" w:rsidP="00EA2C2C">
      <w:pPr>
        <w:pStyle w:val="EPComma"/>
      </w:pPr>
      <w:r w:rsidRPr="00EC5E1C">
        <w:rPr>
          <w:i/>
          <w:iCs/>
        </w:rPr>
        <w:t>Eiropas Parlaments</w:t>
      </w:r>
      <w:r w:rsidRPr="00EC5E1C">
        <w:t>,</w:t>
      </w:r>
    </w:p>
    <w:p w14:paraId="03F51E45" w14:textId="77777777" w:rsidR="00EA2C2C" w:rsidRPr="00EC5E1C" w:rsidRDefault="00EA2C2C" w:rsidP="00EA2C2C">
      <w:pPr>
        <w:pStyle w:val="NormalHanging12a"/>
      </w:pPr>
      <w:r w:rsidRPr="00EC5E1C">
        <w:t>–</w:t>
      </w:r>
      <w:r w:rsidRPr="00EC5E1C">
        <w:tab/>
        <w:t>ņemot vērā Eiropas Savienības Narkotiku aģentūras 2024. finanšu gada galīgos pārskatus,</w:t>
      </w:r>
    </w:p>
    <w:p w14:paraId="6D96ED05"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05"/>
      </w:r>
      <w:r w:rsidRPr="00EC5E1C">
        <w:t>,</w:t>
      </w:r>
    </w:p>
    <w:p w14:paraId="520FBC3F"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06"/>
      </w:r>
      <w:r w:rsidRPr="00EC5E1C">
        <w:t xml:space="preserve"> par pārskatu ticamību, kā arī par pakārtoto darījumu likumību un pareizību, kuru Revīzijas palāta sniegusi par 2024. finanšu gadu saskaņā ar Līguma par Eiropas Savienības darbību 287. pantu,</w:t>
      </w:r>
    </w:p>
    <w:p w14:paraId="40B59839"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119DACA9" w14:textId="77777777" w:rsidR="00EA2C2C" w:rsidRPr="00EC5E1C" w:rsidRDefault="00EA2C2C" w:rsidP="00EA2C2C">
      <w:pPr>
        <w:pStyle w:val="NormalHanging12a"/>
      </w:pPr>
      <w:r w:rsidRPr="00EC5E1C">
        <w:t>–</w:t>
      </w:r>
      <w:r w:rsidRPr="00EC5E1C">
        <w:tab/>
        <w:t>ņemot vērā Līguma par Eiropas Savienības darbību 319. pantu,</w:t>
      </w:r>
    </w:p>
    <w:p w14:paraId="68F57CB9"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07"/>
      </w:r>
      <w:r w:rsidRPr="00EC5E1C">
        <w:t>, un jo īpaši tās 70. pantu,</w:t>
      </w:r>
    </w:p>
    <w:p w14:paraId="2CBEC14A"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08"/>
      </w:r>
      <w:r w:rsidRPr="00EC5E1C">
        <w:t>, un jo īpaši tās 70. pantu,</w:t>
      </w:r>
    </w:p>
    <w:p w14:paraId="2D0A05EE" w14:textId="77777777" w:rsidR="00EA2C2C" w:rsidRPr="00EC5E1C" w:rsidRDefault="00EA2C2C" w:rsidP="00EA2C2C">
      <w:pPr>
        <w:pStyle w:val="NormalHanging12a"/>
      </w:pPr>
      <w:r w:rsidRPr="00EC5E1C">
        <w:t>–</w:t>
      </w:r>
      <w:r w:rsidRPr="00EC5E1C">
        <w:tab/>
        <w:t>ņemot vērā Eiropas Parlamenta un Padomes 2006. gada 12. decembra Regulu (EK) Nr. 1920/2006 par Eiropas Narkotiku un narkomānijas uzraudzības centru</w:t>
      </w:r>
      <w:r w:rsidRPr="00EC5E1C">
        <w:rPr>
          <w:rStyle w:val="FootnoteReference"/>
        </w:rPr>
        <w:footnoteReference w:id="209"/>
      </w:r>
      <w:r w:rsidRPr="00EC5E1C">
        <w:t xml:space="preserve"> un jo īpaši tās 15. pantu,</w:t>
      </w:r>
    </w:p>
    <w:p w14:paraId="74925153" w14:textId="102AF04C" w:rsidR="00EA2C2C" w:rsidRPr="00EC5E1C" w:rsidRDefault="00EA2C2C" w:rsidP="00EA2C2C">
      <w:pPr>
        <w:pStyle w:val="NormalHanging12a"/>
      </w:pPr>
      <w:r w:rsidRPr="00EC5E1C">
        <w:t>–</w:t>
      </w:r>
      <w:r w:rsidRPr="00EC5E1C">
        <w:tab/>
        <w:t>ņemot vērā Eiropas Parlamenta un Padomes 2023. gada 27. jūnija Regulu (ES) 202</w:t>
      </w:r>
      <w:r w:rsidR="006D2360">
        <w:t>3</w:t>
      </w:r>
      <w:r w:rsidRPr="00EC5E1C">
        <w:t>/1322 par Eiropas Savienības Narkotiku aģentūru (</w:t>
      </w:r>
      <w:r w:rsidRPr="00EC5E1C">
        <w:rPr>
          <w:i/>
          <w:iCs/>
        </w:rPr>
        <w:t>EUDA</w:t>
      </w:r>
      <w:r w:rsidRPr="00EC5E1C">
        <w:t>) un ar ko atceļ Regulu (EK) Nr. 1920/2006</w:t>
      </w:r>
      <w:r w:rsidRPr="00EC5E1C">
        <w:rPr>
          <w:rStyle w:val="FootnoteReference"/>
        </w:rPr>
        <w:footnoteReference w:id="210"/>
      </w:r>
      <w:r w:rsidRPr="00EC5E1C">
        <w:t>, un jo īpaši tās 41. pantu,</w:t>
      </w:r>
    </w:p>
    <w:p w14:paraId="2C46E380"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11"/>
      </w:r>
      <w:r w:rsidRPr="00EC5E1C">
        <w:t xml:space="preserve">, </w:t>
      </w:r>
      <w:r w:rsidRPr="00EC5E1C">
        <w:lastRenderedPageBreak/>
        <w:t>un jo īpaši tās 105. pantu,</w:t>
      </w:r>
    </w:p>
    <w:p w14:paraId="36927334" w14:textId="77777777" w:rsidR="00EA2C2C" w:rsidRPr="00EC5E1C" w:rsidRDefault="00EA2C2C" w:rsidP="00EA2C2C">
      <w:pPr>
        <w:pStyle w:val="NormalHanging12a"/>
      </w:pPr>
      <w:r w:rsidRPr="00EC5E1C">
        <w:t>–</w:t>
      </w:r>
      <w:r w:rsidRPr="00EC5E1C">
        <w:tab/>
        <w:t>ņemot vērā Reglamenta 102. pantu un V pielikumu,</w:t>
      </w:r>
    </w:p>
    <w:p w14:paraId="2B5A533B"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4337C0E5" w14:textId="77777777" w:rsidR="00EA2C2C" w:rsidRPr="00EC5E1C" w:rsidRDefault="00EA2C2C" w:rsidP="00EA2C2C">
      <w:pPr>
        <w:pStyle w:val="NormalHanging12a"/>
      </w:pPr>
      <w:r w:rsidRPr="00EC5E1C">
        <w:t>–</w:t>
      </w:r>
      <w:r w:rsidRPr="00EC5E1C">
        <w:tab/>
        <w:t>ņemot vērā Budžeta kontroles komitejas ziņojumu (A10-0087/2026),</w:t>
      </w:r>
    </w:p>
    <w:p w14:paraId="4CEFEF73" w14:textId="77777777" w:rsidR="00EA2C2C" w:rsidRPr="00EC5E1C" w:rsidRDefault="00EA2C2C" w:rsidP="00EA2C2C">
      <w:pPr>
        <w:pStyle w:val="NormalHanging12a"/>
      </w:pPr>
      <w:r w:rsidRPr="00EC5E1C">
        <w:t>1.</w:t>
      </w:r>
      <w:r w:rsidRPr="00EC5E1C">
        <w:tab/>
        <w:t>sniedz Eiropas Savienības Narkotiku aģentūras izpilddirektorei apstiprinājumu par Aģentūras 2024. finanšu gada budžeta izpildi;</w:t>
      </w:r>
    </w:p>
    <w:p w14:paraId="2BC1FBF3" w14:textId="77777777" w:rsidR="00EA2C2C" w:rsidRPr="00EC5E1C" w:rsidRDefault="00EA2C2C" w:rsidP="00EA2C2C">
      <w:pPr>
        <w:pStyle w:val="NormalHanging12a"/>
      </w:pPr>
      <w:r w:rsidRPr="00EC5E1C">
        <w:t>2.</w:t>
      </w:r>
      <w:r w:rsidRPr="00EC5E1C">
        <w:tab/>
        <w:t>izklāsta savus konstatējumus turpmāk tekstā iekļautajā rezolūcijā;</w:t>
      </w:r>
    </w:p>
    <w:p w14:paraId="4BEB65B4"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Narkotiku aģentūras izpilddirektorei, Padomei, Komisijai un Revīzijas palātai un nodrošināt to publicēšanu </w:t>
      </w:r>
      <w:r w:rsidRPr="00EC5E1C">
        <w:rPr>
          <w:i/>
          <w:iCs/>
        </w:rPr>
        <w:t>Eiropas Savienības Oficiālajā Vēstnesī</w:t>
      </w:r>
      <w:r w:rsidRPr="00EC5E1C">
        <w:t xml:space="preserve"> (L sērijā).</w:t>
      </w:r>
    </w:p>
    <w:p w14:paraId="20A98EB9" w14:textId="77777777" w:rsidR="00EA2C2C" w:rsidRPr="00EC5E1C" w:rsidRDefault="00EA2C2C" w:rsidP="00EA2C2C"/>
    <w:p w14:paraId="23D50B00" w14:textId="77777777" w:rsidR="00EA2C2C" w:rsidRPr="00EC5E1C" w:rsidRDefault="00EA2C2C" w:rsidP="00EA2C2C">
      <w:pPr>
        <w:pStyle w:val="PageHeadingDec"/>
        <w:sectPr w:rsidR="00EA2C2C" w:rsidRPr="00EC5E1C" w:rsidSect="00D106D3">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39194D" w14:textId="77777777" w:rsidR="00B44DA1" w:rsidRPr="00EC5E1C" w:rsidRDefault="00B44DA1" w:rsidP="00B44DA1">
      <w:pPr>
        <w:pStyle w:val="ATHeading3"/>
      </w:pPr>
      <w:r w:rsidRPr="00EC5E1C">
        <w:lastRenderedPageBreak/>
        <w:t>36. Eiropas Parlamenta 2026. gada 29. aprīļa lēmums par Eiropas Savienības Narkotiku aģentūras (pirms 2.7.2024. – Eiropas Narkotiku un narkomānijas uzraudzības centrs) 2024. finanšu gada budžeta izpildes apstiprināšanu (2025/2156(DEC))</w:t>
      </w:r>
    </w:p>
    <w:p w14:paraId="0A6D4A9B" w14:textId="77777777" w:rsidR="00EA2C2C" w:rsidRPr="00EC5E1C" w:rsidRDefault="00EA2C2C" w:rsidP="00EA2C2C">
      <w:pPr>
        <w:pStyle w:val="EPComma"/>
      </w:pPr>
      <w:r w:rsidRPr="00EC5E1C">
        <w:rPr>
          <w:i/>
          <w:iCs/>
        </w:rPr>
        <w:t>Eiropas Parlaments</w:t>
      </w:r>
      <w:r w:rsidRPr="00EC5E1C">
        <w:t>,</w:t>
      </w:r>
    </w:p>
    <w:p w14:paraId="1DD3D781" w14:textId="77777777" w:rsidR="00EA2C2C" w:rsidRPr="00EC5E1C" w:rsidRDefault="00EA2C2C" w:rsidP="00EA2C2C">
      <w:pPr>
        <w:pStyle w:val="NormalHanging12a"/>
      </w:pPr>
      <w:r w:rsidRPr="00EC5E1C">
        <w:t>–</w:t>
      </w:r>
      <w:r w:rsidRPr="00EC5E1C">
        <w:tab/>
        <w:t>ņemot vērā Eiropas Savienības Narkotiku aģentūras 2024. finanšu gada galīgos pārskatus,</w:t>
      </w:r>
    </w:p>
    <w:p w14:paraId="62FF365E"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12"/>
      </w:r>
      <w:r w:rsidRPr="00EC5E1C">
        <w:t>,</w:t>
      </w:r>
    </w:p>
    <w:p w14:paraId="73D5B16D"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13"/>
      </w:r>
      <w:r w:rsidRPr="00EC5E1C">
        <w:t xml:space="preserve"> par pārskatu ticamību, kā arī par pakārtoto darījumu likumību un pareizību, kuru Revīzijas palāta sniegusi par 2024. finanšu gadu saskaņā ar Līguma par Eiropas Savienības darbību 287. pantu,</w:t>
      </w:r>
    </w:p>
    <w:p w14:paraId="68049769"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133177E1" w14:textId="77777777" w:rsidR="00EA2C2C" w:rsidRPr="00EC5E1C" w:rsidRDefault="00EA2C2C" w:rsidP="00EA2C2C">
      <w:pPr>
        <w:pStyle w:val="NormalHanging12a"/>
      </w:pPr>
      <w:r w:rsidRPr="00EC5E1C">
        <w:t>–</w:t>
      </w:r>
      <w:r w:rsidRPr="00EC5E1C">
        <w:tab/>
        <w:t>ņemot vērā Līguma par Eiropas Savienības darbību 319. pantu,</w:t>
      </w:r>
    </w:p>
    <w:p w14:paraId="6BD0B952"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14"/>
      </w:r>
      <w:r w:rsidRPr="00EC5E1C">
        <w:t>, un jo īpaši tās 70. pantu,</w:t>
      </w:r>
    </w:p>
    <w:p w14:paraId="41625CAD"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15"/>
      </w:r>
      <w:r w:rsidRPr="00EC5E1C">
        <w:t>, un jo īpaši tās 70. pantu,</w:t>
      </w:r>
    </w:p>
    <w:p w14:paraId="758A2340" w14:textId="77777777" w:rsidR="00EA2C2C" w:rsidRPr="00EC5E1C" w:rsidRDefault="00EA2C2C" w:rsidP="00EA2C2C">
      <w:pPr>
        <w:pStyle w:val="NormalHanging12a"/>
      </w:pPr>
      <w:r w:rsidRPr="00EC5E1C">
        <w:t>–</w:t>
      </w:r>
      <w:r w:rsidRPr="00EC5E1C">
        <w:tab/>
        <w:t>ņemot vērā Eiropas Parlamenta un Padomes 2006. gada 12. decembra Regulu (EK) Nr. 1920/2006 par Eiropas Narkotiku un narkomānijas uzraudzības centru</w:t>
      </w:r>
      <w:r w:rsidRPr="00EC5E1C">
        <w:rPr>
          <w:rStyle w:val="FootnoteReference"/>
        </w:rPr>
        <w:footnoteReference w:id="216"/>
      </w:r>
      <w:r w:rsidRPr="00EC5E1C">
        <w:t xml:space="preserve"> un jo īpaši tās 15. pantu,</w:t>
      </w:r>
    </w:p>
    <w:p w14:paraId="4F773640" w14:textId="7EAA5FEC" w:rsidR="00EA2C2C" w:rsidRPr="00EC5E1C" w:rsidRDefault="00EA2C2C" w:rsidP="00EA2C2C">
      <w:pPr>
        <w:pStyle w:val="NormalHanging12a"/>
      </w:pPr>
      <w:r w:rsidRPr="00EC5E1C">
        <w:t>–</w:t>
      </w:r>
      <w:r w:rsidRPr="00EC5E1C">
        <w:tab/>
        <w:t>ņemot vērā Eiropas Parlamenta un Padomes 2023. gada 27. jūnija Regulu (ES) 202</w:t>
      </w:r>
      <w:r w:rsidR="006D2360">
        <w:t>3</w:t>
      </w:r>
      <w:r w:rsidRPr="00EC5E1C">
        <w:t>/1322 par Eiropas Savienības Narkotiku aģentūru (</w:t>
      </w:r>
      <w:r w:rsidRPr="00EC5E1C">
        <w:rPr>
          <w:i/>
          <w:iCs/>
        </w:rPr>
        <w:t>EUDA</w:t>
      </w:r>
      <w:r w:rsidRPr="00EC5E1C">
        <w:t>) un ar ko atceļ Regulu (EK) Nr. 1920/2006</w:t>
      </w:r>
      <w:r w:rsidRPr="00EC5E1C">
        <w:rPr>
          <w:rStyle w:val="FootnoteReference"/>
        </w:rPr>
        <w:footnoteReference w:id="217"/>
      </w:r>
      <w:r w:rsidRPr="00EC5E1C">
        <w:t>, un jo īpaši tās 41. pantu,</w:t>
      </w:r>
    </w:p>
    <w:p w14:paraId="2B691396"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18"/>
      </w:r>
      <w:r w:rsidRPr="00EC5E1C">
        <w:t xml:space="preserve">, </w:t>
      </w:r>
      <w:r w:rsidRPr="00EC5E1C">
        <w:lastRenderedPageBreak/>
        <w:t>un jo īpaši tās 105. pantu,</w:t>
      </w:r>
    </w:p>
    <w:p w14:paraId="79212F44" w14:textId="77777777" w:rsidR="00EA2C2C" w:rsidRPr="00EC5E1C" w:rsidRDefault="00EA2C2C" w:rsidP="00EA2C2C">
      <w:pPr>
        <w:pStyle w:val="NormalHanging12a"/>
      </w:pPr>
      <w:r w:rsidRPr="00EC5E1C">
        <w:t>–</w:t>
      </w:r>
      <w:r w:rsidRPr="00EC5E1C">
        <w:tab/>
        <w:t>ņemot vērā Reglamenta 102. pantu un V pielikumu,</w:t>
      </w:r>
    </w:p>
    <w:p w14:paraId="091F3260"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0CDC4B4B" w14:textId="77777777" w:rsidR="00EA2C2C" w:rsidRPr="00EC5E1C" w:rsidRDefault="00EA2C2C" w:rsidP="00EA2C2C">
      <w:pPr>
        <w:pStyle w:val="NormalHanging12a"/>
      </w:pPr>
      <w:r w:rsidRPr="00EC5E1C">
        <w:t>–</w:t>
      </w:r>
      <w:r w:rsidRPr="00EC5E1C">
        <w:tab/>
        <w:t>ņemot vērā Budžeta kontroles komitejas ziņojumu (A10-0087/2026),</w:t>
      </w:r>
    </w:p>
    <w:p w14:paraId="7A413B7B" w14:textId="77777777" w:rsidR="00EA2C2C" w:rsidRPr="00EC5E1C" w:rsidRDefault="00EA2C2C" w:rsidP="00EA2C2C">
      <w:pPr>
        <w:pStyle w:val="NormalHanging12a"/>
      </w:pPr>
      <w:r w:rsidRPr="00EC5E1C">
        <w:t>1.</w:t>
      </w:r>
      <w:r w:rsidRPr="00EC5E1C">
        <w:tab/>
        <w:t>apstiprina Eiropas Savienības Narkotiku aģentūras 2024. finanšu gada pārskatus;</w:t>
      </w:r>
    </w:p>
    <w:p w14:paraId="3393E993" w14:textId="77777777" w:rsidR="00EA2C2C" w:rsidRPr="00EC5E1C" w:rsidRDefault="00EA2C2C" w:rsidP="00EA2C2C">
      <w:pPr>
        <w:pStyle w:val="NormalHanging12a"/>
      </w:pPr>
      <w:r w:rsidRPr="00EC5E1C">
        <w:t>2.</w:t>
      </w:r>
      <w:r w:rsidRPr="00EC5E1C">
        <w:tab/>
        <w:t xml:space="preserve">uzdod priekšsēdētājai šo lēmumu nosūtīt Eiropas Savienības Narkotiku aģentūras izpilddirektorei, Padomei, Komisijai un Revīzijas palātai un nodrošināt tā publicēšanu </w:t>
      </w:r>
      <w:r w:rsidRPr="00EC5E1C">
        <w:rPr>
          <w:i/>
          <w:iCs/>
        </w:rPr>
        <w:t>Eiropas Savienības Oficiālajā Vēstnesī</w:t>
      </w:r>
      <w:r w:rsidRPr="00EC5E1C">
        <w:t xml:space="preserve"> (L sērijā).</w:t>
      </w:r>
    </w:p>
    <w:p w14:paraId="4C748B09" w14:textId="77777777" w:rsidR="00EA2C2C" w:rsidRPr="00EC5E1C" w:rsidRDefault="00EA2C2C" w:rsidP="00EA2C2C"/>
    <w:p w14:paraId="2E06C1EB" w14:textId="77777777" w:rsidR="00EA2C2C" w:rsidRPr="00EC5E1C" w:rsidRDefault="00EA2C2C" w:rsidP="00EA2C2C"/>
    <w:p w14:paraId="544A328E" w14:textId="13038A3A" w:rsidR="00EA2C2C" w:rsidRPr="00EC5E1C" w:rsidRDefault="00EA2C2C" w:rsidP="00EA2C2C">
      <w:pPr>
        <w:pStyle w:val="PageHeadingDec"/>
      </w:pPr>
    </w:p>
    <w:p w14:paraId="3D8257CA" w14:textId="77777777" w:rsidR="00EA2C2C" w:rsidRPr="00EC5E1C" w:rsidRDefault="00EA2C2C" w:rsidP="00EA2C2C">
      <w:pPr>
        <w:pStyle w:val="PageHeadingDec"/>
        <w:sectPr w:rsidR="00EA2C2C" w:rsidRPr="00EC5E1C" w:rsidSect="00D106D3">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4EA8E4" w14:textId="77777777" w:rsidR="00B44DA1" w:rsidRPr="00EC5E1C" w:rsidRDefault="00B44DA1" w:rsidP="00B44DA1">
      <w:pPr>
        <w:pStyle w:val="ATHeading3"/>
      </w:pPr>
      <w:r w:rsidRPr="00EC5E1C">
        <w:lastRenderedPageBreak/>
        <w:t>37. Eiropas Parlamenta 2026. gada 29. aprīļa lēmums par Eiropas Jūras drošības aģentūras 2024. finanšu gada budžeta izpildes apstiprināšanu (2025/2156(DEC))</w:t>
      </w:r>
    </w:p>
    <w:p w14:paraId="65D78D92" w14:textId="77777777" w:rsidR="00EA2C2C" w:rsidRPr="00EC5E1C" w:rsidRDefault="00EA2C2C" w:rsidP="00EA2C2C">
      <w:pPr>
        <w:pStyle w:val="EPComma"/>
      </w:pPr>
      <w:r w:rsidRPr="00EC5E1C">
        <w:rPr>
          <w:i/>
          <w:iCs/>
        </w:rPr>
        <w:t>Eiropas Parlaments</w:t>
      </w:r>
      <w:r w:rsidRPr="00EC5E1C">
        <w:t>,</w:t>
      </w:r>
    </w:p>
    <w:p w14:paraId="195EF47B" w14:textId="77777777" w:rsidR="00EA2C2C" w:rsidRPr="00EC5E1C" w:rsidRDefault="00EA2C2C" w:rsidP="00EA2C2C">
      <w:pPr>
        <w:pStyle w:val="NormalHanging12a"/>
      </w:pPr>
      <w:r w:rsidRPr="00EC5E1C">
        <w:t>–</w:t>
      </w:r>
      <w:r w:rsidRPr="00EC5E1C">
        <w:tab/>
        <w:t>ņemot vērā Eiropas Jūras drošības aģentūras 2024. finanšu gada galīgos pārskatus,</w:t>
      </w:r>
    </w:p>
    <w:p w14:paraId="6AD5CF60"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19"/>
      </w:r>
      <w:r w:rsidRPr="00EC5E1C">
        <w:t>,</w:t>
      </w:r>
    </w:p>
    <w:p w14:paraId="278174A9"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20"/>
      </w:r>
      <w:r w:rsidRPr="00EC5E1C">
        <w:t xml:space="preserve"> par pārskatu ticamību, kā arī par pakārtoto darījumu likumību un pareizību, kuru Revīzijas palāta sniegusi par 2024. finanšu gadu saskaņā ar Līguma par Eiropas Savienības darbību 287. pantu,</w:t>
      </w:r>
    </w:p>
    <w:p w14:paraId="2C6548B1"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44A28B36" w14:textId="77777777" w:rsidR="00EA2C2C" w:rsidRPr="00EC5E1C" w:rsidRDefault="00EA2C2C" w:rsidP="00EA2C2C">
      <w:pPr>
        <w:pStyle w:val="NormalHanging12a"/>
      </w:pPr>
      <w:r w:rsidRPr="00EC5E1C">
        <w:t>–</w:t>
      </w:r>
      <w:r w:rsidRPr="00EC5E1C">
        <w:tab/>
        <w:t>ņemot vērā Līguma par Eiropas Savienības darbību 319. pantu,</w:t>
      </w:r>
    </w:p>
    <w:p w14:paraId="2AC37973"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21"/>
      </w:r>
      <w:r w:rsidRPr="00EC5E1C">
        <w:t>, un jo īpaši tās 70. pantu,</w:t>
      </w:r>
    </w:p>
    <w:p w14:paraId="2816FAA9"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22"/>
      </w:r>
      <w:r w:rsidRPr="00EC5E1C">
        <w:t>, un jo īpaši tās 70. pantu,</w:t>
      </w:r>
    </w:p>
    <w:p w14:paraId="149ADC9F" w14:textId="77777777" w:rsidR="00EA2C2C" w:rsidRPr="00EC5E1C" w:rsidRDefault="00EA2C2C" w:rsidP="00EA2C2C">
      <w:pPr>
        <w:pStyle w:val="NormalHanging12a"/>
      </w:pPr>
      <w:r w:rsidRPr="00EC5E1C">
        <w:t>–</w:t>
      </w:r>
      <w:r w:rsidRPr="00EC5E1C">
        <w:tab/>
        <w:t>ņemot vērā Eiropas Parlamenta un Padomes 2002. gada 27. jūnija Regulu (EK) Nr. 1406/2002 par Eiropas Jūras drošības aģentūras izveidošanu</w:t>
      </w:r>
      <w:r w:rsidRPr="00EC5E1C">
        <w:rPr>
          <w:rStyle w:val="FootnoteReference"/>
        </w:rPr>
        <w:footnoteReference w:id="223"/>
      </w:r>
      <w:r w:rsidRPr="00EC5E1C">
        <w:t xml:space="preserve"> un jo īpaši tās 19. pantu,</w:t>
      </w:r>
    </w:p>
    <w:p w14:paraId="140E6E38"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24"/>
      </w:r>
      <w:r w:rsidRPr="00EC5E1C">
        <w:t>, un jo īpaši tās 105. pantu,</w:t>
      </w:r>
    </w:p>
    <w:p w14:paraId="08A72580" w14:textId="77777777" w:rsidR="00EA2C2C" w:rsidRPr="00EC5E1C" w:rsidRDefault="00EA2C2C" w:rsidP="00EA2C2C">
      <w:pPr>
        <w:pStyle w:val="NormalHanging12a"/>
      </w:pPr>
      <w:r w:rsidRPr="00EC5E1C">
        <w:t>–</w:t>
      </w:r>
      <w:r w:rsidRPr="00EC5E1C">
        <w:tab/>
        <w:t>ņemot vērā Reglamenta 102. pantu un V pielikumu,</w:t>
      </w:r>
    </w:p>
    <w:p w14:paraId="0F565A19"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7ECB2634" w14:textId="77777777" w:rsidR="00EA2C2C" w:rsidRPr="00EC5E1C" w:rsidRDefault="00EA2C2C" w:rsidP="00EA2C2C">
      <w:pPr>
        <w:pStyle w:val="NormalHanging12a"/>
      </w:pPr>
      <w:r w:rsidRPr="00EC5E1C">
        <w:t>–</w:t>
      </w:r>
      <w:r w:rsidRPr="00EC5E1C">
        <w:tab/>
        <w:t>ņemot vērā Budžeta kontroles komitejas ziņojumu (A10-0087/2026),</w:t>
      </w:r>
    </w:p>
    <w:p w14:paraId="528590C6" w14:textId="77777777" w:rsidR="00EA2C2C" w:rsidRPr="00EC5E1C" w:rsidRDefault="00EA2C2C" w:rsidP="00EA2C2C">
      <w:pPr>
        <w:pStyle w:val="NormalHanging12a"/>
      </w:pPr>
      <w:r w:rsidRPr="00EC5E1C">
        <w:t>1.</w:t>
      </w:r>
      <w:r w:rsidRPr="00EC5E1C">
        <w:tab/>
        <w:t>sniedz Eiropas Jūras drošības aģentūras izpilddirektorei apstiprinājumu par Aģentūras 2024. finanšu gada budžeta izpildi;</w:t>
      </w:r>
    </w:p>
    <w:p w14:paraId="690FEDBE" w14:textId="77777777" w:rsidR="00EA2C2C" w:rsidRPr="00EC5E1C" w:rsidRDefault="00EA2C2C" w:rsidP="00EA2C2C">
      <w:pPr>
        <w:pStyle w:val="NormalHanging12a"/>
      </w:pPr>
      <w:r w:rsidRPr="00EC5E1C">
        <w:t>2.</w:t>
      </w:r>
      <w:r w:rsidRPr="00EC5E1C">
        <w:tab/>
        <w:t>izklāsta savus konstatējumus turpmāk tekstā iekļautajā rezolūcijā;</w:t>
      </w:r>
    </w:p>
    <w:p w14:paraId="23208EDB"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Jūras drošības aģentūras izpilddirektorei, Padomei, Komisijai un Revīzijas palātai un nodrošināt to publicēšanu </w:t>
      </w:r>
      <w:r w:rsidRPr="00EC5E1C">
        <w:rPr>
          <w:i/>
          <w:iCs/>
        </w:rPr>
        <w:t>Eiropas Savienības Oficiālajā Vēstnesī</w:t>
      </w:r>
      <w:r w:rsidRPr="00EC5E1C">
        <w:t xml:space="preserve"> (L sērijā).</w:t>
      </w:r>
    </w:p>
    <w:p w14:paraId="33153290" w14:textId="77777777" w:rsidR="00EA2C2C" w:rsidRPr="00EC5E1C" w:rsidRDefault="00EA2C2C" w:rsidP="00EA2C2C"/>
    <w:p w14:paraId="4F419155" w14:textId="77777777" w:rsidR="00EA2C2C" w:rsidRPr="00EC5E1C" w:rsidRDefault="00EA2C2C" w:rsidP="00EA2C2C">
      <w:pPr>
        <w:pStyle w:val="PageHeadingDec"/>
        <w:sectPr w:rsidR="00EA2C2C" w:rsidRPr="00EC5E1C" w:rsidSect="00D106D3">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6E78D7" w14:textId="77777777" w:rsidR="00B44DA1" w:rsidRPr="00EC5E1C" w:rsidRDefault="00B44DA1" w:rsidP="00B44DA1">
      <w:pPr>
        <w:pStyle w:val="ATHeading3"/>
      </w:pPr>
      <w:r w:rsidRPr="00EC5E1C">
        <w:lastRenderedPageBreak/>
        <w:t>38. Eiropas Parlamenta 2026. gada 29. aprīļa lēmums par Eiropas Jūras drošības aģentūras 2024. finanšu gada pārskatu apstiprināšanu (2025/2156(DEC))</w:t>
      </w:r>
    </w:p>
    <w:p w14:paraId="1E4CA8F6" w14:textId="77777777" w:rsidR="00EA2C2C" w:rsidRPr="00EC5E1C" w:rsidRDefault="00EA2C2C" w:rsidP="00EA2C2C">
      <w:pPr>
        <w:pStyle w:val="EPComma"/>
      </w:pPr>
      <w:r w:rsidRPr="00EC5E1C">
        <w:rPr>
          <w:i/>
          <w:iCs/>
        </w:rPr>
        <w:t>Eiropas Parlaments</w:t>
      </w:r>
      <w:r w:rsidRPr="00EC5E1C">
        <w:t>,</w:t>
      </w:r>
    </w:p>
    <w:p w14:paraId="7DFAAC9F" w14:textId="77777777" w:rsidR="00EA2C2C" w:rsidRPr="00EC5E1C" w:rsidRDefault="00EA2C2C" w:rsidP="00EA2C2C">
      <w:pPr>
        <w:pStyle w:val="NormalHanging12a"/>
      </w:pPr>
      <w:r w:rsidRPr="00EC5E1C">
        <w:t>–</w:t>
      </w:r>
      <w:r w:rsidRPr="00EC5E1C">
        <w:tab/>
        <w:t>ņemot vērā Eiropas Jūras drošības aģentūras 2024. finanšu gada galīgos pārskatus,</w:t>
      </w:r>
    </w:p>
    <w:p w14:paraId="14BD4600"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25"/>
      </w:r>
      <w:r w:rsidRPr="00EC5E1C">
        <w:t>,</w:t>
      </w:r>
    </w:p>
    <w:p w14:paraId="3C3339C1"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26"/>
      </w:r>
      <w:r w:rsidRPr="00EC5E1C">
        <w:t xml:space="preserve"> par pārskatu ticamību, kā arī par pakārtoto darījumu likumību un pareizību, kuru Revīzijas palāta sniegusi par 2024. finanšu gadu saskaņā ar Līguma par Eiropas Savienības darbību 287. pantu,</w:t>
      </w:r>
    </w:p>
    <w:p w14:paraId="143B6D18"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46D4EC3D" w14:textId="77777777" w:rsidR="00EA2C2C" w:rsidRPr="00EC5E1C" w:rsidRDefault="00EA2C2C" w:rsidP="00EA2C2C">
      <w:pPr>
        <w:pStyle w:val="NormalHanging12a"/>
      </w:pPr>
      <w:r w:rsidRPr="00EC5E1C">
        <w:t>–</w:t>
      </w:r>
      <w:r w:rsidRPr="00EC5E1C">
        <w:tab/>
        <w:t>ņemot vērā Līguma par Eiropas Savienības darbību 319. pantu,</w:t>
      </w:r>
    </w:p>
    <w:p w14:paraId="7177B4AD"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27"/>
      </w:r>
      <w:r w:rsidRPr="00EC5E1C">
        <w:t>, un jo īpaši tās 70. pantu,</w:t>
      </w:r>
    </w:p>
    <w:p w14:paraId="185B4CDB"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28"/>
      </w:r>
      <w:r w:rsidRPr="00EC5E1C">
        <w:t>, un jo īpaši tās 70. pantu,</w:t>
      </w:r>
    </w:p>
    <w:p w14:paraId="01A038B7" w14:textId="77777777" w:rsidR="00EA2C2C" w:rsidRPr="00EC5E1C" w:rsidRDefault="00EA2C2C" w:rsidP="00EA2C2C">
      <w:pPr>
        <w:pStyle w:val="NormalHanging12a"/>
      </w:pPr>
      <w:r w:rsidRPr="00EC5E1C">
        <w:t>–</w:t>
      </w:r>
      <w:r w:rsidRPr="00EC5E1C">
        <w:tab/>
        <w:t>ņemot vērā Eiropas Parlamenta un Padomes 2002. gada 27. jūnija Regulu (EK) Nr. 1406/2002 par Eiropas Jūras drošības aģentūras izveidošanu</w:t>
      </w:r>
      <w:r w:rsidRPr="00EC5E1C">
        <w:rPr>
          <w:rStyle w:val="FootnoteReference"/>
        </w:rPr>
        <w:footnoteReference w:id="229"/>
      </w:r>
      <w:r w:rsidRPr="00EC5E1C">
        <w:t xml:space="preserve"> un jo īpaši tās 19. pantu,</w:t>
      </w:r>
    </w:p>
    <w:p w14:paraId="7AAC7F12"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30"/>
      </w:r>
      <w:r w:rsidRPr="00EC5E1C">
        <w:t>, un jo īpaši tās 105. pantu,</w:t>
      </w:r>
    </w:p>
    <w:p w14:paraId="4693D764" w14:textId="77777777" w:rsidR="00EA2C2C" w:rsidRPr="00EC5E1C" w:rsidRDefault="00EA2C2C" w:rsidP="00EA2C2C">
      <w:pPr>
        <w:pStyle w:val="NormalHanging12a"/>
      </w:pPr>
      <w:r w:rsidRPr="00EC5E1C">
        <w:t>–</w:t>
      </w:r>
      <w:r w:rsidRPr="00EC5E1C">
        <w:tab/>
        <w:t>ņemot vērā Reglamenta 102. pantu un V pielikumu,</w:t>
      </w:r>
    </w:p>
    <w:p w14:paraId="30BAF477"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0F414A9B" w14:textId="77777777" w:rsidR="00EA2C2C" w:rsidRPr="00EC5E1C" w:rsidRDefault="00EA2C2C" w:rsidP="00EA2C2C">
      <w:pPr>
        <w:pStyle w:val="NormalHanging12a"/>
      </w:pPr>
      <w:r w:rsidRPr="00EC5E1C">
        <w:t>–</w:t>
      </w:r>
      <w:r w:rsidRPr="00EC5E1C">
        <w:tab/>
        <w:t>ņemot vērā Budžeta kontroles komitejas ziņojumu (A10-0087/2026),</w:t>
      </w:r>
    </w:p>
    <w:p w14:paraId="56D7D9D3" w14:textId="77777777" w:rsidR="00EA2C2C" w:rsidRPr="00EC5E1C" w:rsidRDefault="00EA2C2C" w:rsidP="00EA2C2C">
      <w:pPr>
        <w:pStyle w:val="NormalHanging12a"/>
      </w:pPr>
      <w:r w:rsidRPr="00EC5E1C">
        <w:t>1.</w:t>
      </w:r>
      <w:r w:rsidRPr="00EC5E1C">
        <w:tab/>
        <w:t>apstiprina Eiropas Jūras drošības aģentūras 2024. finanšu gada pārskatus;</w:t>
      </w:r>
    </w:p>
    <w:p w14:paraId="31CC525D" w14:textId="77777777" w:rsidR="00EA2C2C" w:rsidRPr="00EC5E1C" w:rsidRDefault="00EA2C2C" w:rsidP="00EA2C2C">
      <w:pPr>
        <w:pStyle w:val="NormalHanging12a"/>
      </w:pPr>
      <w:r w:rsidRPr="00EC5E1C">
        <w:t>2.</w:t>
      </w:r>
      <w:r w:rsidRPr="00EC5E1C">
        <w:tab/>
        <w:t xml:space="preserve">uzdod priekšsēdētājai šo lēmumu nosūtīt Eiropas Jūras drošības aģentūras izpilddirektorei, Padomei, Komisijai un Revīzijas palātai un nodrošināt tā publicēšanu </w:t>
      </w:r>
      <w:r w:rsidRPr="00EC5E1C">
        <w:rPr>
          <w:i/>
          <w:iCs/>
        </w:rPr>
        <w:t>Eiropas Savienības Oficiālajā Vēstnesī</w:t>
      </w:r>
      <w:r w:rsidRPr="00EC5E1C">
        <w:t xml:space="preserve"> (L sērijā).</w:t>
      </w:r>
    </w:p>
    <w:p w14:paraId="0680840B" w14:textId="77777777" w:rsidR="00EA2C2C" w:rsidRPr="00EC5E1C" w:rsidRDefault="00EA2C2C" w:rsidP="00EA2C2C"/>
    <w:p w14:paraId="0B564DB3" w14:textId="77777777" w:rsidR="00EA2C2C" w:rsidRPr="00EC5E1C" w:rsidRDefault="00EA2C2C" w:rsidP="00EA2C2C"/>
    <w:p w14:paraId="08EF8C3F" w14:textId="21518447" w:rsidR="00EA2C2C" w:rsidRPr="00EC5E1C" w:rsidRDefault="00EA2C2C" w:rsidP="00EA2C2C">
      <w:pPr>
        <w:pStyle w:val="PageHeadingDec"/>
      </w:pPr>
    </w:p>
    <w:p w14:paraId="68E3F38C" w14:textId="77777777" w:rsidR="00EA2C2C" w:rsidRPr="00EC5E1C" w:rsidRDefault="00EA2C2C" w:rsidP="00EA2C2C">
      <w:pPr>
        <w:pStyle w:val="PageHeadingDec"/>
        <w:sectPr w:rsidR="00EA2C2C" w:rsidRPr="00EC5E1C" w:rsidSect="00D106D3">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C8D3CA" w14:textId="77777777" w:rsidR="00B44DA1" w:rsidRPr="00EC5E1C" w:rsidRDefault="00B44DA1" w:rsidP="00B44DA1">
      <w:pPr>
        <w:pStyle w:val="ATHeading3"/>
      </w:pPr>
      <w:r w:rsidRPr="00EC5E1C">
        <w:lastRenderedPageBreak/>
        <w:t xml:space="preserve">39. Eiropas Parlamenta 2026. gada 29. aprīļa lēmums par Eiropas Savienības </w:t>
      </w:r>
      <w:proofErr w:type="spellStart"/>
      <w:r w:rsidRPr="00EC5E1C">
        <w:t>Kiberdrošības</w:t>
      </w:r>
      <w:proofErr w:type="spellEnd"/>
      <w:r w:rsidRPr="00EC5E1C">
        <w:t xml:space="preserve"> aģentūras 2024. finanšu gada budžeta izpildes apstiprināšanu (2025/2156(DEC))</w:t>
      </w:r>
    </w:p>
    <w:p w14:paraId="034E299B" w14:textId="77777777" w:rsidR="00EA2C2C" w:rsidRPr="00EC5E1C" w:rsidRDefault="00EA2C2C" w:rsidP="00EA2C2C">
      <w:pPr>
        <w:pStyle w:val="EPComma"/>
      </w:pPr>
      <w:r w:rsidRPr="00EC5E1C">
        <w:rPr>
          <w:i/>
          <w:iCs/>
        </w:rPr>
        <w:t>Eiropas Parlaments</w:t>
      </w:r>
      <w:r w:rsidRPr="00EC5E1C">
        <w:t>,</w:t>
      </w:r>
    </w:p>
    <w:p w14:paraId="689EC60B" w14:textId="77777777" w:rsidR="00EA2C2C" w:rsidRPr="00EC5E1C" w:rsidRDefault="00EA2C2C" w:rsidP="00EA2C2C">
      <w:pPr>
        <w:pStyle w:val="NormalHanging12a"/>
      </w:pPr>
      <w:r w:rsidRPr="00EC5E1C">
        <w:t>–</w:t>
      </w:r>
      <w:r w:rsidRPr="00EC5E1C">
        <w:tab/>
        <w:t xml:space="preserve">ņemot vērā Eiropas Savienības </w:t>
      </w:r>
      <w:proofErr w:type="spellStart"/>
      <w:r w:rsidRPr="00EC5E1C">
        <w:t>Kiberdrošības</w:t>
      </w:r>
      <w:proofErr w:type="spellEnd"/>
      <w:r w:rsidRPr="00EC5E1C">
        <w:t xml:space="preserve"> aģentūras 2024. finanšu gada galīgos pārskatus,</w:t>
      </w:r>
    </w:p>
    <w:p w14:paraId="2E2090AE"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31"/>
      </w:r>
      <w:r w:rsidRPr="00EC5E1C">
        <w:t>,</w:t>
      </w:r>
    </w:p>
    <w:p w14:paraId="325B3748"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32"/>
      </w:r>
      <w:r w:rsidRPr="00EC5E1C">
        <w:t xml:space="preserve"> par pārskatu ticamību, kā arī par pakārtoto darījumu likumību un pareizību, kuru Revīzijas palāta sniegusi par 2024. finanšu gadu saskaņā ar Līguma par Eiropas Savienības darbību 287. pantu,</w:t>
      </w:r>
    </w:p>
    <w:p w14:paraId="7064975A"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5E0F3B80" w14:textId="77777777" w:rsidR="00EA2C2C" w:rsidRPr="00EC5E1C" w:rsidRDefault="00EA2C2C" w:rsidP="00EA2C2C">
      <w:pPr>
        <w:pStyle w:val="NormalHanging12a"/>
      </w:pPr>
      <w:r w:rsidRPr="00EC5E1C">
        <w:t>–</w:t>
      </w:r>
      <w:r w:rsidRPr="00EC5E1C">
        <w:tab/>
        <w:t>ņemot vērā Līguma par Eiropas Savienības darbību 319. pantu,</w:t>
      </w:r>
    </w:p>
    <w:p w14:paraId="096A753F"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33"/>
      </w:r>
      <w:r w:rsidRPr="00EC5E1C">
        <w:t>, un jo īpaši tās 70. pantu,</w:t>
      </w:r>
    </w:p>
    <w:p w14:paraId="542099E6"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34"/>
      </w:r>
      <w:r w:rsidRPr="00EC5E1C">
        <w:t>, un jo īpaši tās 70. pantu,</w:t>
      </w:r>
    </w:p>
    <w:p w14:paraId="01BCE63F" w14:textId="77777777" w:rsidR="00EA2C2C" w:rsidRPr="00EC5E1C" w:rsidRDefault="00EA2C2C" w:rsidP="00EA2C2C">
      <w:pPr>
        <w:pStyle w:val="NormalHanging12a"/>
      </w:pPr>
      <w:r w:rsidRPr="00EC5E1C">
        <w:t>–</w:t>
      </w:r>
      <w:r w:rsidRPr="00EC5E1C">
        <w:tab/>
        <w:t xml:space="preserve">ņemot vērā Eiropas Parlamenta un Padomes 2019. gada 17. aprīļa Regulu (ES) 2019/881 par </w:t>
      </w:r>
      <w:r w:rsidRPr="00EC5E1C">
        <w:rPr>
          <w:i/>
          <w:iCs/>
        </w:rPr>
        <w:t>ENISA</w:t>
      </w:r>
      <w:r w:rsidRPr="00EC5E1C">
        <w:t xml:space="preserve"> (Eiropas Savienības </w:t>
      </w:r>
      <w:proofErr w:type="spellStart"/>
      <w:r w:rsidRPr="00EC5E1C">
        <w:t>Kiberdrošības</w:t>
      </w:r>
      <w:proofErr w:type="spellEnd"/>
      <w:r w:rsidRPr="00EC5E1C">
        <w:t xml:space="preserve"> aģentūra) un par informācijas un komunikācijas tehnoloģiju </w:t>
      </w:r>
      <w:proofErr w:type="spellStart"/>
      <w:r w:rsidRPr="00EC5E1C">
        <w:t>kiberdrošības</w:t>
      </w:r>
      <w:proofErr w:type="spellEnd"/>
      <w:r w:rsidRPr="00EC5E1C">
        <w:t xml:space="preserve"> sertifikāciju, un ar ko atceļ Regulu (ES) Nr. 526/2013 (</w:t>
      </w:r>
      <w:proofErr w:type="spellStart"/>
      <w:r w:rsidRPr="00EC5E1C">
        <w:t>Kiberdrošības</w:t>
      </w:r>
      <w:proofErr w:type="spellEnd"/>
      <w:r w:rsidRPr="00EC5E1C">
        <w:t xml:space="preserve"> akts)</w:t>
      </w:r>
      <w:r w:rsidRPr="00EC5E1C">
        <w:rPr>
          <w:rStyle w:val="FootnoteReference"/>
        </w:rPr>
        <w:footnoteReference w:id="235"/>
      </w:r>
      <w:r w:rsidRPr="00EC5E1C">
        <w:t>, un jo īpaši tās 31. pantu,</w:t>
      </w:r>
    </w:p>
    <w:p w14:paraId="46D9C29F"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36"/>
      </w:r>
      <w:r w:rsidRPr="00EC5E1C">
        <w:t>, un jo īpaši tās 105. pantu,</w:t>
      </w:r>
    </w:p>
    <w:p w14:paraId="2B0C2F66" w14:textId="77777777" w:rsidR="00EA2C2C" w:rsidRPr="00EC5E1C" w:rsidRDefault="00EA2C2C" w:rsidP="00EA2C2C">
      <w:pPr>
        <w:pStyle w:val="NormalHanging12a"/>
      </w:pPr>
      <w:r w:rsidRPr="00EC5E1C">
        <w:t>–</w:t>
      </w:r>
      <w:r w:rsidRPr="00EC5E1C">
        <w:tab/>
        <w:t>ņemot vērā Reglamenta 102. pantu un V pielikumu,</w:t>
      </w:r>
    </w:p>
    <w:p w14:paraId="0D831A2C"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w:t>
      </w:r>
      <w:r w:rsidRPr="00EC5E1C">
        <w:lastRenderedPageBreak/>
        <w:t xml:space="preserve">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798FD3B6" w14:textId="77777777" w:rsidR="00EA2C2C" w:rsidRPr="00EC5E1C" w:rsidRDefault="00EA2C2C" w:rsidP="00EA2C2C">
      <w:pPr>
        <w:pStyle w:val="NormalHanging12a"/>
      </w:pPr>
      <w:r w:rsidRPr="00EC5E1C">
        <w:t>–</w:t>
      </w:r>
      <w:r w:rsidRPr="00EC5E1C">
        <w:tab/>
        <w:t>ņemot vērā Budžeta kontroles komitejas ziņojumu (A10-0087/2026),</w:t>
      </w:r>
    </w:p>
    <w:p w14:paraId="1DB9E322" w14:textId="77777777" w:rsidR="00EA2C2C" w:rsidRPr="00EC5E1C" w:rsidRDefault="00EA2C2C" w:rsidP="00EA2C2C">
      <w:pPr>
        <w:pStyle w:val="NormalHanging12a"/>
      </w:pPr>
      <w:r w:rsidRPr="00EC5E1C">
        <w:t>1.</w:t>
      </w:r>
      <w:r w:rsidRPr="00EC5E1C">
        <w:tab/>
        <w:t xml:space="preserve">sniedz Eiropas Savienības </w:t>
      </w:r>
      <w:proofErr w:type="spellStart"/>
      <w:r w:rsidRPr="00EC5E1C">
        <w:t>Kiberdrošības</w:t>
      </w:r>
      <w:proofErr w:type="spellEnd"/>
      <w:r w:rsidRPr="00EC5E1C">
        <w:t xml:space="preserve"> aģentūras izpilddirektoram apstiprinājumu par Aģentūras 2024. finanšu gada budžeta izpildi;</w:t>
      </w:r>
    </w:p>
    <w:p w14:paraId="7F4B461F" w14:textId="77777777" w:rsidR="00EA2C2C" w:rsidRPr="00EC5E1C" w:rsidRDefault="00EA2C2C" w:rsidP="00EA2C2C">
      <w:pPr>
        <w:pStyle w:val="NormalHanging12a"/>
      </w:pPr>
      <w:r w:rsidRPr="00EC5E1C">
        <w:t>2.</w:t>
      </w:r>
      <w:r w:rsidRPr="00EC5E1C">
        <w:tab/>
        <w:t>izklāsta savus konstatējumus turpmāk tekstā iekļautajā rezolūcijā;</w:t>
      </w:r>
    </w:p>
    <w:p w14:paraId="05CE0B00"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w:t>
      </w:r>
      <w:proofErr w:type="spellStart"/>
      <w:r w:rsidRPr="00EC5E1C">
        <w:t>Kiberdrošības</w:t>
      </w:r>
      <w:proofErr w:type="spellEnd"/>
      <w:r w:rsidRPr="00EC5E1C">
        <w:t xml:space="preserve"> aģentūras izpilddirektoram, Padomei, Komisijai un Revīzijas palātai un nodrošināt to publicēšanu </w:t>
      </w:r>
      <w:r w:rsidRPr="00EC5E1C">
        <w:rPr>
          <w:i/>
          <w:iCs/>
        </w:rPr>
        <w:t>Eiropas Savienības Oficiālajā Vēstnesī</w:t>
      </w:r>
      <w:r w:rsidRPr="00EC5E1C">
        <w:t xml:space="preserve"> (L sērijā).</w:t>
      </w:r>
    </w:p>
    <w:p w14:paraId="4C88BCAA" w14:textId="77777777" w:rsidR="00EA2C2C" w:rsidRPr="00EC5E1C" w:rsidRDefault="00EA2C2C" w:rsidP="00EA2C2C"/>
    <w:p w14:paraId="34BAB268" w14:textId="77777777" w:rsidR="00EA2C2C" w:rsidRPr="00EC5E1C" w:rsidRDefault="00EA2C2C" w:rsidP="00EA2C2C">
      <w:pPr>
        <w:pStyle w:val="PageHeadingDec"/>
        <w:sectPr w:rsidR="00EA2C2C" w:rsidRPr="00EC5E1C" w:rsidSect="00D106D3">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A6F9A28" w14:textId="77777777" w:rsidR="00B44DA1" w:rsidRPr="00EC5E1C" w:rsidRDefault="00B44DA1" w:rsidP="00B44DA1">
      <w:pPr>
        <w:pStyle w:val="ATHeading3"/>
      </w:pPr>
      <w:r w:rsidRPr="00EC5E1C">
        <w:lastRenderedPageBreak/>
        <w:t xml:space="preserve">40. Eiropas Parlamenta 2026. gada 29. aprīļa lēmums par Eiropas Savienības </w:t>
      </w:r>
      <w:proofErr w:type="spellStart"/>
      <w:r w:rsidRPr="00EC5E1C">
        <w:t>Kiberdrošības</w:t>
      </w:r>
      <w:proofErr w:type="spellEnd"/>
      <w:r w:rsidRPr="00EC5E1C">
        <w:t xml:space="preserve"> aģentūras 2024. finanšu gada pārskatu apstiprināšanu (2025/2156(DEC))</w:t>
      </w:r>
    </w:p>
    <w:p w14:paraId="5A3A533A" w14:textId="77777777" w:rsidR="00EA2C2C" w:rsidRPr="00EC5E1C" w:rsidRDefault="00EA2C2C" w:rsidP="00EA2C2C">
      <w:pPr>
        <w:pStyle w:val="EPComma"/>
      </w:pPr>
      <w:r w:rsidRPr="00EC5E1C">
        <w:rPr>
          <w:i/>
          <w:iCs/>
        </w:rPr>
        <w:t>Eiropas Parlaments</w:t>
      </w:r>
      <w:r w:rsidRPr="00EC5E1C">
        <w:t>,</w:t>
      </w:r>
    </w:p>
    <w:p w14:paraId="0A97AB2B" w14:textId="77777777" w:rsidR="00EA2C2C" w:rsidRPr="00EC5E1C" w:rsidRDefault="00EA2C2C" w:rsidP="00EA2C2C">
      <w:pPr>
        <w:pStyle w:val="NormalHanging12a"/>
      </w:pPr>
      <w:r w:rsidRPr="00EC5E1C">
        <w:t>–</w:t>
      </w:r>
      <w:r w:rsidRPr="00EC5E1C">
        <w:tab/>
        <w:t xml:space="preserve">ņemot vērā Eiropas Savienības </w:t>
      </w:r>
      <w:proofErr w:type="spellStart"/>
      <w:r w:rsidRPr="00EC5E1C">
        <w:t>Kiberdrošības</w:t>
      </w:r>
      <w:proofErr w:type="spellEnd"/>
      <w:r w:rsidRPr="00EC5E1C">
        <w:t xml:space="preserve"> aģentūras 2024. finanšu gada galīgos pārskatus,</w:t>
      </w:r>
    </w:p>
    <w:p w14:paraId="778E54F4"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37"/>
      </w:r>
      <w:r w:rsidRPr="00EC5E1C">
        <w:t>,</w:t>
      </w:r>
    </w:p>
    <w:p w14:paraId="2A5E07A8"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38"/>
      </w:r>
      <w:r w:rsidRPr="00EC5E1C">
        <w:t xml:space="preserve"> par pārskatu ticamību, kā arī par pakārtoto darījumu likumību un pareizību, kuru Revīzijas palāta sniegusi par 2024. finanšu gadu saskaņā ar Līguma par Eiropas Savienības darbību 287. pantu,</w:t>
      </w:r>
    </w:p>
    <w:p w14:paraId="74588AF9"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03D87596" w14:textId="77777777" w:rsidR="00EA2C2C" w:rsidRPr="00EC5E1C" w:rsidRDefault="00EA2C2C" w:rsidP="00EA2C2C">
      <w:pPr>
        <w:pStyle w:val="NormalHanging12a"/>
      </w:pPr>
      <w:r w:rsidRPr="00EC5E1C">
        <w:t>–</w:t>
      </w:r>
      <w:r w:rsidRPr="00EC5E1C">
        <w:tab/>
        <w:t>ņemot vērā Līguma par Eiropas Savienības darbību 319. pantu,</w:t>
      </w:r>
    </w:p>
    <w:p w14:paraId="2223AA2D"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39"/>
      </w:r>
      <w:r w:rsidRPr="00EC5E1C">
        <w:t>, un jo īpaši tās 70. pantu,</w:t>
      </w:r>
    </w:p>
    <w:p w14:paraId="4D443A0B"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40"/>
      </w:r>
      <w:r w:rsidRPr="00EC5E1C">
        <w:t>, un jo īpaši tās 70. pantu,</w:t>
      </w:r>
    </w:p>
    <w:p w14:paraId="4D738C97" w14:textId="77777777" w:rsidR="00EA2C2C" w:rsidRPr="00EC5E1C" w:rsidRDefault="00EA2C2C" w:rsidP="00EA2C2C">
      <w:pPr>
        <w:pStyle w:val="NormalHanging12a"/>
      </w:pPr>
      <w:r w:rsidRPr="00EC5E1C">
        <w:t>–</w:t>
      </w:r>
      <w:r w:rsidRPr="00EC5E1C">
        <w:tab/>
        <w:t xml:space="preserve">ņemot vērā Eiropas Parlamenta un Padomes 2019. gada 17. aprīļa Regulu (ES) 2019/881 par </w:t>
      </w:r>
      <w:r w:rsidRPr="00EC5E1C">
        <w:rPr>
          <w:i/>
          <w:iCs/>
        </w:rPr>
        <w:t>ENISA</w:t>
      </w:r>
      <w:r w:rsidRPr="00EC5E1C">
        <w:t xml:space="preserve"> (Eiropas Savienības </w:t>
      </w:r>
      <w:proofErr w:type="spellStart"/>
      <w:r w:rsidRPr="00EC5E1C">
        <w:t>Kiberdrošības</w:t>
      </w:r>
      <w:proofErr w:type="spellEnd"/>
      <w:r w:rsidRPr="00EC5E1C">
        <w:t xml:space="preserve"> aģentūra) un par informācijas un komunikācijas tehnoloģiju </w:t>
      </w:r>
      <w:proofErr w:type="spellStart"/>
      <w:r w:rsidRPr="00EC5E1C">
        <w:t>kiberdrošības</w:t>
      </w:r>
      <w:proofErr w:type="spellEnd"/>
      <w:r w:rsidRPr="00EC5E1C">
        <w:t xml:space="preserve"> sertifikāciju, un ar ko atceļ Regulu (ES) Nr. 526/2013 (</w:t>
      </w:r>
      <w:proofErr w:type="spellStart"/>
      <w:r w:rsidRPr="00EC5E1C">
        <w:t>Kiberdrošības</w:t>
      </w:r>
      <w:proofErr w:type="spellEnd"/>
      <w:r w:rsidRPr="00EC5E1C">
        <w:t xml:space="preserve"> akts)</w:t>
      </w:r>
      <w:r w:rsidRPr="00EC5E1C">
        <w:rPr>
          <w:rStyle w:val="FootnoteReference"/>
        </w:rPr>
        <w:footnoteReference w:id="241"/>
      </w:r>
      <w:r w:rsidRPr="00EC5E1C">
        <w:t>, un jo īpaši tās 31. pantu,</w:t>
      </w:r>
    </w:p>
    <w:p w14:paraId="64E55977"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42"/>
      </w:r>
      <w:r w:rsidRPr="00EC5E1C">
        <w:t>, un jo īpaši tās 105. pantu,</w:t>
      </w:r>
    </w:p>
    <w:p w14:paraId="4DA6178D" w14:textId="77777777" w:rsidR="00EA2C2C" w:rsidRPr="00EC5E1C" w:rsidRDefault="00EA2C2C" w:rsidP="00EA2C2C">
      <w:pPr>
        <w:pStyle w:val="NormalHanging12a"/>
      </w:pPr>
      <w:r w:rsidRPr="00EC5E1C">
        <w:t>–</w:t>
      </w:r>
      <w:r w:rsidRPr="00EC5E1C">
        <w:tab/>
        <w:t>ņemot vērā Reglamenta 102. pantu un V pielikumu,</w:t>
      </w:r>
    </w:p>
    <w:p w14:paraId="77E25695"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w:t>
      </w:r>
      <w:r w:rsidRPr="00EC5E1C">
        <w:lastRenderedPageBreak/>
        <w:t xml:space="preserve">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41209494" w14:textId="77777777" w:rsidR="00EA2C2C" w:rsidRPr="00EC5E1C" w:rsidRDefault="00EA2C2C" w:rsidP="00EA2C2C">
      <w:pPr>
        <w:pStyle w:val="NormalHanging12a"/>
      </w:pPr>
      <w:r w:rsidRPr="00EC5E1C">
        <w:t>–</w:t>
      </w:r>
      <w:r w:rsidRPr="00EC5E1C">
        <w:tab/>
        <w:t>ņemot vērā Budžeta kontroles komitejas ziņojumu (A10-0087/2026),</w:t>
      </w:r>
    </w:p>
    <w:p w14:paraId="19F0D4C0" w14:textId="77777777" w:rsidR="00EA2C2C" w:rsidRPr="00EC5E1C" w:rsidRDefault="00EA2C2C" w:rsidP="00EA2C2C">
      <w:pPr>
        <w:pStyle w:val="NormalHanging12a"/>
      </w:pPr>
      <w:r w:rsidRPr="00EC5E1C">
        <w:t>1.</w:t>
      </w:r>
      <w:r w:rsidRPr="00EC5E1C">
        <w:tab/>
        <w:t xml:space="preserve">apstiprina Eiropas Savienības </w:t>
      </w:r>
      <w:proofErr w:type="spellStart"/>
      <w:r w:rsidRPr="00EC5E1C">
        <w:t>Kiberdrošības</w:t>
      </w:r>
      <w:proofErr w:type="spellEnd"/>
      <w:r w:rsidRPr="00EC5E1C">
        <w:t xml:space="preserve"> aģentūras 2024. finanšu gada pārskatus;</w:t>
      </w:r>
    </w:p>
    <w:p w14:paraId="471E7B34" w14:textId="77777777" w:rsidR="00EA2C2C" w:rsidRPr="00EC5E1C" w:rsidRDefault="00EA2C2C" w:rsidP="00EA2C2C">
      <w:pPr>
        <w:pStyle w:val="NormalHanging12a"/>
      </w:pPr>
      <w:r w:rsidRPr="00EC5E1C">
        <w:t>2.</w:t>
      </w:r>
      <w:r w:rsidRPr="00EC5E1C">
        <w:tab/>
        <w:t xml:space="preserve">uzdod priekšsēdētājai šo lēmumu nosūtīt Eiropas Savienības </w:t>
      </w:r>
      <w:proofErr w:type="spellStart"/>
      <w:r w:rsidRPr="00EC5E1C">
        <w:t>Kiberdrošības</w:t>
      </w:r>
      <w:proofErr w:type="spellEnd"/>
      <w:r w:rsidRPr="00EC5E1C">
        <w:t xml:space="preserve"> aģentūras izpilddirektoram, Padomei, Komisijai un Revīzijas palātai un nodrošināt tā publicēšanu </w:t>
      </w:r>
      <w:r w:rsidRPr="00EC5E1C">
        <w:rPr>
          <w:i/>
          <w:iCs/>
        </w:rPr>
        <w:t>Eiropas Savienības Oficiālajā Vēstnesī</w:t>
      </w:r>
      <w:r w:rsidRPr="00EC5E1C">
        <w:t xml:space="preserve"> (L sērijā).</w:t>
      </w:r>
    </w:p>
    <w:p w14:paraId="77694F3B" w14:textId="77777777" w:rsidR="00EA2C2C" w:rsidRPr="00EC5E1C" w:rsidRDefault="00EA2C2C" w:rsidP="00EA2C2C"/>
    <w:p w14:paraId="1E11865E" w14:textId="77777777" w:rsidR="00EA2C2C" w:rsidRPr="00EC5E1C" w:rsidRDefault="00EA2C2C" w:rsidP="00EA2C2C"/>
    <w:p w14:paraId="215C8869" w14:textId="6554BF8C" w:rsidR="00EA2C2C" w:rsidRPr="00EC5E1C" w:rsidRDefault="00EA2C2C" w:rsidP="00EA2C2C">
      <w:pPr>
        <w:pStyle w:val="PageHeadingDec"/>
      </w:pPr>
    </w:p>
    <w:p w14:paraId="75E9E9D3" w14:textId="77777777" w:rsidR="00EA2C2C" w:rsidRPr="00EC5E1C" w:rsidRDefault="00EA2C2C" w:rsidP="00EA2C2C">
      <w:pPr>
        <w:pStyle w:val="PageHeadingDec"/>
        <w:sectPr w:rsidR="00EA2C2C" w:rsidRPr="00EC5E1C" w:rsidSect="00D106D3">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DF69FB" w14:textId="77777777" w:rsidR="00B44DA1" w:rsidRPr="00EC5E1C" w:rsidRDefault="00B44DA1" w:rsidP="00B44DA1">
      <w:pPr>
        <w:pStyle w:val="ATHeading3"/>
      </w:pPr>
      <w:r w:rsidRPr="00EC5E1C">
        <w:lastRenderedPageBreak/>
        <w:t>41. Eiropas Parlamenta 2026. gada 29. aprīļa lēmums par Eiropas Savienības Dzelzceļu aģentūras 2024. finanšu gada budžeta izpildes apstiprināšanu (2025/2156(DEC))</w:t>
      </w:r>
    </w:p>
    <w:p w14:paraId="5E512910" w14:textId="77777777" w:rsidR="00EA2C2C" w:rsidRPr="00EC5E1C" w:rsidRDefault="00EA2C2C" w:rsidP="00EA2C2C">
      <w:pPr>
        <w:pStyle w:val="EPComma"/>
      </w:pPr>
      <w:r w:rsidRPr="00EC5E1C">
        <w:rPr>
          <w:i/>
          <w:iCs/>
        </w:rPr>
        <w:t>Eiropas Parlaments</w:t>
      </w:r>
      <w:r w:rsidRPr="00EC5E1C">
        <w:t>,</w:t>
      </w:r>
    </w:p>
    <w:p w14:paraId="6AA129AB" w14:textId="77777777" w:rsidR="00EA2C2C" w:rsidRPr="00EC5E1C" w:rsidRDefault="00EA2C2C" w:rsidP="00EA2C2C">
      <w:pPr>
        <w:pStyle w:val="NormalHanging12a"/>
      </w:pPr>
      <w:r w:rsidRPr="00EC5E1C">
        <w:t>–</w:t>
      </w:r>
      <w:r w:rsidRPr="00EC5E1C">
        <w:tab/>
        <w:t>ņemot vērā Eiropas Savienības Dzelzceļu aģentūras 2024. finanšu gada galīgos pārskatus,</w:t>
      </w:r>
    </w:p>
    <w:p w14:paraId="43C883AD"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43"/>
      </w:r>
      <w:r w:rsidRPr="00EC5E1C">
        <w:t>,</w:t>
      </w:r>
    </w:p>
    <w:p w14:paraId="7E7055A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44"/>
      </w:r>
      <w:r w:rsidRPr="00EC5E1C">
        <w:t xml:space="preserve"> par pārskatu ticamību, kā arī par pakārtoto darījumu likumību un pareizību, kuru Revīzijas palāta sniegusi par 2024. finanšu gadu saskaņā ar Līguma par Eiropas Savienības darbību 287. pantu,</w:t>
      </w:r>
    </w:p>
    <w:p w14:paraId="36936873"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501AC9D6" w14:textId="77777777" w:rsidR="00EA2C2C" w:rsidRPr="00EC5E1C" w:rsidRDefault="00EA2C2C" w:rsidP="00EA2C2C">
      <w:pPr>
        <w:pStyle w:val="NormalHanging12a"/>
      </w:pPr>
      <w:r w:rsidRPr="00EC5E1C">
        <w:t>–</w:t>
      </w:r>
      <w:r w:rsidRPr="00EC5E1C">
        <w:tab/>
        <w:t>ņemot vērā Līguma par Eiropas Savienības darbību 319. pantu,</w:t>
      </w:r>
    </w:p>
    <w:p w14:paraId="2EBDEA37"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45"/>
      </w:r>
      <w:r w:rsidRPr="00EC5E1C">
        <w:t>, un jo īpaši tās 70. pantu,</w:t>
      </w:r>
    </w:p>
    <w:p w14:paraId="46CF00CB"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46"/>
      </w:r>
      <w:r w:rsidRPr="00EC5E1C">
        <w:t>, un jo īpaši tās 70. pantu,</w:t>
      </w:r>
    </w:p>
    <w:p w14:paraId="0E5E4A29" w14:textId="77777777" w:rsidR="00EA2C2C" w:rsidRPr="00EC5E1C" w:rsidRDefault="00EA2C2C" w:rsidP="00EA2C2C">
      <w:pPr>
        <w:pStyle w:val="NormalHanging12a"/>
      </w:pPr>
      <w:r w:rsidRPr="00EC5E1C">
        <w:t>–</w:t>
      </w:r>
      <w:r w:rsidRPr="00EC5E1C">
        <w:tab/>
        <w:t>ņemot vērā Eiropas Parlamenta un Padomes 2016. gada 11. maija Regulu (ES) 2016/796 par Eiropas Savienības Dzelzceļu aģentūru un ar ko atceļ Regulu (EK) Nr. 881/2004</w:t>
      </w:r>
      <w:r w:rsidRPr="00EC5E1C">
        <w:rPr>
          <w:rStyle w:val="FootnoteReference"/>
        </w:rPr>
        <w:footnoteReference w:id="247"/>
      </w:r>
      <w:r w:rsidRPr="00EC5E1C">
        <w:t>, un jo īpaši tās 65. pantu,</w:t>
      </w:r>
    </w:p>
    <w:p w14:paraId="524FB546"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48"/>
      </w:r>
      <w:r w:rsidRPr="00EC5E1C">
        <w:t>, un jo īpaši tās 105. pantu,</w:t>
      </w:r>
    </w:p>
    <w:p w14:paraId="56EA28FA" w14:textId="77777777" w:rsidR="00EA2C2C" w:rsidRPr="00EC5E1C" w:rsidRDefault="00EA2C2C" w:rsidP="00EA2C2C">
      <w:pPr>
        <w:pStyle w:val="NormalHanging12a"/>
      </w:pPr>
      <w:r w:rsidRPr="00EC5E1C">
        <w:t>–</w:t>
      </w:r>
      <w:r w:rsidRPr="00EC5E1C">
        <w:tab/>
        <w:t>ņemot vērā Reglamenta 102. pantu un V pielikumu,</w:t>
      </w:r>
    </w:p>
    <w:p w14:paraId="7032E3E5"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6B5DC9AA" w14:textId="77777777" w:rsidR="00EA2C2C" w:rsidRPr="00EC5E1C" w:rsidRDefault="00EA2C2C" w:rsidP="00EA2C2C">
      <w:pPr>
        <w:pStyle w:val="NormalHanging12a"/>
      </w:pPr>
      <w:r w:rsidRPr="00EC5E1C">
        <w:t>–</w:t>
      </w:r>
      <w:r w:rsidRPr="00EC5E1C">
        <w:tab/>
        <w:t>ņemot vērā Budžeta kontroles komitejas ziņojumu (A10-0087/2026),</w:t>
      </w:r>
    </w:p>
    <w:p w14:paraId="080E7A2B" w14:textId="77777777" w:rsidR="00EA2C2C" w:rsidRPr="00EC5E1C" w:rsidRDefault="00EA2C2C" w:rsidP="00EA2C2C">
      <w:pPr>
        <w:pStyle w:val="NormalHanging12a"/>
      </w:pPr>
      <w:r w:rsidRPr="00EC5E1C">
        <w:t>1.</w:t>
      </w:r>
      <w:r w:rsidRPr="00EC5E1C">
        <w:tab/>
        <w:t>sniedz Eiropas Savienības Dzelzceļu aģentūras izpilddirektorei apstiprinājumu par Aģentūras 2024. finanšu gada budžeta izpildi;</w:t>
      </w:r>
    </w:p>
    <w:p w14:paraId="2E717D64" w14:textId="77777777" w:rsidR="00EA2C2C" w:rsidRPr="00EC5E1C" w:rsidRDefault="00EA2C2C" w:rsidP="00EA2C2C">
      <w:pPr>
        <w:pStyle w:val="NormalHanging12a"/>
      </w:pPr>
      <w:r w:rsidRPr="00EC5E1C">
        <w:t>2.</w:t>
      </w:r>
      <w:r w:rsidRPr="00EC5E1C">
        <w:tab/>
        <w:t>izklāsta savus konstatējumus turpmāk tekstā iekļautajā rezolūcijā;</w:t>
      </w:r>
    </w:p>
    <w:p w14:paraId="52E440E4"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Dzelzceļu aģentūras izpilddirektorei, Padomei, Komisijai un Revīzijas palātai un nodrošināt to publicēšanu </w:t>
      </w:r>
      <w:r w:rsidRPr="00EC5E1C">
        <w:rPr>
          <w:i/>
          <w:iCs/>
        </w:rPr>
        <w:t>Eiropas Savienības Oficiālajā Vēstnesī</w:t>
      </w:r>
      <w:r w:rsidRPr="00EC5E1C">
        <w:t xml:space="preserve"> (L sērijā).</w:t>
      </w:r>
    </w:p>
    <w:p w14:paraId="199A4352" w14:textId="77777777" w:rsidR="00EA2C2C" w:rsidRPr="00EC5E1C" w:rsidRDefault="00EA2C2C" w:rsidP="00EA2C2C"/>
    <w:p w14:paraId="4E15681F" w14:textId="77777777" w:rsidR="00EA2C2C" w:rsidRPr="00EC5E1C" w:rsidRDefault="00EA2C2C" w:rsidP="00EA2C2C">
      <w:pPr>
        <w:pStyle w:val="PageHeadingDec"/>
        <w:sectPr w:rsidR="00EA2C2C" w:rsidRPr="00EC5E1C" w:rsidSect="00D106D3">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44712F" w14:textId="77777777" w:rsidR="00B44DA1" w:rsidRPr="00EC5E1C" w:rsidRDefault="00B44DA1" w:rsidP="00B44DA1">
      <w:pPr>
        <w:pStyle w:val="ATHeading3"/>
      </w:pPr>
      <w:r w:rsidRPr="00EC5E1C">
        <w:lastRenderedPageBreak/>
        <w:t>42. Eiropas Parlamenta 2026. gada 29. aprīļa lēmums par Eiropas Savienības Dzelzceļu aģentūras 2024. finanšu gada pārskatu apstiprināšanu (2025/2156(DEC))</w:t>
      </w:r>
    </w:p>
    <w:p w14:paraId="5BA466FF" w14:textId="77777777" w:rsidR="00EA2C2C" w:rsidRPr="00EC5E1C" w:rsidRDefault="00EA2C2C" w:rsidP="00EA2C2C">
      <w:pPr>
        <w:pStyle w:val="EPComma"/>
      </w:pPr>
      <w:r w:rsidRPr="00EC5E1C">
        <w:rPr>
          <w:i/>
          <w:iCs/>
        </w:rPr>
        <w:t>Eiropas Parlaments</w:t>
      </w:r>
      <w:r w:rsidRPr="00EC5E1C">
        <w:t>,</w:t>
      </w:r>
    </w:p>
    <w:p w14:paraId="4D102A2A" w14:textId="77777777" w:rsidR="00EA2C2C" w:rsidRPr="00EC5E1C" w:rsidRDefault="00EA2C2C" w:rsidP="00EA2C2C">
      <w:pPr>
        <w:pStyle w:val="NormalHanging12a"/>
      </w:pPr>
      <w:r w:rsidRPr="00EC5E1C">
        <w:t>–</w:t>
      </w:r>
      <w:r w:rsidRPr="00EC5E1C">
        <w:tab/>
        <w:t>ņemot vērā Eiropas Savienības Dzelzceļu aģentūras 2024. finanšu gada galīgos pārskatus,</w:t>
      </w:r>
    </w:p>
    <w:p w14:paraId="002E6BD2"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49"/>
      </w:r>
      <w:r w:rsidRPr="00EC5E1C">
        <w:t>,</w:t>
      </w:r>
    </w:p>
    <w:p w14:paraId="0FEB139C"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50"/>
      </w:r>
      <w:r w:rsidRPr="00EC5E1C">
        <w:t xml:space="preserve"> par pārskatu ticamību, kā arī par pakārtoto darījumu likumību un pareizību, kuru Revīzijas palāta sniegusi par 2024. finanšu gadu saskaņā ar Līguma par Eiropas Savienības darbību 287. pantu,</w:t>
      </w:r>
    </w:p>
    <w:p w14:paraId="485C039E"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0D03923C" w14:textId="77777777" w:rsidR="00EA2C2C" w:rsidRPr="00EC5E1C" w:rsidRDefault="00EA2C2C" w:rsidP="00EA2C2C">
      <w:pPr>
        <w:pStyle w:val="NormalHanging12a"/>
      </w:pPr>
      <w:r w:rsidRPr="00EC5E1C">
        <w:t>–</w:t>
      </w:r>
      <w:r w:rsidRPr="00EC5E1C">
        <w:tab/>
        <w:t>ņemot vērā Līguma par Eiropas Savienības darbību 319. pantu,</w:t>
      </w:r>
    </w:p>
    <w:p w14:paraId="5D0DB893"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51"/>
      </w:r>
      <w:r w:rsidRPr="00EC5E1C">
        <w:t>, un jo īpaši tās 70. pantu,</w:t>
      </w:r>
    </w:p>
    <w:p w14:paraId="726EC2C1"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52"/>
      </w:r>
      <w:r w:rsidRPr="00EC5E1C">
        <w:t>, un jo īpaši tās 70. pantu,</w:t>
      </w:r>
    </w:p>
    <w:p w14:paraId="1E3260C6" w14:textId="77777777" w:rsidR="00EA2C2C" w:rsidRPr="00EC5E1C" w:rsidRDefault="00EA2C2C" w:rsidP="00EA2C2C">
      <w:pPr>
        <w:pStyle w:val="NormalHanging12a"/>
      </w:pPr>
      <w:r w:rsidRPr="00EC5E1C">
        <w:t>–</w:t>
      </w:r>
      <w:r w:rsidRPr="00EC5E1C">
        <w:tab/>
        <w:t>ņemot vērā Eiropas Parlamenta un Padomes 2016. gada 11. maija Regulu (ES) 2016/796 par Eiropas Savienības Dzelzceļu aģentūru un ar ko atceļ Regulu (EK) Nr. 881/2004</w:t>
      </w:r>
      <w:r w:rsidRPr="00EC5E1C">
        <w:rPr>
          <w:rStyle w:val="FootnoteReference"/>
        </w:rPr>
        <w:footnoteReference w:id="253"/>
      </w:r>
      <w:r w:rsidRPr="00EC5E1C">
        <w:t>, un jo īpaši tās 65. pantu,</w:t>
      </w:r>
    </w:p>
    <w:p w14:paraId="0DB74CBF"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54"/>
      </w:r>
      <w:r w:rsidRPr="00EC5E1C">
        <w:t>, un jo īpaši tās 105. pantu,</w:t>
      </w:r>
    </w:p>
    <w:p w14:paraId="4C07F36F" w14:textId="77777777" w:rsidR="00EA2C2C" w:rsidRPr="00EC5E1C" w:rsidRDefault="00EA2C2C" w:rsidP="00EA2C2C">
      <w:pPr>
        <w:pStyle w:val="NormalHanging12a"/>
      </w:pPr>
      <w:r w:rsidRPr="00EC5E1C">
        <w:t>–</w:t>
      </w:r>
      <w:r w:rsidRPr="00EC5E1C">
        <w:tab/>
        <w:t>ņemot vērā Reglamenta 102. pantu un V pielikumu,</w:t>
      </w:r>
    </w:p>
    <w:p w14:paraId="6812BE11"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32127CBA" w14:textId="77777777" w:rsidR="00EA2C2C" w:rsidRPr="00EC5E1C" w:rsidRDefault="00EA2C2C" w:rsidP="00EA2C2C">
      <w:pPr>
        <w:pStyle w:val="NormalHanging12a"/>
      </w:pPr>
      <w:r w:rsidRPr="00EC5E1C">
        <w:t>–</w:t>
      </w:r>
      <w:r w:rsidRPr="00EC5E1C">
        <w:tab/>
        <w:t>ņemot vērā Budžeta kontroles komitejas ziņojumu (A10-0087/2026),</w:t>
      </w:r>
    </w:p>
    <w:p w14:paraId="0A47AA4A" w14:textId="77777777" w:rsidR="00EA2C2C" w:rsidRPr="00EC5E1C" w:rsidRDefault="00EA2C2C" w:rsidP="00EA2C2C">
      <w:pPr>
        <w:pStyle w:val="NormalHanging12a"/>
      </w:pPr>
      <w:r w:rsidRPr="00EC5E1C">
        <w:t>1.</w:t>
      </w:r>
      <w:r w:rsidRPr="00EC5E1C">
        <w:tab/>
        <w:t>apstiprina Eiropas Savienības Dzelzceļu aģentūras 2024. finanšu gada pārskatus;</w:t>
      </w:r>
    </w:p>
    <w:p w14:paraId="7A5C8DA1" w14:textId="77777777" w:rsidR="00EA2C2C" w:rsidRPr="00EC5E1C" w:rsidRDefault="00EA2C2C" w:rsidP="00EA2C2C">
      <w:pPr>
        <w:pStyle w:val="NormalHanging12a"/>
      </w:pPr>
      <w:r w:rsidRPr="00EC5E1C">
        <w:t>2.</w:t>
      </w:r>
      <w:r w:rsidRPr="00EC5E1C">
        <w:tab/>
        <w:t xml:space="preserve">uzdod priekšsēdētājai šo lēmumu nosūtīt Eiropas Savienības Dzelzceļu aģentūras izpilddirektorei, Padomei, Komisijai un Revīzijas palātai un nodrošināt tā publicēšanu </w:t>
      </w:r>
      <w:r w:rsidRPr="00EC5E1C">
        <w:rPr>
          <w:i/>
          <w:iCs/>
        </w:rPr>
        <w:t>Eiropas Savienības Oficiālajā Vēstnesī</w:t>
      </w:r>
      <w:r w:rsidRPr="00EC5E1C">
        <w:t xml:space="preserve"> (L sērijā).</w:t>
      </w:r>
    </w:p>
    <w:p w14:paraId="4BB254E5" w14:textId="77777777" w:rsidR="00EA2C2C" w:rsidRPr="00EC5E1C" w:rsidRDefault="00EA2C2C" w:rsidP="00EA2C2C"/>
    <w:p w14:paraId="136FB554" w14:textId="77777777" w:rsidR="00EA2C2C" w:rsidRPr="00EC5E1C" w:rsidRDefault="00EA2C2C" w:rsidP="00EA2C2C"/>
    <w:p w14:paraId="3F8C0CB7" w14:textId="71FE13A8" w:rsidR="00EA2C2C" w:rsidRPr="00EC5E1C" w:rsidRDefault="00EA2C2C" w:rsidP="00EA2C2C">
      <w:pPr>
        <w:pStyle w:val="PageHeadingDec"/>
      </w:pPr>
    </w:p>
    <w:p w14:paraId="7AD0A0F8" w14:textId="77777777" w:rsidR="00EA2C2C" w:rsidRPr="00EC5E1C" w:rsidRDefault="00EA2C2C" w:rsidP="00EA2C2C">
      <w:pPr>
        <w:pStyle w:val="PageHeadingDec"/>
        <w:sectPr w:rsidR="00EA2C2C" w:rsidRPr="00EC5E1C" w:rsidSect="00D106D3">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789E8B" w14:textId="77777777" w:rsidR="00B44DA1" w:rsidRPr="00EC5E1C" w:rsidRDefault="00B44DA1" w:rsidP="00B44DA1">
      <w:pPr>
        <w:pStyle w:val="ATHeading3"/>
      </w:pPr>
      <w:r w:rsidRPr="00EC5E1C">
        <w:lastRenderedPageBreak/>
        <w:t>43. Eiropas Parlamenta 2026. gada 29. aprīļa lēmums par Euratom Apgādes aģentūras 2024. finanšu gada budžeta izpildes apstiprināšanu (2025/2156(DEC))</w:t>
      </w:r>
    </w:p>
    <w:p w14:paraId="01E8AD01" w14:textId="77777777" w:rsidR="00EA2C2C" w:rsidRPr="00EC5E1C" w:rsidRDefault="00EA2C2C" w:rsidP="00EA2C2C">
      <w:pPr>
        <w:pStyle w:val="EPComma"/>
      </w:pPr>
      <w:r w:rsidRPr="00EC5E1C">
        <w:rPr>
          <w:i/>
          <w:iCs/>
        </w:rPr>
        <w:t>Eiropas Parlaments</w:t>
      </w:r>
      <w:r w:rsidRPr="00EC5E1C">
        <w:t>,</w:t>
      </w:r>
    </w:p>
    <w:p w14:paraId="5641BE9A" w14:textId="77777777" w:rsidR="00EA2C2C" w:rsidRPr="00EC5E1C" w:rsidRDefault="00EA2C2C" w:rsidP="00EA2C2C">
      <w:pPr>
        <w:pStyle w:val="NormalHanging12a"/>
      </w:pPr>
      <w:r w:rsidRPr="00EC5E1C">
        <w:t>–</w:t>
      </w:r>
      <w:r w:rsidRPr="00EC5E1C">
        <w:tab/>
        <w:t xml:space="preserve">ņemot vērā </w:t>
      </w:r>
      <w:r w:rsidRPr="00EC5E1C">
        <w:rPr>
          <w:i/>
          <w:iCs/>
        </w:rPr>
        <w:t>Euratom</w:t>
      </w:r>
      <w:r w:rsidRPr="00EC5E1C">
        <w:t xml:space="preserve"> Apgādes aģentūras 2024. finanšu gada galīgos pārskatus,</w:t>
      </w:r>
    </w:p>
    <w:p w14:paraId="3339FF7A"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55"/>
      </w:r>
      <w:r w:rsidRPr="00EC5E1C">
        <w:t>,</w:t>
      </w:r>
    </w:p>
    <w:p w14:paraId="530ABA85"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56"/>
      </w:r>
      <w:r w:rsidRPr="00EC5E1C">
        <w:t xml:space="preserve"> par pārskatu ticamību, kā arī par pakārtoto darījumu likumību un pareizību, kuru Revīzijas palāta sniegusi par 2024. finanšu gadu saskaņā ar Līguma par Eiropas Savienības darbību 287. pantu,</w:t>
      </w:r>
    </w:p>
    <w:p w14:paraId="5DA259EE"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3860E298" w14:textId="77777777" w:rsidR="00EA2C2C" w:rsidRPr="00EC5E1C" w:rsidRDefault="00EA2C2C" w:rsidP="00EA2C2C">
      <w:pPr>
        <w:pStyle w:val="NormalHanging12a"/>
      </w:pPr>
      <w:r w:rsidRPr="00EC5E1C">
        <w:t>–</w:t>
      </w:r>
      <w:r w:rsidRPr="00EC5E1C">
        <w:tab/>
        <w:t>ņemot vērā Līguma par Eiropas Savienības darbību 319. pantu,</w:t>
      </w:r>
    </w:p>
    <w:p w14:paraId="77E1A09B" w14:textId="77777777" w:rsidR="00EA2C2C" w:rsidRPr="00EC5E1C" w:rsidRDefault="00EA2C2C" w:rsidP="00EA2C2C">
      <w:pPr>
        <w:pStyle w:val="NormalHanging12a"/>
      </w:pPr>
      <w:r w:rsidRPr="00EC5E1C">
        <w:t>–</w:t>
      </w:r>
      <w:r w:rsidRPr="00EC5E1C">
        <w:tab/>
        <w:t>ņemot vērā Eiropas Atomenerģijas kopienas dibināšanas līguma 106.a pantu,</w:t>
      </w:r>
    </w:p>
    <w:p w14:paraId="25DB4DC6"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57"/>
      </w:r>
      <w:r w:rsidRPr="00EC5E1C">
        <w:t>, un jo īpaši tās 68. pantu,</w:t>
      </w:r>
    </w:p>
    <w:p w14:paraId="69437B52"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58"/>
      </w:r>
      <w:r w:rsidRPr="00EC5E1C">
        <w:t>, un jo īpaši tās 68. pantu,</w:t>
      </w:r>
    </w:p>
    <w:p w14:paraId="5CDEE330" w14:textId="77777777" w:rsidR="00EA2C2C" w:rsidRPr="00EC5E1C" w:rsidRDefault="00EA2C2C" w:rsidP="00EA2C2C">
      <w:pPr>
        <w:pStyle w:val="NormalHanging12a"/>
      </w:pPr>
      <w:r w:rsidRPr="00EC5E1C">
        <w:t>–</w:t>
      </w:r>
      <w:r w:rsidRPr="00EC5E1C">
        <w:tab/>
        <w:t xml:space="preserve">ņemot vērā Padomes 2008. gada 12. februāra Lēmumu 2008/114/EK, </w:t>
      </w:r>
      <w:r w:rsidRPr="00EC5E1C">
        <w:rPr>
          <w:i/>
          <w:iCs/>
        </w:rPr>
        <w:t>Euratom</w:t>
      </w:r>
      <w:r w:rsidRPr="00EC5E1C">
        <w:t xml:space="preserve">, ar ko nosaka </w:t>
      </w:r>
      <w:r w:rsidRPr="00EC5E1C">
        <w:rPr>
          <w:i/>
          <w:iCs/>
        </w:rPr>
        <w:t>Euratom</w:t>
      </w:r>
      <w:r w:rsidRPr="00EC5E1C">
        <w:t xml:space="preserve"> Apgādes aģentūras statūtus</w:t>
      </w:r>
      <w:r w:rsidRPr="00EC5E1C">
        <w:rPr>
          <w:rStyle w:val="FootnoteReference"/>
        </w:rPr>
        <w:footnoteReference w:id="259"/>
      </w:r>
      <w:r w:rsidRPr="00EC5E1C">
        <w:t>, un jo īpaši tā pielikuma 8. pantu,</w:t>
      </w:r>
    </w:p>
    <w:p w14:paraId="6DBE7F94" w14:textId="77777777" w:rsidR="00EA2C2C" w:rsidRPr="00EC5E1C" w:rsidRDefault="00EA2C2C" w:rsidP="00EA2C2C">
      <w:pPr>
        <w:pStyle w:val="NormalHanging12a"/>
      </w:pPr>
      <w:r w:rsidRPr="00EC5E1C">
        <w:t>–</w:t>
      </w:r>
      <w:r w:rsidRPr="00EC5E1C">
        <w:tab/>
        <w:t>ņemot vērā Reglamenta 102. pantu un V pielikumu,</w:t>
      </w:r>
    </w:p>
    <w:p w14:paraId="4031341F"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3AA95DB5" w14:textId="77777777" w:rsidR="00EA2C2C" w:rsidRPr="00EC5E1C" w:rsidRDefault="00EA2C2C" w:rsidP="00EA2C2C">
      <w:pPr>
        <w:pStyle w:val="NormalHanging12a"/>
      </w:pPr>
      <w:r w:rsidRPr="00EC5E1C">
        <w:t>–</w:t>
      </w:r>
      <w:r w:rsidRPr="00EC5E1C">
        <w:tab/>
        <w:t>ņemot vērā Budžeta kontroles komitejas ziņojumu (A10-0087/2026),</w:t>
      </w:r>
    </w:p>
    <w:p w14:paraId="0E7CB76F" w14:textId="77777777" w:rsidR="00EA2C2C" w:rsidRPr="00EC5E1C" w:rsidRDefault="00EA2C2C" w:rsidP="00EA2C2C">
      <w:pPr>
        <w:pStyle w:val="NormalHanging12a"/>
      </w:pPr>
      <w:r w:rsidRPr="00EC5E1C">
        <w:t>1.</w:t>
      </w:r>
      <w:r w:rsidRPr="00EC5E1C">
        <w:tab/>
        <w:t xml:space="preserve">sniedz </w:t>
      </w:r>
      <w:r w:rsidRPr="00EC5E1C">
        <w:rPr>
          <w:i/>
          <w:iCs/>
        </w:rPr>
        <w:t>Euratom</w:t>
      </w:r>
      <w:r w:rsidRPr="00EC5E1C">
        <w:t xml:space="preserve"> Apgādes aģentūras ģenerāldirektoram apstiprinājumu par Aģentūras 2024. finanšu gada budžeta izpildi;</w:t>
      </w:r>
    </w:p>
    <w:p w14:paraId="6195C629" w14:textId="77777777" w:rsidR="00EA2C2C" w:rsidRPr="00EC5E1C" w:rsidRDefault="00EA2C2C" w:rsidP="00EA2C2C">
      <w:pPr>
        <w:pStyle w:val="NormalHanging12a"/>
      </w:pPr>
      <w:r w:rsidRPr="00EC5E1C">
        <w:lastRenderedPageBreak/>
        <w:t>2.</w:t>
      </w:r>
      <w:r w:rsidRPr="00EC5E1C">
        <w:tab/>
        <w:t>izklāsta savus konstatējumus turpmāk tekstā iekļautajā rezolūcijā;</w:t>
      </w:r>
    </w:p>
    <w:p w14:paraId="49DFEC82"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w:t>
      </w:r>
      <w:r w:rsidRPr="00EC5E1C">
        <w:rPr>
          <w:i/>
          <w:iCs/>
        </w:rPr>
        <w:t>Euratom</w:t>
      </w:r>
      <w:r w:rsidRPr="00EC5E1C">
        <w:t xml:space="preserve"> Apgādes aģentūras ģenerāldirektoram, Padomei, Komisijai un Revīzijas palātai un nodrošināt to publicēšanu </w:t>
      </w:r>
      <w:r w:rsidRPr="00EC5E1C">
        <w:rPr>
          <w:i/>
          <w:iCs/>
        </w:rPr>
        <w:t>Eiropas Savienības Oficiālajā Vēstnesī</w:t>
      </w:r>
      <w:r w:rsidRPr="00EC5E1C">
        <w:t xml:space="preserve"> (L sērijā).</w:t>
      </w:r>
    </w:p>
    <w:p w14:paraId="2E811A5C" w14:textId="77777777" w:rsidR="00EA2C2C" w:rsidRPr="00EC5E1C" w:rsidRDefault="00EA2C2C" w:rsidP="00EA2C2C"/>
    <w:p w14:paraId="29DCFAD0" w14:textId="77777777" w:rsidR="00EA2C2C" w:rsidRPr="00EC5E1C" w:rsidRDefault="00EA2C2C" w:rsidP="00EA2C2C">
      <w:pPr>
        <w:pStyle w:val="PageHeadingDec"/>
        <w:sectPr w:rsidR="00EA2C2C" w:rsidRPr="00EC5E1C" w:rsidSect="00D106D3">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17EE66" w14:textId="77777777" w:rsidR="00B44DA1" w:rsidRPr="00EC5E1C" w:rsidRDefault="00B44DA1" w:rsidP="00B44DA1">
      <w:pPr>
        <w:pStyle w:val="ATHeading3"/>
      </w:pPr>
      <w:r w:rsidRPr="00EC5E1C">
        <w:lastRenderedPageBreak/>
        <w:t>44. Eiropas Parlamenta 2026. gada 29. aprīļa lēmums par Euratom Apgādes aģentūras 2024. finanšu gada pārskatu apstiprināšanu (2025/2156(DEC))</w:t>
      </w:r>
    </w:p>
    <w:p w14:paraId="2F77A625" w14:textId="77777777" w:rsidR="00EA2C2C" w:rsidRPr="00EC5E1C" w:rsidRDefault="00EA2C2C" w:rsidP="00EA2C2C">
      <w:pPr>
        <w:pStyle w:val="EPComma"/>
      </w:pPr>
      <w:r w:rsidRPr="00EC5E1C">
        <w:rPr>
          <w:i/>
          <w:iCs/>
        </w:rPr>
        <w:t>Eiropas Parlaments</w:t>
      </w:r>
      <w:r w:rsidRPr="00EC5E1C">
        <w:t>,</w:t>
      </w:r>
    </w:p>
    <w:p w14:paraId="1C2D9636" w14:textId="77777777" w:rsidR="00EA2C2C" w:rsidRPr="00EC5E1C" w:rsidRDefault="00EA2C2C" w:rsidP="00EA2C2C">
      <w:pPr>
        <w:pStyle w:val="NormalHanging12a"/>
      </w:pPr>
      <w:r w:rsidRPr="00EC5E1C">
        <w:t>–</w:t>
      </w:r>
      <w:r w:rsidRPr="00EC5E1C">
        <w:tab/>
        <w:t xml:space="preserve">ņemot vērā </w:t>
      </w:r>
      <w:r w:rsidRPr="00EC5E1C">
        <w:rPr>
          <w:i/>
          <w:iCs/>
        </w:rPr>
        <w:t>Euratom</w:t>
      </w:r>
      <w:r w:rsidRPr="00EC5E1C">
        <w:t xml:space="preserve"> Apgādes aģentūras 2024. finanšu gada galīgos pārskatus,</w:t>
      </w:r>
    </w:p>
    <w:p w14:paraId="1BE85502"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60"/>
      </w:r>
      <w:r w:rsidRPr="00EC5E1C">
        <w:t>,</w:t>
      </w:r>
    </w:p>
    <w:p w14:paraId="3B11FAD4"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61"/>
      </w:r>
      <w:r w:rsidRPr="00EC5E1C">
        <w:t xml:space="preserve"> par pārskatu ticamību, kā arī par pakārtoto darījumu likumību un pareizību, kuru Revīzijas palāta sniegusi par 2024. finanšu gadu saskaņā ar Līguma par Eiropas Savienības darbību 287. pantu,</w:t>
      </w:r>
    </w:p>
    <w:p w14:paraId="3BD06D55"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45FF394F" w14:textId="77777777" w:rsidR="00EA2C2C" w:rsidRPr="00EC5E1C" w:rsidRDefault="00EA2C2C" w:rsidP="00EA2C2C">
      <w:pPr>
        <w:pStyle w:val="NormalHanging12a"/>
      </w:pPr>
      <w:r w:rsidRPr="00EC5E1C">
        <w:t>–</w:t>
      </w:r>
      <w:r w:rsidRPr="00EC5E1C">
        <w:tab/>
        <w:t>ņemot vērā Līguma par Eiropas Savienības darbību 319. pantu,</w:t>
      </w:r>
    </w:p>
    <w:p w14:paraId="6B4666F6" w14:textId="77777777" w:rsidR="00EA2C2C" w:rsidRPr="00EC5E1C" w:rsidRDefault="00EA2C2C" w:rsidP="00EA2C2C">
      <w:pPr>
        <w:pStyle w:val="NormalHanging12a"/>
      </w:pPr>
      <w:r w:rsidRPr="00EC5E1C">
        <w:t>–</w:t>
      </w:r>
      <w:r w:rsidRPr="00EC5E1C">
        <w:tab/>
        <w:t>ņemot vērā Eiropas Atomenerģijas kopienas dibināšanas līguma 106.a pantu,</w:t>
      </w:r>
    </w:p>
    <w:p w14:paraId="06E8CE5A"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62"/>
      </w:r>
      <w:r w:rsidRPr="00EC5E1C">
        <w:t>, un jo īpaši tās 68. pantu,</w:t>
      </w:r>
    </w:p>
    <w:p w14:paraId="2C410439"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63"/>
      </w:r>
      <w:r w:rsidRPr="00EC5E1C">
        <w:t>, un jo īpaši tās 68. pantu,</w:t>
      </w:r>
    </w:p>
    <w:p w14:paraId="554BDB05" w14:textId="77777777" w:rsidR="00EA2C2C" w:rsidRPr="00EC5E1C" w:rsidRDefault="00EA2C2C" w:rsidP="00EA2C2C">
      <w:pPr>
        <w:pStyle w:val="NormalHanging12a"/>
      </w:pPr>
      <w:r w:rsidRPr="00EC5E1C">
        <w:t>–</w:t>
      </w:r>
      <w:r w:rsidRPr="00EC5E1C">
        <w:tab/>
        <w:t xml:space="preserve">ņemot vērā Padomes 2008. gada 12. februāra Lēmumu 2008/114/EK, </w:t>
      </w:r>
      <w:r w:rsidRPr="00EC5E1C">
        <w:rPr>
          <w:i/>
          <w:iCs/>
        </w:rPr>
        <w:t>Euratom</w:t>
      </w:r>
      <w:r w:rsidRPr="00EC5E1C">
        <w:t xml:space="preserve">, ar ko nosaka </w:t>
      </w:r>
      <w:r w:rsidRPr="00EC5E1C">
        <w:rPr>
          <w:i/>
          <w:iCs/>
        </w:rPr>
        <w:t>Euratom</w:t>
      </w:r>
      <w:r w:rsidRPr="00EC5E1C">
        <w:t xml:space="preserve"> Apgādes aģentūras statūtus</w:t>
      </w:r>
      <w:r w:rsidRPr="00EC5E1C">
        <w:rPr>
          <w:rStyle w:val="FootnoteReference"/>
        </w:rPr>
        <w:footnoteReference w:id="264"/>
      </w:r>
      <w:r w:rsidRPr="00EC5E1C">
        <w:t>, un jo īpaši tā pielikuma 8. pantu,</w:t>
      </w:r>
    </w:p>
    <w:p w14:paraId="5A1E2043" w14:textId="77777777" w:rsidR="00EA2C2C" w:rsidRPr="00EC5E1C" w:rsidRDefault="00EA2C2C" w:rsidP="00EA2C2C">
      <w:pPr>
        <w:pStyle w:val="NormalHanging12a"/>
      </w:pPr>
      <w:r w:rsidRPr="00EC5E1C">
        <w:t>–</w:t>
      </w:r>
      <w:r w:rsidRPr="00EC5E1C">
        <w:tab/>
        <w:t>ņemot vērā Reglamenta 102. pantu un V pielikumu,</w:t>
      </w:r>
    </w:p>
    <w:p w14:paraId="50C89530"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3A102D07" w14:textId="77777777" w:rsidR="00EA2C2C" w:rsidRPr="00EC5E1C" w:rsidRDefault="00EA2C2C" w:rsidP="00EA2C2C">
      <w:pPr>
        <w:pStyle w:val="NormalHanging12a"/>
      </w:pPr>
      <w:r w:rsidRPr="00EC5E1C">
        <w:t>–</w:t>
      </w:r>
      <w:r w:rsidRPr="00EC5E1C">
        <w:tab/>
        <w:t>ņemot vērā Budžeta kontroles komitejas ziņojumu (A10-0087/2026),</w:t>
      </w:r>
    </w:p>
    <w:p w14:paraId="199C302D" w14:textId="77777777" w:rsidR="00EA2C2C" w:rsidRPr="00EC5E1C" w:rsidRDefault="00EA2C2C" w:rsidP="00EA2C2C">
      <w:pPr>
        <w:pStyle w:val="NormalHanging12a"/>
      </w:pPr>
      <w:r w:rsidRPr="00EC5E1C">
        <w:t>1.</w:t>
      </w:r>
      <w:r w:rsidRPr="00EC5E1C">
        <w:tab/>
        <w:t xml:space="preserve">apstiprina </w:t>
      </w:r>
      <w:r w:rsidRPr="00EC5E1C">
        <w:rPr>
          <w:i/>
          <w:iCs/>
        </w:rPr>
        <w:t>Euratom</w:t>
      </w:r>
      <w:r w:rsidRPr="00EC5E1C">
        <w:t xml:space="preserve"> Apgādes aģentūras 2024. finanšu gada pārskatus;</w:t>
      </w:r>
    </w:p>
    <w:p w14:paraId="17F0DE88" w14:textId="77777777" w:rsidR="00EA2C2C" w:rsidRPr="00EC5E1C" w:rsidRDefault="00EA2C2C" w:rsidP="00EA2C2C">
      <w:pPr>
        <w:pStyle w:val="NormalHanging12a"/>
      </w:pPr>
      <w:r w:rsidRPr="00EC5E1C">
        <w:t>2.</w:t>
      </w:r>
      <w:r w:rsidRPr="00EC5E1C">
        <w:tab/>
        <w:t xml:space="preserve">uzdod priekšsēdētājai šo lēmumu nosūtīt </w:t>
      </w:r>
      <w:r w:rsidRPr="00EC5E1C">
        <w:rPr>
          <w:i/>
          <w:iCs/>
        </w:rPr>
        <w:t>Euratom</w:t>
      </w:r>
      <w:r w:rsidRPr="00EC5E1C">
        <w:t xml:space="preserve"> Apgādes aģentūras </w:t>
      </w:r>
      <w:r w:rsidRPr="00EC5E1C">
        <w:lastRenderedPageBreak/>
        <w:t xml:space="preserve">ģenerāldirektoram, Padomei, Komisijai un Revīzijas palātai un nodrošināt tā publicēšanu </w:t>
      </w:r>
      <w:r w:rsidRPr="00EC5E1C">
        <w:rPr>
          <w:i/>
          <w:iCs/>
        </w:rPr>
        <w:t>Eiropas Savienības Oficiālajā Vēstnesī</w:t>
      </w:r>
      <w:r w:rsidRPr="00EC5E1C">
        <w:t xml:space="preserve"> (L sērijā).</w:t>
      </w:r>
    </w:p>
    <w:p w14:paraId="0E95B305" w14:textId="77777777" w:rsidR="00EA2C2C" w:rsidRPr="00EC5E1C" w:rsidRDefault="00EA2C2C" w:rsidP="00EA2C2C"/>
    <w:p w14:paraId="20016F5B" w14:textId="77777777" w:rsidR="00EA2C2C" w:rsidRPr="00EC5E1C" w:rsidRDefault="00EA2C2C" w:rsidP="00EA2C2C"/>
    <w:p w14:paraId="7219B3CC" w14:textId="61C636C5" w:rsidR="00EA2C2C" w:rsidRPr="00EC5E1C" w:rsidRDefault="00EA2C2C" w:rsidP="00EA2C2C">
      <w:pPr>
        <w:pStyle w:val="PageHeadingDec"/>
      </w:pPr>
    </w:p>
    <w:p w14:paraId="5F138CB9" w14:textId="77777777" w:rsidR="00EA2C2C" w:rsidRPr="00EC5E1C" w:rsidRDefault="00EA2C2C" w:rsidP="00EA2C2C">
      <w:pPr>
        <w:pStyle w:val="PageHeadingDec"/>
        <w:sectPr w:rsidR="00EA2C2C" w:rsidRPr="00EC5E1C" w:rsidSect="00D106D3">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EABB41" w14:textId="77777777" w:rsidR="00B44DA1" w:rsidRPr="00EC5E1C" w:rsidRDefault="00B44DA1" w:rsidP="00B44DA1">
      <w:pPr>
        <w:pStyle w:val="ATHeading3"/>
      </w:pPr>
      <w:r w:rsidRPr="00EC5E1C">
        <w:lastRenderedPageBreak/>
        <w:t>45. Eiropas Parlamenta 2026. gada 29. aprīļa lēmums par Eiropas Vērtspapīru un tirgu iestādes 2024. finanšu gada budžeta izpildes apstiprināšanu (2025/2156(DEC))</w:t>
      </w:r>
    </w:p>
    <w:p w14:paraId="1DC2A339" w14:textId="77777777" w:rsidR="00EA2C2C" w:rsidRPr="00EC5E1C" w:rsidRDefault="00EA2C2C" w:rsidP="00EA2C2C">
      <w:pPr>
        <w:pStyle w:val="EPComma"/>
      </w:pPr>
      <w:r w:rsidRPr="00EC5E1C">
        <w:rPr>
          <w:i/>
          <w:iCs/>
        </w:rPr>
        <w:t>Eiropas Parlaments</w:t>
      </w:r>
      <w:r w:rsidRPr="00EC5E1C">
        <w:t>,</w:t>
      </w:r>
    </w:p>
    <w:p w14:paraId="4EFC9327" w14:textId="77777777" w:rsidR="00EA2C2C" w:rsidRPr="00EC5E1C" w:rsidRDefault="00EA2C2C" w:rsidP="00EA2C2C">
      <w:pPr>
        <w:pStyle w:val="NormalHanging12a"/>
      </w:pPr>
      <w:r w:rsidRPr="00EC5E1C">
        <w:t>–</w:t>
      </w:r>
      <w:r w:rsidRPr="00EC5E1C">
        <w:tab/>
        <w:t>ņemot vērā Eiropas Vērtspapīru un tirgu iestādes 2024. finanšu gada galīgos pārskatus,</w:t>
      </w:r>
    </w:p>
    <w:p w14:paraId="4AA62A04"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65"/>
      </w:r>
      <w:r w:rsidRPr="00EC5E1C">
        <w:t>,</w:t>
      </w:r>
    </w:p>
    <w:p w14:paraId="63A6B60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66"/>
      </w:r>
      <w:r w:rsidRPr="00EC5E1C">
        <w:t xml:space="preserve"> par pārskatu ticamību, kā arī par pakārtoto darījumu likumību un pareizību, kuru Revīzijas palāta sniegusi par 2024. finanšu gadu saskaņā ar Līguma par Eiropas Savienības darbību 287. pantu,</w:t>
      </w:r>
    </w:p>
    <w:p w14:paraId="0DA28EA1" w14:textId="77777777" w:rsidR="00EA2C2C" w:rsidRPr="00EC5E1C" w:rsidRDefault="00EA2C2C" w:rsidP="00EA2C2C">
      <w:pPr>
        <w:pStyle w:val="NormalHanging12a"/>
      </w:pPr>
      <w:r w:rsidRPr="00EC5E1C">
        <w:t>–</w:t>
      </w:r>
      <w:r w:rsidRPr="00EC5E1C">
        <w:tab/>
        <w:t>ņemot vērā Padomes 2026. gada 2. marta ieteikumu par apstiprinājumu, ko sniedz Iestādei par 2024. finanšu gada budžeta izpildi (05750/2026 – C10-0148/2026),</w:t>
      </w:r>
    </w:p>
    <w:p w14:paraId="304666AB" w14:textId="77777777" w:rsidR="00EA2C2C" w:rsidRPr="00EC5E1C" w:rsidRDefault="00EA2C2C" w:rsidP="00EA2C2C">
      <w:pPr>
        <w:pStyle w:val="NormalHanging12a"/>
      </w:pPr>
      <w:r w:rsidRPr="00EC5E1C">
        <w:t>–</w:t>
      </w:r>
      <w:r w:rsidRPr="00EC5E1C">
        <w:tab/>
        <w:t>ņemot vērā Līguma par Eiropas Savienības darbību 319. pantu,</w:t>
      </w:r>
    </w:p>
    <w:p w14:paraId="17DD8018"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67"/>
      </w:r>
      <w:r w:rsidRPr="00EC5E1C">
        <w:t>, un jo īpaši tās 70. pantu,</w:t>
      </w:r>
    </w:p>
    <w:p w14:paraId="2787E79F"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68"/>
      </w:r>
      <w:r w:rsidRPr="00EC5E1C">
        <w:t>, un jo īpaši tās 70. pantu,</w:t>
      </w:r>
    </w:p>
    <w:p w14:paraId="23CD7C81" w14:textId="77777777" w:rsidR="00EA2C2C" w:rsidRPr="00EC5E1C" w:rsidRDefault="00EA2C2C" w:rsidP="00EA2C2C">
      <w:pPr>
        <w:pStyle w:val="NormalHanging12a"/>
      </w:pPr>
      <w:r w:rsidRPr="00EC5E1C">
        <w:t>–</w:t>
      </w:r>
      <w:r w:rsidRPr="00EC5E1C">
        <w:tab/>
        <w:t>ņemot vērā Eiropas Parlamenta un Padomes 2010. gada 24. novembra Regulu (ES) Nr. 1095/2010, ar ko izveido Eiropas Uzraudzības iestādi (Eiropas Vērtspapīru un tirgu iestādi), groza Lēmumu Nr. 716/2009/EK un atceļ Komisijas Lēmumu 2009/77/EK</w:t>
      </w:r>
      <w:r w:rsidRPr="00EC5E1C">
        <w:rPr>
          <w:rStyle w:val="FootnoteReference"/>
        </w:rPr>
        <w:footnoteReference w:id="269"/>
      </w:r>
      <w:r w:rsidRPr="00EC5E1C">
        <w:t>, un jo īpaši tās 64. pantu,</w:t>
      </w:r>
    </w:p>
    <w:p w14:paraId="1D2E2E1E"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70"/>
      </w:r>
      <w:r w:rsidRPr="00EC5E1C">
        <w:t>, un jo īpaši tās 105. pantu,</w:t>
      </w:r>
    </w:p>
    <w:p w14:paraId="0FABF2CB" w14:textId="77777777" w:rsidR="00EA2C2C" w:rsidRPr="00EC5E1C" w:rsidRDefault="00EA2C2C" w:rsidP="00EA2C2C">
      <w:pPr>
        <w:pStyle w:val="NormalHanging12a"/>
      </w:pPr>
      <w:r w:rsidRPr="00EC5E1C">
        <w:t>–</w:t>
      </w:r>
      <w:r w:rsidRPr="00EC5E1C">
        <w:tab/>
        <w:t>ņemot vērā Reglamenta 102. pantu un V pielikumu,</w:t>
      </w:r>
    </w:p>
    <w:p w14:paraId="528E0A92"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2E385F0D" w14:textId="77777777" w:rsidR="00EA2C2C" w:rsidRPr="00EC5E1C" w:rsidRDefault="00EA2C2C" w:rsidP="00EA2C2C">
      <w:pPr>
        <w:pStyle w:val="NormalHanging12a"/>
      </w:pPr>
      <w:r w:rsidRPr="00EC5E1C">
        <w:t>–</w:t>
      </w:r>
      <w:r w:rsidRPr="00EC5E1C">
        <w:tab/>
        <w:t>ņemot vērā Budžeta kontroles komitejas ziņojumu (A10-0087/2026),</w:t>
      </w:r>
    </w:p>
    <w:p w14:paraId="43A351A9" w14:textId="77777777" w:rsidR="00EA2C2C" w:rsidRPr="00EC5E1C" w:rsidRDefault="00EA2C2C" w:rsidP="00EA2C2C">
      <w:pPr>
        <w:pStyle w:val="NormalHanging12a"/>
      </w:pPr>
      <w:r w:rsidRPr="00EC5E1C">
        <w:t>1.</w:t>
      </w:r>
      <w:r w:rsidRPr="00EC5E1C">
        <w:tab/>
        <w:t>sniedz Eiropas Vērtspapīru un tirgu iestādes izpilddirektorei apstiprinājumu par Iestādes 2024. finanšu gada budžeta izpildi;</w:t>
      </w:r>
    </w:p>
    <w:p w14:paraId="6B80955C" w14:textId="77777777" w:rsidR="00EA2C2C" w:rsidRPr="00EC5E1C" w:rsidRDefault="00EA2C2C" w:rsidP="00EA2C2C">
      <w:pPr>
        <w:pStyle w:val="NormalHanging12a"/>
      </w:pPr>
      <w:r w:rsidRPr="00EC5E1C">
        <w:t>2.</w:t>
      </w:r>
      <w:r w:rsidRPr="00EC5E1C">
        <w:tab/>
        <w:t>izklāsta savus konstatējumus turpmāk tekstā iekļautajā rezolūcijā;</w:t>
      </w:r>
    </w:p>
    <w:p w14:paraId="3EEEE9E0"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Vērtspapīru un tirgu iestādes izpilddirektorei, Padomei, Komisijai un Revīzijas palātai un nodrošināt to publicēšanu </w:t>
      </w:r>
      <w:r w:rsidRPr="00EC5E1C">
        <w:rPr>
          <w:i/>
          <w:iCs/>
        </w:rPr>
        <w:t>Eiropas Savienības Oficiālajā Vēstnesī</w:t>
      </w:r>
      <w:r w:rsidRPr="00EC5E1C">
        <w:t xml:space="preserve"> (L sērijā).</w:t>
      </w:r>
    </w:p>
    <w:p w14:paraId="6E8F0F2A" w14:textId="77777777" w:rsidR="00EA2C2C" w:rsidRPr="00EC5E1C" w:rsidRDefault="00EA2C2C" w:rsidP="00EA2C2C"/>
    <w:p w14:paraId="0145A178" w14:textId="77777777" w:rsidR="00EA2C2C" w:rsidRPr="00EC5E1C" w:rsidRDefault="00EA2C2C" w:rsidP="00EA2C2C">
      <w:pPr>
        <w:pStyle w:val="PageHeadingDec"/>
        <w:sectPr w:rsidR="00EA2C2C" w:rsidRPr="00EC5E1C" w:rsidSect="00D106D3">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222F77" w14:textId="77777777" w:rsidR="00B44DA1" w:rsidRPr="00EC5E1C" w:rsidRDefault="00B44DA1" w:rsidP="00B44DA1">
      <w:pPr>
        <w:pStyle w:val="ATHeading3"/>
      </w:pPr>
      <w:r w:rsidRPr="00EC5E1C">
        <w:lastRenderedPageBreak/>
        <w:t>46. Eiropas Parlamenta 2026. gada 29. aprīļa lēmums par Eiropas Vērtspapīru un tirgu iestādes 2024. finanšu gada pārskatu apstiprināšanu (2025/2156(DEC))</w:t>
      </w:r>
    </w:p>
    <w:p w14:paraId="50387F72" w14:textId="77777777" w:rsidR="00EA2C2C" w:rsidRPr="00EC5E1C" w:rsidRDefault="00EA2C2C" w:rsidP="00EA2C2C">
      <w:pPr>
        <w:pStyle w:val="EPComma"/>
      </w:pPr>
      <w:r w:rsidRPr="00EC5E1C">
        <w:rPr>
          <w:i/>
          <w:iCs/>
        </w:rPr>
        <w:t>Eiropas Parlaments</w:t>
      </w:r>
      <w:r w:rsidRPr="00EC5E1C">
        <w:t>,</w:t>
      </w:r>
    </w:p>
    <w:p w14:paraId="227E14BA" w14:textId="77777777" w:rsidR="00EA2C2C" w:rsidRPr="00EC5E1C" w:rsidRDefault="00EA2C2C" w:rsidP="00EA2C2C">
      <w:pPr>
        <w:pStyle w:val="NormalHanging12a"/>
      </w:pPr>
      <w:r w:rsidRPr="00EC5E1C">
        <w:t>–</w:t>
      </w:r>
      <w:r w:rsidRPr="00EC5E1C">
        <w:tab/>
        <w:t>ņemot vērā Eiropas Vērtspapīru un tirgu iestādes 2024. finanšu gada galīgos pārskatus,</w:t>
      </w:r>
    </w:p>
    <w:p w14:paraId="59EDF504"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71"/>
      </w:r>
      <w:r w:rsidRPr="00EC5E1C">
        <w:t>,</w:t>
      </w:r>
    </w:p>
    <w:p w14:paraId="18DD854E"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72"/>
      </w:r>
      <w:r w:rsidRPr="00EC5E1C">
        <w:t xml:space="preserve"> par pārskatu ticamību, kā arī par pakārtoto darījumu likumību un pareizību, kuru Revīzijas palāta sniegusi par 2024. finanšu gadu saskaņā ar Līguma par Eiropas Savienības darbību 287. pantu,</w:t>
      </w:r>
    </w:p>
    <w:p w14:paraId="054FB591" w14:textId="77777777" w:rsidR="00EA2C2C" w:rsidRPr="00EC5E1C" w:rsidRDefault="00EA2C2C" w:rsidP="00EA2C2C">
      <w:pPr>
        <w:pStyle w:val="NormalHanging12a"/>
      </w:pPr>
      <w:r w:rsidRPr="00EC5E1C">
        <w:t>–</w:t>
      </w:r>
      <w:r w:rsidRPr="00EC5E1C">
        <w:tab/>
        <w:t>ņemot vērā Padomes 2026. gada 2. marta ieteikumu par apstiprinājumu, ko sniedz Iestādei par 2024. finanšu gada budžeta izpildi (05750/2026 – C10-0148/2026),</w:t>
      </w:r>
    </w:p>
    <w:p w14:paraId="5DF51FF1" w14:textId="77777777" w:rsidR="00EA2C2C" w:rsidRPr="00EC5E1C" w:rsidRDefault="00EA2C2C" w:rsidP="00EA2C2C">
      <w:pPr>
        <w:pStyle w:val="NormalHanging12a"/>
      </w:pPr>
      <w:r w:rsidRPr="00EC5E1C">
        <w:t>–</w:t>
      </w:r>
      <w:r w:rsidRPr="00EC5E1C">
        <w:tab/>
        <w:t>ņemot vērā Līguma par Eiropas Savienības darbību 319. pantu,</w:t>
      </w:r>
    </w:p>
    <w:p w14:paraId="1FD73718"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73"/>
      </w:r>
      <w:r w:rsidRPr="00EC5E1C">
        <w:t>, un jo īpaši tās 70. pantu,</w:t>
      </w:r>
    </w:p>
    <w:p w14:paraId="1E6965B1"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74"/>
      </w:r>
      <w:r w:rsidRPr="00EC5E1C">
        <w:t>, un jo īpaši tās 70. pantu,</w:t>
      </w:r>
    </w:p>
    <w:p w14:paraId="4C6F0633" w14:textId="77777777" w:rsidR="00EA2C2C" w:rsidRPr="00EC5E1C" w:rsidRDefault="00EA2C2C" w:rsidP="00EA2C2C">
      <w:pPr>
        <w:pStyle w:val="NormalHanging12a"/>
      </w:pPr>
      <w:r w:rsidRPr="00EC5E1C">
        <w:t>–</w:t>
      </w:r>
      <w:r w:rsidRPr="00EC5E1C">
        <w:tab/>
        <w:t>ņemot vērā Eiropas Parlamenta un Padomes 2010. gada 24. novembra Regulu (ES) Nr. 1095/2010, ar ko izveido Eiropas Uzraudzības iestādi (Eiropas Vērtspapīru un tirgu iestādi), groza Lēmumu Nr. 716/2009/EK un atceļ Komisijas Lēmumu 2009/77/EK</w:t>
      </w:r>
      <w:r w:rsidRPr="00EC5E1C">
        <w:rPr>
          <w:rStyle w:val="FootnoteReference"/>
        </w:rPr>
        <w:footnoteReference w:id="275"/>
      </w:r>
      <w:r w:rsidRPr="00EC5E1C">
        <w:t>, un jo īpaši tās 64. pantu,</w:t>
      </w:r>
    </w:p>
    <w:p w14:paraId="5A4DB6A1"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76"/>
      </w:r>
      <w:r w:rsidRPr="00EC5E1C">
        <w:t>, un jo īpaši tās 105. pantu,</w:t>
      </w:r>
    </w:p>
    <w:p w14:paraId="7264321A" w14:textId="77777777" w:rsidR="00EA2C2C" w:rsidRPr="00EC5E1C" w:rsidRDefault="00EA2C2C" w:rsidP="00EA2C2C">
      <w:pPr>
        <w:pStyle w:val="NormalHanging12a"/>
      </w:pPr>
      <w:r w:rsidRPr="00EC5E1C">
        <w:t>–</w:t>
      </w:r>
      <w:r w:rsidRPr="00EC5E1C">
        <w:tab/>
        <w:t>ņemot vērā Reglamenta 102. pantu un V pielikumu,</w:t>
      </w:r>
    </w:p>
    <w:p w14:paraId="08E2F3B4"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05ABF55E" w14:textId="77777777" w:rsidR="00EA2C2C" w:rsidRPr="00EC5E1C" w:rsidRDefault="00EA2C2C" w:rsidP="00EA2C2C">
      <w:pPr>
        <w:pStyle w:val="NormalHanging12a"/>
      </w:pPr>
      <w:r w:rsidRPr="00EC5E1C">
        <w:t>–</w:t>
      </w:r>
      <w:r w:rsidRPr="00EC5E1C">
        <w:tab/>
        <w:t>ņemot vērā Budžeta kontroles komitejas ziņojumu (A10-0087/2026),</w:t>
      </w:r>
    </w:p>
    <w:p w14:paraId="30F0DABC" w14:textId="77777777" w:rsidR="00EA2C2C" w:rsidRPr="00EC5E1C" w:rsidRDefault="00EA2C2C" w:rsidP="00EA2C2C">
      <w:pPr>
        <w:pStyle w:val="NormalHanging12a"/>
      </w:pPr>
      <w:r w:rsidRPr="00EC5E1C">
        <w:t>1.</w:t>
      </w:r>
      <w:r w:rsidRPr="00EC5E1C">
        <w:tab/>
        <w:t>apstiprina Eiropas Vērtspapīru un tirgu iestādes 2024. finanšu gada pārskatus;</w:t>
      </w:r>
    </w:p>
    <w:p w14:paraId="230431FE" w14:textId="77777777" w:rsidR="00EA2C2C" w:rsidRPr="00EC5E1C" w:rsidRDefault="00EA2C2C" w:rsidP="00EA2C2C">
      <w:pPr>
        <w:pStyle w:val="NormalHanging12a"/>
      </w:pPr>
      <w:r w:rsidRPr="00EC5E1C">
        <w:t>2.</w:t>
      </w:r>
      <w:r w:rsidRPr="00EC5E1C">
        <w:tab/>
        <w:t xml:space="preserve">uzdod priekšsēdētājai šo lēmumu nosūtīt Eiropas Vērtspapīru un tirgu iestādes izpilddirektorei, Padomei, Komisijai un Revīzijas palātai un nodrošināt tā publicēšanu </w:t>
      </w:r>
      <w:r w:rsidRPr="00EC5E1C">
        <w:rPr>
          <w:i/>
          <w:iCs/>
        </w:rPr>
        <w:t>Eiropas Savienības Oficiālajā Vēstnesī</w:t>
      </w:r>
      <w:r w:rsidRPr="00EC5E1C">
        <w:t xml:space="preserve"> (L sērijā).</w:t>
      </w:r>
    </w:p>
    <w:p w14:paraId="72FEB2FD" w14:textId="77777777" w:rsidR="00EA2C2C" w:rsidRPr="00EC5E1C" w:rsidRDefault="00EA2C2C" w:rsidP="00EA2C2C"/>
    <w:p w14:paraId="30258C52" w14:textId="77777777" w:rsidR="00EA2C2C" w:rsidRPr="00EC5E1C" w:rsidRDefault="00EA2C2C" w:rsidP="00EA2C2C"/>
    <w:p w14:paraId="2B84FBBC" w14:textId="09927360" w:rsidR="00EA2C2C" w:rsidRPr="00EC5E1C" w:rsidRDefault="00EA2C2C" w:rsidP="00EA2C2C">
      <w:pPr>
        <w:pStyle w:val="PageHeadingDec"/>
      </w:pPr>
    </w:p>
    <w:p w14:paraId="27BA1BE3" w14:textId="77777777" w:rsidR="00EA2C2C" w:rsidRPr="00EC5E1C" w:rsidRDefault="00EA2C2C" w:rsidP="00EA2C2C">
      <w:pPr>
        <w:pStyle w:val="PageHeadingDec"/>
        <w:sectPr w:rsidR="00EA2C2C" w:rsidRPr="00EC5E1C" w:rsidSect="00D106D3">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31E44B" w14:textId="77777777" w:rsidR="00B44DA1" w:rsidRPr="00EC5E1C" w:rsidRDefault="00B44DA1" w:rsidP="00B44DA1">
      <w:pPr>
        <w:pStyle w:val="ATHeading3"/>
      </w:pPr>
      <w:r w:rsidRPr="00EC5E1C">
        <w:lastRenderedPageBreak/>
        <w:t>47. Eiropas Parlamenta 2026. gada 29. aprīļa lēmums par Eiropas Izglītības fonda 2024. finanšu gada budžeta izpildes apstiprināšanu (2025/2156(DEC))</w:t>
      </w:r>
    </w:p>
    <w:p w14:paraId="3EDF41EC" w14:textId="77777777" w:rsidR="00EA2C2C" w:rsidRPr="00EC5E1C" w:rsidRDefault="00EA2C2C" w:rsidP="00EA2C2C">
      <w:pPr>
        <w:pStyle w:val="EPComma"/>
      </w:pPr>
      <w:r w:rsidRPr="00EC5E1C">
        <w:rPr>
          <w:i/>
          <w:iCs/>
        </w:rPr>
        <w:t>Eiropas Parlaments</w:t>
      </w:r>
      <w:r w:rsidRPr="00EC5E1C">
        <w:t>,</w:t>
      </w:r>
    </w:p>
    <w:p w14:paraId="15F0C6F0" w14:textId="77777777" w:rsidR="00EA2C2C" w:rsidRPr="00EC5E1C" w:rsidRDefault="00EA2C2C" w:rsidP="00EA2C2C">
      <w:pPr>
        <w:pStyle w:val="NormalHanging12a"/>
      </w:pPr>
      <w:r w:rsidRPr="00EC5E1C">
        <w:t>–</w:t>
      </w:r>
      <w:r w:rsidRPr="00EC5E1C">
        <w:tab/>
        <w:t>ņemot vērā Eiropas Izglītības fonda 2024. finanšu gada galīgos pārskatus,</w:t>
      </w:r>
    </w:p>
    <w:p w14:paraId="510CB49C"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77"/>
      </w:r>
      <w:r w:rsidRPr="00EC5E1C">
        <w:t>,</w:t>
      </w:r>
    </w:p>
    <w:p w14:paraId="6F79B330"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78"/>
      </w:r>
      <w:r w:rsidRPr="00EC5E1C">
        <w:t xml:space="preserve"> par pārskatu ticamību, kā arī par pakārtoto darījumu likumību un pareizību, kuru Revīzijas palāta sniegusi par 2024. finanšu gadu saskaņā ar Līguma par Eiropas Savienības darbību 287. pantu,</w:t>
      </w:r>
    </w:p>
    <w:p w14:paraId="2ADC3592" w14:textId="77777777" w:rsidR="00EA2C2C" w:rsidRPr="00EC5E1C" w:rsidRDefault="00EA2C2C" w:rsidP="00EA2C2C">
      <w:pPr>
        <w:pStyle w:val="NormalHanging12a"/>
      </w:pPr>
      <w:r w:rsidRPr="00EC5E1C">
        <w:t>–</w:t>
      </w:r>
      <w:r w:rsidRPr="00EC5E1C">
        <w:tab/>
        <w:t>ņemot vērā Padomes 2026. gada 2. marta ieteikumu par apstiprinājumu, ko sniedz Fondam par 2024. finanšu gada budžeta izpildi (05750/2026 – C10-0148/2026),</w:t>
      </w:r>
    </w:p>
    <w:p w14:paraId="5CFFE2B3" w14:textId="77777777" w:rsidR="00EA2C2C" w:rsidRPr="00EC5E1C" w:rsidRDefault="00EA2C2C" w:rsidP="00EA2C2C">
      <w:pPr>
        <w:pStyle w:val="NormalHanging12a"/>
      </w:pPr>
      <w:r w:rsidRPr="00EC5E1C">
        <w:t>–</w:t>
      </w:r>
      <w:r w:rsidRPr="00EC5E1C">
        <w:tab/>
        <w:t>ņemot vērā Līguma par Eiropas Savienības darbību 319. pantu,</w:t>
      </w:r>
    </w:p>
    <w:p w14:paraId="5FA8E3DD"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79"/>
      </w:r>
      <w:r w:rsidRPr="00EC5E1C">
        <w:t>, un jo īpaši tās 70. pantu,</w:t>
      </w:r>
    </w:p>
    <w:p w14:paraId="6D3A7245"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80"/>
      </w:r>
      <w:r w:rsidRPr="00EC5E1C">
        <w:t>, un jo īpaši tās 70. pantu,</w:t>
      </w:r>
    </w:p>
    <w:p w14:paraId="763EAADD" w14:textId="77777777" w:rsidR="00EA2C2C" w:rsidRPr="00EC5E1C" w:rsidRDefault="00EA2C2C" w:rsidP="00EA2C2C">
      <w:pPr>
        <w:pStyle w:val="NormalHanging12a"/>
      </w:pPr>
      <w:r w:rsidRPr="00EC5E1C">
        <w:t>–</w:t>
      </w:r>
      <w:r w:rsidRPr="00EC5E1C">
        <w:tab/>
        <w:t>ņemot vērā Eiropas Parlamenta un Padomes 2008. gada 16. decembra Regulu (EK) Nr. 1339/2008, ar ko izveido Eiropas Izglītības fondu</w:t>
      </w:r>
      <w:r w:rsidRPr="00EC5E1C">
        <w:rPr>
          <w:rStyle w:val="FootnoteReference"/>
        </w:rPr>
        <w:footnoteReference w:id="281"/>
      </w:r>
      <w:r w:rsidRPr="00EC5E1C">
        <w:t>, un jo īpaši tās 17. pantu,</w:t>
      </w:r>
    </w:p>
    <w:p w14:paraId="5D2DCC68"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82"/>
      </w:r>
      <w:r w:rsidRPr="00EC5E1C">
        <w:t>, un jo īpaši tās 105. pantu,</w:t>
      </w:r>
    </w:p>
    <w:p w14:paraId="41078FD1" w14:textId="77777777" w:rsidR="00EA2C2C" w:rsidRPr="00EC5E1C" w:rsidRDefault="00EA2C2C" w:rsidP="00EA2C2C">
      <w:pPr>
        <w:pStyle w:val="NormalHanging12a"/>
      </w:pPr>
      <w:r w:rsidRPr="00EC5E1C">
        <w:t>–</w:t>
      </w:r>
      <w:r w:rsidRPr="00EC5E1C">
        <w:tab/>
        <w:t>ņemot vērā Reglamenta 102. pantu un V pielikumu,</w:t>
      </w:r>
    </w:p>
    <w:p w14:paraId="5A251D31"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5CDDB997" w14:textId="77777777" w:rsidR="00EA2C2C" w:rsidRPr="00EC5E1C" w:rsidRDefault="00EA2C2C" w:rsidP="00EA2C2C">
      <w:pPr>
        <w:pStyle w:val="NormalHanging12a"/>
      </w:pPr>
      <w:r w:rsidRPr="00EC5E1C">
        <w:lastRenderedPageBreak/>
        <w:t>–</w:t>
      </w:r>
      <w:r w:rsidRPr="00EC5E1C">
        <w:tab/>
        <w:t>ņemot vērā Budžeta kontroles komitejas ziņojumu (A10-0087/2026),</w:t>
      </w:r>
    </w:p>
    <w:p w14:paraId="4125B910" w14:textId="77777777" w:rsidR="00EA2C2C" w:rsidRPr="00EC5E1C" w:rsidRDefault="00EA2C2C" w:rsidP="00EA2C2C">
      <w:pPr>
        <w:pStyle w:val="NormalHanging12a"/>
      </w:pPr>
      <w:r w:rsidRPr="00EC5E1C">
        <w:t>1.</w:t>
      </w:r>
      <w:r w:rsidRPr="00EC5E1C">
        <w:tab/>
        <w:t>sniedz Eiropas Izglītības fonda direktorei apstiprinājumu par Fonda 2024. finanšu gada budžeta izpildi;</w:t>
      </w:r>
    </w:p>
    <w:p w14:paraId="5F39612B" w14:textId="77777777" w:rsidR="00EA2C2C" w:rsidRPr="00EC5E1C" w:rsidRDefault="00EA2C2C" w:rsidP="00EA2C2C">
      <w:pPr>
        <w:pStyle w:val="NormalHanging12a"/>
      </w:pPr>
      <w:r w:rsidRPr="00EC5E1C">
        <w:t>2.</w:t>
      </w:r>
      <w:r w:rsidRPr="00EC5E1C">
        <w:tab/>
        <w:t>izklāsta savus konstatējumus turpmāk tekstā iekļautajā rezolūcijā;</w:t>
      </w:r>
    </w:p>
    <w:p w14:paraId="37519DF7"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Izglītības fonda direktorei, Padomei, Komisijai un Revīzijas palātai un nodrošināt to publicēšanu </w:t>
      </w:r>
      <w:r w:rsidRPr="00EC5E1C">
        <w:rPr>
          <w:i/>
          <w:iCs/>
        </w:rPr>
        <w:t>Eiropas Savienības Oficiālajā Vēstnesī</w:t>
      </w:r>
      <w:r w:rsidRPr="00EC5E1C">
        <w:t xml:space="preserve"> (L sērijā).</w:t>
      </w:r>
    </w:p>
    <w:p w14:paraId="5125E36C" w14:textId="77777777" w:rsidR="00EA2C2C" w:rsidRPr="00EC5E1C" w:rsidRDefault="00EA2C2C" w:rsidP="00EA2C2C"/>
    <w:p w14:paraId="35928625" w14:textId="77777777" w:rsidR="00EA2C2C" w:rsidRPr="00EC5E1C" w:rsidRDefault="00EA2C2C" w:rsidP="00EA2C2C">
      <w:pPr>
        <w:pStyle w:val="PageHeadingDec"/>
        <w:sectPr w:rsidR="00EA2C2C" w:rsidRPr="00EC5E1C" w:rsidSect="00D106D3">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315C6C" w14:textId="77777777" w:rsidR="00B44DA1" w:rsidRPr="00EC5E1C" w:rsidRDefault="00B44DA1" w:rsidP="00B44DA1">
      <w:pPr>
        <w:pStyle w:val="ATHeading3"/>
      </w:pPr>
      <w:r w:rsidRPr="00EC5E1C">
        <w:lastRenderedPageBreak/>
        <w:t>48. Eiropas Parlamenta 2026. gada 29. aprīļa lēmums par Eiropas Izglītības fonda 2024. finanšu gada pārskatu apstiprināšanu (2025/2156(DEC))</w:t>
      </w:r>
    </w:p>
    <w:p w14:paraId="3B3AA819" w14:textId="77777777" w:rsidR="00EA2C2C" w:rsidRPr="00EC5E1C" w:rsidRDefault="00EA2C2C" w:rsidP="00EA2C2C">
      <w:pPr>
        <w:pStyle w:val="EPComma"/>
      </w:pPr>
      <w:r w:rsidRPr="00EC5E1C">
        <w:rPr>
          <w:i/>
          <w:iCs/>
        </w:rPr>
        <w:t>Eiropas Parlaments</w:t>
      </w:r>
      <w:r w:rsidRPr="00EC5E1C">
        <w:t>,</w:t>
      </w:r>
    </w:p>
    <w:p w14:paraId="544FA604" w14:textId="77777777" w:rsidR="00EA2C2C" w:rsidRPr="00EC5E1C" w:rsidRDefault="00EA2C2C" w:rsidP="00EA2C2C">
      <w:pPr>
        <w:pStyle w:val="NormalHanging12a"/>
      </w:pPr>
      <w:r w:rsidRPr="00EC5E1C">
        <w:t>–</w:t>
      </w:r>
      <w:r w:rsidRPr="00EC5E1C">
        <w:tab/>
        <w:t>ņemot vērā Eiropas Izglītības fonda 2024. finanšu gada galīgos pārskatus,</w:t>
      </w:r>
    </w:p>
    <w:p w14:paraId="0EA0C69E"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83"/>
      </w:r>
      <w:r w:rsidRPr="00EC5E1C">
        <w:t>,</w:t>
      </w:r>
    </w:p>
    <w:p w14:paraId="48F042BC"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84"/>
      </w:r>
      <w:r w:rsidRPr="00EC5E1C">
        <w:t xml:space="preserve"> par pārskatu ticamību, kā arī par pakārtoto darījumu likumību un pareizību, kuru Revīzijas palāta sniegusi par 2024. finanšu gadu saskaņā ar Līguma par Eiropas Savienības darbību 287. pantu,</w:t>
      </w:r>
    </w:p>
    <w:p w14:paraId="443D0DFF" w14:textId="77777777" w:rsidR="00EA2C2C" w:rsidRPr="00EC5E1C" w:rsidRDefault="00EA2C2C" w:rsidP="00EA2C2C">
      <w:pPr>
        <w:pStyle w:val="NormalHanging12a"/>
      </w:pPr>
      <w:r w:rsidRPr="00EC5E1C">
        <w:t>–</w:t>
      </w:r>
      <w:r w:rsidRPr="00EC5E1C">
        <w:tab/>
        <w:t>ņemot vērā Padomes 2026. gada 2. marta ieteikumu par apstiprinājumu, ko sniedz Fondam par 2024. finanšu gada budžeta izpildi (05750/2026 – C10-0148/2026),</w:t>
      </w:r>
    </w:p>
    <w:p w14:paraId="754ED875" w14:textId="77777777" w:rsidR="00EA2C2C" w:rsidRPr="00EC5E1C" w:rsidRDefault="00EA2C2C" w:rsidP="00EA2C2C">
      <w:pPr>
        <w:pStyle w:val="NormalHanging12a"/>
      </w:pPr>
      <w:r w:rsidRPr="00EC5E1C">
        <w:t>–</w:t>
      </w:r>
      <w:r w:rsidRPr="00EC5E1C">
        <w:tab/>
        <w:t>ņemot vērā Līguma par Eiropas Savienības darbību 319. pantu,</w:t>
      </w:r>
    </w:p>
    <w:p w14:paraId="6CD30520"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85"/>
      </w:r>
      <w:r w:rsidRPr="00EC5E1C">
        <w:t>, un jo īpaši tās 70. pantu,</w:t>
      </w:r>
    </w:p>
    <w:p w14:paraId="767889F1"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86"/>
      </w:r>
      <w:r w:rsidRPr="00EC5E1C">
        <w:t>, un jo īpaši tās 70. pantu,</w:t>
      </w:r>
    </w:p>
    <w:p w14:paraId="0950E35B" w14:textId="77777777" w:rsidR="00EA2C2C" w:rsidRPr="00EC5E1C" w:rsidRDefault="00EA2C2C" w:rsidP="00EA2C2C">
      <w:pPr>
        <w:pStyle w:val="NormalHanging12a"/>
      </w:pPr>
      <w:r w:rsidRPr="00EC5E1C">
        <w:t>–</w:t>
      </w:r>
      <w:r w:rsidRPr="00EC5E1C">
        <w:tab/>
        <w:t>ņemot vērā Eiropas Parlamenta un Padomes 2008. gada 16. decembra Regulu (EK) Nr. 1339/2008, ar ko izveido Eiropas Izglītības fondu</w:t>
      </w:r>
      <w:r w:rsidRPr="00EC5E1C">
        <w:rPr>
          <w:rStyle w:val="FootnoteReference"/>
        </w:rPr>
        <w:footnoteReference w:id="287"/>
      </w:r>
      <w:r w:rsidRPr="00EC5E1C">
        <w:t>, un jo īpaši tās 17. pantu,</w:t>
      </w:r>
    </w:p>
    <w:p w14:paraId="7F2ED6D2"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88"/>
      </w:r>
      <w:r w:rsidRPr="00EC5E1C">
        <w:t>, un jo īpaši tās 105. pantu,</w:t>
      </w:r>
    </w:p>
    <w:p w14:paraId="42F44268" w14:textId="77777777" w:rsidR="00EA2C2C" w:rsidRPr="00EC5E1C" w:rsidRDefault="00EA2C2C" w:rsidP="00EA2C2C">
      <w:pPr>
        <w:pStyle w:val="NormalHanging12a"/>
      </w:pPr>
      <w:r w:rsidRPr="00EC5E1C">
        <w:t>–</w:t>
      </w:r>
      <w:r w:rsidRPr="00EC5E1C">
        <w:tab/>
        <w:t>ņemot vērā Reglamenta 102. pantu un V pielikumu,</w:t>
      </w:r>
    </w:p>
    <w:p w14:paraId="2FA45D09"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4F91E029" w14:textId="77777777" w:rsidR="00EA2C2C" w:rsidRPr="00EC5E1C" w:rsidRDefault="00EA2C2C" w:rsidP="00EA2C2C">
      <w:pPr>
        <w:pStyle w:val="NormalHanging12a"/>
      </w:pPr>
      <w:r w:rsidRPr="00EC5E1C">
        <w:lastRenderedPageBreak/>
        <w:t>–</w:t>
      </w:r>
      <w:r w:rsidRPr="00EC5E1C">
        <w:tab/>
        <w:t>ņemot vērā Budžeta kontroles komitejas ziņojumu (A10-0087/2026),</w:t>
      </w:r>
    </w:p>
    <w:p w14:paraId="2A516015" w14:textId="77777777" w:rsidR="00EA2C2C" w:rsidRPr="00EC5E1C" w:rsidRDefault="00EA2C2C" w:rsidP="00EA2C2C">
      <w:pPr>
        <w:pStyle w:val="NormalHanging12a"/>
      </w:pPr>
      <w:r w:rsidRPr="00EC5E1C">
        <w:t>1.</w:t>
      </w:r>
      <w:r w:rsidRPr="00EC5E1C">
        <w:tab/>
        <w:t>apstiprina Eiropas Izglītības fonda 2024. finanšu gada pārskatus;</w:t>
      </w:r>
    </w:p>
    <w:p w14:paraId="0EDFE1A5" w14:textId="77777777" w:rsidR="00EA2C2C" w:rsidRPr="00EC5E1C" w:rsidRDefault="00EA2C2C" w:rsidP="00EA2C2C">
      <w:pPr>
        <w:pStyle w:val="NormalHanging12a"/>
      </w:pPr>
      <w:r w:rsidRPr="00EC5E1C">
        <w:t>2.</w:t>
      </w:r>
      <w:r w:rsidRPr="00EC5E1C">
        <w:tab/>
        <w:t xml:space="preserve">uzdod priekšsēdētājai šo lēmumu nosūtīt Eiropas Izglītības fonda direktorei, Padomei, Komisijai un Revīzijas palātai un nodrošināt tā publicēšanu </w:t>
      </w:r>
      <w:r w:rsidRPr="00EC5E1C">
        <w:rPr>
          <w:i/>
          <w:iCs/>
        </w:rPr>
        <w:t>Eiropas Savienības Oficiālajā Vēstnesī</w:t>
      </w:r>
      <w:r w:rsidRPr="00EC5E1C">
        <w:t xml:space="preserve"> (L sērijā).</w:t>
      </w:r>
    </w:p>
    <w:p w14:paraId="3DE02C84" w14:textId="77777777" w:rsidR="00EA2C2C" w:rsidRPr="00EC5E1C" w:rsidRDefault="00EA2C2C" w:rsidP="00EA2C2C"/>
    <w:p w14:paraId="5C1898EC" w14:textId="77777777" w:rsidR="00EA2C2C" w:rsidRPr="00EC5E1C" w:rsidRDefault="00EA2C2C" w:rsidP="00EA2C2C"/>
    <w:p w14:paraId="36AF6ED3" w14:textId="0CA0509C" w:rsidR="00EA2C2C" w:rsidRPr="00EC5E1C" w:rsidRDefault="00EA2C2C" w:rsidP="00EA2C2C">
      <w:pPr>
        <w:pStyle w:val="PageHeadingDec"/>
      </w:pPr>
    </w:p>
    <w:p w14:paraId="033B6D5F" w14:textId="77777777" w:rsidR="00EA2C2C" w:rsidRPr="00EC5E1C" w:rsidRDefault="00EA2C2C" w:rsidP="00EA2C2C">
      <w:pPr>
        <w:pStyle w:val="PageHeadingDec"/>
        <w:sectPr w:rsidR="00EA2C2C" w:rsidRPr="00EC5E1C" w:rsidSect="00D106D3">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518F10" w14:textId="77777777" w:rsidR="00B44DA1" w:rsidRPr="00EC5E1C" w:rsidRDefault="00B44DA1" w:rsidP="00B44DA1">
      <w:pPr>
        <w:pStyle w:val="ATHeading3"/>
      </w:pPr>
      <w:r w:rsidRPr="00EC5E1C">
        <w:lastRenderedPageBreak/>
        <w:t>49. Eiropas Parlamenta 2026. gada 29. aprīļa lēmums par Eiropas Savienības Patvēruma aģentūras 2024. finanšu gada budžeta izpildes apstiprināšanu (2025/2156(DEC))</w:t>
      </w:r>
    </w:p>
    <w:p w14:paraId="2C140F54" w14:textId="77777777" w:rsidR="00EA2C2C" w:rsidRPr="00EC5E1C" w:rsidRDefault="00EA2C2C" w:rsidP="00EA2C2C">
      <w:pPr>
        <w:pStyle w:val="EPComma"/>
      </w:pPr>
      <w:r w:rsidRPr="00EC5E1C">
        <w:rPr>
          <w:i/>
          <w:iCs/>
        </w:rPr>
        <w:t>Eiropas Parlaments</w:t>
      </w:r>
      <w:r w:rsidRPr="00EC5E1C">
        <w:t>,</w:t>
      </w:r>
    </w:p>
    <w:p w14:paraId="189CD87E" w14:textId="77777777" w:rsidR="00EA2C2C" w:rsidRPr="00EC5E1C" w:rsidRDefault="00EA2C2C" w:rsidP="00EA2C2C">
      <w:pPr>
        <w:pStyle w:val="NormalHanging12a"/>
      </w:pPr>
      <w:r w:rsidRPr="00EC5E1C">
        <w:t>–</w:t>
      </w:r>
      <w:r w:rsidRPr="00EC5E1C">
        <w:tab/>
        <w:t>ņemot vērā Eiropas Savienības Patvēruma aģentūras 2024. finanšu gada galīgos pārskatus,</w:t>
      </w:r>
    </w:p>
    <w:p w14:paraId="542A1E7B"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89"/>
      </w:r>
      <w:r w:rsidRPr="00EC5E1C">
        <w:t>,</w:t>
      </w:r>
    </w:p>
    <w:p w14:paraId="6EE0442D"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90"/>
      </w:r>
      <w:r w:rsidRPr="00EC5E1C">
        <w:t xml:space="preserve"> par pārskatu ticamību, kā arī par pakārtoto darījumu likumību un pareizību, kuru Revīzijas palāta sniegusi par 2024. finanšu gadu saskaņā ar Līguma par Eiropas Savienības darbību 287. pantu,</w:t>
      </w:r>
    </w:p>
    <w:p w14:paraId="2CA456FA"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37A98C90" w14:textId="77777777" w:rsidR="00EA2C2C" w:rsidRPr="00EC5E1C" w:rsidRDefault="00EA2C2C" w:rsidP="00EA2C2C">
      <w:pPr>
        <w:pStyle w:val="NormalHanging12a"/>
      </w:pPr>
      <w:r w:rsidRPr="00EC5E1C">
        <w:t>–</w:t>
      </w:r>
      <w:r w:rsidRPr="00EC5E1C">
        <w:tab/>
        <w:t>ņemot vērā Līguma par Eiropas Savienības darbību 319. pantu,</w:t>
      </w:r>
    </w:p>
    <w:p w14:paraId="7E823EAF"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91"/>
      </w:r>
      <w:r w:rsidRPr="00EC5E1C">
        <w:t>, un jo īpaši tās 70. pantu,</w:t>
      </w:r>
    </w:p>
    <w:p w14:paraId="65ABBFA0"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92"/>
      </w:r>
      <w:r w:rsidRPr="00EC5E1C">
        <w:t>, un jo īpaši tās 70. pantu,</w:t>
      </w:r>
    </w:p>
    <w:p w14:paraId="08E3474D" w14:textId="77777777" w:rsidR="00EA2C2C" w:rsidRPr="00EC5E1C" w:rsidRDefault="00EA2C2C" w:rsidP="00EA2C2C">
      <w:pPr>
        <w:pStyle w:val="NormalHanging12a"/>
      </w:pPr>
      <w:r w:rsidRPr="00EC5E1C">
        <w:t>–</w:t>
      </w:r>
      <w:r w:rsidRPr="00EC5E1C">
        <w:tab/>
        <w:t>ņemot vērā Eiropas Parlamenta un Padomes 2021. gada 15. decembra Regulu (ES) 2021/2303 par Eiropas Savienības Patvēruma aģentūru un ar ko atceļ Regulu (ES) Nr. 439/2010</w:t>
      </w:r>
      <w:r w:rsidRPr="00EC5E1C">
        <w:rPr>
          <w:rStyle w:val="FootnoteReference"/>
        </w:rPr>
        <w:footnoteReference w:id="293"/>
      </w:r>
      <w:r w:rsidRPr="00EC5E1C">
        <w:t>, un jo īpaši tās 55. pantu,</w:t>
      </w:r>
    </w:p>
    <w:p w14:paraId="12331736"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294"/>
      </w:r>
      <w:r w:rsidRPr="00EC5E1C">
        <w:t>, un jo īpaši tās 105. pantu,</w:t>
      </w:r>
    </w:p>
    <w:p w14:paraId="4D0E3BF9" w14:textId="77777777" w:rsidR="00EA2C2C" w:rsidRPr="00EC5E1C" w:rsidRDefault="00EA2C2C" w:rsidP="00EA2C2C">
      <w:pPr>
        <w:pStyle w:val="NormalHanging12a"/>
      </w:pPr>
      <w:r w:rsidRPr="00EC5E1C">
        <w:t>–</w:t>
      </w:r>
      <w:r w:rsidRPr="00EC5E1C">
        <w:tab/>
        <w:t>ņemot vērā Reglamenta 102. pantu un V pielikumu,</w:t>
      </w:r>
    </w:p>
    <w:p w14:paraId="361F92A1"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w:t>
      </w:r>
      <w:r w:rsidRPr="00EC5E1C">
        <w:lastRenderedPageBreak/>
        <w:t xml:space="preserve">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7448F5CA" w14:textId="77777777" w:rsidR="00EA2C2C" w:rsidRPr="00EC5E1C" w:rsidRDefault="00EA2C2C" w:rsidP="00EA2C2C">
      <w:pPr>
        <w:pStyle w:val="NormalHanging12a"/>
      </w:pPr>
      <w:r w:rsidRPr="00EC5E1C">
        <w:t>–</w:t>
      </w:r>
      <w:r w:rsidRPr="00EC5E1C">
        <w:tab/>
        <w:t>ņemot vērā Budžeta kontroles komitejas ziņojumu (A10-0087/2026),</w:t>
      </w:r>
    </w:p>
    <w:p w14:paraId="2E0A3547" w14:textId="77777777" w:rsidR="00EA2C2C" w:rsidRPr="00EC5E1C" w:rsidRDefault="00EA2C2C" w:rsidP="00EA2C2C">
      <w:pPr>
        <w:pStyle w:val="NormalHanging12a"/>
      </w:pPr>
      <w:r w:rsidRPr="00EC5E1C">
        <w:t>1.</w:t>
      </w:r>
      <w:r w:rsidRPr="00EC5E1C">
        <w:tab/>
        <w:t>sniedz Eiropas Savienības Patvēruma aģentūras izpilddirektorei apstiprinājumu par Aģentūras 2024. finanšu gada budžeta izpildi;</w:t>
      </w:r>
    </w:p>
    <w:p w14:paraId="58AAB80A" w14:textId="77777777" w:rsidR="00EA2C2C" w:rsidRPr="00EC5E1C" w:rsidRDefault="00EA2C2C" w:rsidP="00EA2C2C">
      <w:pPr>
        <w:pStyle w:val="NormalHanging12a"/>
      </w:pPr>
      <w:r w:rsidRPr="00EC5E1C">
        <w:t>2.</w:t>
      </w:r>
      <w:r w:rsidRPr="00EC5E1C">
        <w:tab/>
        <w:t>izklāsta savus konstatējumus turpmāk tekstā iekļautajā rezolūcijā;</w:t>
      </w:r>
    </w:p>
    <w:p w14:paraId="286329E8"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Patvēruma aģentūras izpilddirektorei, Padomei, Komisijai un Revīzijas palātai un nodrošināt to publicēšanu </w:t>
      </w:r>
      <w:r w:rsidRPr="00EC5E1C">
        <w:rPr>
          <w:i/>
          <w:iCs/>
        </w:rPr>
        <w:t>Eiropas Savienības Oficiālajā Vēstnesī</w:t>
      </w:r>
      <w:r w:rsidRPr="00EC5E1C">
        <w:t xml:space="preserve"> (L sērijā).</w:t>
      </w:r>
    </w:p>
    <w:p w14:paraId="7F4B6DB0" w14:textId="77777777" w:rsidR="00EA2C2C" w:rsidRPr="00EC5E1C" w:rsidRDefault="00EA2C2C" w:rsidP="00EA2C2C"/>
    <w:p w14:paraId="0BBBF2ED" w14:textId="77777777" w:rsidR="00EA2C2C" w:rsidRPr="00EC5E1C" w:rsidRDefault="00EA2C2C" w:rsidP="00EA2C2C">
      <w:pPr>
        <w:pStyle w:val="PageHeadingDec"/>
        <w:sectPr w:rsidR="00EA2C2C" w:rsidRPr="00EC5E1C" w:rsidSect="00D106D3">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C1E77F" w14:textId="77777777" w:rsidR="00B44DA1" w:rsidRPr="00EC5E1C" w:rsidRDefault="00B44DA1" w:rsidP="00B44DA1">
      <w:pPr>
        <w:pStyle w:val="ATHeading3"/>
      </w:pPr>
      <w:r w:rsidRPr="00EC5E1C">
        <w:lastRenderedPageBreak/>
        <w:t>50. Eiropas Parlamenta 2026. gada 29. aprīļa lēmums par Eiropas Savienības Patvēruma aģentūras 2024. finanšu gada pārskatu apstiprināšanu (2025/2156(DEC))</w:t>
      </w:r>
    </w:p>
    <w:p w14:paraId="46625D76" w14:textId="77777777" w:rsidR="00EA2C2C" w:rsidRPr="00EC5E1C" w:rsidRDefault="00EA2C2C" w:rsidP="00EA2C2C">
      <w:pPr>
        <w:pStyle w:val="EPComma"/>
      </w:pPr>
      <w:r w:rsidRPr="00EC5E1C">
        <w:rPr>
          <w:i/>
          <w:iCs/>
        </w:rPr>
        <w:t>Eiropas Parlaments</w:t>
      </w:r>
      <w:r w:rsidRPr="00EC5E1C">
        <w:t>,</w:t>
      </w:r>
    </w:p>
    <w:p w14:paraId="46A85A19" w14:textId="77777777" w:rsidR="00EA2C2C" w:rsidRPr="00EC5E1C" w:rsidRDefault="00EA2C2C" w:rsidP="00EA2C2C">
      <w:pPr>
        <w:pStyle w:val="NormalHanging12a"/>
      </w:pPr>
      <w:r w:rsidRPr="00EC5E1C">
        <w:t>–</w:t>
      </w:r>
      <w:r w:rsidRPr="00EC5E1C">
        <w:tab/>
        <w:t>ņemot vērā Eiropas Savienības Patvēruma aģentūras 2024. finanšu gada galīgos pārskatus,</w:t>
      </w:r>
    </w:p>
    <w:p w14:paraId="43954FF1"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295"/>
      </w:r>
      <w:r w:rsidRPr="00EC5E1C">
        <w:t>,</w:t>
      </w:r>
    </w:p>
    <w:p w14:paraId="5228A8BE"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296"/>
      </w:r>
      <w:r w:rsidRPr="00EC5E1C">
        <w:t xml:space="preserve"> par pārskatu ticamību, kā arī par pakārtoto darījumu likumību un pareizību, kuru Revīzijas palāta sniegusi par 2024. finanšu gadu saskaņā ar Līguma par Eiropas Savienības darbību 287. pantu,</w:t>
      </w:r>
    </w:p>
    <w:p w14:paraId="7CDE52D7"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781D0FCB" w14:textId="77777777" w:rsidR="00EA2C2C" w:rsidRPr="00EC5E1C" w:rsidRDefault="00EA2C2C" w:rsidP="00EA2C2C">
      <w:pPr>
        <w:pStyle w:val="NormalHanging12a"/>
      </w:pPr>
      <w:r w:rsidRPr="00EC5E1C">
        <w:t>–</w:t>
      </w:r>
      <w:r w:rsidRPr="00EC5E1C">
        <w:tab/>
        <w:t>ņemot vērā Līguma par Eiropas Savienības darbību 319. pantu,</w:t>
      </w:r>
    </w:p>
    <w:p w14:paraId="0DF3CB2C"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297"/>
      </w:r>
      <w:r w:rsidRPr="00EC5E1C">
        <w:t>, un jo īpaši tās 70. pantu,</w:t>
      </w:r>
    </w:p>
    <w:p w14:paraId="5CC6042A"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298"/>
      </w:r>
      <w:r w:rsidRPr="00EC5E1C">
        <w:t>, un jo īpaši tās 70. pantu,</w:t>
      </w:r>
    </w:p>
    <w:p w14:paraId="339AAD67" w14:textId="77777777" w:rsidR="00EA2C2C" w:rsidRPr="00EC5E1C" w:rsidRDefault="00EA2C2C" w:rsidP="00EA2C2C">
      <w:pPr>
        <w:pStyle w:val="NormalHanging12a"/>
      </w:pPr>
      <w:r w:rsidRPr="00EC5E1C">
        <w:t>–</w:t>
      </w:r>
      <w:r w:rsidRPr="00EC5E1C">
        <w:tab/>
        <w:t>ņemot vērā Eiropas Parlamenta un Padomes 2021. gada 15. decembra Regulu (ES) 2021/2303 par Eiropas Savienības Patvēruma aģentūru un ar ko atceļ Regulu (ES) Nr. 439/2010</w:t>
      </w:r>
      <w:r w:rsidRPr="00EC5E1C">
        <w:rPr>
          <w:rStyle w:val="FootnoteReference"/>
        </w:rPr>
        <w:footnoteReference w:id="299"/>
      </w:r>
      <w:r w:rsidRPr="00EC5E1C">
        <w:t>, un jo īpaši tās 55. pantu,</w:t>
      </w:r>
    </w:p>
    <w:p w14:paraId="4FFB22B5"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00"/>
      </w:r>
      <w:r w:rsidRPr="00EC5E1C">
        <w:t>, un jo īpaši tās 105. pantu,</w:t>
      </w:r>
    </w:p>
    <w:p w14:paraId="706F4EDF" w14:textId="77777777" w:rsidR="00EA2C2C" w:rsidRPr="00EC5E1C" w:rsidRDefault="00EA2C2C" w:rsidP="00EA2C2C">
      <w:pPr>
        <w:pStyle w:val="NormalHanging12a"/>
      </w:pPr>
      <w:r w:rsidRPr="00EC5E1C">
        <w:t>–</w:t>
      </w:r>
      <w:r w:rsidRPr="00EC5E1C">
        <w:tab/>
        <w:t>ņemot vērā Reglamenta 102. pantu un V pielikumu,</w:t>
      </w:r>
    </w:p>
    <w:p w14:paraId="7931A809"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0108582F" w14:textId="77777777" w:rsidR="00EA2C2C" w:rsidRPr="00EC5E1C" w:rsidRDefault="00EA2C2C" w:rsidP="00EA2C2C">
      <w:pPr>
        <w:pStyle w:val="NormalHanging12a"/>
      </w:pPr>
      <w:r w:rsidRPr="00EC5E1C">
        <w:t>–</w:t>
      </w:r>
      <w:r w:rsidRPr="00EC5E1C">
        <w:tab/>
        <w:t>ņemot vērā Budžeta kontroles komitejas ziņojumu (A10-0087/2026),</w:t>
      </w:r>
    </w:p>
    <w:p w14:paraId="382BC0BE" w14:textId="77777777" w:rsidR="00EA2C2C" w:rsidRPr="00EC5E1C" w:rsidRDefault="00EA2C2C" w:rsidP="00EA2C2C">
      <w:pPr>
        <w:pStyle w:val="NormalHanging12a"/>
      </w:pPr>
      <w:r w:rsidRPr="00EC5E1C">
        <w:t>1.</w:t>
      </w:r>
      <w:r w:rsidRPr="00EC5E1C">
        <w:tab/>
        <w:t>apstiprina Eiropas Savienības Patvēruma aģentūras 2024. finanšu gada pārskatus;</w:t>
      </w:r>
    </w:p>
    <w:p w14:paraId="018DFF50" w14:textId="77777777" w:rsidR="00EA2C2C" w:rsidRPr="00EC5E1C" w:rsidRDefault="00EA2C2C" w:rsidP="00EA2C2C">
      <w:pPr>
        <w:pStyle w:val="NormalHanging12a"/>
      </w:pPr>
      <w:r w:rsidRPr="00EC5E1C">
        <w:t>2.</w:t>
      </w:r>
      <w:r w:rsidRPr="00EC5E1C">
        <w:tab/>
        <w:t xml:space="preserve">uzdod priekšsēdētājai šo lēmumu nosūtīt Eiropas Savienības Patvēruma aģentūras izpilddirektorei, Padomei, Komisijai un Revīzijas palātai un nodrošināt tā publicēšanu </w:t>
      </w:r>
      <w:r w:rsidRPr="00EC5E1C">
        <w:rPr>
          <w:i/>
          <w:iCs/>
        </w:rPr>
        <w:t>Eiropas Savienības Oficiālajā Vēstnesī</w:t>
      </w:r>
      <w:r w:rsidRPr="00EC5E1C">
        <w:t xml:space="preserve"> (L sērijā).</w:t>
      </w:r>
    </w:p>
    <w:p w14:paraId="3F88472D" w14:textId="77777777" w:rsidR="00EA2C2C" w:rsidRPr="00EC5E1C" w:rsidRDefault="00EA2C2C" w:rsidP="00EA2C2C"/>
    <w:p w14:paraId="6A1F5C24" w14:textId="77777777" w:rsidR="00EA2C2C" w:rsidRPr="00EC5E1C" w:rsidRDefault="00EA2C2C" w:rsidP="00EA2C2C"/>
    <w:p w14:paraId="501ED1BB" w14:textId="65D967F4" w:rsidR="00EA2C2C" w:rsidRPr="00EC5E1C" w:rsidRDefault="00EA2C2C" w:rsidP="00EA2C2C">
      <w:pPr>
        <w:pStyle w:val="PageHeadingDec"/>
      </w:pPr>
    </w:p>
    <w:p w14:paraId="4960C80D" w14:textId="77777777" w:rsidR="00EA2C2C" w:rsidRPr="00EC5E1C" w:rsidRDefault="00EA2C2C" w:rsidP="00EA2C2C">
      <w:pPr>
        <w:pStyle w:val="PageHeadingDec"/>
        <w:sectPr w:rsidR="00EA2C2C" w:rsidRPr="00EC5E1C" w:rsidSect="00D106D3">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59A3D20" w14:textId="77777777" w:rsidR="00B44DA1" w:rsidRPr="00EC5E1C" w:rsidRDefault="00B44DA1" w:rsidP="00B44DA1">
      <w:pPr>
        <w:pStyle w:val="ATHeading3"/>
      </w:pPr>
      <w:r w:rsidRPr="00EC5E1C">
        <w:lastRenderedPageBreak/>
        <w:t xml:space="preserve">51. Eiropas Parlamenta 2026. gada 29. aprīļa lēmums par Eiropas Savienības Aģentūras </w:t>
      </w:r>
      <w:proofErr w:type="spellStart"/>
      <w:r w:rsidRPr="00EC5E1C">
        <w:t>lielapjoma</w:t>
      </w:r>
      <w:proofErr w:type="spellEnd"/>
      <w:r w:rsidRPr="00EC5E1C">
        <w:t xml:space="preserve"> IT sistēmu darbības pārvaldībai brīvības, drošības un tiesiskuma telpā 2024. finanšu gada budžeta izpildes apstiprināšanu (2025/2156(DEC))</w:t>
      </w:r>
    </w:p>
    <w:p w14:paraId="64EA262C" w14:textId="77777777" w:rsidR="00EA2C2C" w:rsidRPr="00EC5E1C" w:rsidRDefault="00EA2C2C" w:rsidP="00EA2C2C">
      <w:pPr>
        <w:pStyle w:val="EPComma"/>
      </w:pPr>
      <w:r w:rsidRPr="00EC5E1C">
        <w:rPr>
          <w:i/>
          <w:iCs/>
        </w:rPr>
        <w:t>Eiropas Parlaments</w:t>
      </w:r>
      <w:r w:rsidRPr="00EC5E1C">
        <w:t>,</w:t>
      </w:r>
    </w:p>
    <w:p w14:paraId="05C75914" w14:textId="77777777" w:rsidR="00EA2C2C" w:rsidRPr="00EC5E1C" w:rsidRDefault="00EA2C2C" w:rsidP="00EA2C2C">
      <w:pPr>
        <w:pStyle w:val="NormalHanging12a"/>
      </w:pPr>
      <w:r w:rsidRPr="00EC5E1C">
        <w:t>–</w:t>
      </w:r>
      <w:r w:rsidRPr="00EC5E1C">
        <w:tab/>
        <w:t xml:space="preserve">ņemot vērā Eiropas Savienības Aģentūras </w:t>
      </w:r>
      <w:proofErr w:type="spellStart"/>
      <w:r w:rsidRPr="00EC5E1C">
        <w:t>lielapjoma</w:t>
      </w:r>
      <w:proofErr w:type="spellEnd"/>
      <w:r w:rsidRPr="00EC5E1C">
        <w:t xml:space="preserve"> IT sistēmu darbības pārvaldībai brīvības, drošības un tiesiskuma telpā 2024. finanšu gada galīgos pārskatus,</w:t>
      </w:r>
    </w:p>
    <w:p w14:paraId="4BB107BE"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01"/>
      </w:r>
      <w:r w:rsidRPr="00EC5E1C">
        <w:t>,</w:t>
      </w:r>
    </w:p>
    <w:p w14:paraId="6182D5B2"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02"/>
      </w:r>
      <w:r w:rsidRPr="00EC5E1C">
        <w:t xml:space="preserve"> par pārskatu ticamību, kā arī par pakārtoto darījumu likumību un pareizību, kuru Revīzijas palāta sniegusi par 2024. finanšu gadu saskaņā ar Līguma par Eiropas Savienības darbību 287. pantu,</w:t>
      </w:r>
    </w:p>
    <w:p w14:paraId="734CE70D"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6848D24F" w14:textId="77777777" w:rsidR="00EA2C2C" w:rsidRPr="00EC5E1C" w:rsidRDefault="00EA2C2C" w:rsidP="00EA2C2C">
      <w:pPr>
        <w:pStyle w:val="NormalHanging12a"/>
      </w:pPr>
      <w:r w:rsidRPr="00EC5E1C">
        <w:t>–</w:t>
      </w:r>
      <w:r w:rsidRPr="00EC5E1C">
        <w:tab/>
        <w:t>ņemot vērā Līguma par Eiropas Savienības darbību 319. pantu,</w:t>
      </w:r>
    </w:p>
    <w:p w14:paraId="4CB912D1"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03"/>
      </w:r>
      <w:r w:rsidRPr="00EC5E1C">
        <w:t>, un jo īpaši tās 70. pantu,</w:t>
      </w:r>
    </w:p>
    <w:p w14:paraId="7313A7E6"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04"/>
      </w:r>
      <w:r w:rsidRPr="00EC5E1C">
        <w:t>, un jo īpaši tās 70. pantu,</w:t>
      </w:r>
    </w:p>
    <w:p w14:paraId="541D29CD" w14:textId="77777777" w:rsidR="00EA2C2C" w:rsidRPr="00EC5E1C" w:rsidRDefault="00EA2C2C" w:rsidP="00EA2C2C">
      <w:pPr>
        <w:pStyle w:val="NormalHanging12a"/>
      </w:pPr>
      <w:r w:rsidRPr="00EC5E1C">
        <w:t>–</w:t>
      </w:r>
      <w:r w:rsidRPr="00EC5E1C">
        <w:tab/>
        <w:t xml:space="preserve">ņemot vērā Eiropas Parlamenta un Padomes 2018. gada 14. novembra Regulu (ES) 2018/1726 par Eiropas Savienības Aģentūru </w:t>
      </w:r>
      <w:proofErr w:type="spellStart"/>
      <w:r w:rsidRPr="00EC5E1C">
        <w:t>lielapjoma</w:t>
      </w:r>
      <w:proofErr w:type="spellEnd"/>
      <w:r w:rsidRPr="00EC5E1C">
        <w:t xml:space="preserve"> IT sistēmu darbības pārvaldībai brīvības, drošības un tiesiskuma telpā (</w:t>
      </w:r>
      <w:proofErr w:type="spellStart"/>
      <w:r w:rsidRPr="00EC5E1C">
        <w:rPr>
          <w:i/>
          <w:iCs/>
        </w:rPr>
        <w:t>eu</w:t>
      </w:r>
      <w:proofErr w:type="spellEnd"/>
      <w:r w:rsidRPr="00EC5E1C">
        <w:rPr>
          <w:i/>
          <w:iCs/>
        </w:rPr>
        <w:t>-LISA</w:t>
      </w:r>
      <w:r w:rsidRPr="00EC5E1C">
        <w:t>) un ar ko groza Regulu (EK) Nr. 1987/2006 un Padomes Lēmumu 2007/533/TI un atceļ Regulu (ES) Nr. 1077/2011</w:t>
      </w:r>
      <w:r w:rsidRPr="00EC5E1C">
        <w:rPr>
          <w:rStyle w:val="FootnoteReference"/>
        </w:rPr>
        <w:footnoteReference w:id="305"/>
      </w:r>
      <w:r w:rsidRPr="00EC5E1C">
        <w:t>, un jo īpaši tās 47. pantu,</w:t>
      </w:r>
    </w:p>
    <w:p w14:paraId="7DD97210"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06"/>
      </w:r>
      <w:r w:rsidRPr="00EC5E1C">
        <w:t>, un jo īpaši tās 105. pantu,</w:t>
      </w:r>
    </w:p>
    <w:p w14:paraId="19F9D2CA" w14:textId="77777777" w:rsidR="00EA2C2C" w:rsidRPr="00EC5E1C" w:rsidRDefault="00EA2C2C" w:rsidP="00EA2C2C">
      <w:pPr>
        <w:pStyle w:val="NormalHanging12a"/>
      </w:pPr>
      <w:r w:rsidRPr="00EC5E1C">
        <w:t>–</w:t>
      </w:r>
      <w:r w:rsidRPr="00EC5E1C">
        <w:tab/>
        <w:t>ņemot vērā Reglamenta 102. pantu un V pielikumu,</w:t>
      </w:r>
    </w:p>
    <w:p w14:paraId="20185658" w14:textId="77777777" w:rsidR="00EA2C2C" w:rsidRPr="00EC5E1C" w:rsidRDefault="00EA2C2C" w:rsidP="00EA2C2C">
      <w:pPr>
        <w:pStyle w:val="NormalHanging12a"/>
      </w:pPr>
      <w:r w:rsidRPr="00EC5E1C">
        <w:lastRenderedPageBreak/>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60B521F8" w14:textId="77777777" w:rsidR="00EA2C2C" w:rsidRPr="00EC5E1C" w:rsidRDefault="00EA2C2C" w:rsidP="00EA2C2C">
      <w:pPr>
        <w:pStyle w:val="NormalHanging12a"/>
      </w:pPr>
      <w:r w:rsidRPr="00EC5E1C">
        <w:t>–</w:t>
      </w:r>
      <w:r w:rsidRPr="00EC5E1C">
        <w:tab/>
        <w:t>ņemot vērā Budžeta kontroles komitejas ziņojumu (A10-0087/2026),</w:t>
      </w:r>
    </w:p>
    <w:p w14:paraId="1FE5032F" w14:textId="77777777" w:rsidR="00EA2C2C" w:rsidRPr="00EC5E1C" w:rsidRDefault="00EA2C2C" w:rsidP="00EA2C2C">
      <w:pPr>
        <w:pStyle w:val="NormalHanging12a"/>
      </w:pPr>
      <w:r w:rsidRPr="00EC5E1C">
        <w:t>1.</w:t>
      </w:r>
      <w:r w:rsidRPr="00EC5E1C">
        <w:tab/>
        <w:t xml:space="preserve">sniedz Eiropas Savienības Aģentūras </w:t>
      </w:r>
      <w:proofErr w:type="spellStart"/>
      <w:r w:rsidRPr="00EC5E1C">
        <w:t>lielapjoma</w:t>
      </w:r>
      <w:proofErr w:type="spellEnd"/>
      <w:r w:rsidRPr="00EC5E1C">
        <w:t xml:space="preserve"> IT sistēmu darbības pārvaldībai brīvības, drošības un tiesiskuma telpā izpilddirektoram apstiprinājumu par Aģentūras 2024. finanšu gada budžeta izpildi;</w:t>
      </w:r>
    </w:p>
    <w:p w14:paraId="2FB7DE9E" w14:textId="77777777" w:rsidR="00EA2C2C" w:rsidRPr="00EC5E1C" w:rsidRDefault="00EA2C2C" w:rsidP="00EA2C2C">
      <w:pPr>
        <w:pStyle w:val="NormalHanging12a"/>
      </w:pPr>
      <w:r w:rsidRPr="00EC5E1C">
        <w:t>2.</w:t>
      </w:r>
      <w:r w:rsidRPr="00EC5E1C">
        <w:tab/>
        <w:t>izklāsta savus konstatējumus turpmāk tekstā iekļautajā rezolūcijā;</w:t>
      </w:r>
    </w:p>
    <w:p w14:paraId="3BE4243F"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Aģentūras </w:t>
      </w:r>
      <w:proofErr w:type="spellStart"/>
      <w:r w:rsidRPr="00EC5E1C">
        <w:t>lielapjoma</w:t>
      </w:r>
      <w:proofErr w:type="spellEnd"/>
      <w:r w:rsidRPr="00EC5E1C">
        <w:t xml:space="preserve"> IT sistēmu darbības pārvaldībai brīvības, drošības un tiesiskuma telpā izpilddirektoram, Padomei, Komisijai un Revīzijas palātai un nodrošināt to publicēšanu </w:t>
      </w:r>
      <w:r w:rsidRPr="00EC5E1C">
        <w:rPr>
          <w:i/>
          <w:iCs/>
        </w:rPr>
        <w:t>Eiropas Savienības Oficiālajā Vēstnesī</w:t>
      </w:r>
      <w:r w:rsidRPr="00EC5E1C">
        <w:t xml:space="preserve"> (L sērijā).</w:t>
      </w:r>
    </w:p>
    <w:p w14:paraId="3A4F5E5A" w14:textId="77777777" w:rsidR="00EA2C2C" w:rsidRPr="00EC5E1C" w:rsidRDefault="00EA2C2C" w:rsidP="00EA2C2C"/>
    <w:p w14:paraId="11E377E4" w14:textId="77777777" w:rsidR="00EA2C2C" w:rsidRPr="00EC5E1C" w:rsidRDefault="00EA2C2C" w:rsidP="00EA2C2C">
      <w:pPr>
        <w:pStyle w:val="PageHeadingDec"/>
        <w:sectPr w:rsidR="00EA2C2C" w:rsidRPr="00EC5E1C" w:rsidSect="00D106D3">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A2680A" w14:textId="77777777" w:rsidR="00B44DA1" w:rsidRPr="00EC5E1C" w:rsidRDefault="00B44DA1" w:rsidP="00B44DA1">
      <w:pPr>
        <w:pStyle w:val="ATHeading3"/>
      </w:pPr>
      <w:r w:rsidRPr="00EC5E1C">
        <w:lastRenderedPageBreak/>
        <w:t xml:space="preserve">52. Eiropas Parlamenta 2026. gada 29. aprīļa lēmums par Eiropas Savienības Aģentūras </w:t>
      </w:r>
      <w:proofErr w:type="spellStart"/>
      <w:r w:rsidRPr="00EC5E1C">
        <w:t>lielapjoma</w:t>
      </w:r>
      <w:proofErr w:type="spellEnd"/>
      <w:r w:rsidRPr="00EC5E1C">
        <w:t xml:space="preserve"> IT sistēmu darbības pārvaldībai brīvības, drošības un tiesiskuma telpā 2024. finanšu gada pārskatu apstiprināšanu (2025/2156(DEC))</w:t>
      </w:r>
    </w:p>
    <w:p w14:paraId="54D3F0AB" w14:textId="77777777" w:rsidR="00EA2C2C" w:rsidRPr="00EC5E1C" w:rsidRDefault="00EA2C2C" w:rsidP="00EA2C2C">
      <w:pPr>
        <w:pStyle w:val="EPComma"/>
      </w:pPr>
      <w:r w:rsidRPr="00EC5E1C">
        <w:rPr>
          <w:i/>
          <w:iCs/>
        </w:rPr>
        <w:t>Eiropas Parlaments</w:t>
      </w:r>
      <w:r w:rsidRPr="00EC5E1C">
        <w:t>,</w:t>
      </w:r>
    </w:p>
    <w:p w14:paraId="61C4A7A3" w14:textId="77777777" w:rsidR="00EA2C2C" w:rsidRPr="00EC5E1C" w:rsidRDefault="00EA2C2C" w:rsidP="00EA2C2C">
      <w:pPr>
        <w:pStyle w:val="NormalHanging12a"/>
      </w:pPr>
      <w:r w:rsidRPr="00EC5E1C">
        <w:t>–</w:t>
      </w:r>
      <w:r w:rsidRPr="00EC5E1C">
        <w:tab/>
        <w:t xml:space="preserve">ņemot vērā Eiropas Savienības Aģentūras </w:t>
      </w:r>
      <w:proofErr w:type="spellStart"/>
      <w:r w:rsidRPr="00EC5E1C">
        <w:t>lielapjoma</w:t>
      </w:r>
      <w:proofErr w:type="spellEnd"/>
      <w:r w:rsidRPr="00EC5E1C">
        <w:t xml:space="preserve"> IT sistēmu darbības pārvaldībai brīvības, drošības un tiesiskuma telpā 2024. finanšu gada galīgos pārskatus,</w:t>
      </w:r>
    </w:p>
    <w:p w14:paraId="505FF80C"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07"/>
      </w:r>
      <w:r w:rsidRPr="00EC5E1C">
        <w:t>,</w:t>
      </w:r>
    </w:p>
    <w:p w14:paraId="0CBBCA6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08"/>
      </w:r>
      <w:r w:rsidRPr="00EC5E1C">
        <w:t xml:space="preserve"> par pārskatu ticamību, kā arī par pakārtoto darījumu likumību un pareizību, kuru Revīzijas palāta sniegusi par 2024. finanšu gadu saskaņā ar Līguma par Eiropas Savienības darbību 287. pantu,</w:t>
      </w:r>
    </w:p>
    <w:p w14:paraId="1B51071F"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0E8AF619" w14:textId="77777777" w:rsidR="00EA2C2C" w:rsidRPr="00EC5E1C" w:rsidRDefault="00EA2C2C" w:rsidP="00EA2C2C">
      <w:pPr>
        <w:pStyle w:val="NormalHanging12a"/>
      </w:pPr>
      <w:r w:rsidRPr="00EC5E1C">
        <w:t>–</w:t>
      </w:r>
      <w:r w:rsidRPr="00EC5E1C">
        <w:tab/>
        <w:t>ņemot vērā Līguma par Eiropas Savienības darbību 319. pantu,</w:t>
      </w:r>
    </w:p>
    <w:p w14:paraId="040FDBA7"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09"/>
      </w:r>
      <w:r w:rsidRPr="00EC5E1C">
        <w:t>, un jo īpaši tās 70. pantu,</w:t>
      </w:r>
    </w:p>
    <w:p w14:paraId="6F6A3C7A"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10"/>
      </w:r>
      <w:r w:rsidRPr="00EC5E1C">
        <w:t>, un jo īpaši tās 70. pantu,</w:t>
      </w:r>
    </w:p>
    <w:p w14:paraId="599F17F8" w14:textId="77777777" w:rsidR="00EA2C2C" w:rsidRPr="00EC5E1C" w:rsidRDefault="00EA2C2C" w:rsidP="00EA2C2C">
      <w:pPr>
        <w:pStyle w:val="NormalHanging12a"/>
      </w:pPr>
      <w:r w:rsidRPr="00EC5E1C">
        <w:t>–</w:t>
      </w:r>
      <w:r w:rsidRPr="00EC5E1C">
        <w:tab/>
        <w:t xml:space="preserve">ņemot vērā Eiropas Parlamenta un Padomes 2018. gada 14. novembra Regulu (ES) 2018/1726 par Eiropas Savienības Aģentūru </w:t>
      </w:r>
      <w:proofErr w:type="spellStart"/>
      <w:r w:rsidRPr="00EC5E1C">
        <w:t>lielapjoma</w:t>
      </w:r>
      <w:proofErr w:type="spellEnd"/>
      <w:r w:rsidRPr="00EC5E1C">
        <w:t xml:space="preserve"> IT sistēmu darbības pārvaldībai brīvības, drošības un tiesiskuma telpā (</w:t>
      </w:r>
      <w:proofErr w:type="spellStart"/>
      <w:r w:rsidRPr="00EC5E1C">
        <w:rPr>
          <w:i/>
          <w:iCs/>
        </w:rPr>
        <w:t>eu</w:t>
      </w:r>
      <w:proofErr w:type="spellEnd"/>
      <w:r w:rsidRPr="00EC5E1C">
        <w:rPr>
          <w:i/>
          <w:iCs/>
        </w:rPr>
        <w:t>-LISA</w:t>
      </w:r>
      <w:r w:rsidRPr="00EC5E1C">
        <w:t>) un ar ko groza Regulu (EK) Nr. 1987/2006 un Padomes Lēmumu 2007/533/TI un atceļ Regulu (ES) Nr. 1077/2011</w:t>
      </w:r>
      <w:r w:rsidRPr="00EC5E1C">
        <w:rPr>
          <w:rStyle w:val="FootnoteReference"/>
        </w:rPr>
        <w:footnoteReference w:id="311"/>
      </w:r>
      <w:r w:rsidRPr="00EC5E1C">
        <w:t>, un jo īpaši tās 47. pantu,</w:t>
      </w:r>
    </w:p>
    <w:p w14:paraId="4767647A"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12"/>
      </w:r>
      <w:r w:rsidRPr="00EC5E1C">
        <w:t>, un jo īpaši tās 105. pantu,</w:t>
      </w:r>
    </w:p>
    <w:p w14:paraId="64867EED" w14:textId="77777777" w:rsidR="00EA2C2C" w:rsidRPr="00EC5E1C" w:rsidRDefault="00EA2C2C" w:rsidP="00EA2C2C">
      <w:pPr>
        <w:pStyle w:val="NormalHanging12a"/>
      </w:pPr>
      <w:r w:rsidRPr="00EC5E1C">
        <w:t>–</w:t>
      </w:r>
      <w:r w:rsidRPr="00EC5E1C">
        <w:tab/>
        <w:t>ņemot vērā Reglamenta 102. pantu un V pielikumu,</w:t>
      </w:r>
    </w:p>
    <w:p w14:paraId="16C02570" w14:textId="77777777" w:rsidR="00EA2C2C" w:rsidRPr="00EC5E1C" w:rsidRDefault="00EA2C2C" w:rsidP="00EA2C2C">
      <w:pPr>
        <w:pStyle w:val="NormalHanging12a"/>
      </w:pPr>
      <w:r w:rsidRPr="00EC5E1C">
        <w:lastRenderedPageBreak/>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6468FD45" w14:textId="77777777" w:rsidR="00EA2C2C" w:rsidRPr="00EC5E1C" w:rsidRDefault="00EA2C2C" w:rsidP="00EA2C2C">
      <w:pPr>
        <w:pStyle w:val="NormalHanging12a"/>
      </w:pPr>
      <w:r w:rsidRPr="00EC5E1C">
        <w:t>–</w:t>
      </w:r>
      <w:r w:rsidRPr="00EC5E1C">
        <w:tab/>
        <w:t>ņemot vērā Budžeta kontroles komitejas ziņojumu (A10-0087/2026),</w:t>
      </w:r>
    </w:p>
    <w:p w14:paraId="2AC93A20" w14:textId="77777777" w:rsidR="00EA2C2C" w:rsidRPr="00EC5E1C" w:rsidRDefault="00EA2C2C" w:rsidP="00EA2C2C">
      <w:pPr>
        <w:pStyle w:val="NormalHanging12a"/>
      </w:pPr>
      <w:r w:rsidRPr="00EC5E1C">
        <w:t>1.</w:t>
      </w:r>
      <w:r w:rsidRPr="00EC5E1C">
        <w:tab/>
        <w:t xml:space="preserve">apstiprina Eiropas Savienības Aģentūras </w:t>
      </w:r>
      <w:proofErr w:type="spellStart"/>
      <w:r w:rsidRPr="00EC5E1C">
        <w:t>lielapjoma</w:t>
      </w:r>
      <w:proofErr w:type="spellEnd"/>
      <w:r w:rsidRPr="00EC5E1C">
        <w:t xml:space="preserve"> IT sistēmu darbības pārvaldībai brīvības, drošības un tiesiskuma telpā 2024. finanšu gada pārskatus;</w:t>
      </w:r>
    </w:p>
    <w:p w14:paraId="04C7B359" w14:textId="77777777" w:rsidR="00EA2C2C" w:rsidRPr="00EC5E1C" w:rsidRDefault="00EA2C2C" w:rsidP="00EA2C2C">
      <w:pPr>
        <w:pStyle w:val="NormalHanging12a"/>
      </w:pPr>
      <w:r w:rsidRPr="00EC5E1C">
        <w:t>2.</w:t>
      </w:r>
      <w:r w:rsidRPr="00EC5E1C">
        <w:tab/>
        <w:t xml:space="preserve">uzdod priekšsēdētājai šo lēmumu nosūtīt Eiropas Savienības Aģentūras </w:t>
      </w:r>
      <w:proofErr w:type="spellStart"/>
      <w:r w:rsidRPr="00EC5E1C">
        <w:t>lielapjoma</w:t>
      </w:r>
      <w:proofErr w:type="spellEnd"/>
      <w:r w:rsidRPr="00EC5E1C">
        <w:t xml:space="preserve"> IT sistēmu darbības pārvaldībai brīvības, drošības un tiesiskuma telpā izpilddirektoram, Padomei, Komisijai un Revīzijas palātai un nodrošināt tā publicēšanu </w:t>
      </w:r>
      <w:r w:rsidRPr="00EC5E1C">
        <w:rPr>
          <w:i/>
          <w:iCs/>
        </w:rPr>
        <w:t>Eiropas Savienības Oficiālajā Vēstnesī</w:t>
      </w:r>
      <w:r w:rsidRPr="00EC5E1C">
        <w:t xml:space="preserve"> (L sērijā).</w:t>
      </w:r>
    </w:p>
    <w:p w14:paraId="7C380903" w14:textId="77777777" w:rsidR="00EA2C2C" w:rsidRPr="00EC5E1C" w:rsidRDefault="00EA2C2C" w:rsidP="00EA2C2C"/>
    <w:p w14:paraId="0CBEB453" w14:textId="77777777" w:rsidR="00EA2C2C" w:rsidRPr="00EC5E1C" w:rsidRDefault="00EA2C2C" w:rsidP="00EA2C2C"/>
    <w:p w14:paraId="0B188DED" w14:textId="32184D92" w:rsidR="00EA2C2C" w:rsidRPr="00EC5E1C" w:rsidRDefault="00EA2C2C" w:rsidP="00EA2C2C">
      <w:pPr>
        <w:pStyle w:val="PageHeadingDec"/>
      </w:pPr>
    </w:p>
    <w:p w14:paraId="4809724C" w14:textId="77777777" w:rsidR="00EA2C2C" w:rsidRPr="00EC5E1C" w:rsidRDefault="00EA2C2C" w:rsidP="00EA2C2C">
      <w:pPr>
        <w:pStyle w:val="PageHeadingDec"/>
        <w:sectPr w:rsidR="00EA2C2C" w:rsidRPr="00EC5E1C" w:rsidSect="00D106D3">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24361E" w14:textId="77777777" w:rsidR="00B44DA1" w:rsidRPr="00EC5E1C" w:rsidRDefault="00B44DA1" w:rsidP="00B44DA1">
      <w:pPr>
        <w:pStyle w:val="ATHeading3"/>
      </w:pPr>
      <w:r w:rsidRPr="00EC5E1C">
        <w:lastRenderedPageBreak/>
        <w:t>53. Eiropas Parlamenta 2026. gada 29. aprīļa lēmums par Eiropas Darba drošības un veselības aizsardzības aģentūras 2024. finanšu gada budžeta izpildes apstiprināšanu (2025/2156(DEC))</w:t>
      </w:r>
    </w:p>
    <w:p w14:paraId="78A7B531" w14:textId="77777777" w:rsidR="00EA2C2C" w:rsidRPr="00EC5E1C" w:rsidRDefault="00EA2C2C" w:rsidP="00EA2C2C">
      <w:pPr>
        <w:pStyle w:val="EPComma"/>
      </w:pPr>
      <w:r w:rsidRPr="00EC5E1C">
        <w:rPr>
          <w:i/>
          <w:iCs/>
        </w:rPr>
        <w:t>Eiropas Parlaments</w:t>
      </w:r>
      <w:r w:rsidRPr="00EC5E1C">
        <w:t>,</w:t>
      </w:r>
    </w:p>
    <w:p w14:paraId="54DF23F1" w14:textId="77777777" w:rsidR="00EA2C2C" w:rsidRPr="00EC5E1C" w:rsidRDefault="00EA2C2C" w:rsidP="00EA2C2C">
      <w:pPr>
        <w:pStyle w:val="NormalHanging12a"/>
      </w:pPr>
      <w:r w:rsidRPr="00EC5E1C">
        <w:t>–</w:t>
      </w:r>
      <w:r w:rsidRPr="00EC5E1C">
        <w:tab/>
        <w:t>ņemot vērā Eiropas Darba drošības un veselības aizsardzības aģentūras 2024. finanšu gada galīgos pārskatus,</w:t>
      </w:r>
    </w:p>
    <w:p w14:paraId="0F72BA3B"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13"/>
      </w:r>
      <w:r w:rsidRPr="00EC5E1C">
        <w:t>,</w:t>
      </w:r>
    </w:p>
    <w:p w14:paraId="3F5F2F91"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14"/>
      </w:r>
      <w:r w:rsidRPr="00EC5E1C">
        <w:t xml:space="preserve"> par pārskatu ticamību, kā arī par pakārtoto darījumu likumību un pareizību, kuru Revīzijas palāta sniegusi par 2024. finanšu gadu saskaņā ar Līguma par Eiropas Savienības darbību 287. pantu,</w:t>
      </w:r>
    </w:p>
    <w:p w14:paraId="41B0A81D"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312E4397" w14:textId="77777777" w:rsidR="00EA2C2C" w:rsidRPr="00EC5E1C" w:rsidRDefault="00EA2C2C" w:rsidP="00EA2C2C">
      <w:pPr>
        <w:pStyle w:val="NormalHanging12a"/>
      </w:pPr>
      <w:r w:rsidRPr="00EC5E1C">
        <w:t>–</w:t>
      </w:r>
      <w:r w:rsidRPr="00EC5E1C">
        <w:tab/>
        <w:t>ņemot vērā Līguma par Eiropas Savienības darbību 319. pantu,</w:t>
      </w:r>
    </w:p>
    <w:p w14:paraId="56E3D6A4"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15"/>
      </w:r>
      <w:r w:rsidRPr="00EC5E1C">
        <w:t>, un jo īpaši tās 70. pantu,</w:t>
      </w:r>
    </w:p>
    <w:p w14:paraId="7DAE22CC"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16"/>
      </w:r>
      <w:r w:rsidRPr="00EC5E1C">
        <w:t>, un jo īpaši tās 70. pantu,</w:t>
      </w:r>
    </w:p>
    <w:p w14:paraId="1C79E86B" w14:textId="77777777" w:rsidR="00EA2C2C" w:rsidRPr="00EC5E1C" w:rsidRDefault="00EA2C2C" w:rsidP="00EA2C2C">
      <w:pPr>
        <w:pStyle w:val="NormalHanging12a"/>
      </w:pPr>
      <w:r w:rsidRPr="00EC5E1C">
        <w:t>–</w:t>
      </w:r>
      <w:r w:rsidRPr="00EC5E1C">
        <w:tab/>
        <w:t>ņemot vērā Eiropas Parlamenta un Padomes 2019. gada 16. janvāra Regulu (ES) 2019/126, ar ko izveido Eiropas Darba drošības un veselības aizsardzības aģentūru (</w:t>
      </w:r>
      <w:r w:rsidRPr="00EC5E1C">
        <w:rPr>
          <w:i/>
          <w:iCs/>
        </w:rPr>
        <w:t>EU-OSHA</w:t>
      </w:r>
      <w:r w:rsidRPr="00EC5E1C">
        <w:t>) un atceļ Padomes Regulu (EK) Nr. 2062/94</w:t>
      </w:r>
      <w:r w:rsidRPr="00EC5E1C">
        <w:rPr>
          <w:rStyle w:val="FootnoteReference"/>
        </w:rPr>
        <w:footnoteReference w:id="317"/>
      </w:r>
      <w:r w:rsidRPr="00EC5E1C">
        <w:t>, un jo īpaši tās 16. pantu,</w:t>
      </w:r>
    </w:p>
    <w:p w14:paraId="0BD6118A"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18"/>
      </w:r>
      <w:r w:rsidRPr="00EC5E1C">
        <w:t>, un jo īpaši tās 105. pantu,</w:t>
      </w:r>
    </w:p>
    <w:p w14:paraId="2E6B853E" w14:textId="77777777" w:rsidR="00EA2C2C" w:rsidRPr="00EC5E1C" w:rsidRDefault="00EA2C2C" w:rsidP="00EA2C2C">
      <w:pPr>
        <w:pStyle w:val="NormalHanging12a"/>
      </w:pPr>
      <w:r w:rsidRPr="00EC5E1C">
        <w:t>–</w:t>
      </w:r>
      <w:r w:rsidRPr="00EC5E1C">
        <w:tab/>
        <w:t>ņemot vērā Reglamenta 102. pantu un V pielikumu,</w:t>
      </w:r>
    </w:p>
    <w:p w14:paraId="6DE37882"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w:t>
      </w:r>
      <w:r w:rsidRPr="00EC5E1C">
        <w:lastRenderedPageBreak/>
        <w:t xml:space="preserve">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4A92FD06" w14:textId="77777777" w:rsidR="00EA2C2C" w:rsidRPr="00EC5E1C" w:rsidRDefault="00EA2C2C" w:rsidP="00EA2C2C">
      <w:pPr>
        <w:pStyle w:val="NormalHanging12a"/>
      </w:pPr>
      <w:r w:rsidRPr="00EC5E1C">
        <w:t>–</w:t>
      </w:r>
      <w:r w:rsidRPr="00EC5E1C">
        <w:tab/>
        <w:t>ņemot vērā Budžeta kontroles komitejas ziņojumu (A10-0087/2026),</w:t>
      </w:r>
    </w:p>
    <w:p w14:paraId="0401BB4E" w14:textId="77777777" w:rsidR="00EA2C2C" w:rsidRPr="00EC5E1C" w:rsidRDefault="00EA2C2C" w:rsidP="00EA2C2C">
      <w:pPr>
        <w:pStyle w:val="NormalHanging12a"/>
      </w:pPr>
      <w:r w:rsidRPr="00EC5E1C">
        <w:t>1.</w:t>
      </w:r>
      <w:r w:rsidRPr="00EC5E1C">
        <w:tab/>
        <w:t>sniedz Eiropas Darba drošības un veselības aizsardzības aģentūras izpilddirektoram apstiprinājumu par Aģentūras 2024. finanšu gada budžeta izpildi;</w:t>
      </w:r>
    </w:p>
    <w:p w14:paraId="517B56EF" w14:textId="77777777" w:rsidR="00EA2C2C" w:rsidRPr="00EC5E1C" w:rsidRDefault="00EA2C2C" w:rsidP="00EA2C2C">
      <w:pPr>
        <w:pStyle w:val="NormalHanging12a"/>
      </w:pPr>
      <w:r w:rsidRPr="00EC5E1C">
        <w:t>2.</w:t>
      </w:r>
      <w:r w:rsidRPr="00EC5E1C">
        <w:tab/>
        <w:t>izklāsta savus konstatējumus turpmāk tekstā iekļautajā rezolūcijā;</w:t>
      </w:r>
    </w:p>
    <w:p w14:paraId="03C2E020"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Darba drošības un veselības aizsardzības aģentūras izpilddirektoram, Padomei, Komisijai un Revīzijas palātai un nodrošināt to publicēšanu </w:t>
      </w:r>
      <w:r w:rsidRPr="00EC5E1C">
        <w:rPr>
          <w:i/>
          <w:iCs/>
        </w:rPr>
        <w:t>Eiropas Savienības Oficiālajā Vēstnesī</w:t>
      </w:r>
      <w:r w:rsidRPr="00EC5E1C">
        <w:t xml:space="preserve"> (L sērijā).</w:t>
      </w:r>
    </w:p>
    <w:p w14:paraId="661CE22C" w14:textId="77777777" w:rsidR="00EA2C2C" w:rsidRPr="00EC5E1C" w:rsidRDefault="00EA2C2C" w:rsidP="00EA2C2C"/>
    <w:p w14:paraId="7D1D94D0" w14:textId="77777777" w:rsidR="00EA2C2C" w:rsidRPr="00EC5E1C" w:rsidRDefault="00EA2C2C" w:rsidP="00EA2C2C">
      <w:pPr>
        <w:pStyle w:val="PageHeadingDec"/>
        <w:sectPr w:rsidR="00EA2C2C" w:rsidRPr="00EC5E1C" w:rsidSect="00D106D3">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A1AFFE" w14:textId="77777777" w:rsidR="00B44DA1" w:rsidRPr="00EC5E1C" w:rsidRDefault="00B44DA1" w:rsidP="00B44DA1">
      <w:pPr>
        <w:pStyle w:val="ATHeading3"/>
      </w:pPr>
      <w:r w:rsidRPr="00EC5E1C">
        <w:lastRenderedPageBreak/>
        <w:t>54. Eiropas Parlamenta 2026. gada 29. aprīļa lēmums par Eiropas Darba drošības un veselības aizsardzības aģentūras 2024. finanšu gada pārskatu apstiprināšanu (2025/2156(DEC))</w:t>
      </w:r>
    </w:p>
    <w:p w14:paraId="4C8A02E4" w14:textId="77777777" w:rsidR="00EA2C2C" w:rsidRPr="00EC5E1C" w:rsidRDefault="00EA2C2C" w:rsidP="00EA2C2C">
      <w:pPr>
        <w:pStyle w:val="EPComma"/>
      </w:pPr>
      <w:r w:rsidRPr="00EC5E1C">
        <w:rPr>
          <w:i/>
          <w:iCs/>
        </w:rPr>
        <w:t>Eiropas Parlaments</w:t>
      </w:r>
      <w:r w:rsidRPr="00EC5E1C">
        <w:t>,</w:t>
      </w:r>
    </w:p>
    <w:p w14:paraId="659DC269" w14:textId="77777777" w:rsidR="00EA2C2C" w:rsidRPr="00EC5E1C" w:rsidRDefault="00EA2C2C" w:rsidP="00EA2C2C">
      <w:pPr>
        <w:pStyle w:val="NormalHanging12a"/>
      </w:pPr>
      <w:r w:rsidRPr="00EC5E1C">
        <w:t>–</w:t>
      </w:r>
      <w:r w:rsidRPr="00EC5E1C">
        <w:tab/>
        <w:t>ņemot vērā Eiropas Darba drošības un veselības aizsardzības aģentūras 2024. finanšu gada galīgos pārskatus,</w:t>
      </w:r>
    </w:p>
    <w:p w14:paraId="70383153"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19"/>
      </w:r>
      <w:r w:rsidRPr="00EC5E1C">
        <w:t>,</w:t>
      </w:r>
    </w:p>
    <w:p w14:paraId="36C92EAB"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20"/>
      </w:r>
      <w:r w:rsidRPr="00EC5E1C">
        <w:t xml:space="preserve"> par pārskatu ticamību, kā arī par pakārtoto darījumu likumību un pareizību, kuru Revīzijas palāta sniegusi par 2024. finanšu gadu saskaņā ar Līguma par Eiropas Savienības darbību 287. pantu,</w:t>
      </w:r>
    </w:p>
    <w:p w14:paraId="5F103727"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0C20B5A1" w14:textId="77777777" w:rsidR="00EA2C2C" w:rsidRPr="00EC5E1C" w:rsidRDefault="00EA2C2C" w:rsidP="00EA2C2C">
      <w:pPr>
        <w:pStyle w:val="NormalHanging12a"/>
      </w:pPr>
      <w:r w:rsidRPr="00EC5E1C">
        <w:t>–</w:t>
      </w:r>
      <w:r w:rsidRPr="00EC5E1C">
        <w:tab/>
        <w:t>ņemot vērā Līguma par Eiropas Savienības darbību 319. pantu,</w:t>
      </w:r>
    </w:p>
    <w:p w14:paraId="5DE48886"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21"/>
      </w:r>
      <w:r w:rsidRPr="00EC5E1C">
        <w:t>, un jo īpaši tās 70. pantu,</w:t>
      </w:r>
    </w:p>
    <w:p w14:paraId="23566EDF"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22"/>
      </w:r>
      <w:r w:rsidRPr="00EC5E1C">
        <w:t>, un jo īpaši tās 70. pantu,</w:t>
      </w:r>
    </w:p>
    <w:p w14:paraId="45E833F5" w14:textId="77777777" w:rsidR="00EA2C2C" w:rsidRPr="00EC5E1C" w:rsidRDefault="00EA2C2C" w:rsidP="00EA2C2C">
      <w:pPr>
        <w:pStyle w:val="NormalHanging12a"/>
      </w:pPr>
      <w:r w:rsidRPr="00EC5E1C">
        <w:t>–</w:t>
      </w:r>
      <w:r w:rsidRPr="00EC5E1C">
        <w:tab/>
        <w:t>ņemot vērā Eiropas Parlamenta un Padomes 2019. gada 16. janvāra Regulu (ES) 2019/126, ar ko izveido Eiropas Darba drošības un veselības aizsardzības aģentūru (</w:t>
      </w:r>
      <w:r w:rsidRPr="00EC5E1C">
        <w:rPr>
          <w:i/>
          <w:iCs/>
        </w:rPr>
        <w:t>EU-OSHA</w:t>
      </w:r>
      <w:r w:rsidRPr="00EC5E1C">
        <w:t>) un atceļ Padomes Regulu (EK) Nr. 2062/94</w:t>
      </w:r>
      <w:r w:rsidRPr="00EC5E1C">
        <w:rPr>
          <w:rStyle w:val="FootnoteReference"/>
        </w:rPr>
        <w:footnoteReference w:id="323"/>
      </w:r>
      <w:r w:rsidRPr="00EC5E1C">
        <w:t>, un jo īpaši tās 16. pantu,</w:t>
      </w:r>
    </w:p>
    <w:p w14:paraId="781E1AC3"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24"/>
      </w:r>
      <w:r w:rsidRPr="00EC5E1C">
        <w:t>, un jo īpaši tās 105. pantu,</w:t>
      </w:r>
    </w:p>
    <w:p w14:paraId="35F5A619" w14:textId="77777777" w:rsidR="00EA2C2C" w:rsidRPr="00EC5E1C" w:rsidRDefault="00EA2C2C" w:rsidP="00EA2C2C">
      <w:pPr>
        <w:pStyle w:val="NormalHanging12a"/>
      </w:pPr>
      <w:r w:rsidRPr="00EC5E1C">
        <w:t>–</w:t>
      </w:r>
      <w:r w:rsidRPr="00EC5E1C">
        <w:tab/>
        <w:t>ņemot vērā Reglamenta 102. pantu un V pielikumu,</w:t>
      </w:r>
    </w:p>
    <w:p w14:paraId="2BF1DF48"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w:t>
      </w:r>
      <w:r w:rsidRPr="00EC5E1C">
        <w:lastRenderedPageBreak/>
        <w:t xml:space="preserve">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790F8A98" w14:textId="77777777" w:rsidR="00EA2C2C" w:rsidRPr="00EC5E1C" w:rsidRDefault="00EA2C2C" w:rsidP="00EA2C2C">
      <w:pPr>
        <w:pStyle w:val="NormalHanging12a"/>
      </w:pPr>
      <w:r w:rsidRPr="00EC5E1C">
        <w:t>–</w:t>
      </w:r>
      <w:r w:rsidRPr="00EC5E1C">
        <w:tab/>
        <w:t>ņemot vērā Budžeta kontroles komitejas ziņojumu (A10-0087/2026),</w:t>
      </w:r>
    </w:p>
    <w:p w14:paraId="6444E752" w14:textId="77777777" w:rsidR="00EA2C2C" w:rsidRPr="00EC5E1C" w:rsidRDefault="00EA2C2C" w:rsidP="00EA2C2C">
      <w:pPr>
        <w:pStyle w:val="NormalHanging12a"/>
      </w:pPr>
      <w:r w:rsidRPr="00EC5E1C">
        <w:t>1.</w:t>
      </w:r>
      <w:r w:rsidRPr="00EC5E1C">
        <w:tab/>
        <w:t>apstiprina Eiropas Darba drošības un veselības aizsardzības aģentūras 2024. finanšu gada pārskatus;</w:t>
      </w:r>
    </w:p>
    <w:p w14:paraId="426B299A" w14:textId="77777777" w:rsidR="00EA2C2C" w:rsidRPr="00EC5E1C" w:rsidRDefault="00EA2C2C" w:rsidP="00EA2C2C">
      <w:pPr>
        <w:pStyle w:val="NormalHanging12a"/>
      </w:pPr>
      <w:r w:rsidRPr="00EC5E1C">
        <w:t>2.</w:t>
      </w:r>
      <w:r w:rsidRPr="00EC5E1C">
        <w:tab/>
        <w:t xml:space="preserve">uzdod priekšsēdētājai šo lēmumu nosūtīt Eiropas Darba drošības un veselības aizsardzības aģentūras izpilddirektoram, Padomei, Komisijai un Revīzijas palātai un nodrošināt tā publicēšanu </w:t>
      </w:r>
      <w:r w:rsidRPr="00EC5E1C">
        <w:rPr>
          <w:i/>
          <w:iCs/>
        </w:rPr>
        <w:t>Eiropas Savienības Oficiālajā Vēstnesī</w:t>
      </w:r>
      <w:r w:rsidRPr="00EC5E1C">
        <w:t xml:space="preserve"> (L sērijā).</w:t>
      </w:r>
    </w:p>
    <w:p w14:paraId="2427D99B" w14:textId="77777777" w:rsidR="00EA2C2C" w:rsidRPr="00EC5E1C" w:rsidRDefault="00EA2C2C" w:rsidP="00EA2C2C"/>
    <w:p w14:paraId="27D3CEED" w14:textId="77777777" w:rsidR="00EA2C2C" w:rsidRPr="00EC5E1C" w:rsidRDefault="00EA2C2C" w:rsidP="00EA2C2C"/>
    <w:p w14:paraId="03B615BF" w14:textId="62ED92B7" w:rsidR="00EA2C2C" w:rsidRPr="00EC5E1C" w:rsidRDefault="00EA2C2C" w:rsidP="00EA2C2C">
      <w:pPr>
        <w:pStyle w:val="PageHeadingDec"/>
      </w:pPr>
    </w:p>
    <w:p w14:paraId="7B6CE3F9" w14:textId="77777777" w:rsidR="00EA2C2C" w:rsidRPr="00EC5E1C" w:rsidRDefault="00EA2C2C" w:rsidP="00EA2C2C">
      <w:pPr>
        <w:pStyle w:val="PageHeadingDec"/>
        <w:sectPr w:rsidR="00EA2C2C" w:rsidRPr="00EC5E1C" w:rsidSect="00D106D3">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AECAB1E" w14:textId="77777777" w:rsidR="00B44DA1" w:rsidRPr="00EC5E1C" w:rsidRDefault="00B44DA1" w:rsidP="00B44DA1">
      <w:pPr>
        <w:pStyle w:val="ATHeading3"/>
      </w:pPr>
      <w:r w:rsidRPr="00EC5E1C">
        <w:lastRenderedPageBreak/>
        <w:t>55. Eiropas Parlamenta 2026. gada 29. aprīļa lēmums par Eiropas Dzīves un darba apstākļu uzlabošanas fonda 2024. finanšu gada budžeta izpildes apstiprināšanu (2025/2156(DEC))</w:t>
      </w:r>
    </w:p>
    <w:p w14:paraId="3BDFCAAE" w14:textId="77777777" w:rsidR="00EA2C2C" w:rsidRPr="00EC5E1C" w:rsidRDefault="00EA2C2C" w:rsidP="00EA2C2C">
      <w:pPr>
        <w:pStyle w:val="EPComma"/>
      </w:pPr>
      <w:r w:rsidRPr="00EC5E1C">
        <w:rPr>
          <w:i/>
          <w:iCs/>
        </w:rPr>
        <w:t>Eiropas Parlaments</w:t>
      </w:r>
      <w:r w:rsidRPr="00EC5E1C">
        <w:t>,</w:t>
      </w:r>
    </w:p>
    <w:p w14:paraId="136F3CEC" w14:textId="77777777" w:rsidR="00EA2C2C" w:rsidRPr="00EC5E1C" w:rsidRDefault="00EA2C2C" w:rsidP="00EA2C2C">
      <w:pPr>
        <w:pStyle w:val="NormalHanging12a"/>
      </w:pPr>
      <w:r w:rsidRPr="00EC5E1C">
        <w:t>–</w:t>
      </w:r>
      <w:r w:rsidRPr="00EC5E1C">
        <w:tab/>
        <w:t>ņemot vērā Eiropas Dzīves un darba apstākļu uzlabošanas fonda 2024. finanšu gada galīgos pārskatus,</w:t>
      </w:r>
    </w:p>
    <w:p w14:paraId="2D80D6B1"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25"/>
      </w:r>
      <w:r w:rsidRPr="00EC5E1C">
        <w:t>,</w:t>
      </w:r>
    </w:p>
    <w:p w14:paraId="42B91D8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26"/>
      </w:r>
      <w:r w:rsidRPr="00EC5E1C">
        <w:t xml:space="preserve"> par pārskatu ticamību, kā arī par pakārtoto darījumu likumību un pareizību, kuru Revīzijas palāta sniegusi par 2024. finanšu gadu saskaņā ar Līguma par Eiropas Savienības darbību 287. pantu,</w:t>
      </w:r>
    </w:p>
    <w:p w14:paraId="52AF1DC9" w14:textId="77777777" w:rsidR="00EA2C2C" w:rsidRPr="00EC5E1C" w:rsidRDefault="00EA2C2C" w:rsidP="00EA2C2C">
      <w:pPr>
        <w:pStyle w:val="NormalHanging12a"/>
      </w:pPr>
      <w:r w:rsidRPr="00EC5E1C">
        <w:t>–</w:t>
      </w:r>
      <w:r w:rsidRPr="00EC5E1C">
        <w:tab/>
        <w:t>ņemot vērā Padomes 2026. gada 2. marta ieteikumu par apstiprinājumu, ko sniedz Fondam par 2024. finanšu gada budžeta izpildi (05750/2026 – C10-0148/2026),</w:t>
      </w:r>
    </w:p>
    <w:p w14:paraId="23167C04" w14:textId="77777777" w:rsidR="00EA2C2C" w:rsidRPr="00EC5E1C" w:rsidRDefault="00EA2C2C" w:rsidP="00EA2C2C">
      <w:pPr>
        <w:pStyle w:val="NormalHanging12a"/>
      </w:pPr>
      <w:r w:rsidRPr="00EC5E1C">
        <w:t>–</w:t>
      </w:r>
      <w:r w:rsidRPr="00EC5E1C">
        <w:tab/>
        <w:t>ņemot vērā Līguma par Eiropas Savienības darbību 319. pantu,</w:t>
      </w:r>
    </w:p>
    <w:p w14:paraId="30A070AF"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27"/>
      </w:r>
      <w:r w:rsidRPr="00EC5E1C">
        <w:t>, un jo īpaši tās 70. pantu,</w:t>
      </w:r>
    </w:p>
    <w:p w14:paraId="160FAB24"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28"/>
      </w:r>
      <w:r w:rsidRPr="00EC5E1C">
        <w:t>, un jo īpaši tās 70. pantu,</w:t>
      </w:r>
    </w:p>
    <w:p w14:paraId="72253514" w14:textId="77777777" w:rsidR="00EA2C2C" w:rsidRPr="00EC5E1C" w:rsidRDefault="00EA2C2C" w:rsidP="00EA2C2C">
      <w:pPr>
        <w:pStyle w:val="NormalHanging12a"/>
      </w:pPr>
      <w:r w:rsidRPr="00EC5E1C">
        <w:t>–</w:t>
      </w:r>
      <w:r w:rsidRPr="00EC5E1C">
        <w:tab/>
        <w:t>ņemot vērā Eiropas Parlamenta un Padomes 2019. gada 16. janvāra Regulu (ES) 2019/127, ar ko izveido Eiropas Dzīves un darba apstākļu uzlabošanas fondu (</w:t>
      </w:r>
      <w:proofErr w:type="spellStart"/>
      <w:r w:rsidRPr="00EC5E1C">
        <w:rPr>
          <w:i/>
          <w:iCs/>
        </w:rPr>
        <w:t>Eurofound</w:t>
      </w:r>
      <w:proofErr w:type="spellEnd"/>
      <w:r w:rsidRPr="00EC5E1C">
        <w:t>) un atceļ Padomes Regulu (EEK) Nr. 1365/75</w:t>
      </w:r>
      <w:r w:rsidRPr="00EC5E1C">
        <w:rPr>
          <w:rStyle w:val="FootnoteReference"/>
        </w:rPr>
        <w:footnoteReference w:id="329"/>
      </w:r>
      <w:r w:rsidRPr="00EC5E1C">
        <w:t>, un jo īpaši tās 16. pantu,</w:t>
      </w:r>
    </w:p>
    <w:p w14:paraId="18723887"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30"/>
      </w:r>
      <w:r w:rsidRPr="00EC5E1C">
        <w:t>, un jo īpaši tās 105. pantu,</w:t>
      </w:r>
    </w:p>
    <w:p w14:paraId="70EF5B0C" w14:textId="77777777" w:rsidR="00EA2C2C" w:rsidRPr="00EC5E1C" w:rsidRDefault="00EA2C2C" w:rsidP="00EA2C2C">
      <w:pPr>
        <w:pStyle w:val="NormalHanging12a"/>
      </w:pPr>
      <w:r w:rsidRPr="00EC5E1C">
        <w:t>–</w:t>
      </w:r>
      <w:r w:rsidRPr="00EC5E1C">
        <w:tab/>
        <w:t>ņemot vērā Reglamenta 102. pantu un V pielikumu,</w:t>
      </w:r>
    </w:p>
    <w:p w14:paraId="2984CA8E"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w:t>
      </w:r>
      <w:r w:rsidRPr="00EC5E1C">
        <w:lastRenderedPageBreak/>
        <w:t xml:space="preserve">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665B7257" w14:textId="77777777" w:rsidR="00EA2C2C" w:rsidRPr="00EC5E1C" w:rsidRDefault="00EA2C2C" w:rsidP="00EA2C2C">
      <w:pPr>
        <w:pStyle w:val="NormalHanging12a"/>
      </w:pPr>
      <w:r w:rsidRPr="00EC5E1C">
        <w:t>–</w:t>
      </w:r>
      <w:r w:rsidRPr="00EC5E1C">
        <w:tab/>
        <w:t>ņemot vērā Budžeta kontroles komitejas ziņojumu (A10-0087/2026),</w:t>
      </w:r>
    </w:p>
    <w:p w14:paraId="5D3E5BC1" w14:textId="77777777" w:rsidR="00EA2C2C" w:rsidRPr="00EC5E1C" w:rsidRDefault="00EA2C2C" w:rsidP="00EA2C2C">
      <w:pPr>
        <w:pStyle w:val="NormalHanging12a"/>
      </w:pPr>
      <w:r w:rsidRPr="00EC5E1C">
        <w:t>1.</w:t>
      </w:r>
      <w:r w:rsidRPr="00EC5E1C">
        <w:tab/>
        <w:t>sniedz Eiropas Dzīves un darba apstākļu uzlabošanas fonda izpilddirektoram apstiprinājumu par Fonda 2024. finanšu gada budžeta izpildi;</w:t>
      </w:r>
    </w:p>
    <w:p w14:paraId="3C52E763" w14:textId="77777777" w:rsidR="00EA2C2C" w:rsidRPr="00EC5E1C" w:rsidRDefault="00EA2C2C" w:rsidP="00EA2C2C">
      <w:pPr>
        <w:pStyle w:val="NormalHanging12a"/>
      </w:pPr>
      <w:r w:rsidRPr="00EC5E1C">
        <w:t>2.</w:t>
      </w:r>
      <w:r w:rsidRPr="00EC5E1C">
        <w:tab/>
        <w:t>izklāsta savus konstatējumus turpmāk tekstā iekļautajā rezolūcijā;</w:t>
      </w:r>
    </w:p>
    <w:p w14:paraId="5383867F"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Dzīves un darba apstākļu uzlabošanas fonda izpilddirektoram, Padomei, Komisijai un Revīzijas palātai un nodrošināt to publicēšanu </w:t>
      </w:r>
      <w:r w:rsidRPr="00EC5E1C">
        <w:rPr>
          <w:i/>
          <w:iCs/>
        </w:rPr>
        <w:t>Eiropas Savienības Oficiālajā Vēstnesī</w:t>
      </w:r>
      <w:r w:rsidRPr="00EC5E1C">
        <w:t xml:space="preserve"> (L sērijā).</w:t>
      </w:r>
    </w:p>
    <w:p w14:paraId="77CBA58D" w14:textId="77777777" w:rsidR="00EA2C2C" w:rsidRPr="00EC5E1C" w:rsidRDefault="00EA2C2C" w:rsidP="00EA2C2C"/>
    <w:p w14:paraId="5A9B163F" w14:textId="77777777" w:rsidR="00EA2C2C" w:rsidRPr="00EC5E1C" w:rsidRDefault="00EA2C2C" w:rsidP="00EA2C2C">
      <w:pPr>
        <w:pStyle w:val="PageHeadingDec"/>
        <w:sectPr w:rsidR="00EA2C2C" w:rsidRPr="00EC5E1C" w:rsidSect="00D106D3">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CB7407" w14:textId="77777777" w:rsidR="00B44DA1" w:rsidRPr="00EC5E1C" w:rsidRDefault="00B44DA1" w:rsidP="00B44DA1">
      <w:pPr>
        <w:pStyle w:val="ATHeading3"/>
      </w:pPr>
      <w:r w:rsidRPr="00EC5E1C">
        <w:lastRenderedPageBreak/>
        <w:t>56. Eiropas Parlamenta 2026. gada 29. aprīļa lēmums par Eiropas Dzīves un darba apstākļu uzlabošanas fonda 2024. finanšu gada pārskatu apstiprināšanu (2025/2156(DEC))</w:t>
      </w:r>
    </w:p>
    <w:p w14:paraId="121BBCEA" w14:textId="77777777" w:rsidR="00EA2C2C" w:rsidRPr="00EC5E1C" w:rsidRDefault="00EA2C2C" w:rsidP="00EA2C2C">
      <w:pPr>
        <w:pStyle w:val="EPComma"/>
      </w:pPr>
      <w:r w:rsidRPr="00EC5E1C">
        <w:rPr>
          <w:i/>
          <w:iCs/>
        </w:rPr>
        <w:t>Eiropas Parlaments</w:t>
      </w:r>
      <w:r w:rsidRPr="00EC5E1C">
        <w:t>,</w:t>
      </w:r>
    </w:p>
    <w:p w14:paraId="4D2B12E1" w14:textId="77777777" w:rsidR="00EA2C2C" w:rsidRPr="00EC5E1C" w:rsidRDefault="00EA2C2C" w:rsidP="00EA2C2C">
      <w:pPr>
        <w:pStyle w:val="NormalHanging12a"/>
      </w:pPr>
      <w:r w:rsidRPr="00EC5E1C">
        <w:t>–</w:t>
      </w:r>
      <w:r w:rsidRPr="00EC5E1C">
        <w:tab/>
        <w:t>ņemot vērā Eiropas Dzīves un darba apstākļu uzlabošanas fonda 2024. finanšu gada galīgos pārskatus,</w:t>
      </w:r>
    </w:p>
    <w:p w14:paraId="08803296"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31"/>
      </w:r>
      <w:r w:rsidRPr="00EC5E1C">
        <w:t>,</w:t>
      </w:r>
    </w:p>
    <w:p w14:paraId="392146BC"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32"/>
      </w:r>
      <w:r w:rsidRPr="00EC5E1C">
        <w:t xml:space="preserve"> par pārskatu ticamību, kā arī par pakārtoto darījumu likumību un pareizību, kuru Revīzijas palāta sniegusi par 2024. finanšu gadu saskaņā ar Līguma par Eiropas Savienības darbību 287. pantu,</w:t>
      </w:r>
    </w:p>
    <w:p w14:paraId="4CA37483" w14:textId="77777777" w:rsidR="00EA2C2C" w:rsidRPr="00EC5E1C" w:rsidRDefault="00EA2C2C" w:rsidP="00EA2C2C">
      <w:pPr>
        <w:pStyle w:val="NormalHanging12a"/>
      </w:pPr>
      <w:r w:rsidRPr="00EC5E1C">
        <w:t>–</w:t>
      </w:r>
      <w:r w:rsidRPr="00EC5E1C">
        <w:tab/>
        <w:t>ņemot vērā Padomes 2026. gada 2. marta ieteikumu par apstiprinājumu, ko sniedz Fondam par 2024. finanšu gada budžeta izpildi (05750/2026 – C10-0148/2026),</w:t>
      </w:r>
    </w:p>
    <w:p w14:paraId="35B993BE" w14:textId="77777777" w:rsidR="00EA2C2C" w:rsidRPr="00EC5E1C" w:rsidRDefault="00EA2C2C" w:rsidP="00EA2C2C">
      <w:pPr>
        <w:pStyle w:val="NormalHanging12a"/>
      </w:pPr>
      <w:r w:rsidRPr="00EC5E1C">
        <w:t>–</w:t>
      </w:r>
      <w:r w:rsidRPr="00EC5E1C">
        <w:tab/>
        <w:t>ņemot vērā Līguma par Eiropas Savienības darbību 319. pantu,</w:t>
      </w:r>
    </w:p>
    <w:p w14:paraId="2B65A4CF"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33"/>
      </w:r>
      <w:r w:rsidRPr="00EC5E1C">
        <w:t>, un jo īpaši tās 70. pantu,</w:t>
      </w:r>
    </w:p>
    <w:p w14:paraId="7570694B"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34"/>
      </w:r>
      <w:r w:rsidRPr="00EC5E1C">
        <w:t>, un jo īpaši tās 70. pantu,</w:t>
      </w:r>
    </w:p>
    <w:p w14:paraId="7484691D" w14:textId="77777777" w:rsidR="00EA2C2C" w:rsidRPr="00EC5E1C" w:rsidRDefault="00EA2C2C" w:rsidP="00EA2C2C">
      <w:pPr>
        <w:pStyle w:val="NormalHanging12a"/>
      </w:pPr>
      <w:r w:rsidRPr="00EC5E1C">
        <w:t>–</w:t>
      </w:r>
      <w:r w:rsidRPr="00EC5E1C">
        <w:tab/>
        <w:t>ņemot vērā Eiropas Parlamenta un Padomes 2019. gada 16. janvāra Regulu (ES) 2019/127, ar ko izveido Eiropas Dzīves un darba apstākļu uzlabošanas fondu (</w:t>
      </w:r>
      <w:proofErr w:type="spellStart"/>
      <w:r w:rsidRPr="00EC5E1C">
        <w:rPr>
          <w:i/>
          <w:iCs/>
        </w:rPr>
        <w:t>Eurofound</w:t>
      </w:r>
      <w:proofErr w:type="spellEnd"/>
      <w:r w:rsidRPr="00EC5E1C">
        <w:t>) un atceļ Padomes Regulu (EEK) Nr. 1365/75</w:t>
      </w:r>
      <w:r w:rsidRPr="00EC5E1C">
        <w:rPr>
          <w:rStyle w:val="FootnoteReference"/>
        </w:rPr>
        <w:footnoteReference w:id="335"/>
      </w:r>
      <w:r w:rsidRPr="00EC5E1C">
        <w:t>, un jo īpaši tās 16. pantu,</w:t>
      </w:r>
    </w:p>
    <w:p w14:paraId="16C17BF1"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36"/>
      </w:r>
      <w:r w:rsidRPr="00EC5E1C">
        <w:t>, un jo īpaši tās 105. pantu,</w:t>
      </w:r>
    </w:p>
    <w:p w14:paraId="17BC9083" w14:textId="77777777" w:rsidR="00EA2C2C" w:rsidRPr="00EC5E1C" w:rsidRDefault="00EA2C2C" w:rsidP="00EA2C2C">
      <w:pPr>
        <w:pStyle w:val="NormalHanging12a"/>
      </w:pPr>
      <w:r w:rsidRPr="00EC5E1C">
        <w:t>–</w:t>
      </w:r>
      <w:r w:rsidRPr="00EC5E1C">
        <w:tab/>
        <w:t>ņemot vērā Reglamenta 102. pantu un V pielikumu,</w:t>
      </w:r>
    </w:p>
    <w:p w14:paraId="3800C1C4"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w:t>
      </w:r>
      <w:r w:rsidRPr="00EC5E1C">
        <w:lastRenderedPageBreak/>
        <w:t xml:space="preserve">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10163D52" w14:textId="77777777" w:rsidR="00EA2C2C" w:rsidRPr="00EC5E1C" w:rsidRDefault="00EA2C2C" w:rsidP="00EA2C2C">
      <w:pPr>
        <w:pStyle w:val="NormalHanging12a"/>
      </w:pPr>
      <w:r w:rsidRPr="00EC5E1C">
        <w:t>–</w:t>
      </w:r>
      <w:r w:rsidRPr="00EC5E1C">
        <w:tab/>
        <w:t>ņemot vērā Budžeta kontroles komitejas ziņojumu (A10-0087/2026),</w:t>
      </w:r>
    </w:p>
    <w:p w14:paraId="403B2059" w14:textId="77777777" w:rsidR="00EA2C2C" w:rsidRPr="00EC5E1C" w:rsidRDefault="00EA2C2C" w:rsidP="00EA2C2C">
      <w:pPr>
        <w:pStyle w:val="NormalHanging12a"/>
      </w:pPr>
      <w:r w:rsidRPr="00EC5E1C">
        <w:t>1.</w:t>
      </w:r>
      <w:r w:rsidRPr="00EC5E1C">
        <w:tab/>
        <w:t>apstiprina Eiropas Dzīves un darba apstākļu uzlabošanas fonda 2024. finanšu gada pārskatus;</w:t>
      </w:r>
    </w:p>
    <w:p w14:paraId="3754BA98" w14:textId="77777777" w:rsidR="00EA2C2C" w:rsidRPr="00EC5E1C" w:rsidRDefault="00EA2C2C" w:rsidP="00EA2C2C">
      <w:pPr>
        <w:pStyle w:val="NormalHanging12a"/>
      </w:pPr>
      <w:r w:rsidRPr="00EC5E1C">
        <w:t>2.</w:t>
      </w:r>
      <w:r w:rsidRPr="00EC5E1C">
        <w:tab/>
        <w:t xml:space="preserve">uzdod priekšsēdētājai šo lēmumu nosūtīt Eiropas Dzīves un darba apstākļu uzlabošanas fonda izpilddirektoram, Padomei, Komisijai un Revīzijas palātai un nodrošināt tā publicēšanu </w:t>
      </w:r>
      <w:r w:rsidRPr="00EC5E1C">
        <w:rPr>
          <w:i/>
          <w:iCs/>
        </w:rPr>
        <w:t>Eiropas Savienības Oficiālajā Vēstnesī</w:t>
      </w:r>
      <w:r w:rsidRPr="00EC5E1C">
        <w:t xml:space="preserve"> (L sērijā).</w:t>
      </w:r>
    </w:p>
    <w:p w14:paraId="48871EE7" w14:textId="77777777" w:rsidR="00EA2C2C" w:rsidRPr="00EC5E1C" w:rsidRDefault="00EA2C2C" w:rsidP="00EA2C2C"/>
    <w:p w14:paraId="02B95AEA" w14:textId="77777777" w:rsidR="00EA2C2C" w:rsidRPr="00EC5E1C" w:rsidRDefault="00EA2C2C" w:rsidP="00EA2C2C"/>
    <w:p w14:paraId="1BE17211" w14:textId="0E9DBD84" w:rsidR="00EA2C2C" w:rsidRPr="00EC5E1C" w:rsidRDefault="00EA2C2C" w:rsidP="00EA2C2C">
      <w:pPr>
        <w:pStyle w:val="PageHeadingDec"/>
      </w:pPr>
    </w:p>
    <w:p w14:paraId="32E1AC5A" w14:textId="77777777" w:rsidR="00EA2C2C" w:rsidRPr="00EC5E1C" w:rsidRDefault="00EA2C2C" w:rsidP="00EA2C2C">
      <w:pPr>
        <w:pStyle w:val="PageHeadingDec"/>
        <w:sectPr w:rsidR="00EA2C2C" w:rsidRPr="00EC5E1C" w:rsidSect="00D106D3">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F119DA" w14:textId="77777777" w:rsidR="00B44DA1" w:rsidRPr="00EC5E1C" w:rsidRDefault="00B44DA1" w:rsidP="00B44DA1">
      <w:pPr>
        <w:pStyle w:val="ATHeading3"/>
      </w:pPr>
      <w:r w:rsidRPr="00EC5E1C">
        <w:lastRenderedPageBreak/>
        <w:t>57. Eiropas Parlamenta 2026. gada 29. aprīļa lēmums par Eiropas Savienības Aģentūras tiesu iestāžu sadarbībai krimināllietās 2024. finanšu gada budžeta izpildes apstiprināšanu (2025/2156(DEC))</w:t>
      </w:r>
    </w:p>
    <w:p w14:paraId="09547893" w14:textId="77777777" w:rsidR="00EA2C2C" w:rsidRPr="00EC5E1C" w:rsidRDefault="00EA2C2C" w:rsidP="00EA2C2C">
      <w:pPr>
        <w:pStyle w:val="EPComma"/>
      </w:pPr>
      <w:r w:rsidRPr="00EC5E1C">
        <w:rPr>
          <w:i/>
          <w:iCs/>
        </w:rPr>
        <w:t>Eiropas Parlaments</w:t>
      </w:r>
      <w:r w:rsidRPr="00EC5E1C">
        <w:t>,</w:t>
      </w:r>
    </w:p>
    <w:p w14:paraId="08A257AD" w14:textId="77777777" w:rsidR="00EA2C2C" w:rsidRPr="00EC5E1C" w:rsidRDefault="00EA2C2C" w:rsidP="00EA2C2C">
      <w:pPr>
        <w:pStyle w:val="NormalHanging12a"/>
      </w:pPr>
      <w:r w:rsidRPr="00EC5E1C">
        <w:t>–</w:t>
      </w:r>
      <w:r w:rsidRPr="00EC5E1C">
        <w:tab/>
        <w:t>ņemot vērā Eiropas Savienības Aģentūras tiesu iestāžu sadarbībai krimināllietās 2024. finanšu gada galīgos pārskatus,</w:t>
      </w:r>
    </w:p>
    <w:p w14:paraId="570A4B22"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37"/>
      </w:r>
      <w:r w:rsidRPr="00EC5E1C">
        <w:t>,</w:t>
      </w:r>
    </w:p>
    <w:p w14:paraId="40F13589"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38"/>
      </w:r>
      <w:r w:rsidRPr="00EC5E1C">
        <w:t xml:space="preserve"> par pārskatu ticamību, kā arī par pakārtoto darījumu likumību un pareizību, kuru Revīzijas palāta sniegusi par 2024. finanšu gadu saskaņā ar Līguma par Eiropas Savienības darbību 287. pantu,</w:t>
      </w:r>
    </w:p>
    <w:p w14:paraId="009FAEFA"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09085702" w14:textId="77777777" w:rsidR="00EA2C2C" w:rsidRPr="00EC5E1C" w:rsidRDefault="00EA2C2C" w:rsidP="00EA2C2C">
      <w:pPr>
        <w:pStyle w:val="NormalHanging12a"/>
      </w:pPr>
      <w:r w:rsidRPr="00EC5E1C">
        <w:t>–</w:t>
      </w:r>
      <w:r w:rsidRPr="00EC5E1C">
        <w:tab/>
        <w:t>ņemot vērā Līguma par Eiropas Savienības darbību 319. pantu,</w:t>
      </w:r>
    </w:p>
    <w:p w14:paraId="1FFEA552"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39"/>
      </w:r>
      <w:r w:rsidRPr="00EC5E1C">
        <w:t>, un jo īpaši tās 70. pantu,</w:t>
      </w:r>
    </w:p>
    <w:p w14:paraId="0719059C"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40"/>
      </w:r>
      <w:r w:rsidRPr="00EC5E1C">
        <w:t>, un jo īpaši tās 70. pantu,</w:t>
      </w:r>
    </w:p>
    <w:p w14:paraId="65F8E017" w14:textId="77777777" w:rsidR="00EA2C2C" w:rsidRPr="00EC5E1C" w:rsidRDefault="00EA2C2C" w:rsidP="00EA2C2C">
      <w:pPr>
        <w:pStyle w:val="NormalHanging12a"/>
      </w:pPr>
      <w:r w:rsidRPr="00EC5E1C">
        <w:t>–</w:t>
      </w:r>
      <w:r w:rsidRPr="00EC5E1C">
        <w:tab/>
        <w:t>ņemot vērā Eiropas Parlamenta un Padomes 2018. gada 14. novembra Regulu (ES) 2018/1727 par Eiropas Savienības Aģentūru tiesu iestāžu sadarbībai krimināllietās (</w:t>
      </w:r>
      <w:proofErr w:type="spellStart"/>
      <w:r w:rsidRPr="00EC5E1C">
        <w:rPr>
          <w:i/>
          <w:iCs/>
        </w:rPr>
        <w:t>Eurojust</w:t>
      </w:r>
      <w:proofErr w:type="spellEnd"/>
      <w:r w:rsidRPr="00EC5E1C">
        <w:t>) un ar ko aizstāj un atceļ Padomes Lēmumu 2002/187/TI</w:t>
      </w:r>
      <w:r w:rsidRPr="00EC5E1C">
        <w:rPr>
          <w:rStyle w:val="FootnoteReference"/>
        </w:rPr>
        <w:footnoteReference w:id="341"/>
      </w:r>
      <w:r w:rsidRPr="00EC5E1C">
        <w:t>, un jo īpaši tās 63. pantu,</w:t>
      </w:r>
    </w:p>
    <w:p w14:paraId="17B9AD35"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42"/>
      </w:r>
      <w:r w:rsidRPr="00EC5E1C">
        <w:t>, un jo īpaši tās 105. pantu,</w:t>
      </w:r>
    </w:p>
    <w:p w14:paraId="49369A21" w14:textId="77777777" w:rsidR="00EA2C2C" w:rsidRPr="00EC5E1C" w:rsidRDefault="00EA2C2C" w:rsidP="00EA2C2C">
      <w:pPr>
        <w:pStyle w:val="NormalHanging12a"/>
      </w:pPr>
      <w:r w:rsidRPr="00EC5E1C">
        <w:t>–</w:t>
      </w:r>
      <w:r w:rsidRPr="00EC5E1C">
        <w:tab/>
        <w:t>ņemot vērā Reglamenta 102. pantu un V pielikumu,</w:t>
      </w:r>
    </w:p>
    <w:p w14:paraId="4EC3AF97"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w:t>
      </w:r>
      <w:r w:rsidRPr="00EC5E1C">
        <w:lastRenderedPageBreak/>
        <w:t xml:space="preserve">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44341842" w14:textId="77777777" w:rsidR="00EA2C2C" w:rsidRPr="00EC5E1C" w:rsidRDefault="00EA2C2C" w:rsidP="00EA2C2C">
      <w:pPr>
        <w:pStyle w:val="NormalHanging12a"/>
      </w:pPr>
      <w:r w:rsidRPr="00EC5E1C">
        <w:t>–</w:t>
      </w:r>
      <w:r w:rsidRPr="00EC5E1C">
        <w:tab/>
        <w:t>ņemot vērā Budžeta kontroles komitejas ziņojumu (A10-0087/2026),</w:t>
      </w:r>
    </w:p>
    <w:p w14:paraId="1D93851A" w14:textId="77777777" w:rsidR="00EA2C2C" w:rsidRPr="00EC5E1C" w:rsidRDefault="00EA2C2C" w:rsidP="00EA2C2C">
      <w:pPr>
        <w:pStyle w:val="NormalHanging12a"/>
      </w:pPr>
      <w:r w:rsidRPr="00EC5E1C">
        <w:t>1.</w:t>
      </w:r>
      <w:r w:rsidRPr="00EC5E1C">
        <w:tab/>
        <w:t>sniedz Eiropas Savienības Aģentūras tiesu iestāžu sadarbībai krimināllietās administratīvajam direktoram apstiprinājumu par Aģentūras 2024. finanšu gada budžeta izpildi;</w:t>
      </w:r>
    </w:p>
    <w:p w14:paraId="3F660A37" w14:textId="77777777" w:rsidR="00EA2C2C" w:rsidRPr="00EC5E1C" w:rsidRDefault="00EA2C2C" w:rsidP="00EA2C2C">
      <w:pPr>
        <w:pStyle w:val="NormalHanging12a"/>
      </w:pPr>
      <w:r w:rsidRPr="00EC5E1C">
        <w:t>2.</w:t>
      </w:r>
      <w:r w:rsidRPr="00EC5E1C">
        <w:tab/>
        <w:t>izklāsta savus konstatējumus turpmāk tekstā iekļautajā rezolūcijā;</w:t>
      </w:r>
    </w:p>
    <w:p w14:paraId="48A2BCAB"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Aģentūras tiesu iestāžu sadarbībai krimināllietās administratīvajam direktoram, Padomei, Komisijai un Revīzijas palātai un nodrošināt to publicēšanu </w:t>
      </w:r>
      <w:r w:rsidRPr="00EC5E1C">
        <w:rPr>
          <w:i/>
          <w:iCs/>
        </w:rPr>
        <w:t>Eiropas Savienības Oficiālajā Vēstnesī</w:t>
      </w:r>
      <w:r w:rsidRPr="00EC5E1C">
        <w:t xml:space="preserve"> (L sērijā).</w:t>
      </w:r>
    </w:p>
    <w:p w14:paraId="262CBA0C" w14:textId="77777777" w:rsidR="00EA2C2C" w:rsidRPr="00EC5E1C" w:rsidRDefault="00EA2C2C" w:rsidP="00EA2C2C"/>
    <w:p w14:paraId="1CEA349B" w14:textId="77777777" w:rsidR="00EA2C2C" w:rsidRPr="00EC5E1C" w:rsidRDefault="00EA2C2C" w:rsidP="00EA2C2C">
      <w:pPr>
        <w:pStyle w:val="PageHeadingDec"/>
        <w:sectPr w:rsidR="00EA2C2C" w:rsidRPr="00EC5E1C" w:rsidSect="00D106D3">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2EC9F3" w14:textId="77777777" w:rsidR="00B44DA1" w:rsidRPr="00EC5E1C" w:rsidRDefault="00B44DA1" w:rsidP="00B44DA1">
      <w:pPr>
        <w:pStyle w:val="ATHeading3"/>
      </w:pPr>
      <w:r w:rsidRPr="00EC5E1C">
        <w:lastRenderedPageBreak/>
        <w:t>58. Eiropas Parlamenta 2026. gada 29. aprīļa lēmums par Eiropas Savienības Aģentūras tiesu iestāžu sadarbībai krimināllietās 2024. finanšu gada pārskatu apstiprināšanu (2025/2156(DEC))</w:t>
      </w:r>
    </w:p>
    <w:p w14:paraId="21E053A0" w14:textId="77777777" w:rsidR="00EA2C2C" w:rsidRPr="00EC5E1C" w:rsidRDefault="00EA2C2C" w:rsidP="00EA2C2C">
      <w:pPr>
        <w:pStyle w:val="EPComma"/>
      </w:pPr>
      <w:r w:rsidRPr="00EC5E1C">
        <w:rPr>
          <w:i/>
          <w:iCs/>
        </w:rPr>
        <w:t>Eiropas Parlaments</w:t>
      </w:r>
      <w:r w:rsidRPr="00EC5E1C">
        <w:t>,</w:t>
      </w:r>
    </w:p>
    <w:p w14:paraId="35F4E4C9" w14:textId="77777777" w:rsidR="00EA2C2C" w:rsidRPr="00EC5E1C" w:rsidRDefault="00EA2C2C" w:rsidP="00EA2C2C">
      <w:pPr>
        <w:pStyle w:val="NormalHanging12a"/>
      </w:pPr>
      <w:r w:rsidRPr="00EC5E1C">
        <w:t>–</w:t>
      </w:r>
      <w:r w:rsidRPr="00EC5E1C">
        <w:tab/>
        <w:t>ņemot vērā Eiropas Savienības Aģentūras tiesu iestāžu sadarbībai krimināllietās 2024. finanšu gada galīgos pārskatus,</w:t>
      </w:r>
    </w:p>
    <w:p w14:paraId="0EF9CDB0"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43"/>
      </w:r>
      <w:r w:rsidRPr="00EC5E1C">
        <w:t>,</w:t>
      </w:r>
    </w:p>
    <w:p w14:paraId="2054842C"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44"/>
      </w:r>
      <w:r w:rsidRPr="00EC5E1C">
        <w:t xml:space="preserve"> par pārskatu ticamību, kā arī par pakārtoto darījumu likumību un pareizību, kuru Revīzijas palāta sniegusi par 2024. finanšu gadu saskaņā ar Līguma par Eiropas Savienības darbību 287. pantu,</w:t>
      </w:r>
    </w:p>
    <w:p w14:paraId="655F5E67"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16B58E21" w14:textId="77777777" w:rsidR="00EA2C2C" w:rsidRPr="00EC5E1C" w:rsidRDefault="00EA2C2C" w:rsidP="00EA2C2C">
      <w:pPr>
        <w:pStyle w:val="NormalHanging12a"/>
      </w:pPr>
      <w:r w:rsidRPr="00EC5E1C">
        <w:t>–</w:t>
      </w:r>
      <w:r w:rsidRPr="00EC5E1C">
        <w:tab/>
        <w:t>ņemot vērā Līguma par Eiropas Savienības darbību 319. pantu,</w:t>
      </w:r>
    </w:p>
    <w:p w14:paraId="4E1A535E"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45"/>
      </w:r>
      <w:r w:rsidRPr="00EC5E1C">
        <w:t>, un jo īpaši tās 70. pantu,</w:t>
      </w:r>
    </w:p>
    <w:p w14:paraId="62FD0CA5"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46"/>
      </w:r>
      <w:r w:rsidRPr="00EC5E1C">
        <w:t>, un jo īpaši tās 70. pantu,</w:t>
      </w:r>
    </w:p>
    <w:p w14:paraId="20DB0B6E" w14:textId="77777777" w:rsidR="00EA2C2C" w:rsidRPr="00EC5E1C" w:rsidRDefault="00EA2C2C" w:rsidP="00EA2C2C">
      <w:pPr>
        <w:pStyle w:val="NormalHanging12a"/>
      </w:pPr>
      <w:r w:rsidRPr="00EC5E1C">
        <w:t>–</w:t>
      </w:r>
      <w:r w:rsidRPr="00EC5E1C">
        <w:tab/>
        <w:t>ņemot vērā Eiropas Parlamenta un Padomes 2018. gada 14. novembra Regulu (ES) 2018/1727 par Eiropas Savienības Aģentūru tiesu iestāžu sadarbībai krimināllietās (</w:t>
      </w:r>
      <w:proofErr w:type="spellStart"/>
      <w:r w:rsidRPr="00EC5E1C">
        <w:rPr>
          <w:i/>
          <w:iCs/>
        </w:rPr>
        <w:t>Eurojust</w:t>
      </w:r>
      <w:proofErr w:type="spellEnd"/>
      <w:r w:rsidRPr="00EC5E1C">
        <w:t>) un ar ko aizstāj un atceļ Padomes Lēmumu 2002/187/TI</w:t>
      </w:r>
      <w:r w:rsidRPr="00EC5E1C">
        <w:rPr>
          <w:rStyle w:val="FootnoteReference"/>
        </w:rPr>
        <w:footnoteReference w:id="347"/>
      </w:r>
      <w:r w:rsidRPr="00EC5E1C">
        <w:t>, un jo īpaši tās 63. pantu,</w:t>
      </w:r>
    </w:p>
    <w:p w14:paraId="0E524D9C"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48"/>
      </w:r>
      <w:r w:rsidRPr="00EC5E1C">
        <w:t>, un jo īpaši tās 105. pantu,</w:t>
      </w:r>
    </w:p>
    <w:p w14:paraId="06781A90" w14:textId="77777777" w:rsidR="00EA2C2C" w:rsidRPr="00EC5E1C" w:rsidRDefault="00EA2C2C" w:rsidP="00EA2C2C">
      <w:pPr>
        <w:pStyle w:val="NormalHanging12a"/>
      </w:pPr>
      <w:r w:rsidRPr="00EC5E1C">
        <w:t>–</w:t>
      </w:r>
      <w:r w:rsidRPr="00EC5E1C">
        <w:tab/>
        <w:t>ņemot vērā Reglamenta 102. pantu un V pielikumu,</w:t>
      </w:r>
    </w:p>
    <w:p w14:paraId="489FC554"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w:t>
      </w:r>
      <w:r w:rsidRPr="00EC5E1C">
        <w:lastRenderedPageBreak/>
        <w:t xml:space="preserve">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3461F824" w14:textId="77777777" w:rsidR="00EA2C2C" w:rsidRPr="00EC5E1C" w:rsidRDefault="00EA2C2C" w:rsidP="00EA2C2C">
      <w:pPr>
        <w:pStyle w:val="NormalHanging12a"/>
      </w:pPr>
      <w:r w:rsidRPr="00EC5E1C">
        <w:t>–</w:t>
      </w:r>
      <w:r w:rsidRPr="00EC5E1C">
        <w:tab/>
        <w:t>ņemot vērā Budžeta kontroles komitejas ziņojumu (A10-0087/2026),</w:t>
      </w:r>
    </w:p>
    <w:p w14:paraId="2D7941A4" w14:textId="77777777" w:rsidR="00EA2C2C" w:rsidRPr="00EC5E1C" w:rsidRDefault="00EA2C2C" w:rsidP="00EA2C2C">
      <w:pPr>
        <w:pStyle w:val="NormalHanging12a"/>
      </w:pPr>
      <w:r w:rsidRPr="00EC5E1C">
        <w:t>1.</w:t>
      </w:r>
      <w:r w:rsidRPr="00EC5E1C">
        <w:tab/>
        <w:t>apstiprina Eiropas Savienības Aģentūras tiesu iestāžu sadarbībai krimināllietās 2024. finanšu gada pārskatus;</w:t>
      </w:r>
    </w:p>
    <w:p w14:paraId="1FD7EBC6" w14:textId="77777777" w:rsidR="00EA2C2C" w:rsidRPr="00EC5E1C" w:rsidRDefault="00EA2C2C" w:rsidP="00EA2C2C">
      <w:pPr>
        <w:pStyle w:val="NormalHanging12a"/>
      </w:pPr>
      <w:r w:rsidRPr="00EC5E1C">
        <w:t>2.</w:t>
      </w:r>
      <w:r w:rsidRPr="00EC5E1C">
        <w:tab/>
        <w:t xml:space="preserve">uzdod priekšsēdētājai šo lēmumu nosūtīt Eiropas Savienības Aģentūras tiesu iestāžu sadarbībai krimināllietās administratīvajam direktoram, Padomei, Komisijai un Revīzijas palātai un nodrošināt tā publicēšanu </w:t>
      </w:r>
      <w:r w:rsidRPr="00EC5E1C">
        <w:rPr>
          <w:i/>
          <w:iCs/>
        </w:rPr>
        <w:t>Eiropas Savienības Oficiālajā Vēstnesī</w:t>
      </w:r>
      <w:r w:rsidRPr="00EC5E1C">
        <w:t xml:space="preserve"> (L sērijā).</w:t>
      </w:r>
    </w:p>
    <w:p w14:paraId="397CD170" w14:textId="77777777" w:rsidR="00EA2C2C" w:rsidRPr="00EC5E1C" w:rsidRDefault="00EA2C2C" w:rsidP="00EA2C2C"/>
    <w:p w14:paraId="047B8C9C" w14:textId="77777777" w:rsidR="00EA2C2C" w:rsidRPr="00EC5E1C" w:rsidRDefault="00EA2C2C" w:rsidP="00EA2C2C"/>
    <w:p w14:paraId="12CDE4C3" w14:textId="5E360806" w:rsidR="00EA2C2C" w:rsidRPr="00EC5E1C" w:rsidRDefault="00EA2C2C" w:rsidP="00EA2C2C">
      <w:pPr>
        <w:pStyle w:val="PageHeadingDec"/>
      </w:pPr>
    </w:p>
    <w:p w14:paraId="7FCDC721" w14:textId="77777777" w:rsidR="00EA2C2C" w:rsidRPr="00EC5E1C" w:rsidRDefault="00EA2C2C" w:rsidP="00EA2C2C">
      <w:pPr>
        <w:pStyle w:val="PageHeadingDec"/>
        <w:sectPr w:rsidR="00EA2C2C" w:rsidRPr="00EC5E1C" w:rsidSect="00D106D3">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923F36" w14:textId="77777777" w:rsidR="00B44DA1" w:rsidRPr="00EC5E1C" w:rsidRDefault="00B44DA1" w:rsidP="00B44DA1">
      <w:pPr>
        <w:pStyle w:val="ATHeading3"/>
      </w:pPr>
      <w:r w:rsidRPr="00EC5E1C">
        <w:lastRenderedPageBreak/>
        <w:t>59. Eiropas Parlamenta 2026. gada 29. aprīļa lēmums par Eiropas Savienības Aģentūras tiesībaizsardzības sadarbībai 2024. finanšu gada budžeta izpildes apstiprināšanu (2025/2156(DEC))</w:t>
      </w:r>
    </w:p>
    <w:p w14:paraId="53C1E04C" w14:textId="77777777" w:rsidR="00EA2C2C" w:rsidRPr="00EC5E1C" w:rsidRDefault="00EA2C2C" w:rsidP="00EA2C2C">
      <w:pPr>
        <w:pStyle w:val="EPComma"/>
      </w:pPr>
      <w:r w:rsidRPr="00EC5E1C">
        <w:rPr>
          <w:i/>
          <w:iCs/>
        </w:rPr>
        <w:t>Eiropas Parlaments</w:t>
      </w:r>
      <w:r w:rsidRPr="00EC5E1C">
        <w:t>,</w:t>
      </w:r>
    </w:p>
    <w:p w14:paraId="4FC694AE" w14:textId="77777777" w:rsidR="00EA2C2C" w:rsidRPr="00EC5E1C" w:rsidRDefault="00EA2C2C" w:rsidP="00EA2C2C">
      <w:pPr>
        <w:pStyle w:val="NormalHanging12a"/>
      </w:pPr>
      <w:r w:rsidRPr="00EC5E1C">
        <w:t>–</w:t>
      </w:r>
      <w:r w:rsidRPr="00EC5E1C">
        <w:tab/>
        <w:t>ņemot vērā Eiropas Savienības Aģentūras tiesībaizsardzības sadarbībai 2024. finanšu gada galīgos pārskatus,</w:t>
      </w:r>
    </w:p>
    <w:p w14:paraId="1042C595"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49"/>
      </w:r>
      <w:r w:rsidRPr="00EC5E1C">
        <w:t>,</w:t>
      </w:r>
    </w:p>
    <w:p w14:paraId="6CA2ADF5"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50"/>
      </w:r>
      <w:r w:rsidRPr="00EC5E1C">
        <w:t xml:space="preserve"> par pārskatu ticamību, kā arī par pakārtoto darījumu likumību un pareizību, kuru Revīzijas palāta sniegusi par 2024. finanšu gadu saskaņā ar Līguma par Eiropas Savienības darbību 287. pantu,</w:t>
      </w:r>
    </w:p>
    <w:p w14:paraId="37F87F20"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5331B07C" w14:textId="77777777" w:rsidR="00EA2C2C" w:rsidRPr="00EC5E1C" w:rsidRDefault="00EA2C2C" w:rsidP="00EA2C2C">
      <w:pPr>
        <w:pStyle w:val="NormalHanging12a"/>
      </w:pPr>
      <w:r w:rsidRPr="00EC5E1C">
        <w:t>–</w:t>
      </w:r>
      <w:r w:rsidRPr="00EC5E1C">
        <w:tab/>
        <w:t>ņemot vērā Līguma par Eiropas Savienības darbību 319. pantu,</w:t>
      </w:r>
    </w:p>
    <w:p w14:paraId="344C784A"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51"/>
      </w:r>
      <w:r w:rsidRPr="00EC5E1C">
        <w:t>, un jo īpaši tās 70. pantu,</w:t>
      </w:r>
    </w:p>
    <w:p w14:paraId="74AF704B"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52"/>
      </w:r>
      <w:r w:rsidRPr="00EC5E1C">
        <w:t>, un jo īpaši tās 70. pantu,</w:t>
      </w:r>
    </w:p>
    <w:p w14:paraId="0973DD0B" w14:textId="77777777" w:rsidR="00EA2C2C" w:rsidRPr="00EC5E1C" w:rsidRDefault="00EA2C2C" w:rsidP="00EA2C2C">
      <w:pPr>
        <w:pStyle w:val="NormalHanging12a"/>
      </w:pPr>
      <w:r w:rsidRPr="00EC5E1C">
        <w:t>–</w:t>
      </w:r>
      <w:r w:rsidRPr="00EC5E1C">
        <w:tab/>
        <w:t>ņemot vērā Eiropas Parlamenta un Padomes 2016. gada 11. maija Regulu (ES) 2016/794 par Eiropas Savienības Aģentūru tiesībaizsardzības sadarbībai (Eiropolu) un ar kuru aizstāj un atceļ Padomes Lēmumus 2009/371/TI, 2009/934/TI, 2009/935/TI, 2009/936/TI un 2009/968/TI</w:t>
      </w:r>
      <w:r w:rsidRPr="00EC5E1C">
        <w:rPr>
          <w:rStyle w:val="FootnoteReference"/>
        </w:rPr>
        <w:footnoteReference w:id="353"/>
      </w:r>
      <w:r w:rsidRPr="00EC5E1C">
        <w:t>, un jo īpaši tās 60. pantu,</w:t>
      </w:r>
    </w:p>
    <w:p w14:paraId="3CF3A2C6"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54"/>
      </w:r>
      <w:r w:rsidRPr="00EC5E1C">
        <w:t>, un jo īpaši tās 105. pantu,</w:t>
      </w:r>
    </w:p>
    <w:p w14:paraId="69B84D1C" w14:textId="77777777" w:rsidR="00EA2C2C" w:rsidRPr="00EC5E1C" w:rsidRDefault="00EA2C2C" w:rsidP="00EA2C2C">
      <w:pPr>
        <w:pStyle w:val="NormalHanging12a"/>
      </w:pPr>
      <w:r w:rsidRPr="00EC5E1C">
        <w:t>–</w:t>
      </w:r>
      <w:r w:rsidRPr="00EC5E1C">
        <w:tab/>
        <w:t>ņemot vērā Reglamenta 102. pantu un V pielikumu,</w:t>
      </w:r>
    </w:p>
    <w:p w14:paraId="5E731A70"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w:t>
      </w:r>
      <w:r w:rsidRPr="00EC5E1C">
        <w:lastRenderedPageBreak/>
        <w:t xml:space="preserve">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00CA30C7" w14:textId="77777777" w:rsidR="00EA2C2C" w:rsidRPr="00EC5E1C" w:rsidRDefault="00EA2C2C" w:rsidP="00EA2C2C">
      <w:pPr>
        <w:pStyle w:val="NormalHanging12a"/>
      </w:pPr>
      <w:r w:rsidRPr="00EC5E1C">
        <w:t>–</w:t>
      </w:r>
      <w:r w:rsidRPr="00EC5E1C">
        <w:tab/>
        <w:t>ņemot vērā Budžeta kontroles komitejas ziņojumu (A10-0087/2026),</w:t>
      </w:r>
    </w:p>
    <w:p w14:paraId="67BDFFF5" w14:textId="77777777" w:rsidR="00EA2C2C" w:rsidRPr="00EC5E1C" w:rsidRDefault="00EA2C2C" w:rsidP="00EA2C2C">
      <w:pPr>
        <w:pStyle w:val="NormalHanging12a"/>
      </w:pPr>
      <w:r w:rsidRPr="00EC5E1C">
        <w:t>1.</w:t>
      </w:r>
      <w:r w:rsidRPr="00EC5E1C">
        <w:tab/>
        <w:t>sniedz Eiropas Savienības Aģentūras tiesībaizsardzības sadarbībai izpilddirektorei apstiprinājumu par Aģentūras 2024. finanšu gada budžeta izpildi;</w:t>
      </w:r>
    </w:p>
    <w:p w14:paraId="7F1146A6" w14:textId="77777777" w:rsidR="00EA2C2C" w:rsidRPr="00EC5E1C" w:rsidRDefault="00EA2C2C" w:rsidP="00EA2C2C">
      <w:pPr>
        <w:pStyle w:val="NormalHanging12a"/>
      </w:pPr>
      <w:r w:rsidRPr="00EC5E1C">
        <w:t>2.</w:t>
      </w:r>
      <w:r w:rsidRPr="00EC5E1C">
        <w:tab/>
        <w:t>izklāsta savus konstatējumus turpmāk tekstā iekļautajā rezolūcijā;</w:t>
      </w:r>
    </w:p>
    <w:p w14:paraId="54D04225"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Aģentūras tiesībaizsardzības sadarbībai izpilddirektorei, Padomei, Komisijai un Revīzijas palātai un nodrošināt to publicēšanu </w:t>
      </w:r>
      <w:r w:rsidRPr="00EC5E1C">
        <w:rPr>
          <w:i/>
          <w:iCs/>
        </w:rPr>
        <w:t>Eiropas Savienības Oficiālajā Vēstnesī</w:t>
      </w:r>
      <w:r w:rsidRPr="00EC5E1C">
        <w:t xml:space="preserve"> (L sērijā).</w:t>
      </w:r>
    </w:p>
    <w:p w14:paraId="54865863" w14:textId="77777777" w:rsidR="00EA2C2C" w:rsidRPr="00EC5E1C" w:rsidRDefault="00EA2C2C" w:rsidP="00EA2C2C"/>
    <w:p w14:paraId="40F9AABA" w14:textId="77777777" w:rsidR="00EA2C2C" w:rsidRPr="00EC5E1C" w:rsidRDefault="00EA2C2C" w:rsidP="00EA2C2C">
      <w:pPr>
        <w:pStyle w:val="PageHeadingDec"/>
        <w:sectPr w:rsidR="00EA2C2C" w:rsidRPr="00EC5E1C" w:rsidSect="00D106D3">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52937E6" w14:textId="77777777" w:rsidR="00B44DA1" w:rsidRPr="00EC5E1C" w:rsidRDefault="00B44DA1" w:rsidP="00B44DA1">
      <w:pPr>
        <w:pStyle w:val="ATHeading3"/>
      </w:pPr>
      <w:r w:rsidRPr="00EC5E1C">
        <w:lastRenderedPageBreak/>
        <w:t>60. Eiropas Parlamenta 2026. gada 29. aprīļa lēmums par Eiropas Savienības Aģentūras tiesībaizsardzības sadarbībai 2024. finanšu gada pārskatu apstiprināšanu (2025/2156(DEC))</w:t>
      </w:r>
    </w:p>
    <w:p w14:paraId="51EAFF44" w14:textId="77777777" w:rsidR="00EA2C2C" w:rsidRPr="00EC5E1C" w:rsidRDefault="00EA2C2C" w:rsidP="00EA2C2C">
      <w:pPr>
        <w:pStyle w:val="EPComma"/>
      </w:pPr>
      <w:r w:rsidRPr="00EC5E1C">
        <w:rPr>
          <w:i/>
          <w:iCs/>
        </w:rPr>
        <w:t>Eiropas Parlaments</w:t>
      </w:r>
      <w:r w:rsidRPr="00EC5E1C">
        <w:t>,</w:t>
      </w:r>
    </w:p>
    <w:p w14:paraId="3F4FC811" w14:textId="77777777" w:rsidR="00EA2C2C" w:rsidRPr="00EC5E1C" w:rsidRDefault="00EA2C2C" w:rsidP="00EA2C2C">
      <w:pPr>
        <w:pStyle w:val="NormalHanging12a"/>
      </w:pPr>
      <w:r w:rsidRPr="00EC5E1C">
        <w:t>–</w:t>
      </w:r>
      <w:r w:rsidRPr="00EC5E1C">
        <w:tab/>
        <w:t>ņemot vērā Eiropas Savienības Aģentūras tiesībaizsardzības sadarbībai 2024. finanšu gada galīgos pārskatus,</w:t>
      </w:r>
    </w:p>
    <w:p w14:paraId="72BB1162"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55"/>
      </w:r>
      <w:r w:rsidRPr="00EC5E1C">
        <w:t>,</w:t>
      </w:r>
    </w:p>
    <w:p w14:paraId="0D96DB4F"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56"/>
      </w:r>
      <w:r w:rsidRPr="00EC5E1C">
        <w:t xml:space="preserve"> par pārskatu ticamību, kā arī par pakārtoto darījumu likumību un pareizību, kuru Revīzijas palāta sniegusi par 2024. finanšu gadu saskaņā ar Līguma par Eiropas Savienības darbību 287. pantu,</w:t>
      </w:r>
    </w:p>
    <w:p w14:paraId="6F681F2B"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08809AAD" w14:textId="77777777" w:rsidR="00EA2C2C" w:rsidRPr="00EC5E1C" w:rsidRDefault="00EA2C2C" w:rsidP="00EA2C2C">
      <w:pPr>
        <w:pStyle w:val="NormalHanging12a"/>
      </w:pPr>
      <w:r w:rsidRPr="00EC5E1C">
        <w:t>–</w:t>
      </w:r>
      <w:r w:rsidRPr="00EC5E1C">
        <w:tab/>
        <w:t>ņemot vērā Līguma par Eiropas Savienības darbību 319. pantu,</w:t>
      </w:r>
    </w:p>
    <w:p w14:paraId="48BAA19C"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57"/>
      </w:r>
      <w:r w:rsidRPr="00EC5E1C">
        <w:t>, un jo īpaši tās 70. pantu,</w:t>
      </w:r>
    </w:p>
    <w:p w14:paraId="3AD6B171"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58"/>
      </w:r>
      <w:r w:rsidRPr="00EC5E1C">
        <w:t>, un jo īpaši tās 70. pantu,</w:t>
      </w:r>
    </w:p>
    <w:p w14:paraId="596218BC" w14:textId="77777777" w:rsidR="00EA2C2C" w:rsidRPr="00EC5E1C" w:rsidRDefault="00EA2C2C" w:rsidP="00EA2C2C">
      <w:pPr>
        <w:pStyle w:val="NormalHanging12a"/>
      </w:pPr>
      <w:r w:rsidRPr="00EC5E1C">
        <w:t>–</w:t>
      </w:r>
      <w:r w:rsidRPr="00EC5E1C">
        <w:tab/>
        <w:t>ņemot vērā Eiropas Parlamenta un Padomes 2016. gada 11. maija Regulu (ES) 2016/794 par Eiropas Savienības Aģentūru tiesībaizsardzības sadarbībai (Eiropolu) un ar kuru aizstāj un atceļ Padomes Lēmumus 2009/371/TI, 2009/934/TI, 2009/935/TI, 2009/936/TI un 2009/968/TI</w:t>
      </w:r>
      <w:r w:rsidRPr="00EC5E1C">
        <w:rPr>
          <w:rStyle w:val="FootnoteReference"/>
        </w:rPr>
        <w:footnoteReference w:id="359"/>
      </w:r>
      <w:r w:rsidRPr="00EC5E1C">
        <w:t>, un jo īpaši tās 60. pantu,</w:t>
      </w:r>
    </w:p>
    <w:p w14:paraId="235BD896"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60"/>
      </w:r>
      <w:r w:rsidRPr="00EC5E1C">
        <w:t>, un jo īpaši tās 105. pantu,</w:t>
      </w:r>
    </w:p>
    <w:p w14:paraId="1590C8BD" w14:textId="77777777" w:rsidR="00EA2C2C" w:rsidRPr="00EC5E1C" w:rsidRDefault="00EA2C2C" w:rsidP="00EA2C2C">
      <w:pPr>
        <w:pStyle w:val="NormalHanging12a"/>
      </w:pPr>
      <w:r w:rsidRPr="00EC5E1C">
        <w:t>–</w:t>
      </w:r>
      <w:r w:rsidRPr="00EC5E1C">
        <w:tab/>
        <w:t>ņemot vērā Reglamenta 102. pantu un V pielikumu,</w:t>
      </w:r>
    </w:p>
    <w:p w14:paraId="6E71B0C2"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w:t>
      </w:r>
      <w:r w:rsidRPr="00EC5E1C">
        <w:lastRenderedPageBreak/>
        <w:t xml:space="preserve">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1A96E1DD" w14:textId="77777777" w:rsidR="00EA2C2C" w:rsidRPr="00EC5E1C" w:rsidRDefault="00EA2C2C" w:rsidP="00EA2C2C">
      <w:pPr>
        <w:pStyle w:val="NormalHanging12a"/>
      </w:pPr>
      <w:r w:rsidRPr="00EC5E1C">
        <w:t>–</w:t>
      </w:r>
      <w:r w:rsidRPr="00EC5E1C">
        <w:tab/>
        <w:t>ņemot vērā Budžeta kontroles komitejas ziņojumu (A10-0087/2026),</w:t>
      </w:r>
    </w:p>
    <w:p w14:paraId="2963979B" w14:textId="77777777" w:rsidR="00EA2C2C" w:rsidRPr="00EC5E1C" w:rsidRDefault="00EA2C2C" w:rsidP="00EA2C2C">
      <w:pPr>
        <w:pStyle w:val="NormalHanging12a"/>
      </w:pPr>
      <w:r w:rsidRPr="00EC5E1C">
        <w:t>1.</w:t>
      </w:r>
      <w:r w:rsidRPr="00EC5E1C">
        <w:tab/>
        <w:t>apstiprina Eiropas Savienības Aģentūras tiesībaizsardzības sadarbībai 2024. finanšu gada pārskatus;</w:t>
      </w:r>
    </w:p>
    <w:p w14:paraId="6CBBD140" w14:textId="77777777" w:rsidR="00EA2C2C" w:rsidRPr="00EC5E1C" w:rsidRDefault="00EA2C2C" w:rsidP="00EA2C2C">
      <w:pPr>
        <w:pStyle w:val="NormalHanging12a"/>
      </w:pPr>
      <w:r w:rsidRPr="00EC5E1C">
        <w:t>2.</w:t>
      </w:r>
      <w:r w:rsidRPr="00EC5E1C">
        <w:tab/>
        <w:t xml:space="preserve">uzdod priekšsēdētājai šo lēmumu nosūtīt Eiropas Savienības Aģentūras tiesībaizsardzības sadarbībai izpilddirektorei, Padomei, Komisijai un Revīzijas palātai un nodrošināt tā publicēšanu </w:t>
      </w:r>
      <w:r w:rsidRPr="00EC5E1C">
        <w:rPr>
          <w:i/>
          <w:iCs/>
        </w:rPr>
        <w:t>Eiropas Savienības Oficiālajā Vēstnesī</w:t>
      </w:r>
      <w:r w:rsidRPr="00EC5E1C">
        <w:t xml:space="preserve"> (L sērijā).</w:t>
      </w:r>
    </w:p>
    <w:p w14:paraId="7C576A13" w14:textId="77777777" w:rsidR="00EA2C2C" w:rsidRPr="00EC5E1C" w:rsidRDefault="00EA2C2C" w:rsidP="00EA2C2C"/>
    <w:p w14:paraId="408D5569" w14:textId="77777777" w:rsidR="00EA2C2C" w:rsidRPr="00EC5E1C" w:rsidRDefault="00EA2C2C" w:rsidP="00EA2C2C"/>
    <w:p w14:paraId="09127663" w14:textId="20841DB9" w:rsidR="00EA2C2C" w:rsidRPr="00EC5E1C" w:rsidRDefault="00EA2C2C" w:rsidP="00EA2C2C">
      <w:pPr>
        <w:pStyle w:val="PageHeadingDec"/>
      </w:pPr>
    </w:p>
    <w:p w14:paraId="24547441" w14:textId="77777777" w:rsidR="00EA2C2C" w:rsidRPr="00EC5E1C" w:rsidRDefault="00EA2C2C" w:rsidP="00EA2C2C">
      <w:pPr>
        <w:pStyle w:val="PageHeadingDec"/>
        <w:sectPr w:rsidR="00EA2C2C" w:rsidRPr="00EC5E1C" w:rsidSect="00D106D3">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A945A6" w14:textId="77777777" w:rsidR="00B44DA1" w:rsidRPr="00EC5E1C" w:rsidRDefault="00B44DA1" w:rsidP="00B44DA1">
      <w:pPr>
        <w:pStyle w:val="ATHeading3"/>
      </w:pPr>
      <w:r w:rsidRPr="00EC5E1C">
        <w:lastRenderedPageBreak/>
        <w:t>61. Eiropas Parlamenta 2026. gada 29. aprīļa lēmums par Eiropas Savienības Kosmosa programmas aģentūras 2024. finanšu gada budžeta izpildes apstiprināšanu (2025/2156(DEC))</w:t>
      </w:r>
    </w:p>
    <w:p w14:paraId="6AEB150C" w14:textId="77777777" w:rsidR="00EA2C2C" w:rsidRPr="00EC5E1C" w:rsidRDefault="00EA2C2C" w:rsidP="00EA2C2C">
      <w:pPr>
        <w:pStyle w:val="EPComma"/>
      </w:pPr>
      <w:r w:rsidRPr="00EC5E1C">
        <w:rPr>
          <w:i/>
          <w:iCs/>
        </w:rPr>
        <w:t>Eiropas Parlaments</w:t>
      </w:r>
      <w:r w:rsidRPr="00EC5E1C">
        <w:t>,</w:t>
      </w:r>
    </w:p>
    <w:p w14:paraId="5793659E" w14:textId="77777777" w:rsidR="00EA2C2C" w:rsidRPr="00EC5E1C" w:rsidRDefault="00EA2C2C" w:rsidP="00EA2C2C">
      <w:pPr>
        <w:pStyle w:val="NormalHanging12a"/>
      </w:pPr>
      <w:r w:rsidRPr="00EC5E1C">
        <w:t>–</w:t>
      </w:r>
      <w:r w:rsidRPr="00EC5E1C">
        <w:tab/>
        <w:t>ņemot vērā Eiropas Savienības Kosmosa programmas aģentūras 2024. finanšu gada galīgos pārskatus,</w:t>
      </w:r>
    </w:p>
    <w:p w14:paraId="4CAE4CC4"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61"/>
      </w:r>
      <w:r w:rsidRPr="00EC5E1C">
        <w:t>,</w:t>
      </w:r>
    </w:p>
    <w:p w14:paraId="55C3EA65"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62"/>
      </w:r>
      <w:r w:rsidRPr="00EC5E1C">
        <w:t xml:space="preserve"> par pārskatu ticamību, kā arī par pakārtoto darījumu likumību un pareizību, kuru Revīzijas palāta sniegusi par 2024. finanšu gadu saskaņā ar Līguma par Eiropas Savienības darbību 287. pantu,</w:t>
      </w:r>
    </w:p>
    <w:p w14:paraId="580413CF"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2F78D45A" w14:textId="77777777" w:rsidR="00EA2C2C" w:rsidRPr="00EC5E1C" w:rsidRDefault="00EA2C2C" w:rsidP="00EA2C2C">
      <w:pPr>
        <w:pStyle w:val="NormalHanging12a"/>
      </w:pPr>
      <w:r w:rsidRPr="00EC5E1C">
        <w:t>–</w:t>
      </w:r>
      <w:r w:rsidRPr="00EC5E1C">
        <w:tab/>
        <w:t>ņemot vērā Līguma par Eiropas Savienības darbību 319. pantu,</w:t>
      </w:r>
    </w:p>
    <w:p w14:paraId="4977469A"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63"/>
      </w:r>
      <w:r w:rsidRPr="00EC5E1C">
        <w:t>, un jo īpaši tās 70. pantu,</w:t>
      </w:r>
    </w:p>
    <w:p w14:paraId="7FDC6DD7"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64"/>
      </w:r>
      <w:r w:rsidRPr="00EC5E1C">
        <w:t>, un jo īpaši tās 70. pantu,</w:t>
      </w:r>
    </w:p>
    <w:p w14:paraId="466EC086" w14:textId="77777777" w:rsidR="00EA2C2C" w:rsidRPr="00EC5E1C" w:rsidRDefault="00EA2C2C" w:rsidP="00EA2C2C">
      <w:pPr>
        <w:pStyle w:val="NormalHanging12a"/>
      </w:pPr>
      <w:r w:rsidRPr="00EC5E1C">
        <w:t>–</w:t>
      </w:r>
      <w:r w:rsidRPr="00EC5E1C">
        <w:tab/>
        <w:t>ņemot vērā Eiropas Parlamenta un Padomes 2021. gada 28. aprīļa Regulu (ES) 2021/696, ar ko izveido Savienības kosmosa programmu un Eiropas Savienības Kosmosa programmas aģentūru un atceļ Regulas (ES) Nr. 912/2010, (ES) Nr. 1285/2013 un (ES) Nr. 377/2014 un Lēmumu Nr. 541/2014/ES</w:t>
      </w:r>
      <w:r w:rsidRPr="00EC5E1C">
        <w:rPr>
          <w:rStyle w:val="FootnoteReference"/>
        </w:rPr>
        <w:footnoteReference w:id="365"/>
      </w:r>
      <w:r w:rsidRPr="00EC5E1C">
        <w:t>, un jo īpaši tās 85. un 86. pantu,</w:t>
      </w:r>
    </w:p>
    <w:p w14:paraId="21DCB26B"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66"/>
      </w:r>
      <w:r w:rsidRPr="00EC5E1C">
        <w:t>, un jo īpaši tās 105. pantu,</w:t>
      </w:r>
    </w:p>
    <w:p w14:paraId="2AB56F44" w14:textId="77777777" w:rsidR="00EA2C2C" w:rsidRPr="00EC5E1C" w:rsidRDefault="00EA2C2C" w:rsidP="00EA2C2C">
      <w:pPr>
        <w:pStyle w:val="NormalHanging12a"/>
      </w:pPr>
      <w:r w:rsidRPr="00EC5E1C">
        <w:t>–</w:t>
      </w:r>
      <w:r w:rsidRPr="00EC5E1C">
        <w:tab/>
        <w:t>ņemot vērā Reglamenta 102. pantu un V pielikumu,</w:t>
      </w:r>
    </w:p>
    <w:p w14:paraId="0D7A469E" w14:textId="77777777" w:rsidR="00EA2C2C" w:rsidRPr="00EC5E1C" w:rsidRDefault="00EA2C2C" w:rsidP="00EA2C2C">
      <w:pPr>
        <w:pStyle w:val="NormalHanging12a"/>
      </w:pPr>
      <w:r w:rsidRPr="00EC5E1C">
        <w:lastRenderedPageBreak/>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26F3D6BE" w14:textId="77777777" w:rsidR="00EA2C2C" w:rsidRPr="00EC5E1C" w:rsidRDefault="00EA2C2C" w:rsidP="00EA2C2C">
      <w:pPr>
        <w:pStyle w:val="NormalHanging12a"/>
      </w:pPr>
      <w:r w:rsidRPr="00EC5E1C">
        <w:t>–</w:t>
      </w:r>
      <w:r w:rsidRPr="00EC5E1C">
        <w:tab/>
        <w:t>ņemot vērā Budžeta kontroles komitejas ziņojumu (A10-0087/2026),</w:t>
      </w:r>
    </w:p>
    <w:p w14:paraId="73820B77" w14:textId="77777777" w:rsidR="00EA2C2C" w:rsidRPr="00EC5E1C" w:rsidRDefault="00EA2C2C" w:rsidP="00EA2C2C">
      <w:pPr>
        <w:pStyle w:val="NormalHanging12a"/>
      </w:pPr>
      <w:r w:rsidRPr="00EC5E1C">
        <w:t>1.</w:t>
      </w:r>
      <w:r w:rsidRPr="00EC5E1C">
        <w:tab/>
        <w:t>sniedz Eiropas Savienības Kosmosa programmas aģentūras izpilddirektoram apstiprinājumu par Aģentūras 2024. finanšu gada budžeta izpildi;</w:t>
      </w:r>
    </w:p>
    <w:p w14:paraId="5EFEC944" w14:textId="77777777" w:rsidR="00EA2C2C" w:rsidRPr="00EC5E1C" w:rsidRDefault="00EA2C2C" w:rsidP="00EA2C2C">
      <w:pPr>
        <w:pStyle w:val="NormalHanging12a"/>
      </w:pPr>
      <w:r w:rsidRPr="00EC5E1C">
        <w:t>2.</w:t>
      </w:r>
      <w:r w:rsidRPr="00EC5E1C">
        <w:tab/>
        <w:t>izklāsta savus konstatējumus turpmāk tekstā iekļautajā rezolūcijā;</w:t>
      </w:r>
    </w:p>
    <w:p w14:paraId="6F7C2B6A"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Kosmosa programmas aģentūras izpilddirektoram, Padomei, Komisijai un Revīzijas palātai un nodrošināt to publicēšanu </w:t>
      </w:r>
      <w:r w:rsidRPr="00EC5E1C">
        <w:rPr>
          <w:i/>
          <w:iCs/>
        </w:rPr>
        <w:t>Eiropas Savienības Oficiālajā Vēstnesī</w:t>
      </w:r>
      <w:r w:rsidRPr="00EC5E1C">
        <w:t xml:space="preserve"> (L sērijā).</w:t>
      </w:r>
    </w:p>
    <w:p w14:paraId="099A6910" w14:textId="77777777" w:rsidR="00EA2C2C" w:rsidRPr="00EC5E1C" w:rsidRDefault="00EA2C2C" w:rsidP="00EA2C2C"/>
    <w:p w14:paraId="03BD3F7E" w14:textId="77777777" w:rsidR="00EA2C2C" w:rsidRPr="00EC5E1C" w:rsidRDefault="00EA2C2C" w:rsidP="00EA2C2C">
      <w:pPr>
        <w:pStyle w:val="PageHeadingDec"/>
        <w:sectPr w:rsidR="00EA2C2C" w:rsidRPr="00EC5E1C" w:rsidSect="00D106D3">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E58E09" w14:textId="77777777" w:rsidR="00B44DA1" w:rsidRPr="00EC5E1C" w:rsidRDefault="00B44DA1" w:rsidP="00B44DA1">
      <w:pPr>
        <w:pStyle w:val="ATHeading3"/>
      </w:pPr>
      <w:r w:rsidRPr="00EC5E1C">
        <w:lastRenderedPageBreak/>
        <w:t>62. Eiropas Parlamenta 2026. gada 29. aprīļa lēmums par Eiropas Savienības Kosmosa programmas aģentūras 2024. finanšu gada pārskatu apstiprināšanu (2025/2156(DEC))</w:t>
      </w:r>
    </w:p>
    <w:p w14:paraId="1A316505" w14:textId="77777777" w:rsidR="00EA2C2C" w:rsidRPr="00EC5E1C" w:rsidRDefault="00EA2C2C" w:rsidP="00EA2C2C">
      <w:pPr>
        <w:pStyle w:val="EPComma"/>
      </w:pPr>
      <w:r w:rsidRPr="00EC5E1C">
        <w:rPr>
          <w:i/>
          <w:iCs/>
        </w:rPr>
        <w:t>Eiropas Parlaments</w:t>
      </w:r>
      <w:r w:rsidRPr="00EC5E1C">
        <w:t>,</w:t>
      </w:r>
    </w:p>
    <w:p w14:paraId="73FD2603" w14:textId="77777777" w:rsidR="00EA2C2C" w:rsidRPr="00EC5E1C" w:rsidRDefault="00EA2C2C" w:rsidP="00EA2C2C">
      <w:pPr>
        <w:pStyle w:val="NormalHanging12a"/>
      </w:pPr>
      <w:r w:rsidRPr="00EC5E1C">
        <w:t>–</w:t>
      </w:r>
      <w:r w:rsidRPr="00EC5E1C">
        <w:tab/>
        <w:t>ņemot vērā Eiropas Savienības Kosmosa programmas aģentūras 2024. finanšu gada galīgos pārskatus,</w:t>
      </w:r>
    </w:p>
    <w:p w14:paraId="51A83FF1"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67"/>
      </w:r>
      <w:r w:rsidRPr="00EC5E1C">
        <w:t>,</w:t>
      </w:r>
    </w:p>
    <w:p w14:paraId="3EA9EE52"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68"/>
      </w:r>
      <w:r w:rsidRPr="00EC5E1C">
        <w:t xml:space="preserve"> par pārskatu ticamību, kā arī par pakārtoto darījumu likumību un pareizību, kuru Revīzijas palāta sniegusi par 2024. finanšu gadu saskaņā ar Līguma par Eiropas Savienības darbību 287. pantu,</w:t>
      </w:r>
    </w:p>
    <w:p w14:paraId="18289D9A"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6932E04E" w14:textId="77777777" w:rsidR="00EA2C2C" w:rsidRPr="00EC5E1C" w:rsidRDefault="00EA2C2C" w:rsidP="00EA2C2C">
      <w:pPr>
        <w:pStyle w:val="NormalHanging12a"/>
      </w:pPr>
      <w:r w:rsidRPr="00EC5E1C">
        <w:t>–</w:t>
      </w:r>
      <w:r w:rsidRPr="00EC5E1C">
        <w:tab/>
        <w:t>ņemot vērā Līguma par Eiropas Savienības darbību 319. pantu,</w:t>
      </w:r>
    </w:p>
    <w:p w14:paraId="5FD3F57D"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69"/>
      </w:r>
      <w:r w:rsidRPr="00EC5E1C">
        <w:t>, un jo īpaši tās 70. pantu,</w:t>
      </w:r>
    </w:p>
    <w:p w14:paraId="617D9E7D"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70"/>
      </w:r>
      <w:r w:rsidRPr="00EC5E1C">
        <w:t>, un jo īpaši tās 70. pantu,</w:t>
      </w:r>
    </w:p>
    <w:p w14:paraId="2B3618B3" w14:textId="77777777" w:rsidR="00EA2C2C" w:rsidRPr="00EC5E1C" w:rsidRDefault="00EA2C2C" w:rsidP="00EA2C2C">
      <w:pPr>
        <w:pStyle w:val="NormalHanging12a"/>
      </w:pPr>
      <w:r w:rsidRPr="00EC5E1C">
        <w:t>–</w:t>
      </w:r>
      <w:r w:rsidRPr="00EC5E1C">
        <w:tab/>
        <w:t>ņemot vērā Eiropas Parlamenta un Padomes 2021. gada 28. aprīļa Regulu (ES) 2021/696, ar ko izveido Savienības kosmosa programmu un Eiropas Savienības Kosmosa programmas aģentūru un atceļ Regulas (ES) Nr. 912/2010, (ES) Nr. 1285/2013 un (ES) Nr. 377/2014 un Lēmumu Nr. 541/2014/ES</w:t>
      </w:r>
      <w:r w:rsidRPr="00EC5E1C">
        <w:rPr>
          <w:rStyle w:val="FootnoteReference"/>
        </w:rPr>
        <w:footnoteReference w:id="371"/>
      </w:r>
      <w:r w:rsidRPr="00EC5E1C">
        <w:t>, un jo īpaši tās 85. un 86. pantu,</w:t>
      </w:r>
    </w:p>
    <w:p w14:paraId="555E4519"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72"/>
      </w:r>
      <w:r w:rsidRPr="00EC5E1C">
        <w:t>, un jo īpaši tās 105. pantu,</w:t>
      </w:r>
    </w:p>
    <w:p w14:paraId="1C8DA128" w14:textId="77777777" w:rsidR="00EA2C2C" w:rsidRPr="00EC5E1C" w:rsidRDefault="00EA2C2C" w:rsidP="00EA2C2C">
      <w:pPr>
        <w:pStyle w:val="NormalHanging12a"/>
      </w:pPr>
      <w:r w:rsidRPr="00EC5E1C">
        <w:t>–</w:t>
      </w:r>
      <w:r w:rsidRPr="00EC5E1C">
        <w:tab/>
        <w:t>ņemot vērā Reglamenta 102. pantu un V pielikumu,</w:t>
      </w:r>
    </w:p>
    <w:p w14:paraId="006C438B"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w:t>
      </w:r>
      <w:r w:rsidRPr="00EC5E1C">
        <w:lastRenderedPageBreak/>
        <w:t xml:space="preserve">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5467CDF6" w14:textId="77777777" w:rsidR="00EA2C2C" w:rsidRPr="00EC5E1C" w:rsidRDefault="00EA2C2C" w:rsidP="00EA2C2C">
      <w:pPr>
        <w:pStyle w:val="NormalHanging12a"/>
      </w:pPr>
      <w:r w:rsidRPr="00EC5E1C">
        <w:t>–</w:t>
      </w:r>
      <w:r w:rsidRPr="00EC5E1C">
        <w:tab/>
        <w:t>ņemot vērā Budžeta kontroles komitejas ziņojumu (A10-0087/2026),</w:t>
      </w:r>
    </w:p>
    <w:p w14:paraId="2D55457D" w14:textId="77777777" w:rsidR="00EA2C2C" w:rsidRPr="00EC5E1C" w:rsidRDefault="00EA2C2C" w:rsidP="00EA2C2C">
      <w:pPr>
        <w:pStyle w:val="NormalHanging12a"/>
      </w:pPr>
      <w:r w:rsidRPr="00EC5E1C">
        <w:t>1.</w:t>
      </w:r>
      <w:r w:rsidRPr="00EC5E1C">
        <w:tab/>
        <w:t>apstiprina Eiropas Savienības Kosmosa programmas aģentūras 2024. finanšu gada pārskatus;</w:t>
      </w:r>
    </w:p>
    <w:p w14:paraId="3B5799A9" w14:textId="77777777" w:rsidR="00EA2C2C" w:rsidRPr="00EC5E1C" w:rsidRDefault="00EA2C2C" w:rsidP="00EA2C2C">
      <w:pPr>
        <w:pStyle w:val="NormalHanging12a"/>
      </w:pPr>
      <w:r w:rsidRPr="00EC5E1C">
        <w:t>2.</w:t>
      </w:r>
      <w:r w:rsidRPr="00EC5E1C">
        <w:tab/>
        <w:t xml:space="preserve">uzdod priekšsēdētājai šo lēmumu nosūtīt Eiropas Savienības Kosmosa programmas aģentūras izpilddirektoram, Padomei, Komisijai un Revīzijas palātai un nodrošināt tā publicēšanu </w:t>
      </w:r>
      <w:r w:rsidRPr="00EC5E1C">
        <w:rPr>
          <w:i/>
          <w:iCs/>
        </w:rPr>
        <w:t>Eiropas Savienības Oficiālajā Vēstnesī</w:t>
      </w:r>
      <w:r w:rsidRPr="00EC5E1C">
        <w:t xml:space="preserve"> (L sērijā).</w:t>
      </w:r>
    </w:p>
    <w:p w14:paraId="2AAECCA6" w14:textId="77777777" w:rsidR="00EA2C2C" w:rsidRPr="00EC5E1C" w:rsidRDefault="00EA2C2C" w:rsidP="00EA2C2C"/>
    <w:p w14:paraId="0EEDD77F" w14:textId="77777777" w:rsidR="00EA2C2C" w:rsidRPr="00EC5E1C" w:rsidRDefault="00EA2C2C" w:rsidP="00EA2C2C"/>
    <w:p w14:paraId="5570D8C9" w14:textId="5C600140" w:rsidR="00EA2C2C" w:rsidRPr="00EC5E1C" w:rsidRDefault="00EA2C2C" w:rsidP="00EA2C2C">
      <w:pPr>
        <w:pStyle w:val="PageHeadingDec"/>
      </w:pPr>
    </w:p>
    <w:p w14:paraId="653972F4" w14:textId="77777777" w:rsidR="00EA2C2C" w:rsidRPr="00EC5E1C" w:rsidRDefault="00EA2C2C" w:rsidP="00EA2C2C">
      <w:pPr>
        <w:pStyle w:val="PageHeadingDec"/>
        <w:sectPr w:rsidR="00EA2C2C" w:rsidRPr="00EC5E1C" w:rsidSect="00D106D3">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B92D0E" w14:textId="77777777" w:rsidR="00B44DA1" w:rsidRPr="00EC5E1C" w:rsidRDefault="00B44DA1" w:rsidP="00B44DA1">
      <w:pPr>
        <w:pStyle w:val="ATHeading3"/>
      </w:pPr>
      <w:r w:rsidRPr="00EC5E1C">
        <w:lastRenderedPageBreak/>
        <w:t xml:space="preserve">63. Eiropas Parlamenta 2026. gada 29. aprīļa lēmums par Eiropas Savienības </w:t>
      </w:r>
      <w:proofErr w:type="spellStart"/>
      <w:r w:rsidRPr="00EC5E1C">
        <w:t>Pamattiesību</w:t>
      </w:r>
      <w:proofErr w:type="spellEnd"/>
      <w:r w:rsidRPr="00EC5E1C">
        <w:t xml:space="preserve"> aģentūras 2024. finanšu gada budžeta izpildes apstiprināšanu (2025/2156(DEC))</w:t>
      </w:r>
    </w:p>
    <w:p w14:paraId="43B984A4" w14:textId="77777777" w:rsidR="00EA2C2C" w:rsidRPr="00EC5E1C" w:rsidRDefault="00EA2C2C" w:rsidP="00EA2C2C">
      <w:pPr>
        <w:pStyle w:val="EPComma"/>
      </w:pPr>
      <w:r w:rsidRPr="00EC5E1C">
        <w:rPr>
          <w:i/>
          <w:iCs/>
        </w:rPr>
        <w:t>Eiropas Parlaments</w:t>
      </w:r>
      <w:r w:rsidRPr="00EC5E1C">
        <w:t>,</w:t>
      </w:r>
    </w:p>
    <w:p w14:paraId="3F22520F" w14:textId="77777777" w:rsidR="00EA2C2C" w:rsidRPr="00EC5E1C" w:rsidRDefault="00EA2C2C" w:rsidP="00EA2C2C">
      <w:pPr>
        <w:pStyle w:val="NormalHanging12a"/>
      </w:pPr>
      <w:r w:rsidRPr="00EC5E1C">
        <w:t>–</w:t>
      </w:r>
      <w:r w:rsidRPr="00EC5E1C">
        <w:tab/>
        <w:t xml:space="preserve">ņemot vērā Eiropas Savienības </w:t>
      </w:r>
      <w:proofErr w:type="spellStart"/>
      <w:r w:rsidRPr="00EC5E1C">
        <w:t>Pamattiesību</w:t>
      </w:r>
      <w:proofErr w:type="spellEnd"/>
      <w:r w:rsidRPr="00EC5E1C">
        <w:t xml:space="preserve"> aģentūras 2024. finanšu gada galīgos pārskatus,</w:t>
      </w:r>
    </w:p>
    <w:p w14:paraId="22B2D20F"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73"/>
      </w:r>
      <w:r w:rsidRPr="00EC5E1C">
        <w:t>,</w:t>
      </w:r>
    </w:p>
    <w:p w14:paraId="41313D4D"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74"/>
      </w:r>
      <w:r w:rsidRPr="00EC5E1C">
        <w:t xml:space="preserve"> par pārskatu ticamību, kā arī par pakārtoto darījumu likumību un pareizību, kuru Revīzijas palāta sniegusi par 2024. finanšu gadu saskaņā ar Līguma par Eiropas Savienības darbību 287. pantu,</w:t>
      </w:r>
    </w:p>
    <w:p w14:paraId="19098120"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1CAB6D69" w14:textId="77777777" w:rsidR="00EA2C2C" w:rsidRPr="00EC5E1C" w:rsidRDefault="00EA2C2C" w:rsidP="00EA2C2C">
      <w:pPr>
        <w:pStyle w:val="NormalHanging12a"/>
      </w:pPr>
      <w:r w:rsidRPr="00EC5E1C">
        <w:t>–</w:t>
      </w:r>
      <w:r w:rsidRPr="00EC5E1C">
        <w:tab/>
        <w:t>ņemot vērā Līguma par Eiropas Savienības darbību 319. pantu,</w:t>
      </w:r>
    </w:p>
    <w:p w14:paraId="7791253D"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75"/>
      </w:r>
      <w:r w:rsidRPr="00EC5E1C">
        <w:t>, un jo īpaši tās 70. pantu,</w:t>
      </w:r>
    </w:p>
    <w:p w14:paraId="164E9C09"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76"/>
      </w:r>
      <w:r w:rsidRPr="00EC5E1C">
        <w:t>, un jo īpaši tās 70. pantu,</w:t>
      </w:r>
    </w:p>
    <w:p w14:paraId="60C4B6F2" w14:textId="77777777" w:rsidR="00EA2C2C" w:rsidRPr="00EC5E1C" w:rsidRDefault="00EA2C2C" w:rsidP="00EA2C2C">
      <w:pPr>
        <w:pStyle w:val="NormalHanging12a"/>
      </w:pPr>
      <w:r w:rsidRPr="00EC5E1C">
        <w:t>–</w:t>
      </w:r>
      <w:r w:rsidRPr="00EC5E1C">
        <w:tab/>
        <w:t xml:space="preserve">ņemot vērā Padomes 2007. gada 15. februāra Regulu (EK) Nr. 168/2007, ar ko izveido Eiropas Savienības </w:t>
      </w:r>
      <w:proofErr w:type="spellStart"/>
      <w:r w:rsidRPr="00EC5E1C">
        <w:t>Pamattiesību</w:t>
      </w:r>
      <w:proofErr w:type="spellEnd"/>
      <w:r w:rsidRPr="00EC5E1C">
        <w:t xml:space="preserve"> aģentūru</w:t>
      </w:r>
      <w:r w:rsidRPr="00EC5E1C">
        <w:rPr>
          <w:rStyle w:val="FootnoteReference"/>
        </w:rPr>
        <w:footnoteReference w:id="377"/>
      </w:r>
      <w:r w:rsidRPr="00EC5E1C">
        <w:t>, un jo īpaši tās 21. pantu,</w:t>
      </w:r>
    </w:p>
    <w:p w14:paraId="75AB4C29"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78"/>
      </w:r>
      <w:r w:rsidRPr="00EC5E1C">
        <w:t>, un jo īpaši tās 105. pantu,</w:t>
      </w:r>
    </w:p>
    <w:p w14:paraId="4795B076" w14:textId="77777777" w:rsidR="00EA2C2C" w:rsidRPr="00EC5E1C" w:rsidRDefault="00EA2C2C" w:rsidP="00EA2C2C">
      <w:pPr>
        <w:pStyle w:val="NormalHanging12a"/>
      </w:pPr>
      <w:r w:rsidRPr="00EC5E1C">
        <w:t>–</w:t>
      </w:r>
      <w:r w:rsidRPr="00EC5E1C">
        <w:tab/>
        <w:t>ņemot vērā Reglamenta 102. pantu un V pielikumu,</w:t>
      </w:r>
    </w:p>
    <w:p w14:paraId="549F8A8A"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0792AAA6" w14:textId="77777777" w:rsidR="00EA2C2C" w:rsidRPr="00EC5E1C" w:rsidRDefault="00EA2C2C" w:rsidP="00EA2C2C">
      <w:pPr>
        <w:pStyle w:val="NormalHanging12a"/>
      </w:pPr>
      <w:r w:rsidRPr="00EC5E1C">
        <w:t>–</w:t>
      </w:r>
      <w:r w:rsidRPr="00EC5E1C">
        <w:tab/>
        <w:t>ņemot vērā Budžeta kontroles komitejas ziņojumu (A10-0087/2026),</w:t>
      </w:r>
    </w:p>
    <w:p w14:paraId="20A965F8" w14:textId="77777777" w:rsidR="00EA2C2C" w:rsidRPr="00EC5E1C" w:rsidRDefault="00EA2C2C" w:rsidP="00EA2C2C">
      <w:pPr>
        <w:pStyle w:val="NormalHanging12a"/>
      </w:pPr>
      <w:r w:rsidRPr="00EC5E1C">
        <w:t>1.</w:t>
      </w:r>
      <w:r w:rsidRPr="00EC5E1C">
        <w:tab/>
        <w:t xml:space="preserve">sniedz Eiropas Savienības </w:t>
      </w:r>
      <w:proofErr w:type="spellStart"/>
      <w:r w:rsidRPr="00EC5E1C">
        <w:t>Pamattiesību</w:t>
      </w:r>
      <w:proofErr w:type="spellEnd"/>
      <w:r w:rsidRPr="00EC5E1C">
        <w:t xml:space="preserve"> aģentūras direktorei apstiprinājumu par Aģentūras 2024. finanšu gada budžeta izpildi;</w:t>
      </w:r>
    </w:p>
    <w:p w14:paraId="1DB98F65" w14:textId="77777777" w:rsidR="00EA2C2C" w:rsidRPr="00EC5E1C" w:rsidRDefault="00EA2C2C" w:rsidP="00EA2C2C">
      <w:pPr>
        <w:pStyle w:val="NormalHanging12a"/>
      </w:pPr>
      <w:r w:rsidRPr="00EC5E1C">
        <w:t>2.</w:t>
      </w:r>
      <w:r w:rsidRPr="00EC5E1C">
        <w:tab/>
        <w:t>izklāsta savus konstatējumus turpmāk tekstā iekļautajā rezolūcijā;</w:t>
      </w:r>
    </w:p>
    <w:p w14:paraId="72BEE749"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Savienības </w:t>
      </w:r>
      <w:proofErr w:type="spellStart"/>
      <w:r w:rsidRPr="00EC5E1C">
        <w:t>Pamattiesību</w:t>
      </w:r>
      <w:proofErr w:type="spellEnd"/>
      <w:r w:rsidRPr="00EC5E1C">
        <w:t xml:space="preserve"> aģentūras direktorei, Padomei, Komisijai un Revīzijas palātai un nodrošināt to publicēšanu </w:t>
      </w:r>
      <w:r w:rsidRPr="00EC5E1C">
        <w:rPr>
          <w:i/>
          <w:iCs/>
        </w:rPr>
        <w:t>Eiropas Savienības Oficiālajā Vēstnesī</w:t>
      </w:r>
      <w:r w:rsidRPr="00EC5E1C">
        <w:t xml:space="preserve"> (L sērijā).</w:t>
      </w:r>
    </w:p>
    <w:p w14:paraId="20BBD44E" w14:textId="77777777" w:rsidR="00EA2C2C" w:rsidRPr="00EC5E1C" w:rsidRDefault="00EA2C2C" w:rsidP="00EA2C2C"/>
    <w:p w14:paraId="60CC86AE" w14:textId="77777777" w:rsidR="00EA2C2C" w:rsidRPr="00EC5E1C" w:rsidRDefault="00EA2C2C" w:rsidP="00EA2C2C">
      <w:pPr>
        <w:pStyle w:val="PageHeadingDec"/>
        <w:sectPr w:rsidR="00EA2C2C" w:rsidRPr="00EC5E1C" w:rsidSect="00D106D3">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589505F" w14:textId="77777777" w:rsidR="00B44DA1" w:rsidRPr="00EC5E1C" w:rsidRDefault="00B44DA1" w:rsidP="00B44DA1">
      <w:pPr>
        <w:pStyle w:val="ATHeading3"/>
      </w:pPr>
      <w:r w:rsidRPr="00EC5E1C">
        <w:lastRenderedPageBreak/>
        <w:t xml:space="preserve">64. Eiropas Parlamenta 2026. gada 29. aprīļa lēmums par Eiropas Savienības </w:t>
      </w:r>
      <w:proofErr w:type="spellStart"/>
      <w:r w:rsidRPr="00EC5E1C">
        <w:t>Pamattiesību</w:t>
      </w:r>
      <w:proofErr w:type="spellEnd"/>
      <w:r w:rsidRPr="00EC5E1C">
        <w:t xml:space="preserve"> aģentūras 2024. finanšu gada pārskatu apstiprināšanu (2025/2156(DEC))</w:t>
      </w:r>
    </w:p>
    <w:p w14:paraId="71D45B89" w14:textId="77777777" w:rsidR="00EA2C2C" w:rsidRPr="00EC5E1C" w:rsidRDefault="00EA2C2C" w:rsidP="00EA2C2C">
      <w:pPr>
        <w:pStyle w:val="EPComma"/>
      </w:pPr>
      <w:r w:rsidRPr="00EC5E1C">
        <w:rPr>
          <w:i/>
          <w:iCs/>
        </w:rPr>
        <w:t>Eiropas Parlaments</w:t>
      </w:r>
      <w:r w:rsidRPr="00EC5E1C">
        <w:t>,</w:t>
      </w:r>
    </w:p>
    <w:p w14:paraId="7AC87E04" w14:textId="77777777" w:rsidR="00EA2C2C" w:rsidRPr="00EC5E1C" w:rsidRDefault="00EA2C2C" w:rsidP="00EA2C2C">
      <w:pPr>
        <w:pStyle w:val="NormalHanging12a"/>
      </w:pPr>
      <w:r w:rsidRPr="00EC5E1C">
        <w:t>–</w:t>
      </w:r>
      <w:r w:rsidRPr="00EC5E1C">
        <w:tab/>
        <w:t xml:space="preserve">ņemot vērā Eiropas Savienības </w:t>
      </w:r>
      <w:proofErr w:type="spellStart"/>
      <w:r w:rsidRPr="00EC5E1C">
        <w:t>Pamattiesību</w:t>
      </w:r>
      <w:proofErr w:type="spellEnd"/>
      <w:r w:rsidRPr="00EC5E1C">
        <w:t xml:space="preserve"> aģentūras 2024. finanšu gada galīgos pārskatus,</w:t>
      </w:r>
    </w:p>
    <w:p w14:paraId="78976B57"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79"/>
      </w:r>
      <w:r w:rsidRPr="00EC5E1C">
        <w:t>,</w:t>
      </w:r>
    </w:p>
    <w:p w14:paraId="63FDED9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80"/>
      </w:r>
      <w:r w:rsidRPr="00EC5E1C">
        <w:t xml:space="preserve"> par pārskatu ticamību, kā arī par pakārtoto darījumu likumību un pareizību, kuru Revīzijas palāta sniegusi par 2024. finanšu gadu saskaņā ar Līguma par Eiropas Savienības darbību 287. pantu,</w:t>
      </w:r>
    </w:p>
    <w:p w14:paraId="1F9116AC"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1C1F8347" w14:textId="77777777" w:rsidR="00EA2C2C" w:rsidRPr="00EC5E1C" w:rsidRDefault="00EA2C2C" w:rsidP="00EA2C2C">
      <w:pPr>
        <w:pStyle w:val="NormalHanging12a"/>
      </w:pPr>
      <w:r w:rsidRPr="00EC5E1C">
        <w:t>–</w:t>
      </w:r>
      <w:r w:rsidRPr="00EC5E1C">
        <w:tab/>
        <w:t>ņemot vērā Līguma par Eiropas Savienības darbību 319. pantu,</w:t>
      </w:r>
    </w:p>
    <w:p w14:paraId="7FFBF682"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81"/>
      </w:r>
      <w:r w:rsidRPr="00EC5E1C">
        <w:t>, un jo īpaši tās 70. pantu,</w:t>
      </w:r>
    </w:p>
    <w:p w14:paraId="002CD084"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82"/>
      </w:r>
      <w:r w:rsidRPr="00EC5E1C">
        <w:t>, un jo īpaši tās 70. pantu,</w:t>
      </w:r>
    </w:p>
    <w:p w14:paraId="52481206" w14:textId="77777777" w:rsidR="00EA2C2C" w:rsidRPr="00EC5E1C" w:rsidRDefault="00EA2C2C" w:rsidP="00EA2C2C">
      <w:pPr>
        <w:pStyle w:val="NormalHanging12a"/>
      </w:pPr>
      <w:r w:rsidRPr="00EC5E1C">
        <w:t>–</w:t>
      </w:r>
      <w:r w:rsidRPr="00EC5E1C">
        <w:tab/>
        <w:t xml:space="preserve">ņemot vērā Padomes 2007. gada 15. februāra Regulu (EK) Nr. 168/2007, ar ko izveido Eiropas Savienības </w:t>
      </w:r>
      <w:proofErr w:type="spellStart"/>
      <w:r w:rsidRPr="00EC5E1C">
        <w:t>Pamattiesību</w:t>
      </w:r>
      <w:proofErr w:type="spellEnd"/>
      <w:r w:rsidRPr="00EC5E1C">
        <w:t xml:space="preserve"> aģentūru</w:t>
      </w:r>
      <w:r w:rsidRPr="00EC5E1C">
        <w:rPr>
          <w:rStyle w:val="FootnoteReference"/>
        </w:rPr>
        <w:footnoteReference w:id="383"/>
      </w:r>
      <w:r w:rsidRPr="00EC5E1C">
        <w:t>, un jo īpaši tās 21. pantu,</w:t>
      </w:r>
    </w:p>
    <w:p w14:paraId="31E84141"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84"/>
      </w:r>
      <w:r w:rsidRPr="00EC5E1C">
        <w:t>, un jo īpaši tās 105. pantu,</w:t>
      </w:r>
    </w:p>
    <w:p w14:paraId="361C3102" w14:textId="77777777" w:rsidR="00EA2C2C" w:rsidRPr="00EC5E1C" w:rsidRDefault="00EA2C2C" w:rsidP="00EA2C2C">
      <w:pPr>
        <w:pStyle w:val="NormalHanging12a"/>
      </w:pPr>
      <w:r w:rsidRPr="00EC5E1C">
        <w:t>–</w:t>
      </w:r>
      <w:r w:rsidRPr="00EC5E1C">
        <w:tab/>
        <w:t>ņemot vērā Reglamenta 102. pantu un V pielikumu,</w:t>
      </w:r>
    </w:p>
    <w:p w14:paraId="7290DDC2"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3A9858FB" w14:textId="77777777" w:rsidR="00EA2C2C" w:rsidRPr="00EC5E1C" w:rsidRDefault="00EA2C2C" w:rsidP="00EA2C2C">
      <w:pPr>
        <w:pStyle w:val="NormalHanging12a"/>
      </w:pPr>
      <w:r w:rsidRPr="00EC5E1C">
        <w:t>–</w:t>
      </w:r>
      <w:r w:rsidRPr="00EC5E1C">
        <w:tab/>
        <w:t>ņemot vērā Budžeta kontroles komitejas ziņojumu (A10-0087/2026),</w:t>
      </w:r>
    </w:p>
    <w:p w14:paraId="019A789E" w14:textId="77777777" w:rsidR="00EA2C2C" w:rsidRPr="00EC5E1C" w:rsidRDefault="00EA2C2C" w:rsidP="00EA2C2C">
      <w:pPr>
        <w:pStyle w:val="NormalHanging12a"/>
      </w:pPr>
      <w:r w:rsidRPr="00EC5E1C">
        <w:t>1.</w:t>
      </w:r>
      <w:r w:rsidRPr="00EC5E1C">
        <w:tab/>
        <w:t xml:space="preserve">apstiprina Eiropas Savienības </w:t>
      </w:r>
      <w:proofErr w:type="spellStart"/>
      <w:r w:rsidRPr="00EC5E1C">
        <w:t>Pamattiesību</w:t>
      </w:r>
      <w:proofErr w:type="spellEnd"/>
      <w:r w:rsidRPr="00EC5E1C">
        <w:t xml:space="preserve"> aģentūras 2024. finanšu gada pārskatus;</w:t>
      </w:r>
    </w:p>
    <w:p w14:paraId="1E11FA4D" w14:textId="77777777" w:rsidR="00EA2C2C" w:rsidRPr="00EC5E1C" w:rsidRDefault="00EA2C2C" w:rsidP="00EA2C2C">
      <w:pPr>
        <w:pStyle w:val="NormalHanging12a"/>
      </w:pPr>
      <w:r w:rsidRPr="00EC5E1C">
        <w:t>2.</w:t>
      </w:r>
      <w:r w:rsidRPr="00EC5E1C">
        <w:tab/>
        <w:t xml:space="preserve">uzdod priekšsēdētājai šo lēmumu nosūtīt Eiropas Savienības </w:t>
      </w:r>
      <w:proofErr w:type="spellStart"/>
      <w:r w:rsidRPr="00EC5E1C">
        <w:t>Pamattiesību</w:t>
      </w:r>
      <w:proofErr w:type="spellEnd"/>
      <w:r w:rsidRPr="00EC5E1C">
        <w:t xml:space="preserve"> aģentūras direktorei, Padomei, Komisijai un Revīzijas palātai un nodrošināt tā publicēšanu </w:t>
      </w:r>
      <w:r w:rsidRPr="00EC5E1C">
        <w:rPr>
          <w:i/>
          <w:iCs/>
        </w:rPr>
        <w:t>Eiropas Savienības Oficiālajā Vēstnesī</w:t>
      </w:r>
      <w:r w:rsidRPr="00EC5E1C">
        <w:t xml:space="preserve"> (L sērijā).</w:t>
      </w:r>
    </w:p>
    <w:p w14:paraId="32BC1898" w14:textId="77777777" w:rsidR="00EA2C2C" w:rsidRPr="00EC5E1C" w:rsidRDefault="00EA2C2C" w:rsidP="00EA2C2C"/>
    <w:p w14:paraId="75083C2C" w14:textId="77777777" w:rsidR="00EA2C2C" w:rsidRPr="00EC5E1C" w:rsidRDefault="00EA2C2C" w:rsidP="00EA2C2C"/>
    <w:p w14:paraId="57F947FA" w14:textId="77C44639" w:rsidR="00EA2C2C" w:rsidRPr="00EC5E1C" w:rsidRDefault="00EA2C2C" w:rsidP="00EA2C2C">
      <w:pPr>
        <w:pStyle w:val="PageHeadingDec"/>
      </w:pPr>
    </w:p>
    <w:p w14:paraId="114B17EB" w14:textId="77777777" w:rsidR="00EA2C2C" w:rsidRPr="00EC5E1C" w:rsidRDefault="00EA2C2C" w:rsidP="00EA2C2C">
      <w:pPr>
        <w:pStyle w:val="PageHeadingDec"/>
        <w:sectPr w:rsidR="00EA2C2C" w:rsidRPr="00EC5E1C" w:rsidSect="00D106D3">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038632" w14:textId="77777777" w:rsidR="00B44DA1" w:rsidRPr="00EC5E1C" w:rsidRDefault="00B44DA1" w:rsidP="00B44DA1">
      <w:pPr>
        <w:pStyle w:val="ATHeading3"/>
      </w:pPr>
      <w:r w:rsidRPr="00EC5E1C">
        <w:lastRenderedPageBreak/>
        <w:t>65. Eiropas Parlamenta 2026. gada 29. aprīļa lēmums par Eiropas Robežu un krasta apsardzes aģentūras 2024. finanšu gada budžeta izpildes apstiprināšanu (2025/2156(DEC))</w:t>
      </w:r>
    </w:p>
    <w:p w14:paraId="4CFCD238" w14:textId="77777777" w:rsidR="00EA2C2C" w:rsidRPr="00EC5E1C" w:rsidRDefault="00EA2C2C" w:rsidP="00EA2C2C">
      <w:pPr>
        <w:pStyle w:val="EPComma"/>
      </w:pPr>
      <w:r w:rsidRPr="00EC5E1C">
        <w:rPr>
          <w:i/>
          <w:iCs/>
        </w:rPr>
        <w:t>Eiropas Parlaments</w:t>
      </w:r>
      <w:r w:rsidRPr="00EC5E1C">
        <w:t>,</w:t>
      </w:r>
    </w:p>
    <w:p w14:paraId="1A199B38" w14:textId="77777777" w:rsidR="00EA2C2C" w:rsidRPr="00EC5E1C" w:rsidRDefault="00EA2C2C" w:rsidP="00EA2C2C">
      <w:pPr>
        <w:pStyle w:val="NormalHanging12a"/>
      </w:pPr>
      <w:r w:rsidRPr="00EC5E1C">
        <w:t>–</w:t>
      </w:r>
      <w:r w:rsidRPr="00EC5E1C">
        <w:tab/>
        <w:t>ņemot vērā Eiropas Robežu un krasta apsardzes aģentūras 2024. finanšu gada galīgos pārskatus,</w:t>
      </w:r>
    </w:p>
    <w:p w14:paraId="636463E5"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85"/>
      </w:r>
      <w:r w:rsidRPr="00EC5E1C">
        <w:t>,</w:t>
      </w:r>
    </w:p>
    <w:p w14:paraId="1D593D02"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86"/>
      </w:r>
      <w:r w:rsidRPr="00EC5E1C">
        <w:t xml:space="preserve"> par pārskatu ticamību, kā arī par pakārtoto darījumu likumību un pareizību, kuru Revīzijas palāta sniegusi par 2024. finanšu gadu saskaņā ar Līguma par Eiropas Savienības darbību 287. pantu,</w:t>
      </w:r>
    </w:p>
    <w:p w14:paraId="03863006"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4DED15CB" w14:textId="77777777" w:rsidR="00EA2C2C" w:rsidRPr="00EC5E1C" w:rsidRDefault="00EA2C2C" w:rsidP="00EA2C2C">
      <w:pPr>
        <w:pStyle w:val="NormalHanging12a"/>
      </w:pPr>
      <w:r w:rsidRPr="00EC5E1C">
        <w:t>–</w:t>
      </w:r>
      <w:r w:rsidRPr="00EC5E1C">
        <w:tab/>
        <w:t>ņemot vērā Līguma par Eiropas Savienības darbību 319. pantu,</w:t>
      </w:r>
    </w:p>
    <w:p w14:paraId="1B69EEC1"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87"/>
      </w:r>
      <w:r w:rsidRPr="00EC5E1C">
        <w:t>, un jo īpaši tās 70. pantu,</w:t>
      </w:r>
    </w:p>
    <w:p w14:paraId="49F92C11"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88"/>
      </w:r>
      <w:r w:rsidRPr="00EC5E1C">
        <w:t>, un jo īpaši tās 70. pantu,</w:t>
      </w:r>
    </w:p>
    <w:p w14:paraId="771C6CBA" w14:textId="77777777" w:rsidR="00EA2C2C" w:rsidRPr="00EC5E1C" w:rsidRDefault="00EA2C2C" w:rsidP="00EA2C2C">
      <w:pPr>
        <w:pStyle w:val="NormalHanging12a"/>
      </w:pPr>
      <w:r w:rsidRPr="00EC5E1C">
        <w:t>–</w:t>
      </w:r>
      <w:r w:rsidRPr="00EC5E1C">
        <w:tab/>
        <w:t>ņemot vērā Eiropas Parlamenta un Padomes 2019. gada 13. novembra Regulu (ES) 2019/1896 par Eiropas Robežu un krasta apsardzi un ar ko atceļ Regulas (ES) Nr. 1052/2013 un (ES) 2016/1624</w:t>
      </w:r>
      <w:r w:rsidRPr="00EC5E1C">
        <w:rPr>
          <w:rStyle w:val="FootnoteReference"/>
        </w:rPr>
        <w:footnoteReference w:id="389"/>
      </w:r>
      <w:r w:rsidRPr="00EC5E1C">
        <w:t>, un jo īpaši tās 116. pantu,</w:t>
      </w:r>
    </w:p>
    <w:p w14:paraId="188412A2"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90"/>
      </w:r>
      <w:r w:rsidRPr="00EC5E1C">
        <w:t>, un jo īpaši tās 105. pantu,</w:t>
      </w:r>
    </w:p>
    <w:p w14:paraId="1DCB9C75" w14:textId="77777777" w:rsidR="00EA2C2C" w:rsidRPr="00EC5E1C" w:rsidRDefault="00EA2C2C" w:rsidP="00EA2C2C">
      <w:pPr>
        <w:pStyle w:val="NormalHanging12a"/>
      </w:pPr>
      <w:r w:rsidRPr="00EC5E1C">
        <w:t>–</w:t>
      </w:r>
      <w:r w:rsidRPr="00EC5E1C">
        <w:tab/>
        <w:t>ņemot vērā Reglamenta 102. pantu un V pielikumu,</w:t>
      </w:r>
    </w:p>
    <w:p w14:paraId="273DF28C"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w:t>
      </w:r>
      <w:r w:rsidRPr="00EC5E1C">
        <w:lastRenderedPageBreak/>
        <w:t xml:space="preserve">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0E8EA7A0" w14:textId="77777777" w:rsidR="00EA2C2C" w:rsidRPr="00EC5E1C" w:rsidRDefault="00EA2C2C" w:rsidP="00EA2C2C">
      <w:pPr>
        <w:pStyle w:val="NormalHanging12a"/>
      </w:pPr>
      <w:r w:rsidRPr="00EC5E1C">
        <w:t>–</w:t>
      </w:r>
      <w:r w:rsidRPr="00EC5E1C">
        <w:tab/>
        <w:t>ņemot vērā Budžeta kontroles komitejas ziņojumu (A10-0087/2026),</w:t>
      </w:r>
    </w:p>
    <w:p w14:paraId="11C15289" w14:textId="77777777" w:rsidR="00EA2C2C" w:rsidRPr="00EC5E1C" w:rsidRDefault="00EA2C2C" w:rsidP="00EA2C2C">
      <w:pPr>
        <w:pStyle w:val="NormalHanging12a"/>
      </w:pPr>
      <w:r w:rsidRPr="00EC5E1C">
        <w:t>1.</w:t>
      </w:r>
      <w:r w:rsidRPr="00EC5E1C">
        <w:tab/>
        <w:t>sniedz Eiropas Robežu un krasta apsardzes aģentūras izpilddirektoram apstiprinājumu par Aģentūras 2024. finanšu gada budžeta izpildi;</w:t>
      </w:r>
    </w:p>
    <w:p w14:paraId="40880818" w14:textId="77777777" w:rsidR="00EA2C2C" w:rsidRPr="00EC5E1C" w:rsidRDefault="00EA2C2C" w:rsidP="00EA2C2C">
      <w:pPr>
        <w:pStyle w:val="NormalHanging12a"/>
      </w:pPr>
      <w:r w:rsidRPr="00EC5E1C">
        <w:t>2.</w:t>
      </w:r>
      <w:r w:rsidRPr="00EC5E1C">
        <w:tab/>
        <w:t>izklāsta savus konstatējumus turpmāk tekstā iekļautajā rezolūcijā;</w:t>
      </w:r>
    </w:p>
    <w:p w14:paraId="3DAB4EA5" w14:textId="77777777" w:rsidR="00EA2C2C" w:rsidRPr="00EC5E1C" w:rsidRDefault="00EA2C2C" w:rsidP="00EA2C2C">
      <w:pPr>
        <w:pStyle w:val="NormalHanging12a"/>
      </w:pPr>
      <w:r w:rsidRPr="00EC5E1C">
        <w:t>3.</w:t>
      </w:r>
      <w:r w:rsidRPr="00EC5E1C">
        <w:tab/>
        <w:t xml:space="preserve">uzdod priekšsēdētājai šo lēmumu un rezolūciju, kas ir tā neatņemama daļa, nosūtīt Eiropas Robežu un krasta apsardzes aģentūras izpilddirektoram, Padomei, Komisijai un Revīzijas palātai un nodrošināt to publicēšanu </w:t>
      </w:r>
      <w:r w:rsidRPr="00EC5E1C">
        <w:rPr>
          <w:i/>
          <w:iCs/>
        </w:rPr>
        <w:t>Eiropas Savienības Oficiālajā Vēstnesī</w:t>
      </w:r>
      <w:r w:rsidRPr="00EC5E1C">
        <w:t xml:space="preserve"> (L sērijā).</w:t>
      </w:r>
    </w:p>
    <w:p w14:paraId="6FF4E62E" w14:textId="77777777" w:rsidR="00EA2C2C" w:rsidRPr="00EC5E1C" w:rsidRDefault="00EA2C2C" w:rsidP="00EA2C2C"/>
    <w:p w14:paraId="212F758A" w14:textId="77777777" w:rsidR="00EA2C2C" w:rsidRPr="00EC5E1C" w:rsidRDefault="00EA2C2C" w:rsidP="00EA2C2C">
      <w:pPr>
        <w:pStyle w:val="PageHeadingDec"/>
        <w:sectPr w:rsidR="00EA2C2C" w:rsidRPr="00EC5E1C" w:rsidSect="00D106D3">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2F9821" w14:textId="77777777" w:rsidR="00B44DA1" w:rsidRPr="00EC5E1C" w:rsidRDefault="00B44DA1" w:rsidP="00B44DA1">
      <w:pPr>
        <w:pStyle w:val="ATHeading3"/>
      </w:pPr>
      <w:r w:rsidRPr="00EC5E1C">
        <w:lastRenderedPageBreak/>
        <w:t>66. Eiropas Parlamenta 2026. gada 29. aprīļa lēmums par Eiropas Robežu un krasta apsardzes aģentūras 2024. finanšu gada pārskatu apstiprināšanu (2025/2156(DEC))</w:t>
      </w:r>
    </w:p>
    <w:p w14:paraId="00235810" w14:textId="77777777" w:rsidR="00EA2C2C" w:rsidRPr="00EC5E1C" w:rsidRDefault="00EA2C2C" w:rsidP="00EA2C2C">
      <w:pPr>
        <w:pStyle w:val="EPComma"/>
      </w:pPr>
      <w:r w:rsidRPr="00EC5E1C">
        <w:rPr>
          <w:i/>
          <w:iCs/>
        </w:rPr>
        <w:t>Eiropas Parlaments</w:t>
      </w:r>
      <w:r w:rsidRPr="00EC5E1C">
        <w:t>,</w:t>
      </w:r>
    </w:p>
    <w:p w14:paraId="66F60419" w14:textId="77777777" w:rsidR="00EA2C2C" w:rsidRPr="00EC5E1C" w:rsidRDefault="00EA2C2C" w:rsidP="00EA2C2C">
      <w:pPr>
        <w:pStyle w:val="NormalHanging12a"/>
      </w:pPr>
      <w:r w:rsidRPr="00EC5E1C">
        <w:t>–</w:t>
      </w:r>
      <w:r w:rsidRPr="00EC5E1C">
        <w:tab/>
        <w:t>ņemot vērā Eiropas Robežu un krasta apsardzes aģentūras 2024. finanšu gada galīgos pārskatus,</w:t>
      </w:r>
    </w:p>
    <w:p w14:paraId="07082C52" w14:textId="77777777" w:rsidR="00EA2C2C" w:rsidRPr="00EC5E1C" w:rsidRDefault="00EA2C2C" w:rsidP="00EA2C2C">
      <w:pPr>
        <w:pStyle w:val="NormalHanging12a"/>
      </w:pPr>
      <w:r w:rsidRPr="00EC5E1C">
        <w:t>–</w:t>
      </w:r>
      <w:r w:rsidRPr="00EC5E1C">
        <w:tab/>
        <w:t>ņemot vērā Revīzijas palātas gada ziņojumu par ES aģentūrām attiecībā uz 2024. finanšu gadu ar aģentūru atbildēm</w:t>
      </w:r>
      <w:r w:rsidRPr="00EC5E1C">
        <w:rPr>
          <w:rStyle w:val="FootnoteReference"/>
        </w:rPr>
        <w:footnoteReference w:id="391"/>
      </w:r>
      <w:r w:rsidRPr="00EC5E1C">
        <w:t>,</w:t>
      </w:r>
    </w:p>
    <w:p w14:paraId="5F99039A" w14:textId="77777777" w:rsidR="00EA2C2C" w:rsidRPr="00EC5E1C" w:rsidRDefault="00EA2C2C" w:rsidP="00EA2C2C">
      <w:pPr>
        <w:pStyle w:val="NormalHanging12a"/>
      </w:pPr>
      <w:r w:rsidRPr="00EC5E1C">
        <w:t>–</w:t>
      </w:r>
      <w:r w:rsidRPr="00EC5E1C">
        <w:tab/>
        <w:t>ņemot vērā deklarāciju</w:t>
      </w:r>
      <w:r w:rsidRPr="00EC5E1C">
        <w:rPr>
          <w:rStyle w:val="FootnoteReference"/>
        </w:rPr>
        <w:footnoteReference w:id="392"/>
      </w:r>
      <w:r w:rsidRPr="00EC5E1C">
        <w:t xml:space="preserve"> par pārskatu ticamību, kā arī par pakārtoto darījumu likumību un pareizību, kuru Revīzijas palāta sniegusi par 2024. finanšu gadu saskaņā ar Līguma par Eiropas Savienības darbību 287. pantu,</w:t>
      </w:r>
    </w:p>
    <w:p w14:paraId="0C2C2588" w14:textId="77777777" w:rsidR="00EA2C2C" w:rsidRPr="00EC5E1C" w:rsidRDefault="00EA2C2C" w:rsidP="00EA2C2C">
      <w:pPr>
        <w:pStyle w:val="NormalHanging12a"/>
      </w:pPr>
      <w:r w:rsidRPr="00EC5E1C">
        <w:t>–</w:t>
      </w:r>
      <w:r w:rsidRPr="00EC5E1C">
        <w:tab/>
        <w:t>ņemot vērā Padomes 2026. gada 2. marta ieteikumu par apstiprinājumu, ko sniedz Aģentūrai par 2024. finanšu gada budžeta izpildi (05750/2026 – C10-0148/2026),</w:t>
      </w:r>
    </w:p>
    <w:p w14:paraId="14A88C2E" w14:textId="77777777" w:rsidR="00EA2C2C" w:rsidRPr="00EC5E1C" w:rsidRDefault="00EA2C2C" w:rsidP="00EA2C2C">
      <w:pPr>
        <w:pStyle w:val="NormalHanging12a"/>
      </w:pPr>
      <w:r w:rsidRPr="00EC5E1C">
        <w:t>–</w:t>
      </w:r>
      <w:r w:rsidRPr="00EC5E1C">
        <w:tab/>
        <w:t>ņemot vērā Līguma par Eiropas Savienības darbību 319. pantu,</w:t>
      </w:r>
    </w:p>
    <w:p w14:paraId="211675EA" w14:textId="77777777" w:rsidR="00EA2C2C" w:rsidRPr="00EC5E1C" w:rsidRDefault="00EA2C2C" w:rsidP="00EA2C2C">
      <w:pPr>
        <w:pStyle w:val="NormalHanging12a"/>
      </w:pPr>
      <w:r w:rsidRPr="00EC5E1C">
        <w:t>–</w:t>
      </w:r>
      <w:r w:rsidRPr="00EC5E1C">
        <w:tab/>
        <w:t xml:space="preserve">ņemot vērā Eiropas Parlamenta un Padomes 2018. gada 18. jūlija Regulu (ES, </w:t>
      </w:r>
      <w:r w:rsidRPr="00EC5E1C">
        <w:rPr>
          <w:i/>
          <w:iCs/>
        </w:rPr>
        <w:t>Euratom</w:t>
      </w:r>
      <w:r w:rsidRPr="00EC5E1C">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EC5E1C">
        <w:rPr>
          <w:i/>
          <w:iCs/>
        </w:rPr>
        <w:t>Euratom</w:t>
      </w:r>
      <w:r w:rsidRPr="00EC5E1C">
        <w:t>) Nr. 966/2012</w:t>
      </w:r>
      <w:r w:rsidRPr="00EC5E1C">
        <w:rPr>
          <w:rStyle w:val="FootnoteReference"/>
        </w:rPr>
        <w:footnoteReference w:id="393"/>
      </w:r>
      <w:r w:rsidRPr="00EC5E1C">
        <w:t>, un jo īpaši tās 70. pantu,</w:t>
      </w:r>
    </w:p>
    <w:p w14:paraId="75B64422" w14:textId="77777777" w:rsidR="00EA2C2C" w:rsidRPr="00EC5E1C" w:rsidRDefault="00EA2C2C" w:rsidP="00EA2C2C">
      <w:pPr>
        <w:pStyle w:val="NormalHanging12a"/>
      </w:pPr>
      <w:r w:rsidRPr="00EC5E1C">
        <w:t>–</w:t>
      </w:r>
      <w:r w:rsidRPr="00EC5E1C">
        <w:tab/>
        <w:t xml:space="preserve">ņemot vērā Eiropas Parlamenta un Padomes 2024. gada 23. septembra Regulu (ES, </w:t>
      </w:r>
      <w:r w:rsidRPr="00EC5E1C">
        <w:rPr>
          <w:i/>
          <w:iCs/>
        </w:rPr>
        <w:t>Euratom</w:t>
      </w:r>
      <w:r w:rsidRPr="00EC5E1C">
        <w:t>) 2024/2509 par finanšu noteikumiem, ko piemēro Savienības vispārējam budžetam</w:t>
      </w:r>
      <w:r w:rsidRPr="00EC5E1C">
        <w:rPr>
          <w:rStyle w:val="FootnoteReference"/>
        </w:rPr>
        <w:footnoteReference w:id="394"/>
      </w:r>
      <w:r w:rsidRPr="00EC5E1C">
        <w:t>, un jo īpaši tās 70. pantu,</w:t>
      </w:r>
    </w:p>
    <w:p w14:paraId="6C60BA0B" w14:textId="77777777" w:rsidR="00EA2C2C" w:rsidRPr="00EC5E1C" w:rsidRDefault="00EA2C2C" w:rsidP="00EA2C2C">
      <w:pPr>
        <w:pStyle w:val="NormalHanging12a"/>
      </w:pPr>
      <w:r w:rsidRPr="00EC5E1C">
        <w:t>–</w:t>
      </w:r>
      <w:r w:rsidRPr="00EC5E1C">
        <w:tab/>
        <w:t>ņemot vērā Eiropas Parlamenta un Padomes 2019. gada 13. novembra Regulu (ES) 2019/1896 par Eiropas Robežu un krasta apsardzi un ar ko atceļ Regulas (ES) Nr. 1052/2013 un (ES) 2016/1624</w:t>
      </w:r>
      <w:r w:rsidRPr="00EC5E1C">
        <w:rPr>
          <w:rStyle w:val="FootnoteReference"/>
        </w:rPr>
        <w:footnoteReference w:id="395"/>
      </w:r>
      <w:r w:rsidRPr="00EC5E1C">
        <w:t>, un jo īpaši tās 116. pantu,</w:t>
      </w:r>
    </w:p>
    <w:p w14:paraId="55CE3533" w14:textId="77777777" w:rsidR="00EA2C2C" w:rsidRPr="00EC5E1C" w:rsidRDefault="00EA2C2C" w:rsidP="00EA2C2C">
      <w:pPr>
        <w:pStyle w:val="NormalHanging12a"/>
      </w:pPr>
      <w:r w:rsidRPr="00EC5E1C">
        <w:t>–</w:t>
      </w:r>
      <w:r w:rsidRPr="00EC5E1C">
        <w:tab/>
        <w:t xml:space="preserve">ņemot vērā Komisijas 2018. gada 18. decembra Deleģēto regulu (ES) 2019/715 par finanšu </w:t>
      </w:r>
      <w:proofErr w:type="spellStart"/>
      <w:r w:rsidRPr="00EC5E1C">
        <w:t>pamatregulu</w:t>
      </w:r>
      <w:proofErr w:type="spellEnd"/>
      <w:r w:rsidRPr="00EC5E1C">
        <w:t xml:space="preserve"> struktūrām, kas izveidotas saskaņā ar LESD un </w:t>
      </w:r>
      <w:r w:rsidRPr="00EC5E1C">
        <w:rPr>
          <w:i/>
          <w:iCs/>
        </w:rPr>
        <w:t>Euratom</w:t>
      </w:r>
      <w:r w:rsidRPr="00EC5E1C">
        <w:t xml:space="preserve"> līgumu un minētas Eiropas Parlamenta un Padomes Regulas (ES, </w:t>
      </w:r>
      <w:r w:rsidRPr="00EC5E1C">
        <w:rPr>
          <w:i/>
          <w:iCs/>
        </w:rPr>
        <w:t>Euratom</w:t>
      </w:r>
      <w:r w:rsidRPr="00EC5E1C">
        <w:t>) 2018/1046 70. pantā</w:t>
      </w:r>
      <w:r w:rsidRPr="00EC5E1C">
        <w:rPr>
          <w:rStyle w:val="FootnoteReference"/>
        </w:rPr>
        <w:footnoteReference w:id="396"/>
      </w:r>
      <w:r w:rsidRPr="00EC5E1C">
        <w:t>, un jo īpaši tās 105. pantu,</w:t>
      </w:r>
    </w:p>
    <w:p w14:paraId="62DBD372" w14:textId="77777777" w:rsidR="00EA2C2C" w:rsidRPr="00EC5E1C" w:rsidRDefault="00EA2C2C" w:rsidP="00EA2C2C">
      <w:pPr>
        <w:pStyle w:val="NormalHanging12a"/>
      </w:pPr>
      <w:r w:rsidRPr="00EC5E1C">
        <w:t>–</w:t>
      </w:r>
      <w:r w:rsidRPr="00EC5E1C">
        <w:tab/>
        <w:t>ņemot vērā Reglamenta 102. pantu un V pielikumu,</w:t>
      </w:r>
    </w:p>
    <w:p w14:paraId="264BA82A" w14:textId="77777777" w:rsidR="00EA2C2C" w:rsidRPr="00EC5E1C" w:rsidRDefault="00EA2C2C" w:rsidP="00EA2C2C">
      <w:pPr>
        <w:pStyle w:val="NormalHanging12a"/>
      </w:pPr>
      <w:r w:rsidRPr="00EC5E1C">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w:t>
      </w:r>
      <w:r w:rsidRPr="00EC5E1C">
        <w:lastRenderedPageBreak/>
        <w:t>un Sieviešu tiesību un dzimumu līdztiesības komitejas atzinumus,</w:t>
      </w:r>
    </w:p>
    <w:p w14:paraId="3F7F0E60" w14:textId="77777777" w:rsidR="00EA2C2C" w:rsidRPr="00EC5E1C" w:rsidRDefault="00EA2C2C" w:rsidP="00EA2C2C">
      <w:pPr>
        <w:pStyle w:val="NormalHanging12a"/>
      </w:pPr>
      <w:r w:rsidRPr="00EC5E1C">
        <w:t>–</w:t>
      </w:r>
      <w:r w:rsidRPr="00EC5E1C">
        <w:tab/>
        <w:t>ņemot vērā Budžeta kontroles komitejas ziņojumu (A10-0087/2026),</w:t>
      </w:r>
    </w:p>
    <w:p w14:paraId="08575EC8" w14:textId="77777777" w:rsidR="00EA2C2C" w:rsidRPr="00EC5E1C" w:rsidRDefault="00EA2C2C" w:rsidP="00EA2C2C">
      <w:pPr>
        <w:pStyle w:val="NormalHanging12a"/>
      </w:pPr>
      <w:r w:rsidRPr="00EC5E1C">
        <w:t>1.</w:t>
      </w:r>
      <w:r w:rsidRPr="00EC5E1C">
        <w:tab/>
        <w:t>apstiprina Eiropas Robežu un krasta apsardzes aģentūras 2024. finanšu gada pārskatus;</w:t>
      </w:r>
    </w:p>
    <w:p w14:paraId="1ADBD355" w14:textId="77777777" w:rsidR="00EA2C2C" w:rsidRPr="00EC5E1C" w:rsidRDefault="00EA2C2C" w:rsidP="00EA2C2C">
      <w:pPr>
        <w:pStyle w:val="NormalHanging12a"/>
      </w:pPr>
      <w:r w:rsidRPr="00EC5E1C">
        <w:t>2.</w:t>
      </w:r>
      <w:r w:rsidRPr="00EC5E1C">
        <w:tab/>
        <w:t xml:space="preserve">uzdod priekšsēdētājai šo lēmumu nosūtīt Eiropas Robežu un krasta apsardzes aģentūras izpilddirektoram, Padomei, Komisijai un Revīzijas palātai un nodrošināt tā publicēšanu </w:t>
      </w:r>
      <w:r w:rsidRPr="00EC5E1C">
        <w:rPr>
          <w:i/>
          <w:iCs/>
        </w:rPr>
        <w:t>Eiropas Savienības Oficiālajā Vēstnesī</w:t>
      </w:r>
      <w:r w:rsidRPr="00EC5E1C">
        <w:t xml:space="preserve"> (L sērijā).</w:t>
      </w:r>
    </w:p>
    <w:p w14:paraId="7E4731F3" w14:textId="77777777" w:rsidR="00EA2C2C" w:rsidRPr="00EC5E1C" w:rsidRDefault="00EA2C2C" w:rsidP="00EA2C2C"/>
    <w:p w14:paraId="0C5441D3" w14:textId="77777777" w:rsidR="00EA2C2C" w:rsidRPr="00EC5E1C" w:rsidRDefault="00EA2C2C" w:rsidP="00EA2C2C"/>
    <w:p w14:paraId="176DE996" w14:textId="2AD6E487" w:rsidR="00EA2C2C" w:rsidRPr="00EC5E1C" w:rsidRDefault="00EA2C2C" w:rsidP="00EA2C2C">
      <w:pPr>
        <w:pStyle w:val="NormalHanging12a"/>
        <w:spacing w:after="120"/>
        <w:jc w:val="center"/>
      </w:pPr>
    </w:p>
    <w:p w14:paraId="6EA6E03A" w14:textId="52553B75" w:rsidR="00EA2C2C" w:rsidRPr="00EC5E1C" w:rsidRDefault="00EA2C2C" w:rsidP="00EA2C2C">
      <w:pPr>
        <w:pStyle w:val="NormalHanging12a"/>
        <w:spacing w:after="0"/>
        <w:jc w:val="center"/>
      </w:pPr>
    </w:p>
    <w:p w14:paraId="12F50EE1" w14:textId="77777777" w:rsidR="00EA2C2C" w:rsidRPr="00EC5E1C" w:rsidRDefault="00EA2C2C" w:rsidP="00EA2C2C"/>
    <w:p w14:paraId="5E488050" w14:textId="77777777" w:rsidR="00EA2C2C" w:rsidRPr="00EC5E1C" w:rsidRDefault="00EA2C2C" w:rsidP="00EA2C2C">
      <w:pPr>
        <w:pStyle w:val="PageHeadingDec"/>
        <w:sectPr w:rsidR="00EA2C2C" w:rsidRPr="00EC5E1C" w:rsidSect="00D106D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BC4599A" w14:textId="77777777" w:rsidR="00B44DA1" w:rsidRPr="00EC5E1C" w:rsidRDefault="00B44DA1" w:rsidP="00B44DA1">
      <w:pPr>
        <w:pStyle w:val="ATHeading3"/>
      </w:pPr>
      <w:r w:rsidRPr="00EC5E1C">
        <w:lastRenderedPageBreak/>
        <w:t>67. Eiropas Parlamenta 2026. gada 29. aprīļa rezolūcija ar konstatējumiem, kas ir neatņemama daļa no lēmumiem par Eiropas Savienības aģentūru 2024. finanšu gada budžeta izpildes apstiprināšanu (2025/2156(DEC))</w:t>
      </w:r>
    </w:p>
    <w:p w14:paraId="6058D52C" w14:textId="77777777" w:rsidR="00EA2C2C" w:rsidRPr="00EC5E1C" w:rsidRDefault="00EA2C2C" w:rsidP="00EA2C2C">
      <w:pPr>
        <w:pStyle w:val="EPComma"/>
      </w:pPr>
      <w:r w:rsidRPr="00EC5E1C">
        <w:rPr>
          <w:i/>
          <w:iCs/>
        </w:rPr>
        <w:t>Eiropas Parlaments</w:t>
      </w:r>
      <w:r w:rsidRPr="00EC5E1C">
        <w:t>,</w:t>
      </w:r>
    </w:p>
    <w:p w14:paraId="4AF6D60C" w14:textId="77777777" w:rsidR="00EA2C2C" w:rsidRPr="00EC5E1C" w:rsidRDefault="00EA2C2C" w:rsidP="00EA2C2C">
      <w:pPr>
        <w:pStyle w:val="NormalHanging12a"/>
      </w:pPr>
      <w:r w:rsidRPr="00EC5E1C">
        <w:t>–</w:t>
      </w:r>
      <w:r w:rsidRPr="00EC5E1C">
        <w:tab/>
        <w:t xml:space="preserve">ņemot vērā lēmumu par Eiropas Savienības </w:t>
      </w:r>
      <w:proofErr w:type="spellStart"/>
      <w:r w:rsidRPr="00EC5E1C">
        <w:t>Energoregulatoru</w:t>
      </w:r>
      <w:proofErr w:type="spellEnd"/>
      <w:r w:rsidRPr="00EC5E1C">
        <w:t xml:space="preserve"> sadarbības aģentūras 2024. finanšu gada budžeta izpildes apstiprināšanu,</w:t>
      </w:r>
    </w:p>
    <w:p w14:paraId="7A7E54C3" w14:textId="77777777" w:rsidR="00EA2C2C" w:rsidRPr="00EC5E1C" w:rsidRDefault="00EA2C2C" w:rsidP="00EA2C2C">
      <w:pPr>
        <w:pStyle w:val="NormalHanging12a"/>
      </w:pPr>
      <w:r w:rsidRPr="00EC5E1C">
        <w:t>–</w:t>
      </w:r>
      <w:r w:rsidRPr="00EC5E1C">
        <w:tab/>
        <w:t xml:space="preserve">ņemot vērā lēmumu par </w:t>
      </w:r>
      <w:r w:rsidRPr="00EC5E1C">
        <w:rPr>
          <w:i/>
          <w:iCs/>
        </w:rPr>
        <w:t>BEREC</w:t>
      </w:r>
      <w:r w:rsidRPr="00EC5E1C">
        <w:t xml:space="preserve"> atbalsta aģentūras 2024. finanšu gada budžeta izpildes apstiprināšanu,</w:t>
      </w:r>
    </w:p>
    <w:p w14:paraId="5B86A4D7" w14:textId="77777777" w:rsidR="00EA2C2C" w:rsidRPr="00EC5E1C" w:rsidRDefault="00EA2C2C" w:rsidP="00EA2C2C">
      <w:pPr>
        <w:pStyle w:val="NormalHanging12a"/>
      </w:pPr>
      <w:r w:rsidRPr="00EC5E1C">
        <w:t>–</w:t>
      </w:r>
      <w:r w:rsidRPr="00EC5E1C">
        <w:tab/>
        <w:t>ņemot vērā lēmumu par Eiropas Savienības iestāžu Tulkošanas centra 2024. finanšu gada budžeta izpildes apstiprināšanu,</w:t>
      </w:r>
    </w:p>
    <w:p w14:paraId="576EAA70" w14:textId="77777777" w:rsidR="00EA2C2C" w:rsidRPr="00EC5E1C" w:rsidRDefault="00EA2C2C" w:rsidP="00EA2C2C">
      <w:pPr>
        <w:pStyle w:val="NormalHanging12a"/>
      </w:pPr>
      <w:r w:rsidRPr="00EC5E1C">
        <w:t>–</w:t>
      </w:r>
      <w:r w:rsidRPr="00EC5E1C">
        <w:tab/>
        <w:t>ņemot vērā lēmumu par Eiropas Profesionālās izglītības attīstības centra 2024. finanšu gada budžeta izpildes apstiprināšanu,</w:t>
      </w:r>
    </w:p>
    <w:p w14:paraId="4B8D7ED3" w14:textId="77777777" w:rsidR="00EA2C2C" w:rsidRPr="00EC5E1C" w:rsidRDefault="00EA2C2C" w:rsidP="00EA2C2C">
      <w:pPr>
        <w:pStyle w:val="NormalHanging12a"/>
      </w:pPr>
      <w:r w:rsidRPr="00EC5E1C">
        <w:t>–</w:t>
      </w:r>
      <w:r w:rsidRPr="00EC5E1C">
        <w:tab/>
        <w:t>ņemot vērā lēmumu par Eiropas Savienības Tiesībaizsardzības apmācības aģentūras 2024. finanšu gada budžeta izpildes apstiprināšanu,</w:t>
      </w:r>
    </w:p>
    <w:p w14:paraId="0E475353" w14:textId="77777777" w:rsidR="00EA2C2C" w:rsidRPr="00EC5E1C" w:rsidRDefault="00EA2C2C" w:rsidP="00EA2C2C">
      <w:pPr>
        <w:pStyle w:val="NormalHanging12a"/>
      </w:pPr>
      <w:r w:rsidRPr="00EC5E1C">
        <w:t>–</w:t>
      </w:r>
      <w:r w:rsidRPr="00EC5E1C">
        <w:tab/>
        <w:t>ņemot vērā lēmumu par Eiropas Savienības Aviācijas drošības aģentūras 2024. finanšu gada budžeta izpildes apstiprināšanu,</w:t>
      </w:r>
    </w:p>
    <w:p w14:paraId="6154557E" w14:textId="77777777" w:rsidR="00EA2C2C" w:rsidRPr="00EC5E1C" w:rsidRDefault="00EA2C2C" w:rsidP="00EA2C2C">
      <w:pPr>
        <w:pStyle w:val="NormalHanging12a"/>
      </w:pPr>
      <w:r w:rsidRPr="00EC5E1C">
        <w:t>–</w:t>
      </w:r>
      <w:r w:rsidRPr="00EC5E1C">
        <w:tab/>
        <w:t>ņemot vērā lēmumu par Eiropas Banku iestādes 2024. finanšu gada budžeta izpildes apstiprināšanu,</w:t>
      </w:r>
    </w:p>
    <w:p w14:paraId="7B60A168" w14:textId="77777777" w:rsidR="00EA2C2C" w:rsidRPr="00EC5E1C" w:rsidRDefault="00EA2C2C" w:rsidP="00EA2C2C">
      <w:pPr>
        <w:pStyle w:val="NormalHanging12a"/>
      </w:pPr>
      <w:r w:rsidRPr="00EC5E1C">
        <w:t>–</w:t>
      </w:r>
      <w:r w:rsidRPr="00EC5E1C">
        <w:tab/>
        <w:t>ņemot vērā lēmumu par Eiropas Slimību profilakses un kontroles centra 2024. finanšu gada budžeta izpildes apstiprināšanu,</w:t>
      </w:r>
    </w:p>
    <w:p w14:paraId="451CFC6E" w14:textId="77777777" w:rsidR="00EA2C2C" w:rsidRPr="00EC5E1C" w:rsidRDefault="00EA2C2C" w:rsidP="00EA2C2C">
      <w:pPr>
        <w:pStyle w:val="NormalHanging12a"/>
      </w:pPr>
      <w:r w:rsidRPr="00EC5E1C">
        <w:t>–</w:t>
      </w:r>
      <w:r w:rsidRPr="00EC5E1C">
        <w:tab/>
        <w:t>ņemot vērā lēmumu par Eiropas Ķimikāliju aģentūras 2024. finanšu gada budžeta izpildes apstiprināšanu,</w:t>
      </w:r>
    </w:p>
    <w:p w14:paraId="040CE64D" w14:textId="77777777" w:rsidR="00EA2C2C" w:rsidRPr="00EC5E1C" w:rsidRDefault="00EA2C2C" w:rsidP="00EA2C2C">
      <w:pPr>
        <w:pStyle w:val="NormalHanging12a"/>
      </w:pPr>
      <w:r w:rsidRPr="00EC5E1C">
        <w:t>–</w:t>
      </w:r>
      <w:r w:rsidRPr="00EC5E1C">
        <w:tab/>
        <w:t>ņemot vērā lēmumu par Eiropas Vides aģentūras 2024. finanšu gada budžeta izpildes apstiprināšanu,</w:t>
      </w:r>
    </w:p>
    <w:p w14:paraId="7DEBBF62" w14:textId="77777777" w:rsidR="00EA2C2C" w:rsidRPr="00EC5E1C" w:rsidRDefault="00EA2C2C" w:rsidP="00EA2C2C">
      <w:pPr>
        <w:pStyle w:val="NormalHanging12a"/>
      </w:pPr>
      <w:r w:rsidRPr="00EC5E1C">
        <w:t>–</w:t>
      </w:r>
      <w:r w:rsidRPr="00EC5E1C">
        <w:tab/>
        <w:t>ņemot vērā lēmumu par Eiropas Zivsaimniecības kontroles aģentūras 2024. finanšu gada budžeta izpildes apstiprināšanu,</w:t>
      </w:r>
    </w:p>
    <w:p w14:paraId="581A0145" w14:textId="77777777" w:rsidR="00EA2C2C" w:rsidRPr="00EC5E1C" w:rsidRDefault="00EA2C2C" w:rsidP="00EA2C2C">
      <w:pPr>
        <w:pStyle w:val="NormalHanging12a"/>
      </w:pPr>
      <w:r w:rsidRPr="00EC5E1C">
        <w:t>–</w:t>
      </w:r>
      <w:r w:rsidRPr="00EC5E1C">
        <w:tab/>
        <w:t>ņemot vērā lēmumu par Eiropas Pārtikas nekaitīguma iestādes 2024. finanšu gada budžeta izpildes apstiprināšanu,</w:t>
      </w:r>
    </w:p>
    <w:p w14:paraId="78AF98D8" w14:textId="77777777" w:rsidR="00EA2C2C" w:rsidRPr="00EC5E1C" w:rsidRDefault="00EA2C2C" w:rsidP="00EA2C2C">
      <w:pPr>
        <w:pStyle w:val="NormalHanging12a"/>
      </w:pPr>
      <w:r w:rsidRPr="00EC5E1C">
        <w:t>–</w:t>
      </w:r>
      <w:r w:rsidRPr="00EC5E1C">
        <w:tab/>
        <w:t>ņemot vērā lēmumu par Eiropas Dzimumu līdztiesības institūta 2024. finanšu gada budžeta izpildes apstiprināšanu,</w:t>
      </w:r>
    </w:p>
    <w:p w14:paraId="03877C13" w14:textId="77777777" w:rsidR="00EA2C2C" w:rsidRPr="00EC5E1C" w:rsidRDefault="00EA2C2C" w:rsidP="00EA2C2C">
      <w:pPr>
        <w:pStyle w:val="NormalHanging12a"/>
      </w:pPr>
      <w:r w:rsidRPr="00EC5E1C">
        <w:t>–</w:t>
      </w:r>
      <w:r w:rsidRPr="00EC5E1C">
        <w:tab/>
        <w:t>ņemot vērā lēmumu par Eiropas Apdrošināšanas un aroda pensiju iestādes 2024. finanšu gada budžeta izpildes apstiprināšanu,</w:t>
      </w:r>
    </w:p>
    <w:p w14:paraId="7FAFA410" w14:textId="77777777" w:rsidR="00EA2C2C" w:rsidRPr="00EC5E1C" w:rsidRDefault="00EA2C2C" w:rsidP="00EA2C2C">
      <w:pPr>
        <w:pStyle w:val="NormalHanging12a"/>
      </w:pPr>
      <w:r w:rsidRPr="00EC5E1C">
        <w:t>–</w:t>
      </w:r>
      <w:r w:rsidRPr="00EC5E1C">
        <w:tab/>
        <w:t>ņemot vērā lēmumu par Eiropas Inovāciju un tehnoloģiju institūta 2024. finanšu gada budžeta izpildes apstiprināšanu,</w:t>
      </w:r>
    </w:p>
    <w:p w14:paraId="1035FEBD" w14:textId="77777777" w:rsidR="00EA2C2C" w:rsidRPr="00EC5E1C" w:rsidRDefault="00EA2C2C" w:rsidP="00EA2C2C">
      <w:pPr>
        <w:pStyle w:val="NormalHanging12a"/>
      </w:pPr>
      <w:r w:rsidRPr="00EC5E1C">
        <w:t>–</w:t>
      </w:r>
      <w:r w:rsidRPr="00EC5E1C">
        <w:tab/>
        <w:t>ņemot vērā lēmumu par Eiropas Darba iestādes 2024. finanšu gada budžeta izpildes apstiprināšanu,</w:t>
      </w:r>
    </w:p>
    <w:p w14:paraId="027A5522" w14:textId="77777777" w:rsidR="00EA2C2C" w:rsidRPr="00EC5E1C" w:rsidRDefault="00EA2C2C" w:rsidP="00EA2C2C">
      <w:pPr>
        <w:pStyle w:val="NormalHanging12a"/>
      </w:pPr>
      <w:r w:rsidRPr="00EC5E1C">
        <w:lastRenderedPageBreak/>
        <w:t>–</w:t>
      </w:r>
      <w:r w:rsidRPr="00EC5E1C">
        <w:tab/>
        <w:t>ņemot vērā lēmumu par Eiropas Zāļu aģentūras 2024. finanšu gada budžeta izpildes apstiprināšanu,</w:t>
      </w:r>
    </w:p>
    <w:p w14:paraId="2A209CDF" w14:textId="77777777" w:rsidR="00EA2C2C" w:rsidRPr="00EC5E1C" w:rsidRDefault="00EA2C2C" w:rsidP="00EA2C2C">
      <w:pPr>
        <w:pStyle w:val="NormalHanging12a"/>
      </w:pPr>
      <w:r w:rsidRPr="00EC5E1C">
        <w:t>–</w:t>
      </w:r>
      <w:r w:rsidRPr="00EC5E1C">
        <w:tab/>
        <w:t>ņemot vērā lēmumu par Eiropas Savienības Narkotiku aģentūras 2024. finanšu gada budžeta izpildes apstiprināšanu,</w:t>
      </w:r>
    </w:p>
    <w:p w14:paraId="402ECE3D" w14:textId="77777777" w:rsidR="00EA2C2C" w:rsidRPr="00EC5E1C" w:rsidRDefault="00EA2C2C" w:rsidP="00EA2C2C">
      <w:pPr>
        <w:pStyle w:val="NormalHanging12a"/>
      </w:pPr>
      <w:r w:rsidRPr="00EC5E1C">
        <w:t>–</w:t>
      </w:r>
      <w:r w:rsidRPr="00EC5E1C">
        <w:tab/>
        <w:t>ņemot vērā lēmumu par Eiropas Jūras drošības aģentūras 2024. finanšu gada budžeta izpildes apstiprināšanu,</w:t>
      </w:r>
    </w:p>
    <w:p w14:paraId="5EAABF9E" w14:textId="77777777" w:rsidR="00EA2C2C" w:rsidRPr="00EC5E1C" w:rsidRDefault="00EA2C2C" w:rsidP="00EA2C2C">
      <w:pPr>
        <w:pStyle w:val="NormalHanging12a"/>
      </w:pPr>
      <w:r w:rsidRPr="00EC5E1C">
        <w:t>–</w:t>
      </w:r>
      <w:r w:rsidRPr="00EC5E1C">
        <w:tab/>
        <w:t xml:space="preserve">ņemot vērā lēmumu par Eiropas Savienības </w:t>
      </w:r>
      <w:proofErr w:type="spellStart"/>
      <w:r w:rsidRPr="00EC5E1C">
        <w:t>Kiberdrošības</w:t>
      </w:r>
      <w:proofErr w:type="spellEnd"/>
      <w:r w:rsidRPr="00EC5E1C">
        <w:t xml:space="preserve"> aģentūras 2024. finanšu gada budžeta izpildes apstiprināšanu,</w:t>
      </w:r>
    </w:p>
    <w:p w14:paraId="5785F8D9" w14:textId="77777777" w:rsidR="00EA2C2C" w:rsidRPr="00EC5E1C" w:rsidRDefault="00EA2C2C" w:rsidP="00EA2C2C">
      <w:pPr>
        <w:pStyle w:val="NormalHanging12a"/>
      </w:pPr>
      <w:r w:rsidRPr="00EC5E1C">
        <w:t>–</w:t>
      </w:r>
      <w:r w:rsidRPr="00EC5E1C">
        <w:tab/>
        <w:t>ņemot vērā lēmumu par Eiropas Savienības Dzelzceļu aģentūras 2024. finanšu gada budžeta izpildes apstiprināšanu,</w:t>
      </w:r>
    </w:p>
    <w:p w14:paraId="49A87E9D" w14:textId="77777777" w:rsidR="00EA2C2C" w:rsidRPr="00EC5E1C" w:rsidRDefault="00EA2C2C" w:rsidP="00EA2C2C">
      <w:pPr>
        <w:pStyle w:val="NormalHanging12a"/>
      </w:pPr>
      <w:r w:rsidRPr="00EC5E1C">
        <w:t>–</w:t>
      </w:r>
      <w:r w:rsidRPr="00EC5E1C">
        <w:tab/>
        <w:t xml:space="preserve">ņemot vērā lēmumu par </w:t>
      </w:r>
      <w:r w:rsidRPr="00EC5E1C">
        <w:rPr>
          <w:i/>
          <w:iCs/>
        </w:rPr>
        <w:t>Euratom</w:t>
      </w:r>
      <w:r w:rsidRPr="00EC5E1C">
        <w:t xml:space="preserve"> Apgādes aģentūras 2024. finanšu gada budžeta izpildes apstiprināšanu,</w:t>
      </w:r>
    </w:p>
    <w:p w14:paraId="600E2872" w14:textId="77777777" w:rsidR="00EA2C2C" w:rsidRPr="00EC5E1C" w:rsidRDefault="00EA2C2C" w:rsidP="00EA2C2C">
      <w:pPr>
        <w:pStyle w:val="NormalHanging12a"/>
      </w:pPr>
      <w:r w:rsidRPr="00EC5E1C">
        <w:t>–</w:t>
      </w:r>
      <w:r w:rsidRPr="00EC5E1C">
        <w:tab/>
        <w:t>ņemot vērā lēmumu par Eiropas Vērtspapīru un tirgu iestādes 2024. finanšu gada budžeta izpildes apstiprināšanu,</w:t>
      </w:r>
    </w:p>
    <w:p w14:paraId="1A328E55" w14:textId="77777777" w:rsidR="00EA2C2C" w:rsidRPr="00EC5E1C" w:rsidRDefault="00EA2C2C" w:rsidP="00EA2C2C">
      <w:pPr>
        <w:pStyle w:val="NormalHanging12a"/>
      </w:pPr>
      <w:r w:rsidRPr="00EC5E1C">
        <w:t>–</w:t>
      </w:r>
      <w:r w:rsidRPr="00EC5E1C">
        <w:tab/>
        <w:t>ņemot vērā lēmumu par Eiropas Izglītības fonda 2024. finanšu gada budžeta izpildes apstiprināšanu,</w:t>
      </w:r>
    </w:p>
    <w:p w14:paraId="208B2274" w14:textId="77777777" w:rsidR="00EA2C2C" w:rsidRPr="00EC5E1C" w:rsidRDefault="00EA2C2C" w:rsidP="00EA2C2C">
      <w:pPr>
        <w:pStyle w:val="NormalHanging12a"/>
      </w:pPr>
      <w:r w:rsidRPr="00EC5E1C">
        <w:t>–</w:t>
      </w:r>
      <w:r w:rsidRPr="00EC5E1C">
        <w:tab/>
        <w:t>ņemot vērā lēmumu par Eiropas Savienības Patvēruma aģentūras 2024. finanšu gada budžeta izpildes apstiprināšanu,</w:t>
      </w:r>
    </w:p>
    <w:p w14:paraId="14B5923C" w14:textId="77777777" w:rsidR="00EA2C2C" w:rsidRPr="00EC5E1C" w:rsidRDefault="00EA2C2C" w:rsidP="00EA2C2C">
      <w:pPr>
        <w:pStyle w:val="NormalHanging12a"/>
      </w:pPr>
      <w:r w:rsidRPr="00EC5E1C">
        <w:t>–</w:t>
      </w:r>
      <w:r w:rsidRPr="00EC5E1C">
        <w:tab/>
        <w:t xml:space="preserve">ņemot vērā lēmumu par Eiropas Savienības Aģentūras </w:t>
      </w:r>
      <w:proofErr w:type="spellStart"/>
      <w:r w:rsidRPr="00EC5E1C">
        <w:t>lielapjoma</w:t>
      </w:r>
      <w:proofErr w:type="spellEnd"/>
      <w:r w:rsidRPr="00EC5E1C">
        <w:t xml:space="preserve"> IT sistēmu darbības pārvaldībai brīvības, drošības un tiesiskuma telpā 2024. finanšu gada budžeta izpildes apstiprināšanu,</w:t>
      </w:r>
    </w:p>
    <w:p w14:paraId="14B7D653" w14:textId="77777777" w:rsidR="00EA2C2C" w:rsidRPr="00EC5E1C" w:rsidRDefault="00EA2C2C" w:rsidP="00EA2C2C">
      <w:pPr>
        <w:pStyle w:val="NormalHanging12a"/>
      </w:pPr>
      <w:r w:rsidRPr="00EC5E1C">
        <w:t>–</w:t>
      </w:r>
      <w:r w:rsidRPr="00EC5E1C">
        <w:tab/>
        <w:t>ņemot vērā lēmumu par Eiropas Darba drošības un veselības aizsardzības aģentūras 2024. finanšu gada budžeta izpildes apstiprināšanu,</w:t>
      </w:r>
    </w:p>
    <w:p w14:paraId="6BA5EF6A" w14:textId="77777777" w:rsidR="00EA2C2C" w:rsidRPr="00EC5E1C" w:rsidRDefault="00EA2C2C" w:rsidP="00EA2C2C">
      <w:pPr>
        <w:pStyle w:val="NormalHanging12a"/>
      </w:pPr>
      <w:r w:rsidRPr="00EC5E1C">
        <w:t>–</w:t>
      </w:r>
      <w:r w:rsidRPr="00EC5E1C">
        <w:tab/>
        <w:t>ņemot vērā lēmumu par Eiropas Dzīves un darba apstākļu uzlabošanas fonda 2024. finanšu gada budžeta izpildes apstiprināšanu,</w:t>
      </w:r>
    </w:p>
    <w:p w14:paraId="57DE975D" w14:textId="77777777" w:rsidR="00EA2C2C" w:rsidRPr="00EC5E1C" w:rsidRDefault="00EA2C2C" w:rsidP="00EA2C2C">
      <w:pPr>
        <w:pStyle w:val="NormalHanging12a"/>
      </w:pPr>
      <w:r w:rsidRPr="00EC5E1C">
        <w:t>–</w:t>
      </w:r>
      <w:r w:rsidRPr="00EC5E1C">
        <w:tab/>
        <w:t>ņemot vērā lēmumu par Eiropas Savienības Aģentūras tiesu iestāžu sadarbībai krimināllietās 2024. finanšu gada budžeta izpildes apstiprināšanu,</w:t>
      </w:r>
    </w:p>
    <w:p w14:paraId="1161AD52" w14:textId="77777777" w:rsidR="00EA2C2C" w:rsidRPr="00EC5E1C" w:rsidRDefault="00EA2C2C" w:rsidP="00EA2C2C">
      <w:pPr>
        <w:pStyle w:val="NormalHanging12a"/>
      </w:pPr>
      <w:r w:rsidRPr="00EC5E1C">
        <w:t>–</w:t>
      </w:r>
      <w:r w:rsidRPr="00EC5E1C">
        <w:tab/>
        <w:t>ņemot vērā lēmumu par Eiropas Savienības Aģentūras tiesībaizsardzības sadarbībai 2024. finanšu gada budžeta izpildes apstiprināšanu,</w:t>
      </w:r>
    </w:p>
    <w:p w14:paraId="6B42D0CB" w14:textId="77777777" w:rsidR="00EA2C2C" w:rsidRPr="00EC5E1C" w:rsidRDefault="00EA2C2C" w:rsidP="00EA2C2C">
      <w:pPr>
        <w:pStyle w:val="NormalHanging12a"/>
      </w:pPr>
      <w:r w:rsidRPr="00EC5E1C">
        <w:t>–</w:t>
      </w:r>
      <w:r w:rsidRPr="00EC5E1C">
        <w:tab/>
        <w:t>ņemot vērā lēmumu par Eiropas Savienības Kosmosa programmas aģentūras 2024. finanšu gada budžeta izpildes apstiprināšanu,</w:t>
      </w:r>
    </w:p>
    <w:p w14:paraId="7D50E9D0" w14:textId="77777777" w:rsidR="00EA2C2C" w:rsidRPr="00EC5E1C" w:rsidRDefault="00EA2C2C" w:rsidP="00EA2C2C">
      <w:pPr>
        <w:pStyle w:val="NormalHanging12a"/>
      </w:pPr>
      <w:r w:rsidRPr="00EC5E1C">
        <w:t>–</w:t>
      </w:r>
      <w:r w:rsidRPr="00EC5E1C">
        <w:tab/>
        <w:t xml:space="preserve">ņemot vērā lēmumu par Eiropas Savienības </w:t>
      </w:r>
      <w:proofErr w:type="spellStart"/>
      <w:r w:rsidRPr="00EC5E1C">
        <w:t>Pamattiesību</w:t>
      </w:r>
      <w:proofErr w:type="spellEnd"/>
      <w:r w:rsidRPr="00EC5E1C">
        <w:t xml:space="preserve"> aģentūras 2024. finanšu gada budžeta izpildes apstiprināšanu,</w:t>
      </w:r>
    </w:p>
    <w:p w14:paraId="2426CA53" w14:textId="77777777" w:rsidR="00EA2C2C" w:rsidRPr="00EC5E1C" w:rsidRDefault="00EA2C2C" w:rsidP="00EA2C2C">
      <w:pPr>
        <w:pStyle w:val="NormalHanging12a"/>
      </w:pPr>
      <w:r w:rsidRPr="00EC5E1C">
        <w:t>–</w:t>
      </w:r>
      <w:r w:rsidRPr="00EC5E1C">
        <w:tab/>
        <w:t>ņemot vērā lēmumu par Eiropas Robežu un krasta apsardzes aģentūras 2024. finanšu gada budžeta izpildes apstiprināšanu,</w:t>
      </w:r>
    </w:p>
    <w:p w14:paraId="7F2C8C12" w14:textId="77777777" w:rsidR="00EA2C2C" w:rsidRPr="00EC5E1C" w:rsidRDefault="00EA2C2C" w:rsidP="00EA2C2C">
      <w:pPr>
        <w:pStyle w:val="NormalHanging12a"/>
      </w:pPr>
      <w:r w:rsidRPr="00EC5E1C">
        <w:t>–</w:t>
      </w:r>
      <w:r w:rsidRPr="00EC5E1C">
        <w:tab/>
        <w:t>ņemot vērā Reglamenta 102. pantu un V pielikumu,</w:t>
      </w:r>
    </w:p>
    <w:p w14:paraId="6B067809" w14:textId="77777777" w:rsidR="00EA2C2C" w:rsidRPr="00EC5E1C" w:rsidRDefault="00EA2C2C" w:rsidP="00EA2C2C">
      <w:pPr>
        <w:pStyle w:val="NormalHanging12a"/>
      </w:pPr>
      <w:r w:rsidRPr="00EC5E1C">
        <w:lastRenderedPageBreak/>
        <w:t>–</w:t>
      </w:r>
      <w:r w:rsidRPr="00EC5E1C">
        <w:tab/>
        <w:t xml:space="preserve">ņemot vērā Nodarbinātības un sociālo lietu komitejas, Vides, klimata un pārtikas nekaitīguma komitejas, Sabiedrības veselības komitejas, Transporta un tūrisma komitejas, Zivsaimniecības komitejas, Pilsoņu brīvību, tieslietu un </w:t>
      </w:r>
      <w:proofErr w:type="spellStart"/>
      <w:r w:rsidRPr="00EC5E1C">
        <w:t>iekšlietu</w:t>
      </w:r>
      <w:proofErr w:type="spellEnd"/>
      <w:r w:rsidRPr="00EC5E1C">
        <w:t xml:space="preserve"> komitejas un Sieviešu tiesību un dzimumu līdztiesības komitejas atzinumus,</w:t>
      </w:r>
    </w:p>
    <w:p w14:paraId="7237E7E1" w14:textId="77777777" w:rsidR="00EA2C2C" w:rsidRPr="00EC5E1C" w:rsidRDefault="00EA2C2C" w:rsidP="00EA2C2C">
      <w:pPr>
        <w:pStyle w:val="NormalHanging12a"/>
      </w:pPr>
      <w:r w:rsidRPr="00EC5E1C">
        <w:t>–</w:t>
      </w:r>
      <w:r w:rsidRPr="00EC5E1C">
        <w:tab/>
        <w:t>ņemot vērā Budžeta kontroles komitejas ziņojumu (A10-0087/2026),</w:t>
      </w:r>
    </w:p>
    <w:p w14:paraId="65C79141" w14:textId="77777777" w:rsidR="00EA2C2C" w:rsidRPr="00EC5E1C" w:rsidRDefault="00EA2C2C" w:rsidP="00EA2C2C">
      <w:pPr>
        <w:pStyle w:val="NormalHanging12a"/>
      </w:pPr>
      <w:r w:rsidRPr="00EC5E1C">
        <w:t>A.</w:t>
      </w:r>
      <w:r w:rsidRPr="00EC5E1C">
        <w:tab/>
        <w:t xml:space="preserve">tā kā Savienības decentralizētās aģentūras, </w:t>
      </w:r>
      <w:proofErr w:type="spellStart"/>
      <w:r w:rsidRPr="00EC5E1C">
        <w:t>izpildaģentūras</w:t>
      </w:r>
      <w:proofErr w:type="spellEnd"/>
      <w:r w:rsidRPr="00EC5E1C">
        <w:t xml:space="preserve"> un citas struktūras ir atsevišķas juridiskas personas, kas izveidotas, lai pildītu īpašus tehniskus, zinātniskus vai pārvaldības uzdevumus, kuri palīdz Savienības iestādēm izstrādāt un īstenot politikas virzienus; tā kā tās atrodas dažādās dalībvalstīs un nozīmīgi ietekmē Savienības iedzīvotāju ikdienas dzīvei būtiskas jomas, tādas kā veselība, drošība, drošums, brīvība un tiesiskums; atgādina, ka budžeta izpildes apstiprināšanas procedūra ir ne tikai tehniskās grāmatvedības procedūra, bet arī demokrātiskās </w:t>
      </w:r>
      <w:proofErr w:type="spellStart"/>
      <w:r w:rsidRPr="00EC5E1C">
        <w:t>pārskatatbildības</w:t>
      </w:r>
      <w:proofErr w:type="spellEnd"/>
      <w:r w:rsidRPr="00EC5E1C">
        <w:t xml:space="preserve"> </w:t>
      </w:r>
      <w:proofErr w:type="spellStart"/>
      <w:r w:rsidRPr="00EC5E1C">
        <w:t>pamatinstruments</w:t>
      </w:r>
      <w:proofErr w:type="spellEnd"/>
      <w:r w:rsidRPr="00EC5E1C">
        <w:t>, ar kura palīdzību Parlaments novērtē, vai Savienības struktūras darbojas saskaņā ar pareizas finanšu pārvaldības principiem;</w:t>
      </w:r>
    </w:p>
    <w:p w14:paraId="341C67D2" w14:textId="77777777" w:rsidR="00EA2C2C" w:rsidRPr="00EC5E1C" w:rsidRDefault="00EA2C2C" w:rsidP="00EA2C2C">
      <w:pPr>
        <w:pStyle w:val="NormalHanging12a"/>
      </w:pPr>
      <w:r w:rsidRPr="00EC5E1C">
        <w:t>B.</w:t>
      </w:r>
      <w:r w:rsidRPr="00EC5E1C">
        <w:tab/>
        <w:t xml:space="preserve">tā kā šajā rezolūcijā ir iekļauti horizontāli konstatējumi, kas attiecas uz visām struktūrām Regulas (ES, </w:t>
      </w:r>
      <w:r w:rsidRPr="00EC5E1C">
        <w:rPr>
          <w:i/>
          <w:iCs/>
        </w:rPr>
        <w:t>Euratom</w:t>
      </w:r>
      <w:r w:rsidRPr="00EC5E1C">
        <w:t xml:space="preserve">) 2024/2509 70. panta nozīmē un uz </w:t>
      </w:r>
      <w:r w:rsidRPr="00EC5E1C">
        <w:rPr>
          <w:i/>
          <w:iCs/>
        </w:rPr>
        <w:t>Euratom</w:t>
      </w:r>
      <w:r w:rsidRPr="00EC5E1C">
        <w:t xml:space="preserve"> Apgādes aģentūru un kas ir daļa no lēmumiem par budžeta izpildes apstiprināšanu saskaņā ar Regulas (ES, </w:t>
      </w:r>
      <w:r w:rsidRPr="00EC5E1C">
        <w:rPr>
          <w:i/>
          <w:iCs/>
        </w:rPr>
        <w:t>Euratom</w:t>
      </w:r>
      <w:r w:rsidRPr="00EC5E1C">
        <w:t>) 2024/2509 268. pantu un Parlamenta Reglamenta V pielikuma 3. punktu;</w:t>
      </w:r>
    </w:p>
    <w:p w14:paraId="40C7AAC5" w14:textId="77777777" w:rsidR="00EA2C2C" w:rsidRPr="00EC5E1C" w:rsidRDefault="00EA2C2C" w:rsidP="00EA2C2C">
      <w:pPr>
        <w:pStyle w:val="NormalHanging12a"/>
      </w:pPr>
      <w:r w:rsidRPr="00EC5E1C">
        <w:t>C.</w:t>
      </w:r>
      <w:r w:rsidRPr="00EC5E1C">
        <w:tab/>
        <w:t xml:space="preserve">tā kā Savienības decentralizētajām aģentūrām un </w:t>
      </w:r>
      <w:r w:rsidRPr="00EC5E1C">
        <w:rPr>
          <w:i/>
          <w:iCs/>
        </w:rPr>
        <w:t>Euratom</w:t>
      </w:r>
      <w:r w:rsidRPr="00EC5E1C">
        <w:t xml:space="preserve"> Apgādes aģentūrai būtu jākoncentrējas uz uzdevumiem ar acīmredzamu Eiropas pievienoto vērtību un šādu uzdevumu izpildes organizēšana būtu jāoptimizē, lai Savienības nodokļu maksātāju interesēs izvairītos no darbības pārklāšanās;</w:t>
      </w:r>
    </w:p>
    <w:p w14:paraId="46EF2C58" w14:textId="77777777" w:rsidR="00EA2C2C" w:rsidRPr="00EC5E1C" w:rsidRDefault="00EA2C2C" w:rsidP="00EA2C2C">
      <w:pPr>
        <w:pStyle w:val="NormalHanging12a"/>
      </w:pPr>
      <w:r w:rsidRPr="00EC5E1C">
        <w:t>D.</w:t>
      </w:r>
      <w:r w:rsidRPr="00EC5E1C">
        <w:tab/>
        <w:t xml:space="preserve">tā kā saistībā ar budžeta izpildes apstiprināšanas procedūru budžeta izpildes </w:t>
      </w:r>
      <w:proofErr w:type="spellStart"/>
      <w:r w:rsidRPr="00EC5E1C">
        <w:t>apstiprinātājiestāde</w:t>
      </w:r>
      <w:proofErr w:type="spellEnd"/>
      <w:r w:rsidRPr="00EC5E1C">
        <w:t xml:space="preserve"> vēlas uzsvērt, ka ir īpaši svarīgi vēl vairāk pastiprināt Savienības iestāžu demokrātisko leģitimitāti; tā kā šajā sakarībā ir nepieciešama </w:t>
      </w:r>
      <w:proofErr w:type="spellStart"/>
      <w:r w:rsidRPr="00EC5E1C">
        <w:t>pārredzamības</w:t>
      </w:r>
      <w:proofErr w:type="spellEnd"/>
      <w:r w:rsidRPr="00EC5E1C">
        <w:t xml:space="preserve"> un </w:t>
      </w:r>
      <w:proofErr w:type="spellStart"/>
      <w:r w:rsidRPr="00EC5E1C">
        <w:t>pārskatatbildības</w:t>
      </w:r>
      <w:proofErr w:type="spellEnd"/>
      <w:r w:rsidRPr="00EC5E1C">
        <w:t xml:space="preserve"> palielināšana, kā arī uz sniegumu balstīta budžeta izstrāde un labas cilvēkresursu pārvaldības nodrošināšana;</w:t>
      </w:r>
    </w:p>
    <w:p w14:paraId="60851192" w14:textId="77777777" w:rsidR="00EA2C2C" w:rsidRPr="00EC5E1C" w:rsidRDefault="00EA2C2C" w:rsidP="00EA2C2C">
      <w:pPr>
        <w:pStyle w:val="NormalHanging12a"/>
      </w:pPr>
      <w:r w:rsidRPr="00EC5E1C">
        <w:t>E.</w:t>
      </w:r>
      <w:r w:rsidRPr="00EC5E1C">
        <w:tab/>
        <w:t>tā kā Savienības darbība budžeta kontroles jomā ir balstīta uz diviem principiem: no vienas puses, uz Savienības budžeta pienācīga un pārredzama izlietojuma nodrošināšanu un, no otras puses, uz Savienības finanšu interešu aizsardzību un krāpšanas apkarošanu;</w:t>
      </w:r>
    </w:p>
    <w:p w14:paraId="6BFFF391" w14:textId="77777777" w:rsidR="00EA2C2C" w:rsidRPr="00EC5E1C" w:rsidRDefault="00EA2C2C" w:rsidP="00EA2C2C">
      <w:pPr>
        <w:pStyle w:val="NormalHanging12a"/>
      </w:pPr>
      <w:r w:rsidRPr="00EC5E1C">
        <w:t>F.</w:t>
      </w:r>
      <w:r w:rsidRPr="00EC5E1C">
        <w:tab/>
        <w:t>tā kā 2012. gadā Eiropas Parlaments, Eiropas Savienības Padome un Eiropas Komisija pieņēma Kopīgo paziņojumu</w:t>
      </w:r>
      <w:r w:rsidRPr="00EC5E1C">
        <w:rPr>
          <w:vertAlign w:val="superscript"/>
        </w:rPr>
        <w:footnoteReference w:id="397"/>
      </w:r>
      <w:r w:rsidRPr="00EC5E1C">
        <w:t xml:space="preserve"> un visaptverošu pamatprincipu kopumu – Vienoto pieeju tā pielikumā –, lai aģentūras darbotos saskaņotāk, efektīvāk un </w:t>
      </w:r>
      <w:proofErr w:type="spellStart"/>
      <w:r w:rsidRPr="00EC5E1C">
        <w:t>atbildīgāk</w:t>
      </w:r>
      <w:proofErr w:type="spellEnd"/>
      <w:r w:rsidRPr="00EC5E1C">
        <w:t>; tā kā Komisija apņēmās veikt turpmākus pasākumus saistībā ar šo vienošanos, vajadzības gadījumā sadarbojoties ar aģentūrām;</w:t>
      </w:r>
    </w:p>
    <w:p w14:paraId="552FE03C" w14:textId="77777777" w:rsidR="00EA2C2C" w:rsidRPr="00EC5E1C" w:rsidRDefault="00EA2C2C" w:rsidP="00EA2C2C">
      <w:pPr>
        <w:pStyle w:val="NormalHanging12a"/>
      </w:pPr>
      <w:r w:rsidRPr="00EC5E1C">
        <w:t>G.</w:t>
      </w:r>
      <w:r w:rsidRPr="00EC5E1C">
        <w:tab/>
        <w:t xml:space="preserve">tā kā, apzinoties Kopīgā paziņojuma un tā pielikumā iekļautās Vienotās pieejas juridiski nesaistošo raksturu un neskarot savus pienākumus likumdošanas un gada budžeta procedūrās, iestādes šo vienoto pieeju ņems vērā saistībā ar saviem turpmākajiem </w:t>
      </w:r>
      <w:r w:rsidRPr="00EC5E1C">
        <w:lastRenderedPageBreak/>
        <w:t>lēmumiem attiecībā uz Savienības decentralizētajām aģentūrām, skatot katru gadījumu atsevišķi,</w:t>
      </w:r>
    </w:p>
    <w:p w14:paraId="28BA40A1" w14:textId="77777777" w:rsidR="00EA2C2C" w:rsidRPr="00EC5E1C" w:rsidRDefault="00EA2C2C" w:rsidP="00EA2C2C">
      <w:pPr>
        <w:pStyle w:val="NormalHanging12a"/>
      </w:pPr>
      <w:r w:rsidRPr="00EC5E1C">
        <w:t>H.</w:t>
      </w:r>
      <w:r w:rsidRPr="00EC5E1C">
        <w:tab/>
        <w:t xml:space="preserve">tā kā par 2024. finanšu gadu Revīzijas palāta sniedza atzinumus bez </w:t>
      </w:r>
      <w:proofErr w:type="spellStart"/>
      <w:r w:rsidRPr="00EC5E1C">
        <w:t>iebildēm</w:t>
      </w:r>
      <w:proofErr w:type="spellEnd"/>
      <w:r w:rsidRPr="00EC5E1C">
        <w:t xml:space="preserve"> gandrīz visām aģentūrām; tā kā augstu pareizas finanšu pārvaldības standartu, efektīvu iekšējās kontroles sistēmu un budžeta disciplīnas saglabāšana joprojām ir būtiska, lai nodrošinātu Savienības līdzekļu pareizu un pārredzamu izmantošanu un stiprinātu iedzīvotāju uzticēšanos Savienības iestādēm;</w:t>
      </w:r>
    </w:p>
    <w:p w14:paraId="0C4E2A5F" w14:textId="77777777" w:rsidR="00EA2C2C" w:rsidRPr="00EC5E1C" w:rsidRDefault="00EA2C2C" w:rsidP="00EA2C2C">
      <w:pPr>
        <w:pStyle w:val="NormalHanging12a"/>
      </w:pPr>
      <w:r w:rsidRPr="00EC5E1C">
        <w:t>I.</w:t>
      </w:r>
      <w:r w:rsidRPr="00EC5E1C">
        <w:tab/>
        <w:t xml:space="preserve">tā kā Savienības aģentūru atbildības joma pēdējos gados ir paplašinājusies; tā kā ir vajadzīgi pienācīgi un paredzami resursi apvienojumā ar stabilām pārvaldības struktūrām un skaidriem </w:t>
      </w:r>
      <w:proofErr w:type="spellStart"/>
      <w:r w:rsidRPr="00EC5E1C">
        <w:t>pārskatatbildības</w:t>
      </w:r>
      <w:proofErr w:type="spellEnd"/>
      <w:r w:rsidRPr="00EC5E1C">
        <w:t xml:space="preserve"> mehānismiem, lai tās varētu efektīvi īstenot savas pilnvaras un aizsargāt Savienības uzticamību;</w:t>
      </w:r>
    </w:p>
    <w:p w14:paraId="2DBC35BC" w14:textId="77777777" w:rsidR="00EA2C2C" w:rsidRPr="00EC5E1C" w:rsidRDefault="00EA2C2C" w:rsidP="00EA2C2C">
      <w:pPr>
        <w:pStyle w:val="NormalHanging12a"/>
      </w:pPr>
      <w:r w:rsidRPr="00EC5E1C">
        <w:t>J.</w:t>
      </w:r>
      <w:r w:rsidRPr="00EC5E1C">
        <w:tab/>
        <w:t xml:space="preserve">tā kā </w:t>
      </w:r>
      <w:proofErr w:type="spellStart"/>
      <w:r w:rsidRPr="00EC5E1C">
        <w:t>kiberdrošības</w:t>
      </w:r>
      <w:proofErr w:type="spellEnd"/>
      <w:r w:rsidRPr="00EC5E1C">
        <w:t xml:space="preserve"> incidents, kas 2024. gadā skāra vienu no aģentūrām, liecina par to Savienības struktūru neaizsargātību, kuras rīkojas ar </w:t>
      </w:r>
      <w:proofErr w:type="spellStart"/>
      <w:r w:rsidRPr="00EC5E1C">
        <w:t>sensitīviem</w:t>
      </w:r>
      <w:proofErr w:type="spellEnd"/>
      <w:r w:rsidRPr="00EC5E1C">
        <w:t xml:space="preserve"> datiem; tā kā </w:t>
      </w:r>
      <w:proofErr w:type="spellStart"/>
      <w:r w:rsidRPr="00EC5E1C">
        <w:t>kiberdrošības</w:t>
      </w:r>
      <w:proofErr w:type="spellEnd"/>
      <w:r w:rsidRPr="00EC5E1C">
        <w:t>, darbības nepārtrauktības plānošanas un iekšējās kontroles sistēmu stiprināšana būtu jāuzskata par horizontālu prioritāti visās aģentūrās;</w:t>
      </w:r>
    </w:p>
    <w:p w14:paraId="2866421E" w14:textId="77777777" w:rsidR="00EA2C2C" w:rsidRPr="00EC5E1C" w:rsidRDefault="00EA2C2C" w:rsidP="00EA2C2C">
      <w:pPr>
        <w:pStyle w:val="Normal12Hanging"/>
        <w:rPr>
          <w:b/>
          <w:i/>
          <w:szCs w:val="24"/>
        </w:rPr>
      </w:pPr>
      <w:r w:rsidRPr="00EC5E1C">
        <w:rPr>
          <w:b/>
          <w:i/>
        </w:rPr>
        <w:t>Vispārīgas piezīmes</w:t>
      </w:r>
    </w:p>
    <w:p w14:paraId="7603440C" w14:textId="77777777" w:rsidR="00EA2C2C" w:rsidRPr="00EC5E1C" w:rsidRDefault="00EA2C2C" w:rsidP="00EA2C2C">
      <w:pPr>
        <w:pStyle w:val="NormalHanging12a"/>
      </w:pPr>
      <w:r w:rsidRPr="00EC5E1C">
        <w:t>1.</w:t>
      </w:r>
      <w:r w:rsidRPr="00EC5E1C">
        <w:tab/>
        <w:t xml:space="preserve">norāda, ka ir triju veidu ES aģentūras: decentralizētās aģentūras, </w:t>
      </w:r>
      <w:proofErr w:type="spellStart"/>
      <w:r w:rsidRPr="00EC5E1C">
        <w:t>izpildaģentūras</w:t>
      </w:r>
      <w:proofErr w:type="spellEnd"/>
      <w:r w:rsidRPr="00EC5E1C">
        <w:t xml:space="preserve"> un citas struktūras; atgādina, ka šī rezolūcija attiecas uz 31 no 33 decentralizētajām aģentūrām un divām no pārējām četrām struktūrām (Eiropas Inovāciju un tehnoloģiju institūts (</w:t>
      </w:r>
      <w:r w:rsidRPr="00EC5E1C">
        <w:rPr>
          <w:i/>
          <w:iCs/>
        </w:rPr>
        <w:t>EIT</w:t>
      </w:r>
      <w:r w:rsidRPr="00EC5E1C">
        <w:t xml:space="preserve">) un </w:t>
      </w:r>
      <w:r w:rsidRPr="00EC5E1C">
        <w:rPr>
          <w:i/>
          <w:iCs/>
        </w:rPr>
        <w:t>Euratom</w:t>
      </w:r>
      <w:r w:rsidRPr="00EC5E1C">
        <w:t xml:space="preserve"> Apgādes aģentūra (</w:t>
      </w:r>
      <w:r w:rsidRPr="00EC5E1C">
        <w:rPr>
          <w:i/>
          <w:iCs/>
        </w:rPr>
        <w:t>ESA</w:t>
      </w:r>
      <w:r w:rsidRPr="00EC5E1C">
        <w:t>));</w:t>
      </w:r>
    </w:p>
    <w:p w14:paraId="765687AD" w14:textId="77777777" w:rsidR="00EA2C2C" w:rsidRPr="00EC5E1C" w:rsidRDefault="00EA2C2C" w:rsidP="00EA2C2C">
      <w:pPr>
        <w:pStyle w:val="NormalHanging12a"/>
      </w:pPr>
      <w:r w:rsidRPr="00EC5E1C">
        <w:t>2.</w:t>
      </w:r>
      <w:r w:rsidRPr="00EC5E1C">
        <w:tab/>
        <w:t xml:space="preserve">norāda, ka, lai gan ES aģentūru izveides vai paplašināšanas mērķis ir uzlabot Savienības spējas, ir ļoti svarīgi nodrošināt, ka šā procesa pamatā ir rūpīgi </w:t>
      </w:r>
      <w:proofErr w:type="spellStart"/>
      <w:r w:rsidRPr="00EC5E1C">
        <w:t>izvērtējumi</w:t>
      </w:r>
      <w:proofErr w:type="spellEnd"/>
      <w:r w:rsidRPr="00EC5E1C">
        <w:t xml:space="preserve"> un dziļa analīze, ietekmes novērtējumi un skaidrs pievienotās vērtības apliecinājums; lai varētu mācīties no pieredzes un apsvērt iespēju vajadzības gadījumā izbeigt to pilnvaras; uzsver, ka šāda pieeja ne tikai nodrošinātu labāku regulējumu, bet arī uzlabotu Savienības institucionālās vides efektivitāti, </w:t>
      </w:r>
      <w:proofErr w:type="spellStart"/>
      <w:r w:rsidRPr="00EC5E1C">
        <w:t>pārskatatbildību</w:t>
      </w:r>
      <w:proofErr w:type="spellEnd"/>
      <w:r w:rsidRPr="00EC5E1C">
        <w:t xml:space="preserve">, </w:t>
      </w:r>
      <w:proofErr w:type="spellStart"/>
      <w:r w:rsidRPr="00EC5E1C">
        <w:t>pārredzamību</w:t>
      </w:r>
      <w:proofErr w:type="spellEnd"/>
      <w:r w:rsidRPr="00EC5E1C">
        <w:t xml:space="preserve"> un saskaņotību; uzsver, ka jebkuriem apsvērumiem par aģentūru apvienošanu, konsolidāciju vai pilnvaru izbeigšanu ir jābalstās uz visaptverošu novērtējumu, tādējādi papildinot budžeta vai efektivitātes apsvērumus;</w:t>
      </w:r>
    </w:p>
    <w:p w14:paraId="709FF9D8" w14:textId="77777777" w:rsidR="00EA2C2C" w:rsidRPr="00EC5E1C" w:rsidRDefault="00EA2C2C" w:rsidP="00EA2C2C">
      <w:pPr>
        <w:pStyle w:val="NormalHanging12a"/>
      </w:pPr>
      <w:r w:rsidRPr="00EC5E1C">
        <w:t>3.</w:t>
      </w:r>
      <w:r w:rsidRPr="00EC5E1C">
        <w:tab/>
        <w:t>pauž bažas par Savienības pieaugošo parādu slogu; norāda, ka saskaņā ar Eiropas Revīzijas palātas (“Revīzijas palāta”) gada pārskatu neatmaksātie aizdevumi, ko Savienība aizņēmusies, līdz 2027. gadam varētu pārsniegt 900 miljardus EUR, kas ir gandrīz desmit reizes vairāk nekā parāda līmenis no 2020. gada; brīdina, ka pieaugošās aizņēmumu izmaksas apdraud turpmākos budžetus un mazina jaunām prioritātēm pieejamās fiskālās iespējas;</w:t>
      </w:r>
    </w:p>
    <w:p w14:paraId="4440D95E" w14:textId="77777777" w:rsidR="00EA2C2C" w:rsidRPr="00EC5E1C" w:rsidRDefault="00EA2C2C" w:rsidP="00EA2C2C">
      <w:pPr>
        <w:spacing w:after="240"/>
        <w:ind w:left="567" w:hanging="567"/>
      </w:pPr>
      <w:r w:rsidRPr="00EC5E1C">
        <w:t>4.</w:t>
      </w:r>
      <w:r w:rsidRPr="00EC5E1C">
        <w:tab/>
        <w:t xml:space="preserve">uzsver, ka </w:t>
      </w:r>
      <w:proofErr w:type="spellStart"/>
      <w:r w:rsidRPr="00EC5E1C">
        <w:t>pārredzamība</w:t>
      </w:r>
      <w:proofErr w:type="spellEnd"/>
      <w:r w:rsidRPr="00EC5E1C">
        <w:t xml:space="preserve"> ir ne tikai atbilstības nodrošināšanas pienākums, bet arī priekšnoteikums sabiedrības uzticībai aģentūrām, kurām ir ievērojamas regulatīvās vai darbības pilnvaras; aicina aģentūras savlaicīgi un lietotājdraudzīgā veidā </w:t>
      </w:r>
      <w:proofErr w:type="spellStart"/>
      <w:r w:rsidRPr="00EC5E1C">
        <w:t>proaktīvi</w:t>
      </w:r>
      <w:proofErr w:type="spellEnd"/>
      <w:r w:rsidRPr="00EC5E1C">
        <w:t xml:space="preserve"> publicēt galvenos dokumentus ar nekonfidenciālu saturu, vienlaikus ievērojot proporcionalitātes principu, datu aizsardzības tiesību aktus, ņemot vērā drošības, juridiskās, stratēģiskās un citas attiecīgās bažas un izpildot attiecīgās aģentūras regulu un pilnvaras;</w:t>
      </w:r>
    </w:p>
    <w:p w14:paraId="06DFB568" w14:textId="77777777" w:rsidR="00EA2C2C" w:rsidRPr="00EC5E1C" w:rsidRDefault="00EA2C2C" w:rsidP="00EA2C2C">
      <w:pPr>
        <w:pStyle w:val="NormalHanging12a"/>
      </w:pPr>
      <w:r w:rsidRPr="00EC5E1C">
        <w:t>5.</w:t>
      </w:r>
      <w:r w:rsidRPr="00EC5E1C">
        <w:tab/>
        <w:t xml:space="preserve">atgādina, ka Vienotās pieejas 60. punktā ir noteikts, ka katra aģentūra būtu jāizvērtē ik </w:t>
      </w:r>
      <w:r w:rsidRPr="00EC5E1C">
        <w:lastRenderedPageBreak/>
        <w:t xml:space="preserve">pēc pieciem gadiem; mudina Komisiju izpētīt turpmāku sinerģiju un konsolidāciju darbībās un iespējamu to aģentūru apvienošanu, kuru darbības ir papildinošas, lai nodrošinātu izmaksu lietderību un racionalizētu aģentūru funkcijas, cita starpā eventuāli pārskatot pilnvaras, ja tiek konstatēta </w:t>
      </w:r>
      <w:proofErr w:type="spellStart"/>
      <w:r w:rsidRPr="00EC5E1C">
        <w:t>neefektivitāte</w:t>
      </w:r>
      <w:proofErr w:type="spellEnd"/>
      <w:r w:rsidRPr="00EC5E1C">
        <w:t xml:space="preserve"> vai dublēšanās; uzstāj, ka saskaņā ar proporcionalitātes, efektivitātes un fiskālās atbildības principiem visām ES aģentūrām ir periodiski jāveic darbības rezultātu pārskatīšana; mudina vajadzības gadījumā piemērot </w:t>
      </w:r>
      <w:proofErr w:type="spellStart"/>
      <w:r w:rsidRPr="00EC5E1C">
        <w:t>turpināmības</w:t>
      </w:r>
      <w:proofErr w:type="spellEnd"/>
      <w:r w:rsidRPr="00EC5E1C">
        <w:t xml:space="preserve">/pārskatīšanas klauzulu, lai saglabātu efektivitāti un nodrošinātu resursu optimālu izmantošanu; uzskata, ka budžeta efektivitāte ir būtiska aģentūru darbībai; šajā sakarībā atgādina Īpašajā ziņojumā 22/2020 iekļauto Revīzijas palātas ieteikumu, kurā Komisija tiek aicināta vairāk izmantot aģentūru transversālos novērtējumus saistībā ar Komisijas veiktajām atbilstības pārbaudēm dažādās politikas jomās; norāda, ka Revīzijas palātas Īpašajā ziņojumā 22/2020 ir konstatēts, ka aģentūru izmērāmais ieguldījums Savienības politikas mērķu sasniegšanā ne vienmēr ir skaidri parādīts; uzsver, ka 33 decentralizētās aģentūras pārvalda vairāk nekā 4,1 miljardu EUR un ka papildus atbilstības pārbaudēm Parlaments varētu turpināt apsvērt, kā novērtēt to ietekmi; mudina ziņot par ierobežotu iznākuma un ietekmes rādītāju kopumu un aicina ES aģentūru tīklu sadarbībā ar Revīzijas palātu izpētīt un attiecīgā gadījumā izstrādāt kopīgu snieguma satvaru iesniegšanai budžeta izpildes </w:t>
      </w:r>
      <w:proofErr w:type="spellStart"/>
      <w:r w:rsidRPr="00EC5E1C">
        <w:t>apstiprinātājiestādei</w:t>
      </w:r>
      <w:proofErr w:type="spellEnd"/>
      <w:r w:rsidRPr="00EC5E1C">
        <w:t>;</w:t>
      </w:r>
    </w:p>
    <w:p w14:paraId="4F3F0A7B" w14:textId="77777777" w:rsidR="00EA2C2C" w:rsidRPr="00EC5E1C" w:rsidRDefault="00EA2C2C" w:rsidP="00EA2C2C">
      <w:pPr>
        <w:pStyle w:val="NormalHanging12a"/>
      </w:pPr>
      <w:r w:rsidRPr="00EC5E1C">
        <w:t>6.</w:t>
      </w:r>
      <w:r w:rsidRPr="00EC5E1C">
        <w:tab/>
        <w:t xml:space="preserve">uzsver, ka </w:t>
      </w:r>
      <w:proofErr w:type="spellStart"/>
      <w:r w:rsidRPr="00EC5E1C">
        <w:t>pamattiesību</w:t>
      </w:r>
      <w:proofErr w:type="spellEnd"/>
      <w:r w:rsidRPr="00EC5E1C">
        <w:t xml:space="preserve"> un tiesiskuma ievērošana ir labas darbības un pareizas finanšu pārvaldības priekšnoteikums; uzskata, ka tikai aģentūras, kas nodrošina </w:t>
      </w:r>
      <w:proofErr w:type="spellStart"/>
      <w:r w:rsidRPr="00EC5E1C">
        <w:t>pamattiesību</w:t>
      </w:r>
      <w:proofErr w:type="spellEnd"/>
      <w:r w:rsidRPr="00EC5E1C">
        <w:t xml:space="preserve"> saistību pilnīgu ievērošanu, var uzskatīt par tādām, kas darbojas apmierinoši, neatkarīgi no budžeta izpildes līmeņa;</w:t>
      </w:r>
    </w:p>
    <w:p w14:paraId="4081F743" w14:textId="77777777" w:rsidR="00EA2C2C" w:rsidRPr="00EC5E1C" w:rsidRDefault="00EA2C2C" w:rsidP="00EA2C2C">
      <w:pPr>
        <w:pStyle w:val="NormalHanging12a"/>
      </w:pPr>
      <w:r w:rsidRPr="00EC5E1C">
        <w:t>7.</w:t>
      </w:r>
      <w:r w:rsidRPr="00EC5E1C">
        <w:tab/>
        <w:t xml:space="preserve">aicina visas aģentūras savās attiecīgajās darbībās arī turpmāk nodrošināt </w:t>
      </w:r>
      <w:proofErr w:type="spellStart"/>
      <w:r w:rsidRPr="00EC5E1C">
        <w:t>pamattiesību</w:t>
      </w:r>
      <w:proofErr w:type="spellEnd"/>
      <w:r w:rsidRPr="00EC5E1C">
        <w:t xml:space="preserve"> un datu aizsardzības ievērošanu;</w:t>
      </w:r>
    </w:p>
    <w:p w14:paraId="54F7925D" w14:textId="77777777" w:rsidR="00EA2C2C" w:rsidRPr="00EC5E1C" w:rsidRDefault="00EA2C2C" w:rsidP="00EA2C2C">
      <w:pPr>
        <w:pStyle w:val="NormalHanging12a"/>
      </w:pPr>
      <w:r w:rsidRPr="00EC5E1C">
        <w:t>8.</w:t>
      </w:r>
      <w:r w:rsidRPr="00EC5E1C">
        <w:tab/>
        <w:t xml:space="preserve">uzsver budžeta izpildes apstiprināšanas procedūras nozīmi, jo tā ir ne tikai līgumā noteikts pienākums, bet arī veicina </w:t>
      </w:r>
      <w:proofErr w:type="spellStart"/>
      <w:r w:rsidRPr="00EC5E1C">
        <w:t>pārredzamību</w:t>
      </w:r>
      <w:proofErr w:type="spellEnd"/>
      <w:r w:rsidRPr="00EC5E1C">
        <w:t xml:space="preserve">, </w:t>
      </w:r>
      <w:proofErr w:type="spellStart"/>
      <w:r w:rsidRPr="00EC5E1C">
        <w:t>pārskatatbildību</w:t>
      </w:r>
      <w:proofErr w:type="spellEnd"/>
      <w:r w:rsidRPr="00EC5E1C">
        <w:t xml:space="preserve"> un atklātu dialogu par Savienības finansēm; uzskata, ka prakse sniegt budžeta izpildes apstiprinājumu ar pārvaldības mehānismiem, kas izveidoti ar tādu aģentūru kā Eiropas Savienības Intelektuālā īpašuma birojs (</w:t>
      </w:r>
      <w:r w:rsidRPr="00EC5E1C">
        <w:rPr>
          <w:i/>
          <w:iCs/>
        </w:rPr>
        <w:t>EUIPO</w:t>
      </w:r>
      <w:r w:rsidRPr="00EC5E1C">
        <w:t>), Kopienas Augu šķirņu birojs (</w:t>
      </w:r>
      <w:r w:rsidRPr="00EC5E1C">
        <w:rPr>
          <w:i/>
          <w:iCs/>
        </w:rPr>
        <w:t>CPVO</w:t>
      </w:r>
      <w:r w:rsidRPr="00EC5E1C">
        <w:t xml:space="preserve">) un Vienotā noregulējuma valde (VNV) dibināšanas tiesību aktiem, atspoguļo to konkrēto juridisko un finanšu kārtību un nodrošina pienācīgu novērtēšanu un kontroli, vienlaikus atbalstot </w:t>
      </w:r>
      <w:proofErr w:type="spellStart"/>
      <w:r w:rsidRPr="00EC5E1C">
        <w:t>pārredzamību</w:t>
      </w:r>
      <w:proofErr w:type="spellEnd"/>
      <w:r w:rsidRPr="00EC5E1C">
        <w:t xml:space="preserve"> un publisko </w:t>
      </w:r>
      <w:proofErr w:type="spellStart"/>
      <w:r w:rsidRPr="00EC5E1C">
        <w:t>pārskatatbildību</w:t>
      </w:r>
      <w:proofErr w:type="spellEnd"/>
      <w:r w:rsidRPr="00EC5E1C">
        <w:t xml:space="preserve">; atgādina par vienoto pieeju attiecībā uz pilnībā </w:t>
      </w:r>
      <w:proofErr w:type="spellStart"/>
      <w:r w:rsidRPr="00EC5E1C">
        <w:t>pašfinansētām</w:t>
      </w:r>
      <w:proofErr w:type="spellEnd"/>
      <w:r w:rsidRPr="00EC5E1C">
        <w:t xml:space="preserve"> aģentūrām (58. punkts), kurā aicināts izpētīt demokrātiskās </w:t>
      </w:r>
      <w:proofErr w:type="spellStart"/>
      <w:r w:rsidRPr="00EC5E1C">
        <w:t>pārskatatbildības</w:t>
      </w:r>
      <w:proofErr w:type="spellEnd"/>
      <w:r w:rsidRPr="00EC5E1C">
        <w:t xml:space="preserve"> mehānismus, tostarp ikgadēju ziņošanu Parlamentam, Padomei un Komisijai, kā arī to ieteikumu ņemšanu vērā, lai nodrošinātu publisko kontroli pār aģentūrām, kuras īsteno Savienības politiku, neizmantojot Savienības vispārējo budžetu; tomēr uzskata, ka būtu vēlams, lai pilnībā </w:t>
      </w:r>
      <w:proofErr w:type="spellStart"/>
      <w:r w:rsidRPr="00EC5E1C">
        <w:t>pašfinansētas</w:t>
      </w:r>
      <w:proofErr w:type="spellEnd"/>
      <w:r w:rsidRPr="00EC5E1C">
        <w:t xml:space="preserve"> aģentūras tiktu iekļautas budžeta izpildes apstiprināšanas procedūrā attiecībā uz Budžeta kontroles komitejas pārziņā esošajām aģentūrām vai vismaz tām tiktu noteikti stingrāki ziņošanas pienākumi Budžeta kontroles komitejā;</w:t>
      </w:r>
    </w:p>
    <w:p w14:paraId="38B6EF80" w14:textId="77777777" w:rsidR="00EA2C2C" w:rsidRPr="00EC5E1C" w:rsidRDefault="00EA2C2C" w:rsidP="00EA2C2C">
      <w:pPr>
        <w:pStyle w:val="NormalHanging12a"/>
      </w:pPr>
      <w:r w:rsidRPr="00EC5E1C">
        <w:t>9.</w:t>
      </w:r>
      <w:r w:rsidRPr="00EC5E1C">
        <w:tab/>
        <w:t xml:space="preserve">ar bažām norāda, ka gadu gaitā Savienības decentralizētajām aģentūrām ir uzticēts arvien lielāks uzdevumu skaits, izmantojot pārskatītas regulas, jaunus tiesību aktus vai dienestu līmeņa un deleģēšanas nolīgumus ar Komisiju, bieži vien bez atbilstošiem strukturālajiem resursiem vai pastāvīgām amata vietām; uzsver, ka šī atkārtotā tendence rada darbības spiedienu, kas savukārt varētu veicināt budžeta pārvaldības nepilnības un arvien lielāku strukturālo atkarību no ārējiem līgumslēdzējiem, jo īpaši informācijas un komunikācijas tehnoloģiju (IKT), </w:t>
      </w:r>
      <w:proofErr w:type="spellStart"/>
      <w:r w:rsidRPr="00EC5E1C">
        <w:t>kiberdrošības</w:t>
      </w:r>
      <w:proofErr w:type="spellEnd"/>
      <w:r w:rsidRPr="00EC5E1C">
        <w:t xml:space="preserve"> un citu darbību veicinošu funkciju jomā; brīdina, ka šāda ilgtermiņa atkarība var apdraudēt institucionālās spējas, </w:t>
      </w:r>
      <w:r w:rsidRPr="00EC5E1C">
        <w:lastRenderedPageBreak/>
        <w:t xml:space="preserve">nepārtrauktību un zināšanu saglabāšanu, vienlaikus vājinot Savienības digitālo suverenitāti un tās iedzīvotāju personīgo integritāti; tādēļ aicina regulāri novērtēt šādu ilgtermiņa atkarību un samazināt strukturālo atkarību no ārējiem konsultantiem, jo īpaši attiecībā uz pamatfunkcijām; uzsver, ka pārmērīga ārpakalpojumu izmantošana apdraud institucionālo atmiņu, </w:t>
      </w:r>
      <w:proofErr w:type="spellStart"/>
      <w:r w:rsidRPr="00EC5E1C">
        <w:t>pārskatatbildību</w:t>
      </w:r>
      <w:proofErr w:type="spellEnd"/>
      <w:r w:rsidRPr="00EC5E1C">
        <w:t xml:space="preserve"> un ieguldīto līdzekļu atdevi; aicina Komisiju nodrošināt, ka aģentūrām ir pietiekams personāls, lai tās iespēju robežās savas pilnvaras varētu īstenot iekšēji;</w:t>
      </w:r>
    </w:p>
    <w:p w14:paraId="5D0EC2B0" w14:textId="77777777" w:rsidR="00EA2C2C" w:rsidRPr="00EC5E1C" w:rsidRDefault="00EA2C2C" w:rsidP="00EA2C2C">
      <w:pPr>
        <w:pStyle w:val="NormalHanging12a"/>
      </w:pPr>
      <w:r w:rsidRPr="00EC5E1C">
        <w:t>10.</w:t>
      </w:r>
      <w:r w:rsidRPr="00EC5E1C">
        <w:tab/>
        <w:t>norāda, ka tiesiskuma trūkumi dažās dalībvalstīs, tostarp tiesu iestāžu neatkarības un kriminālvajāšanas spēju vājināšanās, var apdraudēt aģentūru sadarbības sistēmas, datu uzticamību un darbības integritāti; aicina Komisiju novērtēt un novērst šos riskus;</w:t>
      </w:r>
    </w:p>
    <w:p w14:paraId="1A4FB4D4" w14:textId="77777777" w:rsidR="00EA2C2C" w:rsidRPr="00EC5E1C" w:rsidRDefault="00EA2C2C" w:rsidP="00EA2C2C">
      <w:pPr>
        <w:pStyle w:val="NormalHanging12a"/>
      </w:pPr>
      <w:r w:rsidRPr="00EC5E1C">
        <w:t>11.</w:t>
      </w:r>
      <w:r w:rsidRPr="00EC5E1C">
        <w:tab/>
        <w:t xml:space="preserve">uzsver, ka </w:t>
      </w:r>
      <w:proofErr w:type="spellStart"/>
      <w:r w:rsidRPr="00EC5E1C">
        <w:t>pārredzamība</w:t>
      </w:r>
      <w:proofErr w:type="spellEnd"/>
      <w:r w:rsidRPr="00EC5E1C">
        <w:t xml:space="preserve">, stingra interešu konfliktu kontrole un skaidri noteikumi, kas reglamentē mijiedarbību ar ieinteresētajām personām, ir būtiski aizsardzības pasākumi Savienības decentralizēto aģentūru neatkarībai, institucionālajai uzticamībai un </w:t>
      </w:r>
      <w:proofErr w:type="spellStart"/>
      <w:r w:rsidRPr="00EC5E1C">
        <w:t>pārskatatbildībai</w:t>
      </w:r>
      <w:proofErr w:type="spellEnd"/>
      <w:r w:rsidRPr="00EC5E1C">
        <w:t xml:space="preserve">, kā arī sabiedrības uzticībai to stabilai un pareizai darbībai; uzsver, ka daudzas aģentūras darbojas nozarēs, kurās ir nepieciešama cieša sadarbība ar nozari, konsultantiem, tehniskajiem ekspertiem, nevalstiskajām organizācijām (NVO) vai ārējiem partneriem, bet kurās joprojām pastāv nepamatotas ietekmes, nelīdzsvarotas apspriešanās vai </w:t>
      </w:r>
      <w:proofErr w:type="spellStart"/>
      <w:r w:rsidRPr="00EC5E1C">
        <w:t>nepārredzamības</w:t>
      </w:r>
      <w:proofErr w:type="spellEnd"/>
      <w:r w:rsidRPr="00EC5E1C">
        <w:t xml:space="preserve"> risks; uzsver, ka pārredzamas procedūras, sanāksmju publiskošana, līdzsvarota un pārredzama ekspertu atlase un pastāvīga interešu konfliktu pārbaude ir neaizstājamas, lai nodrošinātu, ka aģentūru lēmumi ir balstīti tikai uz objektīviem pierādījumiem un Savienības vispārējām interesēm; mudina visas aģentūras ieviest un īstenot šādus pasākumus, prasa nodrošināt pārredzamus aizsardzības pasākumus, tostarp skaidrus un pienācīgus nogaidīšanas periodus, </w:t>
      </w:r>
      <w:proofErr w:type="spellStart"/>
      <w:r w:rsidRPr="00EC5E1C">
        <w:t>proaktīvu</w:t>
      </w:r>
      <w:proofErr w:type="spellEnd"/>
      <w:r w:rsidRPr="00EC5E1C">
        <w:t xml:space="preserve"> uzraudzību un ieinteresēto personu mijiedarbības </w:t>
      </w:r>
      <w:proofErr w:type="spellStart"/>
      <w:r w:rsidRPr="00EC5E1C">
        <w:t>pārredzamību</w:t>
      </w:r>
      <w:proofErr w:type="spellEnd"/>
      <w:r w:rsidRPr="00EC5E1C">
        <w:t xml:space="preserve">; iesaka regulāri veikt neatkarīgu interešu konfliktu regulējumu pārskatīšanu, ievērojot proporcionalitātes principu, un aicina Komisiju un ES aģentūru tīklu veicināt mācīšanos no līdzbiedriem, lai uzlabotu pārvaldības un </w:t>
      </w:r>
      <w:proofErr w:type="spellStart"/>
      <w:r w:rsidRPr="00EC5E1C">
        <w:t>pārredzamības</w:t>
      </w:r>
      <w:proofErr w:type="spellEnd"/>
      <w:r w:rsidRPr="00EC5E1C">
        <w:t xml:space="preserve"> standartus;</w:t>
      </w:r>
    </w:p>
    <w:p w14:paraId="6751F734" w14:textId="4594CAE3" w:rsidR="00F77397" w:rsidRPr="00EC5E1C" w:rsidRDefault="00EC5E1C" w:rsidP="00EA2C2C">
      <w:pPr>
        <w:pStyle w:val="NormalHanging12a"/>
      </w:pPr>
      <w:r w:rsidRPr="00EC5E1C">
        <w:t>12</w:t>
      </w:r>
      <w:r w:rsidR="00F77397" w:rsidRPr="00EC5E1C">
        <w:t>.</w:t>
      </w:r>
      <w:r w:rsidR="00F77397" w:rsidRPr="00EC5E1C">
        <w:tab/>
        <w:t xml:space="preserve">aicina Komisiju ievērojami stiprināt ekspertu novērtēšanas procesa </w:t>
      </w:r>
      <w:proofErr w:type="spellStart"/>
      <w:r w:rsidR="00F77397" w:rsidRPr="00EC5E1C">
        <w:t>pārredzamību</w:t>
      </w:r>
      <w:proofErr w:type="spellEnd"/>
      <w:r w:rsidR="00F77397" w:rsidRPr="00EC5E1C">
        <w:t xml:space="preserve"> un apsvērt piemērotus mehānismus, kuru mērķis būtu palielināt ekspertu </w:t>
      </w:r>
      <w:proofErr w:type="spellStart"/>
      <w:r w:rsidR="00F77397" w:rsidRPr="00EC5E1C">
        <w:t>pārskatatbildību</w:t>
      </w:r>
      <w:proofErr w:type="spellEnd"/>
      <w:r w:rsidR="00F77397" w:rsidRPr="00EC5E1C">
        <w:t>, vienlaikus pilnībā ievērojot viņu neatkarību;</w:t>
      </w:r>
    </w:p>
    <w:p w14:paraId="7ED8E927" w14:textId="4FDC0637" w:rsidR="00EA2C2C" w:rsidRPr="00EC5E1C" w:rsidRDefault="00EC5E1C" w:rsidP="00EA2C2C">
      <w:pPr>
        <w:pStyle w:val="NormalHanging12a"/>
      </w:pPr>
      <w:r w:rsidRPr="00EC5E1C">
        <w:t>13</w:t>
      </w:r>
      <w:r w:rsidR="00EA2C2C" w:rsidRPr="00EC5E1C">
        <w:t>.</w:t>
      </w:r>
      <w:r w:rsidR="00EA2C2C" w:rsidRPr="00EC5E1C">
        <w:tab/>
        <w:t xml:space="preserve">atzīst, ka decentralizēto aģentūru pakļautība lobēšanas riskiem atšķiras atkarībā no to pilnvarām un darbības konteksta; norāda, ka </w:t>
      </w:r>
      <w:proofErr w:type="spellStart"/>
      <w:r w:rsidR="00EA2C2C" w:rsidRPr="00EC5E1C">
        <w:t>pārredzamības</w:t>
      </w:r>
      <w:proofErr w:type="spellEnd"/>
      <w:r w:rsidR="00EA2C2C" w:rsidRPr="00EC5E1C">
        <w:t xml:space="preserve"> prakse aģentūrās atšķiras; norāda, ka, piemēram, </w:t>
      </w:r>
      <w:proofErr w:type="spellStart"/>
      <w:r w:rsidR="00EA2C2C" w:rsidRPr="00EC5E1C">
        <w:rPr>
          <w:i/>
          <w:iCs/>
        </w:rPr>
        <w:t>eu</w:t>
      </w:r>
      <w:proofErr w:type="spellEnd"/>
      <w:r w:rsidR="00EA2C2C" w:rsidRPr="00EC5E1C">
        <w:rPr>
          <w:i/>
          <w:iCs/>
        </w:rPr>
        <w:t>‑LISA</w:t>
      </w:r>
      <w:r w:rsidR="00EA2C2C" w:rsidRPr="00EC5E1C">
        <w:t xml:space="preserve"> savā tīmekļa vietnē uztur īpašu </w:t>
      </w:r>
      <w:proofErr w:type="spellStart"/>
      <w:r w:rsidR="00EA2C2C" w:rsidRPr="00EC5E1C">
        <w:t>pārredzamības</w:t>
      </w:r>
      <w:proofErr w:type="spellEnd"/>
      <w:r w:rsidR="00EA2C2C" w:rsidRPr="00EC5E1C">
        <w:t xml:space="preserve"> reģistru, kas aptver visas tās augstākās vadības sanāksmes ar ekonomikas dalībniekiem, Eiropas Robežu un krasta apsardzes aģentūra (</w:t>
      </w:r>
      <w:proofErr w:type="spellStart"/>
      <w:r w:rsidR="00EA2C2C" w:rsidRPr="00EC5E1C">
        <w:rPr>
          <w:i/>
          <w:iCs/>
        </w:rPr>
        <w:t>Frontex</w:t>
      </w:r>
      <w:proofErr w:type="spellEnd"/>
      <w:r w:rsidR="00EA2C2C" w:rsidRPr="00EC5E1C">
        <w:t>) savā tīmekļa vietnē nodrošina reģistru ar informāciju par sanāksmēm, kas īpaši saistītas ar iepirkuma jautājumiem,</w:t>
      </w:r>
      <w:r w:rsidR="00EA2C2C" w:rsidRPr="00EC5E1C">
        <w:rPr>
          <w:i/>
          <w:iCs/>
        </w:rPr>
        <w:t xml:space="preserve"> ECHA</w:t>
      </w:r>
      <w:r w:rsidR="00EA2C2C" w:rsidRPr="00EC5E1C">
        <w:t xml:space="preserve"> publicē informāciju par augstākā līmeņa vadītāju sanāksmēm ar ārējām ieinteresēto personu organizācijām; uzskata, ka, lai gan universāls modelis nebūtu ne samērīgs, ne jēgpilns darbības ziņā, kopēju minimālo standartu noteikšana uzlabotu saskaņotību un </w:t>
      </w:r>
      <w:proofErr w:type="spellStart"/>
      <w:r w:rsidR="00EA2C2C" w:rsidRPr="00EC5E1C">
        <w:t>pārskatatbildību</w:t>
      </w:r>
      <w:proofErr w:type="spellEnd"/>
      <w:r w:rsidR="00EA2C2C" w:rsidRPr="00EC5E1C">
        <w:t xml:space="preserve">; pieņem zināšanai atbildes, ko aģentūras sniegušas iepriekšējā budžeta izpildes apstiprināšanas ciklā, tostarp to, ka tās atšķirīgi izmanto </w:t>
      </w:r>
      <w:proofErr w:type="spellStart"/>
      <w:r w:rsidR="00EA2C2C" w:rsidRPr="00EC5E1C">
        <w:t>Pārredzamības</w:t>
      </w:r>
      <w:proofErr w:type="spellEnd"/>
      <w:r w:rsidR="00EA2C2C" w:rsidRPr="00EC5E1C">
        <w:t xml:space="preserve"> reģistru, un to, ka vairākas aģentūras jau ir ieviesušas iekšējos </w:t>
      </w:r>
      <w:proofErr w:type="spellStart"/>
      <w:r w:rsidR="00EA2C2C" w:rsidRPr="00EC5E1C">
        <w:t>pārredzamības</w:t>
      </w:r>
      <w:proofErr w:type="spellEnd"/>
      <w:r w:rsidR="00EA2C2C" w:rsidRPr="00EC5E1C">
        <w:t xml:space="preserve"> reģistrus vai interešu konfliktu sistēmas, kas pielāgotas to pilnvarām; aicina aģentūras pieņemt minimālos standartus, piemēram, četru acu principa īstenošanu, skaidru rīcības kodeksa stratēģiju, tostarp skaidrus noteikumus, lai izvairītos no interešu konflikta, un īpašu iekšējās </w:t>
      </w:r>
      <w:proofErr w:type="spellStart"/>
      <w:r w:rsidR="00EA2C2C" w:rsidRPr="00EC5E1C">
        <w:t>pārredzamības</w:t>
      </w:r>
      <w:proofErr w:type="spellEnd"/>
      <w:r w:rsidR="00EA2C2C" w:rsidRPr="00EC5E1C">
        <w:t xml:space="preserve"> reģistru ieviešanu ar skaidriem standartiem, kas atspoguļo to attiecīgās pilnvaras un piemērojamos datu aizsardzības noteikumus; uzsver, ka šādiem </w:t>
      </w:r>
      <w:proofErr w:type="spellStart"/>
      <w:r w:rsidR="00EA2C2C" w:rsidRPr="00EC5E1C">
        <w:t>pārredzamības</w:t>
      </w:r>
      <w:proofErr w:type="spellEnd"/>
      <w:r w:rsidR="00EA2C2C" w:rsidRPr="00EC5E1C">
        <w:t xml:space="preserve"> reģistriem vajadzētu būt pieejamiem revidentiem, katru gadījumu </w:t>
      </w:r>
      <w:r w:rsidR="00EA2C2C" w:rsidRPr="00EC5E1C">
        <w:lastRenderedPageBreak/>
        <w:t>izskatot atsevišķi; uzskata, ka to īstenošanai vajadzētu būt pakāpeniskai un izmantot jaunās digitālās iespējas, lai izvairītos no nevajadzīga un/vai papildu administratīvā sloga radīšanas aģentūrām;</w:t>
      </w:r>
    </w:p>
    <w:p w14:paraId="62756996" w14:textId="46E75508" w:rsidR="00EA2C2C" w:rsidRPr="00EC5E1C" w:rsidRDefault="00EC5E1C" w:rsidP="00EA2C2C">
      <w:pPr>
        <w:pStyle w:val="NormalHanging12a"/>
      </w:pPr>
      <w:r w:rsidRPr="00EC5E1C">
        <w:t>14</w:t>
      </w:r>
      <w:r w:rsidR="00EA2C2C" w:rsidRPr="00EC5E1C">
        <w:t>.</w:t>
      </w:r>
      <w:r w:rsidR="00EA2C2C" w:rsidRPr="00EC5E1C">
        <w:tab/>
        <w:t xml:space="preserve">norāda, ka saskaņā ar aģentūru sniegto informāciju 33 decentralizētajās aģentūrās 2024. gadā pavisam bija nodarbināts 11 491 darbinieks (2023. gadā — 10 580 ), t.  ., ierēdņi, pagaidu darbinieki, līgumdarbinieki un norīkotie valstu eksperti (NVE), un tas ir par 8,61 % vairāk nekā 2023. gadā; norāda — lai gan dzimumu līdzsvars Savienības decentralizētajās aģentūrās uzlabojas, joprojām pastāv būtiskas atšķirības; uzsver, ka dažās aģentūrās, piemēram, </w:t>
      </w:r>
      <w:r w:rsidR="00EA2C2C" w:rsidRPr="00EC5E1C">
        <w:rPr>
          <w:i/>
          <w:iCs/>
        </w:rPr>
        <w:t>ACER</w:t>
      </w:r>
      <w:r w:rsidR="00EA2C2C" w:rsidRPr="00EC5E1C">
        <w:t xml:space="preserve">, </w:t>
      </w:r>
      <w:r w:rsidR="00EA2C2C" w:rsidRPr="00EC5E1C">
        <w:rPr>
          <w:i/>
          <w:iCs/>
        </w:rPr>
        <w:t>EASA</w:t>
      </w:r>
      <w:r w:rsidR="00EA2C2C" w:rsidRPr="00EC5E1C">
        <w:t xml:space="preserve">, </w:t>
      </w:r>
      <w:r w:rsidR="00EA2C2C" w:rsidRPr="00EC5E1C">
        <w:rPr>
          <w:i/>
          <w:iCs/>
        </w:rPr>
        <w:t>EIGE</w:t>
      </w:r>
      <w:r w:rsidR="00EA2C2C" w:rsidRPr="00EC5E1C">
        <w:t xml:space="preserve">, </w:t>
      </w:r>
      <w:r w:rsidR="00EA2C2C" w:rsidRPr="00EC5E1C">
        <w:rPr>
          <w:i/>
          <w:iCs/>
        </w:rPr>
        <w:t>ERA,</w:t>
      </w:r>
      <w:r w:rsidR="00EA2C2C" w:rsidRPr="00EC5E1C">
        <w:t xml:space="preserve"> </w:t>
      </w:r>
      <w:proofErr w:type="spellStart"/>
      <w:r w:rsidR="00EA2C2C" w:rsidRPr="00EC5E1C">
        <w:rPr>
          <w:i/>
          <w:iCs/>
        </w:rPr>
        <w:t>eu</w:t>
      </w:r>
      <w:proofErr w:type="spellEnd"/>
      <w:r w:rsidR="00EA2C2C" w:rsidRPr="00EC5E1C">
        <w:rPr>
          <w:i/>
          <w:iCs/>
        </w:rPr>
        <w:noBreakHyphen/>
        <w:t>‑LISA</w:t>
      </w:r>
      <w:r w:rsidR="00EA2C2C" w:rsidRPr="00EC5E1C">
        <w:t xml:space="preserve"> un Eiropolā, ir lielāks vīriešu darbinieku īpatsvars, savukārt tādās aģentūrās kā </w:t>
      </w:r>
      <w:proofErr w:type="spellStart"/>
      <w:r w:rsidR="00EA2C2C" w:rsidRPr="00EC5E1C">
        <w:rPr>
          <w:i/>
          <w:iCs/>
        </w:rPr>
        <w:t>CdT</w:t>
      </w:r>
      <w:proofErr w:type="spellEnd"/>
      <w:r w:rsidR="00EA2C2C" w:rsidRPr="00EC5E1C">
        <w:t xml:space="preserve">, </w:t>
      </w:r>
      <w:r w:rsidR="00EA2C2C" w:rsidRPr="00EC5E1C">
        <w:rPr>
          <w:i/>
          <w:iCs/>
        </w:rPr>
        <w:t>EFSA</w:t>
      </w:r>
      <w:r w:rsidR="00EA2C2C" w:rsidRPr="00EC5E1C">
        <w:t xml:space="preserve">, </w:t>
      </w:r>
      <w:r w:rsidR="00EA2C2C" w:rsidRPr="00EC5E1C">
        <w:rPr>
          <w:i/>
          <w:iCs/>
        </w:rPr>
        <w:t>EMA</w:t>
      </w:r>
      <w:r w:rsidR="00EA2C2C" w:rsidRPr="00EC5E1C">
        <w:t xml:space="preserve">, </w:t>
      </w:r>
      <w:r w:rsidR="00EA2C2C" w:rsidRPr="00EC5E1C">
        <w:rPr>
          <w:i/>
          <w:iCs/>
        </w:rPr>
        <w:t>ETF</w:t>
      </w:r>
      <w:r w:rsidR="00EA2C2C" w:rsidRPr="00EC5E1C">
        <w:t xml:space="preserve"> un </w:t>
      </w:r>
      <w:proofErr w:type="spellStart"/>
      <w:r w:rsidR="00EA2C2C" w:rsidRPr="00EC5E1C">
        <w:rPr>
          <w:i/>
          <w:iCs/>
        </w:rPr>
        <w:t>Eurojust</w:t>
      </w:r>
      <w:proofErr w:type="spellEnd"/>
      <w:r w:rsidR="00EA2C2C" w:rsidRPr="00EC5E1C">
        <w:t xml:space="preserve"> ir vairāk sieviešu dzimuma darbinieku; norāda, ka šī procentuālā daļa bieži vien ir atkarīga no konkrētās nozares; aicina aģentūras pieņemt korektīvas stratēģijas, tostarp pārredzamas amatā paaugstināšanas procedūras un mērķtiecīgu vadības attīstību; atgādina, ka Savienības apņemšanās veicināt dzimumu līdztiesību vadošos amatos joprojām nav pilnībā īstenota; uzsver, ka būtu jāuzlabo Komisijas centieni šajā jomā; atgādina, ka Regulā (EEK, </w:t>
      </w:r>
      <w:r w:rsidR="00EA2C2C" w:rsidRPr="00EC5E1C">
        <w:rPr>
          <w:i/>
          <w:iCs/>
        </w:rPr>
        <w:t>Euratom</w:t>
      </w:r>
      <w:r w:rsidR="00EA2C2C" w:rsidRPr="00EC5E1C">
        <w:t xml:space="preserve">, EOTK) Nr. 259/68 (Civildienesta noteikumi) ir noteikts, ka pieņemšanai darbā būtu jābalstās uz objektīviem, pārredzamiem un uz nopelniem balstītiem kritērijiem, kā arī uz visplašāko ģeogrāfisko līdzsvaru, kas izvēlēts no dalībvalstīm; norāda, ka ir dabiska tendence nodarbināt lielāku to darbinieku īpatsvaru, kuri nāk no dalībvalsts, kurā atrodas attiecīgā Aģentūra; atgādina, ka aģentūras, kas atrodas valstīs ar salīdzinoši zemu korekcijas koeficientu, pastāvīgi saskaras ar grūtībām piesaistīt kvalificētu un ģeogrāfiski daudzveidīgu darbaspēku; mudina aģentūras veicināt dzimumu līdzsvaru cilvēkresursu stratēģijās un pārvaldības atlases komisijās; aicina Komisiju un ES aģentūru tīklu nodrošināt </w:t>
      </w:r>
      <w:proofErr w:type="spellStart"/>
      <w:r w:rsidR="00EA2C2C" w:rsidRPr="00EC5E1C">
        <w:t>paraugpraksi</w:t>
      </w:r>
      <w:proofErr w:type="spellEnd"/>
      <w:r w:rsidR="00EA2C2C" w:rsidRPr="00EC5E1C">
        <w:t xml:space="preserve"> un salīdzinošās novērtēšanas instrumentus, lai atbalstītu dzimumu ziņā līdzsvarotu vadību;</w:t>
      </w:r>
    </w:p>
    <w:p w14:paraId="4D609966" w14:textId="33B5E0B5" w:rsidR="00EA2C2C" w:rsidRPr="00EC5E1C" w:rsidRDefault="00EC5E1C" w:rsidP="00EA2C2C">
      <w:pPr>
        <w:pStyle w:val="NormalHanging12a"/>
      </w:pPr>
      <w:r w:rsidRPr="00EC5E1C">
        <w:t>15</w:t>
      </w:r>
      <w:r w:rsidR="00EA2C2C" w:rsidRPr="00EC5E1C">
        <w:t>.</w:t>
      </w:r>
      <w:r w:rsidR="00EA2C2C" w:rsidRPr="00EC5E1C">
        <w:tab/>
        <w:t xml:space="preserve">norāda, ka 2024. gadā 16 no 33 aģentūrām (proti, </w:t>
      </w:r>
      <w:r w:rsidR="00EA2C2C" w:rsidRPr="00EC5E1C">
        <w:rPr>
          <w:i/>
          <w:iCs/>
        </w:rPr>
        <w:t>BEREC</w:t>
      </w:r>
      <w:r w:rsidR="00EA2C2C" w:rsidRPr="00EC5E1C">
        <w:t xml:space="preserve"> birojā, </w:t>
      </w:r>
      <w:proofErr w:type="spellStart"/>
      <w:r w:rsidR="00EA2C2C" w:rsidRPr="00EC5E1C">
        <w:rPr>
          <w:i/>
          <w:iCs/>
        </w:rPr>
        <w:t>CdT</w:t>
      </w:r>
      <w:proofErr w:type="spellEnd"/>
      <w:r w:rsidR="00EA2C2C" w:rsidRPr="00EC5E1C">
        <w:t xml:space="preserve">, </w:t>
      </w:r>
      <w:proofErr w:type="spellStart"/>
      <w:r w:rsidR="00EA2C2C" w:rsidRPr="00EC5E1C">
        <w:rPr>
          <w:i/>
          <w:iCs/>
        </w:rPr>
        <w:t>Cedefop</w:t>
      </w:r>
      <w:proofErr w:type="spellEnd"/>
      <w:r w:rsidR="00EA2C2C" w:rsidRPr="00EC5E1C">
        <w:t xml:space="preserve">, </w:t>
      </w:r>
      <w:r w:rsidR="00EA2C2C" w:rsidRPr="00EC5E1C">
        <w:rPr>
          <w:i/>
          <w:iCs/>
        </w:rPr>
        <w:t>CEPOL</w:t>
      </w:r>
      <w:r w:rsidR="00EA2C2C" w:rsidRPr="00EC5E1C">
        <w:t xml:space="preserve">, </w:t>
      </w:r>
      <w:r w:rsidR="00EA2C2C" w:rsidRPr="00EC5E1C">
        <w:rPr>
          <w:i/>
          <w:iCs/>
        </w:rPr>
        <w:t>ECDC</w:t>
      </w:r>
      <w:r w:rsidR="00EA2C2C" w:rsidRPr="00EC5E1C">
        <w:t xml:space="preserve">, EVA, </w:t>
      </w:r>
      <w:r w:rsidR="00EA2C2C" w:rsidRPr="00EC5E1C">
        <w:rPr>
          <w:i/>
          <w:iCs/>
        </w:rPr>
        <w:t>ELA</w:t>
      </w:r>
      <w:r w:rsidR="00EA2C2C" w:rsidRPr="00EC5E1C">
        <w:t xml:space="preserve">, </w:t>
      </w:r>
      <w:proofErr w:type="spellStart"/>
      <w:r w:rsidR="00EA2C2C" w:rsidRPr="00EC5E1C">
        <w:rPr>
          <w:i/>
          <w:iCs/>
        </w:rPr>
        <w:t>eu</w:t>
      </w:r>
      <w:proofErr w:type="spellEnd"/>
      <w:r w:rsidR="00EA2C2C" w:rsidRPr="00EC5E1C">
        <w:rPr>
          <w:i/>
          <w:iCs/>
        </w:rPr>
        <w:t>‑LISA</w:t>
      </w:r>
      <w:r w:rsidR="00EA2C2C" w:rsidRPr="00EC5E1C">
        <w:t xml:space="preserve">, </w:t>
      </w:r>
      <w:r w:rsidR="00EA2C2C" w:rsidRPr="00EC5E1C">
        <w:rPr>
          <w:i/>
          <w:iCs/>
        </w:rPr>
        <w:t>EU</w:t>
      </w:r>
      <w:r w:rsidR="00EA2C2C" w:rsidRPr="00EC5E1C">
        <w:rPr>
          <w:i/>
          <w:iCs/>
        </w:rPr>
        <w:noBreakHyphen/>
        <w:t>OSHA</w:t>
      </w:r>
      <w:r w:rsidR="00EA2C2C" w:rsidRPr="00EC5E1C">
        <w:t xml:space="preserve">, </w:t>
      </w:r>
      <w:proofErr w:type="spellStart"/>
      <w:r w:rsidR="00EA2C2C" w:rsidRPr="00EC5E1C">
        <w:rPr>
          <w:i/>
          <w:iCs/>
        </w:rPr>
        <w:t>Eurofound</w:t>
      </w:r>
      <w:proofErr w:type="spellEnd"/>
      <w:r w:rsidR="00EA2C2C" w:rsidRPr="00EC5E1C">
        <w:t xml:space="preserve">, </w:t>
      </w:r>
      <w:proofErr w:type="spellStart"/>
      <w:r w:rsidR="00EA2C2C" w:rsidRPr="00EC5E1C">
        <w:rPr>
          <w:i/>
          <w:iCs/>
        </w:rPr>
        <w:t>Eurojust</w:t>
      </w:r>
      <w:proofErr w:type="spellEnd"/>
      <w:r w:rsidR="00EA2C2C" w:rsidRPr="00EC5E1C">
        <w:t xml:space="preserve">, Eiropolā, </w:t>
      </w:r>
      <w:r w:rsidR="00EA2C2C" w:rsidRPr="00EC5E1C">
        <w:rPr>
          <w:i/>
          <w:iCs/>
        </w:rPr>
        <w:t>FRA</w:t>
      </w:r>
      <w:r w:rsidR="00EA2C2C" w:rsidRPr="00EC5E1C">
        <w:t xml:space="preserve">) darbinieku mainība pārsniedza 5 % un ka divās no tām (proti, </w:t>
      </w:r>
      <w:r w:rsidR="00EA2C2C" w:rsidRPr="00EC5E1C">
        <w:rPr>
          <w:i/>
          <w:iCs/>
        </w:rPr>
        <w:t>EIT</w:t>
      </w:r>
      <w:r w:rsidR="00EA2C2C" w:rsidRPr="00EC5E1C">
        <w:t xml:space="preserve">, </w:t>
      </w:r>
      <w:r w:rsidR="00EA2C2C" w:rsidRPr="00EC5E1C">
        <w:rPr>
          <w:i/>
          <w:iCs/>
        </w:rPr>
        <w:t>ETF</w:t>
      </w:r>
      <w:r w:rsidR="00EA2C2C" w:rsidRPr="00EC5E1C">
        <w:t xml:space="preserve">) tā pārsniedza 10 % līmeni; uzteic aģentūras, kas ir veikušas mērķtiecīgus pasākumus augstas darbinieku mainības novēršanai; aicina Komisiju un dalībvalstis atļaut pieņemt darbā līgumdarbiniekus uz ilgāku laiku vai vairāk pagaidu darbinieku, lai nodrošinātu labāku nepārtrauktību un zināšanu saglabāšanu; uzskata, ka izdegšana, darbinieku mainība un nestabila nodarbinātība apdraud institucionālo integritāti, iekšējo kontroli un pareizu finanšu pārvaldību; uzsver, ka valdes ir atbildīgas par aģentūru integritāti un </w:t>
      </w:r>
      <w:proofErr w:type="spellStart"/>
      <w:r w:rsidR="00EA2C2C" w:rsidRPr="00EC5E1C">
        <w:t>pārskatatbildību</w:t>
      </w:r>
      <w:proofErr w:type="spellEnd"/>
      <w:r w:rsidR="00EA2C2C" w:rsidRPr="00EC5E1C">
        <w:t xml:space="preserve">, pauž nožēlu par nepietiekamu rīcību saistībā ar nopietniem konstatējumiem un prasa uzlabot </w:t>
      </w:r>
      <w:proofErr w:type="spellStart"/>
      <w:r w:rsidR="00EA2C2C" w:rsidRPr="00EC5E1C">
        <w:t>pārredzamību</w:t>
      </w:r>
      <w:proofErr w:type="spellEnd"/>
      <w:r w:rsidR="00EA2C2C" w:rsidRPr="00EC5E1C">
        <w:t xml:space="preserve"> attiecībā uz budžeta izpildes </w:t>
      </w:r>
      <w:proofErr w:type="spellStart"/>
      <w:r w:rsidR="00EA2C2C" w:rsidRPr="00EC5E1C">
        <w:t>apstiprinātājiestādi</w:t>
      </w:r>
      <w:proofErr w:type="spellEnd"/>
      <w:r w:rsidR="00EA2C2C" w:rsidRPr="00EC5E1C">
        <w:t>;</w:t>
      </w:r>
    </w:p>
    <w:p w14:paraId="0DE9CC34" w14:textId="637A608F" w:rsidR="00EA2C2C" w:rsidRPr="00EC5E1C" w:rsidRDefault="00EC5E1C" w:rsidP="00EA2C2C">
      <w:pPr>
        <w:pStyle w:val="NormalHanging12a"/>
      </w:pPr>
      <w:r w:rsidRPr="00EC5E1C">
        <w:t>16</w:t>
      </w:r>
      <w:r w:rsidR="00EA2C2C" w:rsidRPr="00EC5E1C">
        <w:t>.</w:t>
      </w:r>
      <w:r w:rsidR="00EA2C2C" w:rsidRPr="00EC5E1C">
        <w:tab/>
        <w:t>atzinīgi vērtē to, ka 2024. gadā lielākā daļa aģentūru pieņēma un īstenoja Daudzveidības un iekļaušanas hartu</w:t>
      </w:r>
      <w:r w:rsidR="00EA2C2C" w:rsidRPr="00EC5E1C">
        <w:rPr>
          <w:rStyle w:val="FootnoteReference"/>
        </w:rPr>
        <w:footnoteReference w:id="398"/>
      </w:r>
      <w:r w:rsidR="00EA2C2C" w:rsidRPr="00EC5E1C">
        <w:t>, kas veicina vienlīdzīgu attieksmi, daudzveidību un iekļaušanu darbvietā un sociālajā dzīvē; stingri mudina tās aģentūras, kuras vēl tai nav pievienojušās, apsvērt iespēju nekavējoties to pieņemt un īstenot;</w:t>
      </w:r>
    </w:p>
    <w:p w14:paraId="5D4B9AD1" w14:textId="68D741DC" w:rsidR="00EA2C2C" w:rsidRPr="00EC5E1C" w:rsidRDefault="00EC5E1C" w:rsidP="00EA2C2C">
      <w:pPr>
        <w:pStyle w:val="NormalHanging12a"/>
      </w:pPr>
      <w:r w:rsidRPr="00EC5E1C">
        <w:t>17</w:t>
      </w:r>
      <w:r w:rsidR="00EA2C2C" w:rsidRPr="00EC5E1C">
        <w:t>.</w:t>
      </w:r>
      <w:r w:rsidR="00EA2C2C" w:rsidRPr="00EC5E1C">
        <w:tab/>
        <w:t xml:space="preserve">uzsver, ka, lai izveidotu efektīvu sūdzību izskatīšanas mehānismu Savienības decentralizēto aģentūru darbiniekiem, ir jāapvieno stingras konfidencialitātes garantijas, tostarp anonīmi ziņošanas kanāli, ar skaidrām, saskaņotām procedūrām, kas saskaņotas ar Civildienesta noteikumiem un paziņotas, regulāri apmācot darbiniekus; uzskata, ka </w:t>
      </w:r>
      <w:r w:rsidR="00EA2C2C" w:rsidRPr="00EC5E1C">
        <w:lastRenderedPageBreak/>
        <w:t xml:space="preserve">aģentūrām būtu jāieceļ neatkarīgi, profesionāli apmācīti ētikas vai sūdzību izskatīšanas speciālisti vai jāizmanto kopīgas </w:t>
      </w:r>
      <w:proofErr w:type="spellStart"/>
      <w:r w:rsidR="00EA2C2C" w:rsidRPr="00EC5E1C">
        <w:t>starpaģentūru</w:t>
      </w:r>
      <w:proofErr w:type="spellEnd"/>
      <w:r w:rsidR="00EA2C2C" w:rsidRPr="00EC5E1C">
        <w:t xml:space="preserve"> struktūras mazākām aģentūrām, lai nodrošinātu Civildienesta noteikumu 90. panta pieprasījumu, ziņojumu par aizskaršanu, interešu konfliktu un trauksmes celšanas informācijas atklāšanas objektīvu izskatīšanu; aicina aģentūras nodrošināt, ka darbiniekiem ir pieejama ārēja eskalācijas procedūra, kā arī spēcīga, neatkarīga un efektīva aizsardzība pret jebkādām represijām, veicot sistemātiskas pēcpārbaudes, savukārt </w:t>
      </w:r>
      <w:proofErr w:type="spellStart"/>
      <w:r w:rsidR="00EA2C2C" w:rsidRPr="00EC5E1C">
        <w:t>pārredzamība</w:t>
      </w:r>
      <w:proofErr w:type="spellEnd"/>
      <w:r w:rsidR="00EA2C2C" w:rsidRPr="00EC5E1C">
        <w:t xml:space="preserve"> būtu jāuzlabo, izmantojot </w:t>
      </w:r>
      <w:proofErr w:type="spellStart"/>
      <w:r w:rsidR="00EA2C2C" w:rsidRPr="00EC5E1C">
        <w:t>anonimizētus</w:t>
      </w:r>
      <w:proofErr w:type="spellEnd"/>
      <w:r w:rsidR="00EA2C2C" w:rsidRPr="00EC5E1C">
        <w:t xml:space="preserve"> ikgadējus ziņojumus par sūdzībām un rezultātiem, un objektivitāte būtu jāuzlabo, izmantojot </w:t>
      </w:r>
      <w:proofErr w:type="spellStart"/>
      <w:r w:rsidR="00EA2C2C" w:rsidRPr="00EC5E1C">
        <w:t>starpaģentūru</w:t>
      </w:r>
      <w:proofErr w:type="spellEnd"/>
      <w:r w:rsidR="00EA2C2C" w:rsidRPr="00EC5E1C">
        <w:t xml:space="preserve"> izmeklēšanas komisijas </w:t>
      </w:r>
      <w:proofErr w:type="spellStart"/>
      <w:r w:rsidR="00EA2C2C" w:rsidRPr="00EC5E1C">
        <w:t>sensitīvām</w:t>
      </w:r>
      <w:proofErr w:type="spellEnd"/>
      <w:r w:rsidR="00EA2C2C" w:rsidRPr="00EC5E1C">
        <w:t xml:space="preserve"> lietām; aicina ieviest aizsardzības mehānismus pret nepatiesām apsūdzībām un denonsēšanu;</w:t>
      </w:r>
    </w:p>
    <w:p w14:paraId="387F190C" w14:textId="2506950D" w:rsidR="00EA2C2C" w:rsidRPr="00EC5E1C" w:rsidRDefault="00EC5E1C" w:rsidP="00EA2C2C">
      <w:pPr>
        <w:pStyle w:val="NormalHanging12a"/>
      </w:pPr>
      <w:r w:rsidRPr="00EC5E1C">
        <w:t>18</w:t>
      </w:r>
      <w:r w:rsidR="00EA2C2C" w:rsidRPr="00EC5E1C">
        <w:t>.</w:t>
      </w:r>
      <w:r w:rsidR="00EA2C2C" w:rsidRPr="00EC5E1C">
        <w:tab/>
        <w:t>norāda uz ES aģentūru tīkla (</w:t>
      </w:r>
      <w:r w:rsidR="00EA2C2C" w:rsidRPr="00EC5E1C">
        <w:rPr>
          <w:i/>
          <w:iCs/>
        </w:rPr>
        <w:t>EUAN</w:t>
      </w:r>
      <w:r w:rsidR="00EA2C2C" w:rsidRPr="00EC5E1C">
        <w:t>) un jo īpaši tā IKT padomdevējas komitejas (</w:t>
      </w:r>
      <w:r w:rsidR="00EA2C2C" w:rsidRPr="00EC5E1C">
        <w:rPr>
          <w:i/>
          <w:iCs/>
        </w:rPr>
        <w:t>ICTAC</w:t>
      </w:r>
      <w:r w:rsidR="00EA2C2C" w:rsidRPr="00EC5E1C">
        <w:t xml:space="preserve">) svarīgo lomu atbalsta sniegšanā aģentūru gatavībai īstenot </w:t>
      </w:r>
      <w:proofErr w:type="spellStart"/>
      <w:r w:rsidR="00EA2C2C" w:rsidRPr="00EC5E1C">
        <w:t>Kiberdrošības</w:t>
      </w:r>
      <w:proofErr w:type="spellEnd"/>
      <w:r w:rsidR="00EA2C2C" w:rsidRPr="00EC5E1C">
        <w:t xml:space="preserve"> regulu, uzlabojot koordināciju, zināšanu apmaiņu un sadarbību ar DIGIT ĢD, </w:t>
      </w:r>
      <w:r w:rsidR="00EA2C2C" w:rsidRPr="00EC5E1C">
        <w:rPr>
          <w:i/>
          <w:iCs/>
        </w:rPr>
        <w:t>CERT-EU</w:t>
      </w:r>
      <w:r w:rsidR="00EA2C2C" w:rsidRPr="00EC5E1C">
        <w:t xml:space="preserve"> un Iestāžu komiteju digitālās pārveides jautājumos; aicina </w:t>
      </w:r>
      <w:r w:rsidR="00EA2C2C" w:rsidRPr="00EC5E1C">
        <w:rPr>
          <w:i/>
          <w:iCs/>
        </w:rPr>
        <w:t>EUAN</w:t>
      </w:r>
      <w:r w:rsidR="00EA2C2C" w:rsidRPr="00EC5E1C">
        <w:t xml:space="preserve"> un </w:t>
      </w:r>
      <w:r w:rsidR="00EA2C2C" w:rsidRPr="00EC5E1C">
        <w:rPr>
          <w:i/>
          <w:iCs/>
        </w:rPr>
        <w:t>ICTAC</w:t>
      </w:r>
      <w:r w:rsidR="00EA2C2C" w:rsidRPr="00EC5E1C">
        <w:t xml:space="preserve"> sniegt visaptverošu un regulāru informāciju par īstenošanas stāvokli visās decentralizētajās aģentūrās, tostarp par kopīgām problēmām, apzinātajiem riskiem, resursu vajadzībām un plānotajiem riska mazināšanas pasākumiem, lai nodrošinātu efektīvu pārraudzību; uzsver, ka ir jānodrošina </w:t>
      </w:r>
      <w:proofErr w:type="spellStart"/>
      <w:r w:rsidR="00EA2C2C" w:rsidRPr="00EC5E1C">
        <w:t>kiberdrošības</w:t>
      </w:r>
      <w:proofErr w:type="spellEnd"/>
      <w:r w:rsidR="00EA2C2C" w:rsidRPr="00EC5E1C">
        <w:t xml:space="preserve"> pamatīgums un uzmanīga MI izmantošana, ņemot vērā ne tikai tā sniegtās iespējas, bet arī finansiālos un darbības riskus; aicina aģentūras novērtēt MI atbalstītus procesus finanšu, iepirkuma vai lēmumu pieņemšanas funkcijās un nodrošināt </w:t>
      </w:r>
      <w:proofErr w:type="spellStart"/>
      <w:r w:rsidR="00EA2C2C" w:rsidRPr="00EC5E1C">
        <w:t>pārredzamību</w:t>
      </w:r>
      <w:proofErr w:type="spellEnd"/>
      <w:r w:rsidR="00EA2C2C" w:rsidRPr="00EC5E1C">
        <w:t xml:space="preserve">, dokumentāciju, </w:t>
      </w:r>
      <w:proofErr w:type="spellStart"/>
      <w:r w:rsidR="00EA2C2C" w:rsidRPr="00EC5E1C">
        <w:t>revidējamību</w:t>
      </w:r>
      <w:proofErr w:type="spellEnd"/>
      <w:r w:rsidR="00EA2C2C" w:rsidRPr="00EC5E1C">
        <w:t xml:space="preserve"> un pilnīgu atbilstību Savienības datu aizsardzības un </w:t>
      </w:r>
      <w:proofErr w:type="spellStart"/>
      <w:r w:rsidR="00EA2C2C" w:rsidRPr="00EC5E1C">
        <w:t>kiberdrošības</w:t>
      </w:r>
      <w:proofErr w:type="spellEnd"/>
      <w:r w:rsidR="00EA2C2C" w:rsidRPr="00EC5E1C">
        <w:t xml:space="preserve"> noteikumiem;</w:t>
      </w:r>
    </w:p>
    <w:p w14:paraId="7EF0A205" w14:textId="0890DE6E" w:rsidR="00EA2C2C" w:rsidRPr="00EC5E1C" w:rsidRDefault="00EC5E1C" w:rsidP="00EA2C2C">
      <w:pPr>
        <w:pStyle w:val="NormalHanging12a"/>
      </w:pPr>
      <w:r w:rsidRPr="00EC5E1C">
        <w:t>19</w:t>
      </w:r>
      <w:r w:rsidR="00EA2C2C" w:rsidRPr="00EC5E1C">
        <w:t>.</w:t>
      </w:r>
      <w:r w:rsidR="00EA2C2C" w:rsidRPr="00EC5E1C">
        <w:tab/>
        <w:t xml:space="preserve">uzsver, ka ir svarīgi izstrādāt skaidrus, stabilus un jēgpilnus galvenos snieguma rādītājus (GSR) ES aģentūru gada darbības pārskatos (GDP), jo šie ziņojumi ir galvenais informācijas avots ārējiem lietotājiem; norāda, ka dažām GSR sistēmām bieži trūkst nepārtrauktības, standartizācijas, darbības dziļuma, dokumentētas metodikas GSR atlasei, atjaunināšanai un norakstīšanai, </w:t>
      </w:r>
      <w:proofErr w:type="spellStart"/>
      <w:r w:rsidR="00EA2C2C" w:rsidRPr="00EC5E1C">
        <w:t>pārredzamības</w:t>
      </w:r>
      <w:proofErr w:type="spellEnd"/>
      <w:r w:rsidR="00EA2C2C" w:rsidRPr="00EC5E1C">
        <w:t>, salīdzināmības un daudzgadu izsekošanas, tādējādi samazinot salīdzināmību un ārējo lietotāju spēju objektīvi novērtēt sniegumu; uzsver, ka galvenie snieguma rādītāji būtu jāracionalizē un labi jāizstrādā, jābalsta uz konkrētiem, izmērāmiem, sasniedzamiem, atbilstīgiem un ar noteiktu termiņu paredzētiem (</w:t>
      </w:r>
      <w:r w:rsidR="00EA2C2C" w:rsidRPr="00EC5E1C">
        <w:rPr>
          <w:i/>
          <w:iCs/>
        </w:rPr>
        <w:t>SMART</w:t>
      </w:r>
      <w:r w:rsidR="00EA2C2C" w:rsidRPr="00EC5E1C">
        <w:t xml:space="preserve">) principiem un konsekventi jāpiemēro visos ziņošanas ciklos, kas ir būtiski, lai novērtētu efektivitāti, lietderību un progresu stratēģisko mērķu sasniegšanā; uzsver, ka ir jāuzlabo uz rezultātiem un ietekmi vērstas ziņošanas izmantošana, galveno uzmanību pievēršot būtiskumam un proporcionalitātei, lai samazinātu administratīvo slogu; uzsver, ka snieguma rādītāji ir skaidri jāizsecina no katras aģentūras </w:t>
      </w:r>
      <w:proofErr w:type="spellStart"/>
      <w:r w:rsidR="00EA2C2C" w:rsidRPr="00EC5E1C">
        <w:t>pamatpilnvarām</w:t>
      </w:r>
      <w:proofErr w:type="spellEnd"/>
      <w:r w:rsidR="00EA2C2C" w:rsidRPr="00EC5E1C">
        <w:t xml:space="preserve"> un tiem ir jāaptver tiešie rezultāti, iznākumi un, pats galvenais, ietekme; aicina aģentūras savos snieguma satvaros iekļaut izmaksu un ieguvumu analīzi un pārredzamu budžeta plānošanu;</w:t>
      </w:r>
    </w:p>
    <w:p w14:paraId="708490A6" w14:textId="38B1D91C" w:rsidR="00EA2C2C" w:rsidRPr="00EC5E1C" w:rsidRDefault="00EC5E1C" w:rsidP="00EA2C2C">
      <w:pPr>
        <w:pStyle w:val="NormalHanging12a"/>
      </w:pPr>
      <w:r w:rsidRPr="00EC5E1C">
        <w:t>20</w:t>
      </w:r>
      <w:r w:rsidR="00EA2C2C" w:rsidRPr="00EC5E1C">
        <w:t>.</w:t>
      </w:r>
      <w:r w:rsidR="00EA2C2C" w:rsidRPr="00EC5E1C">
        <w:tab/>
        <w:t xml:space="preserve">atzīst sadarbību ar ārējiem partneriem, piemēram, Ekonomiskās sadarbības un attīstības organizāciju un Apvienoto Nāciju Organizācijas Stratēģiskās plānošanas tīklu, GSR metodiku modernizēšanā; uzsver, ka dažas aģentūras, piemēram, </w:t>
      </w:r>
      <w:r w:rsidR="00EA2C2C" w:rsidRPr="00EC5E1C">
        <w:rPr>
          <w:i/>
          <w:iCs/>
        </w:rPr>
        <w:t>ACER, EASA</w:t>
      </w:r>
      <w:r w:rsidR="00EA2C2C" w:rsidRPr="00EC5E1C">
        <w:t xml:space="preserve"> un </w:t>
      </w:r>
      <w:r w:rsidR="00EA2C2C" w:rsidRPr="00EC5E1C">
        <w:rPr>
          <w:i/>
          <w:iCs/>
        </w:rPr>
        <w:t>ECDC</w:t>
      </w:r>
      <w:r w:rsidR="00EA2C2C" w:rsidRPr="00EC5E1C">
        <w:t xml:space="preserve">, ir izstrādājušas stabilākus un darbībai atbilstošākus rādītājus; aicina aģentūras ar neatbilstīgām un skaitļos neizmērāmām galveno snieguma rādītāju sistēmām izmantot šos stingrākos modeļus un sistemātiski apmainīties ar </w:t>
      </w:r>
      <w:proofErr w:type="spellStart"/>
      <w:r w:rsidR="00EA2C2C" w:rsidRPr="00EC5E1C">
        <w:t>paraugpraksi</w:t>
      </w:r>
      <w:proofErr w:type="spellEnd"/>
      <w:r w:rsidR="00EA2C2C" w:rsidRPr="00EC5E1C">
        <w:t xml:space="preserve">, izmantojot </w:t>
      </w:r>
      <w:r w:rsidR="00EA2C2C" w:rsidRPr="00EC5E1C">
        <w:rPr>
          <w:i/>
          <w:iCs/>
        </w:rPr>
        <w:t>EUAN</w:t>
      </w:r>
      <w:r w:rsidR="00EA2C2C" w:rsidRPr="00EC5E1C">
        <w:t xml:space="preserve">, lai uzlabotu salīdzināmību, palielinātu gada darbības pārskatu lietderību ārējiem lietotājiem un stiprinātu aģentūru vispārējo snieguma novērtējumu; aicina Komisiju pieprasīt, lai visos aģentūru novērtējumos saskaņā ar vienotās pieejas 60. punktu tiktu sistemātiski novērtēta katras aģentūras ietekme uz tās politikas jomu un lai saprātīgā termiņā tiktu izbeigtas programmas vai darbības, kas nav izrādījušās efektīvas, pārdalot </w:t>
      </w:r>
      <w:r w:rsidR="00EA2C2C" w:rsidRPr="00EC5E1C">
        <w:lastRenderedPageBreak/>
        <w:t>līdzekļus efektīvākiem pasākumiem;</w:t>
      </w:r>
    </w:p>
    <w:p w14:paraId="28AE33CE" w14:textId="19E2D506" w:rsidR="00EA2C2C" w:rsidRPr="00EC5E1C" w:rsidRDefault="00EC5E1C" w:rsidP="00EA2C2C">
      <w:pPr>
        <w:pStyle w:val="NormalHanging12a"/>
      </w:pPr>
      <w:r w:rsidRPr="00EC5E1C">
        <w:t>21</w:t>
      </w:r>
      <w:r w:rsidR="00EA2C2C" w:rsidRPr="00EC5E1C">
        <w:t>.</w:t>
      </w:r>
      <w:r w:rsidR="00EA2C2C" w:rsidRPr="00EC5E1C">
        <w:tab/>
        <w:t>vērš uzmanību uz Eiropas Biroja krāpšanas apkarošanai (</w:t>
      </w:r>
      <w:r w:rsidR="00EA2C2C" w:rsidRPr="00EC5E1C">
        <w:rPr>
          <w:i/>
          <w:iCs/>
        </w:rPr>
        <w:t>OLAF</w:t>
      </w:r>
      <w:r w:rsidR="00EA2C2C" w:rsidRPr="00EC5E1C">
        <w:t xml:space="preserve">) izmeklēšanām, kas skar vairākas aģentūras: </w:t>
      </w:r>
      <w:r w:rsidR="00EA2C2C" w:rsidRPr="00EC5E1C">
        <w:rPr>
          <w:i/>
          <w:iCs/>
        </w:rPr>
        <w:t>ENISA</w:t>
      </w:r>
      <w:r w:rsidR="00EA2C2C" w:rsidRPr="00EC5E1C">
        <w:t xml:space="preserve"> (divas 2024. gada lietas, viena izskatīšanā esoša lieta, viena izbeigta lieta un 2025. gada darbā pieņemšanas lieta), </w:t>
      </w:r>
      <w:proofErr w:type="spellStart"/>
      <w:r w:rsidR="00EA2C2C" w:rsidRPr="00EC5E1C">
        <w:rPr>
          <w:i/>
          <w:iCs/>
        </w:rPr>
        <w:t>eu</w:t>
      </w:r>
      <w:proofErr w:type="spellEnd"/>
      <w:r w:rsidR="00EA2C2C" w:rsidRPr="00EC5E1C">
        <w:rPr>
          <w:i/>
          <w:iCs/>
        </w:rPr>
        <w:t>-LISA</w:t>
      </w:r>
      <w:r w:rsidR="00EA2C2C" w:rsidRPr="00EC5E1C">
        <w:t xml:space="preserve"> (interešu konflikta un iepirkuma pārbaudes), </w:t>
      </w:r>
      <w:r w:rsidR="00EA2C2C" w:rsidRPr="00EC5E1C">
        <w:rPr>
          <w:i/>
          <w:iCs/>
        </w:rPr>
        <w:t>EIT</w:t>
      </w:r>
      <w:r w:rsidR="00EA2C2C" w:rsidRPr="00EC5E1C">
        <w:t xml:space="preserve"> (trīs ar ZIK saistītas lietas pabeigtas ar 15‑20 miljonu EUR atgūšanu), </w:t>
      </w:r>
      <w:proofErr w:type="spellStart"/>
      <w:r w:rsidR="00EA2C2C" w:rsidRPr="00EC5E1C">
        <w:rPr>
          <w:i/>
          <w:iCs/>
        </w:rPr>
        <w:t>Frontex</w:t>
      </w:r>
      <w:proofErr w:type="spellEnd"/>
      <w:r w:rsidR="00EA2C2C" w:rsidRPr="00EC5E1C">
        <w:t xml:space="preserve"> (divas izskatīšanā esošas lietas, astoņas pabeigtas lietas 2023.‑2024. gadā) un </w:t>
      </w:r>
      <w:r w:rsidR="00EA2C2C" w:rsidRPr="00EC5E1C">
        <w:rPr>
          <w:i/>
          <w:iCs/>
        </w:rPr>
        <w:t>ACER</w:t>
      </w:r>
      <w:r w:rsidR="00EA2C2C" w:rsidRPr="00EC5E1C">
        <w:t xml:space="preserve"> un EVA notiekošās izmeklēšanas; mudina visas ES aģentūras nodrošināt pilnīgu sadarbību ar </w:t>
      </w:r>
      <w:r w:rsidR="00EA2C2C" w:rsidRPr="00EC5E1C">
        <w:rPr>
          <w:i/>
          <w:iCs/>
        </w:rPr>
        <w:t>OLAF</w:t>
      </w:r>
      <w:r w:rsidR="00EA2C2C" w:rsidRPr="00EC5E1C">
        <w:t xml:space="preserve">, stiprināt iekšējo kontroli, darbā pieņemšanas un iepirkuma aizsardzības pasākumus un sniegt papildu informāciju budžeta izpildes </w:t>
      </w:r>
      <w:proofErr w:type="spellStart"/>
      <w:r w:rsidR="00EA2C2C" w:rsidRPr="00EC5E1C">
        <w:t>apstiprinātājiestādei</w:t>
      </w:r>
      <w:proofErr w:type="spellEnd"/>
      <w:r w:rsidR="00EA2C2C" w:rsidRPr="00EC5E1C">
        <w:t>, tiklīdz būs atcelti konfidencialitātes ierobežojumi;</w:t>
      </w:r>
    </w:p>
    <w:p w14:paraId="3E063749" w14:textId="2E131675" w:rsidR="00EA2C2C" w:rsidRPr="00EC5E1C" w:rsidRDefault="00EC5E1C" w:rsidP="00EA2C2C">
      <w:pPr>
        <w:pStyle w:val="NormalHanging12a"/>
      </w:pPr>
      <w:r w:rsidRPr="00EC5E1C">
        <w:t>22</w:t>
      </w:r>
      <w:r w:rsidR="00EA2C2C" w:rsidRPr="00EC5E1C">
        <w:t>.</w:t>
      </w:r>
      <w:r w:rsidR="00EA2C2C" w:rsidRPr="00EC5E1C">
        <w:tab/>
        <w:t xml:space="preserve">atgādina, ka 2019. gadā tika ievērojami paplašinātas </w:t>
      </w:r>
      <w:proofErr w:type="spellStart"/>
      <w:r w:rsidR="00EA2C2C" w:rsidRPr="00EC5E1C">
        <w:rPr>
          <w:i/>
          <w:iCs/>
        </w:rPr>
        <w:t>Frontex</w:t>
      </w:r>
      <w:proofErr w:type="spellEnd"/>
      <w:r w:rsidR="00EA2C2C" w:rsidRPr="00EC5E1C">
        <w:t xml:space="preserve"> pilnvaras, kad ar pārskatīto regulu tika paplašināti tās uzdevumi un apstiprināts 10 000 robežsargu pastāvīgais korpuss, attiecīgi palielinot budžetu; uzsver, ka budžeta palielinājumi neatkarīgi no attiecīgās aģentūras vienmēr ir jāsaskaņo ar pienācīgiem </w:t>
      </w:r>
      <w:proofErr w:type="spellStart"/>
      <w:r w:rsidR="00EA2C2C" w:rsidRPr="00EC5E1C">
        <w:t>pārskatatbildības</w:t>
      </w:r>
      <w:proofErr w:type="spellEnd"/>
      <w:r w:rsidR="00EA2C2C" w:rsidRPr="00EC5E1C">
        <w:t xml:space="preserve"> un </w:t>
      </w:r>
      <w:proofErr w:type="spellStart"/>
      <w:r w:rsidR="00EA2C2C" w:rsidRPr="00EC5E1C">
        <w:t>pārredzamības</w:t>
      </w:r>
      <w:proofErr w:type="spellEnd"/>
      <w:r w:rsidR="00EA2C2C" w:rsidRPr="00EC5E1C">
        <w:t xml:space="preserve"> noteikumiem;</w:t>
      </w:r>
    </w:p>
    <w:p w14:paraId="0F83B002" w14:textId="2D5140BA" w:rsidR="00EA2C2C" w:rsidRPr="00EC5E1C" w:rsidRDefault="00EC5E1C" w:rsidP="00EA2C2C">
      <w:pPr>
        <w:pStyle w:val="NormalHanging12a"/>
      </w:pPr>
      <w:r w:rsidRPr="00EC5E1C">
        <w:t>23</w:t>
      </w:r>
      <w:r w:rsidR="00EA2C2C" w:rsidRPr="00EC5E1C">
        <w:t>.</w:t>
      </w:r>
      <w:r w:rsidR="00EA2C2C" w:rsidRPr="00EC5E1C">
        <w:tab/>
        <w:t xml:space="preserve">norāda, ka, neiekļaujot nepiedalīšanās (pārtraukšanas) klauzulas, kas ļauj priekšlaicīgi izbeigt nomas līgumus, joprojām tiek radīts finansiāls risks ES aģentūrām; atgādina, ka šādu klauzulu iekļaušanu nomas līgumos tika skaidri uzsvērta saistībā ar sarežģīto situāciju, ar ko pēc </w:t>
      </w:r>
      <w:proofErr w:type="spellStart"/>
      <w:r w:rsidR="00EA2C2C" w:rsidRPr="00EC5E1C">
        <w:rPr>
          <w:i/>
          <w:iCs/>
        </w:rPr>
        <w:t>Brexit</w:t>
      </w:r>
      <w:proofErr w:type="spellEnd"/>
      <w:r w:rsidR="00EA2C2C" w:rsidRPr="00EC5E1C">
        <w:t xml:space="preserve"> </w:t>
      </w:r>
      <w:proofErr w:type="spellStart"/>
      <w:r w:rsidR="00EA2C2C" w:rsidRPr="00EC5E1C">
        <w:t>saskārās</w:t>
      </w:r>
      <w:proofErr w:type="spellEnd"/>
      <w:r w:rsidR="00EA2C2C" w:rsidRPr="00EC5E1C">
        <w:t xml:space="preserve"> Eiropas Zāļu aģentūra (</w:t>
      </w:r>
      <w:r w:rsidR="00EA2C2C" w:rsidRPr="00EC5E1C">
        <w:rPr>
          <w:i/>
          <w:iCs/>
        </w:rPr>
        <w:t>EMA</w:t>
      </w:r>
      <w:r w:rsidR="00EA2C2C" w:rsidRPr="00EC5E1C">
        <w:t>), kura nespēja izbeigt ilgtermiņa nomas līgumu Londonā un tāpēc tai bija jāmaksā nomas maksa gan Londonā, gan Amsterdamā; atzīst, ka kopš 2019. gada vairākas aģentūras ir ieviesušas pārtraukšanas klauzulas, taču pauž nožēlu, ka ne visas aģentūras to ir izdarījušas, tostarp gadījumos, kad tika parakstīti jauni vai atjaunoti nomas līgumi; mudina aģentūras un Komisiju, apspriežot vai atjaunojot nomas līgumus, sistemātiski  ieviest pārtraukšanas klauzulu, ņemot vērā iepriekš gūto pieredzi, lai ierobežotu finansiālo risku un nodrošinātu lielāku budžeta elastību;</w:t>
      </w:r>
    </w:p>
    <w:p w14:paraId="4A03F0F4" w14:textId="77777777" w:rsidR="00EA2C2C" w:rsidRPr="00EC5E1C" w:rsidRDefault="00EA2C2C" w:rsidP="00EA2C2C">
      <w:pPr>
        <w:pStyle w:val="NormalHanging12a"/>
        <w:rPr>
          <w:b/>
          <w:i/>
        </w:rPr>
      </w:pPr>
      <w:r w:rsidRPr="00EC5E1C">
        <w:rPr>
          <w:b/>
          <w:i/>
        </w:rPr>
        <w:t>Budžeta un finanšu pārvaldība</w:t>
      </w:r>
    </w:p>
    <w:p w14:paraId="143F8B46" w14:textId="212CD838" w:rsidR="00EA2C2C" w:rsidRPr="00EC5E1C" w:rsidRDefault="00EC5E1C" w:rsidP="00EA2C2C">
      <w:pPr>
        <w:pStyle w:val="NormalHanging12a"/>
        <w:rPr>
          <w:bCs/>
          <w:iCs/>
        </w:rPr>
      </w:pPr>
      <w:r w:rsidRPr="00EC5E1C">
        <w:t>24</w:t>
      </w:r>
      <w:r w:rsidR="00EA2C2C" w:rsidRPr="00EC5E1C">
        <w:t>.</w:t>
      </w:r>
      <w:r w:rsidR="00EA2C2C" w:rsidRPr="00EC5E1C">
        <w:tab/>
        <w:t>norāda, ka šajā rezolūcijā iekļauto 33 ES aģentūru kopējie galīgie ieņēmumi 2024. gadā (pēc budžeta grozījumiem) un salīdzināmie skaitļi par 2023. gadu sadalās šādi</w:t>
      </w:r>
      <w:r w:rsidR="00EA2C2C" w:rsidRPr="00EC5E1C">
        <w:rPr>
          <w:bCs/>
          <w:iCs/>
          <w:vertAlign w:val="superscript"/>
        </w:rPr>
        <w:footnoteReference w:id="399"/>
      </w:r>
      <w:r w:rsidR="00EA2C2C" w:rsidRPr="00EC5E1C">
        <w:t>:</w:t>
      </w:r>
    </w:p>
    <w:tbl>
      <w:tblPr>
        <w:tblW w:w="8428" w:type="dxa"/>
        <w:tblLook w:val="04A0" w:firstRow="1" w:lastRow="0" w:firstColumn="1" w:lastColumn="0" w:noHBand="0" w:noVBand="1"/>
      </w:tblPr>
      <w:tblGrid>
        <w:gridCol w:w="2122"/>
        <w:gridCol w:w="2126"/>
        <w:gridCol w:w="2126"/>
        <w:gridCol w:w="2054"/>
      </w:tblGrid>
      <w:tr w:rsidR="00EA2C2C" w:rsidRPr="00EC5E1C" w14:paraId="23333EDF" w14:textId="77777777" w:rsidTr="00F70034">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64CEAC9B" w14:textId="77777777" w:rsidR="00EA2C2C" w:rsidRPr="00EC5E1C" w:rsidRDefault="00EA2C2C" w:rsidP="00F70034">
            <w:pPr>
              <w:pStyle w:val="NormalHanging12a"/>
              <w:rPr>
                <w:b/>
                <w:bCs/>
              </w:rPr>
            </w:pPr>
            <w:r w:rsidRPr="00EC5E1C">
              <w:rPr>
                <w:b/>
              </w:rPr>
              <w:t>Nosaukums</w:t>
            </w:r>
          </w:p>
        </w:tc>
        <w:tc>
          <w:tcPr>
            <w:tcW w:w="2126" w:type="dxa"/>
            <w:tcBorders>
              <w:top w:val="single" w:sz="4" w:space="0" w:color="auto"/>
              <w:left w:val="nil"/>
              <w:bottom w:val="single" w:sz="4" w:space="0" w:color="auto"/>
              <w:right w:val="single" w:sz="4" w:space="0" w:color="auto"/>
            </w:tcBorders>
            <w:noWrap/>
            <w:vAlign w:val="bottom"/>
            <w:hideMark/>
          </w:tcPr>
          <w:p w14:paraId="67C0AEA4" w14:textId="77777777" w:rsidR="00EA2C2C" w:rsidRPr="00EC5E1C" w:rsidRDefault="00EA2C2C" w:rsidP="00F70034">
            <w:pPr>
              <w:pStyle w:val="NormalHanging12a"/>
              <w:rPr>
                <w:b/>
                <w:bCs/>
              </w:rPr>
            </w:pPr>
            <w:r w:rsidRPr="00EC5E1C">
              <w:rPr>
                <w:b/>
              </w:rPr>
              <w:t>2024. gada ieņēmumi</w:t>
            </w:r>
          </w:p>
        </w:tc>
        <w:tc>
          <w:tcPr>
            <w:tcW w:w="2126" w:type="dxa"/>
            <w:tcBorders>
              <w:top w:val="single" w:sz="4" w:space="0" w:color="auto"/>
              <w:left w:val="nil"/>
              <w:bottom w:val="single" w:sz="4" w:space="0" w:color="auto"/>
              <w:right w:val="single" w:sz="4" w:space="0" w:color="auto"/>
            </w:tcBorders>
            <w:noWrap/>
            <w:vAlign w:val="bottom"/>
            <w:hideMark/>
          </w:tcPr>
          <w:p w14:paraId="65F8BED7" w14:textId="77777777" w:rsidR="00EA2C2C" w:rsidRPr="00EC5E1C" w:rsidRDefault="00EA2C2C" w:rsidP="00F70034">
            <w:pPr>
              <w:pStyle w:val="NormalHanging12a"/>
              <w:rPr>
                <w:b/>
                <w:bCs/>
              </w:rPr>
            </w:pPr>
            <w:r w:rsidRPr="00EC5E1C">
              <w:rPr>
                <w:b/>
              </w:rPr>
              <w:t>2023.  gada ieņēmumi</w:t>
            </w:r>
          </w:p>
        </w:tc>
        <w:tc>
          <w:tcPr>
            <w:tcW w:w="2054" w:type="dxa"/>
            <w:tcBorders>
              <w:top w:val="single" w:sz="4" w:space="0" w:color="auto"/>
              <w:left w:val="nil"/>
              <w:bottom w:val="single" w:sz="4" w:space="0" w:color="auto"/>
              <w:right w:val="single" w:sz="4" w:space="0" w:color="auto"/>
            </w:tcBorders>
            <w:noWrap/>
            <w:vAlign w:val="bottom"/>
            <w:hideMark/>
          </w:tcPr>
          <w:p w14:paraId="12BE2236" w14:textId="77777777" w:rsidR="00EA2C2C" w:rsidRPr="00EC5E1C" w:rsidRDefault="00EA2C2C" w:rsidP="00F70034">
            <w:pPr>
              <w:pStyle w:val="NormalHanging12a"/>
              <w:rPr>
                <w:b/>
                <w:bCs/>
              </w:rPr>
            </w:pPr>
            <w:r w:rsidRPr="00EC5E1C">
              <w:rPr>
                <w:b/>
              </w:rPr>
              <w:t>∆</w:t>
            </w:r>
          </w:p>
        </w:tc>
      </w:tr>
      <w:tr w:rsidR="00EA2C2C" w:rsidRPr="00EC5E1C" w14:paraId="08F33DEF"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FFFAEE6" w14:textId="77777777" w:rsidR="00EA2C2C" w:rsidRPr="00EC5E1C" w:rsidRDefault="00EA2C2C" w:rsidP="00F70034">
            <w:pPr>
              <w:pStyle w:val="NormalHanging12a"/>
            </w:pPr>
            <w:r w:rsidRPr="00EC5E1C">
              <w:rPr>
                <w:i/>
                <w:iCs/>
              </w:rPr>
              <w:t>ACER</w:t>
            </w:r>
          </w:p>
        </w:tc>
        <w:tc>
          <w:tcPr>
            <w:tcW w:w="2126" w:type="dxa"/>
            <w:tcBorders>
              <w:top w:val="nil"/>
              <w:left w:val="nil"/>
              <w:bottom w:val="single" w:sz="4" w:space="0" w:color="auto"/>
              <w:right w:val="single" w:sz="4" w:space="0" w:color="auto"/>
            </w:tcBorders>
            <w:noWrap/>
            <w:vAlign w:val="bottom"/>
            <w:hideMark/>
          </w:tcPr>
          <w:p w14:paraId="0EE5AF1C" w14:textId="77777777" w:rsidR="00EA2C2C" w:rsidRPr="00EC5E1C" w:rsidRDefault="00EA2C2C" w:rsidP="00F70034">
            <w:pPr>
              <w:pStyle w:val="NormalHanging12a"/>
            </w:pPr>
            <w:r w:rsidRPr="00EC5E1C">
              <w:t>€34.689.993,00</w:t>
            </w:r>
          </w:p>
        </w:tc>
        <w:tc>
          <w:tcPr>
            <w:tcW w:w="2126" w:type="dxa"/>
            <w:tcBorders>
              <w:top w:val="nil"/>
              <w:left w:val="nil"/>
              <w:bottom w:val="single" w:sz="4" w:space="0" w:color="auto"/>
              <w:right w:val="single" w:sz="4" w:space="0" w:color="auto"/>
            </w:tcBorders>
            <w:noWrap/>
            <w:vAlign w:val="bottom"/>
            <w:hideMark/>
          </w:tcPr>
          <w:p w14:paraId="1C7B7AE6" w14:textId="77777777" w:rsidR="00EA2C2C" w:rsidRPr="00EC5E1C" w:rsidRDefault="00EA2C2C" w:rsidP="00F70034">
            <w:pPr>
              <w:pStyle w:val="NormalHanging12a"/>
            </w:pPr>
            <w:r w:rsidRPr="00EC5E1C">
              <w:t>€29.582.967,00</w:t>
            </w:r>
          </w:p>
        </w:tc>
        <w:tc>
          <w:tcPr>
            <w:tcW w:w="2054" w:type="dxa"/>
            <w:tcBorders>
              <w:top w:val="nil"/>
              <w:left w:val="nil"/>
              <w:bottom w:val="single" w:sz="4" w:space="0" w:color="auto"/>
              <w:right w:val="single" w:sz="4" w:space="0" w:color="auto"/>
            </w:tcBorders>
            <w:shd w:val="clear" w:color="auto" w:fill="FFFFFF"/>
            <w:noWrap/>
            <w:vAlign w:val="center"/>
            <w:hideMark/>
          </w:tcPr>
          <w:p w14:paraId="48268619" w14:textId="77777777" w:rsidR="00EA2C2C" w:rsidRPr="00EC5E1C" w:rsidRDefault="00EA2C2C" w:rsidP="00F70034">
            <w:pPr>
              <w:pStyle w:val="NormalHanging12a"/>
            </w:pPr>
            <w:r w:rsidRPr="00EC5E1C">
              <w:t>17,26 %</w:t>
            </w:r>
          </w:p>
        </w:tc>
      </w:tr>
      <w:tr w:rsidR="00EA2C2C" w:rsidRPr="00EC5E1C" w14:paraId="6D68FA9B"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69BACEC" w14:textId="77777777" w:rsidR="00EA2C2C" w:rsidRPr="00EC5E1C" w:rsidRDefault="00EA2C2C" w:rsidP="00F70034">
            <w:pPr>
              <w:pStyle w:val="NormalHanging12a"/>
            </w:pPr>
            <w:r w:rsidRPr="00EC5E1C">
              <w:rPr>
                <w:i/>
                <w:iCs/>
              </w:rPr>
              <w:t>BEREC</w:t>
            </w:r>
            <w:r w:rsidRPr="00EC5E1C">
              <w:t xml:space="preserve"> birojs</w:t>
            </w:r>
          </w:p>
        </w:tc>
        <w:tc>
          <w:tcPr>
            <w:tcW w:w="2126" w:type="dxa"/>
            <w:tcBorders>
              <w:top w:val="nil"/>
              <w:left w:val="nil"/>
              <w:bottom w:val="single" w:sz="4" w:space="0" w:color="auto"/>
              <w:right w:val="single" w:sz="4" w:space="0" w:color="auto"/>
            </w:tcBorders>
            <w:noWrap/>
            <w:vAlign w:val="bottom"/>
            <w:hideMark/>
          </w:tcPr>
          <w:p w14:paraId="4D45D54A" w14:textId="77777777" w:rsidR="00EA2C2C" w:rsidRPr="00EC5E1C" w:rsidRDefault="00EA2C2C" w:rsidP="00F70034">
            <w:pPr>
              <w:pStyle w:val="NormalHanging12a"/>
            </w:pPr>
            <w:r w:rsidRPr="00EC5E1C">
              <w:t>€7.932.805,00</w:t>
            </w:r>
          </w:p>
        </w:tc>
        <w:tc>
          <w:tcPr>
            <w:tcW w:w="2126" w:type="dxa"/>
            <w:tcBorders>
              <w:top w:val="nil"/>
              <w:left w:val="nil"/>
              <w:bottom w:val="single" w:sz="4" w:space="0" w:color="auto"/>
              <w:right w:val="single" w:sz="4" w:space="0" w:color="auto"/>
            </w:tcBorders>
            <w:noWrap/>
            <w:vAlign w:val="bottom"/>
            <w:hideMark/>
          </w:tcPr>
          <w:p w14:paraId="0B1465F5" w14:textId="77777777" w:rsidR="00EA2C2C" w:rsidRPr="00EC5E1C" w:rsidRDefault="00EA2C2C" w:rsidP="00F70034">
            <w:pPr>
              <w:pStyle w:val="NormalHanging12a"/>
            </w:pPr>
            <w:r w:rsidRPr="00EC5E1C">
              <w:t>€7.697.264,87</w:t>
            </w:r>
          </w:p>
        </w:tc>
        <w:tc>
          <w:tcPr>
            <w:tcW w:w="2054" w:type="dxa"/>
            <w:tcBorders>
              <w:top w:val="nil"/>
              <w:left w:val="nil"/>
              <w:bottom w:val="single" w:sz="4" w:space="0" w:color="auto"/>
              <w:right w:val="single" w:sz="4" w:space="0" w:color="auto"/>
            </w:tcBorders>
            <w:shd w:val="clear" w:color="auto" w:fill="FFFFFF"/>
            <w:noWrap/>
            <w:vAlign w:val="center"/>
            <w:hideMark/>
          </w:tcPr>
          <w:p w14:paraId="289814F6" w14:textId="77777777" w:rsidR="00EA2C2C" w:rsidRPr="00EC5E1C" w:rsidRDefault="00EA2C2C" w:rsidP="00F70034">
            <w:pPr>
              <w:pStyle w:val="NormalHanging12a"/>
            </w:pPr>
            <w:r w:rsidRPr="00EC5E1C">
              <w:t>3,06 %</w:t>
            </w:r>
          </w:p>
        </w:tc>
      </w:tr>
      <w:tr w:rsidR="00EA2C2C" w:rsidRPr="00EC5E1C" w14:paraId="24BA6444"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6F62F2F5" w14:textId="77777777" w:rsidR="00EA2C2C" w:rsidRPr="00EC5E1C" w:rsidRDefault="00EA2C2C" w:rsidP="00F70034">
            <w:pPr>
              <w:pStyle w:val="NormalHanging12a"/>
            </w:pPr>
            <w:proofErr w:type="spellStart"/>
            <w:r w:rsidRPr="00EC5E1C">
              <w:rPr>
                <w:i/>
                <w:iCs/>
              </w:rPr>
              <w:t>CdT</w:t>
            </w:r>
            <w:proofErr w:type="spellEnd"/>
            <w:r w:rsidRPr="00EC5E1C">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420F9B83" w14:textId="77777777" w:rsidR="00EA2C2C" w:rsidRPr="00EC5E1C" w:rsidRDefault="00EA2C2C" w:rsidP="00F70034">
            <w:pPr>
              <w:pStyle w:val="NormalHanging12a"/>
            </w:pPr>
            <w:r w:rsidRPr="00EC5E1C">
              <w:t>€45.346.300,00</w:t>
            </w:r>
          </w:p>
        </w:tc>
        <w:tc>
          <w:tcPr>
            <w:tcW w:w="2126" w:type="dxa"/>
            <w:tcBorders>
              <w:top w:val="nil"/>
              <w:left w:val="nil"/>
              <w:bottom w:val="single" w:sz="4" w:space="0" w:color="auto"/>
              <w:right w:val="single" w:sz="4" w:space="0" w:color="auto"/>
            </w:tcBorders>
            <w:noWrap/>
            <w:vAlign w:val="bottom"/>
            <w:hideMark/>
          </w:tcPr>
          <w:p w14:paraId="6BCDC9D4" w14:textId="77777777" w:rsidR="00EA2C2C" w:rsidRPr="00EC5E1C" w:rsidRDefault="00EA2C2C" w:rsidP="00F70034">
            <w:pPr>
              <w:pStyle w:val="NormalHanging12a"/>
            </w:pPr>
            <w:r w:rsidRPr="00EC5E1C">
              <w:t>€47.140.900,00</w:t>
            </w:r>
          </w:p>
        </w:tc>
        <w:tc>
          <w:tcPr>
            <w:tcW w:w="2054" w:type="dxa"/>
            <w:tcBorders>
              <w:top w:val="nil"/>
              <w:left w:val="nil"/>
              <w:bottom w:val="single" w:sz="4" w:space="0" w:color="auto"/>
              <w:right w:val="single" w:sz="4" w:space="0" w:color="auto"/>
            </w:tcBorders>
            <w:shd w:val="clear" w:color="auto" w:fill="FFFFFF"/>
            <w:noWrap/>
            <w:vAlign w:val="center"/>
            <w:hideMark/>
          </w:tcPr>
          <w:p w14:paraId="50C4B0AB" w14:textId="77777777" w:rsidR="00EA2C2C" w:rsidRPr="00EC5E1C" w:rsidRDefault="00EA2C2C" w:rsidP="00F70034">
            <w:pPr>
              <w:pStyle w:val="NormalHanging12a"/>
            </w:pPr>
            <w:r w:rsidRPr="00EC5E1C">
              <w:t>-3,81 %</w:t>
            </w:r>
          </w:p>
        </w:tc>
      </w:tr>
      <w:tr w:rsidR="00EA2C2C" w:rsidRPr="00EC5E1C" w14:paraId="4098D8DC"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1DA55DDF" w14:textId="77777777" w:rsidR="00EA2C2C" w:rsidRPr="00EC5E1C" w:rsidRDefault="00EA2C2C" w:rsidP="00F70034">
            <w:pPr>
              <w:pStyle w:val="NormalHanging12a"/>
            </w:pPr>
            <w:r w:rsidRPr="00EC5E1C">
              <w:rPr>
                <w:i/>
                <w:iCs/>
              </w:rPr>
              <w:t>CEDEFOP</w:t>
            </w:r>
          </w:p>
        </w:tc>
        <w:tc>
          <w:tcPr>
            <w:tcW w:w="2126" w:type="dxa"/>
            <w:tcBorders>
              <w:top w:val="nil"/>
              <w:left w:val="nil"/>
              <w:bottom w:val="single" w:sz="4" w:space="0" w:color="auto"/>
              <w:right w:val="single" w:sz="4" w:space="0" w:color="auto"/>
            </w:tcBorders>
            <w:noWrap/>
            <w:vAlign w:val="bottom"/>
            <w:hideMark/>
          </w:tcPr>
          <w:p w14:paraId="6C0EED54" w14:textId="77777777" w:rsidR="00EA2C2C" w:rsidRPr="00EC5E1C" w:rsidRDefault="00EA2C2C" w:rsidP="00F70034">
            <w:pPr>
              <w:pStyle w:val="NormalHanging12a"/>
            </w:pPr>
            <w:r w:rsidRPr="00EC5E1C">
              <w:t>€21.422.022,00</w:t>
            </w:r>
          </w:p>
        </w:tc>
        <w:tc>
          <w:tcPr>
            <w:tcW w:w="2126" w:type="dxa"/>
            <w:tcBorders>
              <w:top w:val="nil"/>
              <w:left w:val="nil"/>
              <w:bottom w:val="single" w:sz="4" w:space="0" w:color="auto"/>
              <w:right w:val="single" w:sz="4" w:space="0" w:color="auto"/>
            </w:tcBorders>
            <w:noWrap/>
            <w:vAlign w:val="bottom"/>
            <w:hideMark/>
          </w:tcPr>
          <w:p w14:paraId="13B3ADFF" w14:textId="77777777" w:rsidR="00EA2C2C" w:rsidRPr="00EC5E1C" w:rsidRDefault="00EA2C2C" w:rsidP="00F70034">
            <w:pPr>
              <w:pStyle w:val="NormalHanging12a"/>
            </w:pPr>
            <w:r w:rsidRPr="00EC5E1C">
              <w:t>€20.140.610,00</w:t>
            </w:r>
          </w:p>
        </w:tc>
        <w:tc>
          <w:tcPr>
            <w:tcW w:w="2054" w:type="dxa"/>
            <w:tcBorders>
              <w:top w:val="nil"/>
              <w:left w:val="nil"/>
              <w:bottom w:val="single" w:sz="4" w:space="0" w:color="auto"/>
              <w:right w:val="single" w:sz="4" w:space="0" w:color="auto"/>
            </w:tcBorders>
            <w:shd w:val="clear" w:color="auto" w:fill="FFFFFF"/>
            <w:noWrap/>
            <w:vAlign w:val="center"/>
            <w:hideMark/>
          </w:tcPr>
          <w:p w14:paraId="6F26DA7D" w14:textId="77777777" w:rsidR="00EA2C2C" w:rsidRPr="00EC5E1C" w:rsidRDefault="00EA2C2C" w:rsidP="00F70034">
            <w:pPr>
              <w:pStyle w:val="NormalHanging12a"/>
            </w:pPr>
            <w:r w:rsidRPr="00EC5E1C">
              <w:t>6,36 %</w:t>
            </w:r>
          </w:p>
        </w:tc>
      </w:tr>
      <w:tr w:rsidR="00EA2C2C" w:rsidRPr="00EC5E1C" w14:paraId="0DC364E1"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42C435AE" w14:textId="77777777" w:rsidR="00EA2C2C" w:rsidRPr="00EC5E1C" w:rsidRDefault="00EA2C2C" w:rsidP="00F70034">
            <w:pPr>
              <w:pStyle w:val="NormalHanging12a"/>
            </w:pPr>
            <w:r w:rsidRPr="00EC5E1C">
              <w:rPr>
                <w:i/>
                <w:iCs/>
              </w:rPr>
              <w:t>CEPOL</w:t>
            </w:r>
          </w:p>
        </w:tc>
        <w:tc>
          <w:tcPr>
            <w:tcW w:w="2126" w:type="dxa"/>
            <w:tcBorders>
              <w:top w:val="nil"/>
              <w:left w:val="nil"/>
              <w:bottom w:val="single" w:sz="4" w:space="0" w:color="auto"/>
              <w:right w:val="single" w:sz="4" w:space="0" w:color="auto"/>
            </w:tcBorders>
            <w:noWrap/>
            <w:vAlign w:val="bottom"/>
            <w:hideMark/>
          </w:tcPr>
          <w:p w14:paraId="7C4C322B" w14:textId="77777777" w:rsidR="00EA2C2C" w:rsidRPr="00EC5E1C" w:rsidRDefault="00EA2C2C" w:rsidP="00F70034">
            <w:pPr>
              <w:pStyle w:val="NormalHanging12a"/>
            </w:pPr>
            <w:r w:rsidRPr="00EC5E1C">
              <w:t>€12.589.437,00</w:t>
            </w:r>
          </w:p>
        </w:tc>
        <w:tc>
          <w:tcPr>
            <w:tcW w:w="2126" w:type="dxa"/>
            <w:tcBorders>
              <w:top w:val="nil"/>
              <w:left w:val="nil"/>
              <w:bottom w:val="single" w:sz="4" w:space="0" w:color="auto"/>
              <w:right w:val="single" w:sz="4" w:space="0" w:color="auto"/>
            </w:tcBorders>
            <w:noWrap/>
            <w:vAlign w:val="bottom"/>
            <w:hideMark/>
          </w:tcPr>
          <w:p w14:paraId="122D9349" w14:textId="77777777" w:rsidR="00EA2C2C" w:rsidRPr="00EC5E1C" w:rsidRDefault="00EA2C2C" w:rsidP="00F70034">
            <w:pPr>
              <w:pStyle w:val="NormalHanging12a"/>
            </w:pPr>
            <w:r w:rsidRPr="00EC5E1C">
              <w:t>€14.211.723,00</w:t>
            </w:r>
          </w:p>
        </w:tc>
        <w:tc>
          <w:tcPr>
            <w:tcW w:w="2054" w:type="dxa"/>
            <w:tcBorders>
              <w:top w:val="nil"/>
              <w:left w:val="nil"/>
              <w:bottom w:val="single" w:sz="4" w:space="0" w:color="auto"/>
              <w:right w:val="single" w:sz="4" w:space="0" w:color="auto"/>
            </w:tcBorders>
            <w:shd w:val="clear" w:color="auto" w:fill="FFFFFF"/>
            <w:noWrap/>
            <w:vAlign w:val="center"/>
            <w:hideMark/>
          </w:tcPr>
          <w:p w14:paraId="79780E24" w14:textId="77777777" w:rsidR="00EA2C2C" w:rsidRPr="00EC5E1C" w:rsidRDefault="00EA2C2C" w:rsidP="00F70034">
            <w:pPr>
              <w:pStyle w:val="NormalHanging12a"/>
            </w:pPr>
            <w:r w:rsidRPr="00EC5E1C">
              <w:t>-11,42 %</w:t>
            </w:r>
          </w:p>
        </w:tc>
      </w:tr>
      <w:tr w:rsidR="00EA2C2C" w:rsidRPr="00EC5E1C" w14:paraId="2D5DD1A3"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1C01D180" w14:textId="77777777" w:rsidR="00EA2C2C" w:rsidRPr="00EC5E1C" w:rsidRDefault="00EA2C2C" w:rsidP="00F70034">
            <w:pPr>
              <w:pStyle w:val="NormalHanging12a"/>
            </w:pPr>
            <w:r w:rsidRPr="00EC5E1C">
              <w:rPr>
                <w:i/>
                <w:iCs/>
              </w:rPr>
              <w:lastRenderedPageBreak/>
              <w:t>EASA</w:t>
            </w:r>
            <w:r w:rsidRPr="00EC5E1C">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0CCED31A" w14:textId="77777777" w:rsidR="00EA2C2C" w:rsidRPr="00EC5E1C" w:rsidRDefault="00EA2C2C" w:rsidP="00F70034">
            <w:pPr>
              <w:pStyle w:val="NormalHanging12a"/>
            </w:pPr>
            <w:r w:rsidRPr="00EC5E1C">
              <w:t>€183.306.903,00</w:t>
            </w:r>
          </w:p>
        </w:tc>
        <w:tc>
          <w:tcPr>
            <w:tcW w:w="2126" w:type="dxa"/>
            <w:tcBorders>
              <w:top w:val="nil"/>
              <w:left w:val="nil"/>
              <w:bottom w:val="single" w:sz="4" w:space="0" w:color="auto"/>
              <w:right w:val="single" w:sz="4" w:space="0" w:color="auto"/>
            </w:tcBorders>
            <w:noWrap/>
            <w:vAlign w:val="bottom"/>
            <w:hideMark/>
          </w:tcPr>
          <w:p w14:paraId="75853760" w14:textId="77777777" w:rsidR="00EA2C2C" w:rsidRPr="00EC5E1C" w:rsidRDefault="00EA2C2C" w:rsidP="00F70034">
            <w:pPr>
              <w:pStyle w:val="NormalHanging12a"/>
            </w:pPr>
            <w:r w:rsidRPr="00EC5E1C">
              <w:t>€169.665.375,00</w:t>
            </w:r>
          </w:p>
        </w:tc>
        <w:tc>
          <w:tcPr>
            <w:tcW w:w="2054" w:type="dxa"/>
            <w:tcBorders>
              <w:top w:val="nil"/>
              <w:left w:val="nil"/>
              <w:bottom w:val="single" w:sz="4" w:space="0" w:color="auto"/>
              <w:right w:val="single" w:sz="4" w:space="0" w:color="auto"/>
            </w:tcBorders>
            <w:shd w:val="clear" w:color="auto" w:fill="FFFFFF"/>
            <w:noWrap/>
            <w:vAlign w:val="center"/>
            <w:hideMark/>
          </w:tcPr>
          <w:p w14:paraId="12AA6127" w14:textId="77777777" w:rsidR="00EA2C2C" w:rsidRPr="00EC5E1C" w:rsidRDefault="00EA2C2C" w:rsidP="00F70034">
            <w:pPr>
              <w:pStyle w:val="NormalHanging12a"/>
            </w:pPr>
            <w:r w:rsidRPr="00EC5E1C">
              <w:t>8,04 %</w:t>
            </w:r>
          </w:p>
        </w:tc>
      </w:tr>
      <w:tr w:rsidR="00EA2C2C" w:rsidRPr="00EC5E1C" w14:paraId="750FB6D3"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03402419" w14:textId="77777777" w:rsidR="00EA2C2C" w:rsidRPr="00EC5E1C" w:rsidRDefault="00EA2C2C" w:rsidP="00F70034">
            <w:pPr>
              <w:pStyle w:val="NormalHanging12a"/>
            </w:pPr>
            <w:r w:rsidRPr="00EC5E1C">
              <w:t>EBI</w:t>
            </w:r>
          </w:p>
        </w:tc>
        <w:tc>
          <w:tcPr>
            <w:tcW w:w="2126" w:type="dxa"/>
            <w:tcBorders>
              <w:top w:val="nil"/>
              <w:left w:val="nil"/>
              <w:bottom w:val="single" w:sz="4" w:space="0" w:color="auto"/>
              <w:right w:val="single" w:sz="4" w:space="0" w:color="auto"/>
            </w:tcBorders>
            <w:noWrap/>
            <w:vAlign w:val="bottom"/>
            <w:hideMark/>
          </w:tcPr>
          <w:p w14:paraId="4EB58A4E" w14:textId="77777777" w:rsidR="00EA2C2C" w:rsidRPr="00EC5E1C" w:rsidRDefault="00EA2C2C" w:rsidP="00F70034">
            <w:pPr>
              <w:pStyle w:val="NormalHanging12a"/>
            </w:pPr>
            <w:r w:rsidRPr="00EC5E1C">
              <w:t>€56.906.201,00</w:t>
            </w:r>
          </w:p>
        </w:tc>
        <w:tc>
          <w:tcPr>
            <w:tcW w:w="2126" w:type="dxa"/>
            <w:tcBorders>
              <w:top w:val="nil"/>
              <w:left w:val="nil"/>
              <w:bottom w:val="single" w:sz="4" w:space="0" w:color="auto"/>
              <w:right w:val="single" w:sz="4" w:space="0" w:color="auto"/>
            </w:tcBorders>
            <w:noWrap/>
            <w:vAlign w:val="bottom"/>
            <w:hideMark/>
          </w:tcPr>
          <w:p w14:paraId="2587A729" w14:textId="77777777" w:rsidR="00EA2C2C" w:rsidRPr="00EC5E1C" w:rsidRDefault="00EA2C2C" w:rsidP="00F70034">
            <w:pPr>
              <w:pStyle w:val="NormalHanging12a"/>
            </w:pPr>
            <w:r w:rsidRPr="00EC5E1C">
              <w:t>€52.672.001,66</w:t>
            </w:r>
          </w:p>
        </w:tc>
        <w:tc>
          <w:tcPr>
            <w:tcW w:w="2054" w:type="dxa"/>
            <w:tcBorders>
              <w:top w:val="nil"/>
              <w:left w:val="nil"/>
              <w:bottom w:val="single" w:sz="4" w:space="0" w:color="auto"/>
              <w:right w:val="single" w:sz="4" w:space="0" w:color="auto"/>
            </w:tcBorders>
            <w:shd w:val="clear" w:color="auto" w:fill="FFFFFF"/>
            <w:noWrap/>
            <w:vAlign w:val="center"/>
            <w:hideMark/>
          </w:tcPr>
          <w:p w14:paraId="60248BB0" w14:textId="77777777" w:rsidR="00EA2C2C" w:rsidRPr="00EC5E1C" w:rsidRDefault="00EA2C2C" w:rsidP="00F70034">
            <w:pPr>
              <w:pStyle w:val="NormalHanging12a"/>
            </w:pPr>
            <w:r w:rsidRPr="00EC5E1C">
              <w:t>8,04 %</w:t>
            </w:r>
          </w:p>
        </w:tc>
      </w:tr>
      <w:tr w:rsidR="00EA2C2C" w:rsidRPr="00EC5E1C" w14:paraId="7AC1C78E"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6E5BF53" w14:textId="77777777" w:rsidR="00EA2C2C" w:rsidRPr="00EC5E1C" w:rsidRDefault="00EA2C2C" w:rsidP="00F70034">
            <w:pPr>
              <w:pStyle w:val="NormalHanging12a"/>
            </w:pPr>
            <w:r w:rsidRPr="00EC5E1C">
              <w:rPr>
                <w:i/>
                <w:iCs/>
              </w:rPr>
              <w:t>ECDC</w:t>
            </w:r>
          </w:p>
        </w:tc>
        <w:tc>
          <w:tcPr>
            <w:tcW w:w="2126" w:type="dxa"/>
            <w:tcBorders>
              <w:top w:val="nil"/>
              <w:left w:val="nil"/>
              <w:bottom w:val="single" w:sz="4" w:space="0" w:color="auto"/>
              <w:right w:val="single" w:sz="4" w:space="0" w:color="auto"/>
            </w:tcBorders>
            <w:noWrap/>
            <w:vAlign w:val="bottom"/>
            <w:hideMark/>
          </w:tcPr>
          <w:p w14:paraId="66E9CAF6" w14:textId="77777777" w:rsidR="00EA2C2C" w:rsidRPr="00EC5E1C" w:rsidRDefault="00EA2C2C" w:rsidP="00F70034">
            <w:pPr>
              <w:pStyle w:val="NormalHanging12a"/>
            </w:pPr>
            <w:r w:rsidRPr="00EC5E1C">
              <w:t>€111.257.449,00</w:t>
            </w:r>
          </w:p>
        </w:tc>
        <w:tc>
          <w:tcPr>
            <w:tcW w:w="2126" w:type="dxa"/>
            <w:tcBorders>
              <w:top w:val="nil"/>
              <w:left w:val="nil"/>
              <w:bottom w:val="single" w:sz="4" w:space="0" w:color="auto"/>
              <w:right w:val="single" w:sz="4" w:space="0" w:color="auto"/>
            </w:tcBorders>
            <w:noWrap/>
            <w:vAlign w:val="bottom"/>
            <w:hideMark/>
          </w:tcPr>
          <w:p w14:paraId="321C2A4B" w14:textId="77777777" w:rsidR="00EA2C2C" w:rsidRPr="00EC5E1C" w:rsidRDefault="00EA2C2C" w:rsidP="00F70034">
            <w:pPr>
              <w:pStyle w:val="NormalHanging12a"/>
            </w:pPr>
            <w:r w:rsidRPr="00EC5E1C">
              <w:t>€102.526.724,00</w:t>
            </w:r>
          </w:p>
        </w:tc>
        <w:tc>
          <w:tcPr>
            <w:tcW w:w="2054" w:type="dxa"/>
            <w:tcBorders>
              <w:top w:val="nil"/>
              <w:left w:val="nil"/>
              <w:bottom w:val="single" w:sz="4" w:space="0" w:color="auto"/>
              <w:right w:val="single" w:sz="4" w:space="0" w:color="auto"/>
            </w:tcBorders>
            <w:shd w:val="clear" w:color="auto" w:fill="FFFFFF"/>
            <w:noWrap/>
            <w:vAlign w:val="center"/>
            <w:hideMark/>
          </w:tcPr>
          <w:p w14:paraId="7D8F3A70" w14:textId="77777777" w:rsidR="00EA2C2C" w:rsidRPr="00EC5E1C" w:rsidRDefault="00EA2C2C" w:rsidP="00F70034">
            <w:pPr>
              <w:pStyle w:val="NormalHanging12a"/>
            </w:pPr>
            <w:r w:rsidRPr="00EC5E1C">
              <w:t>8,52 %</w:t>
            </w:r>
          </w:p>
        </w:tc>
      </w:tr>
      <w:tr w:rsidR="00EA2C2C" w:rsidRPr="00EC5E1C" w14:paraId="0BB20D8F"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7118FF0" w14:textId="77777777" w:rsidR="00EA2C2C" w:rsidRPr="00EC5E1C" w:rsidRDefault="00EA2C2C" w:rsidP="00F70034">
            <w:pPr>
              <w:pStyle w:val="NormalHanging12a"/>
            </w:pPr>
            <w:r w:rsidRPr="00EC5E1C">
              <w:rPr>
                <w:i/>
                <w:iCs/>
              </w:rPr>
              <w:t>ECHA</w:t>
            </w:r>
            <w:r w:rsidRPr="00EC5E1C">
              <w:t xml:space="preserve"> </w:t>
            </w:r>
          </w:p>
        </w:tc>
        <w:tc>
          <w:tcPr>
            <w:tcW w:w="2126" w:type="dxa"/>
            <w:tcBorders>
              <w:top w:val="nil"/>
              <w:left w:val="nil"/>
              <w:bottom w:val="single" w:sz="4" w:space="0" w:color="auto"/>
              <w:right w:val="single" w:sz="4" w:space="0" w:color="auto"/>
            </w:tcBorders>
            <w:noWrap/>
            <w:vAlign w:val="bottom"/>
            <w:hideMark/>
          </w:tcPr>
          <w:p w14:paraId="77CBE60A" w14:textId="77777777" w:rsidR="00EA2C2C" w:rsidRPr="00EC5E1C" w:rsidRDefault="00EA2C2C" w:rsidP="00F70034">
            <w:pPr>
              <w:pStyle w:val="NormalHanging12a"/>
            </w:pPr>
            <w:r w:rsidRPr="00EC5E1C">
              <w:t>€128.712.666,00</w:t>
            </w:r>
          </w:p>
        </w:tc>
        <w:tc>
          <w:tcPr>
            <w:tcW w:w="2126" w:type="dxa"/>
            <w:tcBorders>
              <w:top w:val="nil"/>
              <w:left w:val="nil"/>
              <w:bottom w:val="single" w:sz="4" w:space="0" w:color="auto"/>
              <w:right w:val="single" w:sz="4" w:space="0" w:color="auto"/>
            </w:tcBorders>
            <w:noWrap/>
            <w:vAlign w:val="bottom"/>
            <w:hideMark/>
          </w:tcPr>
          <w:p w14:paraId="64451793" w14:textId="77777777" w:rsidR="00EA2C2C" w:rsidRPr="00EC5E1C" w:rsidRDefault="00EA2C2C" w:rsidP="00F70034">
            <w:pPr>
              <w:pStyle w:val="NormalHanging12a"/>
            </w:pPr>
            <w:r w:rsidRPr="00EC5E1C">
              <w:t>€123.280.140,00</w:t>
            </w:r>
          </w:p>
        </w:tc>
        <w:tc>
          <w:tcPr>
            <w:tcW w:w="2054" w:type="dxa"/>
            <w:tcBorders>
              <w:top w:val="nil"/>
              <w:left w:val="nil"/>
              <w:bottom w:val="single" w:sz="4" w:space="0" w:color="auto"/>
              <w:right w:val="single" w:sz="4" w:space="0" w:color="auto"/>
            </w:tcBorders>
            <w:shd w:val="clear" w:color="auto" w:fill="FFFFFF"/>
            <w:noWrap/>
            <w:vAlign w:val="center"/>
            <w:hideMark/>
          </w:tcPr>
          <w:p w14:paraId="49A64BAD" w14:textId="77777777" w:rsidR="00EA2C2C" w:rsidRPr="00EC5E1C" w:rsidRDefault="00EA2C2C" w:rsidP="00F70034">
            <w:pPr>
              <w:pStyle w:val="NormalHanging12a"/>
            </w:pPr>
            <w:r w:rsidRPr="00EC5E1C">
              <w:t>4,41 %</w:t>
            </w:r>
          </w:p>
        </w:tc>
      </w:tr>
      <w:tr w:rsidR="00EA2C2C" w:rsidRPr="00EC5E1C" w14:paraId="2CE9EA1F"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48BED508" w14:textId="77777777" w:rsidR="00EA2C2C" w:rsidRPr="00EC5E1C" w:rsidRDefault="00EA2C2C" w:rsidP="00F70034">
            <w:pPr>
              <w:pStyle w:val="NormalHanging12a"/>
            </w:pPr>
            <w:r w:rsidRPr="00EC5E1C">
              <w:t>EVA</w:t>
            </w:r>
            <w:r w:rsidRPr="00EC5E1C">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5BFF6294" w14:textId="77777777" w:rsidR="00EA2C2C" w:rsidRPr="00EC5E1C" w:rsidRDefault="00EA2C2C" w:rsidP="00F70034">
            <w:pPr>
              <w:pStyle w:val="NormalHanging12a"/>
            </w:pPr>
            <w:r w:rsidRPr="00EC5E1C">
              <w:t>€101.655.603,00</w:t>
            </w:r>
          </w:p>
        </w:tc>
        <w:tc>
          <w:tcPr>
            <w:tcW w:w="2126" w:type="dxa"/>
            <w:tcBorders>
              <w:top w:val="nil"/>
              <w:left w:val="nil"/>
              <w:bottom w:val="single" w:sz="4" w:space="0" w:color="auto"/>
              <w:right w:val="single" w:sz="4" w:space="0" w:color="auto"/>
            </w:tcBorders>
            <w:noWrap/>
            <w:vAlign w:val="bottom"/>
            <w:hideMark/>
          </w:tcPr>
          <w:p w14:paraId="6F75BD53" w14:textId="77777777" w:rsidR="00EA2C2C" w:rsidRPr="00EC5E1C" w:rsidRDefault="00EA2C2C" w:rsidP="00F70034">
            <w:pPr>
              <w:pStyle w:val="NormalHanging12a"/>
            </w:pPr>
            <w:r w:rsidRPr="00EC5E1C">
              <w:t>€76.114.130,00</w:t>
            </w:r>
          </w:p>
        </w:tc>
        <w:tc>
          <w:tcPr>
            <w:tcW w:w="2054" w:type="dxa"/>
            <w:tcBorders>
              <w:top w:val="nil"/>
              <w:left w:val="nil"/>
              <w:bottom w:val="single" w:sz="4" w:space="0" w:color="auto"/>
              <w:right w:val="single" w:sz="4" w:space="0" w:color="auto"/>
            </w:tcBorders>
            <w:shd w:val="clear" w:color="auto" w:fill="FFFFFF"/>
            <w:noWrap/>
            <w:vAlign w:val="center"/>
            <w:hideMark/>
          </w:tcPr>
          <w:p w14:paraId="12ED1922" w14:textId="77777777" w:rsidR="00EA2C2C" w:rsidRPr="00EC5E1C" w:rsidRDefault="00EA2C2C" w:rsidP="00F70034">
            <w:pPr>
              <w:pStyle w:val="NormalHanging12a"/>
            </w:pPr>
            <w:r w:rsidRPr="00EC5E1C">
              <w:t>33,56 %</w:t>
            </w:r>
          </w:p>
        </w:tc>
      </w:tr>
      <w:tr w:rsidR="00EA2C2C" w:rsidRPr="00EC5E1C" w14:paraId="689D31AB"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24C766A7" w14:textId="77777777" w:rsidR="00EA2C2C" w:rsidRPr="00EC5E1C" w:rsidRDefault="00EA2C2C" w:rsidP="00F70034">
            <w:pPr>
              <w:pStyle w:val="NormalHanging12a"/>
            </w:pPr>
            <w:r w:rsidRPr="00EC5E1C">
              <w:rPr>
                <w:i/>
                <w:iCs/>
              </w:rPr>
              <w:t>EFCA</w:t>
            </w:r>
          </w:p>
        </w:tc>
        <w:tc>
          <w:tcPr>
            <w:tcW w:w="2126" w:type="dxa"/>
            <w:tcBorders>
              <w:top w:val="nil"/>
              <w:left w:val="nil"/>
              <w:bottom w:val="single" w:sz="4" w:space="0" w:color="auto"/>
              <w:right w:val="single" w:sz="4" w:space="0" w:color="auto"/>
            </w:tcBorders>
            <w:noWrap/>
            <w:vAlign w:val="bottom"/>
            <w:hideMark/>
          </w:tcPr>
          <w:p w14:paraId="10B9E1C6" w14:textId="77777777" w:rsidR="00EA2C2C" w:rsidRPr="00EC5E1C" w:rsidRDefault="00EA2C2C" w:rsidP="00F70034">
            <w:pPr>
              <w:pStyle w:val="NormalHanging12a"/>
            </w:pPr>
            <w:r w:rsidRPr="00EC5E1C">
              <w:t>€30.793.032,00</w:t>
            </w:r>
          </w:p>
        </w:tc>
        <w:tc>
          <w:tcPr>
            <w:tcW w:w="2126" w:type="dxa"/>
            <w:tcBorders>
              <w:top w:val="nil"/>
              <w:left w:val="nil"/>
              <w:bottom w:val="single" w:sz="4" w:space="0" w:color="auto"/>
              <w:right w:val="single" w:sz="4" w:space="0" w:color="auto"/>
            </w:tcBorders>
            <w:noWrap/>
            <w:vAlign w:val="bottom"/>
            <w:hideMark/>
          </w:tcPr>
          <w:p w14:paraId="461718E2" w14:textId="77777777" w:rsidR="00EA2C2C" w:rsidRPr="00EC5E1C" w:rsidRDefault="00EA2C2C" w:rsidP="00F70034">
            <w:pPr>
              <w:pStyle w:val="NormalHanging12a"/>
            </w:pPr>
            <w:r w:rsidRPr="00EC5E1C">
              <w:t>€30.862.554,00</w:t>
            </w:r>
          </w:p>
        </w:tc>
        <w:tc>
          <w:tcPr>
            <w:tcW w:w="2054" w:type="dxa"/>
            <w:tcBorders>
              <w:top w:val="nil"/>
              <w:left w:val="nil"/>
              <w:bottom w:val="single" w:sz="4" w:space="0" w:color="auto"/>
              <w:right w:val="single" w:sz="4" w:space="0" w:color="auto"/>
            </w:tcBorders>
            <w:shd w:val="clear" w:color="auto" w:fill="FFFFFF"/>
            <w:noWrap/>
            <w:vAlign w:val="center"/>
            <w:hideMark/>
          </w:tcPr>
          <w:p w14:paraId="7F227987" w14:textId="77777777" w:rsidR="00EA2C2C" w:rsidRPr="00EC5E1C" w:rsidRDefault="00EA2C2C" w:rsidP="00F70034">
            <w:pPr>
              <w:pStyle w:val="NormalHanging12a"/>
            </w:pPr>
            <w:r w:rsidRPr="00EC5E1C">
              <w:t>-0,23 %</w:t>
            </w:r>
          </w:p>
        </w:tc>
      </w:tr>
      <w:tr w:rsidR="00EA2C2C" w:rsidRPr="00EC5E1C" w14:paraId="398A3CF2"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1875040" w14:textId="77777777" w:rsidR="00EA2C2C" w:rsidRPr="00EC5E1C" w:rsidRDefault="00EA2C2C" w:rsidP="00F70034">
            <w:pPr>
              <w:pStyle w:val="NormalHanging12a"/>
            </w:pPr>
            <w:r w:rsidRPr="00EC5E1C">
              <w:rPr>
                <w:i/>
                <w:iCs/>
              </w:rPr>
              <w:t>EFSA</w:t>
            </w:r>
          </w:p>
        </w:tc>
        <w:tc>
          <w:tcPr>
            <w:tcW w:w="2126" w:type="dxa"/>
            <w:tcBorders>
              <w:top w:val="nil"/>
              <w:left w:val="nil"/>
              <w:bottom w:val="single" w:sz="4" w:space="0" w:color="auto"/>
              <w:right w:val="single" w:sz="4" w:space="0" w:color="auto"/>
            </w:tcBorders>
            <w:noWrap/>
            <w:vAlign w:val="bottom"/>
            <w:hideMark/>
          </w:tcPr>
          <w:p w14:paraId="6F1E8D00" w14:textId="77777777" w:rsidR="00EA2C2C" w:rsidRPr="00EC5E1C" w:rsidRDefault="00EA2C2C" w:rsidP="00F70034">
            <w:pPr>
              <w:pStyle w:val="NormalHanging12a"/>
            </w:pPr>
            <w:r w:rsidRPr="00EC5E1C">
              <w:t>€154.939.697,00</w:t>
            </w:r>
          </w:p>
        </w:tc>
        <w:tc>
          <w:tcPr>
            <w:tcW w:w="2126" w:type="dxa"/>
            <w:tcBorders>
              <w:top w:val="nil"/>
              <w:left w:val="nil"/>
              <w:bottom w:val="single" w:sz="4" w:space="0" w:color="auto"/>
              <w:right w:val="single" w:sz="4" w:space="0" w:color="auto"/>
            </w:tcBorders>
            <w:noWrap/>
            <w:vAlign w:val="bottom"/>
            <w:hideMark/>
          </w:tcPr>
          <w:p w14:paraId="02142C9E" w14:textId="77777777" w:rsidR="00EA2C2C" w:rsidRPr="00EC5E1C" w:rsidRDefault="00EA2C2C" w:rsidP="00F70034">
            <w:pPr>
              <w:pStyle w:val="NormalHanging12a"/>
            </w:pPr>
            <w:r w:rsidRPr="00EC5E1C">
              <w:t>€148.954.729,00</w:t>
            </w:r>
          </w:p>
        </w:tc>
        <w:tc>
          <w:tcPr>
            <w:tcW w:w="2054" w:type="dxa"/>
            <w:tcBorders>
              <w:top w:val="nil"/>
              <w:left w:val="nil"/>
              <w:bottom w:val="single" w:sz="4" w:space="0" w:color="auto"/>
              <w:right w:val="single" w:sz="4" w:space="0" w:color="auto"/>
            </w:tcBorders>
            <w:shd w:val="clear" w:color="auto" w:fill="FFFFFF"/>
            <w:noWrap/>
            <w:vAlign w:val="center"/>
            <w:hideMark/>
          </w:tcPr>
          <w:p w14:paraId="5B00675D" w14:textId="77777777" w:rsidR="00EA2C2C" w:rsidRPr="00EC5E1C" w:rsidRDefault="00EA2C2C" w:rsidP="00F70034">
            <w:pPr>
              <w:pStyle w:val="NormalHanging12a"/>
            </w:pPr>
            <w:r w:rsidRPr="00EC5E1C">
              <w:t>4,02 %</w:t>
            </w:r>
          </w:p>
        </w:tc>
      </w:tr>
      <w:tr w:rsidR="00EA2C2C" w:rsidRPr="00EC5E1C" w14:paraId="5CED761A"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0750D873" w14:textId="77777777" w:rsidR="00EA2C2C" w:rsidRPr="00EC5E1C" w:rsidRDefault="00EA2C2C" w:rsidP="00F70034">
            <w:pPr>
              <w:pStyle w:val="NormalHanging12a"/>
            </w:pPr>
            <w:r w:rsidRPr="00EC5E1C">
              <w:rPr>
                <w:i/>
                <w:iCs/>
              </w:rPr>
              <w:t>EIGE</w:t>
            </w:r>
          </w:p>
        </w:tc>
        <w:tc>
          <w:tcPr>
            <w:tcW w:w="2126" w:type="dxa"/>
            <w:tcBorders>
              <w:top w:val="nil"/>
              <w:left w:val="nil"/>
              <w:bottom w:val="single" w:sz="4" w:space="0" w:color="auto"/>
              <w:right w:val="single" w:sz="4" w:space="0" w:color="auto"/>
            </w:tcBorders>
            <w:noWrap/>
            <w:vAlign w:val="bottom"/>
            <w:hideMark/>
          </w:tcPr>
          <w:p w14:paraId="438C60A9" w14:textId="77777777" w:rsidR="00EA2C2C" w:rsidRPr="00EC5E1C" w:rsidRDefault="00EA2C2C" w:rsidP="00F70034">
            <w:pPr>
              <w:pStyle w:val="NormalHanging12a"/>
            </w:pPr>
            <w:r w:rsidRPr="00EC5E1C">
              <w:t>€9.432.057,00</w:t>
            </w:r>
          </w:p>
        </w:tc>
        <w:tc>
          <w:tcPr>
            <w:tcW w:w="2126" w:type="dxa"/>
            <w:tcBorders>
              <w:top w:val="nil"/>
              <w:left w:val="nil"/>
              <w:bottom w:val="single" w:sz="4" w:space="0" w:color="auto"/>
              <w:right w:val="single" w:sz="4" w:space="0" w:color="auto"/>
            </w:tcBorders>
            <w:noWrap/>
            <w:vAlign w:val="bottom"/>
            <w:hideMark/>
          </w:tcPr>
          <w:p w14:paraId="7B6505AA" w14:textId="77777777" w:rsidR="00EA2C2C" w:rsidRPr="00EC5E1C" w:rsidRDefault="00EA2C2C" w:rsidP="00F70034">
            <w:pPr>
              <w:pStyle w:val="NormalHanging12a"/>
            </w:pPr>
            <w:r w:rsidRPr="00EC5E1C">
              <w:t>€9.358.919,46</w:t>
            </w:r>
          </w:p>
        </w:tc>
        <w:tc>
          <w:tcPr>
            <w:tcW w:w="2054" w:type="dxa"/>
            <w:tcBorders>
              <w:top w:val="nil"/>
              <w:left w:val="nil"/>
              <w:bottom w:val="single" w:sz="4" w:space="0" w:color="auto"/>
              <w:right w:val="single" w:sz="4" w:space="0" w:color="auto"/>
            </w:tcBorders>
            <w:shd w:val="clear" w:color="auto" w:fill="FFFFFF"/>
            <w:noWrap/>
            <w:vAlign w:val="center"/>
            <w:hideMark/>
          </w:tcPr>
          <w:p w14:paraId="6D973587" w14:textId="77777777" w:rsidR="00EA2C2C" w:rsidRPr="00EC5E1C" w:rsidRDefault="00EA2C2C" w:rsidP="00F70034">
            <w:pPr>
              <w:pStyle w:val="NormalHanging12a"/>
            </w:pPr>
            <w:r w:rsidRPr="00EC5E1C">
              <w:t>0,78 %</w:t>
            </w:r>
          </w:p>
        </w:tc>
      </w:tr>
      <w:tr w:rsidR="00EA2C2C" w:rsidRPr="00EC5E1C" w14:paraId="1427A886"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1CD8993E" w14:textId="77777777" w:rsidR="00EA2C2C" w:rsidRPr="00EC5E1C" w:rsidRDefault="00EA2C2C" w:rsidP="00F70034">
            <w:pPr>
              <w:pStyle w:val="NormalHanging12a"/>
            </w:pPr>
            <w:r w:rsidRPr="00EC5E1C">
              <w:t xml:space="preserve">EAAPI </w:t>
            </w:r>
          </w:p>
        </w:tc>
        <w:tc>
          <w:tcPr>
            <w:tcW w:w="2126" w:type="dxa"/>
            <w:tcBorders>
              <w:top w:val="nil"/>
              <w:left w:val="nil"/>
              <w:bottom w:val="single" w:sz="4" w:space="0" w:color="auto"/>
              <w:right w:val="single" w:sz="4" w:space="0" w:color="auto"/>
            </w:tcBorders>
            <w:noWrap/>
            <w:vAlign w:val="bottom"/>
            <w:hideMark/>
          </w:tcPr>
          <w:p w14:paraId="3C7B922D" w14:textId="77777777" w:rsidR="00EA2C2C" w:rsidRPr="00EC5E1C" w:rsidRDefault="00EA2C2C" w:rsidP="00F70034">
            <w:pPr>
              <w:pStyle w:val="NormalHanging12a"/>
            </w:pPr>
            <w:r w:rsidRPr="00EC5E1C">
              <w:t>€37.561.192,00</w:t>
            </w:r>
          </w:p>
        </w:tc>
        <w:tc>
          <w:tcPr>
            <w:tcW w:w="2126" w:type="dxa"/>
            <w:tcBorders>
              <w:top w:val="nil"/>
              <w:left w:val="nil"/>
              <w:bottom w:val="single" w:sz="4" w:space="0" w:color="auto"/>
              <w:right w:val="single" w:sz="4" w:space="0" w:color="auto"/>
            </w:tcBorders>
            <w:noWrap/>
            <w:vAlign w:val="bottom"/>
            <w:hideMark/>
          </w:tcPr>
          <w:p w14:paraId="6BA39A18" w14:textId="77777777" w:rsidR="00EA2C2C" w:rsidRPr="00EC5E1C" w:rsidRDefault="00EA2C2C" w:rsidP="00F70034">
            <w:pPr>
              <w:pStyle w:val="NormalHanging12a"/>
            </w:pPr>
            <w:r w:rsidRPr="00EC5E1C">
              <w:t>€36.714.492,00</w:t>
            </w:r>
          </w:p>
        </w:tc>
        <w:tc>
          <w:tcPr>
            <w:tcW w:w="2054" w:type="dxa"/>
            <w:tcBorders>
              <w:top w:val="nil"/>
              <w:left w:val="nil"/>
              <w:bottom w:val="single" w:sz="4" w:space="0" w:color="auto"/>
              <w:right w:val="single" w:sz="4" w:space="0" w:color="auto"/>
            </w:tcBorders>
            <w:shd w:val="clear" w:color="auto" w:fill="FFFFFF"/>
            <w:noWrap/>
            <w:vAlign w:val="center"/>
            <w:hideMark/>
          </w:tcPr>
          <w:p w14:paraId="7E5B6B13" w14:textId="77777777" w:rsidR="00EA2C2C" w:rsidRPr="00EC5E1C" w:rsidRDefault="00EA2C2C" w:rsidP="00F70034">
            <w:pPr>
              <w:pStyle w:val="NormalHanging12a"/>
            </w:pPr>
            <w:r w:rsidRPr="00EC5E1C">
              <w:t>2,31 %</w:t>
            </w:r>
          </w:p>
        </w:tc>
      </w:tr>
      <w:tr w:rsidR="00EA2C2C" w:rsidRPr="00EC5E1C" w14:paraId="6239B4D4"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5078D074" w14:textId="77777777" w:rsidR="00EA2C2C" w:rsidRPr="00EC5E1C" w:rsidRDefault="00EA2C2C" w:rsidP="00F70034">
            <w:pPr>
              <w:pStyle w:val="NormalHanging12a"/>
            </w:pPr>
            <w:r w:rsidRPr="00EC5E1C">
              <w:rPr>
                <w:i/>
                <w:iCs/>
              </w:rPr>
              <w:t>EIT</w:t>
            </w:r>
          </w:p>
        </w:tc>
        <w:tc>
          <w:tcPr>
            <w:tcW w:w="2126" w:type="dxa"/>
            <w:tcBorders>
              <w:top w:val="nil"/>
              <w:left w:val="nil"/>
              <w:bottom w:val="single" w:sz="4" w:space="0" w:color="auto"/>
              <w:right w:val="single" w:sz="4" w:space="0" w:color="auto"/>
            </w:tcBorders>
            <w:noWrap/>
            <w:vAlign w:val="bottom"/>
            <w:hideMark/>
          </w:tcPr>
          <w:p w14:paraId="45E1DFB0" w14:textId="77777777" w:rsidR="00EA2C2C" w:rsidRPr="00EC5E1C" w:rsidRDefault="00EA2C2C" w:rsidP="00F70034">
            <w:pPr>
              <w:pStyle w:val="NormalHanging12a"/>
            </w:pPr>
            <w:r w:rsidRPr="00EC5E1C">
              <w:t>€463.576.047,00</w:t>
            </w:r>
          </w:p>
        </w:tc>
        <w:tc>
          <w:tcPr>
            <w:tcW w:w="2126" w:type="dxa"/>
            <w:tcBorders>
              <w:top w:val="nil"/>
              <w:left w:val="nil"/>
              <w:bottom w:val="single" w:sz="4" w:space="0" w:color="auto"/>
              <w:right w:val="single" w:sz="4" w:space="0" w:color="auto"/>
            </w:tcBorders>
            <w:noWrap/>
            <w:vAlign w:val="bottom"/>
            <w:hideMark/>
          </w:tcPr>
          <w:p w14:paraId="054F2BD9" w14:textId="77777777" w:rsidR="00EA2C2C" w:rsidRPr="00EC5E1C" w:rsidRDefault="00EA2C2C" w:rsidP="00F70034">
            <w:pPr>
              <w:pStyle w:val="NormalHanging12a"/>
            </w:pPr>
            <w:r w:rsidRPr="00EC5E1C">
              <w:t>€367.607.241,00</w:t>
            </w:r>
          </w:p>
        </w:tc>
        <w:tc>
          <w:tcPr>
            <w:tcW w:w="2054" w:type="dxa"/>
            <w:tcBorders>
              <w:top w:val="nil"/>
              <w:left w:val="nil"/>
              <w:bottom w:val="single" w:sz="4" w:space="0" w:color="auto"/>
              <w:right w:val="single" w:sz="4" w:space="0" w:color="auto"/>
            </w:tcBorders>
            <w:shd w:val="clear" w:color="auto" w:fill="FFFFFF"/>
            <w:noWrap/>
            <w:vAlign w:val="center"/>
            <w:hideMark/>
          </w:tcPr>
          <w:p w14:paraId="4951CD31" w14:textId="77777777" w:rsidR="00EA2C2C" w:rsidRPr="00EC5E1C" w:rsidRDefault="00EA2C2C" w:rsidP="00F70034">
            <w:pPr>
              <w:pStyle w:val="NormalHanging12a"/>
            </w:pPr>
            <w:r w:rsidRPr="00EC5E1C">
              <w:t>26,11 %</w:t>
            </w:r>
          </w:p>
        </w:tc>
      </w:tr>
      <w:tr w:rsidR="00EA2C2C" w:rsidRPr="00EC5E1C" w14:paraId="3BDAEA1C"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5ADB15A9" w14:textId="77777777" w:rsidR="00EA2C2C" w:rsidRPr="00EC5E1C" w:rsidRDefault="00EA2C2C" w:rsidP="00F70034">
            <w:pPr>
              <w:pStyle w:val="NormalHanging12a"/>
            </w:pPr>
            <w:r w:rsidRPr="00EC5E1C">
              <w:rPr>
                <w:i/>
                <w:iCs/>
              </w:rPr>
              <w:t>ELA</w:t>
            </w:r>
          </w:p>
        </w:tc>
        <w:tc>
          <w:tcPr>
            <w:tcW w:w="2126" w:type="dxa"/>
            <w:tcBorders>
              <w:top w:val="nil"/>
              <w:left w:val="nil"/>
              <w:bottom w:val="single" w:sz="4" w:space="0" w:color="auto"/>
              <w:right w:val="single" w:sz="4" w:space="0" w:color="auto"/>
            </w:tcBorders>
            <w:noWrap/>
            <w:vAlign w:val="bottom"/>
            <w:hideMark/>
          </w:tcPr>
          <w:p w14:paraId="21DADCC6" w14:textId="77777777" w:rsidR="00EA2C2C" w:rsidRPr="00EC5E1C" w:rsidRDefault="00EA2C2C" w:rsidP="00F70034">
            <w:pPr>
              <w:pStyle w:val="NormalHanging12a"/>
            </w:pPr>
            <w:r w:rsidRPr="00EC5E1C">
              <w:t>€48.693.555,00</w:t>
            </w:r>
          </w:p>
        </w:tc>
        <w:tc>
          <w:tcPr>
            <w:tcW w:w="2126" w:type="dxa"/>
            <w:tcBorders>
              <w:top w:val="nil"/>
              <w:left w:val="nil"/>
              <w:bottom w:val="single" w:sz="4" w:space="0" w:color="auto"/>
              <w:right w:val="single" w:sz="4" w:space="0" w:color="auto"/>
            </w:tcBorders>
            <w:noWrap/>
            <w:vAlign w:val="bottom"/>
            <w:hideMark/>
          </w:tcPr>
          <w:p w14:paraId="64544C61" w14:textId="77777777" w:rsidR="00EA2C2C" w:rsidRPr="00EC5E1C" w:rsidRDefault="00EA2C2C" w:rsidP="00F70034">
            <w:pPr>
              <w:pStyle w:val="NormalHanging12a"/>
            </w:pPr>
            <w:r w:rsidRPr="00EC5E1C">
              <w:t>€39.973.330,00</w:t>
            </w:r>
          </w:p>
        </w:tc>
        <w:tc>
          <w:tcPr>
            <w:tcW w:w="2054" w:type="dxa"/>
            <w:tcBorders>
              <w:top w:val="nil"/>
              <w:left w:val="nil"/>
              <w:bottom w:val="single" w:sz="4" w:space="0" w:color="auto"/>
              <w:right w:val="single" w:sz="4" w:space="0" w:color="auto"/>
            </w:tcBorders>
            <w:shd w:val="clear" w:color="auto" w:fill="FFFFFF"/>
            <w:noWrap/>
            <w:vAlign w:val="center"/>
            <w:hideMark/>
          </w:tcPr>
          <w:p w14:paraId="110304C6" w14:textId="77777777" w:rsidR="00EA2C2C" w:rsidRPr="00EC5E1C" w:rsidRDefault="00EA2C2C" w:rsidP="00F70034">
            <w:pPr>
              <w:pStyle w:val="NormalHanging12a"/>
            </w:pPr>
            <w:r w:rsidRPr="00EC5E1C">
              <w:t>21,82 %</w:t>
            </w:r>
          </w:p>
        </w:tc>
      </w:tr>
      <w:tr w:rsidR="00EA2C2C" w:rsidRPr="00EC5E1C" w14:paraId="43EB3D16"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540744" w14:textId="77777777" w:rsidR="00EA2C2C" w:rsidRPr="00EC5E1C" w:rsidRDefault="00EA2C2C" w:rsidP="00F70034">
            <w:pPr>
              <w:pStyle w:val="NormalHanging12a"/>
            </w:pPr>
            <w:r w:rsidRPr="00EC5E1C">
              <w:rPr>
                <w:i/>
                <w:iCs/>
              </w:rPr>
              <w:t>EMA</w:t>
            </w:r>
            <w:r w:rsidRPr="00EC5E1C">
              <w:t xml:space="preserve"> </w:t>
            </w:r>
          </w:p>
        </w:tc>
        <w:tc>
          <w:tcPr>
            <w:tcW w:w="2126" w:type="dxa"/>
            <w:tcBorders>
              <w:top w:val="nil"/>
              <w:left w:val="nil"/>
              <w:bottom w:val="single" w:sz="4" w:space="0" w:color="auto"/>
              <w:right w:val="single" w:sz="4" w:space="0" w:color="auto"/>
            </w:tcBorders>
            <w:noWrap/>
            <w:vAlign w:val="bottom"/>
            <w:hideMark/>
          </w:tcPr>
          <w:p w14:paraId="2AA7A667" w14:textId="77777777" w:rsidR="00EA2C2C" w:rsidRPr="00EC5E1C" w:rsidRDefault="00EA2C2C" w:rsidP="00F70034">
            <w:pPr>
              <w:pStyle w:val="NormalHanging12a"/>
            </w:pPr>
            <w:r w:rsidRPr="00EC5E1C">
              <w:t>€491.862.000,00</w:t>
            </w:r>
          </w:p>
        </w:tc>
        <w:tc>
          <w:tcPr>
            <w:tcW w:w="2126" w:type="dxa"/>
            <w:tcBorders>
              <w:top w:val="nil"/>
              <w:left w:val="nil"/>
              <w:bottom w:val="single" w:sz="4" w:space="0" w:color="auto"/>
              <w:right w:val="single" w:sz="4" w:space="0" w:color="auto"/>
            </w:tcBorders>
            <w:noWrap/>
            <w:vAlign w:val="bottom"/>
            <w:hideMark/>
          </w:tcPr>
          <w:p w14:paraId="7CA78A11" w14:textId="77777777" w:rsidR="00EA2C2C" w:rsidRPr="00EC5E1C" w:rsidRDefault="00EA2C2C" w:rsidP="00F70034">
            <w:pPr>
              <w:pStyle w:val="NormalHanging12a"/>
            </w:pPr>
            <w:r w:rsidRPr="00EC5E1C">
              <w:t>€448.603.000,00</w:t>
            </w:r>
          </w:p>
        </w:tc>
        <w:tc>
          <w:tcPr>
            <w:tcW w:w="2054" w:type="dxa"/>
            <w:tcBorders>
              <w:top w:val="nil"/>
              <w:left w:val="nil"/>
              <w:bottom w:val="single" w:sz="4" w:space="0" w:color="auto"/>
              <w:right w:val="single" w:sz="4" w:space="0" w:color="auto"/>
            </w:tcBorders>
            <w:shd w:val="clear" w:color="auto" w:fill="FFFFFF"/>
            <w:noWrap/>
            <w:vAlign w:val="center"/>
            <w:hideMark/>
          </w:tcPr>
          <w:p w14:paraId="4268A769" w14:textId="77777777" w:rsidR="00EA2C2C" w:rsidRPr="00EC5E1C" w:rsidRDefault="00EA2C2C" w:rsidP="00F70034">
            <w:pPr>
              <w:pStyle w:val="NormalHanging12a"/>
            </w:pPr>
            <w:r w:rsidRPr="00EC5E1C">
              <w:t>9,64 %</w:t>
            </w:r>
          </w:p>
        </w:tc>
      </w:tr>
      <w:tr w:rsidR="00EA2C2C" w:rsidRPr="00EC5E1C" w14:paraId="7462972A"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32935BF2" w14:textId="77777777" w:rsidR="00EA2C2C" w:rsidRPr="00EC5E1C" w:rsidRDefault="00EA2C2C" w:rsidP="00F70034">
            <w:pPr>
              <w:pStyle w:val="NormalHanging12a"/>
            </w:pPr>
            <w:r w:rsidRPr="00EC5E1C">
              <w:rPr>
                <w:i/>
                <w:iCs/>
              </w:rPr>
              <w:t>EMSA</w:t>
            </w:r>
          </w:p>
        </w:tc>
        <w:tc>
          <w:tcPr>
            <w:tcW w:w="2126" w:type="dxa"/>
            <w:tcBorders>
              <w:top w:val="nil"/>
              <w:left w:val="nil"/>
              <w:bottom w:val="single" w:sz="4" w:space="0" w:color="auto"/>
              <w:right w:val="single" w:sz="4" w:space="0" w:color="auto"/>
            </w:tcBorders>
            <w:noWrap/>
            <w:vAlign w:val="bottom"/>
            <w:hideMark/>
          </w:tcPr>
          <w:p w14:paraId="5A3B1C6B" w14:textId="77777777" w:rsidR="00EA2C2C" w:rsidRPr="00EC5E1C" w:rsidRDefault="00EA2C2C" w:rsidP="00F70034">
            <w:pPr>
              <w:pStyle w:val="NormalHanging12a"/>
            </w:pPr>
            <w:r w:rsidRPr="00EC5E1C">
              <w:t>€121.648.764,00</w:t>
            </w:r>
          </w:p>
        </w:tc>
        <w:tc>
          <w:tcPr>
            <w:tcW w:w="2126" w:type="dxa"/>
            <w:tcBorders>
              <w:top w:val="nil"/>
              <w:left w:val="nil"/>
              <w:bottom w:val="single" w:sz="4" w:space="0" w:color="auto"/>
              <w:right w:val="single" w:sz="4" w:space="0" w:color="auto"/>
            </w:tcBorders>
            <w:noWrap/>
            <w:vAlign w:val="bottom"/>
            <w:hideMark/>
          </w:tcPr>
          <w:p w14:paraId="28BE15FB" w14:textId="77777777" w:rsidR="00EA2C2C" w:rsidRPr="00EC5E1C" w:rsidRDefault="00EA2C2C" w:rsidP="00F70034">
            <w:pPr>
              <w:pStyle w:val="NormalHanging12a"/>
            </w:pPr>
            <w:r w:rsidRPr="00EC5E1C">
              <w:t>€111.954.231,00</w:t>
            </w:r>
          </w:p>
        </w:tc>
        <w:tc>
          <w:tcPr>
            <w:tcW w:w="2054" w:type="dxa"/>
            <w:tcBorders>
              <w:top w:val="nil"/>
              <w:left w:val="nil"/>
              <w:bottom w:val="single" w:sz="4" w:space="0" w:color="auto"/>
              <w:right w:val="single" w:sz="4" w:space="0" w:color="auto"/>
            </w:tcBorders>
            <w:shd w:val="clear" w:color="auto" w:fill="FFFFFF"/>
            <w:noWrap/>
            <w:vAlign w:val="center"/>
            <w:hideMark/>
          </w:tcPr>
          <w:p w14:paraId="1F5E013F" w14:textId="77777777" w:rsidR="00EA2C2C" w:rsidRPr="00EC5E1C" w:rsidRDefault="00EA2C2C" w:rsidP="00F70034">
            <w:pPr>
              <w:pStyle w:val="NormalHanging12a"/>
            </w:pPr>
            <w:r w:rsidRPr="00EC5E1C">
              <w:t>8,66 %</w:t>
            </w:r>
          </w:p>
        </w:tc>
      </w:tr>
      <w:tr w:rsidR="00EA2C2C" w:rsidRPr="00EC5E1C" w14:paraId="4D4E6214"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054E18D4" w14:textId="77777777" w:rsidR="00EA2C2C" w:rsidRPr="00EC5E1C" w:rsidRDefault="00EA2C2C" w:rsidP="00F70034">
            <w:pPr>
              <w:pStyle w:val="NormalHanging12a"/>
            </w:pPr>
            <w:r w:rsidRPr="00EC5E1C">
              <w:rPr>
                <w:i/>
                <w:iCs/>
              </w:rPr>
              <w:t>ENISA</w:t>
            </w:r>
            <w:r w:rsidRPr="00EC5E1C">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201B2627" w14:textId="77777777" w:rsidR="00EA2C2C" w:rsidRPr="00EC5E1C" w:rsidRDefault="00EA2C2C" w:rsidP="00F70034">
            <w:pPr>
              <w:pStyle w:val="NormalHanging12a"/>
            </w:pPr>
            <w:r w:rsidRPr="00EC5E1C">
              <w:t>€42.219.801,00</w:t>
            </w:r>
          </w:p>
        </w:tc>
        <w:tc>
          <w:tcPr>
            <w:tcW w:w="2126" w:type="dxa"/>
            <w:tcBorders>
              <w:top w:val="nil"/>
              <w:left w:val="nil"/>
              <w:bottom w:val="single" w:sz="4" w:space="0" w:color="auto"/>
              <w:right w:val="single" w:sz="4" w:space="0" w:color="auto"/>
            </w:tcBorders>
            <w:noWrap/>
            <w:vAlign w:val="bottom"/>
            <w:hideMark/>
          </w:tcPr>
          <w:p w14:paraId="4C93754B" w14:textId="77777777" w:rsidR="00EA2C2C" w:rsidRPr="00EC5E1C" w:rsidRDefault="00EA2C2C" w:rsidP="00F70034">
            <w:pPr>
              <w:pStyle w:val="NormalHanging12a"/>
            </w:pPr>
            <w:r w:rsidRPr="00EC5E1C">
              <w:t>€25.183.495,00</w:t>
            </w:r>
          </w:p>
        </w:tc>
        <w:tc>
          <w:tcPr>
            <w:tcW w:w="2054" w:type="dxa"/>
            <w:tcBorders>
              <w:top w:val="nil"/>
              <w:left w:val="nil"/>
              <w:bottom w:val="single" w:sz="4" w:space="0" w:color="auto"/>
              <w:right w:val="single" w:sz="4" w:space="0" w:color="auto"/>
            </w:tcBorders>
            <w:shd w:val="clear" w:color="auto" w:fill="FFFFFF"/>
            <w:noWrap/>
            <w:vAlign w:val="center"/>
            <w:hideMark/>
          </w:tcPr>
          <w:p w14:paraId="500790E4" w14:textId="77777777" w:rsidR="00EA2C2C" w:rsidRPr="00EC5E1C" w:rsidRDefault="00EA2C2C" w:rsidP="00F70034">
            <w:pPr>
              <w:pStyle w:val="NormalHanging12a"/>
            </w:pPr>
            <w:r w:rsidRPr="00EC5E1C">
              <w:t>67,65 %</w:t>
            </w:r>
          </w:p>
        </w:tc>
      </w:tr>
      <w:tr w:rsidR="00EA2C2C" w:rsidRPr="00EC5E1C" w14:paraId="0BCB9371"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53157EA5" w14:textId="77777777" w:rsidR="00EA2C2C" w:rsidRPr="00EC5E1C" w:rsidRDefault="00EA2C2C" w:rsidP="00F70034">
            <w:pPr>
              <w:pStyle w:val="NormalHanging12a"/>
            </w:pPr>
            <w:r w:rsidRPr="00EC5E1C">
              <w:rPr>
                <w:i/>
                <w:iCs/>
              </w:rPr>
              <w:t>ERA</w:t>
            </w:r>
          </w:p>
        </w:tc>
        <w:tc>
          <w:tcPr>
            <w:tcW w:w="2126" w:type="dxa"/>
            <w:tcBorders>
              <w:top w:val="nil"/>
              <w:left w:val="nil"/>
              <w:bottom w:val="single" w:sz="4" w:space="0" w:color="auto"/>
              <w:right w:val="single" w:sz="4" w:space="0" w:color="auto"/>
            </w:tcBorders>
            <w:noWrap/>
            <w:vAlign w:val="bottom"/>
            <w:hideMark/>
          </w:tcPr>
          <w:p w14:paraId="7AA85090" w14:textId="77777777" w:rsidR="00EA2C2C" w:rsidRPr="00EC5E1C" w:rsidRDefault="00EA2C2C" w:rsidP="00F70034">
            <w:pPr>
              <w:pStyle w:val="NormalHanging12a"/>
            </w:pPr>
            <w:r w:rsidRPr="00EC5E1C">
              <w:t>€41.936.376,00</w:t>
            </w:r>
          </w:p>
        </w:tc>
        <w:tc>
          <w:tcPr>
            <w:tcW w:w="2126" w:type="dxa"/>
            <w:tcBorders>
              <w:top w:val="nil"/>
              <w:left w:val="nil"/>
              <w:bottom w:val="single" w:sz="4" w:space="0" w:color="auto"/>
              <w:right w:val="single" w:sz="4" w:space="0" w:color="auto"/>
            </w:tcBorders>
            <w:noWrap/>
            <w:vAlign w:val="bottom"/>
            <w:hideMark/>
          </w:tcPr>
          <w:p w14:paraId="26278F3D" w14:textId="77777777" w:rsidR="00EA2C2C" w:rsidRPr="00EC5E1C" w:rsidRDefault="00EA2C2C" w:rsidP="00F70034">
            <w:pPr>
              <w:pStyle w:val="NormalHanging12a"/>
            </w:pPr>
            <w:r w:rsidRPr="00EC5E1C">
              <w:t>€38.532.447,00</w:t>
            </w:r>
          </w:p>
        </w:tc>
        <w:tc>
          <w:tcPr>
            <w:tcW w:w="2054" w:type="dxa"/>
            <w:tcBorders>
              <w:top w:val="nil"/>
              <w:left w:val="nil"/>
              <w:bottom w:val="single" w:sz="4" w:space="0" w:color="auto"/>
              <w:right w:val="single" w:sz="4" w:space="0" w:color="auto"/>
            </w:tcBorders>
            <w:shd w:val="clear" w:color="auto" w:fill="FFFFFF"/>
            <w:noWrap/>
            <w:vAlign w:val="center"/>
            <w:hideMark/>
          </w:tcPr>
          <w:p w14:paraId="56AED26D" w14:textId="77777777" w:rsidR="00EA2C2C" w:rsidRPr="00EC5E1C" w:rsidRDefault="00EA2C2C" w:rsidP="00F70034">
            <w:pPr>
              <w:pStyle w:val="NormalHanging12a"/>
            </w:pPr>
            <w:r w:rsidRPr="00EC5E1C">
              <w:t>8,83 %</w:t>
            </w:r>
          </w:p>
        </w:tc>
      </w:tr>
      <w:tr w:rsidR="00EA2C2C" w:rsidRPr="00EC5E1C" w14:paraId="52A6523A"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1BE4027C" w14:textId="77777777" w:rsidR="00EA2C2C" w:rsidRPr="00EC5E1C" w:rsidRDefault="00EA2C2C" w:rsidP="00F70034">
            <w:pPr>
              <w:pStyle w:val="NormalHanging12a"/>
            </w:pPr>
            <w:r w:rsidRPr="00EC5E1C">
              <w:rPr>
                <w:i/>
                <w:iCs/>
              </w:rPr>
              <w:t>ESA</w:t>
            </w:r>
            <w:r w:rsidRPr="00EC5E1C">
              <w:t xml:space="preserve"> </w:t>
            </w:r>
          </w:p>
        </w:tc>
        <w:tc>
          <w:tcPr>
            <w:tcW w:w="2126" w:type="dxa"/>
            <w:tcBorders>
              <w:top w:val="nil"/>
              <w:left w:val="nil"/>
              <w:bottom w:val="single" w:sz="4" w:space="0" w:color="auto"/>
              <w:right w:val="single" w:sz="4" w:space="0" w:color="auto"/>
            </w:tcBorders>
            <w:shd w:val="clear" w:color="auto" w:fill="FFFFFF"/>
            <w:noWrap/>
            <w:vAlign w:val="bottom"/>
            <w:hideMark/>
          </w:tcPr>
          <w:p w14:paraId="15401DE0" w14:textId="77777777" w:rsidR="00EA2C2C" w:rsidRPr="00EC5E1C" w:rsidRDefault="00EA2C2C" w:rsidP="00F70034">
            <w:pPr>
              <w:pStyle w:val="NormalHanging12a"/>
            </w:pPr>
            <w:r w:rsidRPr="00EC5E1C">
              <w:t>€270.000,00</w:t>
            </w:r>
          </w:p>
        </w:tc>
        <w:tc>
          <w:tcPr>
            <w:tcW w:w="2126" w:type="dxa"/>
            <w:tcBorders>
              <w:top w:val="nil"/>
              <w:left w:val="nil"/>
              <w:bottom w:val="single" w:sz="4" w:space="0" w:color="auto"/>
              <w:right w:val="single" w:sz="4" w:space="0" w:color="auto"/>
            </w:tcBorders>
            <w:noWrap/>
            <w:vAlign w:val="bottom"/>
            <w:hideMark/>
          </w:tcPr>
          <w:p w14:paraId="57C6D125" w14:textId="77777777" w:rsidR="00EA2C2C" w:rsidRPr="00EC5E1C" w:rsidRDefault="00EA2C2C" w:rsidP="00F70034">
            <w:pPr>
              <w:pStyle w:val="NormalHanging12a"/>
            </w:pPr>
            <w:r w:rsidRPr="00EC5E1C">
              <w:t>€258.160,00</w:t>
            </w:r>
          </w:p>
        </w:tc>
        <w:tc>
          <w:tcPr>
            <w:tcW w:w="2054" w:type="dxa"/>
            <w:tcBorders>
              <w:top w:val="nil"/>
              <w:left w:val="nil"/>
              <w:bottom w:val="single" w:sz="4" w:space="0" w:color="auto"/>
              <w:right w:val="single" w:sz="4" w:space="0" w:color="auto"/>
            </w:tcBorders>
            <w:shd w:val="clear" w:color="auto" w:fill="FFFFFF"/>
            <w:noWrap/>
            <w:vAlign w:val="center"/>
            <w:hideMark/>
          </w:tcPr>
          <w:p w14:paraId="0152702E" w14:textId="77777777" w:rsidR="00EA2C2C" w:rsidRPr="00EC5E1C" w:rsidRDefault="00EA2C2C" w:rsidP="00F70034">
            <w:pPr>
              <w:pStyle w:val="NormalHanging12a"/>
            </w:pPr>
            <w:r w:rsidRPr="00EC5E1C">
              <w:t>4,59 %</w:t>
            </w:r>
          </w:p>
        </w:tc>
      </w:tr>
      <w:tr w:rsidR="00EA2C2C" w:rsidRPr="00EC5E1C" w14:paraId="1D1314EF"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51AD59C8" w14:textId="77777777" w:rsidR="00EA2C2C" w:rsidRPr="00EC5E1C" w:rsidRDefault="00EA2C2C" w:rsidP="00F70034">
            <w:pPr>
              <w:pStyle w:val="NormalHanging12a"/>
            </w:pPr>
            <w:r w:rsidRPr="00EC5E1C">
              <w:t>EVTI</w:t>
            </w:r>
          </w:p>
        </w:tc>
        <w:tc>
          <w:tcPr>
            <w:tcW w:w="2126" w:type="dxa"/>
            <w:tcBorders>
              <w:top w:val="nil"/>
              <w:left w:val="nil"/>
              <w:bottom w:val="single" w:sz="4" w:space="0" w:color="auto"/>
              <w:right w:val="single" w:sz="4" w:space="0" w:color="auto"/>
            </w:tcBorders>
            <w:noWrap/>
            <w:vAlign w:val="bottom"/>
            <w:hideMark/>
          </w:tcPr>
          <w:p w14:paraId="025A2361" w14:textId="77777777" w:rsidR="00EA2C2C" w:rsidRPr="00EC5E1C" w:rsidRDefault="00EA2C2C" w:rsidP="00F70034">
            <w:pPr>
              <w:pStyle w:val="NormalHanging12a"/>
            </w:pPr>
            <w:r w:rsidRPr="00EC5E1C">
              <w:t>€76.055.579,00</w:t>
            </w:r>
          </w:p>
        </w:tc>
        <w:tc>
          <w:tcPr>
            <w:tcW w:w="2126" w:type="dxa"/>
            <w:tcBorders>
              <w:top w:val="nil"/>
              <w:left w:val="nil"/>
              <w:bottom w:val="single" w:sz="4" w:space="0" w:color="auto"/>
              <w:right w:val="single" w:sz="4" w:space="0" w:color="auto"/>
            </w:tcBorders>
            <w:noWrap/>
            <w:vAlign w:val="bottom"/>
            <w:hideMark/>
          </w:tcPr>
          <w:p w14:paraId="570BEBEC" w14:textId="77777777" w:rsidR="00EA2C2C" w:rsidRPr="00EC5E1C" w:rsidRDefault="00EA2C2C" w:rsidP="00F70034">
            <w:pPr>
              <w:pStyle w:val="NormalHanging12a"/>
            </w:pPr>
            <w:r w:rsidRPr="00EC5E1C">
              <w:t>€72.509.657,00</w:t>
            </w:r>
          </w:p>
        </w:tc>
        <w:tc>
          <w:tcPr>
            <w:tcW w:w="2054" w:type="dxa"/>
            <w:tcBorders>
              <w:top w:val="nil"/>
              <w:left w:val="nil"/>
              <w:bottom w:val="single" w:sz="4" w:space="0" w:color="auto"/>
              <w:right w:val="single" w:sz="4" w:space="0" w:color="auto"/>
            </w:tcBorders>
            <w:shd w:val="clear" w:color="auto" w:fill="FFFFFF"/>
            <w:noWrap/>
            <w:vAlign w:val="center"/>
            <w:hideMark/>
          </w:tcPr>
          <w:p w14:paraId="7F66929A" w14:textId="77777777" w:rsidR="00EA2C2C" w:rsidRPr="00EC5E1C" w:rsidRDefault="00EA2C2C" w:rsidP="00F70034">
            <w:pPr>
              <w:pStyle w:val="NormalHanging12a"/>
            </w:pPr>
            <w:r w:rsidRPr="00EC5E1C">
              <w:t>4,89 %</w:t>
            </w:r>
          </w:p>
        </w:tc>
      </w:tr>
      <w:tr w:rsidR="00EA2C2C" w:rsidRPr="00EC5E1C" w14:paraId="2EF0811B"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0016D963" w14:textId="77777777" w:rsidR="00EA2C2C" w:rsidRPr="00EC5E1C" w:rsidRDefault="00EA2C2C" w:rsidP="00F70034">
            <w:pPr>
              <w:pStyle w:val="NormalHanging12a"/>
            </w:pPr>
            <w:r w:rsidRPr="00EC5E1C">
              <w:rPr>
                <w:i/>
                <w:iCs/>
              </w:rPr>
              <w:t>ETF</w:t>
            </w:r>
            <w:r w:rsidRPr="00EC5E1C">
              <w:t xml:space="preserve"> </w:t>
            </w:r>
          </w:p>
        </w:tc>
        <w:tc>
          <w:tcPr>
            <w:tcW w:w="2126" w:type="dxa"/>
            <w:tcBorders>
              <w:top w:val="nil"/>
              <w:left w:val="nil"/>
              <w:bottom w:val="single" w:sz="4" w:space="0" w:color="auto"/>
              <w:right w:val="single" w:sz="4" w:space="0" w:color="auto"/>
            </w:tcBorders>
            <w:noWrap/>
            <w:vAlign w:val="bottom"/>
            <w:hideMark/>
          </w:tcPr>
          <w:p w14:paraId="079E6629" w14:textId="77777777" w:rsidR="00EA2C2C" w:rsidRPr="00EC5E1C" w:rsidRDefault="00EA2C2C" w:rsidP="00F70034">
            <w:pPr>
              <w:pStyle w:val="NormalHanging12a"/>
            </w:pPr>
            <w:r w:rsidRPr="00EC5E1C">
              <w:t>€28.330.702,00</w:t>
            </w:r>
          </w:p>
        </w:tc>
        <w:tc>
          <w:tcPr>
            <w:tcW w:w="2126" w:type="dxa"/>
            <w:tcBorders>
              <w:top w:val="nil"/>
              <w:left w:val="nil"/>
              <w:bottom w:val="single" w:sz="4" w:space="0" w:color="auto"/>
              <w:right w:val="single" w:sz="4" w:space="0" w:color="auto"/>
            </w:tcBorders>
            <w:noWrap/>
            <w:vAlign w:val="bottom"/>
            <w:hideMark/>
          </w:tcPr>
          <w:p w14:paraId="62C1F967" w14:textId="77777777" w:rsidR="00EA2C2C" w:rsidRPr="00EC5E1C" w:rsidRDefault="00EA2C2C" w:rsidP="00F70034">
            <w:pPr>
              <w:pStyle w:val="NormalHanging12a"/>
            </w:pPr>
            <w:r w:rsidRPr="00EC5E1C">
              <w:t>€28.542.956,00</w:t>
            </w:r>
          </w:p>
        </w:tc>
        <w:tc>
          <w:tcPr>
            <w:tcW w:w="2054" w:type="dxa"/>
            <w:tcBorders>
              <w:top w:val="nil"/>
              <w:left w:val="nil"/>
              <w:bottom w:val="single" w:sz="4" w:space="0" w:color="auto"/>
              <w:right w:val="single" w:sz="4" w:space="0" w:color="auto"/>
            </w:tcBorders>
            <w:shd w:val="clear" w:color="auto" w:fill="FFFFFF"/>
            <w:noWrap/>
            <w:vAlign w:val="center"/>
            <w:hideMark/>
          </w:tcPr>
          <w:p w14:paraId="4689C8FE" w14:textId="77777777" w:rsidR="00EA2C2C" w:rsidRPr="00EC5E1C" w:rsidRDefault="00EA2C2C" w:rsidP="00F70034">
            <w:pPr>
              <w:pStyle w:val="NormalHanging12a"/>
            </w:pPr>
            <w:r w:rsidRPr="00EC5E1C">
              <w:t>-0,74 %</w:t>
            </w:r>
          </w:p>
        </w:tc>
      </w:tr>
      <w:tr w:rsidR="00EA2C2C" w:rsidRPr="00EC5E1C" w14:paraId="77693216"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5B95B190" w14:textId="77777777" w:rsidR="00EA2C2C" w:rsidRPr="00EC5E1C" w:rsidRDefault="00EA2C2C" w:rsidP="00F70034">
            <w:pPr>
              <w:pStyle w:val="NormalHanging12a"/>
            </w:pPr>
            <w:r w:rsidRPr="00EC5E1C">
              <w:rPr>
                <w:i/>
                <w:iCs/>
              </w:rPr>
              <w:t>EUAA</w:t>
            </w:r>
          </w:p>
        </w:tc>
        <w:tc>
          <w:tcPr>
            <w:tcW w:w="2126" w:type="dxa"/>
            <w:tcBorders>
              <w:top w:val="nil"/>
              <w:left w:val="nil"/>
              <w:bottom w:val="single" w:sz="4" w:space="0" w:color="auto"/>
              <w:right w:val="single" w:sz="4" w:space="0" w:color="auto"/>
            </w:tcBorders>
            <w:noWrap/>
            <w:vAlign w:val="bottom"/>
            <w:hideMark/>
          </w:tcPr>
          <w:p w14:paraId="18C9C977" w14:textId="77777777" w:rsidR="00EA2C2C" w:rsidRPr="00EC5E1C" w:rsidRDefault="00EA2C2C" w:rsidP="00F70034">
            <w:pPr>
              <w:pStyle w:val="NormalHanging12a"/>
            </w:pPr>
            <w:r w:rsidRPr="00EC5E1C">
              <w:t>€181.443.839,00</w:t>
            </w:r>
          </w:p>
        </w:tc>
        <w:tc>
          <w:tcPr>
            <w:tcW w:w="2126" w:type="dxa"/>
            <w:tcBorders>
              <w:top w:val="nil"/>
              <w:left w:val="nil"/>
              <w:bottom w:val="single" w:sz="4" w:space="0" w:color="auto"/>
              <w:right w:val="single" w:sz="4" w:space="0" w:color="auto"/>
            </w:tcBorders>
            <w:noWrap/>
            <w:vAlign w:val="bottom"/>
            <w:hideMark/>
          </w:tcPr>
          <w:p w14:paraId="1042A024" w14:textId="77777777" w:rsidR="00EA2C2C" w:rsidRPr="00EC5E1C" w:rsidRDefault="00EA2C2C" w:rsidP="00F70034">
            <w:pPr>
              <w:pStyle w:val="NormalHanging12a"/>
            </w:pPr>
            <w:r w:rsidRPr="00EC5E1C">
              <w:t>€170.135.127,00</w:t>
            </w:r>
          </w:p>
        </w:tc>
        <w:tc>
          <w:tcPr>
            <w:tcW w:w="2054" w:type="dxa"/>
            <w:tcBorders>
              <w:top w:val="nil"/>
              <w:left w:val="nil"/>
              <w:bottom w:val="single" w:sz="4" w:space="0" w:color="auto"/>
              <w:right w:val="single" w:sz="4" w:space="0" w:color="auto"/>
            </w:tcBorders>
            <w:shd w:val="clear" w:color="auto" w:fill="FFFFFF"/>
            <w:noWrap/>
            <w:vAlign w:val="center"/>
            <w:hideMark/>
          </w:tcPr>
          <w:p w14:paraId="67064A9C" w14:textId="77777777" w:rsidR="00EA2C2C" w:rsidRPr="00EC5E1C" w:rsidRDefault="00EA2C2C" w:rsidP="00F70034">
            <w:pPr>
              <w:pStyle w:val="NormalHanging12a"/>
            </w:pPr>
            <w:r w:rsidRPr="00EC5E1C">
              <w:t>6,65 %</w:t>
            </w:r>
          </w:p>
        </w:tc>
      </w:tr>
      <w:tr w:rsidR="00EA2C2C" w:rsidRPr="00EC5E1C" w14:paraId="384973BE"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19B37A05" w14:textId="77777777" w:rsidR="00EA2C2C" w:rsidRPr="00EC5E1C" w:rsidRDefault="00EA2C2C" w:rsidP="00F70034">
            <w:pPr>
              <w:pStyle w:val="NormalHanging12a"/>
            </w:pPr>
            <w:r w:rsidRPr="00EC5E1C">
              <w:rPr>
                <w:i/>
                <w:iCs/>
              </w:rPr>
              <w:t>EUDA</w:t>
            </w:r>
            <w:r w:rsidRPr="00EC5E1C">
              <w:t xml:space="preserve"> (</w:t>
            </w:r>
            <w:r w:rsidRPr="00EC5E1C">
              <w:rPr>
                <w:i/>
                <w:iCs/>
              </w:rPr>
              <w:t>EMCDDA</w:t>
            </w:r>
            <w:r w:rsidRPr="00EC5E1C">
              <w:t>)</w:t>
            </w:r>
          </w:p>
        </w:tc>
        <w:tc>
          <w:tcPr>
            <w:tcW w:w="2126" w:type="dxa"/>
            <w:tcBorders>
              <w:top w:val="nil"/>
              <w:left w:val="nil"/>
              <w:bottom w:val="single" w:sz="4" w:space="0" w:color="auto"/>
              <w:right w:val="single" w:sz="4" w:space="0" w:color="auto"/>
            </w:tcBorders>
            <w:noWrap/>
            <w:vAlign w:val="bottom"/>
            <w:hideMark/>
          </w:tcPr>
          <w:p w14:paraId="155CC765" w14:textId="77777777" w:rsidR="00EA2C2C" w:rsidRPr="00EC5E1C" w:rsidRDefault="00EA2C2C" w:rsidP="00F70034">
            <w:pPr>
              <w:pStyle w:val="NormalHanging12a"/>
            </w:pPr>
            <w:r w:rsidRPr="00EC5E1C">
              <w:t>€32.723.728,00</w:t>
            </w:r>
          </w:p>
        </w:tc>
        <w:tc>
          <w:tcPr>
            <w:tcW w:w="2126" w:type="dxa"/>
            <w:tcBorders>
              <w:top w:val="nil"/>
              <w:left w:val="nil"/>
              <w:bottom w:val="single" w:sz="4" w:space="0" w:color="auto"/>
              <w:right w:val="single" w:sz="4" w:space="0" w:color="auto"/>
            </w:tcBorders>
            <w:noWrap/>
            <w:vAlign w:val="bottom"/>
            <w:hideMark/>
          </w:tcPr>
          <w:p w14:paraId="235A1C4D" w14:textId="77777777" w:rsidR="00EA2C2C" w:rsidRPr="00EC5E1C" w:rsidRDefault="00EA2C2C" w:rsidP="00F70034">
            <w:pPr>
              <w:pStyle w:val="NormalHanging12a"/>
            </w:pPr>
            <w:r w:rsidRPr="00EC5E1C">
              <w:t>€22.082.074,00</w:t>
            </w:r>
          </w:p>
        </w:tc>
        <w:tc>
          <w:tcPr>
            <w:tcW w:w="2054" w:type="dxa"/>
            <w:tcBorders>
              <w:top w:val="nil"/>
              <w:left w:val="nil"/>
              <w:bottom w:val="single" w:sz="4" w:space="0" w:color="auto"/>
              <w:right w:val="single" w:sz="4" w:space="0" w:color="auto"/>
            </w:tcBorders>
            <w:shd w:val="clear" w:color="auto" w:fill="FFFFFF"/>
            <w:noWrap/>
            <w:vAlign w:val="center"/>
            <w:hideMark/>
          </w:tcPr>
          <w:p w14:paraId="52FC68B3" w14:textId="77777777" w:rsidR="00EA2C2C" w:rsidRPr="00EC5E1C" w:rsidRDefault="00EA2C2C" w:rsidP="00F70034">
            <w:pPr>
              <w:pStyle w:val="NormalHanging12a"/>
            </w:pPr>
            <w:r w:rsidRPr="00EC5E1C">
              <w:t>48,19 %</w:t>
            </w:r>
          </w:p>
        </w:tc>
      </w:tr>
      <w:tr w:rsidR="00EA2C2C" w:rsidRPr="00EC5E1C" w14:paraId="56A316B6"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4EA1C42" w14:textId="77777777" w:rsidR="00EA2C2C" w:rsidRPr="00EC5E1C" w:rsidRDefault="00EA2C2C" w:rsidP="00F70034">
            <w:pPr>
              <w:pStyle w:val="NormalHanging12a"/>
            </w:pPr>
            <w:r w:rsidRPr="00EC5E1C">
              <w:rPr>
                <w:i/>
                <w:iCs/>
              </w:rPr>
              <w:t>EU-LISA</w:t>
            </w:r>
            <w:r w:rsidRPr="00EC5E1C">
              <w:t xml:space="preserve"> </w:t>
            </w:r>
          </w:p>
        </w:tc>
        <w:tc>
          <w:tcPr>
            <w:tcW w:w="2126" w:type="dxa"/>
            <w:tcBorders>
              <w:top w:val="nil"/>
              <w:left w:val="nil"/>
              <w:bottom w:val="single" w:sz="4" w:space="0" w:color="auto"/>
              <w:right w:val="single" w:sz="4" w:space="0" w:color="auto"/>
            </w:tcBorders>
            <w:noWrap/>
            <w:vAlign w:val="bottom"/>
            <w:hideMark/>
          </w:tcPr>
          <w:p w14:paraId="544B00D1" w14:textId="77777777" w:rsidR="00EA2C2C" w:rsidRPr="00EC5E1C" w:rsidRDefault="00EA2C2C" w:rsidP="00F70034">
            <w:pPr>
              <w:pStyle w:val="NormalHanging12a"/>
            </w:pPr>
            <w:r w:rsidRPr="00EC5E1C">
              <w:t>€273.679.741,00</w:t>
            </w:r>
          </w:p>
        </w:tc>
        <w:tc>
          <w:tcPr>
            <w:tcW w:w="2126" w:type="dxa"/>
            <w:tcBorders>
              <w:top w:val="nil"/>
              <w:left w:val="nil"/>
              <w:bottom w:val="single" w:sz="4" w:space="0" w:color="auto"/>
              <w:right w:val="single" w:sz="4" w:space="0" w:color="auto"/>
            </w:tcBorders>
            <w:noWrap/>
            <w:vAlign w:val="bottom"/>
            <w:hideMark/>
          </w:tcPr>
          <w:p w14:paraId="5C6B410B" w14:textId="77777777" w:rsidR="00EA2C2C" w:rsidRPr="00EC5E1C" w:rsidRDefault="00EA2C2C" w:rsidP="00F70034">
            <w:pPr>
              <w:pStyle w:val="NormalHanging12a"/>
            </w:pPr>
            <w:r w:rsidRPr="00EC5E1C">
              <w:t>€300.524.142,00</w:t>
            </w:r>
          </w:p>
        </w:tc>
        <w:tc>
          <w:tcPr>
            <w:tcW w:w="2054" w:type="dxa"/>
            <w:tcBorders>
              <w:top w:val="nil"/>
              <w:left w:val="nil"/>
              <w:bottom w:val="single" w:sz="4" w:space="0" w:color="auto"/>
              <w:right w:val="single" w:sz="4" w:space="0" w:color="auto"/>
            </w:tcBorders>
            <w:shd w:val="clear" w:color="auto" w:fill="FFFFFF"/>
            <w:noWrap/>
            <w:vAlign w:val="center"/>
            <w:hideMark/>
          </w:tcPr>
          <w:p w14:paraId="19AB2B26" w14:textId="77777777" w:rsidR="00EA2C2C" w:rsidRPr="00EC5E1C" w:rsidRDefault="00EA2C2C" w:rsidP="00F70034">
            <w:pPr>
              <w:pStyle w:val="NormalHanging12a"/>
            </w:pPr>
            <w:r w:rsidRPr="00EC5E1C">
              <w:t>-8,93 %</w:t>
            </w:r>
          </w:p>
        </w:tc>
      </w:tr>
      <w:tr w:rsidR="00EA2C2C" w:rsidRPr="00EC5E1C" w14:paraId="0CA016B9"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49AB3003" w14:textId="77777777" w:rsidR="00EA2C2C" w:rsidRPr="00EC5E1C" w:rsidRDefault="00EA2C2C" w:rsidP="00F70034">
            <w:pPr>
              <w:pStyle w:val="NormalHanging12a"/>
            </w:pPr>
            <w:r w:rsidRPr="00EC5E1C">
              <w:rPr>
                <w:i/>
                <w:iCs/>
              </w:rPr>
              <w:t>EU-OSHA</w:t>
            </w:r>
          </w:p>
        </w:tc>
        <w:tc>
          <w:tcPr>
            <w:tcW w:w="2126" w:type="dxa"/>
            <w:tcBorders>
              <w:top w:val="nil"/>
              <w:left w:val="nil"/>
              <w:bottom w:val="single" w:sz="4" w:space="0" w:color="auto"/>
              <w:right w:val="single" w:sz="4" w:space="0" w:color="auto"/>
            </w:tcBorders>
            <w:noWrap/>
            <w:vAlign w:val="bottom"/>
            <w:hideMark/>
          </w:tcPr>
          <w:p w14:paraId="475DD282" w14:textId="77777777" w:rsidR="00EA2C2C" w:rsidRPr="00EC5E1C" w:rsidRDefault="00EA2C2C" w:rsidP="00F70034">
            <w:pPr>
              <w:pStyle w:val="NormalHanging12a"/>
            </w:pPr>
            <w:r w:rsidRPr="00EC5E1C">
              <w:t>€17.618.795,00</w:t>
            </w:r>
          </w:p>
        </w:tc>
        <w:tc>
          <w:tcPr>
            <w:tcW w:w="2126" w:type="dxa"/>
            <w:tcBorders>
              <w:top w:val="nil"/>
              <w:left w:val="nil"/>
              <w:bottom w:val="single" w:sz="4" w:space="0" w:color="auto"/>
              <w:right w:val="single" w:sz="4" w:space="0" w:color="auto"/>
            </w:tcBorders>
            <w:noWrap/>
            <w:vAlign w:val="bottom"/>
            <w:hideMark/>
          </w:tcPr>
          <w:p w14:paraId="7561A2E2" w14:textId="77777777" w:rsidR="00EA2C2C" w:rsidRPr="00EC5E1C" w:rsidRDefault="00EA2C2C" w:rsidP="00F70034">
            <w:pPr>
              <w:pStyle w:val="NormalHanging12a"/>
            </w:pPr>
            <w:r w:rsidRPr="00EC5E1C">
              <w:t>€17.038.950,00</w:t>
            </w:r>
          </w:p>
        </w:tc>
        <w:tc>
          <w:tcPr>
            <w:tcW w:w="2054" w:type="dxa"/>
            <w:tcBorders>
              <w:top w:val="nil"/>
              <w:left w:val="nil"/>
              <w:bottom w:val="single" w:sz="4" w:space="0" w:color="auto"/>
              <w:right w:val="single" w:sz="4" w:space="0" w:color="auto"/>
            </w:tcBorders>
            <w:shd w:val="clear" w:color="auto" w:fill="FFFFFF"/>
            <w:noWrap/>
            <w:vAlign w:val="center"/>
            <w:hideMark/>
          </w:tcPr>
          <w:p w14:paraId="3DB2BA41" w14:textId="77777777" w:rsidR="00EA2C2C" w:rsidRPr="00EC5E1C" w:rsidRDefault="00EA2C2C" w:rsidP="00F70034">
            <w:pPr>
              <w:pStyle w:val="NormalHanging12a"/>
            </w:pPr>
            <w:r w:rsidRPr="00EC5E1C">
              <w:t>3,40 %</w:t>
            </w:r>
          </w:p>
        </w:tc>
      </w:tr>
      <w:tr w:rsidR="00EA2C2C" w:rsidRPr="00EC5E1C" w14:paraId="0757788D"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4947924" w14:textId="77777777" w:rsidR="00EA2C2C" w:rsidRPr="00EC5E1C" w:rsidRDefault="00EA2C2C" w:rsidP="00F70034">
            <w:pPr>
              <w:pStyle w:val="NormalHanging12a"/>
            </w:pPr>
            <w:r w:rsidRPr="00EC5E1C">
              <w:rPr>
                <w:i/>
                <w:iCs/>
              </w:rPr>
              <w:lastRenderedPageBreak/>
              <w:t>EUROFOUND</w:t>
            </w:r>
          </w:p>
        </w:tc>
        <w:tc>
          <w:tcPr>
            <w:tcW w:w="2126" w:type="dxa"/>
            <w:tcBorders>
              <w:top w:val="nil"/>
              <w:left w:val="nil"/>
              <w:bottom w:val="single" w:sz="4" w:space="0" w:color="auto"/>
              <w:right w:val="single" w:sz="4" w:space="0" w:color="auto"/>
            </w:tcBorders>
            <w:noWrap/>
            <w:vAlign w:val="bottom"/>
            <w:hideMark/>
          </w:tcPr>
          <w:p w14:paraId="7EF85448" w14:textId="77777777" w:rsidR="00EA2C2C" w:rsidRPr="00EC5E1C" w:rsidRDefault="00EA2C2C" w:rsidP="00F70034">
            <w:pPr>
              <w:pStyle w:val="NormalHanging12a"/>
            </w:pPr>
            <w:r w:rsidRPr="00EC5E1C">
              <w:t>€24.965.993,00</w:t>
            </w:r>
          </w:p>
        </w:tc>
        <w:tc>
          <w:tcPr>
            <w:tcW w:w="2126" w:type="dxa"/>
            <w:tcBorders>
              <w:top w:val="nil"/>
              <w:left w:val="nil"/>
              <w:bottom w:val="single" w:sz="4" w:space="0" w:color="auto"/>
              <w:right w:val="single" w:sz="4" w:space="0" w:color="auto"/>
            </w:tcBorders>
            <w:noWrap/>
            <w:vAlign w:val="bottom"/>
            <w:hideMark/>
          </w:tcPr>
          <w:p w14:paraId="17C65840" w14:textId="77777777" w:rsidR="00EA2C2C" w:rsidRPr="00EC5E1C" w:rsidRDefault="00EA2C2C" w:rsidP="00F70034">
            <w:pPr>
              <w:pStyle w:val="NormalHanging12a"/>
            </w:pPr>
            <w:r w:rsidRPr="00EC5E1C">
              <w:t>€25.369.931,00</w:t>
            </w:r>
          </w:p>
        </w:tc>
        <w:tc>
          <w:tcPr>
            <w:tcW w:w="2054" w:type="dxa"/>
            <w:tcBorders>
              <w:top w:val="nil"/>
              <w:left w:val="nil"/>
              <w:bottom w:val="single" w:sz="4" w:space="0" w:color="auto"/>
              <w:right w:val="single" w:sz="4" w:space="0" w:color="auto"/>
            </w:tcBorders>
            <w:shd w:val="clear" w:color="auto" w:fill="FFFFFF"/>
            <w:noWrap/>
            <w:vAlign w:val="center"/>
            <w:hideMark/>
          </w:tcPr>
          <w:p w14:paraId="2F346019" w14:textId="77777777" w:rsidR="00EA2C2C" w:rsidRPr="00EC5E1C" w:rsidRDefault="00EA2C2C" w:rsidP="00F70034">
            <w:pPr>
              <w:pStyle w:val="NormalHanging12a"/>
            </w:pPr>
            <w:r w:rsidRPr="00EC5E1C">
              <w:t>-1,59 %</w:t>
            </w:r>
          </w:p>
        </w:tc>
      </w:tr>
      <w:tr w:rsidR="00EA2C2C" w:rsidRPr="00EC5E1C" w14:paraId="188CE91C"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41B8680E" w14:textId="77777777" w:rsidR="00EA2C2C" w:rsidRPr="00EC5E1C" w:rsidRDefault="00EA2C2C" w:rsidP="00F70034">
            <w:pPr>
              <w:pStyle w:val="NormalHanging12a"/>
            </w:pPr>
            <w:r w:rsidRPr="00EC5E1C">
              <w:rPr>
                <w:i/>
                <w:iCs/>
              </w:rPr>
              <w:t>EUROJUST</w:t>
            </w:r>
            <w:r w:rsidRPr="00EC5E1C">
              <w:t xml:space="preserve"> </w:t>
            </w:r>
          </w:p>
        </w:tc>
        <w:tc>
          <w:tcPr>
            <w:tcW w:w="2126" w:type="dxa"/>
            <w:tcBorders>
              <w:top w:val="nil"/>
              <w:left w:val="nil"/>
              <w:bottom w:val="single" w:sz="4" w:space="0" w:color="auto"/>
              <w:right w:val="single" w:sz="4" w:space="0" w:color="auto"/>
            </w:tcBorders>
            <w:noWrap/>
            <w:vAlign w:val="bottom"/>
            <w:hideMark/>
          </w:tcPr>
          <w:p w14:paraId="5A7CA8B7" w14:textId="77777777" w:rsidR="00EA2C2C" w:rsidRPr="00EC5E1C" w:rsidRDefault="00EA2C2C" w:rsidP="00F70034">
            <w:pPr>
              <w:pStyle w:val="NormalHanging12a"/>
            </w:pPr>
            <w:r w:rsidRPr="00EC5E1C">
              <w:t>€65.355.970,00</w:t>
            </w:r>
          </w:p>
        </w:tc>
        <w:tc>
          <w:tcPr>
            <w:tcW w:w="2126" w:type="dxa"/>
            <w:tcBorders>
              <w:top w:val="nil"/>
              <w:left w:val="nil"/>
              <w:bottom w:val="single" w:sz="4" w:space="0" w:color="auto"/>
              <w:right w:val="single" w:sz="4" w:space="0" w:color="auto"/>
            </w:tcBorders>
            <w:noWrap/>
            <w:vAlign w:val="bottom"/>
            <w:hideMark/>
          </w:tcPr>
          <w:p w14:paraId="7B616731" w14:textId="77777777" w:rsidR="00EA2C2C" w:rsidRPr="00EC5E1C" w:rsidRDefault="00EA2C2C" w:rsidP="00F70034">
            <w:pPr>
              <w:pStyle w:val="NormalHanging12a"/>
            </w:pPr>
            <w:r w:rsidRPr="00EC5E1C">
              <w:t>€59.324.460,00</w:t>
            </w:r>
          </w:p>
        </w:tc>
        <w:tc>
          <w:tcPr>
            <w:tcW w:w="2054" w:type="dxa"/>
            <w:tcBorders>
              <w:top w:val="nil"/>
              <w:left w:val="nil"/>
              <w:bottom w:val="single" w:sz="4" w:space="0" w:color="auto"/>
              <w:right w:val="single" w:sz="4" w:space="0" w:color="auto"/>
            </w:tcBorders>
            <w:shd w:val="clear" w:color="auto" w:fill="FFFFFF"/>
            <w:noWrap/>
            <w:vAlign w:val="center"/>
            <w:hideMark/>
          </w:tcPr>
          <w:p w14:paraId="62C0C686" w14:textId="77777777" w:rsidR="00EA2C2C" w:rsidRPr="00EC5E1C" w:rsidRDefault="00EA2C2C" w:rsidP="00F70034">
            <w:pPr>
              <w:pStyle w:val="NormalHanging12a"/>
            </w:pPr>
            <w:r w:rsidRPr="00EC5E1C">
              <w:t>10,17 %</w:t>
            </w:r>
          </w:p>
        </w:tc>
      </w:tr>
      <w:tr w:rsidR="00EA2C2C" w:rsidRPr="00EC5E1C" w14:paraId="227E1A4F"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0D79642" w14:textId="77777777" w:rsidR="00EA2C2C" w:rsidRPr="00EC5E1C" w:rsidRDefault="00EA2C2C" w:rsidP="00F70034">
            <w:pPr>
              <w:pStyle w:val="NormalHanging12a"/>
            </w:pPr>
            <w:r w:rsidRPr="00EC5E1C">
              <w:t>EIROPOLS</w:t>
            </w:r>
          </w:p>
        </w:tc>
        <w:tc>
          <w:tcPr>
            <w:tcW w:w="2126" w:type="dxa"/>
            <w:tcBorders>
              <w:top w:val="nil"/>
              <w:left w:val="nil"/>
              <w:bottom w:val="single" w:sz="4" w:space="0" w:color="auto"/>
              <w:right w:val="single" w:sz="4" w:space="0" w:color="auto"/>
            </w:tcBorders>
            <w:noWrap/>
            <w:vAlign w:val="bottom"/>
            <w:hideMark/>
          </w:tcPr>
          <w:p w14:paraId="19AC5FEF" w14:textId="77777777" w:rsidR="00EA2C2C" w:rsidRPr="00EC5E1C" w:rsidRDefault="00EA2C2C" w:rsidP="00F70034">
            <w:pPr>
              <w:pStyle w:val="NormalHanging12a"/>
            </w:pPr>
            <w:r w:rsidRPr="00EC5E1C">
              <w:t>€225.228.057,00</w:t>
            </w:r>
          </w:p>
        </w:tc>
        <w:tc>
          <w:tcPr>
            <w:tcW w:w="2126" w:type="dxa"/>
            <w:tcBorders>
              <w:top w:val="nil"/>
              <w:left w:val="nil"/>
              <w:bottom w:val="single" w:sz="4" w:space="0" w:color="auto"/>
              <w:right w:val="single" w:sz="4" w:space="0" w:color="auto"/>
            </w:tcBorders>
            <w:noWrap/>
            <w:vAlign w:val="bottom"/>
            <w:hideMark/>
          </w:tcPr>
          <w:p w14:paraId="04E91457" w14:textId="77777777" w:rsidR="00EA2C2C" w:rsidRPr="00EC5E1C" w:rsidRDefault="00EA2C2C" w:rsidP="00F70034">
            <w:pPr>
              <w:pStyle w:val="NormalHanging12a"/>
            </w:pPr>
            <w:r w:rsidRPr="00EC5E1C">
              <w:t>€212.925.809,00</w:t>
            </w:r>
          </w:p>
        </w:tc>
        <w:tc>
          <w:tcPr>
            <w:tcW w:w="2054" w:type="dxa"/>
            <w:tcBorders>
              <w:top w:val="nil"/>
              <w:left w:val="nil"/>
              <w:bottom w:val="single" w:sz="4" w:space="0" w:color="auto"/>
              <w:right w:val="single" w:sz="4" w:space="0" w:color="auto"/>
            </w:tcBorders>
            <w:shd w:val="clear" w:color="auto" w:fill="FFFFFF"/>
            <w:noWrap/>
            <w:vAlign w:val="center"/>
            <w:hideMark/>
          </w:tcPr>
          <w:p w14:paraId="7CBE1023" w14:textId="77777777" w:rsidR="00EA2C2C" w:rsidRPr="00EC5E1C" w:rsidRDefault="00EA2C2C" w:rsidP="00F70034">
            <w:pPr>
              <w:pStyle w:val="NormalHanging12a"/>
            </w:pPr>
            <w:r w:rsidRPr="00EC5E1C">
              <w:t>5,78 %</w:t>
            </w:r>
          </w:p>
        </w:tc>
      </w:tr>
      <w:tr w:rsidR="00EA2C2C" w:rsidRPr="00EC5E1C" w14:paraId="3116E9B6"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5AC40B76" w14:textId="77777777" w:rsidR="00EA2C2C" w:rsidRPr="00EC5E1C" w:rsidRDefault="00EA2C2C" w:rsidP="00F70034">
            <w:pPr>
              <w:pStyle w:val="NormalHanging12a"/>
            </w:pPr>
            <w:r w:rsidRPr="00EC5E1C">
              <w:rPr>
                <w:i/>
                <w:iCs/>
              </w:rPr>
              <w:t>EUSPA</w:t>
            </w:r>
          </w:p>
        </w:tc>
        <w:tc>
          <w:tcPr>
            <w:tcW w:w="2126" w:type="dxa"/>
            <w:tcBorders>
              <w:top w:val="nil"/>
              <w:left w:val="nil"/>
              <w:bottom w:val="single" w:sz="4" w:space="0" w:color="auto"/>
              <w:right w:val="single" w:sz="4" w:space="0" w:color="auto"/>
            </w:tcBorders>
            <w:noWrap/>
            <w:vAlign w:val="bottom"/>
            <w:hideMark/>
          </w:tcPr>
          <w:p w14:paraId="2DF881A3" w14:textId="77777777" w:rsidR="00EA2C2C" w:rsidRPr="00EC5E1C" w:rsidRDefault="00EA2C2C" w:rsidP="00F70034">
            <w:pPr>
              <w:pStyle w:val="NormalHanging12a"/>
            </w:pPr>
            <w:r w:rsidRPr="00EC5E1C">
              <w:t>€85.410.390,00</w:t>
            </w:r>
          </w:p>
        </w:tc>
        <w:tc>
          <w:tcPr>
            <w:tcW w:w="2126" w:type="dxa"/>
            <w:tcBorders>
              <w:top w:val="nil"/>
              <w:left w:val="nil"/>
              <w:bottom w:val="single" w:sz="4" w:space="0" w:color="auto"/>
              <w:right w:val="single" w:sz="4" w:space="0" w:color="auto"/>
            </w:tcBorders>
            <w:noWrap/>
            <w:vAlign w:val="bottom"/>
            <w:hideMark/>
          </w:tcPr>
          <w:p w14:paraId="319226E7" w14:textId="77777777" w:rsidR="00EA2C2C" w:rsidRPr="00EC5E1C" w:rsidRDefault="00EA2C2C" w:rsidP="00F70034">
            <w:pPr>
              <w:pStyle w:val="NormalHanging12a"/>
            </w:pPr>
            <w:r w:rsidRPr="00EC5E1C">
              <w:t>€76.922.866,00</w:t>
            </w:r>
          </w:p>
        </w:tc>
        <w:tc>
          <w:tcPr>
            <w:tcW w:w="2054" w:type="dxa"/>
            <w:tcBorders>
              <w:top w:val="nil"/>
              <w:left w:val="nil"/>
              <w:bottom w:val="single" w:sz="4" w:space="0" w:color="auto"/>
              <w:right w:val="single" w:sz="4" w:space="0" w:color="auto"/>
            </w:tcBorders>
            <w:shd w:val="clear" w:color="auto" w:fill="FFFFFF"/>
            <w:noWrap/>
            <w:vAlign w:val="center"/>
            <w:hideMark/>
          </w:tcPr>
          <w:p w14:paraId="4EEB39D8" w14:textId="77777777" w:rsidR="00EA2C2C" w:rsidRPr="00EC5E1C" w:rsidRDefault="00EA2C2C" w:rsidP="00F70034">
            <w:pPr>
              <w:pStyle w:val="NormalHanging12a"/>
            </w:pPr>
            <w:r w:rsidRPr="00EC5E1C">
              <w:t>11,03 %</w:t>
            </w:r>
          </w:p>
        </w:tc>
      </w:tr>
      <w:tr w:rsidR="00EA2C2C" w:rsidRPr="00EC5E1C" w14:paraId="6D611FA1"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5710C794" w14:textId="77777777" w:rsidR="00EA2C2C" w:rsidRPr="00EC5E1C" w:rsidRDefault="00EA2C2C" w:rsidP="00F70034">
            <w:pPr>
              <w:pStyle w:val="NormalHanging12a"/>
            </w:pPr>
            <w:r w:rsidRPr="00EC5E1C">
              <w:rPr>
                <w:i/>
                <w:iCs/>
              </w:rPr>
              <w:t>FRA</w:t>
            </w:r>
          </w:p>
        </w:tc>
        <w:tc>
          <w:tcPr>
            <w:tcW w:w="2126" w:type="dxa"/>
            <w:tcBorders>
              <w:top w:val="nil"/>
              <w:left w:val="nil"/>
              <w:bottom w:val="single" w:sz="4" w:space="0" w:color="auto"/>
              <w:right w:val="single" w:sz="4" w:space="0" w:color="auto"/>
            </w:tcBorders>
            <w:noWrap/>
            <w:vAlign w:val="bottom"/>
            <w:hideMark/>
          </w:tcPr>
          <w:p w14:paraId="39C55826" w14:textId="77777777" w:rsidR="00EA2C2C" w:rsidRPr="00EC5E1C" w:rsidRDefault="00EA2C2C" w:rsidP="00F70034">
            <w:pPr>
              <w:pStyle w:val="NormalHanging12a"/>
            </w:pPr>
            <w:r w:rsidRPr="00EC5E1C">
              <w:t>€28.052.521,00</w:t>
            </w:r>
          </w:p>
        </w:tc>
        <w:tc>
          <w:tcPr>
            <w:tcW w:w="2126" w:type="dxa"/>
            <w:tcBorders>
              <w:top w:val="nil"/>
              <w:left w:val="nil"/>
              <w:bottom w:val="single" w:sz="4" w:space="0" w:color="auto"/>
              <w:right w:val="single" w:sz="4" w:space="0" w:color="auto"/>
            </w:tcBorders>
            <w:noWrap/>
            <w:vAlign w:val="bottom"/>
            <w:hideMark/>
          </w:tcPr>
          <w:p w14:paraId="62D38C69" w14:textId="77777777" w:rsidR="00EA2C2C" w:rsidRPr="00EC5E1C" w:rsidRDefault="00EA2C2C" w:rsidP="00F70034">
            <w:pPr>
              <w:pStyle w:val="NormalHanging12a"/>
            </w:pPr>
            <w:r w:rsidRPr="00EC5E1C">
              <w:t>€26.191.030,72</w:t>
            </w:r>
          </w:p>
        </w:tc>
        <w:tc>
          <w:tcPr>
            <w:tcW w:w="2054" w:type="dxa"/>
            <w:tcBorders>
              <w:top w:val="nil"/>
              <w:left w:val="nil"/>
              <w:bottom w:val="single" w:sz="4" w:space="0" w:color="auto"/>
              <w:right w:val="single" w:sz="4" w:space="0" w:color="auto"/>
            </w:tcBorders>
            <w:shd w:val="clear" w:color="auto" w:fill="FFFFFF"/>
            <w:noWrap/>
            <w:vAlign w:val="center"/>
            <w:hideMark/>
          </w:tcPr>
          <w:p w14:paraId="68BE737B" w14:textId="77777777" w:rsidR="00EA2C2C" w:rsidRPr="00EC5E1C" w:rsidRDefault="00EA2C2C" w:rsidP="00F70034">
            <w:pPr>
              <w:pStyle w:val="NormalHanging12a"/>
            </w:pPr>
            <w:r w:rsidRPr="00EC5E1C">
              <w:t>7,11 %</w:t>
            </w:r>
          </w:p>
        </w:tc>
      </w:tr>
      <w:tr w:rsidR="00EA2C2C" w:rsidRPr="00EC5E1C" w14:paraId="4BE03D25"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42075D8C" w14:textId="77777777" w:rsidR="00EA2C2C" w:rsidRPr="00EC5E1C" w:rsidRDefault="00EA2C2C" w:rsidP="00F70034">
            <w:pPr>
              <w:pStyle w:val="NormalHanging12a"/>
            </w:pPr>
            <w:r w:rsidRPr="00EC5E1C">
              <w:rPr>
                <w:i/>
                <w:iCs/>
              </w:rPr>
              <w:t>FRONTEX</w:t>
            </w:r>
          </w:p>
        </w:tc>
        <w:tc>
          <w:tcPr>
            <w:tcW w:w="2126" w:type="dxa"/>
            <w:tcBorders>
              <w:top w:val="nil"/>
              <w:left w:val="nil"/>
              <w:bottom w:val="single" w:sz="4" w:space="0" w:color="auto"/>
              <w:right w:val="single" w:sz="4" w:space="0" w:color="auto"/>
            </w:tcBorders>
            <w:noWrap/>
            <w:vAlign w:val="bottom"/>
            <w:hideMark/>
          </w:tcPr>
          <w:p w14:paraId="2F9C99A7" w14:textId="77777777" w:rsidR="00EA2C2C" w:rsidRPr="00EC5E1C" w:rsidRDefault="00EA2C2C" w:rsidP="00F70034">
            <w:pPr>
              <w:pStyle w:val="NormalHanging12a"/>
            </w:pPr>
            <w:r w:rsidRPr="00EC5E1C">
              <w:t>€922.074.136,00</w:t>
            </w:r>
          </w:p>
        </w:tc>
        <w:tc>
          <w:tcPr>
            <w:tcW w:w="2126" w:type="dxa"/>
            <w:tcBorders>
              <w:top w:val="nil"/>
              <w:left w:val="nil"/>
              <w:bottom w:val="single" w:sz="4" w:space="0" w:color="auto"/>
              <w:right w:val="single" w:sz="4" w:space="0" w:color="auto"/>
            </w:tcBorders>
            <w:noWrap/>
            <w:vAlign w:val="bottom"/>
            <w:hideMark/>
          </w:tcPr>
          <w:p w14:paraId="25BF74AF" w14:textId="77777777" w:rsidR="00EA2C2C" w:rsidRPr="00EC5E1C" w:rsidRDefault="00EA2C2C" w:rsidP="00F70034">
            <w:pPr>
              <w:pStyle w:val="NormalHanging12a"/>
            </w:pPr>
            <w:r w:rsidRPr="00EC5E1C">
              <w:t>€829.352.752,00</w:t>
            </w:r>
          </w:p>
        </w:tc>
        <w:tc>
          <w:tcPr>
            <w:tcW w:w="2054" w:type="dxa"/>
            <w:tcBorders>
              <w:top w:val="nil"/>
              <w:left w:val="nil"/>
              <w:bottom w:val="single" w:sz="4" w:space="0" w:color="auto"/>
              <w:right w:val="single" w:sz="4" w:space="0" w:color="auto"/>
            </w:tcBorders>
            <w:shd w:val="clear" w:color="auto" w:fill="FFFFFF"/>
            <w:noWrap/>
            <w:vAlign w:val="center"/>
            <w:hideMark/>
          </w:tcPr>
          <w:p w14:paraId="3CEC2F52" w14:textId="77777777" w:rsidR="00EA2C2C" w:rsidRPr="00EC5E1C" w:rsidRDefault="00EA2C2C" w:rsidP="00F70034">
            <w:pPr>
              <w:pStyle w:val="NormalHanging12a"/>
            </w:pPr>
            <w:r w:rsidRPr="00EC5E1C">
              <w:t>11,18 %</w:t>
            </w:r>
          </w:p>
        </w:tc>
      </w:tr>
      <w:tr w:rsidR="00EA2C2C" w:rsidRPr="00EC5E1C" w14:paraId="613B80EA" w14:textId="77777777" w:rsidTr="00F70034">
        <w:trPr>
          <w:trHeight w:val="288"/>
        </w:trPr>
        <w:tc>
          <w:tcPr>
            <w:tcW w:w="2122" w:type="dxa"/>
            <w:tcBorders>
              <w:top w:val="nil"/>
              <w:left w:val="single" w:sz="4" w:space="0" w:color="auto"/>
              <w:bottom w:val="single" w:sz="4" w:space="0" w:color="auto"/>
              <w:right w:val="single" w:sz="4" w:space="0" w:color="auto"/>
            </w:tcBorders>
            <w:noWrap/>
            <w:vAlign w:val="bottom"/>
            <w:hideMark/>
          </w:tcPr>
          <w:p w14:paraId="7496A4E8" w14:textId="77777777" w:rsidR="00EA2C2C" w:rsidRPr="00EC5E1C" w:rsidRDefault="00EA2C2C" w:rsidP="00F70034">
            <w:pPr>
              <w:pStyle w:val="NormalHanging12a"/>
              <w:rPr>
                <w:b/>
                <w:bCs/>
              </w:rPr>
            </w:pPr>
            <w:r w:rsidRPr="00EC5E1C">
              <w:rPr>
                <w:b/>
              </w:rPr>
              <w:t>KOPĀ</w:t>
            </w:r>
          </w:p>
        </w:tc>
        <w:tc>
          <w:tcPr>
            <w:tcW w:w="2126" w:type="dxa"/>
            <w:tcBorders>
              <w:top w:val="nil"/>
              <w:left w:val="nil"/>
              <w:bottom w:val="single" w:sz="4" w:space="0" w:color="auto"/>
              <w:right w:val="single" w:sz="4" w:space="0" w:color="auto"/>
            </w:tcBorders>
            <w:noWrap/>
            <w:vAlign w:val="bottom"/>
            <w:hideMark/>
          </w:tcPr>
          <w:p w14:paraId="52414AC5" w14:textId="77777777" w:rsidR="00EA2C2C" w:rsidRPr="00EC5E1C" w:rsidRDefault="00EA2C2C" w:rsidP="00F70034">
            <w:pPr>
              <w:pStyle w:val="NormalHanging12a"/>
              <w:rPr>
                <w:b/>
                <w:bCs/>
              </w:rPr>
            </w:pPr>
            <w:r w:rsidRPr="00EC5E1C">
              <w:rPr>
                <w:b/>
              </w:rPr>
              <w:t>€4.112.799.136,00</w:t>
            </w:r>
          </w:p>
        </w:tc>
        <w:tc>
          <w:tcPr>
            <w:tcW w:w="2126" w:type="dxa"/>
            <w:tcBorders>
              <w:top w:val="nil"/>
              <w:left w:val="nil"/>
              <w:bottom w:val="single" w:sz="4" w:space="0" w:color="auto"/>
              <w:right w:val="single" w:sz="4" w:space="0" w:color="auto"/>
            </w:tcBorders>
            <w:noWrap/>
            <w:vAlign w:val="bottom"/>
            <w:hideMark/>
          </w:tcPr>
          <w:p w14:paraId="2DDE5663" w14:textId="77777777" w:rsidR="00EA2C2C" w:rsidRPr="00EC5E1C" w:rsidRDefault="00EA2C2C" w:rsidP="00F70034">
            <w:pPr>
              <w:pStyle w:val="NormalHanging12a"/>
              <w:rPr>
                <w:b/>
                <w:bCs/>
              </w:rPr>
            </w:pPr>
            <w:r w:rsidRPr="00EC5E1C">
              <w:rPr>
                <w:b/>
              </w:rPr>
              <w:t>€3.741.954.188,71</w:t>
            </w:r>
          </w:p>
        </w:tc>
        <w:tc>
          <w:tcPr>
            <w:tcW w:w="2054" w:type="dxa"/>
            <w:tcBorders>
              <w:top w:val="nil"/>
              <w:left w:val="nil"/>
              <w:bottom w:val="single" w:sz="4" w:space="0" w:color="auto"/>
              <w:right w:val="single" w:sz="4" w:space="0" w:color="auto"/>
            </w:tcBorders>
            <w:shd w:val="clear" w:color="auto" w:fill="FFFFFF"/>
            <w:noWrap/>
            <w:vAlign w:val="center"/>
            <w:hideMark/>
          </w:tcPr>
          <w:p w14:paraId="45A4E03E" w14:textId="77777777" w:rsidR="00EA2C2C" w:rsidRPr="00EC5E1C" w:rsidRDefault="00EA2C2C" w:rsidP="00F70034">
            <w:pPr>
              <w:pStyle w:val="NormalHanging12a"/>
              <w:rPr>
                <w:b/>
                <w:bCs/>
              </w:rPr>
            </w:pPr>
            <w:r w:rsidRPr="00EC5E1C">
              <w:rPr>
                <w:b/>
              </w:rPr>
              <w:t>9,91 %</w:t>
            </w:r>
          </w:p>
        </w:tc>
      </w:tr>
    </w:tbl>
    <w:p w14:paraId="42CD7B68" w14:textId="506F9C1B" w:rsidR="00EA2C2C" w:rsidRPr="00EC5E1C" w:rsidRDefault="00EC5E1C" w:rsidP="00EA2C2C">
      <w:pPr>
        <w:pStyle w:val="NormalHanging12a"/>
      </w:pPr>
      <w:r w:rsidRPr="00EC5E1C">
        <w:t>25</w:t>
      </w:r>
      <w:r w:rsidR="00EA2C2C" w:rsidRPr="00EC5E1C">
        <w:t>.</w:t>
      </w:r>
      <w:r w:rsidR="00EA2C2C" w:rsidRPr="00EC5E1C">
        <w:tab/>
        <w:t>norāda, ka 33 ES aģentūru budžets palielinājās no 3,6 miljardiem EUR 2023. gadā līdz 4,1 miljardam EUR 2024. gadā; aicina Komisiju analizēt piecu gadu kumulatīvās izmaksas, nošķirot pilnvaru virzītu izaugsmi no administratīvās paplašināšanas, un pamatot turpmāku palielinājumu ar pierādāmu pievienoto vērtību; uzsver, ka budžeta pieaugums ir jāpapildina ar stingrāku pārvaldību, iekšējo kontroli, personāla komplektēšanu un līdzekļu apguves plānošanu, lai izvairītos no pārkāpumiem, pārnesumiem un neefektīviem izdevumiem;</w:t>
      </w:r>
      <w:r w:rsidR="00F77397" w:rsidRPr="00EC5E1C">
        <w:t xml:space="preserve"> uzsver, ka jebkādi papildu resursi aģentūrām ir jāpapildina ar izmērāmiem snieguma mērķiem un regulāru ziņošanu par konkrētiem sasniegtajiem rezultātiem, lai budžeta izpildes </w:t>
      </w:r>
      <w:proofErr w:type="spellStart"/>
      <w:r w:rsidR="00F77397" w:rsidRPr="00EC5E1C">
        <w:t>apstiprinātājiestāde</w:t>
      </w:r>
      <w:proofErr w:type="spellEnd"/>
      <w:r w:rsidR="00F77397" w:rsidRPr="00EC5E1C">
        <w:t xml:space="preserve"> varētu novērtēt ieguldīto līdzekļu atdevi; uzstāj, ka pirms papildu finansējuma apstiprināšanas aģentūrām vispirms ir jāpierāda, ka esošie resursi tiek izmantoti efektīvi;</w:t>
      </w:r>
    </w:p>
    <w:p w14:paraId="60041BEC" w14:textId="64C4A7C0" w:rsidR="00EA2C2C" w:rsidRPr="00EC5E1C" w:rsidRDefault="00EC5E1C" w:rsidP="00EA2C2C">
      <w:pPr>
        <w:pStyle w:val="NormalHanging12a"/>
      </w:pPr>
      <w:r w:rsidRPr="00EC5E1C">
        <w:t>26</w:t>
      </w:r>
      <w:r w:rsidR="00EA2C2C" w:rsidRPr="00EC5E1C">
        <w:t>.</w:t>
      </w:r>
      <w:r w:rsidR="00EA2C2C" w:rsidRPr="00EC5E1C">
        <w:tab/>
        <w:t xml:space="preserve">norāda, ka Eiropas Savienības </w:t>
      </w:r>
      <w:proofErr w:type="spellStart"/>
      <w:r w:rsidR="00EA2C2C" w:rsidRPr="00EC5E1C">
        <w:t>Pamattiesību</w:t>
      </w:r>
      <w:proofErr w:type="spellEnd"/>
      <w:r w:rsidR="00EA2C2C" w:rsidRPr="00EC5E1C">
        <w:t xml:space="preserve"> aģentūra (</w:t>
      </w:r>
      <w:r w:rsidR="00EA2C2C" w:rsidRPr="00EC5E1C">
        <w:rPr>
          <w:i/>
          <w:iCs/>
        </w:rPr>
        <w:t>FRA</w:t>
      </w:r>
      <w:r w:rsidR="00EA2C2C" w:rsidRPr="00EC5E1C">
        <w:t xml:space="preserve">) un citas ES aģentūras palīdz atbalstīt Savienības iestādes ar </w:t>
      </w:r>
      <w:proofErr w:type="spellStart"/>
      <w:r w:rsidR="00EA2C2C" w:rsidRPr="00EC5E1C">
        <w:t>pamattiesībām</w:t>
      </w:r>
      <w:proofErr w:type="spellEnd"/>
      <w:r w:rsidR="00EA2C2C" w:rsidRPr="00EC5E1C">
        <w:t xml:space="preserve"> saistītā Savienības tiesību aktu īstenošanas jomā; aicina Komisiju un budžeta lēmējinstitūciju nodrošināt visām ES aģentūrām pienācīgus un paredzamus resursus;</w:t>
      </w:r>
    </w:p>
    <w:p w14:paraId="18B01018" w14:textId="676458D3" w:rsidR="00EA2C2C" w:rsidRPr="00EC5E1C" w:rsidRDefault="00EC5E1C" w:rsidP="00EA2C2C">
      <w:pPr>
        <w:pStyle w:val="NormalHanging12a"/>
      </w:pPr>
      <w:r w:rsidRPr="00EC5E1C">
        <w:t>27</w:t>
      </w:r>
      <w:r w:rsidR="00EA2C2C" w:rsidRPr="00EC5E1C">
        <w:t>.</w:t>
      </w:r>
      <w:r w:rsidR="00EA2C2C" w:rsidRPr="00EC5E1C">
        <w:tab/>
        <w:t xml:space="preserve">uzsver, ka dažās aģentūrās, tostarp EVA, </w:t>
      </w:r>
      <w:r w:rsidR="00EA2C2C" w:rsidRPr="00EC5E1C">
        <w:rPr>
          <w:i/>
          <w:iCs/>
        </w:rPr>
        <w:t>EIT</w:t>
      </w:r>
      <w:r w:rsidR="00EA2C2C" w:rsidRPr="00EC5E1C">
        <w:t xml:space="preserve">, </w:t>
      </w:r>
      <w:r w:rsidR="00EA2C2C" w:rsidRPr="00EC5E1C">
        <w:rPr>
          <w:i/>
          <w:iCs/>
        </w:rPr>
        <w:t>ELA</w:t>
      </w:r>
      <w:r w:rsidR="00EA2C2C" w:rsidRPr="00EC5E1C">
        <w:t xml:space="preserve">, </w:t>
      </w:r>
      <w:r w:rsidR="00EA2C2C" w:rsidRPr="00EC5E1C">
        <w:rPr>
          <w:i/>
          <w:iCs/>
        </w:rPr>
        <w:t>ENISA</w:t>
      </w:r>
      <w:r w:rsidR="00EA2C2C" w:rsidRPr="00EC5E1C">
        <w:t xml:space="preserve"> un </w:t>
      </w:r>
      <w:r w:rsidR="00EA2C2C" w:rsidRPr="00EC5E1C">
        <w:rPr>
          <w:i/>
          <w:iCs/>
        </w:rPr>
        <w:t>EUDA</w:t>
      </w:r>
      <w:r w:rsidR="00EA2C2C" w:rsidRPr="00EC5E1C">
        <w:t>, ieņēmumi no 2023. līdz 2024. gadam ir ievērojami palielinājušies un to budžets ir palielinājies par vairāk nekā 21 %;</w:t>
      </w:r>
    </w:p>
    <w:p w14:paraId="356616A7" w14:textId="0FB07BF5" w:rsidR="00EA2C2C" w:rsidRPr="00EC5E1C" w:rsidRDefault="00EC5E1C" w:rsidP="00EA2C2C">
      <w:pPr>
        <w:pStyle w:val="NormalHanging12a"/>
      </w:pPr>
      <w:r w:rsidRPr="00EC5E1C">
        <w:t>28</w:t>
      </w:r>
      <w:r w:rsidR="00EA2C2C" w:rsidRPr="00EC5E1C">
        <w:t>.</w:t>
      </w:r>
      <w:r w:rsidR="00EA2C2C" w:rsidRPr="00EC5E1C">
        <w:tab/>
        <w:t xml:space="preserve">pieņem zināšanai, ka EVA 2024. gada budžeta palielinājums atspoguļo tās paplašinātās likumdošanas pilnvaras un lielākos operatīvos pienākumus, kas izriet no tādu Eiropas zaļā kursa politikas virzienu īstenošanas kā Dabas atjaunošanas regula (pieņemta 2024. gada beigās), Eiropas Piesārņojošo vielu un izmešu </w:t>
      </w:r>
      <w:proofErr w:type="spellStart"/>
      <w:r w:rsidR="00EA2C2C" w:rsidRPr="00EC5E1C">
        <w:t>pārneses</w:t>
      </w:r>
      <w:proofErr w:type="spellEnd"/>
      <w:r w:rsidR="00EA2C2C" w:rsidRPr="00EC5E1C">
        <w:t xml:space="preserve"> regulas (</w:t>
      </w:r>
      <w:r w:rsidR="00EA2C2C" w:rsidRPr="00EC5E1C">
        <w:rPr>
          <w:i/>
          <w:iCs/>
        </w:rPr>
        <w:t>E-PRTR</w:t>
      </w:r>
      <w:r w:rsidR="00EA2C2C" w:rsidRPr="00EC5E1C">
        <w:t>) pārstrādātā redakcija, ES oglekļa piesaistījumu un oglekļa pārvaldības lauksaimniecības sertifikācija (</w:t>
      </w:r>
      <w:r w:rsidR="00EA2C2C" w:rsidRPr="00EC5E1C">
        <w:rPr>
          <w:i/>
          <w:iCs/>
        </w:rPr>
        <w:t>CRCF</w:t>
      </w:r>
      <w:r w:rsidR="00EA2C2C" w:rsidRPr="00EC5E1C">
        <w:t>) un iniciatīvas paplašināt lielas noslodzes transportlīdzekļu (</w:t>
      </w:r>
      <w:r w:rsidR="00EA2C2C" w:rsidRPr="00EC5E1C">
        <w:rPr>
          <w:i/>
          <w:iCs/>
        </w:rPr>
        <w:t>HDV</w:t>
      </w:r>
      <w:r w:rsidR="00EA2C2C" w:rsidRPr="00EC5E1C">
        <w:t>) emisiju monitoringu, kas tika atbalstīta, pieņemot darbā darbiniekus; turklāt norāda, ka Aģentūra arī īstenoja uzdevumus saskaņā ar pārskatīto Zemes izmantošanas, zemes izmantošanas maiņas un mežsaimniecības regulu (2023. gads); apzinās arī to, ka jauni pakalpojumu līmeņa nolīgumi (PLN) ar MARE ĢD, SANTE ĢD un RTD ĢD paplašināja Aģentūras lomu okeānu un ūdens atjaunošanā, veselības apdraudējumu novēršanā un vides datu integrācijā, nodrošinot datus un analīzi, kas izmantojama Savienības vides politikā;</w:t>
      </w:r>
    </w:p>
    <w:p w14:paraId="287FC568" w14:textId="00902FAA" w:rsidR="00EA2C2C" w:rsidRPr="00EC5E1C" w:rsidRDefault="00EC5E1C" w:rsidP="00EA2C2C">
      <w:pPr>
        <w:pStyle w:val="NormalHanging12a"/>
      </w:pPr>
      <w:r w:rsidRPr="00EC5E1C">
        <w:t>29</w:t>
      </w:r>
      <w:r w:rsidR="00EA2C2C" w:rsidRPr="00EC5E1C">
        <w:t>.</w:t>
      </w:r>
      <w:r w:rsidR="00EA2C2C" w:rsidRPr="00EC5E1C">
        <w:tab/>
        <w:t xml:space="preserve">konstatē, ka </w:t>
      </w:r>
      <w:r w:rsidR="00EA2C2C" w:rsidRPr="00EC5E1C">
        <w:rPr>
          <w:i/>
          <w:iCs/>
        </w:rPr>
        <w:t>EIT</w:t>
      </w:r>
      <w:r w:rsidR="00EA2C2C" w:rsidRPr="00EC5E1C">
        <w:t xml:space="preserve"> budžeta palielinājums ir skaidrojams ar vairākiem faktoriem, tostarp lielākām pamatprogrammas “Apvārsnis Eiropa” apropriācijām (+ 10,25 %), jaunu finansējumu 24,6 miljonu EUR apmērā augstākās izglītības iestāžu (AII) iniciatīvai un </w:t>
      </w:r>
      <w:r w:rsidR="00EA2C2C" w:rsidRPr="00EC5E1C">
        <w:lastRenderedPageBreak/>
        <w:t>16,7 miljoniem EUR no jauniem iemaksu nolīgumiem ar Komisijas ģenerāldirektorātiem;</w:t>
      </w:r>
    </w:p>
    <w:p w14:paraId="48C4FE39" w14:textId="36812F13" w:rsidR="00EA2C2C" w:rsidRPr="00EC5E1C" w:rsidRDefault="00EC5E1C" w:rsidP="00EA2C2C">
      <w:pPr>
        <w:pStyle w:val="NormalHanging12a"/>
      </w:pPr>
      <w:r w:rsidRPr="00EC5E1C">
        <w:t>30</w:t>
      </w:r>
      <w:r w:rsidR="00EA2C2C" w:rsidRPr="00EC5E1C">
        <w:t>.</w:t>
      </w:r>
      <w:r w:rsidR="00EA2C2C" w:rsidRPr="00EC5E1C">
        <w:tab/>
        <w:t>pieņem zināšanai, ka EDI budžeta palielinājums 2024. gadā galvenokārt ir skaidrojams ar aģentūras pāreju uz pilnīgu darbības spēju, kam nepieciešams ievērojams cilvēkresursu un darbības spēju palielinājums; uzsver, ka tas ietver personāla korekcijas (9,5 miljoni EUR, 44 %), piemēram, 15 NVE pārveidošanu par pagaidu darbiniekiem un algu korekcijas, kam seko darbības paplašināšana (7 miljoni EUR, 33 %), iekļaujot Eiropas Darba mobilitātes portāla modernizācijas un pārbaudes darbības, kā arī ar inflāciju saistītās izmaksas (1,2 miljoni EUR, 15 %) IKT/</w:t>
      </w:r>
      <w:proofErr w:type="spellStart"/>
      <w:r w:rsidR="00EA2C2C" w:rsidRPr="00EC5E1C">
        <w:t>kiberdrošības</w:t>
      </w:r>
      <w:proofErr w:type="spellEnd"/>
      <w:r w:rsidR="00EA2C2C" w:rsidRPr="00EC5E1C">
        <w:t xml:space="preserve"> un inflācijas spiediena dēļ;</w:t>
      </w:r>
    </w:p>
    <w:p w14:paraId="4859A992" w14:textId="14F7CD17" w:rsidR="00EA2C2C" w:rsidRPr="00EC5E1C" w:rsidRDefault="00EC5E1C" w:rsidP="00EA2C2C">
      <w:pPr>
        <w:pStyle w:val="NormalHanging12a"/>
        <w:rPr>
          <w:iCs/>
        </w:rPr>
      </w:pPr>
      <w:r w:rsidRPr="00EC5E1C">
        <w:t>31</w:t>
      </w:r>
      <w:r w:rsidR="00EA2C2C" w:rsidRPr="00EC5E1C">
        <w:t>.</w:t>
      </w:r>
      <w:r w:rsidR="00EA2C2C" w:rsidRPr="00EC5E1C">
        <w:tab/>
        <w:t xml:space="preserve">norāda, ka </w:t>
      </w:r>
      <w:r w:rsidR="00EA2C2C" w:rsidRPr="00EC5E1C">
        <w:rPr>
          <w:i/>
          <w:iCs/>
        </w:rPr>
        <w:t>ENISA</w:t>
      </w:r>
      <w:r w:rsidR="00EA2C2C" w:rsidRPr="00EC5E1C">
        <w:t xml:space="preserve"> budžeta palielinājums ir saistīts ar pirmo maksājumu 16 miljonu EUR apmērā, kas saņemts 2024. gada februārī no iemaksu nolīguma, kurš 2023. gada decembra beigās parakstīts starp Komunikācijas tīklu, satura un tehnoloģiju ģenerāldirektorātu un </w:t>
      </w:r>
      <w:r w:rsidR="00EA2C2C" w:rsidRPr="00EC5E1C">
        <w:rPr>
          <w:i/>
          <w:iCs/>
        </w:rPr>
        <w:t>ENISA</w:t>
      </w:r>
      <w:r w:rsidR="00EA2C2C" w:rsidRPr="00EC5E1C">
        <w:t xml:space="preserve"> un kurā kopumā piešķirti 20 miljoni EUR </w:t>
      </w:r>
      <w:proofErr w:type="spellStart"/>
      <w:r w:rsidR="00EA2C2C" w:rsidRPr="00EC5E1C">
        <w:t>kiberatbalsta</w:t>
      </w:r>
      <w:proofErr w:type="spellEnd"/>
      <w:r w:rsidR="00EA2C2C" w:rsidRPr="00EC5E1C">
        <w:t xml:space="preserve"> un situācijas centra darbību īstenošanai 2024.–2026. gadā; apzinās, ka Aģentūra 2024. gadā darbojās ar 26,2 miljonu EUR budžetu salīdzinājumā ar 25,2 miljoniem EUR 2023. gada budžetā.</w:t>
      </w:r>
    </w:p>
    <w:p w14:paraId="32CB3037" w14:textId="01839A7D" w:rsidR="00EA2C2C" w:rsidRPr="00EC5E1C" w:rsidRDefault="00EC5E1C" w:rsidP="00EA2C2C">
      <w:pPr>
        <w:pStyle w:val="NormalHanging12a"/>
        <w:rPr>
          <w:iCs/>
        </w:rPr>
      </w:pPr>
      <w:r w:rsidRPr="00EC5E1C">
        <w:t>32</w:t>
      </w:r>
      <w:r w:rsidR="00EA2C2C" w:rsidRPr="00EC5E1C">
        <w:t>.</w:t>
      </w:r>
      <w:r w:rsidR="00EA2C2C" w:rsidRPr="00EC5E1C">
        <w:tab/>
        <w:t xml:space="preserve">pauž bažas, ka </w:t>
      </w:r>
      <w:r w:rsidR="00EA2C2C" w:rsidRPr="00EC5E1C">
        <w:rPr>
          <w:i/>
          <w:iCs/>
        </w:rPr>
        <w:t>ENISA</w:t>
      </w:r>
      <w:r w:rsidR="00EA2C2C" w:rsidRPr="00EC5E1C">
        <w:t xml:space="preserve"> ir kritiskā stāvoklī, jo Savienības </w:t>
      </w:r>
      <w:proofErr w:type="spellStart"/>
      <w:r w:rsidR="00EA2C2C" w:rsidRPr="00EC5E1C">
        <w:t>kiberdrošības</w:t>
      </w:r>
      <w:proofErr w:type="spellEnd"/>
      <w:r w:rsidR="00EA2C2C" w:rsidRPr="00EC5E1C">
        <w:t xml:space="preserve"> vajadzības kļūst arvien sarežģītākas, pastāvīgi pastiprinās </w:t>
      </w:r>
      <w:proofErr w:type="spellStart"/>
      <w:r w:rsidR="00EA2C2C" w:rsidRPr="00EC5E1C">
        <w:t>kiberdraudi</w:t>
      </w:r>
      <w:proofErr w:type="spellEnd"/>
      <w:r w:rsidR="00EA2C2C" w:rsidRPr="00EC5E1C">
        <w:t xml:space="preserve"> un trūkst proporcionāla finansējuma un pienācīga personāla; piekrīt Padomes 2024. gada decembra secinājumiem par </w:t>
      </w:r>
      <w:r w:rsidR="00EA2C2C" w:rsidRPr="00EC5E1C">
        <w:rPr>
          <w:i/>
          <w:iCs/>
        </w:rPr>
        <w:t>ENISA</w:t>
      </w:r>
      <w:r w:rsidR="00EA2C2C" w:rsidRPr="00EC5E1C">
        <w:t xml:space="preserve">, kuros uzsvērta </w:t>
      </w:r>
      <w:r w:rsidR="00EA2C2C" w:rsidRPr="00EC5E1C">
        <w:rPr>
          <w:i/>
          <w:iCs/>
        </w:rPr>
        <w:t>ENISA</w:t>
      </w:r>
      <w:r w:rsidR="00EA2C2C" w:rsidRPr="00EC5E1C">
        <w:t xml:space="preserve"> centrālā loma Savienības </w:t>
      </w:r>
      <w:proofErr w:type="spellStart"/>
      <w:r w:rsidR="00EA2C2C" w:rsidRPr="00EC5E1C">
        <w:t>kiberdrošības</w:t>
      </w:r>
      <w:proofErr w:type="spellEnd"/>
      <w:r w:rsidR="00EA2C2C" w:rsidRPr="00EC5E1C">
        <w:t xml:space="preserve"> ekosistēmā un nepieciešamība saskaņot finansējumu un resursus ar tās paplašinātajām pilnvarām; uzsver, ka papildu resursi ir jāpapildina ar izmērāmiem snieguma mērķiem un regulāru ziņošanu par konkrētiem sasniegtajiem rezultātiem;</w:t>
      </w:r>
    </w:p>
    <w:p w14:paraId="38057038" w14:textId="30CA6A8E" w:rsidR="00EA2C2C" w:rsidRPr="00EC5E1C" w:rsidRDefault="00EC5E1C" w:rsidP="00EA2C2C">
      <w:pPr>
        <w:pStyle w:val="NormalHanging12a"/>
        <w:rPr>
          <w:iCs/>
        </w:rPr>
      </w:pPr>
      <w:r w:rsidRPr="00EC5E1C">
        <w:t>33</w:t>
      </w:r>
      <w:r w:rsidR="00EA2C2C" w:rsidRPr="00EC5E1C">
        <w:t>.</w:t>
      </w:r>
      <w:r w:rsidR="00EA2C2C" w:rsidRPr="00EC5E1C">
        <w:tab/>
        <w:t xml:space="preserve">norāda, ka attiecībā uz </w:t>
      </w:r>
      <w:r w:rsidR="00EA2C2C" w:rsidRPr="00EC5E1C">
        <w:rPr>
          <w:i/>
          <w:iCs/>
        </w:rPr>
        <w:t>EUDA</w:t>
      </w:r>
      <w:r w:rsidR="00EA2C2C" w:rsidRPr="00EC5E1C">
        <w:t xml:space="preserve"> palielinājums galvenokārt ir saistīts ar to, ka ir stājusies spēkā Regula (ES) 2023/1322, kas paredz mērķtiecīgi pārskatīt Aģentūras pilnvaras, lai tai būtu svarīgāka loma pašreizējo un turpmāko problēmu apzināšanā un risināšanā saistībā ar nelikumīgām narkotikām Savienībā; pieņem zināšanai, ka tas nozīmēs pašreizējās Aģentūras pilnvaru padziļināšanu, jaunus uzdevumus un nepieciešamo īstenošanai piešķirto resursu palielināšanu no 2024. gada;</w:t>
      </w:r>
    </w:p>
    <w:p w14:paraId="43AEDDB3" w14:textId="60668574" w:rsidR="00EA2C2C" w:rsidRPr="00EC5E1C" w:rsidRDefault="00EC5E1C" w:rsidP="00EA2C2C">
      <w:pPr>
        <w:pStyle w:val="NormalHanging12a"/>
      </w:pPr>
      <w:r w:rsidRPr="00EC5E1C">
        <w:t>34</w:t>
      </w:r>
      <w:r w:rsidR="00EA2C2C" w:rsidRPr="00EC5E1C">
        <w:t>.</w:t>
      </w:r>
      <w:r w:rsidR="00EA2C2C" w:rsidRPr="00EC5E1C">
        <w:tab/>
        <w:t xml:space="preserve">norāda uz Eiropola pilnvaru pakāpenisku paplašināšanu, tostarp nesen pieņemtajiem un ierosinātajiem pasākumiem, kas piešķir lielākas spējas apkarot smagu un organizētu noziedzību, piemēram, migrantu kontrabandu, cilvēku tirdzniecību, </w:t>
      </w:r>
      <w:proofErr w:type="spellStart"/>
      <w:r w:rsidR="00EA2C2C" w:rsidRPr="00EC5E1C">
        <w:t>kibernoziedzību</w:t>
      </w:r>
      <w:proofErr w:type="spellEnd"/>
      <w:r w:rsidR="00EA2C2C" w:rsidRPr="00EC5E1C">
        <w:t xml:space="preserve"> un terorismu; atgādina, ka šīs norises cita starpā ietver pastiprinātu sadarbību ar privātā sektora dalībniekiem, izmantojot tiešu datu apmaiņu, pastiprinātas liela mēroga datu analīzes spējas un uzlabotu operatīvo palīdzību dalībvalstīm, izmantojot specializētas atbalsta grupas; uzsver, ka šo papildu uzdevumu efektīvai īstenošanai ir nepieciešams ne tikai attiecīgi palielināt Eiropola cilvēkresursus, bet arī nodrošināt stingrus iekšējos aizsardzības pasākumus, pietiekamas atbilstības nodrošināšanas spējas un pastiprinātus uzraudzības mehānismus; konstatē, ka Eiropola budžets 2024. gadā palielinājās par 5,78 % salīdzinājumā ar 2023. gadu; mudina vēl vairāk palielināt Eiropola budžetu, lai novērstu pastāvīgo darbinieku trūkumu un nodrošinātu, ka tā finanšu resursi ir samērīgi ar tā pienākumu paplašināšanos; uzsver Eiropola būtisko lomu migrantu kontrabandas, cilvēku tirdzniecības, pārrobežu noziedzības un terorisma apkarošanā; uzsver, ka </w:t>
      </w:r>
      <w:proofErr w:type="spellStart"/>
      <w:r w:rsidR="00EA2C2C" w:rsidRPr="00EC5E1C">
        <w:rPr>
          <w:i/>
          <w:iCs/>
        </w:rPr>
        <w:t>Frontex</w:t>
      </w:r>
      <w:proofErr w:type="spellEnd"/>
      <w:r w:rsidR="00EA2C2C" w:rsidRPr="00EC5E1C">
        <w:t xml:space="preserve"> būtu jākoncentrējas uz pamatdarbībām; un atzinīgi vērtē </w:t>
      </w:r>
      <w:proofErr w:type="spellStart"/>
      <w:r w:rsidR="00EA2C2C" w:rsidRPr="00EC5E1C">
        <w:rPr>
          <w:i/>
          <w:iCs/>
        </w:rPr>
        <w:t>Frontex</w:t>
      </w:r>
      <w:proofErr w:type="spellEnd"/>
      <w:r w:rsidR="00EA2C2C" w:rsidRPr="00EC5E1C">
        <w:t xml:space="preserve"> pastāvīgos centienus stiprināt tās </w:t>
      </w:r>
      <w:proofErr w:type="spellStart"/>
      <w:r w:rsidR="00EA2C2C" w:rsidRPr="00EC5E1C">
        <w:t>pamattiesību</w:t>
      </w:r>
      <w:proofErr w:type="spellEnd"/>
      <w:r w:rsidR="00EA2C2C" w:rsidRPr="00EC5E1C">
        <w:t xml:space="preserve"> amatpersonu;</w:t>
      </w:r>
    </w:p>
    <w:p w14:paraId="267BEF33" w14:textId="581A9D80" w:rsidR="00EA2C2C" w:rsidRPr="00EC5E1C" w:rsidRDefault="00EC5E1C" w:rsidP="00EA2C2C">
      <w:pPr>
        <w:pStyle w:val="NormalHanging12a"/>
      </w:pPr>
      <w:r w:rsidRPr="00EC5E1C">
        <w:lastRenderedPageBreak/>
        <w:t>35</w:t>
      </w:r>
      <w:r w:rsidR="00EA2C2C" w:rsidRPr="00EC5E1C">
        <w:t>.</w:t>
      </w:r>
      <w:r w:rsidR="00EA2C2C" w:rsidRPr="00EC5E1C">
        <w:tab/>
        <w:t xml:space="preserve">aicina palielināt </w:t>
      </w:r>
      <w:proofErr w:type="spellStart"/>
      <w:r w:rsidR="00EA2C2C" w:rsidRPr="00EC5E1C">
        <w:rPr>
          <w:i/>
          <w:iCs/>
        </w:rPr>
        <w:t>Eurojust</w:t>
      </w:r>
      <w:proofErr w:type="spellEnd"/>
      <w:r w:rsidR="00EA2C2C" w:rsidRPr="00EC5E1C">
        <w:t xml:space="preserve"> personāla līmeni, ņemot vērā tās paredzētās paplašinātās pilnvaras, lai iekļautu trešās valstis, jo īpaši pēc 2022. gada Krievijas agresijas kara uzsākšanas Ukrainā, kas tai ļauj vākt, glabāt un analizēt pierādījumus par galvenajiem starptautiskajiem noziegumiem (kara noziegumiem, genocīdu, noziegumiem pret cilvēci), kopīgot šādus pierādījumus ar valstu iestādēm un starptautiskām struktūrām, tostarp Starptautisko Krimināltiesu, un šajā nolūkā izveidot īpašu Galveno starptautisko noziegumu pierādījumu datubāzi, tādējādi neaprobežojoties tikai ar izmeklēšanas atbalstīšanu, lai aktīvi aizsargātu būtiskus pierādījumus turpmākai izmeklēšanai, vienlaikus norādot, ka 2024. gada budžets atspoguļo tikai nelielu procentuālo pieaugumu salīdzinājumā ar 2023. gada budžetu, un mudina attiecīgi palielināt personāla finansējumu kopā ar kopējo budžetu, ņemot vērā gaidāmās turpmākās pilnvaras;</w:t>
      </w:r>
    </w:p>
    <w:p w14:paraId="7B9442D4" w14:textId="10191E4E" w:rsidR="00EA2C2C" w:rsidRPr="00EC5E1C" w:rsidRDefault="00EC5E1C" w:rsidP="00EA2C2C">
      <w:pPr>
        <w:pStyle w:val="NormalHanging12a"/>
      </w:pPr>
      <w:r w:rsidRPr="00EC5E1C">
        <w:t>36</w:t>
      </w:r>
      <w:r w:rsidR="00EA2C2C" w:rsidRPr="00EC5E1C">
        <w:t>.</w:t>
      </w:r>
      <w:r w:rsidR="00EA2C2C" w:rsidRPr="00EC5E1C">
        <w:tab/>
        <w:t>atgādina, ka lielākā daļa ES aģentūru visā pilnībā tiek finansētas ar iemaksām no Savienības budžeta; tomēr norāda, ka dažas aģentūras tiek pilnībā vai daļēji finansētas, izmantojot alternatīvus ieņēmumu avotus, tostarp izsniegtos sertifikātus, atļaujas, vielu reģistrāciju, iemaksas, datu vākšanu, tirgus uzraudzību, uzraudzību un citus pakalpojumus, piemēram, tulkošanas un terminoloģijas pakalpojumus, ko nodrošina Eiropas Savienības iestāžu Tulkošanas centrs (</w:t>
      </w:r>
      <w:proofErr w:type="spellStart"/>
      <w:r w:rsidR="00EA2C2C" w:rsidRPr="00EC5E1C">
        <w:rPr>
          <w:i/>
          <w:iCs/>
        </w:rPr>
        <w:t>CdT</w:t>
      </w:r>
      <w:proofErr w:type="spellEnd"/>
      <w:r w:rsidR="00EA2C2C" w:rsidRPr="00EC5E1C">
        <w:t>);</w:t>
      </w:r>
    </w:p>
    <w:p w14:paraId="01D4ADEA" w14:textId="2EAC51E8" w:rsidR="00EA2C2C" w:rsidRPr="00EC5E1C" w:rsidRDefault="00EC5E1C" w:rsidP="00EA2C2C">
      <w:pPr>
        <w:pStyle w:val="NormalHanging12a"/>
      </w:pPr>
      <w:r w:rsidRPr="00EC5E1C">
        <w:t>37</w:t>
      </w:r>
      <w:r w:rsidR="00EA2C2C" w:rsidRPr="00EC5E1C">
        <w:t>.</w:t>
      </w:r>
      <w:r w:rsidR="00EA2C2C" w:rsidRPr="00EC5E1C">
        <w:tab/>
        <w:t>konkrēti konstatē, ka:</w:t>
      </w:r>
    </w:p>
    <w:p w14:paraId="572096E4" w14:textId="77777777" w:rsidR="00EA2C2C" w:rsidRPr="00EC5E1C" w:rsidRDefault="00EA2C2C" w:rsidP="00EA2C2C">
      <w:pPr>
        <w:pStyle w:val="NormalHanging12a"/>
        <w:ind w:left="1134"/>
      </w:pPr>
      <w:r w:rsidRPr="00EC5E1C">
        <w:t>–</w:t>
      </w:r>
      <w:r w:rsidRPr="00EC5E1C">
        <w:tab/>
        <w:t xml:space="preserve">daļēji </w:t>
      </w:r>
      <w:proofErr w:type="spellStart"/>
      <w:r w:rsidRPr="00EC5E1C">
        <w:t>pašfinansējošas</w:t>
      </w:r>
      <w:proofErr w:type="spellEnd"/>
      <w:r w:rsidRPr="00EC5E1C">
        <w:t xml:space="preserve"> aģentūras ir </w:t>
      </w:r>
      <w:proofErr w:type="spellStart"/>
      <w:r w:rsidRPr="00EC5E1C">
        <w:t>Energoregulatoru</w:t>
      </w:r>
      <w:proofErr w:type="spellEnd"/>
      <w:r w:rsidRPr="00EC5E1C">
        <w:t xml:space="preserve"> sadarbības aģentūra (</w:t>
      </w:r>
      <w:r w:rsidRPr="00EC5E1C">
        <w:rPr>
          <w:i/>
          <w:iCs/>
        </w:rPr>
        <w:t>ACER</w:t>
      </w:r>
      <w:r w:rsidRPr="00EC5E1C">
        <w:t>), Eiropas Savienības Aviācijas drošības aģentūra (</w:t>
      </w:r>
      <w:r w:rsidRPr="00EC5E1C">
        <w:rPr>
          <w:i/>
          <w:iCs/>
        </w:rPr>
        <w:t>EASA</w:t>
      </w:r>
      <w:r w:rsidRPr="00EC5E1C">
        <w:t>), Eiropas Ķimikāliju aģentūra (</w:t>
      </w:r>
      <w:r w:rsidRPr="00EC5E1C">
        <w:rPr>
          <w:i/>
          <w:iCs/>
        </w:rPr>
        <w:t>ECHA</w:t>
      </w:r>
      <w:r w:rsidRPr="00EC5E1C">
        <w:t>), Eiropas Zāļu aģentūra (</w:t>
      </w:r>
      <w:r w:rsidRPr="00EC5E1C">
        <w:rPr>
          <w:i/>
          <w:iCs/>
        </w:rPr>
        <w:t>EMA</w:t>
      </w:r>
      <w:r w:rsidRPr="00EC5E1C">
        <w:t>) un Eiropas Savienības Dzelzceļu aģentūra (</w:t>
      </w:r>
      <w:r w:rsidRPr="00EC5E1C">
        <w:rPr>
          <w:i/>
          <w:iCs/>
        </w:rPr>
        <w:t>ERA</w:t>
      </w:r>
      <w:r w:rsidRPr="00EC5E1C">
        <w:t>);</w:t>
      </w:r>
    </w:p>
    <w:p w14:paraId="18497B1B" w14:textId="77777777" w:rsidR="00EA2C2C" w:rsidRPr="00EC5E1C" w:rsidRDefault="00EA2C2C" w:rsidP="00EA2C2C">
      <w:pPr>
        <w:pStyle w:val="NormalHanging12a"/>
        <w:ind w:left="1134"/>
      </w:pPr>
      <w:r w:rsidRPr="00EC5E1C">
        <w:t>–</w:t>
      </w:r>
      <w:r w:rsidRPr="00EC5E1C">
        <w:tab/>
        <w:t xml:space="preserve">pilnībā </w:t>
      </w:r>
      <w:proofErr w:type="spellStart"/>
      <w:r w:rsidRPr="00EC5E1C">
        <w:t>pašfinansētas</w:t>
      </w:r>
      <w:proofErr w:type="spellEnd"/>
      <w:r w:rsidRPr="00EC5E1C">
        <w:t xml:space="preserve"> aģentūras ir </w:t>
      </w:r>
      <w:proofErr w:type="spellStart"/>
      <w:r w:rsidRPr="00EC5E1C">
        <w:rPr>
          <w:i/>
          <w:iCs/>
        </w:rPr>
        <w:t>CdT</w:t>
      </w:r>
      <w:proofErr w:type="spellEnd"/>
      <w:r w:rsidRPr="00EC5E1C">
        <w:t>;</w:t>
      </w:r>
    </w:p>
    <w:p w14:paraId="56046FDB" w14:textId="77777777" w:rsidR="00EA2C2C" w:rsidRPr="00EC5E1C" w:rsidRDefault="00EA2C2C" w:rsidP="00EA2C2C">
      <w:pPr>
        <w:pStyle w:val="NormalHanging12a"/>
        <w:ind w:left="1134"/>
      </w:pPr>
      <w:r w:rsidRPr="00EC5E1C">
        <w:t>–</w:t>
      </w:r>
      <w:r w:rsidRPr="00EC5E1C">
        <w:tab/>
        <w:t>aģentūras, ko daļēji līdzfinansē valstu publiskās iestādes, proti, Eiropas Banku iestāde (EBI), Eiropas Apdrošināšanas un aroda pensiju iestāde (</w:t>
      </w:r>
      <w:r w:rsidRPr="00EC5E1C">
        <w:rPr>
          <w:i/>
          <w:iCs/>
        </w:rPr>
        <w:t>EAAPI</w:t>
      </w:r>
      <w:r w:rsidRPr="00EC5E1C">
        <w:t>) un Eiropas Vērtspapīru un tirgu iestāde (EVTI);</w:t>
      </w:r>
    </w:p>
    <w:p w14:paraId="0344157B" w14:textId="23CEF445" w:rsidR="00EA2C2C" w:rsidRPr="00EC5E1C" w:rsidRDefault="00EC5E1C" w:rsidP="00EA2C2C">
      <w:pPr>
        <w:pStyle w:val="NormalHanging12a"/>
      </w:pPr>
      <w:r w:rsidRPr="00EC5E1C">
        <w:t>38</w:t>
      </w:r>
      <w:r w:rsidR="00EA2C2C" w:rsidRPr="00EC5E1C">
        <w:t>.</w:t>
      </w:r>
      <w:r w:rsidR="00EA2C2C" w:rsidRPr="00EC5E1C">
        <w:tab/>
        <w:t xml:space="preserve">norāda, ka šajā rezolūcijā iekļauto </w:t>
      </w:r>
      <w:proofErr w:type="spellStart"/>
      <w:r w:rsidR="00EA2C2C" w:rsidRPr="00EC5E1C">
        <w:t>pašfinansēto</w:t>
      </w:r>
      <w:proofErr w:type="spellEnd"/>
      <w:r w:rsidR="00EA2C2C" w:rsidRPr="00EC5E1C">
        <w:t xml:space="preserve"> aģentūru finansējuma avoti 2024. gadā sadalās šādi:</w:t>
      </w:r>
    </w:p>
    <w:tbl>
      <w:tblPr>
        <w:tblStyle w:val="TableGrid"/>
        <w:tblW w:w="9433" w:type="dxa"/>
        <w:tblLook w:val="04A0" w:firstRow="1" w:lastRow="0" w:firstColumn="1" w:lastColumn="0" w:noHBand="0" w:noVBand="1"/>
      </w:tblPr>
      <w:tblGrid>
        <w:gridCol w:w="1271"/>
        <w:gridCol w:w="1836"/>
        <w:gridCol w:w="1957"/>
        <w:gridCol w:w="716"/>
        <w:gridCol w:w="1797"/>
        <w:gridCol w:w="716"/>
        <w:gridCol w:w="1416"/>
      </w:tblGrid>
      <w:tr w:rsidR="00EA2C2C" w:rsidRPr="00EC5E1C" w14:paraId="4EEEE8BA" w14:textId="77777777" w:rsidTr="00F70034">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65F8B8E4" w14:textId="77777777" w:rsidR="00EA2C2C" w:rsidRPr="00EC5E1C" w:rsidRDefault="00EA2C2C" w:rsidP="00F70034">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11D9FF4A" w14:textId="77777777" w:rsidR="00EA2C2C" w:rsidRPr="00EC5E1C" w:rsidRDefault="00EA2C2C" w:rsidP="00F70034">
            <w:pPr>
              <w:pStyle w:val="NormalHanging12a"/>
              <w:rPr>
                <w:b/>
                <w:bCs/>
              </w:rPr>
            </w:pPr>
            <w:r w:rsidRPr="00EC5E1C">
              <w:rPr>
                <w:b/>
              </w:rPr>
              <w:t>2024. gada ieņēmumi</w:t>
            </w:r>
          </w:p>
        </w:tc>
        <w:tc>
          <w:tcPr>
            <w:tcW w:w="1957" w:type="dxa"/>
            <w:tcBorders>
              <w:top w:val="single" w:sz="4" w:space="0" w:color="auto"/>
              <w:left w:val="single" w:sz="4" w:space="0" w:color="auto"/>
              <w:bottom w:val="single" w:sz="4" w:space="0" w:color="auto"/>
              <w:right w:val="single" w:sz="4" w:space="0" w:color="auto"/>
            </w:tcBorders>
            <w:noWrap/>
            <w:hideMark/>
          </w:tcPr>
          <w:p w14:paraId="7323790B" w14:textId="77777777" w:rsidR="00EA2C2C" w:rsidRPr="00EC5E1C" w:rsidRDefault="00EA2C2C" w:rsidP="00F70034">
            <w:pPr>
              <w:pStyle w:val="NormalHanging12a"/>
              <w:rPr>
                <w:b/>
                <w:bCs/>
              </w:rPr>
            </w:pPr>
            <w:r w:rsidRPr="00EC5E1C">
              <w:rPr>
                <w:b/>
              </w:rPr>
              <w:t xml:space="preserve">ES iemaksa </w:t>
            </w:r>
          </w:p>
        </w:tc>
        <w:tc>
          <w:tcPr>
            <w:tcW w:w="640" w:type="dxa"/>
            <w:tcBorders>
              <w:top w:val="single" w:sz="4" w:space="0" w:color="auto"/>
              <w:left w:val="single" w:sz="4" w:space="0" w:color="auto"/>
              <w:bottom w:val="single" w:sz="4" w:space="0" w:color="auto"/>
              <w:right w:val="single" w:sz="4" w:space="0" w:color="auto"/>
            </w:tcBorders>
            <w:noWrap/>
            <w:hideMark/>
          </w:tcPr>
          <w:p w14:paraId="32E79FEC" w14:textId="77777777" w:rsidR="00EA2C2C" w:rsidRPr="00EC5E1C" w:rsidRDefault="00EA2C2C" w:rsidP="00F70034">
            <w:pPr>
              <w:pStyle w:val="NormalHanging12a"/>
              <w:rPr>
                <w:b/>
                <w:bCs/>
              </w:rPr>
            </w:pPr>
            <w:r w:rsidRPr="00EC5E1C">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7AEEDD33" w14:textId="77777777" w:rsidR="00EA2C2C" w:rsidRPr="00EC5E1C" w:rsidRDefault="00EA2C2C" w:rsidP="00F70034">
            <w:pPr>
              <w:pStyle w:val="NormalHanging12a"/>
              <w:rPr>
                <w:b/>
                <w:bCs/>
              </w:rPr>
            </w:pPr>
            <w:r w:rsidRPr="00EC5E1C">
              <w:rPr>
                <w:b/>
              </w:rPr>
              <w:t>Pašu ieņēmumi</w:t>
            </w:r>
            <w:r w:rsidRPr="00EC5E1C">
              <w:rPr>
                <w:vertAlign w:val="superscript"/>
              </w:rPr>
              <w:t xml:space="preserve"> </w:t>
            </w:r>
            <w:r w:rsidRPr="00EC5E1C">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38A8DDC5" w14:textId="77777777" w:rsidR="00EA2C2C" w:rsidRPr="00EC5E1C" w:rsidRDefault="00EA2C2C" w:rsidP="00F70034">
            <w:pPr>
              <w:pStyle w:val="NormalHanging12a"/>
              <w:rPr>
                <w:b/>
                <w:bCs/>
              </w:rPr>
            </w:pPr>
            <w:r w:rsidRPr="00EC5E1C">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4150AC4D" w14:textId="77777777" w:rsidR="00EA2C2C" w:rsidRPr="00EC5E1C" w:rsidRDefault="00EA2C2C" w:rsidP="00F70034">
            <w:pPr>
              <w:pStyle w:val="NormalHanging12a"/>
              <w:rPr>
                <w:b/>
                <w:bCs/>
              </w:rPr>
            </w:pPr>
            <w:r w:rsidRPr="00EC5E1C">
              <w:rPr>
                <w:b/>
              </w:rPr>
              <w:t>Citi</w:t>
            </w:r>
          </w:p>
        </w:tc>
      </w:tr>
      <w:tr w:rsidR="00EA2C2C" w:rsidRPr="00EC5E1C" w14:paraId="783F8F6A" w14:textId="77777777" w:rsidTr="00F7003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E6310D8" w14:textId="77777777" w:rsidR="00EA2C2C" w:rsidRPr="00EC5E1C" w:rsidRDefault="00EA2C2C" w:rsidP="00F70034">
            <w:pPr>
              <w:pStyle w:val="NormalHanging12a"/>
            </w:pPr>
            <w:r w:rsidRPr="00EC5E1C">
              <w:rPr>
                <w:i/>
                <w:iCs/>
              </w:rPr>
              <w:t>ACER</w:t>
            </w:r>
          </w:p>
        </w:tc>
        <w:tc>
          <w:tcPr>
            <w:tcW w:w="1797" w:type="dxa"/>
            <w:tcBorders>
              <w:top w:val="single" w:sz="4" w:space="0" w:color="auto"/>
              <w:left w:val="single" w:sz="4" w:space="0" w:color="auto"/>
              <w:bottom w:val="single" w:sz="4" w:space="0" w:color="auto"/>
              <w:right w:val="single" w:sz="4" w:space="0" w:color="auto"/>
            </w:tcBorders>
            <w:noWrap/>
            <w:hideMark/>
          </w:tcPr>
          <w:p w14:paraId="798A102C" w14:textId="77777777" w:rsidR="00EA2C2C" w:rsidRPr="00EC5E1C" w:rsidRDefault="00EA2C2C" w:rsidP="00F70034">
            <w:pPr>
              <w:pStyle w:val="NormalHanging12a"/>
            </w:pPr>
            <w:r w:rsidRPr="00EC5E1C">
              <w:t>€34.679.976</w:t>
            </w:r>
          </w:p>
        </w:tc>
        <w:tc>
          <w:tcPr>
            <w:tcW w:w="1957" w:type="dxa"/>
            <w:tcBorders>
              <w:top w:val="single" w:sz="4" w:space="0" w:color="auto"/>
              <w:left w:val="single" w:sz="4" w:space="0" w:color="auto"/>
              <w:bottom w:val="single" w:sz="4" w:space="0" w:color="auto"/>
              <w:right w:val="single" w:sz="4" w:space="0" w:color="auto"/>
            </w:tcBorders>
            <w:noWrap/>
            <w:hideMark/>
          </w:tcPr>
          <w:p w14:paraId="409B62CB" w14:textId="77777777" w:rsidR="00EA2C2C" w:rsidRPr="00EC5E1C" w:rsidRDefault="00EA2C2C" w:rsidP="00F70034">
            <w:pPr>
              <w:pStyle w:val="NormalHanging12a"/>
            </w:pPr>
            <w:r w:rsidRPr="00EC5E1C">
              <w:t>€23.012.293</w:t>
            </w:r>
          </w:p>
        </w:tc>
        <w:tc>
          <w:tcPr>
            <w:tcW w:w="640" w:type="dxa"/>
            <w:tcBorders>
              <w:top w:val="single" w:sz="4" w:space="0" w:color="auto"/>
              <w:left w:val="single" w:sz="4" w:space="0" w:color="auto"/>
              <w:bottom w:val="single" w:sz="4" w:space="0" w:color="auto"/>
              <w:right w:val="single" w:sz="4" w:space="0" w:color="auto"/>
            </w:tcBorders>
            <w:noWrap/>
            <w:hideMark/>
          </w:tcPr>
          <w:p w14:paraId="2429D47F" w14:textId="77777777" w:rsidR="00EA2C2C" w:rsidRPr="00EC5E1C" w:rsidRDefault="00EA2C2C" w:rsidP="00F70034">
            <w:pPr>
              <w:pStyle w:val="NormalHanging12a"/>
            </w:pPr>
            <w:r w:rsidRPr="00EC5E1C">
              <w:t>66 %</w:t>
            </w:r>
          </w:p>
        </w:tc>
        <w:tc>
          <w:tcPr>
            <w:tcW w:w="1780" w:type="dxa"/>
            <w:tcBorders>
              <w:top w:val="single" w:sz="4" w:space="0" w:color="auto"/>
              <w:left w:val="single" w:sz="4" w:space="0" w:color="auto"/>
              <w:bottom w:val="single" w:sz="4" w:space="0" w:color="auto"/>
              <w:right w:val="single" w:sz="4" w:space="0" w:color="auto"/>
            </w:tcBorders>
            <w:noWrap/>
            <w:hideMark/>
          </w:tcPr>
          <w:p w14:paraId="73C9E24D" w14:textId="77777777" w:rsidR="00EA2C2C" w:rsidRPr="00EC5E1C" w:rsidRDefault="00EA2C2C" w:rsidP="00F70034">
            <w:pPr>
              <w:pStyle w:val="NormalHanging12a"/>
            </w:pPr>
            <w:r w:rsidRPr="00EC5E1C">
              <w:t>€11.667.683</w:t>
            </w:r>
          </w:p>
        </w:tc>
        <w:tc>
          <w:tcPr>
            <w:tcW w:w="640" w:type="dxa"/>
            <w:tcBorders>
              <w:top w:val="single" w:sz="4" w:space="0" w:color="auto"/>
              <w:left w:val="single" w:sz="4" w:space="0" w:color="auto"/>
              <w:bottom w:val="single" w:sz="4" w:space="0" w:color="auto"/>
              <w:right w:val="single" w:sz="4" w:space="0" w:color="auto"/>
            </w:tcBorders>
            <w:noWrap/>
            <w:hideMark/>
          </w:tcPr>
          <w:p w14:paraId="22FB9FD5" w14:textId="77777777" w:rsidR="00EA2C2C" w:rsidRPr="00EC5E1C" w:rsidRDefault="00EA2C2C" w:rsidP="00F70034">
            <w:pPr>
              <w:pStyle w:val="NormalHanging12a"/>
            </w:pPr>
            <w:r w:rsidRPr="00EC5E1C">
              <w:t>34 %</w:t>
            </w:r>
          </w:p>
        </w:tc>
        <w:tc>
          <w:tcPr>
            <w:tcW w:w="1348" w:type="dxa"/>
            <w:tcBorders>
              <w:top w:val="single" w:sz="4" w:space="0" w:color="auto"/>
              <w:left w:val="single" w:sz="4" w:space="0" w:color="auto"/>
              <w:bottom w:val="single" w:sz="4" w:space="0" w:color="auto"/>
              <w:right w:val="single" w:sz="4" w:space="0" w:color="auto"/>
            </w:tcBorders>
            <w:noWrap/>
            <w:hideMark/>
          </w:tcPr>
          <w:p w14:paraId="2A2F6B99" w14:textId="77777777" w:rsidR="00EA2C2C" w:rsidRPr="00EC5E1C" w:rsidRDefault="00EA2C2C" w:rsidP="00F70034">
            <w:pPr>
              <w:pStyle w:val="NormalHanging12a"/>
            </w:pPr>
            <w:r w:rsidRPr="00EC5E1C">
              <w:t>€0</w:t>
            </w:r>
          </w:p>
        </w:tc>
      </w:tr>
      <w:tr w:rsidR="00EA2C2C" w:rsidRPr="00EC5E1C" w14:paraId="75B6BA90" w14:textId="77777777" w:rsidTr="00F7003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96DD69C" w14:textId="77777777" w:rsidR="00EA2C2C" w:rsidRPr="00EC5E1C" w:rsidRDefault="00EA2C2C" w:rsidP="00F70034">
            <w:pPr>
              <w:pStyle w:val="NormalHanging12a"/>
            </w:pPr>
            <w:proofErr w:type="spellStart"/>
            <w:r w:rsidRPr="00EC5E1C">
              <w:rPr>
                <w:i/>
                <w:iCs/>
              </w:rPr>
              <w:t>CdT</w:t>
            </w:r>
            <w:proofErr w:type="spellEnd"/>
            <w:r w:rsidRPr="00EC5E1C">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5CEF750" w14:textId="77777777" w:rsidR="00EA2C2C" w:rsidRPr="00EC5E1C" w:rsidRDefault="00EA2C2C" w:rsidP="00F70034">
            <w:pPr>
              <w:pStyle w:val="NormalHanging12a"/>
            </w:pPr>
            <w:r w:rsidRPr="00EC5E1C">
              <w:t>€45.346.300</w:t>
            </w:r>
          </w:p>
        </w:tc>
        <w:tc>
          <w:tcPr>
            <w:tcW w:w="1957" w:type="dxa"/>
            <w:tcBorders>
              <w:top w:val="single" w:sz="4" w:space="0" w:color="auto"/>
              <w:left w:val="single" w:sz="4" w:space="0" w:color="auto"/>
              <w:bottom w:val="single" w:sz="4" w:space="0" w:color="auto"/>
              <w:right w:val="single" w:sz="4" w:space="0" w:color="auto"/>
            </w:tcBorders>
            <w:noWrap/>
            <w:hideMark/>
          </w:tcPr>
          <w:p w14:paraId="2FF28D55" w14:textId="77777777" w:rsidR="00EA2C2C" w:rsidRPr="00EC5E1C" w:rsidRDefault="00EA2C2C" w:rsidP="00F70034">
            <w:pPr>
              <w:pStyle w:val="NormalHanging12a"/>
            </w:pPr>
            <w:r w:rsidRPr="00EC5E1C">
              <w:t>€0</w:t>
            </w:r>
          </w:p>
        </w:tc>
        <w:tc>
          <w:tcPr>
            <w:tcW w:w="640" w:type="dxa"/>
            <w:tcBorders>
              <w:top w:val="single" w:sz="4" w:space="0" w:color="auto"/>
              <w:left w:val="single" w:sz="4" w:space="0" w:color="auto"/>
              <w:bottom w:val="single" w:sz="4" w:space="0" w:color="auto"/>
              <w:right w:val="single" w:sz="4" w:space="0" w:color="auto"/>
            </w:tcBorders>
            <w:noWrap/>
            <w:hideMark/>
          </w:tcPr>
          <w:p w14:paraId="0724C47C" w14:textId="77777777" w:rsidR="00EA2C2C" w:rsidRPr="00EC5E1C" w:rsidRDefault="00EA2C2C" w:rsidP="00F70034">
            <w:pPr>
              <w:pStyle w:val="NormalHanging12a"/>
            </w:pPr>
            <w:r w:rsidRPr="00EC5E1C">
              <w:t>0 %</w:t>
            </w:r>
          </w:p>
        </w:tc>
        <w:tc>
          <w:tcPr>
            <w:tcW w:w="1780" w:type="dxa"/>
            <w:tcBorders>
              <w:top w:val="single" w:sz="4" w:space="0" w:color="auto"/>
              <w:left w:val="single" w:sz="4" w:space="0" w:color="auto"/>
              <w:bottom w:val="single" w:sz="4" w:space="0" w:color="auto"/>
              <w:right w:val="single" w:sz="4" w:space="0" w:color="auto"/>
            </w:tcBorders>
            <w:noWrap/>
            <w:hideMark/>
          </w:tcPr>
          <w:p w14:paraId="28926AEB" w14:textId="77777777" w:rsidR="00EA2C2C" w:rsidRPr="00EC5E1C" w:rsidRDefault="00EA2C2C" w:rsidP="00F70034">
            <w:pPr>
              <w:pStyle w:val="NormalHanging12a"/>
            </w:pPr>
            <w:r w:rsidRPr="00EC5E1C">
              <w:t>€44.411.200</w:t>
            </w:r>
          </w:p>
        </w:tc>
        <w:tc>
          <w:tcPr>
            <w:tcW w:w="640" w:type="dxa"/>
            <w:tcBorders>
              <w:top w:val="single" w:sz="4" w:space="0" w:color="auto"/>
              <w:left w:val="single" w:sz="4" w:space="0" w:color="auto"/>
              <w:bottom w:val="single" w:sz="4" w:space="0" w:color="auto"/>
              <w:right w:val="single" w:sz="4" w:space="0" w:color="auto"/>
            </w:tcBorders>
            <w:noWrap/>
            <w:hideMark/>
          </w:tcPr>
          <w:p w14:paraId="141C70BF" w14:textId="77777777" w:rsidR="00EA2C2C" w:rsidRPr="00EC5E1C" w:rsidRDefault="00EA2C2C" w:rsidP="00F70034">
            <w:pPr>
              <w:pStyle w:val="NormalHanging12a"/>
            </w:pPr>
            <w:r w:rsidRPr="00EC5E1C">
              <w:t>98 %</w:t>
            </w:r>
          </w:p>
        </w:tc>
        <w:tc>
          <w:tcPr>
            <w:tcW w:w="1348" w:type="dxa"/>
            <w:tcBorders>
              <w:top w:val="single" w:sz="4" w:space="0" w:color="auto"/>
              <w:left w:val="single" w:sz="4" w:space="0" w:color="auto"/>
              <w:bottom w:val="single" w:sz="4" w:space="0" w:color="auto"/>
              <w:right w:val="single" w:sz="4" w:space="0" w:color="auto"/>
            </w:tcBorders>
            <w:noWrap/>
            <w:hideMark/>
          </w:tcPr>
          <w:p w14:paraId="221E0BC8" w14:textId="77777777" w:rsidR="00EA2C2C" w:rsidRPr="00EC5E1C" w:rsidRDefault="00EA2C2C" w:rsidP="00F70034">
            <w:pPr>
              <w:pStyle w:val="NormalHanging12a"/>
            </w:pPr>
            <w:r w:rsidRPr="00EC5E1C">
              <w:t>€935.100</w:t>
            </w:r>
          </w:p>
        </w:tc>
      </w:tr>
      <w:tr w:rsidR="00EA2C2C" w:rsidRPr="00EC5E1C" w14:paraId="164A4212" w14:textId="77777777" w:rsidTr="00F7003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E202E61" w14:textId="77777777" w:rsidR="00EA2C2C" w:rsidRPr="00EC5E1C" w:rsidRDefault="00EA2C2C" w:rsidP="00F70034">
            <w:pPr>
              <w:pStyle w:val="NormalHanging12a"/>
            </w:pPr>
            <w:r w:rsidRPr="00EC5E1C">
              <w:rPr>
                <w:i/>
                <w:iCs/>
              </w:rPr>
              <w:t>EASA</w:t>
            </w:r>
            <w:r w:rsidRPr="00EC5E1C">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33A03A0C" w14:textId="77777777" w:rsidR="00EA2C2C" w:rsidRPr="00EC5E1C" w:rsidRDefault="00EA2C2C" w:rsidP="00F70034">
            <w:pPr>
              <w:pStyle w:val="NormalHanging12a"/>
            </w:pPr>
            <w:r w:rsidRPr="00EC5E1C">
              <w:t>€183.306.903,00</w:t>
            </w:r>
          </w:p>
        </w:tc>
        <w:tc>
          <w:tcPr>
            <w:tcW w:w="1957" w:type="dxa"/>
            <w:tcBorders>
              <w:top w:val="single" w:sz="4" w:space="0" w:color="auto"/>
              <w:left w:val="single" w:sz="4" w:space="0" w:color="auto"/>
              <w:bottom w:val="single" w:sz="4" w:space="0" w:color="auto"/>
              <w:right w:val="single" w:sz="4" w:space="0" w:color="auto"/>
            </w:tcBorders>
            <w:noWrap/>
            <w:hideMark/>
          </w:tcPr>
          <w:p w14:paraId="24DFAD1C" w14:textId="77777777" w:rsidR="00EA2C2C" w:rsidRPr="00EC5E1C" w:rsidRDefault="00EA2C2C" w:rsidP="00F70034">
            <w:pPr>
              <w:pStyle w:val="NormalHanging12a"/>
            </w:pPr>
            <w:r w:rsidRPr="00EC5E1C">
              <w:t>€44.984.486</w:t>
            </w:r>
          </w:p>
        </w:tc>
        <w:tc>
          <w:tcPr>
            <w:tcW w:w="640" w:type="dxa"/>
            <w:tcBorders>
              <w:top w:val="single" w:sz="4" w:space="0" w:color="auto"/>
              <w:left w:val="single" w:sz="4" w:space="0" w:color="auto"/>
              <w:bottom w:val="single" w:sz="4" w:space="0" w:color="auto"/>
              <w:right w:val="single" w:sz="4" w:space="0" w:color="auto"/>
            </w:tcBorders>
            <w:noWrap/>
            <w:hideMark/>
          </w:tcPr>
          <w:p w14:paraId="3400E157" w14:textId="77777777" w:rsidR="00EA2C2C" w:rsidRPr="00EC5E1C" w:rsidRDefault="00EA2C2C" w:rsidP="00F70034">
            <w:pPr>
              <w:pStyle w:val="NormalHanging12a"/>
            </w:pPr>
            <w:r w:rsidRPr="00EC5E1C">
              <w:t>25 %</w:t>
            </w:r>
          </w:p>
        </w:tc>
        <w:tc>
          <w:tcPr>
            <w:tcW w:w="1780" w:type="dxa"/>
            <w:tcBorders>
              <w:top w:val="single" w:sz="4" w:space="0" w:color="auto"/>
              <w:left w:val="single" w:sz="4" w:space="0" w:color="auto"/>
              <w:bottom w:val="single" w:sz="4" w:space="0" w:color="auto"/>
              <w:right w:val="single" w:sz="4" w:space="0" w:color="auto"/>
            </w:tcBorders>
            <w:noWrap/>
            <w:hideMark/>
          </w:tcPr>
          <w:p w14:paraId="20D19C1A" w14:textId="77777777" w:rsidR="00EA2C2C" w:rsidRPr="00EC5E1C" w:rsidRDefault="00EA2C2C" w:rsidP="00F70034">
            <w:pPr>
              <w:pStyle w:val="NormalHanging12a"/>
            </w:pPr>
            <w:r w:rsidRPr="00EC5E1C">
              <w:t>€135.687.417</w:t>
            </w:r>
          </w:p>
        </w:tc>
        <w:tc>
          <w:tcPr>
            <w:tcW w:w="640" w:type="dxa"/>
            <w:tcBorders>
              <w:top w:val="single" w:sz="4" w:space="0" w:color="auto"/>
              <w:left w:val="single" w:sz="4" w:space="0" w:color="auto"/>
              <w:bottom w:val="single" w:sz="4" w:space="0" w:color="auto"/>
              <w:right w:val="single" w:sz="4" w:space="0" w:color="auto"/>
            </w:tcBorders>
            <w:noWrap/>
            <w:hideMark/>
          </w:tcPr>
          <w:p w14:paraId="245E4E97" w14:textId="77777777" w:rsidR="00EA2C2C" w:rsidRPr="00EC5E1C" w:rsidRDefault="00EA2C2C" w:rsidP="00F70034">
            <w:pPr>
              <w:pStyle w:val="NormalHanging12a"/>
            </w:pPr>
            <w:r w:rsidRPr="00EC5E1C">
              <w:t>74 %</w:t>
            </w:r>
          </w:p>
        </w:tc>
        <w:tc>
          <w:tcPr>
            <w:tcW w:w="1348" w:type="dxa"/>
            <w:tcBorders>
              <w:top w:val="single" w:sz="4" w:space="0" w:color="auto"/>
              <w:left w:val="single" w:sz="4" w:space="0" w:color="auto"/>
              <w:bottom w:val="single" w:sz="4" w:space="0" w:color="auto"/>
              <w:right w:val="single" w:sz="4" w:space="0" w:color="auto"/>
            </w:tcBorders>
            <w:noWrap/>
            <w:hideMark/>
          </w:tcPr>
          <w:p w14:paraId="50F9B2B9" w14:textId="77777777" w:rsidR="00EA2C2C" w:rsidRPr="00EC5E1C" w:rsidRDefault="00EA2C2C" w:rsidP="00F70034">
            <w:pPr>
              <w:pStyle w:val="NormalHanging12a"/>
            </w:pPr>
            <w:r w:rsidRPr="00EC5E1C">
              <w:t>€2.635.000</w:t>
            </w:r>
          </w:p>
        </w:tc>
      </w:tr>
      <w:tr w:rsidR="00EA2C2C" w:rsidRPr="00EC5E1C" w14:paraId="622A80DC" w14:textId="77777777" w:rsidTr="00F7003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9D55E5E" w14:textId="77777777" w:rsidR="00EA2C2C" w:rsidRPr="00EC5E1C" w:rsidRDefault="00EA2C2C" w:rsidP="00F70034">
            <w:pPr>
              <w:pStyle w:val="NormalHanging12a"/>
            </w:pPr>
            <w:r w:rsidRPr="00EC5E1C">
              <w:t>EBI</w:t>
            </w:r>
            <w:r w:rsidRPr="00EC5E1C">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49920DF8" w14:textId="77777777" w:rsidR="00EA2C2C" w:rsidRPr="00EC5E1C" w:rsidRDefault="00EA2C2C" w:rsidP="00F70034">
            <w:pPr>
              <w:pStyle w:val="NormalHanging12a"/>
            </w:pPr>
            <w:r w:rsidRPr="00EC5E1C">
              <w:t>€56.906.201</w:t>
            </w:r>
          </w:p>
        </w:tc>
        <w:tc>
          <w:tcPr>
            <w:tcW w:w="1957" w:type="dxa"/>
            <w:tcBorders>
              <w:top w:val="single" w:sz="4" w:space="0" w:color="auto"/>
              <w:left w:val="single" w:sz="4" w:space="0" w:color="auto"/>
              <w:bottom w:val="single" w:sz="4" w:space="0" w:color="auto"/>
              <w:right w:val="single" w:sz="4" w:space="0" w:color="auto"/>
            </w:tcBorders>
            <w:noWrap/>
            <w:hideMark/>
          </w:tcPr>
          <w:p w14:paraId="032ECA6D" w14:textId="77777777" w:rsidR="00EA2C2C" w:rsidRPr="00EC5E1C" w:rsidRDefault="00EA2C2C" w:rsidP="00F70034">
            <w:pPr>
              <w:pStyle w:val="NormalHanging12a"/>
            </w:pPr>
            <w:r w:rsidRPr="00EC5E1C">
              <w:t>€20.857.871</w:t>
            </w:r>
          </w:p>
        </w:tc>
        <w:tc>
          <w:tcPr>
            <w:tcW w:w="640" w:type="dxa"/>
            <w:tcBorders>
              <w:top w:val="single" w:sz="4" w:space="0" w:color="auto"/>
              <w:left w:val="single" w:sz="4" w:space="0" w:color="auto"/>
              <w:bottom w:val="single" w:sz="4" w:space="0" w:color="auto"/>
              <w:right w:val="single" w:sz="4" w:space="0" w:color="auto"/>
            </w:tcBorders>
            <w:noWrap/>
            <w:hideMark/>
          </w:tcPr>
          <w:p w14:paraId="35185738" w14:textId="77777777" w:rsidR="00EA2C2C" w:rsidRPr="00EC5E1C" w:rsidRDefault="00EA2C2C" w:rsidP="00F70034">
            <w:pPr>
              <w:pStyle w:val="NormalHanging12a"/>
            </w:pPr>
            <w:r w:rsidRPr="00EC5E1C">
              <w:t>37 %</w:t>
            </w:r>
          </w:p>
        </w:tc>
        <w:tc>
          <w:tcPr>
            <w:tcW w:w="1780" w:type="dxa"/>
            <w:tcBorders>
              <w:top w:val="single" w:sz="4" w:space="0" w:color="auto"/>
              <w:left w:val="single" w:sz="4" w:space="0" w:color="auto"/>
              <w:bottom w:val="single" w:sz="4" w:space="0" w:color="auto"/>
              <w:right w:val="single" w:sz="4" w:space="0" w:color="auto"/>
            </w:tcBorders>
            <w:noWrap/>
            <w:hideMark/>
          </w:tcPr>
          <w:p w14:paraId="01D6CBDA" w14:textId="77777777" w:rsidR="00EA2C2C" w:rsidRPr="00EC5E1C" w:rsidRDefault="00EA2C2C" w:rsidP="00F70034">
            <w:pPr>
              <w:pStyle w:val="NormalHanging12a"/>
            </w:pPr>
            <w:r w:rsidRPr="00EC5E1C">
              <w:t>€34.062.640</w:t>
            </w:r>
          </w:p>
        </w:tc>
        <w:tc>
          <w:tcPr>
            <w:tcW w:w="640" w:type="dxa"/>
            <w:tcBorders>
              <w:top w:val="single" w:sz="4" w:space="0" w:color="auto"/>
              <w:left w:val="single" w:sz="4" w:space="0" w:color="auto"/>
              <w:bottom w:val="single" w:sz="4" w:space="0" w:color="auto"/>
              <w:right w:val="single" w:sz="4" w:space="0" w:color="auto"/>
            </w:tcBorders>
            <w:noWrap/>
            <w:hideMark/>
          </w:tcPr>
          <w:p w14:paraId="28571FC5" w14:textId="77777777" w:rsidR="00EA2C2C" w:rsidRPr="00EC5E1C" w:rsidRDefault="00EA2C2C" w:rsidP="00F70034">
            <w:pPr>
              <w:pStyle w:val="NormalHanging12a"/>
            </w:pPr>
            <w:r w:rsidRPr="00EC5E1C">
              <w:t>60 %</w:t>
            </w:r>
          </w:p>
        </w:tc>
        <w:tc>
          <w:tcPr>
            <w:tcW w:w="1348" w:type="dxa"/>
            <w:tcBorders>
              <w:top w:val="single" w:sz="4" w:space="0" w:color="auto"/>
              <w:left w:val="single" w:sz="4" w:space="0" w:color="auto"/>
              <w:bottom w:val="single" w:sz="4" w:space="0" w:color="auto"/>
              <w:right w:val="single" w:sz="4" w:space="0" w:color="auto"/>
            </w:tcBorders>
            <w:noWrap/>
            <w:hideMark/>
          </w:tcPr>
          <w:p w14:paraId="316A9D8A" w14:textId="77777777" w:rsidR="00EA2C2C" w:rsidRPr="00EC5E1C" w:rsidRDefault="00EA2C2C" w:rsidP="00F70034">
            <w:pPr>
              <w:pStyle w:val="NormalHanging12a"/>
            </w:pPr>
            <w:r w:rsidRPr="00EC5E1C">
              <w:t>€1.985.690</w:t>
            </w:r>
          </w:p>
        </w:tc>
      </w:tr>
      <w:tr w:rsidR="00EA2C2C" w:rsidRPr="00EC5E1C" w14:paraId="2CB3CA3B" w14:textId="77777777" w:rsidTr="00F7003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39E6DF0" w14:textId="77777777" w:rsidR="00EA2C2C" w:rsidRPr="00EC5E1C" w:rsidRDefault="00EA2C2C" w:rsidP="00F70034">
            <w:pPr>
              <w:pStyle w:val="NormalHanging12a"/>
            </w:pPr>
            <w:r w:rsidRPr="00EC5E1C">
              <w:rPr>
                <w:i/>
                <w:iCs/>
              </w:rPr>
              <w:lastRenderedPageBreak/>
              <w:t>ECHA</w:t>
            </w:r>
            <w:r w:rsidRPr="00EC5E1C">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3FEC46E3" w14:textId="77777777" w:rsidR="00EA2C2C" w:rsidRPr="00EC5E1C" w:rsidRDefault="00EA2C2C" w:rsidP="00F70034">
            <w:pPr>
              <w:pStyle w:val="NormalHanging12a"/>
            </w:pPr>
            <w:r w:rsidRPr="00EC5E1C">
              <w:t>€128.712.666</w:t>
            </w:r>
          </w:p>
        </w:tc>
        <w:tc>
          <w:tcPr>
            <w:tcW w:w="1957" w:type="dxa"/>
            <w:tcBorders>
              <w:top w:val="single" w:sz="4" w:space="0" w:color="auto"/>
              <w:left w:val="single" w:sz="4" w:space="0" w:color="auto"/>
              <w:bottom w:val="single" w:sz="4" w:space="0" w:color="auto"/>
              <w:right w:val="single" w:sz="4" w:space="0" w:color="auto"/>
            </w:tcBorders>
            <w:noWrap/>
            <w:hideMark/>
          </w:tcPr>
          <w:p w14:paraId="66683CDE" w14:textId="77777777" w:rsidR="00EA2C2C" w:rsidRPr="00EC5E1C" w:rsidRDefault="00EA2C2C" w:rsidP="00F70034">
            <w:pPr>
              <w:pStyle w:val="NormalHanging12a"/>
            </w:pPr>
            <w:r w:rsidRPr="00EC5E1C">
              <w:t>€88.028.813</w:t>
            </w:r>
          </w:p>
        </w:tc>
        <w:tc>
          <w:tcPr>
            <w:tcW w:w="640" w:type="dxa"/>
            <w:tcBorders>
              <w:top w:val="single" w:sz="4" w:space="0" w:color="auto"/>
              <w:left w:val="single" w:sz="4" w:space="0" w:color="auto"/>
              <w:bottom w:val="single" w:sz="4" w:space="0" w:color="auto"/>
              <w:right w:val="single" w:sz="4" w:space="0" w:color="auto"/>
            </w:tcBorders>
            <w:noWrap/>
            <w:hideMark/>
          </w:tcPr>
          <w:p w14:paraId="47F3F8A6" w14:textId="77777777" w:rsidR="00EA2C2C" w:rsidRPr="00EC5E1C" w:rsidRDefault="00EA2C2C" w:rsidP="00F70034">
            <w:pPr>
              <w:pStyle w:val="NormalHanging12a"/>
            </w:pPr>
            <w:r w:rsidRPr="00EC5E1C">
              <w:t>68 %</w:t>
            </w:r>
          </w:p>
        </w:tc>
        <w:tc>
          <w:tcPr>
            <w:tcW w:w="1780" w:type="dxa"/>
            <w:tcBorders>
              <w:top w:val="single" w:sz="4" w:space="0" w:color="auto"/>
              <w:left w:val="single" w:sz="4" w:space="0" w:color="auto"/>
              <w:bottom w:val="single" w:sz="4" w:space="0" w:color="auto"/>
              <w:right w:val="single" w:sz="4" w:space="0" w:color="auto"/>
            </w:tcBorders>
            <w:noWrap/>
            <w:hideMark/>
          </w:tcPr>
          <w:p w14:paraId="7596D6A3" w14:textId="77777777" w:rsidR="00EA2C2C" w:rsidRPr="00EC5E1C" w:rsidRDefault="00EA2C2C" w:rsidP="00F70034">
            <w:pPr>
              <w:pStyle w:val="NormalHanging12a"/>
            </w:pPr>
            <w:r w:rsidRPr="00EC5E1C">
              <w:t>€34.117.052</w:t>
            </w:r>
          </w:p>
        </w:tc>
        <w:tc>
          <w:tcPr>
            <w:tcW w:w="640" w:type="dxa"/>
            <w:tcBorders>
              <w:top w:val="single" w:sz="4" w:space="0" w:color="auto"/>
              <w:left w:val="single" w:sz="4" w:space="0" w:color="auto"/>
              <w:bottom w:val="single" w:sz="4" w:space="0" w:color="auto"/>
              <w:right w:val="single" w:sz="4" w:space="0" w:color="auto"/>
            </w:tcBorders>
            <w:noWrap/>
            <w:hideMark/>
          </w:tcPr>
          <w:p w14:paraId="36B51F5B" w14:textId="77777777" w:rsidR="00EA2C2C" w:rsidRPr="00EC5E1C" w:rsidRDefault="00EA2C2C" w:rsidP="00F70034">
            <w:pPr>
              <w:pStyle w:val="NormalHanging12a"/>
            </w:pPr>
            <w:r w:rsidRPr="00EC5E1C">
              <w:t>27 %</w:t>
            </w:r>
          </w:p>
        </w:tc>
        <w:tc>
          <w:tcPr>
            <w:tcW w:w="1348" w:type="dxa"/>
            <w:tcBorders>
              <w:top w:val="single" w:sz="4" w:space="0" w:color="auto"/>
              <w:left w:val="single" w:sz="4" w:space="0" w:color="auto"/>
              <w:bottom w:val="single" w:sz="4" w:space="0" w:color="auto"/>
              <w:right w:val="single" w:sz="4" w:space="0" w:color="auto"/>
            </w:tcBorders>
            <w:noWrap/>
            <w:hideMark/>
          </w:tcPr>
          <w:p w14:paraId="5D80AE83" w14:textId="77777777" w:rsidR="00EA2C2C" w:rsidRPr="00EC5E1C" w:rsidRDefault="00EA2C2C" w:rsidP="00F70034">
            <w:pPr>
              <w:pStyle w:val="NormalHanging12a"/>
            </w:pPr>
            <w:r w:rsidRPr="00EC5E1C">
              <w:t>€6.566.801</w:t>
            </w:r>
          </w:p>
        </w:tc>
      </w:tr>
      <w:tr w:rsidR="00EA2C2C" w:rsidRPr="00EC5E1C" w14:paraId="2A1D49B0" w14:textId="77777777" w:rsidTr="00F7003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8620FD4" w14:textId="77777777" w:rsidR="00EA2C2C" w:rsidRPr="00EC5E1C" w:rsidRDefault="00EA2C2C" w:rsidP="00F70034">
            <w:pPr>
              <w:pStyle w:val="NormalHanging12a"/>
            </w:pPr>
            <w:r w:rsidRPr="00EC5E1C">
              <w:t xml:space="preserve">EAAPI </w:t>
            </w:r>
          </w:p>
        </w:tc>
        <w:tc>
          <w:tcPr>
            <w:tcW w:w="1797" w:type="dxa"/>
            <w:tcBorders>
              <w:top w:val="single" w:sz="4" w:space="0" w:color="auto"/>
              <w:left w:val="single" w:sz="4" w:space="0" w:color="auto"/>
              <w:bottom w:val="single" w:sz="4" w:space="0" w:color="auto"/>
              <w:right w:val="single" w:sz="4" w:space="0" w:color="auto"/>
            </w:tcBorders>
            <w:noWrap/>
            <w:hideMark/>
          </w:tcPr>
          <w:p w14:paraId="3505FC0D" w14:textId="77777777" w:rsidR="00EA2C2C" w:rsidRPr="00EC5E1C" w:rsidRDefault="00EA2C2C" w:rsidP="00F70034">
            <w:pPr>
              <w:pStyle w:val="NormalHanging12a"/>
            </w:pPr>
            <w:r w:rsidRPr="00EC5E1C">
              <w:t>€37.561.192</w:t>
            </w:r>
          </w:p>
        </w:tc>
        <w:tc>
          <w:tcPr>
            <w:tcW w:w="1957" w:type="dxa"/>
            <w:tcBorders>
              <w:top w:val="single" w:sz="4" w:space="0" w:color="auto"/>
              <w:left w:val="single" w:sz="4" w:space="0" w:color="auto"/>
              <w:bottom w:val="single" w:sz="4" w:space="0" w:color="auto"/>
              <w:right w:val="single" w:sz="4" w:space="0" w:color="auto"/>
            </w:tcBorders>
            <w:noWrap/>
            <w:hideMark/>
          </w:tcPr>
          <w:p w14:paraId="41A355DD" w14:textId="77777777" w:rsidR="00EA2C2C" w:rsidRPr="00EC5E1C" w:rsidRDefault="00EA2C2C" w:rsidP="00F70034">
            <w:pPr>
              <w:pStyle w:val="NormalHanging12a"/>
            </w:pPr>
            <w:r w:rsidRPr="00EC5E1C">
              <w:t>€13.886.130</w:t>
            </w:r>
          </w:p>
        </w:tc>
        <w:tc>
          <w:tcPr>
            <w:tcW w:w="640" w:type="dxa"/>
            <w:tcBorders>
              <w:top w:val="single" w:sz="4" w:space="0" w:color="auto"/>
              <w:left w:val="single" w:sz="4" w:space="0" w:color="auto"/>
              <w:bottom w:val="single" w:sz="4" w:space="0" w:color="auto"/>
              <w:right w:val="single" w:sz="4" w:space="0" w:color="auto"/>
            </w:tcBorders>
            <w:noWrap/>
            <w:hideMark/>
          </w:tcPr>
          <w:p w14:paraId="3221E2A4" w14:textId="77777777" w:rsidR="00EA2C2C" w:rsidRPr="00EC5E1C" w:rsidRDefault="00EA2C2C" w:rsidP="00F70034">
            <w:pPr>
              <w:pStyle w:val="NormalHanging12a"/>
            </w:pPr>
            <w:r w:rsidRPr="00EC5E1C">
              <w:t>37 %</w:t>
            </w:r>
          </w:p>
        </w:tc>
        <w:tc>
          <w:tcPr>
            <w:tcW w:w="1780" w:type="dxa"/>
            <w:tcBorders>
              <w:top w:val="single" w:sz="4" w:space="0" w:color="auto"/>
              <w:left w:val="single" w:sz="4" w:space="0" w:color="auto"/>
              <w:bottom w:val="single" w:sz="4" w:space="0" w:color="auto"/>
              <w:right w:val="single" w:sz="4" w:space="0" w:color="auto"/>
            </w:tcBorders>
            <w:noWrap/>
            <w:hideMark/>
          </w:tcPr>
          <w:p w14:paraId="590081DF" w14:textId="77777777" w:rsidR="00EA2C2C" w:rsidRPr="00EC5E1C" w:rsidRDefault="00EA2C2C" w:rsidP="00F70034">
            <w:pPr>
              <w:pStyle w:val="NormalHanging12a"/>
            </w:pPr>
            <w:r w:rsidRPr="00EC5E1C">
              <w:t>€23.035.010</w:t>
            </w:r>
          </w:p>
        </w:tc>
        <w:tc>
          <w:tcPr>
            <w:tcW w:w="640" w:type="dxa"/>
            <w:tcBorders>
              <w:top w:val="single" w:sz="4" w:space="0" w:color="auto"/>
              <w:left w:val="single" w:sz="4" w:space="0" w:color="auto"/>
              <w:bottom w:val="single" w:sz="4" w:space="0" w:color="auto"/>
              <w:right w:val="single" w:sz="4" w:space="0" w:color="auto"/>
            </w:tcBorders>
            <w:noWrap/>
            <w:hideMark/>
          </w:tcPr>
          <w:p w14:paraId="03832F1E" w14:textId="77777777" w:rsidR="00EA2C2C" w:rsidRPr="00EC5E1C" w:rsidRDefault="00EA2C2C" w:rsidP="00F70034">
            <w:pPr>
              <w:pStyle w:val="NormalHanging12a"/>
            </w:pPr>
            <w:r w:rsidRPr="00EC5E1C">
              <w:t>61 %</w:t>
            </w:r>
          </w:p>
        </w:tc>
        <w:tc>
          <w:tcPr>
            <w:tcW w:w="1348" w:type="dxa"/>
            <w:tcBorders>
              <w:top w:val="single" w:sz="4" w:space="0" w:color="auto"/>
              <w:left w:val="single" w:sz="4" w:space="0" w:color="auto"/>
              <w:bottom w:val="single" w:sz="4" w:space="0" w:color="auto"/>
              <w:right w:val="single" w:sz="4" w:space="0" w:color="auto"/>
            </w:tcBorders>
            <w:noWrap/>
            <w:hideMark/>
          </w:tcPr>
          <w:p w14:paraId="5AB342FA" w14:textId="77777777" w:rsidR="00EA2C2C" w:rsidRPr="00EC5E1C" w:rsidRDefault="00EA2C2C" w:rsidP="00F70034">
            <w:pPr>
              <w:pStyle w:val="NormalHanging12a"/>
            </w:pPr>
            <w:r w:rsidRPr="00EC5E1C">
              <w:t>€640.052</w:t>
            </w:r>
          </w:p>
        </w:tc>
      </w:tr>
      <w:tr w:rsidR="00EA2C2C" w:rsidRPr="00EC5E1C" w14:paraId="33AC507D" w14:textId="77777777" w:rsidTr="00F7003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0A0A8BF" w14:textId="77777777" w:rsidR="00EA2C2C" w:rsidRPr="00EC5E1C" w:rsidRDefault="00EA2C2C" w:rsidP="00F70034">
            <w:pPr>
              <w:pStyle w:val="NormalHanging12a"/>
            </w:pPr>
            <w:r w:rsidRPr="00EC5E1C">
              <w:rPr>
                <w:i/>
                <w:iCs/>
              </w:rPr>
              <w:t>EMA</w:t>
            </w:r>
            <w:r w:rsidRPr="00EC5E1C">
              <w:rPr>
                <w:vertAlign w:val="superscript"/>
              </w:rPr>
              <w:footnoteReference w:id="406"/>
            </w:r>
            <w:r w:rsidRPr="00EC5E1C">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6E768FFC" w14:textId="77777777" w:rsidR="00EA2C2C" w:rsidRPr="00EC5E1C" w:rsidRDefault="00EA2C2C" w:rsidP="00F70034">
            <w:pPr>
              <w:pStyle w:val="NormalHanging12a"/>
            </w:pPr>
            <w:r w:rsidRPr="00EC5E1C">
              <w:t>€491.862.000</w:t>
            </w:r>
          </w:p>
        </w:tc>
        <w:tc>
          <w:tcPr>
            <w:tcW w:w="1957" w:type="dxa"/>
            <w:tcBorders>
              <w:top w:val="single" w:sz="4" w:space="0" w:color="auto"/>
              <w:left w:val="single" w:sz="4" w:space="0" w:color="auto"/>
              <w:bottom w:val="single" w:sz="4" w:space="0" w:color="auto"/>
              <w:right w:val="single" w:sz="4" w:space="0" w:color="auto"/>
            </w:tcBorders>
            <w:noWrap/>
            <w:hideMark/>
          </w:tcPr>
          <w:p w14:paraId="557EA644" w14:textId="77777777" w:rsidR="00EA2C2C" w:rsidRPr="00EC5E1C" w:rsidRDefault="00EA2C2C" w:rsidP="00F70034">
            <w:pPr>
              <w:pStyle w:val="NormalHanging12a"/>
            </w:pPr>
            <w:r w:rsidRPr="00EC5E1C">
              <w:t>€35.826.000</w:t>
            </w:r>
          </w:p>
        </w:tc>
        <w:tc>
          <w:tcPr>
            <w:tcW w:w="640" w:type="dxa"/>
            <w:tcBorders>
              <w:top w:val="single" w:sz="4" w:space="0" w:color="auto"/>
              <w:left w:val="single" w:sz="4" w:space="0" w:color="auto"/>
              <w:bottom w:val="single" w:sz="4" w:space="0" w:color="auto"/>
              <w:right w:val="single" w:sz="4" w:space="0" w:color="auto"/>
            </w:tcBorders>
            <w:noWrap/>
            <w:hideMark/>
          </w:tcPr>
          <w:p w14:paraId="76BD51F2" w14:textId="77777777" w:rsidR="00EA2C2C" w:rsidRPr="00EC5E1C" w:rsidRDefault="00EA2C2C" w:rsidP="00F70034">
            <w:pPr>
              <w:pStyle w:val="NormalHanging12a"/>
            </w:pPr>
            <w:r w:rsidRPr="00EC5E1C">
              <w:t>7 %</w:t>
            </w:r>
          </w:p>
        </w:tc>
        <w:tc>
          <w:tcPr>
            <w:tcW w:w="1780" w:type="dxa"/>
            <w:tcBorders>
              <w:top w:val="single" w:sz="4" w:space="0" w:color="auto"/>
              <w:left w:val="single" w:sz="4" w:space="0" w:color="auto"/>
              <w:bottom w:val="single" w:sz="4" w:space="0" w:color="auto"/>
              <w:right w:val="single" w:sz="4" w:space="0" w:color="auto"/>
            </w:tcBorders>
            <w:noWrap/>
            <w:hideMark/>
          </w:tcPr>
          <w:p w14:paraId="57FDA98C" w14:textId="77777777" w:rsidR="00EA2C2C" w:rsidRPr="00EC5E1C" w:rsidRDefault="00EA2C2C" w:rsidP="00F70034">
            <w:pPr>
              <w:pStyle w:val="NormalHanging12a"/>
            </w:pPr>
            <w:r w:rsidRPr="00EC5E1C">
              <w:t>€441.910.000</w:t>
            </w:r>
          </w:p>
        </w:tc>
        <w:tc>
          <w:tcPr>
            <w:tcW w:w="640" w:type="dxa"/>
            <w:tcBorders>
              <w:top w:val="single" w:sz="4" w:space="0" w:color="auto"/>
              <w:left w:val="single" w:sz="4" w:space="0" w:color="auto"/>
              <w:bottom w:val="single" w:sz="4" w:space="0" w:color="auto"/>
              <w:right w:val="single" w:sz="4" w:space="0" w:color="auto"/>
            </w:tcBorders>
            <w:noWrap/>
            <w:hideMark/>
          </w:tcPr>
          <w:p w14:paraId="395E4AC8" w14:textId="77777777" w:rsidR="00EA2C2C" w:rsidRPr="00EC5E1C" w:rsidRDefault="00EA2C2C" w:rsidP="00F70034">
            <w:pPr>
              <w:pStyle w:val="NormalHanging12a"/>
            </w:pPr>
            <w:r w:rsidRPr="00EC5E1C">
              <w:t>90 %</w:t>
            </w:r>
          </w:p>
        </w:tc>
        <w:tc>
          <w:tcPr>
            <w:tcW w:w="1348" w:type="dxa"/>
            <w:tcBorders>
              <w:top w:val="single" w:sz="4" w:space="0" w:color="auto"/>
              <w:left w:val="single" w:sz="4" w:space="0" w:color="auto"/>
              <w:bottom w:val="single" w:sz="4" w:space="0" w:color="auto"/>
              <w:right w:val="single" w:sz="4" w:space="0" w:color="auto"/>
            </w:tcBorders>
            <w:noWrap/>
            <w:hideMark/>
          </w:tcPr>
          <w:p w14:paraId="7167BC36" w14:textId="77777777" w:rsidR="00EA2C2C" w:rsidRPr="00EC5E1C" w:rsidRDefault="00EA2C2C" w:rsidP="00F70034">
            <w:pPr>
              <w:pStyle w:val="NormalHanging12a"/>
            </w:pPr>
            <w:r w:rsidRPr="00EC5E1C">
              <w:t>€14.126.000</w:t>
            </w:r>
          </w:p>
        </w:tc>
      </w:tr>
      <w:tr w:rsidR="00EA2C2C" w:rsidRPr="00EC5E1C" w14:paraId="4120D094" w14:textId="77777777" w:rsidTr="00F7003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498A266" w14:textId="77777777" w:rsidR="00EA2C2C" w:rsidRPr="00EC5E1C" w:rsidRDefault="00EA2C2C" w:rsidP="00F70034">
            <w:pPr>
              <w:pStyle w:val="NormalHanging12a"/>
            </w:pPr>
            <w:r w:rsidRPr="00EC5E1C">
              <w:rPr>
                <w:i/>
                <w:iCs/>
              </w:rPr>
              <w:t>ERA</w:t>
            </w:r>
          </w:p>
        </w:tc>
        <w:tc>
          <w:tcPr>
            <w:tcW w:w="1797" w:type="dxa"/>
            <w:tcBorders>
              <w:top w:val="single" w:sz="4" w:space="0" w:color="auto"/>
              <w:left w:val="single" w:sz="4" w:space="0" w:color="auto"/>
              <w:bottom w:val="single" w:sz="4" w:space="0" w:color="auto"/>
              <w:right w:val="single" w:sz="4" w:space="0" w:color="auto"/>
            </w:tcBorders>
            <w:noWrap/>
            <w:hideMark/>
          </w:tcPr>
          <w:p w14:paraId="1E9B1ED7" w14:textId="77777777" w:rsidR="00EA2C2C" w:rsidRPr="00EC5E1C" w:rsidRDefault="00EA2C2C" w:rsidP="00F70034">
            <w:pPr>
              <w:pStyle w:val="NormalHanging12a"/>
            </w:pPr>
            <w:r w:rsidRPr="00EC5E1C">
              <w:t>€41.936.376</w:t>
            </w:r>
          </w:p>
        </w:tc>
        <w:tc>
          <w:tcPr>
            <w:tcW w:w="1957" w:type="dxa"/>
            <w:tcBorders>
              <w:top w:val="single" w:sz="4" w:space="0" w:color="auto"/>
              <w:left w:val="single" w:sz="4" w:space="0" w:color="auto"/>
              <w:bottom w:val="single" w:sz="4" w:space="0" w:color="auto"/>
              <w:right w:val="single" w:sz="4" w:space="0" w:color="auto"/>
            </w:tcBorders>
            <w:noWrap/>
            <w:hideMark/>
          </w:tcPr>
          <w:p w14:paraId="3FFAD447" w14:textId="77777777" w:rsidR="00EA2C2C" w:rsidRPr="00EC5E1C" w:rsidRDefault="00EA2C2C" w:rsidP="00F70034">
            <w:pPr>
              <w:pStyle w:val="NormalHanging12a"/>
            </w:pPr>
            <w:r w:rsidRPr="00EC5E1C">
              <w:t>€29.000.626</w:t>
            </w:r>
          </w:p>
        </w:tc>
        <w:tc>
          <w:tcPr>
            <w:tcW w:w="640" w:type="dxa"/>
            <w:tcBorders>
              <w:top w:val="single" w:sz="4" w:space="0" w:color="auto"/>
              <w:left w:val="single" w:sz="4" w:space="0" w:color="auto"/>
              <w:bottom w:val="single" w:sz="4" w:space="0" w:color="auto"/>
              <w:right w:val="single" w:sz="4" w:space="0" w:color="auto"/>
            </w:tcBorders>
            <w:noWrap/>
            <w:hideMark/>
          </w:tcPr>
          <w:p w14:paraId="14AE8E26" w14:textId="77777777" w:rsidR="00EA2C2C" w:rsidRPr="00EC5E1C" w:rsidRDefault="00EA2C2C" w:rsidP="00F70034">
            <w:pPr>
              <w:pStyle w:val="NormalHanging12a"/>
            </w:pPr>
            <w:r w:rsidRPr="00EC5E1C">
              <w:t>69 %</w:t>
            </w:r>
          </w:p>
        </w:tc>
        <w:tc>
          <w:tcPr>
            <w:tcW w:w="1780" w:type="dxa"/>
            <w:tcBorders>
              <w:top w:val="single" w:sz="4" w:space="0" w:color="auto"/>
              <w:left w:val="single" w:sz="4" w:space="0" w:color="auto"/>
              <w:bottom w:val="single" w:sz="4" w:space="0" w:color="auto"/>
              <w:right w:val="single" w:sz="4" w:space="0" w:color="auto"/>
            </w:tcBorders>
            <w:noWrap/>
            <w:hideMark/>
          </w:tcPr>
          <w:p w14:paraId="078FFFEE" w14:textId="77777777" w:rsidR="00EA2C2C" w:rsidRPr="00EC5E1C" w:rsidRDefault="00EA2C2C" w:rsidP="00F70034">
            <w:pPr>
              <w:pStyle w:val="NormalHanging12a"/>
            </w:pPr>
            <w:r w:rsidRPr="00EC5E1C">
              <w:t>€11.913.156</w:t>
            </w:r>
          </w:p>
        </w:tc>
        <w:tc>
          <w:tcPr>
            <w:tcW w:w="640" w:type="dxa"/>
            <w:tcBorders>
              <w:top w:val="single" w:sz="4" w:space="0" w:color="auto"/>
              <w:left w:val="single" w:sz="4" w:space="0" w:color="auto"/>
              <w:bottom w:val="single" w:sz="4" w:space="0" w:color="auto"/>
              <w:right w:val="single" w:sz="4" w:space="0" w:color="auto"/>
            </w:tcBorders>
            <w:noWrap/>
            <w:hideMark/>
          </w:tcPr>
          <w:p w14:paraId="3A5A02D0" w14:textId="77777777" w:rsidR="00EA2C2C" w:rsidRPr="00EC5E1C" w:rsidRDefault="00EA2C2C" w:rsidP="00F70034">
            <w:pPr>
              <w:pStyle w:val="NormalHanging12a"/>
            </w:pPr>
            <w:r w:rsidRPr="00EC5E1C">
              <w:t>28 %</w:t>
            </w:r>
          </w:p>
        </w:tc>
        <w:tc>
          <w:tcPr>
            <w:tcW w:w="1348" w:type="dxa"/>
            <w:tcBorders>
              <w:top w:val="single" w:sz="4" w:space="0" w:color="auto"/>
              <w:left w:val="single" w:sz="4" w:space="0" w:color="auto"/>
              <w:bottom w:val="single" w:sz="4" w:space="0" w:color="auto"/>
              <w:right w:val="single" w:sz="4" w:space="0" w:color="auto"/>
            </w:tcBorders>
            <w:noWrap/>
            <w:hideMark/>
          </w:tcPr>
          <w:p w14:paraId="2A2AA5A1" w14:textId="77777777" w:rsidR="00EA2C2C" w:rsidRPr="00EC5E1C" w:rsidRDefault="00EA2C2C" w:rsidP="00F70034">
            <w:pPr>
              <w:pStyle w:val="NormalHanging12a"/>
            </w:pPr>
            <w:r w:rsidRPr="00EC5E1C">
              <w:t>€1.022.594</w:t>
            </w:r>
          </w:p>
        </w:tc>
      </w:tr>
      <w:tr w:rsidR="00EA2C2C" w:rsidRPr="00EC5E1C" w14:paraId="2CF52E6E" w14:textId="77777777" w:rsidTr="00F7003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2EE955C" w14:textId="77777777" w:rsidR="00EA2C2C" w:rsidRPr="00EC5E1C" w:rsidRDefault="00EA2C2C" w:rsidP="00F70034">
            <w:pPr>
              <w:pStyle w:val="NormalHanging12a"/>
            </w:pPr>
            <w:r w:rsidRPr="00EC5E1C">
              <w:t>EVTI</w:t>
            </w:r>
            <w:r w:rsidRPr="00EC5E1C">
              <w:rPr>
                <w:vertAlign w:val="superscript"/>
              </w:rPr>
              <w:footnoteReference w:id="407"/>
            </w:r>
            <w:r w:rsidRPr="00EC5E1C">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35E4AADC" w14:textId="77777777" w:rsidR="00EA2C2C" w:rsidRPr="00EC5E1C" w:rsidRDefault="00EA2C2C" w:rsidP="00F70034">
            <w:pPr>
              <w:pStyle w:val="NormalHanging12a"/>
            </w:pPr>
            <w:r w:rsidRPr="00EC5E1C">
              <w:t>€76.055.579</w:t>
            </w:r>
          </w:p>
        </w:tc>
        <w:tc>
          <w:tcPr>
            <w:tcW w:w="1957" w:type="dxa"/>
            <w:tcBorders>
              <w:top w:val="single" w:sz="4" w:space="0" w:color="auto"/>
              <w:left w:val="single" w:sz="4" w:space="0" w:color="auto"/>
              <w:bottom w:val="single" w:sz="4" w:space="0" w:color="auto"/>
              <w:right w:val="single" w:sz="4" w:space="0" w:color="auto"/>
            </w:tcBorders>
            <w:noWrap/>
            <w:hideMark/>
          </w:tcPr>
          <w:p w14:paraId="207B9BDB" w14:textId="77777777" w:rsidR="00EA2C2C" w:rsidRPr="00EC5E1C" w:rsidRDefault="00EA2C2C" w:rsidP="00F70034">
            <w:pPr>
              <w:pStyle w:val="NormalHanging12a"/>
            </w:pPr>
            <w:r w:rsidRPr="00EC5E1C">
              <w:t>€19.938.075</w:t>
            </w:r>
          </w:p>
        </w:tc>
        <w:tc>
          <w:tcPr>
            <w:tcW w:w="640" w:type="dxa"/>
            <w:tcBorders>
              <w:top w:val="single" w:sz="4" w:space="0" w:color="auto"/>
              <w:left w:val="single" w:sz="4" w:space="0" w:color="auto"/>
              <w:bottom w:val="single" w:sz="4" w:space="0" w:color="auto"/>
              <w:right w:val="single" w:sz="4" w:space="0" w:color="auto"/>
            </w:tcBorders>
            <w:noWrap/>
            <w:hideMark/>
          </w:tcPr>
          <w:p w14:paraId="4116E38B" w14:textId="77777777" w:rsidR="00EA2C2C" w:rsidRPr="00EC5E1C" w:rsidRDefault="00EA2C2C" w:rsidP="00F70034">
            <w:pPr>
              <w:pStyle w:val="NormalHanging12a"/>
            </w:pPr>
            <w:r w:rsidRPr="00EC5E1C">
              <w:t>26 %</w:t>
            </w:r>
          </w:p>
        </w:tc>
        <w:tc>
          <w:tcPr>
            <w:tcW w:w="1780" w:type="dxa"/>
            <w:tcBorders>
              <w:top w:val="single" w:sz="4" w:space="0" w:color="auto"/>
              <w:left w:val="single" w:sz="4" w:space="0" w:color="auto"/>
              <w:bottom w:val="single" w:sz="4" w:space="0" w:color="auto"/>
              <w:right w:val="single" w:sz="4" w:space="0" w:color="auto"/>
            </w:tcBorders>
            <w:noWrap/>
            <w:hideMark/>
          </w:tcPr>
          <w:p w14:paraId="2624342C" w14:textId="77777777" w:rsidR="00EA2C2C" w:rsidRPr="00EC5E1C" w:rsidRDefault="00EA2C2C" w:rsidP="00F70034">
            <w:pPr>
              <w:pStyle w:val="NormalHanging12a"/>
            </w:pPr>
            <w:r w:rsidRPr="00EC5E1C">
              <w:t>€54.015.802</w:t>
            </w:r>
          </w:p>
        </w:tc>
        <w:tc>
          <w:tcPr>
            <w:tcW w:w="640" w:type="dxa"/>
            <w:tcBorders>
              <w:top w:val="single" w:sz="4" w:space="0" w:color="auto"/>
              <w:left w:val="single" w:sz="4" w:space="0" w:color="auto"/>
              <w:bottom w:val="single" w:sz="4" w:space="0" w:color="auto"/>
              <w:right w:val="single" w:sz="4" w:space="0" w:color="auto"/>
            </w:tcBorders>
            <w:noWrap/>
            <w:hideMark/>
          </w:tcPr>
          <w:p w14:paraId="55F24C4E" w14:textId="77777777" w:rsidR="00EA2C2C" w:rsidRPr="00EC5E1C" w:rsidRDefault="00EA2C2C" w:rsidP="00F70034">
            <w:pPr>
              <w:pStyle w:val="NormalHanging12a"/>
            </w:pPr>
            <w:r w:rsidRPr="00EC5E1C">
              <w:t>71 %</w:t>
            </w:r>
          </w:p>
        </w:tc>
        <w:tc>
          <w:tcPr>
            <w:tcW w:w="1348" w:type="dxa"/>
            <w:tcBorders>
              <w:top w:val="single" w:sz="4" w:space="0" w:color="auto"/>
              <w:left w:val="single" w:sz="4" w:space="0" w:color="auto"/>
              <w:bottom w:val="single" w:sz="4" w:space="0" w:color="auto"/>
              <w:right w:val="single" w:sz="4" w:space="0" w:color="auto"/>
            </w:tcBorders>
            <w:noWrap/>
            <w:hideMark/>
          </w:tcPr>
          <w:p w14:paraId="4B6641C0" w14:textId="77777777" w:rsidR="00EA2C2C" w:rsidRPr="00EC5E1C" w:rsidRDefault="00EA2C2C" w:rsidP="00F70034">
            <w:pPr>
              <w:pStyle w:val="NormalHanging12a"/>
            </w:pPr>
            <w:r w:rsidRPr="00EC5E1C">
              <w:t>€2.101.702</w:t>
            </w:r>
          </w:p>
        </w:tc>
      </w:tr>
      <w:tr w:rsidR="00EA2C2C" w:rsidRPr="00EC5E1C" w14:paraId="02EF76F9" w14:textId="77777777" w:rsidTr="00F70034">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502F6F8" w14:textId="77777777" w:rsidR="00EA2C2C" w:rsidRPr="00EC5E1C" w:rsidRDefault="00EA2C2C" w:rsidP="00F70034">
            <w:pPr>
              <w:pStyle w:val="NormalHanging12a"/>
            </w:pPr>
            <w:r w:rsidRPr="00EC5E1C">
              <w:t>KOPĀ</w:t>
            </w:r>
          </w:p>
        </w:tc>
        <w:tc>
          <w:tcPr>
            <w:tcW w:w="1797" w:type="dxa"/>
            <w:tcBorders>
              <w:top w:val="single" w:sz="4" w:space="0" w:color="auto"/>
              <w:left w:val="single" w:sz="4" w:space="0" w:color="auto"/>
              <w:bottom w:val="single" w:sz="4" w:space="0" w:color="auto"/>
              <w:right w:val="single" w:sz="4" w:space="0" w:color="auto"/>
            </w:tcBorders>
            <w:noWrap/>
            <w:hideMark/>
          </w:tcPr>
          <w:p w14:paraId="6DC96D18" w14:textId="77777777" w:rsidR="00EA2C2C" w:rsidRPr="00EC5E1C" w:rsidRDefault="00EA2C2C" w:rsidP="00F70034">
            <w:pPr>
              <w:pStyle w:val="NormalHanging12a"/>
            </w:pPr>
            <w:r w:rsidRPr="00EC5E1C">
              <w:t>€1.096.367.193</w:t>
            </w:r>
          </w:p>
        </w:tc>
        <w:tc>
          <w:tcPr>
            <w:tcW w:w="1957" w:type="dxa"/>
            <w:tcBorders>
              <w:top w:val="single" w:sz="4" w:space="0" w:color="auto"/>
              <w:left w:val="single" w:sz="4" w:space="0" w:color="auto"/>
              <w:bottom w:val="single" w:sz="4" w:space="0" w:color="auto"/>
              <w:right w:val="single" w:sz="4" w:space="0" w:color="auto"/>
            </w:tcBorders>
            <w:noWrap/>
            <w:hideMark/>
          </w:tcPr>
          <w:p w14:paraId="636B2C3A" w14:textId="77777777" w:rsidR="00EA2C2C" w:rsidRPr="00EC5E1C" w:rsidRDefault="00EA2C2C" w:rsidP="00F70034">
            <w:pPr>
              <w:pStyle w:val="NormalHanging12a"/>
            </w:pPr>
            <w:r w:rsidRPr="00EC5E1C">
              <w:t>€275.534.294</w:t>
            </w:r>
          </w:p>
        </w:tc>
        <w:tc>
          <w:tcPr>
            <w:tcW w:w="640" w:type="dxa"/>
            <w:tcBorders>
              <w:top w:val="single" w:sz="4" w:space="0" w:color="auto"/>
              <w:left w:val="single" w:sz="4" w:space="0" w:color="auto"/>
              <w:bottom w:val="single" w:sz="4" w:space="0" w:color="auto"/>
              <w:right w:val="single" w:sz="4" w:space="0" w:color="auto"/>
            </w:tcBorders>
            <w:noWrap/>
            <w:hideMark/>
          </w:tcPr>
          <w:p w14:paraId="218C8650" w14:textId="77777777" w:rsidR="00EA2C2C" w:rsidRPr="00EC5E1C" w:rsidRDefault="00EA2C2C" w:rsidP="00F70034">
            <w:pPr>
              <w:pStyle w:val="NormalHanging12a"/>
            </w:pPr>
            <w:r w:rsidRPr="00EC5E1C">
              <w:t> </w:t>
            </w:r>
          </w:p>
        </w:tc>
        <w:tc>
          <w:tcPr>
            <w:tcW w:w="1780" w:type="dxa"/>
            <w:tcBorders>
              <w:top w:val="single" w:sz="4" w:space="0" w:color="auto"/>
              <w:left w:val="single" w:sz="4" w:space="0" w:color="auto"/>
              <w:bottom w:val="single" w:sz="4" w:space="0" w:color="auto"/>
              <w:right w:val="single" w:sz="4" w:space="0" w:color="auto"/>
            </w:tcBorders>
            <w:noWrap/>
            <w:hideMark/>
          </w:tcPr>
          <w:p w14:paraId="27096B5A" w14:textId="77777777" w:rsidR="00EA2C2C" w:rsidRPr="00EC5E1C" w:rsidRDefault="00EA2C2C" w:rsidP="00F70034">
            <w:pPr>
              <w:pStyle w:val="NormalHanging12a"/>
            </w:pPr>
            <w:r w:rsidRPr="00EC5E1C">
              <w:t>€790.819.960</w:t>
            </w:r>
          </w:p>
        </w:tc>
        <w:tc>
          <w:tcPr>
            <w:tcW w:w="640" w:type="dxa"/>
            <w:tcBorders>
              <w:top w:val="single" w:sz="4" w:space="0" w:color="auto"/>
              <w:left w:val="single" w:sz="4" w:space="0" w:color="auto"/>
              <w:bottom w:val="single" w:sz="4" w:space="0" w:color="auto"/>
              <w:right w:val="single" w:sz="4" w:space="0" w:color="auto"/>
            </w:tcBorders>
            <w:noWrap/>
            <w:hideMark/>
          </w:tcPr>
          <w:p w14:paraId="2F682FB1" w14:textId="77777777" w:rsidR="00EA2C2C" w:rsidRPr="00EC5E1C" w:rsidRDefault="00EA2C2C" w:rsidP="00F70034">
            <w:pPr>
              <w:pStyle w:val="NormalHanging12a"/>
            </w:pPr>
            <w:r w:rsidRPr="00EC5E1C">
              <w:t> </w:t>
            </w:r>
          </w:p>
        </w:tc>
        <w:tc>
          <w:tcPr>
            <w:tcW w:w="1348" w:type="dxa"/>
            <w:tcBorders>
              <w:top w:val="single" w:sz="4" w:space="0" w:color="auto"/>
              <w:left w:val="single" w:sz="4" w:space="0" w:color="auto"/>
              <w:bottom w:val="single" w:sz="4" w:space="0" w:color="auto"/>
              <w:right w:val="single" w:sz="4" w:space="0" w:color="auto"/>
            </w:tcBorders>
            <w:noWrap/>
            <w:hideMark/>
          </w:tcPr>
          <w:p w14:paraId="4AFA6487" w14:textId="77777777" w:rsidR="00EA2C2C" w:rsidRPr="00EC5E1C" w:rsidRDefault="00EA2C2C" w:rsidP="00F70034">
            <w:pPr>
              <w:pStyle w:val="NormalHanging12a"/>
            </w:pPr>
            <w:r w:rsidRPr="00EC5E1C">
              <w:t>€30.012.939</w:t>
            </w:r>
          </w:p>
        </w:tc>
      </w:tr>
    </w:tbl>
    <w:p w14:paraId="37B3DF76" w14:textId="77777777" w:rsidR="00EA2C2C" w:rsidRPr="00EC5E1C" w:rsidRDefault="00EA2C2C" w:rsidP="00EA2C2C">
      <w:pPr>
        <w:pStyle w:val="NormalHanging12a"/>
      </w:pPr>
    </w:p>
    <w:p w14:paraId="0A9083C5" w14:textId="557DBD61" w:rsidR="00EA2C2C" w:rsidRPr="00EC5E1C" w:rsidRDefault="00EC5E1C" w:rsidP="00EA2C2C">
      <w:pPr>
        <w:pStyle w:val="NormalHanging12a"/>
      </w:pPr>
      <w:r w:rsidRPr="00EC5E1C">
        <w:t>39</w:t>
      </w:r>
      <w:r w:rsidR="00EA2C2C" w:rsidRPr="00EC5E1C">
        <w:t>.</w:t>
      </w:r>
      <w:r w:rsidR="00EA2C2C" w:rsidRPr="00EC5E1C">
        <w:tab/>
        <w:t>atgādina, ka rezolūcijā par 2023. gada budžeta izpildes apstiprināšanu jau ir norādīts, cik svarīgi ir stiprināt Eiropas uzraudzības iestādes (</w:t>
      </w:r>
      <w:r w:rsidR="00EA2C2C" w:rsidRPr="00EC5E1C">
        <w:rPr>
          <w:i/>
          <w:iCs/>
        </w:rPr>
        <w:t>EBI</w:t>
      </w:r>
      <w:r w:rsidR="00EA2C2C" w:rsidRPr="00EC5E1C">
        <w:t>, EAAPI un EVTI); apzinās, ka to izveides regulās nav noteikts, ka darbības, ko finansē no Savienības iemaksām, ir jānošķir no valstu iemaksām, un ka vispārējais izmaksu dalīšanas mehānisms nepieprasa nošķiršanu individuālo darbību līmenī, kā rezultātā šīs iestādes nenošķir izmaksas, ko sedz no Savienības budžeta, un izmaksas, ko finansē dalībvalstis, kā Revīzijas palāta uzsvērusi savā 2023. gada pārskatā;</w:t>
      </w:r>
    </w:p>
    <w:p w14:paraId="651BD523" w14:textId="53D7028F" w:rsidR="00EA2C2C" w:rsidRPr="00EC5E1C" w:rsidRDefault="00EC5E1C" w:rsidP="00EA2C2C">
      <w:pPr>
        <w:pStyle w:val="NormalHanging12a"/>
      </w:pPr>
      <w:r w:rsidRPr="00EC5E1C">
        <w:t>40</w:t>
      </w:r>
      <w:r w:rsidR="00EA2C2C" w:rsidRPr="00EC5E1C">
        <w:t>.</w:t>
      </w:r>
      <w:r w:rsidR="00EA2C2C" w:rsidRPr="00EC5E1C">
        <w:tab/>
        <w:t xml:space="preserve">uzskata, ka </w:t>
      </w:r>
      <w:proofErr w:type="spellStart"/>
      <w:r w:rsidR="00EA2C2C" w:rsidRPr="00EC5E1C">
        <w:t>pārredzamības</w:t>
      </w:r>
      <w:proofErr w:type="spellEnd"/>
      <w:r w:rsidR="00EA2C2C" w:rsidRPr="00EC5E1C">
        <w:t xml:space="preserve"> uzlabošana budžeta plānošanā un pārskatu sniegšanā pa darbības jomām palīdzētu uzlabot pārraudzību un </w:t>
      </w:r>
      <w:proofErr w:type="spellStart"/>
      <w:r w:rsidR="00EA2C2C" w:rsidRPr="00EC5E1C">
        <w:t>pārskatatbildību</w:t>
      </w:r>
      <w:proofErr w:type="spellEnd"/>
      <w:r w:rsidR="00EA2C2C" w:rsidRPr="00EC5E1C">
        <w:t>, jo īpaši attiecībā uz aģentūrām, kuras finansē no vairākām ieņēmumu plūsmām, ļaujot ieinteresētajām personām, tostarp dalībvalstīm, finanšu iestādēm un nodokļu maksātājiem, labāk novērtēt efektivitāti un taisnīgumu; uzsver, ka skaidrība par saikni starp ieņēmumu avotiem un darbībām stiprina uzticēšanos Savienības līdzekļu pareizai izmantošanai, vienlaikus ievērojot tiesisko regulējumu, kas izklāstīts aģentūru izveides regulās;</w:t>
      </w:r>
    </w:p>
    <w:p w14:paraId="77CC7EDF" w14:textId="7A8A1D5C" w:rsidR="00EA2C2C" w:rsidRPr="00EC5E1C" w:rsidRDefault="00EC5E1C" w:rsidP="00EA2C2C">
      <w:pPr>
        <w:pStyle w:val="NormalHanging12a"/>
      </w:pPr>
      <w:r w:rsidRPr="00EC5E1C">
        <w:t>41</w:t>
      </w:r>
      <w:r w:rsidR="00EA2C2C" w:rsidRPr="00EC5E1C">
        <w:t>.</w:t>
      </w:r>
      <w:r w:rsidR="00EA2C2C" w:rsidRPr="00EC5E1C">
        <w:tab/>
        <w:t xml:space="preserve">pieņem zināšanai Komisijas priekšlikumu Eiropas Ķimikāliju aģentūras regulai, ar ko ievieš pasākumus, kuru mērķis ir stiprināt Aģentūras finansiālo ilgtspēju, tostarp iespēju izveidot ierobežotu rezervi, kas paredzēta, lai absorbētu maksu ienākumu svārstīgumu un samazinātu paļaušanos uz atkārtotiem budžeta grozījumiem; tomēr uzsver, ka šādas rezerves izveidei ir vajadzīgi stingri aizsardzības pasākumi, jo tā ietver riskus, tostarp maksu strukturālu pārmērīgu atgūšanu un iespēju izmantot uzkrātos līdzekļus mērķiem, kas nav saistīti ar īstermiņa stabilizāciju; uzskata, ka tas padara būtisku izmaksu un saiknes starp maksām un darbībām </w:t>
      </w:r>
      <w:proofErr w:type="spellStart"/>
      <w:r w:rsidR="00EA2C2C" w:rsidRPr="00EC5E1C">
        <w:t>pārredzamību</w:t>
      </w:r>
      <w:proofErr w:type="spellEnd"/>
      <w:r w:rsidR="00EA2C2C" w:rsidRPr="00EC5E1C">
        <w:t>, tostarp izmantojot ziņošanu pēc darbības jomām, nošķirot no maksas finansētus un Savienības finansētus uzdevumus; iesaka jebkādu rezerves atlikumu, kas pārsniedz maksimālo apjomu, atgriezt Savienības budžetā, vai nu veicot atmaksu, vai samazinot nākamā gada Savienības iemaksu, lai izvairītos no uzkrāšanās un ievērotu budžeta pamatprincipus;</w:t>
      </w:r>
    </w:p>
    <w:p w14:paraId="7B2C2513" w14:textId="1F954477" w:rsidR="00EA2C2C" w:rsidRPr="00EC5E1C" w:rsidRDefault="00EC5E1C" w:rsidP="00EA2C2C">
      <w:pPr>
        <w:pStyle w:val="NormalHanging12a"/>
      </w:pPr>
      <w:r w:rsidRPr="00EC5E1C">
        <w:t>42</w:t>
      </w:r>
      <w:r w:rsidR="00EA2C2C" w:rsidRPr="00EC5E1C">
        <w:t>.</w:t>
      </w:r>
      <w:r w:rsidR="00EA2C2C" w:rsidRPr="00EC5E1C">
        <w:tab/>
        <w:t xml:space="preserve">pauž bažas par </w:t>
      </w:r>
      <w:proofErr w:type="spellStart"/>
      <w:r w:rsidR="00EA2C2C" w:rsidRPr="00EC5E1C">
        <w:rPr>
          <w:i/>
          <w:iCs/>
        </w:rPr>
        <w:t>CdT</w:t>
      </w:r>
      <w:proofErr w:type="spellEnd"/>
      <w:r w:rsidR="00EA2C2C" w:rsidRPr="00EC5E1C">
        <w:t xml:space="preserve"> negatīvo ekonomisko rezultātu 5,7 miljonu EUR apmērā un darbības ieņēmumu pastāvīgo samazinājumu, kas galvenokārt saistīts ar rēķinos iekļauto lapu samazināšanos par 11,4 % 2024. gadā un par 17,6 % 2023. gadā; norāda, ka cenu stabilitātes rezerve, kas tika izveidota 2011. gadā, lai kompensētu klientu darījumu apjoma svārstības un palīdzētu </w:t>
      </w:r>
      <w:proofErr w:type="spellStart"/>
      <w:r w:rsidR="00EA2C2C" w:rsidRPr="00EC5E1C">
        <w:rPr>
          <w:i/>
          <w:iCs/>
        </w:rPr>
        <w:t>CdT</w:t>
      </w:r>
      <w:proofErr w:type="spellEnd"/>
      <w:r w:rsidR="00EA2C2C" w:rsidRPr="00EC5E1C">
        <w:t xml:space="preserve"> nodrošināt budžeta un cenu stabilitāti, </w:t>
      </w:r>
      <w:r w:rsidR="00EA2C2C" w:rsidRPr="00EC5E1C">
        <w:lastRenderedPageBreak/>
        <w:t xml:space="preserve">sasniedza maksimumu 15,6 miljonu EUR apmērā 2014. gadā un samazinājās līdz 8,9 miljoniem EUR 2024. gadā (samazinājums par 42,9 % kopš 2014. gada); apzinās, ka pēc tam, kad rezerve būs pilnībā izsmelta, jebkurš turpmāks deficīts būs jāsedz no Savienības budžeta subsīdijām, kā paredzēts </w:t>
      </w:r>
      <w:proofErr w:type="spellStart"/>
      <w:r w:rsidR="00EA2C2C" w:rsidRPr="00EC5E1C">
        <w:rPr>
          <w:i/>
          <w:iCs/>
        </w:rPr>
        <w:t>CdT</w:t>
      </w:r>
      <w:proofErr w:type="spellEnd"/>
      <w:r w:rsidR="00EA2C2C" w:rsidRPr="00EC5E1C">
        <w:t xml:space="preserve"> izveides regulā; pieņem zināšanai </w:t>
      </w:r>
      <w:proofErr w:type="spellStart"/>
      <w:r w:rsidR="00EA2C2C" w:rsidRPr="00EC5E1C">
        <w:rPr>
          <w:i/>
          <w:iCs/>
        </w:rPr>
        <w:t>CdT</w:t>
      </w:r>
      <w:proofErr w:type="spellEnd"/>
      <w:r w:rsidR="00EA2C2C" w:rsidRPr="00EC5E1C">
        <w:t xml:space="preserve"> atbildi par turpmākajiem pasākumiem saistībā ar 2023. gada budžeta izpildes apstiprināšanu un aicina valdi turpināt ziņot budžeta izpildes </w:t>
      </w:r>
      <w:proofErr w:type="spellStart"/>
      <w:r w:rsidR="00EA2C2C" w:rsidRPr="00EC5E1C">
        <w:t>apstiprinātājiestādei</w:t>
      </w:r>
      <w:proofErr w:type="spellEnd"/>
      <w:r w:rsidR="00EA2C2C" w:rsidRPr="00EC5E1C">
        <w:t xml:space="preserve"> par šo plānu attīstību, ņemot vērā ieņēmumu pastāvīgo samazināšanos; mudina </w:t>
      </w:r>
      <w:proofErr w:type="spellStart"/>
      <w:r w:rsidR="00EA2C2C" w:rsidRPr="00EC5E1C">
        <w:rPr>
          <w:i/>
          <w:iCs/>
        </w:rPr>
        <w:t>CdT</w:t>
      </w:r>
      <w:proofErr w:type="spellEnd"/>
      <w:r w:rsidR="00EA2C2C" w:rsidRPr="00EC5E1C">
        <w:t xml:space="preserve"> apzināt jaunus pakalpojumus, ko tas varētu sniegt, un jaunus ieņēmumu avotus, ņemot vērā jauno bezmaksas tulkošanas tehnoloģiju izplatību, kas varētu ietekmēt tulkošanas pieprasījumu skaitu;</w:t>
      </w:r>
    </w:p>
    <w:p w14:paraId="679731AD" w14:textId="3C704E64" w:rsidR="00EA2C2C" w:rsidRPr="00EC5E1C" w:rsidRDefault="00EC5E1C" w:rsidP="00EA2C2C">
      <w:pPr>
        <w:pStyle w:val="NormalHanging12a"/>
      </w:pPr>
      <w:r w:rsidRPr="00EC5E1C">
        <w:t>43</w:t>
      </w:r>
      <w:r w:rsidR="00EA2C2C" w:rsidRPr="00EC5E1C">
        <w:t>.</w:t>
      </w:r>
      <w:r w:rsidR="00EA2C2C" w:rsidRPr="00EC5E1C">
        <w:tab/>
        <w:t xml:space="preserve">uzstāj, ka, lai gan Finanšu regulā nav noteikti pārnesto apropriāciju maksimālie apjomi, atkārtotie un pārmērīgie pārnesumi apdraud </w:t>
      </w:r>
      <w:bookmarkStart w:id="8" w:name="_Hlk215651058"/>
      <w:r w:rsidR="00EA2C2C" w:rsidRPr="00EC5E1C">
        <w:t>budžeta gada pārskata principu</w:t>
      </w:r>
      <w:bookmarkEnd w:id="8"/>
      <w:r w:rsidR="00EA2C2C" w:rsidRPr="00EC5E1C">
        <w:t xml:space="preserve"> un varētu liecināt par strukturālām problēmām budžeta procesā un izpildes ciklā;</w:t>
      </w:r>
    </w:p>
    <w:p w14:paraId="2E59A9B8" w14:textId="3B7C1EE8" w:rsidR="00EA2C2C" w:rsidRPr="00EC5E1C" w:rsidRDefault="00EC5E1C" w:rsidP="00EA2C2C">
      <w:pPr>
        <w:pStyle w:val="NormalHanging12a"/>
      </w:pPr>
      <w:r w:rsidRPr="00EC5E1C">
        <w:t>44</w:t>
      </w:r>
      <w:r w:rsidR="00EA2C2C" w:rsidRPr="00EC5E1C">
        <w:t>.</w:t>
      </w:r>
      <w:r w:rsidR="00EA2C2C" w:rsidRPr="00EC5E1C">
        <w:tab/>
        <w:t>norāda, ka 2024. gadā 11 aģentūrās (</w:t>
      </w:r>
      <w:r w:rsidR="00EA2C2C" w:rsidRPr="00EC5E1C">
        <w:rPr>
          <w:i/>
          <w:iCs/>
        </w:rPr>
        <w:t>ACER, ECDC</w:t>
      </w:r>
      <w:r w:rsidR="00EA2C2C" w:rsidRPr="00EC5E1C">
        <w:t xml:space="preserve">, EVA, </w:t>
      </w:r>
      <w:r w:rsidR="00EA2C2C" w:rsidRPr="00EC5E1C">
        <w:rPr>
          <w:i/>
          <w:iCs/>
        </w:rPr>
        <w:t>EFCA</w:t>
      </w:r>
      <w:r w:rsidR="00EA2C2C" w:rsidRPr="00EC5E1C">
        <w:t xml:space="preserve">, </w:t>
      </w:r>
      <w:r w:rsidR="00EA2C2C" w:rsidRPr="00EC5E1C">
        <w:rPr>
          <w:i/>
          <w:iCs/>
        </w:rPr>
        <w:t>EIGE, ENISA</w:t>
      </w:r>
      <w:r w:rsidR="00EA2C2C" w:rsidRPr="00EC5E1C">
        <w:t xml:space="preserve">, </w:t>
      </w:r>
      <w:r w:rsidR="00EA2C2C" w:rsidRPr="00EC5E1C">
        <w:rPr>
          <w:i/>
          <w:iCs/>
        </w:rPr>
        <w:t>EU</w:t>
      </w:r>
      <w:r w:rsidR="00EA2C2C" w:rsidRPr="00EC5E1C">
        <w:rPr>
          <w:i/>
          <w:iCs/>
        </w:rPr>
        <w:noBreakHyphen/>
        <w:t>-OSHA</w:t>
      </w:r>
      <w:r w:rsidR="00EA2C2C" w:rsidRPr="00EC5E1C">
        <w:t xml:space="preserve">, </w:t>
      </w:r>
      <w:proofErr w:type="spellStart"/>
      <w:r w:rsidR="00EA2C2C" w:rsidRPr="00EC5E1C">
        <w:rPr>
          <w:i/>
          <w:iCs/>
        </w:rPr>
        <w:t>Eurofound</w:t>
      </w:r>
      <w:proofErr w:type="spellEnd"/>
      <w:r w:rsidR="00EA2C2C" w:rsidRPr="00EC5E1C">
        <w:t xml:space="preserve">, </w:t>
      </w:r>
      <w:r w:rsidR="00EA2C2C" w:rsidRPr="00EC5E1C">
        <w:rPr>
          <w:i/>
          <w:iCs/>
        </w:rPr>
        <w:t>EUSPA</w:t>
      </w:r>
      <w:r w:rsidR="00EA2C2C" w:rsidRPr="00EC5E1C">
        <w:t xml:space="preserve">, </w:t>
      </w:r>
      <w:r w:rsidR="00EA2C2C" w:rsidRPr="00EC5E1C">
        <w:rPr>
          <w:i/>
          <w:iCs/>
        </w:rPr>
        <w:t>FRA</w:t>
      </w:r>
      <w:r w:rsidR="00EA2C2C" w:rsidRPr="00EC5E1C">
        <w:t xml:space="preserve"> un </w:t>
      </w:r>
      <w:proofErr w:type="spellStart"/>
      <w:r w:rsidR="00EA2C2C" w:rsidRPr="00EC5E1C">
        <w:rPr>
          <w:i/>
          <w:iCs/>
        </w:rPr>
        <w:t>Frontex</w:t>
      </w:r>
      <w:proofErr w:type="spellEnd"/>
      <w:r w:rsidR="00EA2C2C" w:rsidRPr="00EC5E1C">
        <w:t xml:space="preserve">) pārnesumu līmenis pārsniedza 15 % visās apvienotajās budžeta sadaļās un šāds modelis tika novērots vairākkārtēji; norāda, ka </w:t>
      </w:r>
      <w:proofErr w:type="spellStart"/>
      <w:r w:rsidR="00EA2C2C" w:rsidRPr="00EC5E1C">
        <w:rPr>
          <w:i/>
          <w:iCs/>
        </w:rPr>
        <w:t>Frontex</w:t>
      </w:r>
      <w:proofErr w:type="spellEnd"/>
      <w:r w:rsidR="00EA2C2C" w:rsidRPr="00EC5E1C">
        <w:t xml:space="preserve"> un </w:t>
      </w:r>
      <w:r w:rsidR="00EA2C2C" w:rsidRPr="00EC5E1C">
        <w:rPr>
          <w:i/>
          <w:iCs/>
        </w:rPr>
        <w:t>ESA</w:t>
      </w:r>
      <w:r w:rsidR="00EA2C2C" w:rsidRPr="00EC5E1C">
        <w:t xml:space="preserve"> gadījumā pārnesumi sasniedz attiecīgi vairāk nekā 40 % un 30 %; aicina aģentūras uzlabot daudzgadu plānošanu, iepirkumu plānošanu un saistību prognozēšanu, lai atbalstītu apropriāciju labāku īstenošanu tajā finanšu gadā, attiecībā uz kuru tās ir apstiprinātas; aicina Komisiju pieprasīt aģentūrām ar atkārtotiem pārnesumiem iesniegt korektīvo pasākumu plānus; atgādina, ka Revīzijas palāta savā gada pārskatā par ES aģentūrām attiecībā uz 2024. finanšu gadu uzsvēra, ka atkārtoti augstais pārnesumu līmenis apdraud budžeta gada pārskata principu;</w:t>
      </w:r>
    </w:p>
    <w:p w14:paraId="40D0B296" w14:textId="23BA7630" w:rsidR="00EA2C2C" w:rsidRPr="00EC5E1C" w:rsidRDefault="00EC5E1C" w:rsidP="00EA2C2C">
      <w:pPr>
        <w:pStyle w:val="NormalHanging12a"/>
      </w:pPr>
      <w:r w:rsidRPr="00EC5E1C">
        <w:t>45</w:t>
      </w:r>
      <w:r w:rsidR="00EA2C2C" w:rsidRPr="00EC5E1C">
        <w:t>.</w:t>
      </w:r>
      <w:r w:rsidR="00EA2C2C" w:rsidRPr="00EC5E1C">
        <w:tab/>
        <w:t>uzskata, ka dažos gadījumos pārnesumus varētu pamatot ar darbību daudzgadu raksturu vai ar faktoriem, ko attiecīgās aģentūras nevar ietekmēt; pieņem zināšanai Revīzijas palātas paziņojumu 2025. gada 1. decembra uzklausīšanā, ka saskaņā ar jauno revīzijas pieeju tā centīsies turpmākajos ziņojumos sniegt skaidrāku vispārēju pārskatu par pārnesumu raksturu, vienlaikus atzīstot Revīzijas palātas skaidrojumu, ka metodoloģisku un resursu ierobežojumu dēļ pārnesumu cēloņu diferencēts sadalījums pa aģentūrām nav iespējams; atzinīgi vērtē Revīzijas palātas gatavību uzsvērt atkārtotus modeļus un sistēmiskus faktorus, kas veicina pārmērīgus pārnesumus; tomēr uzsver, ka pastāvīgi augsts un atkārtots pārnesumu līmenis var norādīt uz strukturālām pamatproblēmām plānošanā, īstenošanā vai resursu piešķiršanā; aicina aģentūras uzlabot budžeta prognozēšanu un projektu plānošanu, lai līdz minimumam samazinātu neplānotus pārnesumus un nodrošinātu apropriāciju efektīvu izmantošanu finanšu gada laikā;</w:t>
      </w:r>
    </w:p>
    <w:p w14:paraId="21600DEB" w14:textId="4354C2FD" w:rsidR="00EA2C2C" w:rsidRPr="00EC5E1C" w:rsidRDefault="00EC5E1C" w:rsidP="00EA2C2C">
      <w:pPr>
        <w:pStyle w:val="NormalHanging12a"/>
      </w:pPr>
      <w:r w:rsidRPr="00EC5E1C">
        <w:t>46</w:t>
      </w:r>
      <w:r w:rsidR="00EA2C2C" w:rsidRPr="00EC5E1C">
        <w:t>.</w:t>
      </w:r>
      <w:r w:rsidR="00EA2C2C" w:rsidRPr="00EC5E1C">
        <w:tab/>
        <w:t>atgādina, ka tiesiskais regulējums liek aģentūrām veikt maksājumus konkrētos termiņos; norāda, ka gadījumā, ja šie termiņi netiek ievēroti, var rasties papildu izmaksas, piemēram, nokavējuma procenti; konstatē, ka attiecībā uz 2024. gadu Revīzijas palāta ziņo, ka 11 aģentūrās (</w:t>
      </w:r>
      <w:r w:rsidR="00EA2C2C" w:rsidRPr="00EC5E1C">
        <w:rPr>
          <w:i/>
          <w:iCs/>
        </w:rPr>
        <w:t>ACER</w:t>
      </w:r>
      <w:r w:rsidR="00EA2C2C" w:rsidRPr="00EC5E1C">
        <w:t xml:space="preserve">, </w:t>
      </w:r>
      <w:proofErr w:type="spellStart"/>
      <w:r w:rsidR="00EA2C2C" w:rsidRPr="00EC5E1C">
        <w:rPr>
          <w:i/>
          <w:iCs/>
        </w:rPr>
        <w:t>Cedefop</w:t>
      </w:r>
      <w:proofErr w:type="spellEnd"/>
      <w:r w:rsidR="00EA2C2C" w:rsidRPr="00EC5E1C">
        <w:t xml:space="preserve">, </w:t>
      </w:r>
      <w:r w:rsidR="00EA2C2C" w:rsidRPr="00EC5E1C">
        <w:rPr>
          <w:i/>
          <w:iCs/>
        </w:rPr>
        <w:t>CEPOL</w:t>
      </w:r>
      <w:r w:rsidR="00EA2C2C" w:rsidRPr="00EC5E1C">
        <w:t xml:space="preserve">, EVA, </w:t>
      </w:r>
      <w:r w:rsidR="00EA2C2C" w:rsidRPr="00EC5E1C">
        <w:rPr>
          <w:i/>
          <w:iCs/>
        </w:rPr>
        <w:t>ELA</w:t>
      </w:r>
      <w:r w:rsidR="00EA2C2C" w:rsidRPr="00EC5E1C">
        <w:t xml:space="preserve">, </w:t>
      </w:r>
      <w:r w:rsidR="00EA2C2C" w:rsidRPr="00EC5E1C">
        <w:rPr>
          <w:i/>
          <w:iCs/>
        </w:rPr>
        <w:t>ENISA</w:t>
      </w:r>
      <w:r w:rsidR="00EA2C2C" w:rsidRPr="00EC5E1C">
        <w:t xml:space="preserve">, </w:t>
      </w:r>
      <w:r w:rsidR="00EA2C2C" w:rsidRPr="00EC5E1C">
        <w:rPr>
          <w:i/>
          <w:iCs/>
        </w:rPr>
        <w:t>ETF</w:t>
      </w:r>
      <w:r w:rsidR="00EA2C2C" w:rsidRPr="00EC5E1C">
        <w:t xml:space="preserve">, </w:t>
      </w:r>
      <w:r w:rsidR="00EA2C2C" w:rsidRPr="00EC5E1C">
        <w:rPr>
          <w:i/>
          <w:iCs/>
        </w:rPr>
        <w:t>EUDA</w:t>
      </w:r>
      <w:r w:rsidR="00EA2C2C" w:rsidRPr="00EC5E1C">
        <w:t xml:space="preserve">, </w:t>
      </w:r>
      <w:proofErr w:type="spellStart"/>
      <w:r w:rsidR="00EA2C2C" w:rsidRPr="00EC5E1C">
        <w:rPr>
          <w:i/>
          <w:iCs/>
        </w:rPr>
        <w:t>Eurojust</w:t>
      </w:r>
      <w:proofErr w:type="spellEnd"/>
      <w:r w:rsidR="00EA2C2C" w:rsidRPr="00EC5E1C">
        <w:t xml:space="preserve">, </w:t>
      </w:r>
      <w:r w:rsidR="00EA2C2C" w:rsidRPr="00EC5E1C">
        <w:rPr>
          <w:i/>
          <w:iCs/>
        </w:rPr>
        <w:t>FRA</w:t>
      </w:r>
      <w:r w:rsidR="00EA2C2C" w:rsidRPr="00EC5E1C">
        <w:t xml:space="preserve"> un </w:t>
      </w:r>
      <w:proofErr w:type="spellStart"/>
      <w:r w:rsidR="00EA2C2C" w:rsidRPr="00EC5E1C">
        <w:rPr>
          <w:i/>
          <w:iCs/>
        </w:rPr>
        <w:t>Frontex</w:t>
      </w:r>
      <w:proofErr w:type="spellEnd"/>
      <w:r w:rsidR="00EA2C2C" w:rsidRPr="00EC5E1C">
        <w:t>) vairāk nekā 5 % maksājumu tika veikti pēc piemērojamā termiņa; pauž bažas par maksājumu kavējumu pieaugumu kopš 2022. gada, kas ir pieaugums salīdzinājumā ar 2023. gadu (deviņas aģentūras) un 2022. gadu (piecas aģentūras);</w:t>
      </w:r>
    </w:p>
    <w:p w14:paraId="7D02B9A6" w14:textId="77777777" w:rsidR="00EA2C2C" w:rsidRPr="00EC5E1C" w:rsidRDefault="00EA2C2C" w:rsidP="00EA2C2C">
      <w:pPr>
        <w:pStyle w:val="NormalHanging12a"/>
        <w:rPr>
          <w:i/>
          <w:iCs/>
        </w:rPr>
      </w:pPr>
      <w:r w:rsidRPr="00EC5E1C">
        <w:rPr>
          <w:i/>
        </w:rPr>
        <w:t>Ieteikumi</w:t>
      </w:r>
    </w:p>
    <w:p w14:paraId="6C9907DE" w14:textId="25C93C8D" w:rsidR="00EA2C2C" w:rsidRPr="00EC5E1C" w:rsidRDefault="00EC5E1C" w:rsidP="00EA2C2C">
      <w:pPr>
        <w:pStyle w:val="NormalHanging12a"/>
      </w:pPr>
      <w:r w:rsidRPr="00EC5E1C">
        <w:t>47</w:t>
      </w:r>
      <w:r w:rsidR="00EA2C2C" w:rsidRPr="00EC5E1C">
        <w:t>.</w:t>
      </w:r>
      <w:r w:rsidR="00EA2C2C" w:rsidRPr="00EC5E1C">
        <w:tab/>
        <w:t xml:space="preserve">uzskata, ka ir jānodrošina tiesību aktos noteikto maksājumu termiņu ievērošana, un </w:t>
      </w:r>
      <w:r w:rsidR="00EA2C2C" w:rsidRPr="00EC5E1C">
        <w:lastRenderedPageBreak/>
        <w:t>norāda, ka bieži kavēti maksājumi var negatīvi ietekmēt aģentūru reputāciju; aicina attiecīgās aģentūras veikt pasākumus, lai izvairītos no turpmākiem maksājumu kavējumiem un procentiem par novēlotiem maksājumiem, un nodrošināt saistību savlaicīgu izpildi; atgādina, ka maksājumu termiņu ievērošana saskaņā ar Finanšu regulu ir juridisks pienākums un finanšu pārvaldības pamatelements; aicina aģentūras īstenot korektīvus pasākumus, ja maksājumu kavējumi turpinās vairākus gadus, nodrošinot tiesību aktos noteikto termiņu sistemātisku ievērošanu;</w:t>
      </w:r>
    </w:p>
    <w:p w14:paraId="45CFC583" w14:textId="3424C27E" w:rsidR="00EA2C2C" w:rsidRPr="00EC5E1C" w:rsidRDefault="00EC5E1C" w:rsidP="00EA2C2C">
      <w:pPr>
        <w:pStyle w:val="NormalHanging12a"/>
        <w:rPr>
          <w:u w:val="single"/>
        </w:rPr>
      </w:pPr>
      <w:r w:rsidRPr="00EC5E1C">
        <w:t>48</w:t>
      </w:r>
      <w:r w:rsidR="00EA2C2C" w:rsidRPr="00EC5E1C">
        <w:t>.</w:t>
      </w:r>
      <w:r w:rsidR="00EA2C2C" w:rsidRPr="00EC5E1C">
        <w:tab/>
        <w:t xml:space="preserve">aicina Eiropas uzraudzības iestādes (EBI, EAAPI un EVTI) stiprināt to darbību </w:t>
      </w:r>
      <w:proofErr w:type="spellStart"/>
      <w:r w:rsidR="00EA2C2C" w:rsidRPr="00EC5E1C">
        <w:t>pārredzamību</w:t>
      </w:r>
      <w:proofErr w:type="spellEnd"/>
      <w:r w:rsidR="00EA2C2C" w:rsidRPr="00EC5E1C">
        <w:t>, kuras finansē no dažādām ieņēmumu plūsmām, lai uzlabotu grāmatvedības uzraudzību, kā to ieteikusi Revīzijas palāta attiecībā uz ieņēmumu pārvaldību un finansēšanas struktūrām;</w:t>
      </w:r>
    </w:p>
    <w:p w14:paraId="4ED901CA" w14:textId="77777777" w:rsidR="00EA2C2C" w:rsidRPr="00EC5E1C" w:rsidRDefault="00EA2C2C" w:rsidP="00EA2C2C">
      <w:pPr>
        <w:pStyle w:val="NormalHanging12a"/>
        <w:rPr>
          <w:b/>
          <w:i/>
        </w:rPr>
      </w:pPr>
      <w:r w:rsidRPr="00EC5E1C">
        <w:rPr>
          <w:b/>
          <w:i/>
        </w:rPr>
        <w:t>Galvenie Revīzijas palātas konstatētie riski un revīzijas rezultātu pārskats</w:t>
      </w:r>
    </w:p>
    <w:p w14:paraId="76267BFE" w14:textId="01462A61" w:rsidR="00EA2C2C" w:rsidRPr="00EC5E1C" w:rsidRDefault="00EC5E1C" w:rsidP="00EA2C2C">
      <w:pPr>
        <w:pStyle w:val="NormalHanging12a"/>
      </w:pPr>
      <w:bookmarkStart w:id="9" w:name="_Hlk225770236"/>
      <w:r w:rsidRPr="00EC5E1C">
        <w:t>49</w:t>
      </w:r>
      <w:r w:rsidR="00EA2C2C" w:rsidRPr="00EC5E1C">
        <w:t>.</w:t>
      </w:r>
      <w:r w:rsidR="00EA2C2C" w:rsidRPr="00EC5E1C">
        <w:tab/>
      </w:r>
      <w:bookmarkStart w:id="10" w:name="_Hlk214996918"/>
      <w:r w:rsidR="00EA2C2C" w:rsidRPr="00EC5E1C">
        <w:t xml:space="preserve">norāda, ka Eiropas Revīzijas palāta savā gada ziņojumā par ES aģentūrām attiecībā uz 2024. gadu (“Revīzijas palātas ziņojums”) ir secinājusi, ka Revīzijas palātas veiktās revīzijas rezultāti ir līdzīgi iepriekšējo gadu rezultātiem un ka par galveno nepareizu maksājumu cēloni ir norādītas nepilnības publiskā iepirkuma procedūrās; aicina attiecīgās aģentūras pastiprināt </w:t>
      </w:r>
      <w:proofErr w:type="spellStart"/>
      <w:r w:rsidR="00EA2C2C" w:rsidRPr="00EC5E1C">
        <w:rPr>
          <w:i/>
          <w:iCs/>
        </w:rPr>
        <w:t>ex</w:t>
      </w:r>
      <w:proofErr w:type="spellEnd"/>
      <w:r w:rsidR="00EA2C2C" w:rsidRPr="00EC5E1C">
        <w:rPr>
          <w:i/>
          <w:iCs/>
        </w:rPr>
        <w:t> </w:t>
      </w:r>
      <w:proofErr w:type="spellStart"/>
      <w:r w:rsidR="00EA2C2C" w:rsidRPr="00EC5E1C">
        <w:rPr>
          <w:i/>
          <w:iCs/>
        </w:rPr>
        <w:t>ante</w:t>
      </w:r>
      <w:proofErr w:type="spellEnd"/>
      <w:r w:rsidR="00EA2C2C" w:rsidRPr="00EC5E1C">
        <w:t xml:space="preserve"> pārbaudes, uzlabot piešķiršanas kritēriju dokumentēšanu un nodrošināt stingru pamatojumu sarunu procedūrām bez publicēšanas; aicina Komisiju sniegt mērķtiecīgus norādījumus un apmācību aģentūrām, kurās atkārtoti vērojami iepirkuma trūkumi; turklāt aicina aģentūras nodrošināt pilnīgu izsekojamību, konkursa procedūras un pienācīgu uzskaiti visās iepirkuma darbībās un aicina aģentūru iekšējās revīzijas dienestus par prioritāti noteikt iepirkuma pārskatīšanu;</w:t>
      </w:r>
    </w:p>
    <w:bookmarkEnd w:id="9"/>
    <w:bookmarkEnd w:id="10"/>
    <w:p w14:paraId="3D6FC8C4" w14:textId="7ECEEAD1" w:rsidR="00EA2C2C" w:rsidRPr="00EC5E1C" w:rsidRDefault="00EC5E1C" w:rsidP="00EA2C2C">
      <w:pPr>
        <w:pStyle w:val="NormalHanging12a"/>
      </w:pPr>
      <w:r w:rsidRPr="00EC5E1C">
        <w:t>50</w:t>
      </w:r>
      <w:r w:rsidR="00EA2C2C" w:rsidRPr="00EC5E1C">
        <w:t>.</w:t>
      </w:r>
      <w:r w:rsidR="00EA2C2C" w:rsidRPr="00EC5E1C">
        <w:tab/>
        <w:t xml:space="preserve">pēc iepazīšanās ar Revīzijas palātas ziņojumu norāda, ka vispārējais risks saistībā ar aģentūru pārskatu ticamību kopumā joprojām ir zems un ka risks saistībā ar aģentūru pārskatos iekļauto ieņēmumu likumību un pareizību lielākajai daļai aģentūru arī ir zems; turklāt norāda, ka šis risks ir novērtēts kā vidējs attiecībā uz daļēji </w:t>
      </w:r>
      <w:proofErr w:type="spellStart"/>
      <w:r w:rsidR="00EA2C2C" w:rsidRPr="00EC5E1C">
        <w:t>pašfinansētām</w:t>
      </w:r>
      <w:proofErr w:type="spellEnd"/>
      <w:r w:rsidR="00EA2C2C" w:rsidRPr="00EC5E1C">
        <w:t xml:space="preserve"> aģentūrām, ņemot vērā īpašos noteikumus, kas reglamentē maksu iekasēšanu un citas iemaksas ieņēmumos, un šāda situācija ir novērota arī iepriekšējos gados;</w:t>
      </w:r>
    </w:p>
    <w:p w14:paraId="0475ED09" w14:textId="63134DD5" w:rsidR="00EA2C2C" w:rsidRPr="00EC5E1C" w:rsidRDefault="00EC5E1C" w:rsidP="00EA2C2C">
      <w:pPr>
        <w:pStyle w:val="NormalHanging12a"/>
      </w:pPr>
      <w:r w:rsidRPr="00EC5E1C">
        <w:t>51</w:t>
      </w:r>
      <w:r w:rsidR="00EA2C2C" w:rsidRPr="00EC5E1C">
        <w:t>.</w:t>
      </w:r>
      <w:r w:rsidR="00EA2C2C" w:rsidRPr="00EC5E1C">
        <w:tab/>
        <w:t>piebilst, ka saskaņā ar Revīzijas palātas viedokli risks, kas saistīts ar aģentūru pārskatiem pakārtoto maksājumu likumību un pareizību, kopumā uzskatāms par vidēju, taču konkrētās budžeta sadaļās tas var svārstīties no zema līdz augstam; norāda, ka saskaņā ar Revīzijas palātas viedokli risks, kas saistīts ar I sadaļu (“Personāla izdevumi”), kopumā ir zems, ar II sadaļu (“Administratīvie izdevumi”) saistītais risks tiek uzskatīts par vidēju, savukārt III sadaļā (“Pamatdarbības izdevumi”) tas var svārstīties no zema līdz augstam atkarībā no aģentūras un tās darbības izdevumu veida; norāda, ka saskaņā ar Revīzijas palātas viedokli risks, kas saistīts ar III sadaļu, ir līdzīgs ar II sadaļu saistītajam riskam, taču, tā kā III sadaļā ir runa par daudz lielākām summām, tiek uzskatīts, ka ietekme ir lielāka;</w:t>
      </w:r>
    </w:p>
    <w:p w14:paraId="3B131FFA" w14:textId="769DD298" w:rsidR="00EA2C2C" w:rsidRPr="00EC5E1C" w:rsidRDefault="00EC5E1C" w:rsidP="00EA2C2C">
      <w:pPr>
        <w:pStyle w:val="NormalHanging12a"/>
      </w:pPr>
      <w:r w:rsidRPr="00EC5E1C">
        <w:t>52</w:t>
      </w:r>
      <w:r w:rsidR="00EA2C2C" w:rsidRPr="00EC5E1C">
        <w:t>.</w:t>
      </w:r>
      <w:r w:rsidR="00EA2C2C" w:rsidRPr="00EC5E1C">
        <w:tab/>
        <w:t>norāda, ka, tāpat kā iepriekšējos gados, Revīzijas palāta uzskata, ka pareizas finanšu pārvaldības apdraudējums ir vidējs un galvenokārt saistīts ar publiskā iepirkuma procedūrām;</w:t>
      </w:r>
    </w:p>
    <w:p w14:paraId="67BE8C04" w14:textId="1FA518D7" w:rsidR="00EA2C2C" w:rsidRPr="00EC5E1C" w:rsidRDefault="00EC5E1C" w:rsidP="00EA2C2C">
      <w:pPr>
        <w:pStyle w:val="NormalHanging12a"/>
      </w:pPr>
      <w:r w:rsidRPr="00EC5E1C">
        <w:t>53</w:t>
      </w:r>
      <w:r w:rsidR="00EA2C2C" w:rsidRPr="00EC5E1C">
        <w:t>.</w:t>
      </w:r>
      <w:r w:rsidR="00EA2C2C" w:rsidRPr="00EC5E1C">
        <w:tab/>
        <w:t xml:space="preserve">norāda, ka saskaņā ar Revīzijas palātas viedokli risks budžeta pārvaldībai ir zems un Revīzijas palātas veiktajā revīzijā ir konstatēti trūkumi, kas galvenokārt ir saistīti ar nediferencēto apropriāciju automātiskajiem pārnesumiem un vēliem maksājumiem; uzsver, ka nepilnības pārvaldības un kontroles sistēmās attiecas uz tādiem jautājumiem </w:t>
      </w:r>
      <w:r w:rsidR="00EA2C2C" w:rsidRPr="00EC5E1C">
        <w:lastRenderedPageBreak/>
        <w:t xml:space="preserve">kā pienācīgu </w:t>
      </w:r>
      <w:proofErr w:type="spellStart"/>
      <w:r w:rsidR="00EA2C2C" w:rsidRPr="00EC5E1C">
        <w:rPr>
          <w:i/>
          <w:iCs/>
        </w:rPr>
        <w:t>ex</w:t>
      </w:r>
      <w:proofErr w:type="spellEnd"/>
      <w:r w:rsidR="00EA2C2C" w:rsidRPr="00EC5E1C">
        <w:rPr>
          <w:i/>
          <w:iCs/>
        </w:rPr>
        <w:t> post/</w:t>
      </w:r>
      <w:proofErr w:type="spellStart"/>
      <w:r w:rsidR="00EA2C2C" w:rsidRPr="00EC5E1C">
        <w:rPr>
          <w:i/>
          <w:iCs/>
        </w:rPr>
        <w:t>ex</w:t>
      </w:r>
      <w:proofErr w:type="spellEnd"/>
      <w:r w:rsidR="00EA2C2C" w:rsidRPr="00EC5E1C">
        <w:rPr>
          <w:i/>
          <w:iCs/>
        </w:rPr>
        <w:t> </w:t>
      </w:r>
      <w:proofErr w:type="spellStart"/>
      <w:r w:rsidR="00EA2C2C" w:rsidRPr="00EC5E1C">
        <w:rPr>
          <w:i/>
          <w:iCs/>
        </w:rPr>
        <w:t>ante</w:t>
      </w:r>
      <w:proofErr w:type="spellEnd"/>
      <w:r w:rsidR="00EA2C2C" w:rsidRPr="00EC5E1C">
        <w:t xml:space="preserve"> pārbaužu trūkums, ar pamatdarbību saistīti iepirkumi, kas uzsākti bez pienācīgiem finansēšanas lēmumiem, izdevumi, kas veikti, kad kredītrīkotājs nav pienācīgi deleģējis pilnvaras, nepilnības dotāciju pārvaldībā un aģentūras novērtēšanas aizkavēšanās no Komisijas puses; uzsver, ka šie Revīzijas palātas norādītie trūkumi apdraud pareizu finanšu pārvaldību un pakļauj aģentūras finanšu un reputācijas riskiem; aicina attiecīgās aģentūras nodrošināt pilnīgu atbilstību Finanšu regulai un veikt nepieciešamos korektīvos pasākumus un aicina Komisiju cieši uzraudzīt to īstenošanu;</w:t>
      </w:r>
    </w:p>
    <w:p w14:paraId="140E5943" w14:textId="1BB6C141" w:rsidR="00EA2C2C" w:rsidRPr="00EC5E1C" w:rsidRDefault="00EC5E1C" w:rsidP="00EA2C2C">
      <w:pPr>
        <w:pStyle w:val="NormalHanging12a"/>
      </w:pPr>
      <w:r w:rsidRPr="00EC5E1C">
        <w:t>54</w:t>
      </w:r>
      <w:r w:rsidR="00EA2C2C" w:rsidRPr="00EC5E1C">
        <w:t>.</w:t>
      </w:r>
      <w:r w:rsidR="00EA2C2C" w:rsidRPr="00EC5E1C">
        <w:tab/>
        <w:t>pieņem zināšanai, ka 2024. gadā Revīzijas palāta formulēja kopumā 72 apsvērumus, kas attiecas uz dažādiem jautājumiem iepirkuma (34 apsvērumi), pārvaldības un kontroles sistēmu (11 apsvērumi) (izņemot iepirkumu un cilvēkresursu jautājumus) un budžeta pārvaldības (27 apsvērumi) jomā;</w:t>
      </w:r>
    </w:p>
    <w:p w14:paraId="058310B9" w14:textId="4D20A996" w:rsidR="00EA2C2C" w:rsidRPr="00EC5E1C" w:rsidRDefault="00EC5E1C" w:rsidP="00EA2C2C">
      <w:pPr>
        <w:pStyle w:val="NormalHanging12a"/>
      </w:pPr>
      <w:r w:rsidRPr="00EC5E1C">
        <w:t>55</w:t>
      </w:r>
      <w:r w:rsidR="00EA2C2C" w:rsidRPr="00EC5E1C">
        <w:t>.</w:t>
      </w:r>
      <w:r w:rsidR="00EA2C2C" w:rsidRPr="00EC5E1C">
        <w:tab/>
        <w:t xml:space="preserve">norāda, ka Revīzijas palāta ir sniegusi revīzijas atzinumu bez </w:t>
      </w:r>
      <w:proofErr w:type="spellStart"/>
      <w:r w:rsidR="00EA2C2C" w:rsidRPr="00EC5E1C">
        <w:t>iebildēm</w:t>
      </w:r>
      <w:proofErr w:type="spellEnd"/>
      <w:r w:rsidR="00EA2C2C" w:rsidRPr="00EC5E1C">
        <w:t xml:space="preserve"> par visu aģentūru pārskatu ticamību; norāda, ka Revīzijas palāta ir sniegusi atzinumu bez </w:t>
      </w:r>
      <w:proofErr w:type="spellStart"/>
      <w:r w:rsidR="00EA2C2C" w:rsidRPr="00EC5E1C">
        <w:t>iebildēm</w:t>
      </w:r>
      <w:proofErr w:type="spellEnd"/>
      <w:r w:rsidR="00EA2C2C" w:rsidRPr="00EC5E1C">
        <w:t xml:space="preserve"> par visu aģentūru pārskatiem pakārtoto ieņēmumu likumību un pareizību;</w:t>
      </w:r>
    </w:p>
    <w:p w14:paraId="10253139" w14:textId="7916CA90" w:rsidR="00EA2C2C" w:rsidRPr="00EC5E1C" w:rsidRDefault="00EC5E1C" w:rsidP="00EA2C2C">
      <w:pPr>
        <w:pStyle w:val="NormalHanging12a"/>
      </w:pPr>
      <w:r w:rsidRPr="00EC5E1C">
        <w:t>56</w:t>
      </w:r>
      <w:r w:rsidR="00EA2C2C" w:rsidRPr="00EC5E1C">
        <w:t>.</w:t>
      </w:r>
      <w:r w:rsidR="00EA2C2C" w:rsidRPr="00EC5E1C">
        <w:tab/>
        <w:t xml:space="preserve">konstatē, ka attiecībā uz aģentūru pārskatiem pakārtoto maksājumu likumību un pareizību ir sniegts atzinums bez </w:t>
      </w:r>
      <w:proofErr w:type="spellStart"/>
      <w:r w:rsidR="00EA2C2C" w:rsidRPr="00EC5E1C">
        <w:t>iebildēm</w:t>
      </w:r>
      <w:proofErr w:type="spellEnd"/>
      <w:r w:rsidR="00EA2C2C" w:rsidRPr="00EC5E1C">
        <w:t xml:space="preserve"> visu aģentūru gadījumā, izņemot Eiropas Darba iestādi (</w:t>
      </w:r>
      <w:r w:rsidR="00EA2C2C" w:rsidRPr="00EC5E1C">
        <w:rPr>
          <w:i/>
          <w:iCs/>
        </w:rPr>
        <w:t>ELA</w:t>
      </w:r>
      <w:r w:rsidR="00EA2C2C" w:rsidRPr="00EC5E1C">
        <w:t>);</w:t>
      </w:r>
    </w:p>
    <w:p w14:paraId="7DDE0B08" w14:textId="7A65E5CD" w:rsidR="00EA2C2C" w:rsidRPr="00EC5E1C" w:rsidRDefault="00EC5E1C" w:rsidP="00EA2C2C">
      <w:pPr>
        <w:pStyle w:val="NormalHanging12a"/>
      </w:pPr>
      <w:r w:rsidRPr="00EC5E1C">
        <w:t>57</w:t>
      </w:r>
      <w:r w:rsidR="00EA2C2C" w:rsidRPr="00EC5E1C">
        <w:t>.</w:t>
      </w:r>
      <w:r w:rsidR="00EA2C2C" w:rsidRPr="00EC5E1C">
        <w:tab/>
        <w:t xml:space="preserve">pauž nožēlu par to, ka </w:t>
      </w:r>
      <w:r w:rsidR="00EA2C2C" w:rsidRPr="00EC5E1C">
        <w:rPr>
          <w:i/>
          <w:iCs/>
        </w:rPr>
        <w:t>ELA</w:t>
      </w:r>
      <w:r w:rsidR="00EA2C2C" w:rsidRPr="00EC5E1C">
        <w:t xml:space="preserve"> gadījumā </w:t>
      </w:r>
      <w:proofErr w:type="spellStart"/>
      <w:r w:rsidR="00EA2C2C" w:rsidRPr="00EC5E1C">
        <w:t>iebilde</w:t>
      </w:r>
      <w:proofErr w:type="spellEnd"/>
      <w:r w:rsidR="00EA2C2C" w:rsidRPr="00EC5E1C">
        <w:t xml:space="preserve"> ir saistīta ar maksājumiem 2,6 miljonu EUR apmērā, kas veikti 2024. gadā un veido 5,7 % no kopējām pieejamajām maksājumu apropriācijām; norāda, ka šī summa ietver 2,2 miljonus EUR saistībā ar līgumu, kas 2022. gada revīzijas ziņojumā atzīts par neatbilstīgu, jo piešķirtā vērtība pārsniedza līgumam noteikto maksimālo vērtību, kas ir pretrunā Finanšu regulas I pielikuma 12.3. punkta a) apakšpunktam, un 0,4 miljonus EUR, kuri saistīti ar nepilnībām līgumu īstenošanas </w:t>
      </w:r>
      <w:proofErr w:type="spellStart"/>
      <w:r w:rsidR="00EA2C2C" w:rsidRPr="00EC5E1C">
        <w:rPr>
          <w:i/>
          <w:iCs/>
        </w:rPr>
        <w:t>ex</w:t>
      </w:r>
      <w:proofErr w:type="spellEnd"/>
      <w:r w:rsidR="00EA2C2C" w:rsidRPr="00EC5E1C">
        <w:rPr>
          <w:i/>
          <w:iCs/>
        </w:rPr>
        <w:t> </w:t>
      </w:r>
      <w:proofErr w:type="spellStart"/>
      <w:r w:rsidR="00EA2C2C" w:rsidRPr="00EC5E1C">
        <w:rPr>
          <w:i/>
          <w:iCs/>
        </w:rPr>
        <w:t>ante</w:t>
      </w:r>
      <w:proofErr w:type="spellEnd"/>
      <w:r w:rsidR="00EA2C2C" w:rsidRPr="00EC5E1C">
        <w:t xml:space="preserve"> pārbaudēs; pieņem zināšanai </w:t>
      </w:r>
      <w:r w:rsidR="00EA2C2C" w:rsidRPr="00EC5E1C">
        <w:rPr>
          <w:i/>
          <w:iCs/>
        </w:rPr>
        <w:t>ELA</w:t>
      </w:r>
      <w:r w:rsidR="00EA2C2C" w:rsidRPr="00EC5E1C">
        <w:t xml:space="preserve"> atbildi 2025. gada 1. decembra uzklausīšanā, ka, neraugoties uz nelikumīgo piešķiršanu, faktiskie maksājumi, kas veikti saskaņā ar līgumu, nepārsniedza konkursa specifikācijās noteikto maksimālo apjomu 6 miljonu EUR apmērā un ka līgums bija būtisks, lai nodrošinātu Iestādes darbības nepārtrauktību tās sākotnējā izveides posmā; turklāt norāda, ka neatbilstīgais līgums beidzās 2024. gada februārī un netika atjaunots; atzinīgi vērtē Iestādes apliecinājumus, ka ir īstenoti korektīvi pasākumi, tostarp pārskatīta konkursa dokumentācija, pastiprinātas iepirkuma procedūras un atjaunināti iekšējie kontrolsaraksti, lai novērstu līdzīgus pārkāpumus; mudina </w:t>
      </w:r>
      <w:r w:rsidR="00EA2C2C" w:rsidRPr="00EC5E1C">
        <w:rPr>
          <w:i/>
          <w:iCs/>
        </w:rPr>
        <w:t>ELA</w:t>
      </w:r>
      <w:r w:rsidR="00EA2C2C" w:rsidRPr="00EC5E1C">
        <w:t xml:space="preserve"> stiprināt plānošanas un prioritāšu noteikšanas mehānismus, lai nodrošinātu apropriāciju efektīvu izmantošanu un operatīvo darbību savlaicīgu īstenošanu nākotnē;</w:t>
      </w:r>
    </w:p>
    <w:p w14:paraId="4A5A1C01" w14:textId="322DF477" w:rsidR="00EA2C2C" w:rsidRPr="00EC5E1C" w:rsidRDefault="00EC5E1C" w:rsidP="00EA2C2C">
      <w:pPr>
        <w:pStyle w:val="NormalHanging12a"/>
      </w:pPr>
      <w:r w:rsidRPr="00EC5E1C">
        <w:t>58</w:t>
      </w:r>
      <w:r w:rsidR="00EA2C2C" w:rsidRPr="00EC5E1C">
        <w:t>.</w:t>
      </w:r>
      <w:r w:rsidR="00EA2C2C" w:rsidRPr="00EC5E1C">
        <w:tab/>
        <w:t xml:space="preserve">uzsver, ka Revīzijas palāta iekļāva apstākļu akcentējuma punktus, lai pievērstu īpašu uzmanību jautājumiem, kas atspoguļoti pārskatos un ir tik svarīgi, ka tie var būtiski ietekmēt izpratni par pārskatiem vai pakārtotajiem ieņēmumiem vai maksājumiem; turklāt norāda, ka attiecībā uz 2024. finanšu gadu Revīzijas palāta izmantoja apstākļu akcentējuma punktus saistībā šādām aģentūrām, uz kurām attiecas šī rezolūcija: </w:t>
      </w:r>
      <w:proofErr w:type="spellStart"/>
      <w:r w:rsidR="00EA2C2C" w:rsidRPr="00EC5E1C">
        <w:rPr>
          <w:i/>
          <w:iCs/>
        </w:rPr>
        <w:t>CdT</w:t>
      </w:r>
      <w:proofErr w:type="spellEnd"/>
      <w:r w:rsidR="00EA2C2C" w:rsidRPr="00EC5E1C">
        <w:t xml:space="preserve">, </w:t>
      </w:r>
      <w:r w:rsidR="00EA2C2C" w:rsidRPr="00EC5E1C">
        <w:rPr>
          <w:i/>
          <w:iCs/>
        </w:rPr>
        <w:t>CEPOL</w:t>
      </w:r>
      <w:r w:rsidR="00EA2C2C" w:rsidRPr="00EC5E1C">
        <w:t xml:space="preserve">, EBI, </w:t>
      </w:r>
      <w:r w:rsidR="00EA2C2C" w:rsidRPr="00EC5E1C">
        <w:rPr>
          <w:i/>
          <w:iCs/>
        </w:rPr>
        <w:t>EIT</w:t>
      </w:r>
      <w:r w:rsidR="00EA2C2C" w:rsidRPr="00EC5E1C">
        <w:t xml:space="preserve">, </w:t>
      </w:r>
      <w:r w:rsidR="00EA2C2C" w:rsidRPr="00EC5E1C">
        <w:rPr>
          <w:i/>
          <w:iCs/>
        </w:rPr>
        <w:t>EMA</w:t>
      </w:r>
      <w:r w:rsidR="00EA2C2C" w:rsidRPr="00EC5E1C">
        <w:t xml:space="preserve"> un EVTI;</w:t>
      </w:r>
    </w:p>
    <w:p w14:paraId="7DF133FE" w14:textId="280850F9" w:rsidR="00EA2C2C" w:rsidRPr="00EC5E1C" w:rsidRDefault="00EC5E1C" w:rsidP="00EA2C2C">
      <w:pPr>
        <w:pStyle w:val="NormalHanging12a"/>
        <w:rPr>
          <w:bCs/>
          <w:iCs/>
        </w:rPr>
      </w:pPr>
      <w:r w:rsidRPr="00EC5E1C">
        <w:t>59</w:t>
      </w:r>
      <w:r w:rsidR="00EA2C2C" w:rsidRPr="00EC5E1C">
        <w:t>.</w:t>
      </w:r>
      <w:r w:rsidR="00EA2C2C" w:rsidRPr="00EC5E1C">
        <w:tab/>
        <w:t xml:space="preserve">norāda, ka t. s. apsvērumi, kas iekļauti aģentūrām veltītajos gada ziņojumos, faktiski ir Revīzijas palātas ieteikumi bez noteikta termiņa; norāda, ka Revīzijas palāta katru gadu pārbauda šo apsvērumu īstenošanu, novērtējot to statusu kā “atvērts” vai “slēgts”; tomēr uzskata, ka, ņemot vērā ilgstoši atklātos konstatējumus, būtu vajadzīgi savlaicīgi un konkrēti korektīvie pasākumi, kā arī pastiprināta uzraudzība, ko veic attiecīgās valdes, </w:t>
      </w:r>
      <w:r w:rsidR="00EA2C2C" w:rsidRPr="00EC5E1C">
        <w:lastRenderedPageBreak/>
        <w:t>lai novērstu atkārtotas nepilnības;</w:t>
      </w:r>
    </w:p>
    <w:p w14:paraId="29648B1D" w14:textId="62172ED5" w:rsidR="00EA2C2C" w:rsidRPr="00EC5E1C" w:rsidRDefault="00EC5E1C" w:rsidP="00EA2C2C">
      <w:pPr>
        <w:pStyle w:val="NormalHanging12a"/>
      </w:pPr>
      <w:r w:rsidRPr="00EC5E1C">
        <w:t>60</w:t>
      </w:r>
      <w:r w:rsidR="00EA2C2C" w:rsidRPr="00EC5E1C">
        <w:t>.</w:t>
      </w:r>
      <w:r w:rsidR="00EA2C2C" w:rsidRPr="00EC5E1C">
        <w:tab/>
        <w:t xml:space="preserve">norāda, ka no pavisam 109 Revīzijas palātas apsvērumiem, kas iepriekšējos gados izteikti attiecībā uz šajā rezolūcijā iekļautajām aģentūrām, 2024. gadā kopumā tika slēgti 66 apsvērumi, 39 joprojām ir atvērti un divi — daļēji slēgti; konstatē, ka īstenošanā esošo apsvērumu skaits dažādās aģentūrās ir atšķirīgs un dažām no tām nav atklātu apsvērumu, kā tas ir </w:t>
      </w:r>
      <w:r w:rsidR="00EA2C2C" w:rsidRPr="00EC5E1C">
        <w:rPr>
          <w:i/>
          <w:iCs/>
        </w:rPr>
        <w:t>BEREC</w:t>
      </w:r>
      <w:r w:rsidR="00EA2C2C" w:rsidRPr="00EC5E1C">
        <w:t xml:space="preserve"> biroja, </w:t>
      </w:r>
      <w:proofErr w:type="spellStart"/>
      <w:r w:rsidR="00EA2C2C" w:rsidRPr="00EC5E1C">
        <w:rPr>
          <w:i/>
          <w:iCs/>
        </w:rPr>
        <w:t>CdT</w:t>
      </w:r>
      <w:proofErr w:type="spellEnd"/>
      <w:r w:rsidR="00EA2C2C" w:rsidRPr="00EC5E1C">
        <w:rPr>
          <w:i/>
          <w:iCs/>
        </w:rPr>
        <w:t>, CEPOL, EASA,</w:t>
      </w:r>
      <w:r w:rsidR="00EA2C2C" w:rsidRPr="00EC5E1C">
        <w:t xml:space="preserve"> EBI, </w:t>
      </w:r>
      <w:r w:rsidR="00EA2C2C" w:rsidRPr="00EC5E1C">
        <w:rPr>
          <w:i/>
          <w:iCs/>
        </w:rPr>
        <w:t>ECHA, EFSA, EMA, EMSA, ERA, ESA</w:t>
      </w:r>
      <w:r w:rsidR="00EA2C2C" w:rsidRPr="00EC5E1C">
        <w:t xml:space="preserve"> un EVTI gadījumā, un lielākais atvērto apsvērumu skaits 2023. gadā joprojām ir </w:t>
      </w:r>
      <w:r w:rsidR="00EA2C2C" w:rsidRPr="00EC5E1C">
        <w:rPr>
          <w:i/>
          <w:iCs/>
        </w:rPr>
        <w:t>ACER</w:t>
      </w:r>
      <w:r w:rsidR="00EA2C2C" w:rsidRPr="00EC5E1C">
        <w:t xml:space="preserve"> (četri), </w:t>
      </w:r>
      <w:r w:rsidR="00EA2C2C" w:rsidRPr="00EC5E1C">
        <w:rPr>
          <w:i/>
          <w:iCs/>
        </w:rPr>
        <w:t>ELA</w:t>
      </w:r>
      <w:r w:rsidR="00EA2C2C" w:rsidRPr="00EC5E1C">
        <w:t xml:space="preserve"> (pieci), </w:t>
      </w:r>
      <w:proofErr w:type="spellStart"/>
      <w:r w:rsidR="00EA2C2C" w:rsidRPr="00EC5E1C">
        <w:rPr>
          <w:i/>
          <w:iCs/>
        </w:rPr>
        <w:t>eu</w:t>
      </w:r>
      <w:proofErr w:type="spellEnd"/>
      <w:r w:rsidR="00EA2C2C" w:rsidRPr="00EC5E1C">
        <w:rPr>
          <w:i/>
          <w:iCs/>
        </w:rPr>
        <w:t>-LISA</w:t>
      </w:r>
      <w:r w:rsidR="00EA2C2C" w:rsidRPr="00EC5E1C">
        <w:t xml:space="preserve"> (pieci) un </w:t>
      </w:r>
      <w:proofErr w:type="spellStart"/>
      <w:r w:rsidR="00EA2C2C" w:rsidRPr="00EC5E1C">
        <w:rPr>
          <w:i/>
          <w:iCs/>
        </w:rPr>
        <w:t>Frontex</w:t>
      </w:r>
      <w:proofErr w:type="spellEnd"/>
      <w:r w:rsidR="00EA2C2C" w:rsidRPr="00EC5E1C">
        <w:t xml:space="preserve"> (četri) salīdzinājumā ar </w:t>
      </w:r>
      <w:r w:rsidR="00EA2C2C" w:rsidRPr="00EC5E1C">
        <w:rPr>
          <w:i/>
          <w:iCs/>
        </w:rPr>
        <w:t>ACER</w:t>
      </w:r>
      <w:r w:rsidR="00EA2C2C" w:rsidRPr="00EC5E1C">
        <w:t xml:space="preserve"> (trīs), </w:t>
      </w:r>
      <w:r w:rsidR="00EA2C2C" w:rsidRPr="00EC5E1C">
        <w:rPr>
          <w:i/>
          <w:iCs/>
        </w:rPr>
        <w:t>ELA</w:t>
      </w:r>
      <w:r w:rsidR="00EA2C2C" w:rsidRPr="00EC5E1C">
        <w:t xml:space="preserve"> (pieci), </w:t>
      </w:r>
      <w:proofErr w:type="spellStart"/>
      <w:r w:rsidR="00EA2C2C" w:rsidRPr="00EC5E1C">
        <w:rPr>
          <w:i/>
          <w:iCs/>
        </w:rPr>
        <w:t>eu</w:t>
      </w:r>
      <w:proofErr w:type="spellEnd"/>
      <w:r w:rsidR="00EA2C2C" w:rsidRPr="00EC5E1C">
        <w:rPr>
          <w:i/>
          <w:iCs/>
        </w:rPr>
        <w:noBreakHyphen/>
        <w:t>LISA</w:t>
      </w:r>
      <w:r w:rsidR="00EA2C2C" w:rsidRPr="00EC5E1C">
        <w:t xml:space="preserve"> (astoņi) un </w:t>
      </w:r>
      <w:proofErr w:type="spellStart"/>
      <w:r w:rsidR="00EA2C2C" w:rsidRPr="00EC5E1C">
        <w:rPr>
          <w:i/>
          <w:iCs/>
        </w:rPr>
        <w:t>Frontex</w:t>
      </w:r>
      <w:proofErr w:type="spellEnd"/>
      <w:r w:rsidR="00EA2C2C" w:rsidRPr="00EC5E1C">
        <w:t xml:space="preserve"> (septiņi); atzīst uzlabojumus un mudina aģentūras turpināt darbu, lai atrisinātu vēl neatrisinātos jautājumus;</w:t>
      </w:r>
    </w:p>
    <w:p w14:paraId="1139AA7C" w14:textId="2E6C7B12" w:rsidR="00EA2C2C" w:rsidRPr="00EC5E1C" w:rsidRDefault="00EC5E1C" w:rsidP="00EA2C2C">
      <w:pPr>
        <w:pStyle w:val="NormalHanging12a"/>
        <w:rPr>
          <w:u w:val="single"/>
        </w:rPr>
      </w:pPr>
      <w:r w:rsidRPr="00EC5E1C">
        <w:t>61</w:t>
      </w:r>
      <w:r w:rsidR="00EA2C2C" w:rsidRPr="00EC5E1C">
        <w:t>.</w:t>
      </w:r>
      <w:r w:rsidR="00EA2C2C" w:rsidRPr="00EC5E1C">
        <w:tab/>
        <w:t>pieņem zināšanai, ka septiņi no 39 atvērtajiem apsvērumiem (53 apsvērumi 2023. gadā) attiecas uz augstu pārnesumu līmeni (</w:t>
      </w:r>
      <w:r w:rsidR="00EA2C2C" w:rsidRPr="00EC5E1C">
        <w:rPr>
          <w:i/>
          <w:iCs/>
        </w:rPr>
        <w:t>ACER</w:t>
      </w:r>
      <w:r w:rsidR="00EA2C2C" w:rsidRPr="00EC5E1C">
        <w:t xml:space="preserve">, </w:t>
      </w:r>
      <w:r w:rsidR="00EA2C2C" w:rsidRPr="00EC5E1C">
        <w:rPr>
          <w:i/>
          <w:iCs/>
        </w:rPr>
        <w:t>ECDC</w:t>
      </w:r>
      <w:r w:rsidR="00EA2C2C" w:rsidRPr="00EC5E1C">
        <w:t xml:space="preserve">, </w:t>
      </w:r>
      <w:r w:rsidR="00EA2C2C" w:rsidRPr="00EC5E1C">
        <w:rPr>
          <w:i/>
          <w:iCs/>
        </w:rPr>
        <w:t>EFCA</w:t>
      </w:r>
      <w:r w:rsidR="00EA2C2C" w:rsidRPr="00EC5E1C">
        <w:t xml:space="preserve">, </w:t>
      </w:r>
      <w:r w:rsidR="00EA2C2C" w:rsidRPr="00EC5E1C">
        <w:rPr>
          <w:i/>
          <w:iCs/>
        </w:rPr>
        <w:t>EIGE</w:t>
      </w:r>
      <w:r w:rsidR="00EA2C2C" w:rsidRPr="00EC5E1C">
        <w:t xml:space="preserve">, </w:t>
      </w:r>
      <w:proofErr w:type="spellStart"/>
      <w:r w:rsidR="00EA2C2C" w:rsidRPr="00EC5E1C">
        <w:rPr>
          <w:i/>
          <w:iCs/>
        </w:rPr>
        <w:t>Eurofound</w:t>
      </w:r>
      <w:proofErr w:type="spellEnd"/>
      <w:r w:rsidR="00EA2C2C" w:rsidRPr="00EC5E1C">
        <w:t xml:space="preserve">, </w:t>
      </w:r>
      <w:r w:rsidR="00EA2C2C" w:rsidRPr="00EC5E1C">
        <w:rPr>
          <w:i/>
          <w:iCs/>
        </w:rPr>
        <w:t>FRA</w:t>
      </w:r>
      <w:r w:rsidR="00EA2C2C" w:rsidRPr="00EC5E1C">
        <w:t xml:space="preserve"> un </w:t>
      </w:r>
      <w:proofErr w:type="spellStart"/>
      <w:r w:rsidR="00EA2C2C" w:rsidRPr="00EC5E1C">
        <w:rPr>
          <w:i/>
          <w:iCs/>
        </w:rPr>
        <w:t>Frontex</w:t>
      </w:r>
      <w:proofErr w:type="spellEnd"/>
      <w:r w:rsidR="00EA2C2C" w:rsidRPr="00EC5E1C">
        <w:t xml:space="preserve">); atzīst, ka </w:t>
      </w:r>
      <w:r w:rsidR="00EA2C2C" w:rsidRPr="00EC5E1C">
        <w:rPr>
          <w:i/>
          <w:iCs/>
        </w:rPr>
        <w:t>ELA</w:t>
      </w:r>
      <w:r w:rsidR="00EA2C2C" w:rsidRPr="00EC5E1C">
        <w:t xml:space="preserve"> un </w:t>
      </w:r>
      <w:proofErr w:type="spellStart"/>
      <w:r w:rsidR="00EA2C2C" w:rsidRPr="00EC5E1C">
        <w:rPr>
          <w:i/>
          <w:iCs/>
        </w:rPr>
        <w:t>eu</w:t>
      </w:r>
      <w:proofErr w:type="spellEnd"/>
      <w:r w:rsidR="00EA2C2C" w:rsidRPr="00EC5E1C">
        <w:rPr>
          <w:i/>
          <w:iCs/>
        </w:rPr>
        <w:noBreakHyphen/>
        <w:t>LISA</w:t>
      </w:r>
      <w:r w:rsidR="00EA2C2C" w:rsidRPr="00EC5E1C">
        <w:t xml:space="preserve"> ir samazinājušas pārnesumu līmeni līdz 15 %, kas ir Revīzijas palātas pārskatu sniegšanas slieksnis;</w:t>
      </w:r>
    </w:p>
    <w:p w14:paraId="6C4E0D71" w14:textId="77777777" w:rsidR="00EA2C2C" w:rsidRPr="00EC5E1C" w:rsidRDefault="00EA2C2C" w:rsidP="00EA2C2C">
      <w:pPr>
        <w:pStyle w:val="NormalHanging12a"/>
        <w:rPr>
          <w:i/>
          <w:iCs/>
        </w:rPr>
      </w:pPr>
      <w:r w:rsidRPr="00EC5E1C">
        <w:rPr>
          <w:b/>
          <w:i/>
        </w:rPr>
        <w:t>Aģentūras ekonomikas un finanšu jomā</w:t>
      </w:r>
      <w:r w:rsidRPr="00EC5E1C">
        <w:rPr>
          <w:b/>
          <w:bCs/>
          <w:i/>
          <w:iCs/>
          <w:vertAlign w:val="superscript"/>
        </w:rPr>
        <w:footnoteReference w:id="408"/>
      </w:r>
    </w:p>
    <w:p w14:paraId="0966A350" w14:textId="12BA2547" w:rsidR="00EA2C2C" w:rsidRPr="00EC5E1C" w:rsidRDefault="00EC5E1C" w:rsidP="00EA2C2C">
      <w:pPr>
        <w:pStyle w:val="NormalHanging12a"/>
      </w:pPr>
      <w:r w:rsidRPr="00EC5E1C">
        <w:t>62</w:t>
      </w:r>
      <w:r w:rsidR="00EA2C2C" w:rsidRPr="00EC5E1C">
        <w:t>.</w:t>
      </w:r>
      <w:r w:rsidR="00EA2C2C" w:rsidRPr="00EC5E1C">
        <w:tab/>
        <w:t>pieņem zināšanai Revīzijas palātas konstatējumus par EVTI līgumu pārvaldību, jo īpaši sešus incidentus 2024. gadā, kad pakalpojumi tika sniegti pirms līguma parakstīšanas, tādējādi pārkāpjot Finanšu regulas 172. panta 1. punktu; atzīst, ka iepriekšējie maksājumi 30 556 EUR apmērā bija nepareizi, lai gan EVTI uzsver zemo būtiskumu (0,04 % no kopējiem maksājumiem) un norāda, ka šie gadījumi tika atklāti iekšēji; norāda, ka visi maksājumi (30 606 EUR) tika veikti saskaņā ar spēkā esošajiem pamatlīgumiem, tādējādi mazinot juridisko risku;</w:t>
      </w:r>
    </w:p>
    <w:p w14:paraId="4193DFE5" w14:textId="0A34D011" w:rsidR="00EA2C2C" w:rsidRPr="00EC5E1C" w:rsidRDefault="00EC5E1C" w:rsidP="00EA2C2C">
      <w:pPr>
        <w:pStyle w:val="NormalHanging12a"/>
      </w:pPr>
      <w:r w:rsidRPr="00EC5E1C">
        <w:t>63</w:t>
      </w:r>
      <w:r w:rsidR="00EA2C2C" w:rsidRPr="00EC5E1C">
        <w:t>.</w:t>
      </w:r>
      <w:r w:rsidR="00EA2C2C" w:rsidRPr="00EC5E1C">
        <w:tab/>
        <w:t>vērš uzmanību uz Digitālās darbības noturības akta (</w:t>
      </w:r>
      <w:r w:rsidR="00EA2C2C" w:rsidRPr="00EC5E1C">
        <w:rPr>
          <w:i/>
          <w:iCs/>
        </w:rPr>
        <w:t>DORA</w:t>
      </w:r>
      <w:r w:rsidR="00EA2C2C" w:rsidRPr="00EC5E1C">
        <w:t xml:space="preserve">) un </w:t>
      </w:r>
      <w:proofErr w:type="spellStart"/>
      <w:r w:rsidR="00EA2C2C" w:rsidRPr="00EC5E1C">
        <w:t>Kriptoaktīvu</w:t>
      </w:r>
      <w:proofErr w:type="spellEnd"/>
      <w:r w:rsidR="00EA2C2C" w:rsidRPr="00EC5E1C">
        <w:t xml:space="preserve"> tirgu regulas (</w:t>
      </w:r>
      <w:proofErr w:type="spellStart"/>
      <w:r w:rsidR="00EA2C2C" w:rsidRPr="00EC5E1C">
        <w:rPr>
          <w:i/>
          <w:iCs/>
        </w:rPr>
        <w:t>MiCAR</w:t>
      </w:r>
      <w:proofErr w:type="spellEnd"/>
      <w:r w:rsidR="00EA2C2C" w:rsidRPr="00EC5E1C">
        <w:t>) būtisko ietekmi uz Eiropas Banku iestādes (EBI) darbības pilnvarām un uzdevumiem; ar bažām norāda, ka sākotnējie noteikumi pienācīgi nerisināja jautājumu par finansējumu, kas nepieciešams šo uzdevumu veikšanai vai saistīto politikas jomu sagatavošanas un īstenošanas posmiem; pilnībā atbalsta Iestādes viedokli, ka turpmākajos tiesību aktu finanšu pārskatos ir jāparedz un jānodrošina pietiekami resursi šādu sarežģītu pilnvaru savlaicīgai un efektīvai izveidei; mudina nodrošināt pienācīgu finansējumu, lai risinātu šo pilnvaru paplašināšanu;</w:t>
      </w:r>
    </w:p>
    <w:p w14:paraId="610137FF" w14:textId="271EC34A" w:rsidR="00EA2C2C" w:rsidRPr="00EC5E1C" w:rsidRDefault="00EC5E1C" w:rsidP="00EA2C2C">
      <w:pPr>
        <w:pStyle w:val="NormalHanging12a"/>
      </w:pPr>
      <w:r w:rsidRPr="00EC5E1C">
        <w:t>64</w:t>
      </w:r>
      <w:r w:rsidR="00EA2C2C" w:rsidRPr="00EC5E1C">
        <w:t>.</w:t>
      </w:r>
      <w:r w:rsidR="00EA2C2C" w:rsidRPr="00EC5E1C">
        <w:tab/>
        <w:t>norāda, ka EVTI vadītās iepirkuma procedūras, kurā EBI piedalījās kā līgumslēdzēja iestāde, rezultātā 2022. gada decembrī tika piešķirts pamatlīgums ar maksimālo apjomu 40,2 miljoni EUR; norāda, ka 2023. gada janvārī tika iesniegts juridisks pieteikums par procedūras iznākumu, lūdzot atcelt lēmumu par līguma slēgšanas tiesību piešķiršanu un kompensāciju; atzinīgi vērtē to, ka ar Eiropas Savienības Tiesas 2025. gada 29. oktobra spriedumu pilnībā tika noraidītas prasītājas prasības atcelt tiesību aktu un atlīdzināt zaudējumus;</w:t>
      </w:r>
    </w:p>
    <w:p w14:paraId="06CE0962" w14:textId="77777777" w:rsidR="00EA2C2C" w:rsidRPr="00EC5E1C" w:rsidRDefault="00EA2C2C" w:rsidP="00EA2C2C">
      <w:pPr>
        <w:pStyle w:val="NormalHanging12a"/>
        <w:rPr>
          <w:i/>
          <w:iCs/>
        </w:rPr>
      </w:pPr>
      <w:r w:rsidRPr="00EC5E1C">
        <w:rPr>
          <w:i/>
        </w:rPr>
        <w:t>Ieteikumi</w:t>
      </w:r>
    </w:p>
    <w:p w14:paraId="294A9C9D" w14:textId="6236C0AD" w:rsidR="00EA2C2C" w:rsidRPr="00EC5E1C" w:rsidRDefault="00EC5E1C" w:rsidP="00EA2C2C">
      <w:pPr>
        <w:pStyle w:val="NormalHanging12a"/>
      </w:pPr>
      <w:r w:rsidRPr="00EC5E1C">
        <w:t>65</w:t>
      </w:r>
      <w:r w:rsidR="00EA2C2C" w:rsidRPr="00EC5E1C">
        <w:t>.</w:t>
      </w:r>
      <w:r w:rsidR="00EA2C2C" w:rsidRPr="00EC5E1C">
        <w:tab/>
        <w:t>aicina aģentūras, jo īpaši:</w:t>
      </w:r>
    </w:p>
    <w:p w14:paraId="2E670CBA" w14:textId="77777777" w:rsidR="00EA2C2C" w:rsidRPr="00EC5E1C" w:rsidRDefault="00EA2C2C" w:rsidP="00EA2C2C">
      <w:pPr>
        <w:pStyle w:val="NormalHanging12a"/>
        <w:ind w:left="1134"/>
      </w:pPr>
      <w:r w:rsidRPr="00EC5E1C">
        <w:t>–</w:t>
      </w:r>
      <w:r w:rsidRPr="00EC5E1C">
        <w:tab/>
        <w:t xml:space="preserve">EVTI – stiprināt </w:t>
      </w:r>
      <w:proofErr w:type="spellStart"/>
      <w:r w:rsidRPr="00EC5E1C">
        <w:rPr>
          <w:i/>
          <w:iCs/>
        </w:rPr>
        <w:t>ex</w:t>
      </w:r>
      <w:proofErr w:type="spellEnd"/>
      <w:r w:rsidRPr="00EC5E1C">
        <w:rPr>
          <w:i/>
          <w:iCs/>
        </w:rPr>
        <w:t> </w:t>
      </w:r>
      <w:proofErr w:type="spellStart"/>
      <w:r w:rsidRPr="00EC5E1C">
        <w:rPr>
          <w:i/>
          <w:iCs/>
        </w:rPr>
        <w:t>ante</w:t>
      </w:r>
      <w:proofErr w:type="spellEnd"/>
      <w:r w:rsidRPr="00EC5E1C">
        <w:t xml:space="preserve"> kontroles, uzlabot uzraudzības instrumentus un </w:t>
      </w:r>
      <w:r w:rsidRPr="00EC5E1C">
        <w:lastRenderedPageBreak/>
        <w:t>nodrošināt apmācību nolūkā novērst turpmāku atkārtošanos;</w:t>
      </w:r>
    </w:p>
    <w:p w14:paraId="425FFF4E" w14:textId="77777777" w:rsidR="00EA2C2C" w:rsidRPr="00EC5E1C" w:rsidRDefault="00EA2C2C" w:rsidP="00EA2C2C">
      <w:pPr>
        <w:pStyle w:val="NormalHanging12a"/>
        <w:rPr>
          <w:b/>
          <w:bCs/>
          <w:i/>
          <w:iCs/>
        </w:rPr>
      </w:pPr>
      <w:r w:rsidRPr="00EC5E1C">
        <w:rPr>
          <w:b/>
          <w:i/>
        </w:rPr>
        <w:t xml:space="preserve">Aģentūras tieslietu un </w:t>
      </w:r>
      <w:proofErr w:type="spellStart"/>
      <w:r w:rsidRPr="00EC5E1C">
        <w:rPr>
          <w:b/>
          <w:i/>
        </w:rPr>
        <w:t>iekšlietu</w:t>
      </w:r>
      <w:proofErr w:type="spellEnd"/>
      <w:r w:rsidRPr="00EC5E1C">
        <w:rPr>
          <w:b/>
          <w:i/>
        </w:rPr>
        <w:t xml:space="preserve"> jomā</w:t>
      </w:r>
      <w:r w:rsidRPr="00EC5E1C">
        <w:rPr>
          <w:b/>
          <w:bCs/>
          <w:i/>
          <w:iCs/>
          <w:vertAlign w:val="superscript"/>
        </w:rPr>
        <w:footnoteReference w:id="409"/>
      </w:r>
    </w:p>
    <w:p w14:paraId="77D234F7" w14:textId="698AA209" w:rsidR="00EA2C2C" w:rsidRPr="00EC5E1C" w:rsidRDefault="00EC5E1C" w:rsidP="00EA2C2C">
      <w:pPr>
        <w:pStyle w:val="NormalHanging12a"/>
      </w:pPr>
      <w:r w:rsidRPr="00EC5E1C">
        <w:t>66</w:t>
      </w:r>
      <w:r w:rsidR="00EA2C2C" w:rsidRPr="00EC5E1C">
        <w:t>.</w:t>
      </w:r>
      <w:r w:rsidR="00EA2C2C" w:rsidRPr="00EC5E1C">
        <w:tab/>
        <w:t xml:space="preserve">norāda, ka 2024. gada jūnijā </w:t>
      </w:r>
      <w:r w:rsidR="00EA2C2C" w:rsidRPr="00EC5E1C">
        <w:rPr>
          <w:i/>
          <w:iCs/>
        </w:rPr>
        <w:t>CEPOL</w:t>
      </w:r>
      <w:r w:rsidR="00EA2C2C" w:rsidRPr="00EC5E1C">
        <w:t xml:space="preserve"> piedzīvoja ievērojamu kiberuzbrukumu, kas ietekmēja visas darbības jomas, kā rezultātā tika atcelti 10 apmācības pasākumi uz vietas un līdz gada beigām tika apturētas visas tiešsaistes apmācības; turklāt norāda, ka šis notikums ne tikai ievērojami traucēja </w:t>
      </w:r>
      <w:r w:rsidR="00EA2C2C" w:rsidRPr="00EC5E1C">
        <w:rPr>
          <w:i/>
          <w:iCs/>
        </w:rPr>
        <w:t>CEPOL</w:t>
      </w:r>
      <w:r w:rsidR="00EA2C2C" w:rsidRPr="00EC5E1C">
        <w:t xml:space="preserve"> pamatdarbības, bet arī radīja papildu neplānotus izdevumus, ar kuriem bija jāsedz reaģēšana uz incidentu, sistēmas atgūšana un </w:t>
      </w:r>
      <w:proofErr w:type="spellStart"/>
      <w:r w:rsidR="00EA2C2C" w:rsidRPr="00EC5E1C">
        <w:t>kiberdrošības</w:t>
      </w:r>
      <w:proofErr w:type="spellEnd"/>
      <w:r w:rsidR="00EA2C2C" w:rsidRPr="00EC5E1C">
        <w:t xml:space="preserve"> pasākumu pastiprināšana; norāda, ka drošības pārkāpums bija tiešs rezultāts komplicētam kiberuzbrukumam, kas bija vērsts pret </w:t>
      </w:r>
      <w:r w:rsidR="00EA2C2C" w:rsidRPr="00EC5E1C">
        <w:rPr>
          <w:i/>
          <w:iCs/>
        </w:rPr>
        <w:t>CEPOL</w:t>
      </w:r>
      <w:r w:rsidR="00EA2C2C" w:rsidRPr="00EC5E1C">
        <w:t xml:space="preserve"> digitālo infrastruktūru, un ka neatļauti dalībnieki ieguva piekļuvi ievērojamam personas datu apjomam, apdraudot to konfidencialitāti, integritāti un pieejamību; uzsver, ka </w:t>
      </w:r>
      <w:proofErr w:type="spellStart"/>
      <w:r w:rsidR="00EA2C2C" w:rsidRPr="00EC5E1C">
        <w:t>kiberincidenta</w:t>
      </w:r>
      <w:proofErr w:type="spellEnd"/>
      <w:r w:rsidR="00EA2C2C" w:rsidRPr="00EC5E1C">
        <w:t xml:space="preserve"> dēļ aptuveni 99 000 personu bija tieši jāinformē par viņu personas datu pārkāpumiem un ka uzbrukuma rezultātā tika ierosināta </w:t>
      </w:r>
      <w:proofErr w:type="spellStart"/>
      <w:r w:rsidR="00EA2C2C" w:rsidRPr="00EC5E1C">
        <w:t>kriminālizmeklēšana</w:t>
      </w:r>
      <w:proofErr w:type="spellEnd"/>
      <w:r w:rsidR="00EA2C2C" w:rsidRPr="00EC5E1C">
        <w:t xml:space="preserve">, ko atbalstīja </w:t>
      </w:r>
      <w:r w:rsidR="00EA2C2C" w:rsidRPr="00EC5E1C">
        <w:rPr>
          <w:i/>
          <w:iCs/>
        </w:rPr>
        <w:t>CERT-EU</w:t>
      </w:r>
      <w:r w:rsidR="00EA2C2C" w:rsidRPr="00EC5E1C">
        <w:t xml:space="preserve"> un Eiropols; pauž bažas par to, ka, neraugoties uz dažiem netiešiem pierādījumiem, </w:t>
      </w:r>
      <w:proofErr w:type="spellStart"/>
      <w:r w:rsidR="00EA2C2C" w:rsidRPr="00EC5E1C">
        <w:t>apdraudētājs</w:t>
      </w:r>
      <w:proofErr w:type="spellEnd"/>
      <w:r w:rsidR="00EA2C2C" w:rsidRPr="00EC5E1C">
        <w:t xml:space="preserve"> nav ticis pārliecinoši identificēts; vērš uzmanību uz </w:t>
      </w:r>
      <w:r w:rsidR="00EA2C2C" w:rsidRPr="00EC5E1C">
        <w:rPr>
          <w:i/>
          <w:iCs/>
        </w:rPr>
        <w:t>CERT-EU</w:t>
      </w:r>
      <w:r w:rsidR="00EA2C2C" w:rsidRPr="00EC5E1C">
        <w:t xml:space="preserve"> ieteikumiem atjaunot infrastruktūru, kā rezultātā DIGIT ĢD trīs nedēļu laikā, izmantojot jaunu aprīkojumu, īstenotu nulles uzticēšanās pilnībā </w:t>
      </w:r>
      <w:proofErr w:type="spellStart"/>
      <w:r w:rsidR="00EA2C2C" w:rsidRPr="00EC5E1C">
        <w:t>mākoņbalstītu</w:t>
      </w:r>
      <w:proofErr w:type="spellEnd"/>
      <w:r w:rsidR="00EA2C2C" w:rsidRPr="00EC5E1C">
        <w:t xml:space="preserve"> IT vidi; norāda, ka </w:t>
      </w:r>
      <w:r w:rsidR="00EA2C2C" w:rsidRPr="00EC5E1C">
        <w:rPr>
          <w:i/>
          <w:iCs/>
        </w:rPr>
        <w:t>CEPOL</w:t>
      </w:r>
      <w:r w:rsidR="00EA2C2C" w:rsidRPr="00EC5E1C">
        <w:t xml:space="preserve"> </w:t>
      </w:r>
      <w:proofErr w:type="spellStart"/>
      <w:r w:rsidR="00EA2C2C" w:rsidRPr="00EC5E1C">
        <w:t>kiberdrošības</w:t>
      </w:r>
      <w:proofErr w:type="spellEnd"/>
      <w:r w:rsidR="00EA2C2C" w:rsidRPr="00EC5E1C">
        <w:t xml:space="preserve"> plāna ietvaros pašlaik īsteno 42 </w:t>
      </w:r>
      <w:proofErr w:type="spellStart"/>
      <w:r w:rsidR="00EA2C2C" w:rsidRPr="00EC5E1C">
        <w:t>kiberdrošības</w:t>
      </w:r>
      <w:proofErr w:type="spellEnd"/>
      <w:r w:rsidR="00EA2C2C" w:rsidRPr="00EC5E1C">
        <w:t xml:space="preserve"> uzdevumus un projektus; uzsver, ka visiem darbiniekiem ir piedāvātas IKT drošības izpratnes un apmācības sesijas, ko papildina regulāri iekštīkla paziņojumi un atjauninājumi, kas ir daļa no standarta prakses; uzsver, ka </w:t>
      </w:r>
      <w:proofErr w:type="spellStart"/>
      <w:r w:rsidR="00EA2C2C" w:rsidRPr="00EC5E1C">
        <w:t>kiberdrošības</w:t>
      </w:r>
      <w:proofErr w:type="spellEnd"/>
      <w:r w:rsidR="00EA2C2C" w:rsidRPr="00EC5E1C">
        <w:t xml:space="preserve"> kļūmes aģentūrām rada ne tikai darbības, bet arī reputācijas, finanšu un juridiskos riskus; prasa noteikt saistošus minimālos </w:t>
      </w:r>
      <w:proofErr w:type="spellStart"/>
      <w:r w:rsidR="00EA2C2C" w:rsidRPr="00EC5E1C">
        <w:t>kiberdrošības</w:t>
      </w:r>
      <w:proofErr w:type="spellEnd"/>
      <w:r w:rsidR="00EA2C2C" w:rsidRPr="00EC5E1C">
        <w:t xml:space="preserve"> standartus un pienācīgu un stabilu finansējumu, lai nodrošinātu to efektīvu īstenošanu;</w:t>
      </w:r>
    </w:p>
    <w:p w14:paraId="5646DB92" w14:textId="06771069" w:rsidR="00EA2C2C" w:rsidRPr="00EC5E1C" w:rsidRDefault="00EC5E1C" w:rsidP="00EA2C2C">
      <w:pPr>
        <w:pStyle w:val="NormalHanging12a"/>
      </w:pPr>
      <w:r w:rsidRPr="00EC5E1C">
        <w:t>67</w:t>
      </w:r>
      <w:r w:rsidR="00EA2C2C" w:rsidRPr="00EC5E1C">
        <w:t>.</w:t>
      </w:r>
      <w:r w:rsidR="00EA2C2C" w:rsidRPr="00EC5E1C">
        <w:tab/>
        <w:t xml:space="preserve">uzsver, ka gadījumos, kad aģentūras darbojas ārpus Savienības teritorijas vai sadarbojas ar trešo valstu iestādēm, tām joprojām ir pilnībā saistoši Savienības tiesību akti; aicina Komisiju nodrošināt, ka sadarbības nolīgumi, darbības kārtība un datu kopīgošanas sistēmas ietver izpildāmus aizsardzības pasākumus, uzraudzības mehānismus un skaidrus ziņošanas pienākumus budžeta izpildes </w:t>
      </w:r>
      <w:proofErr w:type="spellStart"/>
      <w:r w:rsidR="00EA2C2C" w:rsidRPr="00EC5E1C">
        <w:t>apstiprinātājiestādei</w:t>
      </w:r>
      <w:proofErr w:type="spellEnd"/>
      <w:r w:rsidR="00EA2C2C" w:rsidRPr="00EC5E1C">
        <w:t>;</w:t>
      </w:r>
    </w:p>
    <w:p w14:paraId="776242FB" w14:textId="75844C8A" w:rsidR="00EA2C2C" w:rsidRPr="00EC5E1C" w:rsidRDefault="00EC5E1C" w:rsidP="00EA2C2C">
      <w:pPr>
        <w:pStyle w:val="NormalHanging12a"/>
        <w:rPr>
          <w:i/>
          <w:iCs/>
        </w:rPr>
      </w:pPr>
      <w:r w:rsidRPr="00EC5E1C">
        <w:t>68</w:t>
      </w:r>
      <w:r w:rsidR="00EA2C2C" w:rsidRPr="00EC5E1C">
        <w:t>.</w:t>
      </w:r>
      <w:r w:rsidR="00EA2C2C" w:rsidRPr="00EC5E1C">
        <w:tab/>
        <w:t xml:space="preserve">atgādina, ka Regula (ES, </w:t>
      </w:r>
      <w:r w:rsidR="00EA2C2C" w:rsidRPr="00EC5E1C">
        <w:rPr>
          <w:i/>
          <w:iCs/>
        </w:rPr>
        <w:t>Euratom</w:t>
      </w:r>
      <w:r w:rsidR="00EA2C2C" w:rsidRPr="00EC5E1C">
        <w:t>) 2023/284</w:t>
      </w:r>
      <w:r w:rsidR="00690DAC">
        <w:t>1</w:t>
      </w:r>
      <w:r w:rsidR="00EA2C2C" w:rsidRPr="00EC5E1C">
        <w:rPr>
          <w:rStyle w:val="FootnoteReference"/>
        </w:rPr>
        <w:footnoteReference w:id="410"/>
      </w:r>
      <w:r w:rsidR="00EA2C2C" w:rsidRPr="00EC5E1C">
        <w:t xml:space="preserve"> izveido saistošu un vērienīgu </w:t>
      </w:r>
      <w:proofErr w:type="spellStart"/>
      <w:r w:rsidR="00EA2C2C" w:rsidRPr="00EC5E1C">
        <w:t>kiberdrošības</w:t>
      </w:r>
      <w:proofErr w:type="spellEnd"/>
      <w:r w:rsidR="00EA2C2C" w:rsidRPr="00EC5E1C">
        <w:t xml:space="preserve"> satvaru visām decentralizētajām aģentūrām, aptverot finanšu mehānismu darbības platformas un </w:t>
      </w:r>
      <w:proofErr w:type="spellStart"/>
      <w:r w:rsidR="00EA2C2C" w:rsidRPr="00EC5E1C">
        <w:t>sensitīvus</w:t>
      </w:r>
      <w:proofErr w:type="spellEnd"/>
      <w:r w:rsidR="00EA2C2C" w:rsidRPr="00EC5E1C">
        <w:t xml:space="preserve"> datus, kā arī stingru tehnisko un organizatorisko pasākumu īstenošanu visās IKT vidēs, pakāpenisku pāreju uz nulles uzticēšanās struktūru, pastiprinātu sadarbību ar </w:t>
      </w:r>
      <w:r w:rsidR="00EA2C2C" w:rsidRPr="00EC5E1C">
        <w:rPr>
          <w:i/>
          <w:iCs/>
        </w:rPr>
        <w:t>CERT-EU</w:t>
      </w:r>
      <w:r w:rsidR="00EA2C2C" w:rsidRPr="00EC5E1C">
        <w:t xml:space="preserve">, DIGIT ĢD un citām atbilstīgām institucionālajām struktūrām, kā arī stingrus pienākumus ziņot par incidentiem; norāda, ka vairākas no šīm pamatprasībām joprojām ir problemātiskas, ņemot vērā pašreizējo nevienmērīgo sagatavotības līmeni aģentūrās; uzsver, ka </w:t>
      </w:r>
      <w:proofErr w:type="spellStart"/>
      <w:r w:rsidR="00EA2C2C" w:rsidRPr="00EC5E1C">
        <w:t>kiberdrošības</w:t>
      </w:r>
      <w:proofErr w:type="spellEnd"/>
      <w:r w:rsidR="00EA2C2C" w:rsidRPr="00EC5E1C">
        <w:t xml:space="preserve"> incidents, kas skar </w:t>
      </w:r>
      <w:r w:rsidR="00EA2C2C" w:rsidRPr="00EC5E1C">
        <w:rPr>
          <w:i/>
          <w:iCs/>
        </w:rPr>
        <w:t>CEPOL</w:t>
      </w:r>
      <w:r w:rsidR="00EA2C2C" w:rsidRPr="00EC5E1C">
        <w:t xml:space="preserve">, liecina par ikdienas </w:t>
      </w:r>
      <w:proofErr w:type="spellStart"/>
      <w:r w:rsidR="00EA2C2C" w:rsidRPr="00EC5E1C">
        <w:t>kiberdraudiem</w:t>
      </w:r>
      <w:proofErr w:type="spellEnd"/>
      <w:r w:rsidR="00EA2C2C" w:rsidRPr="00EC5E1C">
        <w:t xml:space="preserve">, kuriem aģentūras ir pakļautas, un to neaizsargātību, rīkojoties ar </w:t>
      </w:r>
      <w:proofErr w:type="spellStart"/>
      <w:r w:rsidR="00EA2C2C" w:rsidRPr="00EC5E1C">
        <w:t>sensitīviem</w:t>
      </w:r>
      <w:proofErr w:type="spellEnd"/>
      <w:r w:rsidR="00EA2C2C" w:rsidRPr="00EC5E1C">
        <w:t xml:space="preserve"> datiem; aicina visās aģentūrās paātrināt Regulas (ES, </w:t>
      </w:r>
      <w:r w:rsidR="00EA2C2C" w:rsidRPr="00EC5E1C">
        <w:rPr>
          <w:i/>
          <w:iCs/>
        </w:rPr>
        <w:t>Euratom</w:t>
      </w:r>
      <w:r w:rsidR="00EA2C2C" w:rsidRPr="00EC5E1C">
        <w:t>) 2023/284</w:t>
      </w:r>
      <w:r w:rsidR="00690DAC">
        <w:t>1</w:t>
      </w:r>
      <w:r w:rsidR="00EA2C2C" w:rsidRPr="00EC5E1C">
        <w:t xml:space="preserve"> </w:t>
      </w:r>
      <w:proofErr w:type="spellStart"/>
      <w:r w:rsidR="00EA2C2C" w:rsidRPr="00EC5E1C">
        <w:t>kiberdrošības</w:t>
      </w:r>
      <w:proofErr w:type="spellEnd"/>
      <w:r w:rsidR="00EA2C2C" w:rsidRPr="00EC5E1C">
        <w:t xml:space="preserve"> noteikumu īstenošanu un regulāri veikt aģentūru IT stresa testus; mudina aģentūras uzlabot draudu uzraudzību reāllaikā, </w:t>
      </w:r>
      <w:r w:rsidR="00EA2C2C" w:rsidRPr="00EC5E1C">
        <w:lastRenderedPageBreak/>
        <w:t xml:space="preserve">reaģēšanas spējas un darbinieku apmācību </w:t>
      </w:r>
      <w:proofErr w:type="spellStart"/>
      <w:r w:rsidR="00EA2C2C" w:rsidRPr="00EC5E1C">
        <w:t>kiberdrošības</w:t>
      </w:r>
      <w:proofErr w:type="spellEnd"/>
      <w:r w:rsidR="00EA2C2C" w:rsidRPr="00EC5E1C">
        <w:t xml:space="preserve"> jomā;</w:t>
      </w:r>
    </w:p>
    <w:p w14:paraId="0FB09A50" w14:textId="15F9B70D" w:rsidR="00EA2C2C" w:rsidRPr="00EC5E1C" w:rsidRDefault="00EC5E1C" w:rsidP="00EA2C2C">
      <w:pPr>
        <w:pStyle w:val="NormalHanging12a"/>
      </w:pPr>
      <w:r w:rsidRPr="00EC5E1C">
        <w:t>69</w:t>
      </w:r>
      <w:r w:rsidR="00EA2C2C" w:rsidRPr="00EC5E1C">
        <w:t>.</w:t>
      </w:r>
      <w:r w:rsidR="00EA2C2C" w:rsidRPr="00EC5E1C">
        <w:tab/>
        <w:t xml:space="preserve">norāda uz vīriešu nepietiekamo pārstāvību </w:t>
      </w:r>
      <w:r w:rsidR="00EA2C2C" w:rsidRPr="00EC5E1C">
        <w:rPr>
          <w:i/>
          <w:iCs/>
        </w:rPr>
        <w:t>EIGE</w:t>
      </w:r>
      <w:r w:rsidR="00EA2C2C" w:rsidRPr="00EC5E1C">
        <w:t xml:space="preserve"> personālā, proti, tikai 29 % un 21 % (8 vīrieši) valdē, mudina </w:t>
      </w:r>
      <w:r w:rsidR="00EA2C2C" w:rsidRPr="00EC5E1C">
        <w:rPr>
          <w:i/>
          <w:iCs/>
        </w:rPr>
        <w:t>EIGE</w:t>
      </w:r>
      <w:r w:rsidR="00EA2C2C" w:rsidRPr="00EC5E1C">
        <w:t xml:space="preserve"> panākt līdzsvarotāku dzimumu pārstāvību turpmāk pieņemot darbā personālu;</w:t>
      </w:r>
    </w:p>
    <w:p w14:paraId="051C9DBF" w14:textId="27F02612" w:rsidR="00EA2C2C" w:rsidRPr="00EC5E1C" w:rsidRDefault="00EC5E1C" w:rsidP="00EA2C2C">
      <w:pPr>
        <w:pStyle w:val="NormalHanging12a"/>
      </w:pPr>
      <w:r w:rsidRPr="00EC5E1C">
        <w:t>70</w:t>
      </w:r>
      <w:r w:rsidR="00EA2C2C" w:rsidRPr="00EC5E1C">
        <w:t>.</w:t>
      </w:r>
      <w:r w:rsidR="00EA2C2C" w:rsidRPr="00EC5E1C">
        <w:tab/>
        <w:t xml:space="preserve">pieņem zināšanai Revīzijas palātas apsvērumus par </w:t>
      </w:r>
      <w:r w:rsidR="00EA2C2C" w:rsidRPr="00EC5E1C">
        <w:rPr>
          <w:i/>
          <w:iCs/>
        </w:rPr>
        <w:t>EIGE</w:t>
      </w:r>
      <w:r w:rsidR="00EA2C2C" w:rsidRPr="00EC5E1C">
        <w:t xml:space="preserve"> pārvaldības un kontroles sistēmām, tostarp:</w:t>
      </w:r>
    </w:p>
    <w:p w14:paraId="35DC6215" w14:textId="77777777" w:rsidR="00EA2C2C" w:rsidRPr="00EC5E1C" w:rsidRDefault="00EA2C2C" w:rsidP="00EA2C2C">
      <w:pPr>
        <w:pStyle w:val="NormalHanging12a"/>
        <w:ind w:left="1134"/>
      </w:pPr>
      <w:r w:rsidRPr="00EC5E1C">
        <w:t>–</w:t>
      </w:r>
      <w:r w:rsidRPr="00EC5E1C">
        <w:tab/>
        <w:t xml:space="preserve">pārkāpumiem iepirkuma procedūrās: norāda, ka 2024. gadā </w:t>
      </w:r>
      <w:r w:rsidRPr="00EC5E1C">
        <w:rPr>
          <w:i/>
          <w:iCs/>
        </w:rPr>
        <w:t>EIGE</w:t>
      </w:r>
      <w:r w:rsidRPr="00EC5E1C">
        <w:t xml:space="preserve"> piemēroja pārmērīgas finansēšanas spējas prasības un ierobežojošus atlases kritērijus iepirkuma procedūrā par uzkopšanas pakalpojumiem, kas saskaņā ar Revīzijas palātas sniegto informāciju varēja atturēt vai pat liegt potenciālajiem pretendentiem piedalīties; pieņem zināšanai </w:t>
      </w:r>
      <w:r w:rsidRPr="00EC5E1C">
        <w:rPr>
          <w:i/>
          <w:iCs/>
        </w:rPr>
        <w:t>EIGE</w:t>
      </w:r>
      <w:r w:rsidRPr="00EC5E1C">
        <w:t xml:space="preserve"> uzsvērto, ka ierobežojošos kritērijus pieprasīja līgumslēdzējas iestādes (Komisija un Parlaments) un neviens potenciālais pretendents nesūdzējās par atlases kritērijiem;</w:t>
      </w:r>
    </w:p>
    <w:p w14:paraId="62AB9439" w14:textId="77777777" w:rsidR="00EA2C2C" w:rsidRPr="00EC5E1C" w:rsidRDefault="00EA2C2C" w:rsidP="00EA2C2C">
      <w:pPr>
        <w:pStyle w:val="NormalHanging12a"/>
        <w:ind w:left="1134"/>
      </w:pPr>
      <w:r w:rsidRPr="00EC5E1C">
        <w:t>–</w:t>
      </w:r>
      <w:r w:rsidRPr="00EC5E1C">
        <w:tab/>
        <w:t xml:space="preserve">neatbilstošu piedāvājumu novērtējumu: norāda, ka divos iepirkumos (220 000 EUR un 193 175 EUR) </w:t>
      </w:r>
      <w:r w:rsidRPr="00EC5E1C">
        <w:rPr>
          <w:i/>
          <w:iCs/>
        </w:rPr>
        <w:t>EIGE</w:t>
      </w:r>
      <w:r w:rsidRPr="00EC5E1C">
        <w:t xml:space="preserve"> novērtēšanas komitejas pienācīgi nenovērtēja pretendentu spēju vadīt ekspertu grupas, jo konkursa specifikācijās </w:t>
      </w:r>
      <w:r w:rsidRPr="00EC5E1C">
        <w:rPr>
          <w:i/>
          <w:iCs/>
        </w:rPr>
        <w:t>EIGE</w:t>
      </w:r>
      <w:r w:rsidRPr="00EC5E1C">
        <w:t xml:space="preserve"> nebija pieprasījis pretendentiem sniegt atbilstošus pierādījumus šajā saistībā, radot sliktas pakalpojumu sniegšanas risku;</w:t>
      </w:r>
    </w:p>
    <w:p w14:paraId="6B622B51" w14:textId="77777777" w:rsidR="00EA2C2C" w:rsidRPr="00EC5E1C" w:rsidRDefault="00EA2C2C" w:rsidP="00EA2C2C">
      <w:pPr>
        <w:pStyle w:val="NormalHanging12a"/>
        <w:ind w:left="1134"/>
      </w:pPr>
      <w:r w:rsidRPr="00EC5E1C">
        <w:t>–</w:t>
      </w:r>
      <w:r w:rsidRPr="00EC5E1C">
        <w:tab/>
        <w:t xml:space="preserve">vāju līgumu pārraudzību: atzīst, ka </w:t>
      </w:r>
      <w:r w:rsidRPr="00EC5E1C">
        <w:rPr>
          <w:i/>
          <w:iCs/>
        </w:rPr>
        <w:t>EIGE</w:t>
      </w:r>
      <w:r w:rsidRPr="00EC5E1C">
        <w:t xml:space="preserve"> apmaksāja rēķinus, kas izpildīti saskaņā ar trim “laika un līdzekļu” līgumiem, nepārbaudot faktiski nostrādātās dienas, pārkāpjot tā finanšu noteikumu 45. panta 5. punktu un pakļaujot to pārmaksāšanas riskam; norāda, ka </w:t>
      </w:r>
      <w:r w:rsidRPr="00EC5E1C">
        <w:rPr>
          <w:i/>
          <w:iCs/>
        </w:rPr>
        <w:t>EIGE</w:t>
      </w:r>
      <w:r w:rsidRPr="00EC5E1C">
        <w:t xml:space="preserve"> attiecīgi pastiprinās </w:t>
      </w:r>
      <w:proofErr w:type="spellStart"/>
      <w:r w:rsidRPr="00EC5E1C">
        <w:t>ex</w:t>
      </w:r>
      <w:proofErr w:type="spellEnd"/>
      <w:r w:rsidRPr="00EC5E1C">
        <w:t> </w:t>
      </w:r>
      <w:proofErr w:type="spellStart"/>
      <w:r w:rsidRPr="00EC5E1C">
        <w:t>ante</w:t>
      </w:r>
      <w:proofErr w:type="spellEnd"/>
      <w:r w:rsidRPr="00EC5E1C">
        <w:t xml:space="preserve"> pārbaudes;</w:t>
      </w:r>
    </w:p>
    <w:p w14:paraId="3024AFBF" w14:textId="42F14ACB" w:rsidR="00EA2C2C" w:rsidRPr="00EC5E1C" w:rsidRDefault="00EC5E1C" w:rsidP="00EA2C2C">
      <w:pPr>
        <w:pStyle w:val="NormalHanging12a"/>
      </w:pPr>
      <w:r w:rsidRPr="00EC5E1C">
        <w:t>71</w:t>
      </w:r>
      <w:r w:rsidR="00EA2C2C" w:rsidRPr="00EC5E1C">
        <w:t>.</w:t>
      </w:r>
      <w:r w:rsidR="00EA2C2C" w:rsidRPr="00EC5E1C">
        <w:tab/>
        <w:t xml:space="preserve">pieņem zināšanai Revīzijas palātas konstatējumus par </w:t>
      </w:r>
      <w:proofErr w:type="spellStart"/>
      <w:r w:rsidR="00EA2C2C" w:rsidRPr="00EC5E1C">
        <w:rPr>
          <w:i/>
          <w:iCs/>
        </w:rPr>
        <w:t>eu</w:t>
      </w:r>
      <w:proofErr w:type="spellEnd"/>
      <w:r w:rsidR="00EA2C2C" w:rsidRPr="00EC5E1C">
        <w:rPr>
          <w:i/>
          <w:iCs/>
        </w:rPr>
        <w:t>-LISA</w:t>
      </w:r>
      <w:r w:rsidR="00EA2C2C" w:rsidRPr="00EC5E1C">
        <w:t>, no kuriem lielākā daļa attiecas uz iepriekšējos gados sāktiem iepirkuma pārkāpumiem, kā rezultātā 2024. gadā tika veikti nepareizi maksājumi, kas ietver:</w:t>
      </w:r>
    </w:p>
    <w:p w14:paraId="0A770CD4" w14:textId="77777777" w:rsidR="00EA2C2C" w:rsidRPr="00EC5E1C" w:rsidRDefault="00EA2C2C" w:rsidP="00EA2C2C">
      <w:pPr>
        <w:pStyle w:val="NormalHanging12a"/>
        <w:ind w:left="1134"/>
      </w:pPr>
      <w:r w:rsidRPr="00EC5E1C">
        <w:t>–</w:t>
      </w:r>
      <w:r w:rsidRPr="00EC5E1C">
        <w:tab/>
        <w:t>pārkāpumus sarunu procedūrā, kas tika sākta 2019. gadā un pabeigta 2020. gadā attiecībā uz telpu īri Strasbūrā, kur telpu platība un darba vietu skaits bija mazāks par konkursa specifikācijās noteiktajām vajadzībām un piedāvājuma kvalitāte tika novērtēta kā ļoti zema, bet netika noraidīta; turklāt norāda, ka piešķiršanas kritēriji pēc tam tika apspriesti arī ar pretendentu, pārkāpjot Finanšu regulas 167. panta 3. punktu un I pielikuma 6.5. punktu; uzsver, ka šī sarunu procedūra un tās iznākumā noslēgtais nomas līgums ir nepareizi, kā arī visi attiecīgie maksājumi, kas 2024. gadā veidoja 850 000 EUR;</w:t>
      </w:r>
    </w:p>
    <w:p w14:paraId="1433DDB6" w14:textId="77777777" w:rsidR="00EA2C2C" w:rsidRPr="00EC5E1C" w:rsidRDefault="00EA2C2C" w:rsidP="00EA2C2C">
      <w:pPr>
        <w:pStyle w:val="NormalHanging12a"/>
        <w:ind w:left="1134"/>
      </w:pPr>
      <w:r w:rsidRPr="00EC5E1C">
        <w:t>–</w:t>
      </w:r>
      <w:r w:rsidRPr="00EC5E1C">
        <w:tab/>
        <w:t>izmaiņas pretendentu finansiālajos piedāvājumos elektrisko un inženiertehnisko darbu iepirkuma procedūras laikā Strasbūrā, kuras ietekmē procedūras iznākumu un kuru rezultātā 2024. gadā tika noslēgts nepareizs līgums un veikti ar to saistīti maksājumi 150 000 EUR apmērā;</w:t>
      </w:r>
    </w:p>
    <w:p w14:paraId="24CD478A" w14:textId="77777777" w:rsidR="00EA2C2C" w:rsidRPr="00EC5E1C" w:rsidRDefault="00EA2C2C" w:rsidP="00EA2C2C">
      <w:pPr>
        <w:pStyle w:val="NormalHanging12a"/>
        <w:ind w:left="1134"/>
      </w:pPr>
      <w:r w:rsidRPr="00EC5E1C">
        <w:t>–</w:t>
      </w:r>
      <w:r w:rsidRPr="00EC5E1C">
        <w:tab/>
        <w:t>izmaiņas finanšu piedāvājumu cenu noteikšanas elementos, kas pārsniedz Finanšu regulas 151. pantā atļautās korekcijas, būtiski ietekmējot piedāvājuma iznākumu un izraisot nepareizus līgumus un saistītus maksājumus par kopējo summu 1,4 miljoni EUR 2024. gadā;</w:t>
      </w:r>
    </w:p>
    <w:p w14:paraId="723E4A5A" w14:textId="77777777" w:rsidR="00EA2C2C" w:rsidRPr="00EC5E1C" w:rsidRDefault="00EA2C2C" w:rsidP="00EA2C2C">
      <w:pPr>
        <w:pStyle w:val="NormalHanging12a"/>
        <w:ind w:left="1134"/>
      </w:pPr>
      <w:r w:rsidRPr="00EC5E1C">
        <w:t>–</w:t>
      </w:r>
      <w:r w:rsidRPr="00EC5E1C">
        <w:tab/>
        <w:t xml:space="preserve">konkursa atsākšanu par uzraudzības un uzturēšanas pakalpojumiem saistībā ar Visa informācijas sistēmu; pauž bažas par to, ka uzvarējušā pretendenta </w:t>
      </w:r>
      <w:r w:rsidRPr="00EC5E1C">
        <w:lastRenderedPageBreak/>
        <w:t xml:space="preserve">piedāvājums (47,8 miljoni EUR) bija piecas reizes zemāks nekā otrā pretendenta piedāvājums (243,4 miljoni EUR) un 50 reizes zemāks nekā augstākais pretendents (2,4 miljardi EUR), kas rada bažas par tā derīgumu; vērš uzmanību uz to, ka </w:t>
      </w:r>
      <w:proofErr w:type="spellStart"/>
      <w:r w:rsidRPr="00EC5E1C">
        <w:rPr>
          <w:i/>
          <w:iCs/>
        </w:rPr>
        <w:t>eu</w:t>
      </w:r>
      <w:proofErr w:type="spellEnd"/>
      <w:r w:rsidRPr="00EC5E1C">
        <w:rPr>
          <w:i/>
          <w:iCs/>
        </w:rPr>
        <w:noBreakHyphen/>
        <w:t>LISA</w:t>
      </w:r>
      <w:r w:rsidRPr="00EC5E1C">
        <w:t xml:space="preserve"> izveidoja darba grupu, lai pārskatītu šo konkursa atsākšanu, kas apstiprināja finanšu amatpersonu novērtējumu, bet ziņoja par darbības un līgumiskajiem riskiem, kuri saistīti ar to, ka aģentūrai lielākā daļa līguma cenas būtu jāmaksā avansā; uzsver, ka Revīzijas palāta šo risku ir atzinusi par būtisku;</w:t>
      </w:r>
    </w:p>
    <w:p w14:paraId="5AB75B00" w14:textId="77777777" w:rsidR="00EA2C2C" w:rsidRPr="00EC5E1C" w:rsidRDefault="00EA2C2C" w:rsidP="00EA2C2C">
      <w:pPr>
        <w:pStyle w:val="NormalHanging12a"/>
        <w:ind w:left="1134"/>
      </w:pPr>
      <w:r w:rsidRPr="00EC5E1C">
        <w:t>–</w:t>
      </w:r>
      <w:r w:rsidRPr="00EC5E1C">
        <w:tab/>
        <w:t xml:space="preserve">atgādina, ka pēc kavēšanās ieceļošanas/izceļošanas sistēmas (IIS) īstenošanā radās strīds, kurā darbuzņēmējs atteicās segt dažu IT produktu papildu uzturēšanas izmaksas, kā rezultātā laikposmā no 2022. gada novembra līdz 2023. gada aprīlim beidzās uzturēšanas segums un </w:t>
      </w:r>
      <w:proofErr w:type="spellStart"/>
      <w:r w:rsidRPr="00EC5E1C">
        <w:rPr>
          <w:i/>
          <w:iCs/>
        </w:rPr>
        <w:t>eu</w:t>
      </w:r>
      <w:proofErr w:type="spellEnd"/>
      <w:r w:rsidRPr="00EC5E1C">
        <w:rPr>
          <w:i/>
          <w:iCs/>
        </w:rPr>
        <w:t>-LISA</w:t>
      </w:r>
      <w:r w:rsidRPr="00EC5E1C">
        <w:t xml:space="preserve"> tika pakļauta darbības riskiem; atgādina, ka, lai novērstu tūlītēju risku darbības nepārtrauktībai, </w:t>
      </w:r>
      <w:proofErr w:type="spellStart"/>
      <w:r w:rsidRPr="00EC5E1C">
        <w:rPr>
          <w:i/>
          <w:iCs/>
        </w:rPr>
        <w:t>eu</w:t>
      </w:r>
      <w:proofErr w:type="spellEnd"/>
      <w:r w:rsidRPr="00EC5E1C">
        <w:rPr>
          <w:i/>
          <w:iCs/>
        </w:rPr>
        <w:t>-LISA</w:t>
      </w:r>
      <w:r w:rsidRPr="00EC5E1C">
        <w:t xml:space="preserve"> 2023. gadā grozīja transversālo darbību pamatlīgumu (</w:t>
      </w:r>
      <w:r w:rsidRPr="00EC5E1C">
        <w:rPr>
          <w:i/>
          <w:iCs/>
        </w:rPr>
        <w:t>TOF</w:t>
      </w:r>
      <w:r w:rsidRPr="00EC5E1C">
        <w:t xml:space="preserve">), lai iekļautu atjaunošanas maksas, sodus, ko piemēro, ja uzturēšana netiek laikus atjaunota, un pēc tam 2023. gadā samaksāja 5,3 miljonus EUR un 2024. gadā 1,3 miljonus EUR par programmatūras uzturēšanas atjaunošanu un saistītajām atjaunošanas izmaksām, kuras saskaņā ar Aģentūras interpretāciju būtu bijis jāsedz IIS darbuzņēmējam; turklāt atgādina, ka, neraugoties uz apstrīdēto summu apmēru un Revīzijas palātas apsvēruma joprojām atvērto statusu, </w:t>
      </w:r>
      <w:proofErr w:type="spellStart"/>
      <w:r w:rsidRPr="00EC5E1C">
        <w:rPr>
          <w:i/>
          <w:iCs/>
        </w:rPr>
        <w:t>eu</w:t>
      </w:r>
      <w:proofErr w:type="spellEnd"/>
      <w:r w:rsidRPr="00EC5E1C">
        <w:rPr>
          <w:i/>
          <w:iCs/>
        </w:rPr>
        <w:t>-LISA</w:t>
      </w:r>
      <w:r w:rsidRPr="00EC5E1C">
        <w:t xml:space="preserve"> līdz 2024. gada beigām nebija sākusi tiesvedību pret IIS darbuzņēmēju;</w:t>
      </w:r>
    </w:p>
    <w:p w14:paraId="472AF607" w14:textId="3DCF27CF" w:rsidR="00EA2C2C" w:rsidRPr="00EC5E1C" w:rsidRDefault="00EC5E1C" w:rsidP="00EA2C2C">
      <w:pPr>
        <w:pStyle w:val="NormalHanging12a"/>
      </w:pPr>
      <w:r w:rsidRPr="00EC5E1C">
        <w:t>72</w:t>
      </w:r>
      <w:r w:rsidR="00EA2C2C" w:rsidRPr="00EC5E1C">
        <w:t>.</w:t>
      </w:r>
      <w:r w:rsidR="00EA2C2C" w:rsidRPr="00EC5E1C">
        <w:tab/>
        <w:t xml:space="preserve">pauž bažas par to, ka pastāvīgie pārkāpumi, kas konstatēti </w:t>
      </w:r>
      <w:proofErr w:type="spellStart"/>
      <w:r w:rsidR="00EA2C2C" w:rsidRPr="00EC5E1C">
        <w:rPr>
          <w:i/>
          <w:iCs/>
        </w:rPr>
        <w:t>eu</w:t>
      </w:r>
      <w:proofErr w:type="spellEnd"/>
      <w:r w:rsidR="00EA2C2C" w:rsidRPr="00EC5E1C">
        <w:rPr>
          <w:i/>
          <w:iCs/>
        </w:rPr>
        <w:noBreakHyphen/>
        <w:t>LISA</w:t>
      </w:r>
      <w:r w:rsidR="00EA2C2C" w:rsidRPr="00EC5E1C">
        <w:t xml:space="preserve"> iepirkuma procesos, liecina par sistēmiskiem trūkumiem aģentūras iepirkuma regulējumā; norāda, ka </w:t>
      </w:r>
      <w:proofErr w:type="spellStart"/>
      <w:r w:rsidR="00EA2C2C" w:rsidRPr="00EC5E1C">
        <w:rPr>
          <w:i/>
          <w:iCs/>
        </w:rPr>
        <w:t>eu</w:t>
      </w:r>
      <w:proofErr w:type="spellEnd"/>
      <w:r w:rsidR="00EA2C2C" w:rsidRPr="00EC5E1C">
        <w:rPr>
          <w:i/>
          <w:iCs/>
        </w:rPr>
        <w:noBreakHyphen/>
        <w:t>LISA</w:t>
      </w:r>
      <w:r w:rsidR="00EA2C2C" w:rsidRPr="00EC5E1C">
        <w:t xml:space="preserve"> ir atzinusi šos jautājumus un centienus stiprināt savu praksi, mudina </w:t>
      </w:r>
      <w:proofErr w:type="spellStart"/>
      <w:r w:rsidR="00EA2C2C" w:rsidRPr="00EC5E1C">
        <w:rPr>
          <w:i/>
          <w:iCs/>
        </w:rPr>
        <w:t>eu</w:t>
      </w:r>
      <w:proofErr w:type="spellEnd"/>
      <w:r w:rsidR="00EA2C2C" w:rsidRPr="00EC5E1C">
        <w:rPr>
          <w:i/>
          <w:iCs/>
        </w:rPr>
        <w:t>-LISA</w:t>
      </w:r>
      <w:r w:rsidR="00EA2C2C" w:rsidRPr="00EC5E1C">
        <w:t xml:space="preserve"> formulēt stratēģiju iepirkuma regulējuma uzlabošanai, ar ko nākamgad jādalās budžeta izpildes apstiprināšanas uzklausīšanās, mudina </w:t>
      </w:r>
      <w:proofErr w:type="spellStart"/>
      <w:r w:rsidR="00EA2C2C" w:rsidRPr="00EC5E1C">
        <w:rPr>
          <w:i/>
          <w:iCs/>
        </w:rPr>
        <w:t>eu</w:t>
      </w:r>
      <w:proofErr w:type="spellEnd"/>
      <w:r w:rsidR="00EA2C2C" w:rsidRPr="00EC5E1C">
        <w:rPr>
          <w:i/>
          <w:iCs/>
        </w:rPr>
        <w:t>-LISA</w:t>
      </w:r>
      <w:r w:rsidR="00EA2C2C" w:rsidRPr="00EC5E1C">
        <w:t xml:space="preserve"> nodrošināt skaidrību un </w:t>
      </w:r>
      <w:proofErr w:type="spellStart"/>
      <w:r w:rsidR="00EA2C2C" w:rsidRPr="00EC5E1C">
        <w:t>pārredzamību</w:t>
      </w:r>
      <w:proofErr w:type="spellEnd"/>
      <w:r w:rsidR="00EA2C2C" w:rsidRPr="00EC5E1C">
        <w:t xml:space="preserve"> attiecībā uz nosacījumiem, saskaņā ar kuriem atkārtotu konkursu var neuzskatīt par piemērotu; mudina </w:t>
      </w:r>
      <w:proofErr w:type="spellStart"/>
      <w:r w:rsidR="00EA2C2C" w:rsidRPr="00EC5E1C">
        <w:rPr>
          <w:i/>
          <w:iCs/>
        </w:rPr>
        <w:t>eu</w:t>
      </w:r>
      <w:proofErr w:type="spellEnd"/>
      <w:r w:rsidR="00EA2C2C" w:rsidRPr="00EC5E1C">
        <w:rPr>
          <w:i/>
          <w:iCs/>
        </w:rPr>
        <w:t>-LISA</w:t>
      </w:r>
      <w:r w:rsidR="00EA2C2C" w:rsidRPr="00EC5E1C">
        <w:t xml:space="preserve">, izstrādājot šo jauno stratēģiju, lūgt ekspertu padomu un apspriesties ar citām aģentūrām par </w:t>
      </w:r>
      <w:proofErr w:type="spellStart"/>
      <w:r w:rsidR="00EA2C2C" w:rsidRPr="00EC5E1C">
        <w:t>paraugpraksi</w:t>
      </w:r>
      <w:proofErr w:type="spellEnd"/>
      <w:r w:rsidR="00EA2C2C" w:rsidRPr="00EC5E1C">
        <w:t>;</w:t>
      </w:r>
    </w:p>
    <w:p w14:paraId="562D3B04" w14:textId="4F3716C7" w:rsidR="00EA2C2C" w:rsidRPr="00EC5E1C" w:rsidRDefault="00EC5E1C" w:rsidP="00EA2C2C">
      <w:pPr>
        <w:pStyle w:val="NormalHanging12a"/>
      </w:pPr>
      <w:r w:rsidRPr="00EC5E1C">
        <w:t>73</w:t>
      </w:r>
      <w:r w:rsidR="00EA2C2C" w:rsidRPr="00EC5E1C">
        <w:t>.</w:t>
      </w:r>
      <w:r w:rsidR="00EA2C2C" w:rsidRPr="00EC5E1C">
        <w:tab/>
        <w:t xml:space="preserve">atzīst, ka </w:t>
      </w:r>
      <w:proofErr w:type="spellStart"/>
      <w:r w:rsidR="00EA2C2C" w:rsidRPr="00EC5E1C">
        <w:rPr>
          <w:i/>
          <w:iCs/>
        </w:rPr>
        <w:t>eu</w:t>
      </w:r>
      <w:proofErr w:type="spellEnd"/>
      <w:r w:rsidR="00EA2C2C" w:rsidRPr="00EC5E1C">
        <w:rPr>
          <w:i/>
          <w:iCs/>
        </w:rPr>
        <w:t>-LISA</w:t>
      </w:r>
      <w:r w:rsidR="00EA2C2C" w:rsidRPr="00EC5E1C">
        <w:t xml:space="preserve"> saskaras ar būtiskām problēmām, un uzsver, ka ir jāpalielina tās darbinieku skaits, lai efektīvi risinātu šīs problēmas un nodrošinātu tās darbības nepārtrauktību, un ka tas būtu attiecīgi jāfinansē;</w:t>
      </w:r>
    </w:p>
    <w:p w14:paraId="203DE571" w14:textId="0F719D53" w:rsidR="00EA2C2C" w:rsidRPr="00EC5E1C" w:rsidRDefault="00EC5E1C" w:rsidP="00EA2C2C">
      <w:pPr>
        <w:pStyle w:val="NormalHanging12a"/>
      </w:pPr>
      <w:r w:rsidRPr="00EC5E1C">
        <w:t>74</w:t>
      </w:r>
      <w:r w:rsidR="00EA2C2C" w:rsidRPr="00EC5E1C">
        <w:t>.</w:t>
      </w:r>
      <w:r w:rsidR="00EA2C2C" w:rsidRPr="00EC5E1C">
        <w:tab/>
        <w:t xml:space="preserve">pieņem zināšanai Revīzijas palātas konstatējumu par to, ka 2020. gadā </w:t>
      </w:r>
      <w:proofErr w:type="spellStart"/>
      <w:r w:rsidR="00EA2C2C" w:rsidRPr="00EC5E1C">
        <w:rPr>
          <w:i/>
          <w:iCs/>
        </w:rPr>
        <w:t>Eurojust</w:t>
      </w:r>
      <w:proofErr w:type="spellEnd"/>
      <w:r w:rsidR="00EA2C2C" w:rsidRPr="00EC5E1C">
        <w:t xml:space="preserve"> noslēdza tādu pamatlīgumu par transportlīdzekļu nomu ar vienu ekonomikas dalībnieku, kas nebija piemērots nepieciešamo pakalpojumu raksturam, atzīst, ka piešķirtais konkrētais līgums, kā arī visi saistītie maksājumi (64 000 EUR 2024. gadā) tādējādi bija nepareizi; pieņem zināšanai </w:t>
      </w:r>
      <w:proofErr w:type="spellStart"/>
      <w:r w:rsidR="00EA2C2C" w:rsidRPr="00EC5E1C">
        <w:rPr>
          <w:i/>
          <w:iCs/>
        </w:rPr>
        <w:t>Eurojust</w:t>
      </w:r>
      <w:proofErr w:type="spellEnd"/>
      <w:r w:rsidR="00EA2C2C" w:rsidRPr="00EC5E1C">
        <w:t xml:space="preserve"> atbildi, ka Revīzijas palātas 2020. gada ziņojumā minētais pamatlīgums zaudēja spēku 2024. gada 10. maijā un kopš 2024. gada 25. novembra ir spēkā jauns pamatlīgums par transportlīdzekļu nomu;</w:t>
      </w:r>
    </w:p>
    <w:p w14:paraId="0197E37E" w14:textId="14AD2224" w:rsidR="00EA2C2C" w:rsidRPr="00EC5E1C" w:rsidRDefault="00EC5E1C" w:rsidP="00EA2C2C">
      <w:pPr>
        <w:pStyle w:val="NormalHanging12a"/>
      </w:pPr>
      <w:r w:rsidRPr="00EC5E1C">
        <w:t>75</w:t>
      </w:r>
      <w:r w:rsidR="00EA2C2C" w:rsidRPr="00EC5E1C">
        <w:t>.</w:t>
      </w:r>
      <w:r w:rsidR="00EA2C2C" w:rsidRPr="00EC5E1C">
        <w:tab/>
        <w:t xml:space="preserve">pauž bažas par Revīzijas palātas konstatējumiem, ka </w:t>
      </w:r>
      <w:proofErr w:type="spellStart"/>
      <w:r w:rsidR="00EA2C2C" w:rsidRPr="00EC5E1C">
        <w:rPr>
          <w:i/>
          <w:iCs/>
        </w:rPr>
        <w:t>Eurojust</w:t>
      </w:r>
      <w:proofErr w:type="spellEnd"/>
      <w:r w:rsidR="00EA2C2C" w:rsidRPr="00EC5E1C">
        <w:t xml:space="preserve"> kopš 2021. gada nav atjauninājis savus darbības nepārtrauktības plānus, neraugoties uz būtiskām izmaiņām, kas ietekmē resursus un personālu galvenajiem procesiem, tostarp </w:t>
      </w:r>
      <w:r w:rsidR="00EA2C2C" w:rsidRPr="00EC5E1C">
        <w:rPr>
          <w:i/>
          <w:iCs/>
        </w:rPr>
        <w:t>SUMMA</w:t>
      </w:r>
      <w:r w:rsidR="00EA2C2C" w:rsidRPr="00EC5E1C">
        <w:t xml:space="preserve"> kā jaunas budžeta, grāmatvedības un finanšu sistēmas ieviešanu; uzsver, ka </w:t>
      </w:r>
      <w:proofErr w:type="spellStart"/>
      <w:r w:rsidR="00EA2C2C" w:rsidRPr="00EC5E1C">
        <w:rPr>
          <w:i/>
          <w:iCs/>
        </w:rPr>
        <w:t>Eurojust</w:t>
      </w:r>
      <w:proofErr w:type="spellEnd"/>
      <w:r w:rsidR="00EA2C2C" w:rsidRPr="00EC5E1C">
        <w:t xml:space="preserve"> neievēroja arī pēdējā darbības nepārtrauktības plānā noteikto testēšanas biežumu, un pašlaik tai nav koordinēta un saskaņota negadījuma seku novēršanas plāna IT sistēmām;</w:t>
      </w:r>
      <w:bookmarkStart w:id="11" w:name="_Hlk219798619"/>
    </w:p>
    <w:p w14:paraId="3AFEF82B" w14:textId="51038044" w:rsidR="00EA2C2C" w:rsidRPr="00EC5E1C" w:rsidRDefault="00EC5E1C" w:rsidP="00EA2C2C">
      <w:pPr>
        <w:pStyle w:val="NormalHanging12a"/>
      </w:pPr>
      <w:r w:rsidRPr="00EC5E1C">
        <w:t>76</w:t>
      </w:r>
      <w:r w:rsidR="00EA2C2C" w:rsidRPr="00EC5E1C">
        <w:t>.</w:t>
      </w:r>
      <w:r w:rsidR="00EA2C2C" w:rsidRPr="00EC5E1C">
        <w:tab/>
        <w:t xml:space="preserve">norāda, ka </w:t>
      </w:r>
      <w:proofErr w:type="spellStart"/>
      <w:r w:rsidR="00EA2C2C" w:rsidRPr="00EC5E1C">
        <w:rPr>
          <w:i/>
          <w:iCs/>
        </w:rPr>
        <w:t>Eurojust</w:t>
      </w:r>
      <w:proofErr w:type="spellEnd"/>
      <w:r w:rsidR="00EA2C2C" w:rsidRPr="00EC5E1C">
        <w:t xml:space="preserve"> pilnvaras nākotnē paplašināsies, tostarp attiecībā uz trešo valsti, un ka aģentūra katru gadu izskata arvien vairāk krimināllietu; atzīst, ka, ņemot vērā šīs </w:t>
      </w:r>
      <w:r w:rsidR="00EA2C2C" w:rsidRPr="00EC5E1C">
        <w:lastRenderedPageBreak/>
        <w:t xml:space="preserve">norises, </w:t>
      </w:r>
      <w:proofErr w:type="spellStart"/>
      <w:r w:rsidR="00EA2C2C" w:rsidRPr="00EC5E1C">
        <w:rPr>
          <w:i/>
          <w:iCs/>
        </w:rPr>
        <w:t>Eurojust</w:t>
      </w:r>
      <w:proofErr w:type="spellEnd"/>
      <w:r w:rsidR="00EA2C2C" w:rsidRPr="00EC5E1C">
        <w:t xml:space="preserve"> ir jāpalielina darbinieku skaits, lai nodrošinātu visaptverošu lietu aptvērumu un nepārtrauktu darbības nepārtrauktību, un ka būtu jādara pieejams atbilstošs finansējums;</w:t>
      </w:r>
      <w:bookmarkEnd w:id="11"/>
    </w:p>
    <w:p w14:paraId="62836795" w14:textId="0B25BB7F" w:rsidR="00EA2C2C" w:rsidRPr="00EC5E1C" w:rsidRDefault="00EC5E1C" w:rsidP="00EA2C2C">
      <w:pPr>
        <w:pStyle w:val="NormalHanging12a"/>
      </w:pPr>
      <w:r w:rsidRPr="00EC5E1C">
        <w:t>77</w:t>
      </w:r>
      <w:r w:rsidR="00EA2C2C" w:rsidRPr="00EC5E1C">
        <w:t>.</w:t>
      </w:r>
      <w:r w:rsidR="00EA2C2C" w:rsidRPr="00EC5E1C">
        <w:tab/>
        <w:t xml:space="preserve">turklāt norāda uz Revīzijas palātas konstatējumu, ka </w:t>
      </w:r>
      <w:proofErr w:type="spellStart"/>
      <w:r w:rsidR="00EA2C2C" w:rsidRPr="00EC5E1C">
        <w:rPr>
          <w:i/>
          <w:iCs/>
        </w:rPr>
        <w:t>Eurojust</w:t>
      </w:r>
      <w:proofErr w:type="spellEnd"/>
      <w:r w:rsidR="00EA2C2C" w:rsidRPr="00EC5E1C">
        <w:t xml:space="preserve"> nepieņēma pienācīgu finansēšanas lēmumu pirms iepirkuma procedūru sākšanas attiecībā uz darbības izdevumiem, tādējādi apdraudot efektīvu plānošanu un uzraudzību un pārkāpjot </w:t>
      </w:r>
      <w:proofErr w:type="spellStart"/>
      <w:r w:rsidR="00EA2C2C" w:rsidRPr="00EC5E1C">
        <w:rPr>
          <w:i/>
          <w:iCs/>
        </w:rPr>
        <w:t>Eurojust</w:t>
      </w:r>
      <w:proofErr w:type="spellEnd"/>
      <w:r w:rsidR="00EA2C2C" w:rsidRPr="00EC5E1C">
        <w:t xml:space="preserve"> finanšu noteikumu 32. panta 1. punktu un 72. panta 3. punkta b) apakšpunktu; atzinīgi vērtē </w:t>
      </w:r>
      <w:proofErr w:type="spellStart"/>
      <w:r w:rsidR="00EA2C2C" w:rsidRPr="00EC5E1C">
        <w:rPr>
          <w:i/>
          <w:iCs/>
        </w:rPr>
        <w:t>Eurojust</w:t>
      </w:r>
      <w:proofErr w:type="spellEnd"/>
      <w:r w:rsidR="00EA2C2C" w:rsidRPr="00EC5E1C">
        <w:t xml:space="preserve"> apņemšanos no 2026. gada savā tīmekļa vietnē publicēt apstiprinātu gada iepirkuma plānu par visām procedūrām, aptverot gan darbības, gan administratīvos izdevumus;</w:t>
      </w:r>
    </w:p>
    <w:p w14:paraId="66299BE3" w14:textId="4196A871" w:rsidR="00EA2C2C" w:rsidRPr="00EC5E1C" w:rsidRDefault="00EC5E1C" w:rsidP="00EA2C2C">
      <w:pPr>
        <w:pStyle w:val="NormalHanging12a"/>
      </w:pPr>
      <w:r w:rsidRPr="00EC5E1C">
        <w:t>78</w:t>
      </w:r>
      <w:r w:rsidR="00EA2C2C" w:rsidRPr="00EC5E1C">
        <w:t>.</w:t>
      </w:r>
      <w:r w:rsidR="00EA2C2C" w:rsidRPr="00EC5E1C">
        <w:tab/>
        <w:t>norāda, ka 2025. gada oktobrī Eiropas Savienības Vispārējā tiesa</w:t>
      </w:r>
      <w:r w:rsidR="00EA2C2C" w:rsidRPr="00EC5E1C">
        <w:rPr>
          <w:vertAlign w:val="superscript"/>
        </w:rPr>
        <w:footnoteReference w:id="411"/>
      </w:r>
      <w:r w:rsidR="00EA2C2C" w:rsidRPr="00EC5E1C">
        <w:t xml:space="preserve"> (“Vispārējā tiesa”) atcēla divus </w:t>
      </w:r>
      <w:proofErr w:type="spellStart"/>
      <w:r w:rsidR="00EA2C2C" w:rsidRPr="00EC5E1C">
        <w:t>Eurojust</w:t>
      </w:r>
      <w:proofErr w:type="spellEnd"/>
      <w:r w:rsidR="00EA2C2C" w:rsidRPr="00EC5E1C">
        <w:t xml:space="preserve"> lēmumus, ar kuriem tika noraidīts pagaidu darbinieka palīdzības pieprasījums saistībā ar desmit kolēģu, tostarp viņa administratīvā direktora, iespējamu psiholoģiski aizskarošu izturēšanos; apzinās, ka Revīzijas palāta ir nolēmusi, ka </w:t>
      </w:r>
      <w:proofErr w:type="spellStart"/>
      <w:r w:rsidR="00EA2C2C" w:rsidRPr="00EC5E1C">
        <w:rPr>
          <w:i/>
          <w:iCs/>
        </w:rPr>
        <w:t>Eurojust</w:t>
      </w:r>
      <w:proofErr w:type="spellEnd"/>
      <w:r w:rsidR="00EA2C2C" w:rsidRPr="00EC5E1C">
        <w:t xml:space="preserve"> ir pārkāpis savu rūpības pienākumu saskaņā ar Civildienesta noteikumu 24. pantu, sadalot šī darbinieka izmeklēšanu divos atsevišķos administratīvos procesos, tādējādi neveicot holistisku, kontekstuālu izmeklēšanu par savstarpēji saistītiem apgalvojumiem par aizskarošu izturēšanos; norāda, ka, lai gan Tiesa atcēla lēmumus, lai ļautu veikt pienācīgu atkārtotu novērtēšanu, tā noraidīja kompensācijas pieprasījumus;</w:t>
      </w:r>
    </w:p>
    <w:p w14:paraId="654E4EB8" w14:textId="6F3F6C50" w:rsidR="00EA2C2C" w:rsidRPr="00EC5E1C" w:rsidRDefault="00EC5E1C" w:rsidP="00EA2C2C">
      <w:pPr>
        <w:pStyle w:val="NormalHanging12a"/>
        <w:rPr>
          <w:bCs/>
        </w:rPr>
      </w:pPr>
      <w:r w:rsidRPr="00EC5E1C">
        <w:t>79</w:t>
      </w:r>
      <w:r w:rsidR="00EA2C2C" w:rsidRPr="00EC5E1C">
        <w:t>.</w:t>
      </w:r>
      <w:r w:rsidR="00EA2C2C" w:rsidRPr="00EC5E1C">
        <w:tab/>
      </w:r>
      <w:r w:rsidR="00F77397" w:rsidRPr="00EC5E1C">
        <w:t>uzsver, ka aģentūrās būtu jāizstrādā iekšējie mehānismi, lai nodrošinātu gan sūdzību pienācīgu iekšējo izskatīšanu, gan incidentu, tostarp psiholoģiskas un seksuālas aizskaršanas gadījumu, novēršanu, jo īpaši, ja ir iesaistītas vairākas puses;</w:t>
      </w:r>
    </w:p>
    <w:p w14:paraId="082EE155" w14:textId="6F2B22C9" w:rsidR="00EA2C2C" w:rsidRPr="00EC5E1C" w:rsidRDefault="00EC5E1C" w:rsidP="00EA2C2C">
      <w:pPr>
        <w:pStyle w:val="NormalHanging12a"/>
      </w:pPr>
      <w:r w:rsidRPr="00EC5E1C">
        <w:t>80</w:t>
      </w:r>
      <w:r w:rsidR="00EA2C2C" w:rsidRPr="00EC5E1C">
        <w:t>.</w:t>
      </w:r>
      <w:r w:rsidR="00EA2C2C" w:rsidRPr="00EC5E1C">
        <w:tab/>
        <w:t>pieņem zināšanai Revīzijas palātas konstatējumu, ka Eiropols nepareizi atmaksāja pievienotās vērtības nodokli (PVN) no darbības dotācijām, kas izmaksātas valstu policijas spēkiem, kuri darbojas kā valsts iestādes, pārkāpjot Finanšu regulas 186. panta 4. punkta c) apakšpunktu, kas neļauj atmaksāt PVN publiskām struktūrām, kuras darbojas šajā statusā; pieņem zināšanai Eiropola paskaidrojumu, ka tas tajā laikā ievēroja Komisijas norādījumus, kas ļāva PVN uzskatīt par attaisnotajām izmaksām darbības dotāciju ietvaros, un atzinīgi vērtē lēmumu izslēgt PVN no visiem jaunajiem dotāciju nolīgumiem, kas ierosināti līdz 2024. gada beigām;</w:t>
      </w:r>
    </w:p>
    <w:p w14:paraId="0987305B" w14:textId="64E25E3F" w:rsidR="00EA2C2C" w:rsidRPr="00EC5E1C" w:rsidRDefault="00EC5E1C" w:rsidP="00EA2C2C">
      <w:pPr>
        <w:pStyle w:val="NormalHanging12a"/>
      </w:pPr>
      <w:r w:rsidRPr="00EC5E1C">
        <w:t>81</w:t>
      </w:r>
      <w:r w:rsidR="00EA2C2C" w:rsidRPr="00EC5E1C">
        <w:t>.</w:t>
      </w:r>
      <w:r w:rsidR="00EA2C2C" w:rsidRPr="00EC5E1C">
        <w:tab/>
        <w:t>atzinīgi vērtē to, ka Eiropola operatīvo darba grupu (</w:t>
      </w:r>
      <w:r w:rsidR="00EA2C2C" w:rsidRPr="00EC5E1C">
        <w:rPr>
          <w:i/>
          <w:iCs/>
        </w:rPr>
        <w:t>OTF</w:t>
      </w:r>
      <w:r w:rsidR="00EA2C2C" w:rsidRPr="00EC5E1C">
        <w:t xml:space="preserve">) un kopējo izmeklēšanas grupu (KIG) mehānismiem bija būtiska nozīme šifrētās komunikācijas platformas </w:t>
      </w:r>
      <w:proofErr w:type="spellStart"/>
      <w:r w:rsidR="00EA2C2C" w:rsidRPr="00EC5E1C">
        <w:rPr>
          <w:i/>
          <w:iCs/>
        </w:rPr>
        <w:t>Matrix</w:t>
      </w:r>
      <w:proofErr w:type="spellEnd"/>
      <w:r w:rsidR="00EA2C2C" w:rsidRPr="00EC5E1C">
        <w:t xml:space="preserve"> likvidēšanā, apliecinot to papildinošo, bet atšķirīgo lomu cīņā pret transnacionālo organizēto noziedzību; norāda, ka operācija </w:t>
      </w:r>
      <w:r w:rsidR="00EA2C2C" w:rsidRPr="00EC5E1C">
        <w:rPr>
          <w:i/>
          <w:iCs/>
        </w:rPr>
        <w:t>OTF</w:t>
      </w:r>
      <w:r w:rsidR="00EA2C2C" w:rsidRPr="00EC5E1C">
        <w:t xml:space="preserve"> ietvaros sākās 2024. gada jūnijā starp Nīderlandi, Franciju, Lietuvu, Itāliju un Spāniju, atvieglojot </w:t>
      </w:r>
      <w:proofErr w:type="spellStart"/>
      <w:r w:rsidR="00EA2C2C" w:rsidRPr="00EC5E1C">
        <w:t>izlūkdatu</w:t>
      </w:r>
      <w:proofErr w:type="spellEnd"/>
      <w:r w:rsidR="00EA2C2C" w:rsidRPr="00EC5E1C">
        <w:t xml:space="preserve"> apmaiņu un noziedzīgu darbību uzraudzību; uzsver, ka pāreja uz KIG </w:t>
      </w:r>
      <w:proofErr w:type="spellStart"/>
      <w:r w:rsidR="00EA2C2C" w:rsidRPr="00EC5E1C">
        <w:rPr>
          <w:i/>
          <w:iCs/>
        </w:rPr>
        <w:t>Eurojust</w:t>
      </w:r>
      <w:proofErr w:type="spellEnd"/>
      <w:r w:rsidR="00EA2C2C" w:rsidRPr="00EC5E1C">
        <w:t xml:space="preserve"> paspārnē nodrošināja oficiālu izmeklēšanas koordināciju, kā rezultātā tika veikti aresti, konfiskācijas un atšifrēti 2,3 miljoni ziņojumu 33 valodās; konstatē, ka Vācijas iestādes sniedza tehnisko atbalstu, savukārt Spānijas, Francijas un Nīderlandes policija sadarbojās visā izmeklēšanas laikā; uzskata, ka šajā lietā ir uzsvērta pārrobežu sadarbības efektivitāte nelikumīgu tīklu sagraušanā un vajadzība pēc pastāvīgiem ieguldījumiem tiesībaizsardzības spējās, lai vērstos pret mainīgo noziedzīgo taktiku;</w:t>
      </w:r>
    </w:p>
    <w:p w14:paraId="2256C88F" w14:textId="5B468003" w:rsidR="00EA2C2C" w:rsidRPr="00EC5E1C" w:rsidRDefault="00EC5E1C" w:rsidP="00EA2C2C">
      <w:pPr>
        <w:pStyle w:val="NormalHanging12a"/>
      </w:pPr>
      <w:r w:rsidRPr="00EC5E1C">
        <w:t>82</w:t>
      </w:r>
      <w:r w:rsidR="00EA2C2C" w:rsidRPr="00EC5E1C">
        <w:t>.</w:t>
      </w:r>
      <w:r w:rsidR="00EA2C2C" w:rsidRPr="00EC5E1C">
        <w:tab/>
        <w:t>norāda, ka 2025. gada maijā Eiropas Savienības Patvēruma aģentūras (</w:t>
      </w:r>
      <w:r w:rsidR="00EA2C2C" w:rsidRPr="00EC5E1C">
        <w:rPr>
          <w:i/>
          <w:iCs/>
        </w:rPr>
        <w:t>EUAA</w:t>
      </w:r>
      <w:r w:rsidR="00EA2C2C" w:rsidRPr="00EC5E1C">
        <w:t xml:space="preserve">) budžeta </w:t>
      </w:r>
      <w:r w:rsidR="00EA2C2C" w:rsidRPr="00EC5E1C">
        <w:lastRenderedPageBreak/>
        <w:t xml:space="preserve">izpildes apstiprināšana tika atlikta </w:t>
      </w:r>
      <w:r w:rsidR="00EA2C2C" w:rsidRPr="00EC5E1C">
        <w:rPr>
          <w:i/>
          <w:iCs/>
        </w:rPr>
        <w:t>OLAF</w:t>
      </w:r>
      <w:r w:rsidR="00EA2C2C" w:rsidRPr="00EC5E1C">
        <w:t xml:space="preserve"> konstatējumu par pārvaldību un stabilitāti dēļ; norāda, ka </w:t>
      </w:r>
      <w:r w:rsidR="00EA2C2C" w:rsidRPr="00EC5E1C">
        <w:rPr>
          <w:i/>
          <w:iCs/>
        </w:rPr>
        <w:t>OLAF</w:t>
      </w:r>
      <w:r w:rsidR="00EA2C2C" w:rsidRPr="00EC5E1C">
        <w:t xml:space="preserve"> konfidenciālā izmeklēšanā tika konstatēts, ka </w:t>
      </w:r>
      <w:r w:rsidR="00EA2C2C" w:rsidRPr="00EC5E1C">
        <w:rPr>
          <w:i/>
          <w:iCs/>
        </w:rPr>
        <w:t>EUAA</w:t>
      </w:r>
      <w:r w:rsidR="00EA2C2C" w:rsidRPr="00EC5E1C">
        <w:t xml:space="preserve"> aģentūras augstākā vadība ir pārkāpusi Civildienesta noteikumus un ka </w:t>
      </w:r>
      <w:r w:rsidR="00EA2C2C" w:rsidRPr="00EC5E1C">
        <w:rPr>
          <w:i/>
          <w:iCs/>
        </w:rPr>
        <w:t>OLAF</w:t>
      </w:r>
      <w:r w:rsidR="00EA2C2C" w:rsidRPr="00EC5E1C">
        <w:t xml:space="preserve"> izmeklētāji ir konstatējuši, ka šāda darbā pieņemšanas prakse ir pretrunā Savienības Civildienesta noteikumiem;</w:t>
      </w:r>
    </w:p>
    <w:p w14:paraId="7658E3F2" w14:textId="3AA9C6DC" w:rsidR="00EA2C2C" w:rsidRPr="00EC5E1C" w:rsidRDefault="00EC5E1C" w:rsidP="00EA2C2C">
      <w:pPr>
        <w:pStyle w:val="NormalHanging12a"/>
      </w:pPr>
      <w:r w:rsidRPr="00EC5E1C">
        <w:t>83</w:t>
      </w:r>
      <w:r w:rsidR="00EA2C2C" w:rsidRPr="00EC5E1C">
        <w:t>.</w:t>
      </w:r>
      <w:r w:rsidR="00EA2C2C" w:rsidRPr="00EC5E1C">
        <w:tab/>
        <w:t xml:space="preserve">pieņem zināšanai </w:t>
      </w:r>
      <w:r w:rsidR="00EA2C2C" w:rsidRPr="00EC5E1C">
        <w:rPr>
          <w:i/>
          <w:iCs/>
        </w:rPr>
        <w:t>EUAA</w:t>
      </w:r>
      <w:r w:rsidR="00EA2C2C" w:rsidRPr="00EC5E1C">
        <w:t xml:space="preserve"> 2025. gada 31. oktobra ziņojumu par stāvokli saistībā ar korektīvo pasākumu īstenošanu, par ko </w:t>
      </w:r>
      <w:r w:rsidR="002E3114" w:rsidRPr="00EC5E1C">
        <w:t xml:space="preserve">izpilddirektore </w:t>
      </w:r>
      <w:r w:rsidR="00EA2C2C" w:rsidRPr="00EC5E1C">
        <w:t xml:space="preserve">un valde vienojās pēc Parlamenta rezolūcijas; norāda, ka valde ņem vērā Parlamenta apsvērumus saskaņā ar savām procedūrām un 2025. gada novembra sanāksmē pārskatīs progresu attiecībā uz atlikušajiem pasākumiem; mudina aģentūru pilnībā noskaidrot visus neatrisinātos jautājumus, ticamā un pārredzamā veidā īstenot </w:t>
      </w:r>
      <w:r w:rsidR="00EA2C2C" w:rsidRPr="00EC5E1C">
        <w:rPr>
          <w:i/>
          <w:iCs/>
        </w:rPr>
        <w:t>OLAF</w:t>
      </w:r>
      <w:r w:rsidR="00EA2C2C" w:rsidRPr="00EC5E1C">
        <w:t xml:space="preserve"> ieteikumus un izveidot stabilus iekšējās kontroles, ētiskās uzraudzības un </w:t>
      </w:r>
      <w:proofErr w:type="spellStart"/>
      <w:r w:rsidR="00EA2C2C" w:rsidRPr="00EC5E1C">
        <w:t>pārskatatbildības</w:t>
      </w:r>
      <w:proofErr w:type="spellEnd"/>
      <w:r w:rsidR="00EA2C2C" w:rsidRPr="00EC5E1C">
        <w:t xml:space="preserve"> mehānismus; aicina aģentūru bez nepamatotas kavēšanās informēt budžeta izpildes </w:t>
      </w:r>
      <w:proofErr w:type="spellStart"/>
      <w:r w:rsidR="00EA2C2C" w:rsidRPr="00EC5E1C">
        <w:t>apstiprinātājiestādi</w:t>
      </w:r>
      <w:proofErr w:type="spellEnd"/>
      <w:r w:rsidR="00EA2C2C" w:rsidRPr="00EC5E1C">
        <w:t xml:space="preserve"> par veiktajiem korektīvajiem pasākumiem; uzsver, ka </w:t>
      </w:r>
      <w:r w:rsidR="00EA2C2C" w:rsidRPr="00EC5E1C">
        <w:rPr>
          <w:i/>
          <w:iCs/>
        </w:rPr>
        <w:t>OLAF</w:t>
      </w:r>
      <w:r w:rsidR="00EA2C2C" w:rsidRPr="00EC5E1C">
        <w:t xml:space="preserve"> izmeklēšanu pabeigšana pati par sevi nenozīmē pārvaldības nepilnību novēršanu; atkārtoti norāda, ka budžeta izpildes </w:t>
      </w:r>
      <w:proofErr w:type="spellStart"/>
      <w:r w:rsidR="00EA2C2C" w:rsidRPr="00EC5E1C">
        <w:t>apstiprinātājiestāde</w:t>
      </w:r>
      <w:proofErr w:type="spellEnd"/>
      <w:r w:rsidR="00EA2C2C" w:rsidRPr="00EC5E1C">
        <w:t xml:space="preserve"> saglabā pilnīgas uzraudzības tiesības, līdz tiek pilnībā novērstas un pārbaudītas strukturālās nepilnības pārvaldībā, </w:t>
      </w:r>
      <w:proofErr w:type="spellStart"/>
      <w:r w:rsidR="00EA2C2C" w:rsidRPr="00EC5E1C">
        <w:t>pārredzamībā</w:t>
      </w:r>
      <w:proofErr w:type="spellEnd"/>
      <w:r w:rsidR="00EA2C2C" w:rsidRPr="00EC5E1C">
        <w:t xml:space="preserve"> un interešu konfliktu risināšanā;</w:t>
      </w:r>
    </w:p>
    <w:p w14:paraId="4B2DBE7D" w14:textId="1E3EC29C" w:rsidR="00EA2C2C" w:rsidRPr="00EC5E1C" w:rsidRDefault="00EC5E1C" w:rsidP="00EA2C2C">
      <w:pPr>
        <w:pStyle w:val="NormalHanging12a"/>
      </w:pPr>
      <w:r w:rsidRPr="00EC5E1C">
        <w:t>84</w:t>
      </w:r>
      <w:r w:rsidR="00EA2C2C" w:rsidRPr="00EC5E1C">
        <w:t>.</w:t>
      </w:r>
      <w:r w:rsidR="00EA2C2C" w:rsidRPr="00EC5E1C">
        <w:tab/>
        <w:t xml:space="preserve">norāda, ka, lai gan 2024. gadā tika veikti uzlabojumi, lai stiprinātu Aģentūras ētikas satvaru, darbinieku informētību un iekšējās interešu konflikta novēršanas procedūras, taču vēl nav atrisināts strukturālais interešu konflikts, ko </w:t>
      </w:r>
      <w:r w:rsidR="00EA2C2C" w:rsidRPr="00EC5E1C">
        <w:rPr>
          <w:i/>
          <w:iCs/>
        </w:rPr>
        <w:t>OLAF</w:t>
      </w:r>
      <w:r w:rsidR="00EA2C2C" w:rsidRPr="00EC5E1C">
        <w:t xml:space="preserve"> konstatēja attiecībā uz sūdzībām par izpilddirektoru, jo par šādu lietu sagatavošanu atbildīgā juridiskā nodaļa turpina darboties izpilddirektora tiešā uzraudzībā, apdraudot sūdzību izskatīšanas procesa neatkarību; norāda, ka lielākā daļa korektīvo pasākumu ir ieplānoti 2025. un 2026. gadā, tostarp organizatoriskas izmaiņas, optimizācijas programma, darbinieku un vadītāju apmācība, pārvaldības dokumentu uzlabojumi, labāka </w:t>
      </w:r>
      <w:proofErr w:type="spellStart"/>
      <w:r w:rsidR="00EA2C2C" w:rsidRPr="00EC5E1C">
        <w:t>pārredzamība</w:t>
      </w:r>
      <w:proofErr w:type="spellEnd"/>
      <w:r w:rsidR="00EA2C2C" w:rsidRPr="00EC5E1C">
        <w:t xml:space="preserve"> ziņošanā par pārkāpumiem, iekšējo norādījumu par pieprasījumiem un sūdzībām pārskatīšana saskaņā ar Civildienesta noteikumu 90. pantu, ciešāka sadarbība ar HR ĢD sūdzību izskatīšanā un palīdzības pieprasījumu procedūru pārskatīšana saskaņā ar Civildienesta noteikumu 24. pantu;</w:t>
      </w:r>
    </w:p>
    <w:p w14:paraId="34F199C0" w14:textId="68BCA898" w:rsidR="00EA2C2C" w:rsidRPr="00EC5E1C" w:rsidRDefault="00EC5E1C" w:rsidP="00EA2C2C">
      <w:pPr>
        <w:pStyle w:val="NormalHanging12a"/>
      </w:pPr>
      <w:r w:rsidRPr="00EC5E1C">
        <w:t>85</w:t>
      </w:r>
      <w:r w:rsidR="00EA2C2C" w:rsidRPr="00EC5E1C">
        <w:t>.</w:t>
      </w:r>
      <w:r w:rsidR="00EA2C2C" w:rsidRPr="00EC5E1C">
        <w:tab/>
        <w:t xml:space="preserve">turklāt uzsver, ka ir jāsaglabā modrība attiecībā uz </w:t>
      </w:r>
      <w:r w:rsidR="00EA2C2C" w:rsidRPr="00EC5E1C">
        <w:rPr>
          <w:i/>
          <w:iCs/>
        </w:rPr>
        <w:t>EUAA</w:t>
      </w:r>
      <w:r w:rsidR="00EA2C2C" w:rsidRPr="00EC5E1C">
        <w:t xml:space="preserve"> kadru mainības rādītājiem un darbinieku apmierinātību, stingri jānovērš jebkurš </w:t>
      </w:r>
      <w:proofErr w:type="spellStart"/>
      <w:r w:rsidR="00EA2C2C" w:rsidRPr="00EC5E1C">
        <w:t>nepotisms</w:t>
      </w:r>
      <w:proofErr w:type="spellEnd"/>
      <w:r w:rsidR="00EA2C2C" w:rsidRPr="00EC5E1C">
        <w:t xml:space="preserve"> vai favorītisms un jānodrošina pilnīga </w:t>
      </w:r>
      <w:proofErr w:type="spellStart"/>
      <w:r w:rsidR="00EA2C2C" w:rsidRPr="00EC5E1C">
        <w:t>pārredzamība</w:t>
      </w:r>
      <w:proofErr w:type="spellEnd"/>
      <w:r w:rsidR="00EA2C2C" w:rsidRPr="00EC5E1C">
        <w:t xml:space="preserve"> un uz nopelniem balstītas procedūras darbā pieņemšanas un karjeras izaugsmes jomā;</w:t>
      </w:r>
    </w:p>
    <w:p w14:paraId="33A43A82" w14:textId="289CCBD4" w:rsidR="00EA2C2C" w:rsidRPr="00EC5E1C" w:rsidRDefault="00EC5E1C" w:rsidP="00EA2C2C">
      <w:pPr>
        <w:pStyle w:val="NormalHanging12a"/>
      </w:pPr>
      <w:r w:rsidRPr="00EC5E1C">
        <w:t>86</w:t>
      </w:r>
      <w:r w:rsidR="00EA2C2C" w:rsidRPr="00EC5E1C">
        <w:t>.</w:t>
      </w:r>
      <w:r w:rsidR="00EA2C2C" w:rsidRPr="00EC5E1C">
        <w:tab/>
        <w:t>patur tiesības izvirzīt nosacījumus turpmākiem lēmumiem par budžeta izpildes apstiprināšanu vai atlikt to pieņemšanu, ja aģentūras pēc nopietniem konstatējumiem nespēj īstenot pilnīgas un pārbaudāmas strukturālās reformas;</w:t>
      </w:r>
    </w:p>
    <w:p w14:paraId="3E656C50" w14:textId="77777777" w:rsidR="00EA2C2C" w:rsidRPr="00EC5E1C" w:rsidRDefault="00EA2C2C" w:rsidP="00EA2C2C">
      <w:pPr>
        <w:pStyle w:val="NormalHanging12a"/>
        <w:rPr>
          <w:i/>
          <w:iCs/>
        </w:rPr>
      </w:pPr>
      <w:r w:rsidRPr="00EC5E1C">
        <w:rPr>
          <w:i/>
        </w:rPr>
        <w:t>Ieteikumi</w:t>
      </w:r>
    </w:p>
    <w:p w14:paraId="53F8FFCB" w14:textId="22443A1E" w:rsidR="00EA2C2C" w:rsidRPr="00EC5E1C" w:rsidRDefault="00EC5E1C" w:rsidP="00EA2C2C">
      <w:pPr>
        <w:pStyle w:val="NormalHanging12a"/>
      </w:pPr>
      <w:r w:rsidRPr="00EC5E1C">
        <w:t>87</w:t>
      </w:r>
      <w:r w:rsidR="00EA2C2C" w:rsidRPr="00EC5E1C">
        <w:t>.</w:t>
      </w:r>
      <w:r w:rsidR="00EA2C2C" w:rsidRPr="00EC5E1C">
        <w:tab/>
        <w:t>aicina ES aģentūras rīkoties saskaņā ar Revīzijas palātas konstatējumiem, jo īpaši:</w:t>
      </w:r>
    </w:p>
    <w:p w14:paraId="1279FA92" w14:textId="77777777" w:rsidR="00EA2C2C" w:rsidRPr="00EC5E1C" w:rsidRDefault="00EA2C2C" w:rsidP="00EA2C2C">
      <w:pPr>
        <w:pStyle w:val="NormalHanging12a"/>
        <w:ind w:left="1134"/>
      </w:pPr>
      <w:r w:rsidRPr="00EC5E1C">
        <w:t>i)</w:t>
      </w:r>
      <w:r w:rsidRPr="00EC5E1C">
        <w:tab/>
      </w:r>
      <w:r w:rsidRPr="00EC5E1C">
        <w:rPr>
          <w:i/>
          <w:iCs/>
        </w:rPr>
        <w:t>EIGE</w:t>
      </w:r>
      <w:r w:rsidRPr="00EC5E1C">
        <w:t xml:space="preserve"> uzlabot iepirkuma praksi, pārskatot pārāk ierobežojošus konkursa kritērijus, stiprinot vērtēšanas procesus, lai novērtētu pretendentu komandas vadības spējas, un īstenojot stingru “laika un līdzekļu” līgumu pārbaudi, lai novērstu pārmaksu;</w:t>
      </w:r>
    </w:p>
    <w:p w14:paraId="6C8E7520" w14:textId="77777777" w:rsidR="00EA2C2C" w:rsidRPr="00EC5E1C" w:rsidRDefault="00EA2C2C" w:rsidP="00EA2C2C">
      <w:pPr>
        <w:pStyle w:val="NormalHanging12a"/>
        <w:ind w:left="1134"/>
      </w:pPr>
      <w:r w:rsidRPr="00EC5E1C">
        <w:t>ii)</w:t>
      </w:r>
      <w:r w:rsidRPr="00EC5E1C">
        <w:tab/>
      </w:r>
      <w:proofErr w:type="spellStart"/>
      <w:r w:rsidRPr="00EC5E1C">
        <w:rPr>
          <w:i/>
          <w:iCs/>
        </w:rPr>
        <w:t>eu</w:t>
      </w:r>
      <w:proofErr w:type="spellEnd"/>
      <w:r w:rsidRPr="00EC5E1C">
        <w:rPr>
          <w:i/>
          <w:iCs/>
        </w:rPr>
        <w:t>-LISA</w:t>
      </w:r>
      <w:r w:rsidRPr="00EC5E1C">
        <w:t xml:space="preserve"> — novērst sistēmiskas iepirkuma nepilnības, tostarp neatbilstīgus nomas līgumus un nepareizas finanšu piedāvājuma izmaiņas, vienlaikus uzlabojot </w:t>
      </w:r>
      <w:proofErr w:type="spellStart"/>
      <w:r w:rsidRPr="00EC5E1C">
        <w:lastRenderedPageBreak/>
        <w:t>pārredzamību</w:t>
      </w:r>
      <w:proofErr w:type="spellEnd"/>
      <w:r w:rsidRPr="00EC5E1C">
        <w:t xml:space="preserve"> un riska mazināšanu piedāvājumu izvērtēšanā; aicina </w:t>
      </w:r>
      <w:proofErr w:type="spellStart"/>
      <w:r w:rsidRPr="00EC5E1C">
        <w:rPr>
          <w:i/>
          <w:iCs/>
        </w:rPr>
        <w:t>eu</w:t>
      </w:r>
      <w:proofErr w:type="spellEnd"/>
      <w:r w:rsidRPr="00EC5E1C">
        <w:rPr>
          <w:i/>
          <w:iCs/>
        </w:rPr>
        <w:t>-LISA</w:t>
      </w:r>
      <w:r w:rsidRPr="00EC5E1C">
        <w:t xml:space="preserve"> sniegt detalizētu informāciju par strīdu, kas radies ieceļošanas/izceļošanas sistēmas (IIS) īstenošanas kavēšanās dēļ, jo īpaši par iekšējo novērtējumu, kura rezultātā Aģentūra saskaņā ar transversālo darbību pamatlīgumu 2023.</w:t>
      </w:r>
      <w:r w:rsidRPr="00EC5E1C">
        <w:noBreakHyphen/>
        <w:t xml:space="preserve">2024. gadā uzņēmās atjaunošanas un uzturēšanas atjaunošanas izmaksas 6,6 miljonu EUR apmērā, neraugoties uz to, ka šīs izmaksas ir līgumiski attiecināmas uz IIS līgumslēdzēju; prasa precizēt iemeslus, kāpēc līdz 2024. gada beigām netika sākta tiesvedība, un to, vai tika izpētītas alternatīvas strīdu izšķiršanas vai atgūšanas darbības; iesaka </w:t>
      </w:r>
      <w:proofErr w:type="spellStart"/>
      <w:r w:rsidRPr="00EC5E1C">
        <w:rPr>
          <w:i/>
          <w:iCs/>
        </w:rPr>
        <w:t>eu</w:t>
      </w:r>
      <w:proofErr w:type="spellEnd"/>
      <w:r w:rsidRPr="00EC5E1C">
        <w:rPr>
          <w:i/>
          <w:iCs/>
        </w:rPr>
        <w:t>-LISA</w:t>
      </w:r>
      <w:r w:rsidRPr="00EC5E1C">
        <w:t xml:space="preserve"> stiprināt savus līgumu izpildes un strīdu izšķiršanas mehānismus, noteikt skaidras eskalācijas procedūras un nodrošināt, ka līdzīgi strīdi tiek ātri un pārredzami risināti, lai aizsargātu Aģentūras finanšu intereses un darbības nepārtrauktību; mudina </w:t>
      </w:r>
      <w:proofErr w:type="spellStart"/>
      <w:r w:rsidRPr="00EC5E1C">
        <w:rPr>
          <w:i/>
          <w:iCs/>
        </w:rPr>
        <w:t>eu</w:t>
      </w:r>
      <w:proofErr w:type="spellEnd"/>
      <w:r w:rsidRPr="00EC5E1C">
        <w:rPr>
          <w:i/>
          <w:iCs/>
        </w:rPr>
        <w:t>-LISA</w:t>
      </w:r>
      <w:r w:rsidRPr="00EC5E1C">
        <w:t xml:space="preserve"> sniegt atzinumu par nosacījumiem, saskaņā ar kuriem atkārtotu konkursu var neuzskatīt par piemērotu un kurās situācijās ir saprātīgi saglabāt to(-s) pašu(-s) pakalpojumu sniedzēju(-s), lai nodrošinātu darbības nepārtrauktību;</w:t>
      </w:r>
    </w:p>
    <w:p w14:paraId="30302E68" w14:textId="77777777" w:rsidR="00EA2C2C" w:rsidRPr="00EC5E1C" w:rsidRDefault="00EA2C2C" w:rsidP="00EA2C2C">
      <w:pPr>
        <w:pStyle w:val="NormalHanging12a"/>
        <w:ind w:left="1134"/>
      </w:pPr>
      <w:r w:rsidRPr="00EC5E1C">
        <w:t>iii)</w:t>
      </w:r>
      <w:r w:rsidRPr="00EC5E1C">
        <w:tab/>
      </w:r>
      <w:proofErr w:type="spellStart"/>
      <w:r w:rsidRPr="00EC5E1C">
        <w:rPr>
          <w:i/>
          <w:iCs/>
        </w:rPr>
        <w:t>Eurojust</w:t>
      </w:r>
      <w:proofErr w:type="spellEnd"/>
      <w:r w:rsidRPr="00EC5E1C">
        <w:t xml:space="preserve"> sešu mēnešu laikā steidzami atjaunināt darbības nepārtrauktības plānus, lai atspoguļotu pašreizējās darbības, tostarp </w:t>
      </w:r>
      <w:r w:rsidRPr="00EC5E1C">
        <w:rPr>
          <w:i/>
          <w:iCs/>
        </w:rPr>
        <w:t>SUMMA</w:t>
      </w:r>
      <w:r w:rsidRPr="00EC5E1C">
        <w:t xml:space="preserve"> īstenošanu, veikt regulāru katastrofu seku novēršanas testēšanu un pieņemt pienācīgus finansēšanas lēmumus pirms iepirkuma procedūrām; prasa </w:t>
      </w:r>
      <w:proofErr w:type="spellStart"/>
      <w:r w:rsidRPr="00EC5E1C">
        <w:rPr>
          <w:i/>
          <w:iCs/>
        </w:rPr>
        <w:t>Eurojust</w:t>
      </w:r>
      <w:proofErr w:type="spellEnd"/>
      <w:r w:rsidRPr="00EC5E1C">
        <w:t xml:space="preserve"> ziņojumā par turpmākajiem pasākumiem saistībā ar budžeta izpildes apstiprināšanu izklāstīt savus jaunos darbības nepārtrauktības plānus</w:t>
      </w:r>
      <w:bookmarkStart w:id="12" w:name="_Hlk219798582"/>
      <w:r w:rsidRPr="00EC5E1C">
        <w:t>;</w:t>
      </w:r>
      <w:bookmarkEnd w:id="12"/>
    </w:p>
    <w:p w14:paraId="43712745" w14:textId="2E7649EC" w:rsidR="00EA2C2C" w:rsidRPr="00EC5E1C" w:rsidRDefault="00EC5E1C" w:rsidP="00EA2C2C">
      <w:pPr>
        <w:pStyle w:val="NormalHanging12a"/>
      </w:pPr>
      <w:r w:rsidRPr="00EC5E1C">
        <w:t>88</w:t>
      </w:r>
      <w:r w:rsidR="00EA2C2C" w:rsidRPr="00EC5E1C">
        <w:t>.</w:t>
      </w:r>
      <w:r w:rsidR="00EA2C2C" w:rsidRPr="00EC5E1C">
        <w:tab/>
        <w:t>turklāt aicina šādas ES aģentūras:</w:t>
      </w:r>
    </w:p>
    <w:p w14:paraId="66FC5396" w14:textId="77777777" w:rsidR="00EA2C2C" w:rsidRPr="00EC5E1C" w:rsidRDefault="00EA2C2C" w:rsidP="00EA2C2C">
      <w:pPr>
        <w:pStyle w:val="NormalHanging12a"/>
        <w:ind w:left="1134"/>
      </w:pPr>
      <w:r w:rsidRPr="00EC5E1C">
        <w:t>i)</w:t>
      </w:r>
      <w:r w:rsidRPr="00EC5E1C">
        <w:tab/>
      </w:r>
      <w:r w:rsidRPr="00EC5E1C">
        <w:rPr>
          <w:i/>
          <w:iCs/>
        </w:rPr>
        <w:t>CEPOL</w:t>
      </w:r>
      <w:r w:rsidRPr="00EC5E1C">
        <w:t xml:space="preserve"> un visas ES aģentūras steidzami stiprināt savu iekšējo </w:t>
      </w:r>
      <w:proofErr w:type="spellStart"/>
      <w:r w:rsidRPr="00EC5E1C">
        <w:t>kiberdrošības</w:t>
      </w:r>
      <w:proofErr w:type="spellEnd"/>
      <w:r w:rsidRPr="00EC5E1C">
        <w:t xml:space="preserve"> pārvaldību, piešķirt pienācīgus un stabilus resursus, uzlabot atklāšanas un reaģēšanas spējas un veikt konkrētus pasākumus virzībā uz nulles uzticēšanās arhitektūru, lai samazinātu neaizsargātību un nodrošinātu noturību pret arvien sarežģītākiem </w:t>
      </w:r>
      <w:proofErr w:type="spellStart"/>
      <w:r w:rsidRPr="00EC5E1C">
        <w:t>kiberdraudiem</w:t>
      </w:r>
      <w:proofErr w:type="spellEnd"/>
      <w:r w:rsidRPr="00EC5E1C">
        <w:t>;</w:t>
      </w:r>
    </w:p>
    <w:p w14:paraId="791F934E" w14:textId="77777777" w:rsidR="00EA2C2C" w:rsidRPr="00EC5E1C" w:rsidRDefault="00EA2C2C" w:rsidP="00EA2C2C">
      <w:pPr>
        <w:pStyle w:val="NormalHanging12a"/>
        <w:ind w:left="1134"/>
      </w:pPr>
      <w:r w:rsidRPr="00EC5E1C">
        <w:t>ii)</w:t>
      </w:r>
      <w:r w:rsidRPr="00EC5E1C">
        <w:tab/>
        <w:t xml:space="preserve">Eiropolu turpmākajos finansēšanas ciklos saglabāt modrību, nodrošinot atbilstību </w:t>
      </w:r>
      <w:proofErr w:type="spellStart"/>
      <w:r w:rsidRPr="00EC5E1C">
        <w:t>attiecināmības</w:t>
      </w:r>
      <w:proofErr w:type="spellEnd"/>
      <w:r w:rsidRPr="00EC5E1C">
        <w:t xml:space="preserve"> noteikumiem, pēc tam, kad tas ātri veiks koriģējošus pasākumus saistībā ar PVN atmaksu; mudina Komisiju izdot skaidrus norādījumus par Finanšu regulas 186. panta 4. punkta c) apakšpunkta īstenošanu, ņemot vērā to, ka iepriekšējos gados jautājumi par PVN </w:t>
      </w:r>
      <w:proofErr w:type="spellStart"/>
      <w:r w:rsidRPr="00EC5E1C">
        <w:t>attiecināmību</w:t>
      </w:r>
      <w:proofErr w:type="spellEnd"/>
      <w:r w:rsidRPr="00EC5E1C">
        <w:t xml:space="preserve"> ir radušies arī citos gadījumos, atspoguļojot dažas neskaidrības;</w:t>
      </w:r>
    </w:p>
    <w:p w14:paraId="4B63142B" w14:textId="77777777" w:rsidR="00EA2C2C" w:rsidRPr="00EC5E1C" w:rsidRDefault="00EA2C2C" w:rsidP="00EA2C2C">
      <w:pPr>
        <w:pStyle w:val="NormalHanging12a"/>
        <w:ind w:left="1134"/>
      </w:pPr>
      <w:r w:rsidRPr="00EC5E1C">
        <w:t>iii)</w:t>
      </w:r>
      <w:r w:rsidRPr="00EC5E1C">
        <w:tab/>
      </w:r>
      <w:r w:rsidRPr="00EC5E1C">
        <w:rPr>
          <w:i/>
          <w:iCs/>
        </w:rPr>
        <w:t>EUAA</w:t>
      </w:r>
      <w:r w:rsidRPr="00EC5E1C">
        <w:t xml:space="preserve"> nodrošināt atskaites punktu, jo īpaši 2026. gadam ieplānoto atskaites punktu, kuri ir reformu centienu pamatā, stingru uzraudzību un ziņot budžeta izpildes </w:t>
      </w:r>
      <w:proofErr w:type="spellStart"/>
      <w:r w:rsidRPr="00EC5E1C">
        <w:t>apstiprinātājiestādei</w:t>
      </w:r>
      <w:proofErr w:type="spellEnd"/>
      <w:r w:rsidRPr="00EC5E1C">
        <w:t xml:space="preserve"> par korektīvo pasākumu īstenošanu;</w:t>
      </w:r>
    </w:p>
    <w:p w14:paraId="330980C6" w14:textId="77777777" w:rsidR="00EA2C2C" w:rsidRPr="00EC5E1C" w:rsidRDefault="00EA2C2C" w:rsidP="00EA2C2C">
      <w:pPr>
        <w:pStyle w:val="NormalHanging12a"/>
        <w:ind w:left="1134"/>
      </w:pPr>
      <w:r w:rsidRPr="00EC5E1C">
        <w:t>iv)</w:t>
      </w:r>
      <w:r w:rsidRPr="00EC5E1C">
        <w:tab/>
        <w:t xml:space="preserve">ES aģentūrām un jo īpaši </w:t>
      </w:r>
      <w:proofErr w:type="spellStart"/>
      <w:r w:rsidRPr="00EC5E1C">
        <w:rPr>
          <w:i/>
          <w:iCs/>
        </w:rPr>
        <w:t>Eurojust</w:t>
      </w:r>
      <w:proofErr w:type="spellEnd"/>
      <w:r w:rsidRPr="00EC5E1C">
        <w:t xml:space="preserve"> izstrādāt skaidras pamatnostādnes sarežģītu aizskarošas izturēšanās gadījumu izskatīšanai un nodrošināt Civildienesta noteikumu 24. panta konsekventu piemērošanu;</w:t>
      </w:r>
    </w:p>
    <w:p w14:paraId="0E9E0CE4" w14:textId="77777777" w:rsidR="00EA2C2C" w:rsidRPr="00EC5E1C" w:rsidRDefault="00EA2C2C" w:rsidP="00EA2C2C">
      <w:pPr>
        <w:pStyle w:val="NormalHanging12a"/>
        <w:ind w:left="1134"/>
      </w:pPr>
      <w:r w:rsidRPr="00EC5E1C">
        <w:t>v)</w:t>
      </w:r>
      <w:r w:rsidRPr="00EC5E1C">
        <w:tab/>
      </w:r>
      <w:r w:rsidRPr="00EC5E1C">
        <w:rPr>
          <w:i/>
          <w:iCs/>
        </w:rPr>
        <w:t>EUAA</w:t>
      </w:r>
      <w:r w:rsidRPr="00EC5E1C">
        <w:t xml:space="preserve"> īstenot efektīvu sūdzību izskatīšanas mehānismu, nodrošinot pilnīgu objektivitāti un atjaunojot uzticēšanos tās pārvaldībai;</w:t>
      </w:r>
    </w:p>
    <w:p w14:paraId="60613BF3" w14:textId="77777777" w:rsidR="00EA2C2C" w:rsidRPr="00EC5E1C" w:rsidRDefault="00EA2C2C" w:rsidP="00EA2C2C">
      <w:pPr>
        <w:pStyle w:val="NormalHanging12a"/>
        <w:ind w:left="1134"/>
      </w:pPr>
      <w:r w:rsidRPr="00EC5E1C">
        <w:t>vi)</w:t>
      </w:r>
      <w:r w:rsidRPr="00EC5E1C">
        <w:tab/>
      </w:r>
      <w:proofErr w:type="spellStart"/>
      <w:r w:rsidRPr="00EC5E1C">
        <w:rPr>
          <w:i/>
          <w:iCs/>
        </w:rPr>
        <w:t>Frontex</w:t>
      </w:r>
      <w:proofErr w:type="spellEnd"/>
      <w:r w:rsidRPr="00EC5E1C">
        <w:t xml:space="preserve"> stiprināt budžeta plānošanu un izpildi, lai nodrošinātu atbilstību gada pārskata principam; uzsver, ka aģentūras pilnvaru mēroga un sarežģītības dēļ ir vajadzīgi stingri iekšējie mehānismi, un aicina aģentūru pastiprināt iepirkuma un </w:t>
      </w:r>
      <w:r w:rsidRPr="00EC5E1C">
        <w:lastRenderedPageBreak/>
        <w:t xml:space="preserve">līgumu pārvaldības procedūru uzraudzību; mudina </w:t>
      </w:r>
      <w:proofErr w:type="spellStart"/>
      <w:r w:rsidRPr="00EC5E1C">
        <w:rPr>
          <w:i/>
          <w:iCs/>
        </w:rPr>
        <w:t>Frontex</w:t>
      </w:r>
      <w:proofErr w:type="spellEnd"/>
      <w:r w:rsidRPr="00EC5E1C">
        <w:t xml:space="preserve"> pastiprināt revīzijas konstatējumu pēcpārbaudes procedūras un ziņot budžeta izpildes </w:t>
      </w:r>
      <w:proofErr w:type="spellStart"/>
      <w:r w:rsidRPr="00EC5E1C">
        <w:t>apstiprinātājiestādei</w:t>
      </w:r>
      <w:proofErr w:type="spellEnd"/>
      <w:r w:rsidRPr="00EC5E1C">
        <w:t xml:space="preserve"> par izmērāmu progresu;</w:t>
      </w:r>
    </w:p>
    <w:p w14:paraId="0D45D12B" w14:textId="77777777" w:rsidR="00EA2C2C" w:rsidRPr="00EC5E1C" w:rsidRDefault="00EA2C2C" w:rsidP="00EA2C2C">
      <w:pPr>
        <w:pStyle w:val="NormalHanging12a"/>
        <w:ind w:left="1134"/>
      </w:pPr>
      <w:r w:rsidRPr="00EC5E1C">
        <w:t>vii)</w:t>
      </w:r>
      <w:r w:rsidRPr="00EC5E1C">
        <w:tab/>
      </w:r>
      <w:proofErr w:type="spellStart"/>
      <w:r w:rsidRPr="00EC5E1C">
        <w:rPr>
          <w:i/>
          <w:iCs/>
        </w:rPr>
        <w:t>Eurojust</w:t>
      </w:r>
      <w:proofErr w:type="spellEnd"/>
      <w:r w:rsidRPr="00EC5E1C">
        <w:t xml:space="preserve"> dalīties ar Komisiju turpmākajās budžeta plānošanas vajadzībās attiecībā uz pilnvaru turpmāku paplašināšanu un mudina nodrošināt pienācīgu finansējumu un personālu, lai risinātu šo pilnvaru paplašināšanu;</w:t>
      </w:r>
    </w:p>
    <w:p w14:paraId="4A7603B6" w14:textId="77777777" w:rsidR="00EA2C2C" w:rsidRPr="00EC5E1C" w:rsidRDefault="00EA2C2C" w:rsidP="00EA2C2C">
      <w:pPr>
        <w:pStyle w:val="NormalHanging12a"/>
        <w:rPr>
          <w:b/>
          <w:bCs/>
          <w:i/>
          <w:iCs/>
        </w:rPr>
      </w:pPr>
      <w:r w:rsidRPr="00EC5E1C">
        <w:rPr>
          <w:b/>
          <w:i/>
        </w:rPr>
        <w:t>Aģentūras nodarbinātības, izglītības un sociālajā jomā</w:t>
      </w:r>
      <w:r w:rsidRPr="00EC5E1C">
        <w:rPr>
          <w:b/>
          <w:bCs/>
          <w:i/>
          <w:iCs/>
          <w:vertAlign w:val="superscript"/>
        </w:rPr>
        <w:footnoteReference w:id="412"/>
      </w:r>
    </w:p>
    <w:p w14:paraId="2C793396" w14:textId="0AFE9EFB" w:rsidR="00EA2C2C" w:rsidRPr="00EC5E1C" w:rsidRDefault="00EC5E1C" w:rsidP="00EA2C2C">
      <w:pPr>
        <w:pStyle w:val="NormalHanging12a"/>
      </w:pPr>
      <w:r w:rsidRPr="00EC5E1C">
        <w:t>89</w:t>
      </w:r>
      <w:r w:rsidR="00EA2C2C" w:rsidRPr="00EC5E1C">
        <w:t>.</w:t>
      </w:r>
      <w:r w:rsidR="00EA2C2C" w:rsidRPr="00EC5E1C">
        <w:tab/>
        <w:t xml:space="preserve">uzsver, ka </w:t>
      </w:r>
      <w:r w:rsidR="00EA2C2C" w:rsidRPr="00EC5E1C">
        <w:rPr>
          <w:i/>
          <w:iCs/>
        </w:rPr>
        <w:t>ELA</w:t>
      </w:r>
      <w:r w:rsidR="00EA2C2C" w:rsidRPr="00EC5E1C">
        <w:t xml:space="preserve"> ir nepareizi klasificējusi budžeta grozījumu kā ārējos piešķirtos ieņēmumus, pārkāpjot Finanšu noteikumu 6., 12., 20., 21. un 34. pantu; pieņem zināšanai </w:t>
      </w:r>
      <w:r w:rsidR="00EA2C2C" w:rsidRPr="00EC5E1C">
        <w:rPr>
          <w:i/>
          <w:iCs/>
        </w:rPr>
        <w:t>ELA</w:t>
      </w:r>
      <w:r w:rsidR="00EA2C2C" w:rsidRPr="00EC5E1C">
        <w:t xml:space="preserve"> atbildi, kurā paskaidrots, ka līdzekļi tika saņemti novēloti, un šā iemesla dēļ </w:t>
      </w:r>
      <w:r w:rsidR="00EA2C2C" w:rsidRPr="00EC5E1C">
        <w:rPr>
          <w:i/>
          <w:iCs/>
        </w:rPr>
        <w:t>ELA</w:t>
      </w:r>
      <w:r w:rsidR="00EA2C2C" w:rsidRPr="00EC5E1C">
        <w:t xml:space="preserve"> uz laiku pārdalīja savu budžetu, lai izvairītos no maksājumu kavējumiem, un pēc tam reģistrēja Savienības līdzekļus kā ārējos ieņēmumus, lai nodrošinātu, ka tie tiek izmantoti tikai algām;</w:t>
      </w:r>
    </w:p>
    <w:p w14:paraId="40BCCC7F" w14:textId="6525B828" w:rsidR="00EA2C2C" w:rsidRPr="00EC5E1C" w:rsidRDefault="00EC5E1C" w:rsidP="00EA2C2C">
      <w:pPr>
        <w:pStyle w:val="NormalHanging12a"/>
        <w:rPr>
          <w:bCs/>
        </w:rPr>
      </w:pPr>
      <w:r w:rsidRPr="00EC5E1C">
        <w:t>90</w:t>
      </w:r>
      <w:r w:rsidR="00EA2C2C" w:rsidRPr="00EC5E1C">
        <w:t>.</w:t>
      </w:r>
      <w:r w:rsidR="00EA2C2C" w:rsidRPr="00EC5E1C">
        <w:tab/>
        <w:t xml:space="preserve">pieņem zināšanai </w:t>
      </w:r>
      <w:r w:rsidR="00EA2C2C" w:rsidRPr="00EC5E1C">
        <w:rPr>
          <w:i/>
          <w:iCs/>
        </w:rPr>
        <w:t>ELA</w:t>
      </w:r>
      <w:r w:rsidR="00EA2C2C" w:rsidRPr="00EC5E1C">
        <w:t xml:space="preserve"> novērtējuma secinājumus</w:t>
      </w:r>
      <w:r w:rsidR="00EA2C2C" w:rsidRPr="00EC5E1C">
        <w:rPr>
          <w:bCs/>
          <w:vertAlign w:val="superscript"/>
        </w:rPr>
        <w:footnoteReference w:id="413"/>
      </w:r>
      <w:r w:rsidR="00EA2C2C" w:rsidRPr="00EC5E1C">
        <w:t xml:space="preserve">, kuros uzsvērts, ka Iestādei ir jāuzlabo sava uzraudzības sistēma, pamatojoties uz </w:t>
      </w:r>
      <w:r w:rsidR="00EA2C2C" w:rsidRPr="00EC5E1C">
        <w:rPr>
          <w:i/>
          <w:iCs/>
        </w:rPr>
        <w:t>SMART</w:t>
      </w:r>
      <w:r w:rsidR="00EA2C2C" w:rsidRPr="00EC5E1C">
        <w:t xml:space="preserve"> mērķiem un galvenajiem snieguma rādītājiem; ar bažām norāda, ka šis trūkums kavēja </w:t>
      </w:r>
      <w:r w:rsidR="00EA2C2C" w:rsidRPr="00EC5E1C">
        <w:rPr>
          <w:i/>
          <w:iCs/>
        </w:rPr>
        <w:t>ELA</w:t>
      </w:r>
      <w:r w:rsidR="00EA2C2C" w:rsidRPr="00EC5E1C">
        <w:t xml:space="preserve"> darbību izmaksu lietderības novērtēšanu un apdraudēja snieguma uzraudzības kvalitāti; atzīst, ka </w:t>
      </w:r>
      <w:r w:rsidR="00EA2C2C" w:rsidRPr="00EC5E1C">
        <w:rPr>
          <w:i/>
          <w:iCs/>
        </w:rPr>
        <w:t>ELA</w:t>
      </w:r>
      <w:r w:rsidR="00EA2C2C" w:rsidRPr="00EC5E1C">
        <w:t xml:space="preserve"> ir potenciāls stiprināt savu uzraudzības sistēmu, īstenojot strukturētas pieejas;</w:t>
      </w:r>
    </w:p>
    <w:p w14:paraId="25FDF729" w14:textId="7316C07A" w:rsidR="00EA2C2C" w:rsidRPr="00EC5E1C" w:rsidRDefault="00EC5E1C" w:rsidP="00EA2C2C">
      <w:pPr>
        <w:pStyle w:val="NormalHanging12a"/>
        <w:rPr>
          <w:bCs/>
        </w:rPr>
      </w:pPr>
      <w:r w:rsidRPr="00EC5E1C">
        <w:t>91</w:t>
      </w:r>
      <w:r w:rsidR="00EA2C2C" w:rsidRPr="00EC5E1C">
        <w:t>.</w:t>
      </w:r>
      <w:r w:rsidR="00EA2C2C" w:rsidRPr="00EC5E1C">
        <w:tab/>
        <w:t xml:space="preserve">ar bažām norāda, ka </w:t>
      </w:r>
      <w:r w:rsidR="00EA2C2C" w:rsidRPr="00EC5E1C">
        <w:rPr>
          <w:i/>
          <w:iCs/>
        </w:rPr>
        <w:t>ELA</w:t>
      </w:r>
      <w:r w:rsidR="00EA2C2C" w:rsidRPr="00EC5E1C">
        <w:t xml:space="preserve"> joprojām pārmērīgi paļaujas uz pagaidu darbiniekiem, NVE un pagaidu darbiniekiem pamatdarbības un finanšu pamatfunkciju veikšanai; konstatē, ka 2022. gada beigās pagaidu darbinieki veidoja 58 % no </w:t>
      </w:r>
      <w:r w:rsidR="00EA2C2C" w:rsidRPr="00EC5E1C">
        <w:rPr>
          <w:i/>
          <w:iCs/>
        </w:rPr>
        <w:t>ELA</w:t>
      </w:r>
      <w:r w:rsidR="00EA2C2C" w:rsidRPr="00EC5E1C">
        <w:t xml:space="preserve"> darbaspēka un, neraugoties uz nelielu samazinājumu, šis īpatsvars 2023. un 2024. gada beigās joprojām bija ļoti augsts, proti, 47 %; turklāt norāda, ka pretēji </w:t>
      </w:r>
      <w:r w:rsidR="00EA2C2C" w:rsidRPr="00EC5E1C">
        <w:rPr>
          <w:i/>
          <w:iCs/>
        </w:rPr>
        <w:t>ELA</w:t>
      </w:r>
      <w:r w:rsidR="00EA2C2C" w:rsidRPr="00EC5E1C">
        <w:t xml:space="preserve"> finanšu noteikumu 41. panta 1. punktam Iestāde paļāvās uz pagaidu darba aģentūru darbinieku un praktikantu, lai laikposmā no 2022. gada novembrim līdz 2023. gada martam veiktu finanšu pamatdarbības, kas saistītas ar budžeta izpildi, un šī prakse turpinājās 2023. gadā un saglabājās 2024. gadā, turpinot izmantot pagaidu darba aģentūru darbinieku būtisku finanšu uzdevumu veikšanai;</w:t>
      </w:r>
    </w:p>
    <w:p w14:paraId="1AFF9D43" w14:textId="4AE30261" w:rsidR="00EA2C2C" w:rsidRPr="00EC5E1C" w:rsidRDefault="00EC5E1C" w:rsidP="00EA2C2C">
      <w:pPr>
        <w:pStyle w:val="NormalHanging12a"/>
        <w:rPr>
          <w:bCs/>
        </w:rPr>
      </w:pPr>
      <w:r w:rsidRPr="00EC5E1C">
        <w:t>92</w:t>
      </w:r>
      <w:r w:rsidR="00EA2C2C" w:rsidRPr="00EC5E1C">
        <w:t>.</w:t>
      </w:r>
      <w:r w:rsidR="00EA2C2C" w:rsidRPr="00EC5E1C">
        <w:tab/>
        <w:t xml:space="preserve">pieņem zināšanai </w:t>
      </w:r>
      <w:r w:rsidR="00EA2C2C" w:rsidRPr="00EC5E1C">
        <w:rPr>
          <w:i/>
          <w:iCs/>
        </w:rPr>
        <w:t>ELA</w:t>
      </w:r>
      <w:r w:rsidR="00EA2C2C" w:rsidRPr="00EC5E1C">
        <w:t xml:space="preserve"> izpilddirektora 2025. gada 1. decembrī rīkotajā uzklausīšanā sniegto skaidrojumu par strukturāli lielo pagaidu darbinieku, jo īpaši NVE, īpatsvaru, kuri pašlaik veido aptuveni 42‑50 % no </w:t>
      </w:r>
      <w:r w:rsidR="00EA2C2C" w:rsidRPr="00EC5E1C">
        <w:rPr>
          <w:i/>
          <w:iCs/>
        </w:rPr>
        <w:t>ELA</w:t>
      </w:r>
      <w:r w:rsidR="00EA2C2C" w:rsidRPr="00EC5E1C">
        <w:t xml:space="preserve"> operatīvajiem darbiniekiem un kuriem ir juridiski liegts veikt pamatfunkcijas, tādējādi radot pienākumu koncentrāciju un lielāku kļūdu risku; atbalsta štatu saraksta pielāgošanu, lai aizstātu uz NVE balstītus resursus ar papildu pagaidu darbinieku amata vietām, kas būtu jāaizpilda, izmantojot atklātas konkursa procedūras pašreizējā budžeta maksimālā apjoma ietvaros; uzskata, ka Darba iestādei vajadzētu būt paraugam darba standartu jomā un vajadzētu censties piedāvāt garākus līgumus, kas būtu darbinieku interesēs un veicinātu uzņēmējdarbības nepārtrauktību un zināšanu saglabāšanu; aicina Iestādi vēl vairāk uzlabot sadarbību ar valstu darba iestādēm, lai izvairītos no dublēšanās un uzlabotu informācijas apmaiņu;</w:t>
      </w:r>
    </w:p>
    <w:p w14:paraId="5B40E41C" w14:textId="01DF1909" w:rsidR="00EA2C2C" w:rsidRPr="00EC5E1C" w:rsidRDefault="00EC5E1C" w:rsidP="00EA2C2C">
      <w:pPr>
        <w:pStyle w:val="NormalHanging12a"/>
        <w:rPr>
          <w:bCs/>
        </w:rPr>
      </w:pPr>
      <w:r w:rsidRPr="00EC5E1C">
        <w:t>93</w:t>
      </w:r>
      <w:r w:rsidR="00EA2C2C" w:rsidRPr="00EC5E1C">
        <w:t>.</w:t>
      </w:r>
      <w:r w:rsidR="00EA2C2C" w:rsidRPr="00EC5E1C">
        <w:tab/>
        <w:t xml:space="preserve">vērš uzmanību uz ES aģentūru novērtējuma secinājumiem: </w:t>
      </w:r>
      <w:proofErr w:type="spellStart"/>
      <w:r w:rsidR="00EA2C2C" w:rsidRPr="00EC5E1C">
        <w:rPr>
          <w:i/>
          <w:iCs/>
        </w:rPr>
        <w:t>Cedefop</w:t>
      </w:r>
      <w:proofErr w:type="spellEnd"/>
      <w:r w:rsidR="00EA2C2C" w:rsidRPr="00EC5E1C">
        <w:t xml:space="preserve">, </w:t>
      </w:r>
      <w:r w:rsidR="00EA2C2C" w:rsidRPr="00EC5E1C">
        <w:rPr>
          <w:i/>
          <w:iCs/>
        </w:rPr>
        <w:t>EU</w:t>
      </w:r>
      <w:r w:rsidR="00EA2C2C" w:rsidRPr="00EC5E1C">
        <w:rPr>
          <w:i/>
          <w:iCs/>
        </w:rPr>
        <w:noBreakHyphen/>
        <w:t>OSHA</w:t>
      </w:r>
      <w:r w:rsidR="00EA2C2C" w:rsidRPr="00EC5E1C">
        <w:t xml:space="preserve">, </w:t>
      </w:r>
      <w:proofErr w:type="spellStart"/>
      <w:r w:rsidR="00EA2C2C" w:rsidRPr="00EC5E1C">
        <w:rPr>
          <w:i/>
          <w:iCs/>
        </w:rPr>
        <w:t>Eurofound</w:t>
      </w:r>
      <w:proofErr w:type="spellEnd"/>
      <w:r w:rsidR="00EA2C2C" w:rsidRPr="00EC5E1C">
        <w:t xml:space="preserve"> un </w:t>
      </w:r>
      <w:r w:rsidR="00EA2C2C" w:rsidRPr="00EC5E1C">
        <w:rPr>
          <w:i/>
          <w:iCs/>
        </w:rPr>
        <w:t>ETF</w:t>
      </w:r>
      <w:r w:rsidR="00EA2C2C" w:rsidRPr="00EC5E1C">
        <w:t xml:space="preserve">; norāda, ka </w:t>
      </w:r>
      <w:proofErr w:type="spellStart"/>
      <w:r w:rsidR="00EA2C2C" w:rsidRPr="00EC5E1C">
        <w:t>izvērtējumā</w:t>
      </w:r>
      <w:proofErr w:type="spellEnd"/>
      <w:r w:rsidR="00EA2C2C" w:rsidRPr="00EC5E1C">
        <w:t xml:space="preserve"> nav atrasti pierādījumi, kas mainītu </w:t>
      </w:r>
      <w:r w:rsidR="00EA2C2C" w:rsidRPr="00EC5E1C">
        <w:lastRenderedPageBreak/>
        <w:t xml:space="preserve">iepriekšējā 2019. gada </w:t>
      </w:r>
      <w:proofErr w:type="spellStart"/>
      <w:r w:rsidR="00EA2C2C" w:rsidRPr="00EC5E1C">
        <w:t>izvērtējumā</w:t>
      </w:r>
      <w:proofErr w:type="spellEnd"/>
      <w:r w:rsidR="00EA2C2C" w:rsidRPr="00EC5E1C">
        <w:t xml:space="preserve"> izdarītos secinājumus, kuros tika konstatēts, ka apvienošanās iespējas rada problēmas ieguvumu un trūkumu līdzsvarošanā, savukārt efektivitātes uzlabojumus var panākt ar labāku sadarbību; uzsver, ka ir vajadzīga ciešāka sadarbība ar Komisiju attiecībā uz augstvērtīgām kopīgām darbībām, piemēram, </w:t>
      </w:r>
      <w:proofErr w:type="spellStart"/>
      <w:r w:rsidR="00EA2C2C" w:rsidRPr="00EC5E1C">
        <w:rPr>
          <w:i/>
          <w:iCs/>
        </w:rPr>
        <w:t>Eurofound</w:t>
      </w:r>
      <w:proofErr w:type="spellEnd"/>
      <w:r w:rsidR="00EA2C2C" w:rsidRPr="00EC5E1C">
        <w:t xml:space="preserve"> un </w:t>
      </w:r>
      <w:proofErr w:type="spellStart"/>
      <w:r w:rsidR="00EA2C2C" w:rsidRPr="00EC5E1C">
        <w:rPr>
          <w:i/>
          <w:iCs/>
        </w:rPr>
        <w:t>Cedefop</w:t>
      </w:r>
      <w:proofErr w:type="spellEnd"/>
      <w:r w:rsidR="00EA2C2C" w:rsidRPr="00EC5E1C">
        <w:t xml:space="preserve"> sadarbību Eiropas uzņēmumu </w:t>
      </w:r>
      <w:proofErr w:type="spellStart"/>
      <w:r w:rsidR="00EA2C2C" w:rsidRPr="00EC5E1C">
        <w:t>apsekojumā</w:t>
      </w:r>
      <w:proofErr w:type="spellEnd"/>
      <w:r w:rsidR="00EA2C2C" w:rsidRPr="00EC5E1C">
        <w:t xml:space="preserve"> un </w:t>
      </w:r>
      <w:proofErr w:type="spellStart"/>
      <w:r w:rsidR="00EA2C2C" w:rsidRPr="00EC5E1C">
        <w:rPr>
          <w:i/>
          <w:iCs/>
        </w:rPr>
        <w:t>Cedefop</w:t>
      </w:r>
      <w:proofErr w:type="spellEnd"/>
      <w:r w:rsidR="00EA2C2C" w:rsidRPr="00EC5E1C">
        <w:t xml:space="preserve"> un </w:t>
      </w:r>
      <w:r w:rsidR="00EA2C2C" w:rsidRPr="00EC5E1C">
        <w:rPr>
          <w:i/>
          <w:iCs/>
        </w:rPr>
        <w:t>ETF</w:t>
      </w:r>
      <w:r w:rsidR="00EA2C2C" w:rsidRPr="00EC5E1C">
        <w:t xml:space="preserve"> saskaņošanu attiecībā uz PIA politikas uzraudzību; konstatē, ka ir vajadzīga labāka koordinācija starp </w:t>
      </w:r>
      <w:proofErr w:type="spellStart"/>
      <w:r w:rsidR="00EA2C2C" w:rsidRPr="00EC5E1C">
        <w:rPr>
          <w:i/>
          <w:iCs/>
        </w:rPr>
        <w:t>Cedefop</w:t>
      </w:r>
      <w:proofErr w:type="spellEnd"/>
      <w:r w:rsidR="00EA2C2C" w:rsidRPr="00EC5E1C">
        <w:t xml:space="preserve">, </w:t>
      </w:r>
      <w:r w:rsidR="00EA2C2C" w:rsidRPr="00EC5E1C">
        <w:rPr>
          <w:i/>
          <w:iCs/>
        </w:rPr>
        <w:t>ELA</w:t>
      </w:r>
      <w:r w:rsidR="00EA2C2C" w:rsidRPr="00EC5E1C">
        <w:t xml:space="preserve"> un </w:t>
      </w:r>
      <w:proofErr w:type="spellStart"/>
      <w:r w:rsidR="00EA2C2C" w:rsidRPr="00EC5E1C">
        <w:rPr>
          <w:i/>
          <w:iCs/>
        </w:rPr>
        <w:t>Eurofound</w:t>
      </w:r>
      <w:proofErr w:type="spellEnd"/>
      <w:r w:rsidR="00EA2C2C" w:rsidRPr="00EC5E1C">
        <w:t>, lai izvairītos no dublēšanās prasmju prognozēšanā un darba tirgus analīzē;</w:t>
      </w:r>
    </w:p>
    <w:p w14:paraId="637BFF08" w14:textId="66D020EB" w:rsidR="00EA2C2C" w:rsidRPr="00EC5E1C" w:rsidRDefault="00EC5E1C" w:rsidP="00EA2C2C">
      <w:pPr>
        <w:pStyle w:val="NormalHanging12a"/>
        <w:rPr>
          <w:bCs/>
        </w:rPr>
      </w:pPr>
      <w:r w:rsidRPr="00EC5E1C">
        <w:t>94</w:t>
      </w:r>
      <w:r w:rsidR="00EA2C2C" w:rsidRPr="00EC5E1C">
        <w:t>.</w:t>
      </w:r>
      <w:r w:rsidR="00EA2C2C" w:rsidRPr="00EC5E1C">
        <w:tab/>
        <w:t xml:space="preserve">konstatē, ka uzraudzības sistēmas visās aģentūrās, tostarp </w:t>
      </w:r>
      <w:r w:rsidR="00EA2C2C" w:rsidRPr="00EC5E1C">
        <w:rPr>
          <w:i/>
          <w:iCs/>
        </w:rPr>
        <w:t>SMART</w:t>
      </w:r>
      <w:r w:rsidR="00EA2C2C" w:rsidRPr="00EC5E1C">
        <w:t xml:space="preserve"> mērķi un galvenie snieguma rādītāji, būtu jāstiprina, lai uzlabotu snieguma novērtēšanu un ieinteresēto personu iesaisti; uzsver, ka datu iztrūkums (jo īpaši </w:t>
      </w:r>
      <w:r w:rsidR="00EA2C2C" w:rsidRPr="00EC5E1C">
        <w:rPr>
          <w:i/>
          <w:iCs/>
        </w:rPr>
        <w:t>ETF</w:t>
      </w:r>
      <w:r w:rsidR="00EA2C2C" w:rsidRPr="00EC5E1C">
        <w:t>), nepilnīgi snieguma mērķi un valsts līmeņa rādītāju trūkums mazina efektivitāti; konstatē, ka šo problēmu risināšanai ir jāuzlabo datu pilnīgums, jānosaka juridiski skaidri mērķi un jāuzlabo uzraudzības sistēmas, lai nodrošinātu visaptverošus snieguma novērtējumus un saskaņotību ar ieinteresēto personu vajadzībām; uzsver, cik svarīgas ir pārredzamas pārvaldības struktūras un interešu konflikta novēršanas pasākumi, lai veicinātu ieinteresēto personu uzticēšanos to darbam;</w:t>
      </w:r>
    </w:p>
    <w:p w14:paraId="26F3AF39" w14:textId="598BCF7B" w:rsidR="00EA2C2C" w:rsidRPr="00EC5E1C" w:rsidRDefault="00EC5E1C" w:rsidP="00EA2C2C">
      <w:pPr>
        <w:pStyle w:val="NormalHanging12a"/>
        <w:rPr>
          <w:bCs/>
        </w:rPr>
      </w:pPr>
      <w:r w:rsidRPr="00EC5E1C">
        <w:t>95</w:t>
      </w:r>
      <w:r w:rsidR="00EA2C2C" w:rsidRPr="00EC5E1C">
        <w:t>.</w:t>
      </w:r>
      <w:r w:rsidR="00EA2C2C" w:rsidRPr="00EC5E1C">
        <w:tab/>
        <w:t>pieņem zināšanai, ka četrām aģentūrām (</w:t>
      </w:r>
      <w:proofErr w:type="spellStart"/>
      <w:r w:rsidR="00EA2C2C" w:rsidRPr="00EC5E1C">
        <w:rPr>
          <w:i/>
          <w:iCs/>
        </w:rPr>
        <w:t>Cedefop</w:t>
      </w:r>
      <w:proofErr w:type="spellEnd"/>
      <w:r w:rsidR="00EA2C2C" w:rsidRPr="00EC5E1C">
        <w:t xml:space="preserve">, </w:t>
      </w:r>
      <w:r w:rsidR="00EA2C2C" w:rsidRPr="00EC5E1C">
        <w:rPr>
          <w:i/>
          <w:iCs/>
        </w:rPr>
        <w:t>EU</w:t>
      </w:r>
      <w:r w:rsidR="00EA2C2C" w:rsidRPr="00EC5E1C">
        <w:rPr>
          <w:i/>
          <w:iCs/>
        </w:rPr>
        <w:noBreakHyphen/>
        <w:t>‑OSHA</w:t>
      </w:r>
      <w:r w:rsidR="00EA2C2C" w:rsidRPr="00EC5E1C">
        <w:t xml:space="preserve">, </w:t>
      </w:r>
      <w:proofErr w:type="spellStart"/>
      <w:r w:rsidR="00EA2C2C" w:rsidRPr="00EC5E1C">
        <w:rPr>
          <w:i/>
          <w:iCs/>
        </w:rPr>
        <w:t>Eurofound</w:t>
      </w:r>
      <w:proofErr w:type="spellEnd"/>
      <w:r w:rsidR="00EA2C2C" w:rsidRPr="00EC5E1C">
        <w:t xml:space="preserve"> un </w:t>
      </w:r>
      <w:r w:rsidR="00EA2C2C" w:rsidRPr="00EC5E1C">
        <w:rPr>
          <w:i/>
          <w:iCs/>
        </w:rPr>
        <w:t>ETF</w:t>
      </w:r>
      <w:r w:rsidR="00EA2C2C" w:rsidRPr="00EC5E1C">
        <w:t xml:space="preserve">) ir potenciāls samazināt administratīvo slogu un uzlabot efektivitāti, izmantojot kopīgus pakalpojumus; uzsver, ka aģentūrām būtu jāsamazina administratīvais slogs darbiniekiem, lai saglabātu ilgtspējīgu darba slodzi, kopīgi sniedzot pakalpojumus cilvēkresursu, juridisko, IT un tehnisko funkciju jomā; norāda, ka tas ļautu aģentūrām samazināt to darbinieku skaitu, kuri iesaistīti administratīvajās darbībās, un vairāk koncentrēties uz pamatdarbībām; aicina šīs aģentūras ciešā sadarbībā ar Revīzijas palātu izstrādāt strukturētu kopīgo pakalpojumu īstenošanas plānu ar konkrētiem atskaites punktiem, lai veicinātu savstarpēju </w:t>
      </w:r>
      <w:proofErr w:type="spellStart"/>
      <w:r w:rsidR="00EA2C2C" w:rsidRPr="00EC5E1C">
        <w:t>paraugprakses</w:t>
      </w:r>
      <w:proofErr w:type="spellEnd"/>
      <w:r w:rsidR="00EA2C2C" w:rsidRPr="00EC5E1C">
        <w:t xml:space="preserve"> un ieteikumu apmaiņu starp attiecīgajām aģentūrām, kā arī visā </w:t>
      </w:r>
      <w:r w:rsidR="00EA2C2C" w:rsidRPr="00EC5E1C">
        <w:rPr>
          <w:i/>
          <w:iCs/>
        </w:rPr>
        <w:t>EUAN</w:t>
      </w:r>
      <w:r w:rsidR="00EA2C2C" w:rsidRPr="00EC5E1C">
        <w:t xml:space="preserve">, pamatojoties uz Revīzijas palātas revīzijas konstatējumiem un transversāliem novērtējumiem; aicina Komisiju katru gadu ziņot budžeta izpildes </w:t>
      </w:r>
      <w:proofErr w:type="spellStart"/>
      <w:r w:rsidR="00EA2C2C" w:rsidRPr="00EC5E1C">
        <w:t>apstiprinātājiestādei</w:t>
      </w:r>
      <w:proofErr w:type="spellEnd"/>
      <w:r w:rsidR="00EA2C2C" w:rsidRPr="00EC5E1C">
        <w:t xml:space="preserve"> par progresu, kas panākts saskaņā ar šo plānu;</w:t>
      </w:r>
    </w:p>
    <w:p w14:paraId="6D95E4F6" w14:textId="5FD3E86A" w:rsidR="00EA2C2C" w:rsidRPr="00EC5E1C" w:rsidRDefault="00EC5E1C" w:rsidP="00EA2C2C">
      <w:pPr>
        <w:pStyle w:val="NormalHanging12a"/>
        <w:rPr>
          <w:bCs/>
        </w:rPr>
      </w:pPr>
      <w:r w:rsidRPr="00EC5E1C">
        <w:t>96</w:t>
      </w:r>
      <w:bookmarkStart w:id="13" w:name="_Hlk219817761"/>
      <w:bookmarkStart w:id="14" w:name="_Hlk219801757"/>
      <w:r w:rsidR="00EA2C2C" w:rsidRPr="00EC5E1C">
        <w:t>.</w:t>
      </w:r>
      <w:r w:rsidR="00EA2C2C" w:rsidRPr="00EC5E1C">
        <w:tab/>
      </w:r>
      <w:r w:rsidR="00F77397" w:rsidRPr="00EC5E1C">
        <w:t xml:space="preserve">norāda, ka </w:t>
      </w:r>
      <w:proofErr w:type="spellStart"/>
      <w:r w:rsidR="00F77397" w:rsidRPr="00EC5E1C">
        <w:rPr>
          <w:i/>
          <w:iCs/>
        </w:rPr>
        <w:t>Cedefop</w:t>
      </w:r>
      <w:proofErr w:type="spellEnd"/>
      <w:r w:rsidR="00F77397" w:rsidRPr="00EC5E1C">
        <w:t xml:space="preserve"> ir bijis iesaistīts juridiskā strīdā ar bijušo darbinieku, kura līgums 2017. gadā netika pagarināts; atgādina, ka 2020. gadā Eiropas Savienības Vispārējā tiesa atcēla </w:t>
      </w:r>
      <w:proofErr w:type="spellStart"/>
      <w:r w:rsidR="00F77397" w:rsidRPr="00EC5E1C">
        <w:rPr>
          <w:i/>
          <w:iCs/>
        </w:rPr>
        <w:t>Cedefop</w:t>
      </w:r>
      <w:proofErr w:type="spellEnd"/>
      <w:r w:rsidR="00F77397" w:rsidRPr="00EC5E1C">
        <w:t xml:space="preserve"> lēmumu un uzdeva izmaksāt finansiālu kompensāciju, ko </w:t>
      </w:r>
      <w:proofErr w:type="spellStart"/>
      <w:r w:rsidR="00F77397" w:rsidRPr="00EC5E1C">
        <w:rPr>
          <w:i/>
          <w:iCs/>
        </w:rPr>
        <w:t>Cedefop</w:t>
      </w:r>
      <w:proofErr w:type="spellEnd"/>
      <w:r w:rsidR="00F77397" w:rsidRPr="00EC5E1C">
        <w:t xml:space="preserve"> izdarīja; norāda, ka Eiropas Savienības Vispārējā tiesa 2024. gada februārī noraidīja turpmāku bijušā darbinieka prasību par minētā sprieduma izpildi; konstatē, ka bijušais darbinieks ir pārsūdzējis šo spriedumu Eiropas Savienības Tiesā (lieta C-209/24 P) un ka ar Eiropas Savienības Tiesas galīgo spriedumu ir atcelts Eiropas Savienības Vispārējās tiesas 2024. gada 7. februāra spriedums (T-563/22), atcelts </w:t>
      </w:r>
      <w:proofErr w:type="spellStart"/>
      <w:r w:rsidR="00F77397" w:rsidRPr="00EC5E1C">
        <w:t>Cedefop</w:t>
      </w:r>
      <w:proofErr w:type="spellEnd"/>
      <w:r w:rsidR="00F77397" w:rsidRPr="00EC5E1C">
        <w:t xml:space="preserve"> izpilddirektora 2021. gada 17. decembra lēmums un Apelācijas komitejas 2022. gada 17. jūnija lēmums, ar ko </w:t>
      </w:r>
      <w:proofErr w:type="spellStart"/>
      <w:r w:rsidR="00F77397" w:rsidRPr="00EC5E1C">
        <w:rPr>
          <w:i/>
          <w:iCs/>
        </w:rPr>
        <w:t>Cedefop</w:t>
      </w:r>
      <w:proofErr w:type="spellEnd"/>
      <w:r w:rsidR="00F77397" w:rsidRPr="00EC5E1C">
        <w:t xml:space="preserve"> tika piespriests samaksāt prasītājam 15 000 EUR kā atlīdzību par nemateriālo kaitējumu, kā arī segt visus tiesāšanās izdevumus, kas prasītājam radušies gan pirmajā instancē, gan apelācijas tiesvedībā; atgādina, ka Eiropas Savienības Vispārējās tiesas sākotnējais spriedums konstatēja, ka ir pārkāptas procesuālas </w:t>
      </w:r>
      <w:proofErr w:type="spellStart"/>
      <w:r w:rsidR="00F77397" w:rsidRPr="00EC5E1C">
        <w:t>pamatgarantijas</w:t>
      </w:r>
      <w:proofErr w:type="spellEnd"/>
      <w:r w:rsidR="00F77397" w:rsidRPr="00EC5E1C">
        <w:t xml:space="preserve">, tostarp tiesības tikt uzklausītam, tiesības uz aizstāvību, rūpības pienākums un labas pārvaldības princips; ar bažām norāda, ka pēc šiem konstatējumiem, šķiet, nav sākta neviena disciplinārā procedūra pret bijušo izpilddirektoru vai citiem atbildīgajiem darbiniekiem; kritizē lēmumu pieņemšanas procesa pārmērīgo ilgumu arī tāpēc, ka Vispārējā tiesa, pamatojoties uz aģentūras sniegto informāciju, ir pieļāvusi kļūdu; uzsver, ka morālais kaitējums ir tieši saistīts ar to, ka </w:t>
      </w:r>
      <w:proofErr w:type="spellStart"/>
      <w:r w:rsidR="00F77397" w:rsidRPr="00EC5E1C">
        <w:rPr>
          <w:i/>
          <w:iCs/>
        </w:rPr>
        <w:t>Cedefop</w:t>
      </w:r>
      <w:proofErr w:type="spellEnd"/>
      <w:r w:rsidR="00F77397" w:rsidRPr="00EC5E1C">
        <w:rPr>
          <w:i/>
          <w:iCs/>
        </w:rPr>
        <w:t xml:space="preserve"> </w:t>
      </w:r>
      <w:r w:rsidR="00F77397" w:rsidRPr="00EC5E1C">
        <w:t xml:space="preserve">nav pienācīgi izpildījis atceļošo spriedumu, izņemot vienkāršu </w:t>
      </w:r>
      <w:r w:rsidR="00F77397" w:rsidRPr="00EC5E1C">
        <w:lastRenderedPageBreak/>
        <w:t xml:space="preserve">kompensācijas izmaksu, un ka tāpēc ir konstatēta cēloņsakarība starp </w:t>
      </w:r>
      <w:proofErr w:type="spellStart"/>
      <w:r w:rsidR="00F77397" w:rsidRPr="00EC5E1C">
        <w:rPr>
          <w:i/>
          <w:iCs/>
        </w:rPr>
        <w:t>Cedefop</w:t>
      </w:r>
      <w:proofErr w:type="spellEnd"/>
      <w:r w:rsidR="00F77397" w:rsidRPr="00EC5E1C">
        <w:t xml:space="preserve"> prettiesisko rīcību un kaitējumu; uzsver, ka </w:t>
      </w:r>
      <w:proofErr w:type="spellStart"/>
      <w:r w:rsidR="00F77397" w:rsidRPr="00EC5E1C">
        <w:rPr>
          <w:i/>
          <w:iCs/>
        </w:rPr>
        <w:t>Cedefop</w:t>
      </w:r>
      <w:proofErr w:type="spellEnd"/>
      <w:r w:rsidR="00F77397" w:rsidRPr="00EC5E1C">
        <w:t xml:space="preserve"> tagad ir jāpārskata līguma pagarināšanas pieprasījums, atkārtoti jāveic procedūra, ņemot vērā situāciju 2017. gadā, un jāpieņem lēmums, ar ko aizstāj atcelto lēmumu; šī pārskatīšana būtu jāveic, ievērojot attiecīgo procedūru, kas noteikta Civildienesta noteikumos un </w:t>
      </w:r>
      <w:proofErr w:type="spellStart"/>
      <w:r w:rsidR="00F77397" w:rsidRPr="00EC5E1C">
        <w:rPr>
          <w:i/>
          <w:iCs/>
        </w:rPr>
        <w:t>Cedefop</w:t>
      </w:r>
      <w:proofErr w:type="spellEnd"/>
      <w:r w:rsidR="00F77397" w:rsidRPr="00EC5E1C">
        <w:t xml:space="preserve"> iekšējos darbā pieņemšanas noteikumos, tostarp iespējamo nepieciešamo kompensāciju; uzskata, ka ar personālu saistīti lēmumi ir jāpieņem pārredzamā un izsekojamā veidā, savlaicīgi pamatojoties uz visiem Civildienesta noteikumos paredzētajiem noteikumiem;</w:t>
      </w:r>
    </w:p>
    <w:bookmarkEnd w:id="13"/>
    <w:bookmarkEnd w:id="14"/>
    <w:p w14:paraId="2A7DA79B" w14:textId="04A58DD1" w:rsidR="00EA2C2C" w:rsidRPr="00EC5E1C" w:rsidRDefault="00EC5E1C" w:rsidP="00EA2C2C">
      <w:pPr>
        <w:pStyle w:val="NormalHanging12a"/>
      </w:pPr>
      <w:r w:rsidRPr="00EC5E1C">
        <w:t>97</w:t>
      </w:r>
      <w:r w:rsidR="00EA2C2C" w:rsidRPr="00EC5E1C">
        <w:t>.</w:t>
      </w:r>
      <w:r w:rsidR="00EA2C2C" w:rsidRPr="00EC5E1C">
        <w:tab/>
        <w:t xml:space="preserve">pieņem zināšanai Revīzijas palātas konstatējumu, ka </w:t>
      </w:r>
      <w:r w:rsidR="00EA2C2C" w:rsidRPr="00EC5E1C">
        <w:rPr>
          <w:i/>
          <w:iCs/>
        </w:rPr>
        <w:t>EU</w:t>
      </w:r>
      <w:r w:rsidR="00EA2C2C" w:rsidRPr="00EC5E1C">
        <w:rPr>
          <w:i/>
          <w:iCs/>
        </w:rPr>
        <w:noBreakHyphen/>
        <w:t>OSHA</w:t>
      </w:r>
      <w:r w:rsidR="00EA2C2C" w:rsidRPr="00EC5E1C">
        <w:t xml:space="preserve"> apmaksāja tiešsaistes kursus, pietiekami nepārbaudot, vai rēķinā norādītās stundas atbilda sniegtajiem pakalpojumiem, un tas ir pretrunā Aģentūras finanšu noteikumu 73. pantam; pieņem zināšanai Aģentūras precizējumu, ka </w:t>
      </w:r>
      <w:proofErr w:type="spellStart"/>
      <w:r w:rsidR="00EA2C2C" w:rsidRPr="00EC5E1C">
        <w:rPr>
          <w:i/>
          <w:iCs/>
        </w:rPr>
        <w:t>ex</w:t>
      </w:r>
      <w:proofErr w:type="spellEnd"/>
      <w:r w:rsidR="00EA2C2C" w:rsidRPr="00EC5E1C">
        <w:rPr>
          <w:i/>
          <w:iCs/>
        </w:rPr>
        <w:t> </w:t>
      </w:r>
      <w:proofErr w:type="spellStart"/>
      <w:r w:rsidR="00EA2C2C" w:rsidRPr="00EC5E1C">
        <w:rPr>
          <w:i/>
          <w:iCs/>
        </w:rPr>
        <w:t>ante</w:t>
      </w:r>
      <w:proofErr w:type="spellEnd"/>
      <w:r w:rsidR="00EA2C2C" w:rsidRPr="00EC5E1C">
        <w:t xml:space="preserve"> pārbaudes tiek veiktas regulāri un ka šajā gadījumā dokumentācija ir zaudējusi spēku, nevis notikusi kontroles kļūme; atzinīgi vērtē papildu pasākumus, kas ieviesti, lai nodrošinātu pakalpojumu sniegšanas pilnīgu dokumentāciju, un uzsver, ka ir svarīgi saglabāt stabilus pierādījumus par visiem maksājumiem, lai garantētu likumību un pareizību;</w:t>
      </w:r>
    </w:p>
    <w:p w14:paraId="3193B110" w14:textId="5E3E2C44" w:rsidR="00EA2C2C" w:rsidRPr="00EC5E1C" w:rsidRDefault="00EC5E1C" w:rsidP="00EA2C2C">
      <w:pPr>
        <w:pStyle w:val="NormalHanging12a"/>
      </w:pPr>
      <w:r w:rsidRPr="00EC5E1C">
        <w:t>98</w:t>
      </w:r>
      <w:r w:rsidR="00EA2C2C" w:rsidRPr="00EC5E1C">
        <w:t>.</w:t>
      </w:r>
      <w:r w:rsidR="00EA2C2C" w:rsidRPr="00EC5E1C">
        <w:tab/>
        <w:t xml:space="preserve">konstatē, ka 75 % ar darbu saistītu vēža veidu ir saistīti ar pakļautību azbesta iedarbībai, atzīst </w:t>
      </w:r>
      <w:r w:rsidR="00EA2C2C" w:rsidRPr="00EC5E1C">
        <w:rPr>
          <w:i/>
          <w:iCs/>
        </w:rPr>
        <w:t>EU-OSHA</w:t>
      </w:r>
      <w:r w:rsidR="00EA2C2C" w:rsidRPr="00EC5E1C">
        <w:t xml:space="preserve"> 2024. gada ieguldījumu Komisijas jaunajās pamatnostādnēs par azbestu un mudina </w:t>
      </w:r>
      <w:r w:rsidR="00EA2C2C" w:rsidRPr="00EC5E1C">
        <w:rPr>
          <w:i/>
          <w:iCs/>
        </w:rPr>
        <w:t>EU-OSHA</w:t>
      </w:r>
      <w:r w:rsidR="00EA2C2C" w:rsidRPr="00EC5E1C">
        <w:t xml:space="preserve"> turpināt piešķirt personālu un budžeta resursus, lai veicinātu informētību par azbestu un metodes plaši izplatītā azbesta </w:t>
      </w:r>
      <w:proofErr w:type="spellStart"/>
      <w:r w:rsidR="00EA2C2C" w:rsidRPr="00EC5E1C">
        <w:t>problēmjautājuma</w:t>
      </w:r>
      <w:proofErr w:type="spellEnd"/>
      <w:r w:rsidR="00EA2C2C" w:rsidRPr="00EC5E1C">
        <w:t xml:space="preserve"> risināšanai visā Eiropā;</w:t>
      </w:r>
    </w:p>
    <w:p w14:paraId="09FC7ECB" w14:textId="12352664" w:rsidR="00EA2C2C" w:rsidRPr="00EC5E1C" w:rsidRDefault="00EC5E1C" w:rsidP="00EA2C2C">
      <w:pPr>
        <w:pStyle w:val="NormalHanging12a"/>
      </w:pPr>
      <w:r w:rsidRPr="00EC5E1C">
        <w:t>99</w:t>
      </w:r>
      <w:r w:rsidR="00EA2C2C" w:rsidRPr="00EC5E1C">
        <w:t>.</w:t>
      </w:r>
      <w:r w:rsidR="00EA2C2C" w:rsidRPr="00EC5E1C">
        <w:tab/>
        <w:t xml:space="preserve">atgādina par diviem </w:t>
      </w:r>
      <w:r w:rsidR="00EA2C2C" w:rsidRPr="00EC5E1C">
        <w:rPr>
          <w:i/>
          <w:iCs/>
        </w:rPr>
        <w:t>ETF</w:t>
      </w:r>
      <w:r w:rsidR="00EA2C2C" w:rsidRPr="00EC5E1C">
        <w:t xml:space="preserve"> iepirkuma pārkāpumiem, uz kuriem Revīzijas palāta norādīja 2022. gadā un kuru rezultātā 2024. gadā tika veikti nepareizi maksājumi; norāda, ka vienā gadījumā </w:t>
      </w:r>
      <w:r w:rsidR="00EA2C2C" w:rsidRPr="00EC5E1C">
        <w:rPr>
          <w:i/>
          <w:iCs/>
        </w:rPr>
        <w:t>ETF</w:t>
      </w:r>
      <w:r w:rsidR="00EA2C2C" w:rsidRPr="00EC5E1C">
        <w:t xml:space="preserve"> piešķīra līgumu par satura atbalsta pakalpojumiem 1 miljona EUR apmērā pretendentam, kurš nesasniedza nepieciešamo finanšu apgrozījuma robežvērtību, tādējādi padarot šo līgumu un ar to saistītos maksājumus (186 175 EUR 2024. gadā) par nepareiziem; norāda, ka citā gadījumā laikā, kad notika atklātā iepirkuma procedūra par valsts iekšējā atbalsta pakalpojumu sniegšanu 4 miljonu EUR vērtībā, uzvarējušais pretendents nespēja pierādīt pietiekamas ekonomiskās un finansiālās spējas, kā rezultātā radās turpmāki pārkāpumi maksājumos (252 714 EUR 2024. gadā); turklāt norāda, ka 2023. gada konkursā par </w:t>
      </w:r>
      <w:r w:rsidR="00EA2C2C" w:rsidRPr="00EC5E1C">
        <w:rPr>
          <w:i/>
          <w:iCs/>
        </w:rPr>
        <w:t>LAN</w:t>
      </w:r>
      <w:r w:rsidR="00EA2C2C" w:rsidRPr="00EC5E1C">
        <w:t xml:space="preserve"> infrastruktūru tā telpās </w:t>
      </w:r>
      <w:r w:rsidR="00EA2C2C" w:rsidRPr="00EC5E1C">
        <w:rPr>
          <w:i/>
          <w:iCs/>
        </w:rPr>
        <w:t>ETF</w:t>
      </w:r>
      <w:r w:rsidR="00EA2C2C" w:rsidRPr="00EC5E1C">
        <w:t xml:space="preserve"> bez pienācīga pamatojuma noteica pārmērīgas finansiālās spējas prasības, kas varētu atturēt no konkurences; pieņem zināšanai, ka </w:t>
      </w:r>
      <w:r w:rsidR="00EA2C2C" w:rsidRPr="00EC5E1C">
        <w:rPr>
          <w:i/>
          <w:iCs/>
        </w:rPr>
        <w:t>ETF</w:t>
      </w:r>
      <w:r w:rsidR="00EA2C2C" w:rsidRPr="00EC5E1C">
        <w:t xml:space="preserve"> ir atzinis šīs problēmas un pārskatījis savu metodiku, taču uzstāj, ka </w:t>
      </w:r>
      <w:r w:rsidR="00EA2C2C" w:rsidRPr="00EC5E1C">
        <w:rPr>
          <w:i/>
          <w:iCs/>
        </w:rPr>
        <w:t>ETF</w:t>
      </w:r>
      <w:r w:rsidR="00EA2C2C" w:rsidRPr="00EC5E1C">
        <w:t xml:space="preserve"> ir jāievieš stingrāki atbilstības mehānismi, lai turpmāk novērstu iepirkuma noteikumu pārkāpumus;</w:t>
      </w:r>
    </w:p>
    <w:p w14:paraId="3698EC44" w14:textId="1C0E7D35" w:rsidR="00EA2C2C" w:rsidRPr="00EC5E1C" w:rsidRDefault="00EC5E1C" w:rsidP="00EA2C2C">
      <w:pPr>
        <w:pStyle w:val="NormalHanging12a"/>
      </w:pPr>
      <w:r w:rsidRPr="00EC5E1C">
        <w:t>100</w:t>
      </w:r>
      <w:r w:rsidR="00EA2C2C" w:rsidRPr="00EC5E1C">
        <w:t>.</w:t>
      </w:r>
      <w:r w:rsidR="00EA2C2C" w:rsidRPr="00EC5E1C">
        <w:tab/>
        <w:t xml:space="preserve">pauž bažas par to, ka vairāki ar iepirkumu saistīti iepriekšējo gadu apsvērumi joprojām nav īstenoti gan attiecībā uz </w:t>
      </w:r>
      <w:r w:rsidR="00EA2C2C" w:rsidRPr="00EC5E1C">
        <w:rPr>
          <w:i/>
          <w:iCs/>
        </w:rPr>
        <w:t>ELA</w:t>
      </w:r>
      <w:r w:rsidR="00EA2C2C" w:rsidRPr="00EC5E1C">
        <w:t xml:space="preserve"> (atzinuma ar </w:t>
      </w:r>
      <w:proofErr w:type="spellStart"/>
      <w:r w:rsidR="00EA2C2C" w:rsidRPr="00EC5E1C">
        <w:t>iebildēm</w:t>
      </w:r>
      <w:proofErr w:type="spellEnd"/>
      <w:r w:rsidR="00EA2C2C" w:rsidRPr="00EC5E1C">
        <w:t xml:space="preserve"> sagatavošana 2023. un 2024. gadā), gan </w:t>
      </w:r>
      <w:r w:rsidR="00EA2C2C" w:rsidRPr="00EC5E1C">
        <w:rPr>
          <w:i/>
          <w:iCs/>
        </w:rPr>
        <w:t>ETF</w:t>
      </w:r>
      <w:r w:rsidR="00EA2C2C" w:rsidRPr="00EC5E1C">
        <w:t>;</w:t>
      </w:r>
    </w:p>
    <w:p w14:paraId="23ACC139" w14:textId="77777777" w:rsidR="00EA2C2C" w:rsidRPr="00EC5E1C" w:rsidRDefault="00EA2C2C" w:rsidP="00EA2C2C">
      <w:pPr>
        <w:pStyle w:val="NormalHanging12a"/>
        <w:rPr>
          <w:bCs/>
          <w:i/>
          <w:iCs/>
        </w:rPr>
      </w:pPr>
      <w:r w:rsidRPr="00EC5E1C">
        <w:rPr>
          <w:i/>
        </w:rPr>
        <w:t>Ieteikumi</w:t>
      </w:r>
    </w:p>
    <w:p w14:paraId="357D7D5A" w14:textId="72E61A8A" w:rsidR="00EA2C2C" w:rsidRPr="00EC5E1C" w:rsidRDefault="00EC5E1C" w:rsidP="00EA2C2C">
      <w:pPr>
        <w:pStyle w:val="NormalHanging12a"/>
        <w:rPr>
          <w:bCs/>
        </w:rPr>
      </w:pPr>
      <w:r w:rsidRPr="00EC5E1C">
        <w:t>101</w:t>
      </w:r>
      <w:r w:rsidR="00EA2C2C" w:rsidRPr="00EC5E1C">
        <w:t>.</w:t>
      </w:r>
      <w:r w:rsidR="00EA2C2C" w:rsidRPr="00EC5E1C">
        <w:tab/>
        <w:t>aicina aģentūras rīkoties saskaņā ar Revīzijas palātas konstatējumiem, jo īpaši:</w:t>
      </w:r>
    </w:p>
    <w:p w14:paraId="2A3EB0C6" w14:textId="77777777" w:rsidR="00EA2C2C" w:rsidRPr="00EC5E1C" w:rsidRDefault="00EA2C2C" w:rsidP="00EA2C2C">
      <w:pPr>
        <w:pStyle w:val="NormalHanging12a"/>
        <w:ind w:left="1134"/>
        <w:rPr>
          <w:bCs/>
        </w:rPr>
      </w:pPr>
      <w:r w:rsidRPr="00EC5E1C">
        <w:t>i)</w:t>
      </w:r>
      <w:r w:rsidRPr="00EC5E1C">
        <w:tab/>
      </w:r>
      <w:r w:rsidRPr="00EC5E1C">
        <w:rPr>
          <w:i/>
          <w:iCs/>
        </w:rPr>
        <w:t>ELA</w:t>
      </w:r>
      <w:r w:rsidRPr="00EC5E1C">
        <w:t xml:space="preserve"> uzlabot budžeta pārvaldību un formalizēt ārkārtas rīcības plānu algu korekcijām, tostarp Savienības finansējuma agrīnu koordinēšanu;</w:t>
      </w:r>
    </w:p>
    <w:p w14:paraId="421075EB" w14:textId="77777777" w:rsidR="00EA2C2C" w:rsidRPr="00EC5E1C" w:rsidRDefault="00EA2C2C" w:rsidP="00EA2C2C">
      <w:pPr>
        <w:pStyle w:val="NormalHanging12a"/>
        <w:ind w:left="1134"/>
        <w:rPr>
          <w:bCs/>
        </w:rPr>
      </w:pPr>
      <w:r w:rsidRPr="00EC5E1C">
        <w:t>ii)</w:t>
      </w:r>
      <w:r w:rsidRPr="00EC5E1C">
        <w:tab/>
      </w:r>
      <w:r w:rsidRPr="00EC5E1C">
        <w:rPr>
          <w:i/>
          <w:iCs/>
        </w:rPr>
        <w:t>ELA</w:t>
      </w:r>
      <w:r w:rsidRPr="00EC5E1C">
        <w:t xml:space="preserve">, </w:t>
      </w:r>
      <w:r w:rsidRPr="00EC5E1C">
        <w:rPr>
          <w:i/>
          <w:iCs/>
        </w:rPr>
        <w:t>ETF</w:t>
      </w:r>
      <w:r w:rsidRPr="00EC5E1C">
        <w:t xml:space="preserve"> un </w:t>
      </w:r>
      <w:r w:rsidRPr="00EC5E1C">
        <w:rPr>
          <w:i/>
          <w:iCs/>
        </w:rPr>
        <w:t>EU</w:t>
      </w:r>
      <w:r w:rsidRPr="00EC5E1C">
        <w:rPr>
          <w:i/>
          <w:iCs/>
        </w:rPr>
        <w:noBreakHyphen/>
        <w:t>OSHA</w:t>
      </w:r>
      <w:r w:rsidRPr="00EC5E1C">
        <w:t xml:space="preserve"> vēl vairāk stiprināt savas iepirkuma un iekšējās kontroles sistēmas, nodrošinot, ka visi maksājumi ir pamatoti ar pilnīgiem un </w:t>
      </w:r>
      <w:r w:rsidRPr="00EC5E1C">
        <w:lastRenderedPageBreak/>
        <w:t xml:space="preserve">pārbaudāmiem pierādījumiem, ka finansiālo un tehnisko spēju prasības tiek piemērotas konsekventi un samērīgi un ka </w:t>
      </w:r>
      <w:proofErr w:type="spellStart"/>
      <w:r w:rsidRPr="00EC5E1C">
        <w:rPr>
          <w:i/>
          <w:iCs/>
        </w:rPr>
        <w:t>ex</w:t>
      </w:r>
      <w:proofErr w:type="spellEnd"/>
      <w:r w:rsidRPr="00EC5E1C">
        <w:rPr>
          <w:i/>
          <w:iCs/>
        </w:rPr>
        <w:t> </w:t>
      </w:r>
      <w:proofErr w:type="spellStart"/>
      <w:r w:rsidRPr="00EC5E1C">
        <w:rPr>
          <w:i/>
          <w:iCs/>
        </w:rPr>
        <w:t>ante</w:t>
      </w:r>
      <w:proofErr w:type="spellEnd"/>
      <w:r w:rsidRPr="00EC5E1C">
        <w:t xml:space="preserve"> un </w:t>
      </w:r>
      <w:proofErr w:type="spellStart"/>
      <w:r w:rsidRPr="00EC5E1C">
        <w:rPr>
          <w:i/>
          <w:iCs/>
        </w:rPr>
        <w:t>ex</w:t>
      </w:r>
      <w:proofErr w:type="spellEnd"/>
      <w:r w:rsidRPr="00EC5E1C">
        <w:rPr>
          <w:i/>
          <w:iCs/>
        </w:rPr>
        <w:t> post</w:t>
      </w:r>
      <w:r w:rsidRPr="00EC5E1C">
        <w:t xml:space="preserve"> pārbaudes tiek sistemātiski dokumentētas;</w:t>
      </w:r>
    </w:p>
    <w:p w14:paraId="0C8897FC" w14:textId="00951A7F" w:rsidR="00EA2C2C" w:rsidRPr="00EC5E1C" w:rsidRDefault="00EC5E1C" w:rsidP="00EA2C2C">
      <w:pPr>
        <w:pStyle w:val="NormalHanging12a"/>
        <w:rPr>
          <w:bCs/>
        </w:rPr>
      </w:pPr>
      <w:r w:rsidRPr="00EC5E1C">
        <w:t>102</w:t>
      </w:r>
      <w:r w:rsidR="00EA2C2C" w:rsidRPr="00EC5E1C">
        <w:t>.</w:t>
      </w:r>
      <w:r w:rsidR="00EA2C2C" w:rsidRPr="00EC5E1C">
        <w:tab/>
        <w:t xml:space="preserve">turklāt aicina </w:t>
      </w:r>
      <w:proofErr w:type="spellStart"/>
      <w:r w:rsidR="00EA2C2C" w:rsidRPr="00EC5E1C">
        <w:rPr>
          <w:i/>
          <w:iCs/>
        </w:rPr>
        <w:t>Cedefop</w:t>
      </w:r>
      <w:proofErr w:type="spellEnd"/>
      <w:r w:rsidR="00EA2C2C" w:rsidRPr="00EC5E1C">
        <w:t xml:space="preserve">, </w:t>
      </w:r>
      <w:r w:rsidR="00EA2C2C" w:rsidRPr="00EC5E1C">
        <w:rPr>
          <w:i/>
          <w:iCs/>
        </w:rPr>
        <w:t>ELA</w:t>
      </w:r>
      <w:r w:rsidR="00EA2C2C" w:rsidRPr="00EC5E1C">
        <w:t xml:space="preserve">, </w:t>
      </w:r>
      <w:r w:rsidR="00EA2C2C" w:rsidRPr="00EC5E1C">
        <w:rPr>
          <w:i/>
          <w:iCs/>
        </w:rPr>
        <w:t>ETF</w:t>
      </w:r>
      <w:r w:rsidR="00EA2C2C" w:rsidRPr="00EC5E1C">
        <w:t xml:space="preserve">, </w:t>
      </w:r>
      <w:r w:rsidR="00EA2C2C" w:rsidRPr="00EC5E1C">
        <w:rPr>
          <w:i/>
          <w:iCs/>
        </w:rPr>
        <w:t>EU-OSHA</w:t>
      </w:r>
      <w:r w:rsidR="00EA2C2C" w:rsidRPr="00EC5E1C">
        <w:t xml:space="preserve"> un </w:t>
      </w:r>
      <w:proofErr w:type="spellStart"/>
      <w:r w:rsidR="00EA2C2C" w:rsidRPr="00EC5E1C">
        <w:rPr>
          <w:i/>
          <w:iCs/>
        </w:rPr>
        <w:t>Eurofound</w:t>
      </w:r>
      <w:proofErr w:type="spellEnd"/>
      <w:r w:rsidR="00EA2C2C" w:rsidRPr="00EC5E1C">
        <w:t>:</w:t>
      </w:r>
    </w:p>
    <w:p w14:paraId="6F3B4954" w14:textId="77777777" w:rsidR="00EA2C2C" w:rsidRPr="00EC5E1C" w:rsidRDefault="00EA2C2C" w:rsidP="00EA2C2C">
      <w:pPr>
        <w:pStyle w:val="NormalHanging12a"/>
        <w:ind w:left="1134"/>
        <w:rPr>
          <w:bCs/>
        </w:rPr>
      </w:pPr>
      <w:r w:rsidRPr="00EC5E1C">
        <w:t>i)</w:t>
      </w:r>
      <w:r w:rsidRPr="00EC5E1C">
        <w:tab/>
        <w:t xml:space="preserve">ievērojami stiprināt savas uzraudzības un snieguma mērīšanas sistēmas, pilnībā iekļaujot </w:t>
      </w:r>
      <w:r w:rsidRPr="00EC5E1C">
        <w:rPr>
          <w:i/>
          <w:iCs/>
        </w:rPr>
        <w:t>SMART</w:t>
      </w:r>
      <w:r w:rsidRPr="00EC5E1C">
        <w:t xml:space="preserve"> mērķus un stabilus, uz rezultātiem orientētus galvenos snieguma rādītājus, novēršot datu trūkumu un saskaņojot rādītājus ar darbības prioritātēm, lai uzlabotu izmaksu lietderību un ieinteresēto personu </w:t>
      </w:r>
      <w:proofErr w:type="spellStart"/>
      <w:r w:rsidRPr="00EC5E1C">
        <w:t>pārskatatbildību</w:t>
      </w:r>
      <w:proofErr w:type="spellEnd"/>
      <w:r w:rsidRPr="00EC5E1C">
        <w:t>;</w:t>
      </w:r>
    </w:p>
    <w:p w14:paraId="507910DA" w14:textId="77777777" w:rsidR="00EA2C2C" w:rsidRPr="00EC5E1C" w:rsidRDefault="00EA2C2C" w:rsidP="00EA2C2C">
      <w:pPr>
        <w:pStyle w:val="NormalHanging12a"/>
        <w:ind w:left="1134"/>
      </w:pPr>
      <w:r w:rsidRPr="00EC5E1C">
        <w:t>ii)</w:t>
      </w:r>
      <w:r w:rsidRPr="00EC5E1C">
        <w:tab/>
        <w:t xml:space="preserve"> pieņemt strukturētas un saskaņotas uzraudzības pieejas, nodrošinot datu pilnīgumu un salīdzināmību visos ziņošanas ciklos, attiecīgā gadījumā nosakot konsekventus valsts līmeņa rādītājus un uzlabojot mērķu noteikšanas praksi, vienlaikus stiprinot aģentūru sadarbību, lai izvairītos no dublēšanās un pastiprinātu uz pierādījumiem balstītu politikas atbalstu;</w:t>
      </w:r>
    </w:p>
    <w:p w14:paraId="4F88666B" w14:textId="77777777" w:rsidR="00EA2C2C" w:rsidRPr="00EC5E1C" w:rsidRDefault="00EA2C2C" w:rsidP="00EA2C2C">
      <w:pPr>
        <w:pStyle w:val="NormalHanging12a"/>
        <w:ind w:left="1134"/>
      </w:pPr>
      <w:r w:rsidRPr="00EC5E1C">
        <w:t>iii)</w:t>
      </w:r>
      <w:r w:rsidRPr="00EC5E1C">
        <w:tab/>
        <w:t xml:space="preserve">pastiprināt centienus virzībā uz strukturētu kopīgu pakalpojumu modeli, kas aptver cilvēkresursus, juridisko, IKT, administratīvo un tehnisko atbalstu, lai palielinātu sinerģiju, samazinātu administratīvo slogu, nodrošinātu ilgtspējīgu darba slodzi un dotu iespēju darbiniekiem veikt pamatdarbības uzdevumus; atzīst, ka tam būs nepieciešama rūpīga stratēģija, jo aģentūras atrodas dažādos reģionos, proti, attiecīgi </w:t>
      </w:r>
      <w:proofErr w:type="spellStart"/>
      <w:r w:rsidRPr="00EC5E1C">
        <w:t>Saloniku</w:t>
      </w:r>
      <w:proofErr w:type="spellEnd"/>
      <w:r w:rsidRPr="00EC5E1C">
        <w:t>, Bratislavas, Turīnas, Bilbao un Dublinas pilsētās;</w:t>
      </w:r>
    </w:p>
    <w:p w14:paraId="740F7A39" w14:textId="3175B8C6" w:rsidR="00437C17" w:rsidRPr="00EC5E1C" w:rsidRDefault="00437C17" w:rsidP="00EA2C2C">
      <w:pPr>
        <w:pStyle w:val="NormalHanging12a"/>
        <w:ind w:left="1134"/>
        <w:rPr>
          <w:bCs/>
        </w:rPr>
      </w:pPr>
      <w:r w:rsidRPr="00EC5E1C">
        <w:rPr>
          <w:bCs/>
        </w:rPr>
        <w:t>iv)</w:t>
      </w:r>
      <w:r w:rsidRPr="00EC5E1C">
        <w:rPr>
          <w:bCs/>
        </w:rPr>
        <w:tab/>
        <w:t xml:space="preserve">mudina </w:t>
      </w:r>
      <w:proofErr w:type="spellStart"/>
      <w:r w:rsidRPr="00EC5E1C">
        <w:rPr>
          <w:bCs/>
          <w:i/>
          <w:iCs/>
        </w:rPr>
        <w:t>Cedefop</w:t>
      </w:r>
      <w:proofErr w:type="spellEnd"/>
      <w:r w:rsidRPr="00EC5E1C">
        <w:rPr>
          <w:bCs/>
        </w:rPr>
        <w:t xml:space="preserve"> pieņemt aizstājošu lēmumu, ar ko pilnībā īsteno Eiropas Savienības Tiesas 2026. gada 12. marta spriedumu, ievērojot Civildienesta noteikumus, attiecīgās iekšējās procedūras un noteikumus, kā arī tā darbinieka tiesības, kurš piesakās līguma pagarināšanai; uzsver, ka ir steidzami jāizvairās no turpmākām procedūrām un papildu finansiālajām izmaksām Aģentūrai; aicina </w:t>
      </w:r>
      <w:proofErr w:type="spellStart"/>
      <w:r w:rsidRPr="00EC5E1C">
        <w:rPr>
          <w:bCs/>
          <w:i/>
          <w:iCs/>
        </w:rPr>
        <w:t>Cedefop</w:t>
      </w:r>
      <w:proofErr w:type="spellEnd"/>
      <w:r w:rsidRPr="00EC5E1C">
        <w:rPr>
          <w:bCs/>
        </w:rPr>
        <w:t xml:space="preserve"> nākt klajā ar rīcības plānu, kas ietvertu: i) kā tiks īstenota procedūra lēmuma pieņemšanai pēc situācijas 2017. gadā, tostarp tās laika grafiku; ii) kā </w:t>
      </w:r>
      <w:proofErr w:type="spellStart"/>
      <w:r w:rsidRPr="00EC5E1C">
        <w:rPr>
          <w:bCs/>
          <w:i/>
          <w:iCs/>
        </w:rPr>
        <w:t>Cedefop</w:t>
      </w:r>
      <w:proofErr w:type="spellEnd"/>
      <w:r w:rsidRPr="00EC5E1C">
        <w:rPr>
          <w:bCs/>
        </w:rPr>
        <w:t xml:space="preserve"> plāno nodrošināt, ka tiek ievēroti Civildienesta noteikumi, iekšējās procedūras un visas darbinieka tiesības; iii) kāda veida kompensācija tiks izmaksāta un kādu iemeslu dēļ; iv) kādas izmaiņas </w:t>
      </w:r>
      <w:proofErr w:type="spellStart"/>
      <w:r w:rsidRPr="00EC5E1C">
        <w:rPr>
          <w:bCs/>
          <w:i/>
          <w:iCs/>
        </w:rPr>
        <w:t>Cedefop</w:t>
      </w:r>
      <w:proofErr w:type="spellEnd"/>
      <w:r w:rsidRPr="00EC5E1C">
        <w:rPr>
          <w:bCs/>
        </w:rPr>
        <w:t xml:space="preserve"> ir ieviesis vai kā tiks uzlabotas procedūras darbinieku pieņemšanai darbā vai darba līgumu pagarināšanai; v) informāciju par visu veidu izmaksām, kas radušās visa juridiskā strīda laikā kopš 2017. gada, un līdz septembra sākumam ziņojumu budžeta izpildes </w:t>
      </w:r>
      <w:proofErr w:type="spellStart"/>
      <w:r w:rsidRPr="00EC5E1C">
        <w:rPr>
          <w:bCs/>
        </w:rPr>
        <w:t>apstiprinātājiestādei</w:t>
      </w:r>
      <w:proofErr w:type="spellEnd"/>
      <w:r w:rsidRPr="00EC5E1C">
        <w:rPr>
          <w:bCs/>
        </w:rPr>
        <w:t xml:space="preserve"> par īstenošanas progresu;</w:t>
      </w:r>
    </w:p>
    <w:p w14:paraId="58741DBD" w14:textId="56234DE9" w:rsidR="0076643C" w:rsidRPr="00EC5E1C" w:rsidRDefault="0076643C" w:rsidP="00EA2C2C">
      <w:pPr>
        <w:pStyle w:val="NormalHanging12a"/>
        <w:ind w:left="1134"/>
        <w:rPr>
          <w:bCs/>
        </w:rPr>
      </w:pPr>
      <w:r w:rsidRPr="00EC5E1C">
        <w:rPr>
          <w:bCs/>
        </w:rPr>
        <w:t>v)</w:t>
      </w:r>
      <w:r w:rsidRPr="00EC5E1C">
        <w:rPr>
          <w:bCs/>
        </w:rPr>
        <w:tab/>
        <w:t>stiprināt personāla politiku, lai samazinātu pārmērīgu atkarību no pagaidu darba aģentūras darbiniekiem, pagaidu darbiniekiem un praktikantiem, jo īpaši attiecībā uz pamatfunkcijām un nepārtrauktajām funkcijām; uzsver, ka strukturāli nestabila personāla komplektēšanas kārtība var palielināt darba slodzes spiedienu, vājināt uzraudzību un apmācību un neveicināt veselīgus, drošus un stabilus darba apstākļus; aicina aģentūras nodrošināt, ka pastāvīgās vajadzības galvenokārt tiek apmierinātas, izmantojot pienācīgi apmācītus štata darbiniekus, vajadzības gadījumā nodrošināt ilgāka termiņa un stabilākas nodarbinātības perspektīvas un nodrošināt, ka praktikanti netiek izmantoti, lai kompensētu strukturālu darbinieku trūkumu vai veiktu pamatfunkcijas;</w:t>
      </w:r>
    </w:p>
    <w:p w14:paraId="3ECDEDF0" w14:textId="77777777" w:rsidR="00EA2C2C" w:rsidRPr="00EC5E1C" w:rsidRDefault="00EA2C2C" w:rsidP="00EA2C2C">
      <w:pPr>
        <w:pStyle w:val="NormalHanging12a"/>
        <w:rPr>
          <w:b/>
          <w:bCs/>
          <w:i/>
          <w:iCs/>
        </w:rPr>
      </w:pPr>
      <w:r w:rsidRPr="00EC5E1C">
        <w:rPr>
          <w:b/>
          <w:i/>
        </w:rPr>
        <w:lastRenderedPageBreak/>
        <w:t>Aģentūras veselības un pārtikas nekaitīguma jomā</w:t>
      </w:r>
      <w:r w:rsidRPr="00EC5E1C">
        <w:rPr>
          <w:b/>
          <w:bCs/>
          <w:i/>
          <w:iCs/>
          <w:vertAlign w:val="superscript"/>
        </w:rPr>
        <w:footnoteReference w:id="414"/>
      </w:r>
    </w:p>
    <w:p w14:paraId="7D2DEC92" w14:textId="73261F13" w:rsidR="00EA2C2C" w:rsidRPr="00EC5E1C" w:rsidRDefault="00EC5E1C" w:rsidP="00EA2C2C">
      <w:pPr>
        <w:pStyle w:val="NormalHanging12a"/>
      </w:pPr>
      <w:r w:rsidRPr="00EC5E1C">
        <w:t>103</w:t>
      </w:r>
      <w:r w:rsidR="00EA2C2C" w:rsidRPr="00EC5E1C">
        <w:t>.</w:t>
      </w:r>
      <w:r w:rsidR="00EA2C2C" w:rsidRPr="00EC5E1C">
        <w:tab/>
        <w:t xml:space="preserve">ar bažām norāda, ka joprojām pastāv problēma saistībā ar </w:t>
      </w:r>
      <w:r w:rsidR="00EA2C2C" w:rsidRPr="00EC5E1C">
        <w:rPr>
          <w:i/>
          <w:iCs/>
        </w:rPr>
        <w:t>EMA</w:t>
      </w:r>
      <w:r w:rsidR="00EA2C2C" w:rsidRPr="00EC5E1C">
        <w:t xml:space="preserve"> bijušajām telpām Londonā, kas rada būtiskas finansiālas un operatīvas problēmas; apzinās, ka, neraugoties uz </w:t>
      </w:r>
      <w:r w:rsidR="00EA2C2C" w:rsidRPr="00EC5E1C">
        <w:rPr>
          <w:i/>
          <w:iCs/>
        </w:rPr>
        <w:t>EMA</w:t>
      </w:r>
      <w:r w:rsidR="00EA2C2C" w:rsidRPr="00EC5E1C">
        <w:t xml:space="preserve"> pārvietošanu </w:t>
      </w:r>
      <w:proofErr w:type="spellStart"/>
      <w:r w:rsidR="00EA2C2C" w:rsidRPr="00EC5E1C">
        <w:rPr>
          <w:i/>
          <w:iCs/>
        </w:rPr>
        <w:t>Brexit</w:t>
      </w:r>
      <w:proofErr w:type="spellEnd"/>
      <w:r w:rsidR="00EA2C2C" w:rsidRPr="00EC5E1C">
        <w:t xml:space="preserve"> dēļ, tā joprojām ir finansiāli atbildīga par šīm telpām, un šo situāciju saasina apakšīrnieka nestabilais finansiālais stāvoklis pēc “</w:t>
      </w:r>
      <w:proofErr w:type="spellStart"/>
      <w:r w:rsidR="00EA2C2C" w:rsidRPr="00EC5E1C">
        <w:t>WeWork</w:t>
      </w:r>
      <w:proofErr w:type="spellEnd"/>
      <w:r w:rsidR="00EA2C2C" w:rsidRPr="00EC5E1C">
        <w:t xml:space="preserve">” </w:t>
      </w:r>
      <w:proofErr w:type="spellStart"/>
      <w:r w:rsidR="00EA2C2C" w:rsidRPr="00EC5E1C">
        <w:t>mātesuzņēmuma</w:t>
      </w:r>
      <w:proofErr w:type="spellEnd"/>
      <w:r w:rsidR="00EA2C2C" w:rsidRPr="00EC5E1C">
        <w:t xml:space="preserve"> bankrota 2023. gada novembrī; ņem vērā, ka maksimālā riska ekspozīcija, ieskaitot pašvaldības nodokli, kas </w:t>
      </w:r>
      <w:r w:rsidR="00EA2C2C" w:rsidRPr="00EC5E1C">
        <w:rPr>
          <w:i/>
          <w:iCs/>
        </w:rPr>
        <w:t>EMA</w:t>
      </w:r>
      <w:r w:rsidR="00EA2C2C" w:rsidRPr="00EC5E1C">
        <w:t xml:space="preserve"> būtu jāmaksā, ja telpas paliktu tukšas visu atlikušo nomas periodu, ir 543 miljoni EUR.</w:t>
      </w:r>
    </w:p>
    <w:p w14:paraId="65D99BD1" w14:textId="18830ACD" w:rsidR="00EA2C2C" w:rsidRPr="00EC5E1C" w:rsidRDefault="00EC5E1C" w:rsidP="00EA2C2C">
      <w:pPr>
        <w:pStyle w:val="NormalHanging12a"/>
      </w:pPr>
      <w:r w:rsidRPr="00EC5E1C">
        <w:t>104</w:t>
      </w:r>
      <w:r w:rsidR="00EA2C2C" w:rsidRPr="00EC5E1C">
        <w:t>.</w:t>
      </w:r>
      <w:r w:rsidR="00EA2C2C" w:rsidRPr="00EC5E1C">
        <w:tab/>
        <w:t xml:space="preserve">norāda, ka 2024. gada oktobrī saskaņā ar diskusijām ar ES budžeta lēmējinstitūcijām un ar īpašnieka piekrišanu EMA vienojās ar apakšnomnieku grozīt esošo apakšnomu, samazinot nomas maksu, bet vienlaikus saglabājot pilnu pakalpojumu maksu un īpašnieka apdrošināšanu; norāda, ka grozījums ietvēra nosacījumus, ar kādiem </w:t>
      </w:r>
      <w:r w:rsidR="00EA2C2C" w:rsidRPr="00EC5E1C">
        <w:rPr>
          <w:i/>
          <w:iCs/>
        </w:rPr>
        <w:t>EMA</w:t>
      </w:r>
      <w:r w:rsidR="00EA2C2C" w:rsidRPr="00EC5E1C">
        <w:t xml:space="preserve"> vai apakšnomnieks priekšlaicīgi, t. i., pirms plānotā termiņa beigām 2039. gada jūnijā, izbeidz apakšnomu saskaņā ar konkrētiem nosacījumiem; apzinās, ka šim nolūkam </w:t>
      </w:r>
      <w:r w:rsidR="00EA2C2C" w:rsidRPr="00EC5E1C">
        <w:rPr>
          <w:i/>
          <w:iCs/>
        </w:rPr>
        <w:t>EMA</w:t>
      </w:r>
      <w:r w:rsidR="00EA2C2C" w:rsidRPr="00EC5E1C">
        <w:t xml:space="preserve"> 2024. gada 31. decembrī paredzēja uzkrājumu apgrūtinošam līgumam 122,1 miljona EUR apmērā; norāda, ka 2024. gadā </w:t>
      </w:r>
      <w:r w:rsidR="00EA2C2C" w:rsidRPr="00EC5E1C">
        <w:rPr>
          <w:i/>
          <w:iCs/>
        </w:rPr>
        <w:t>EMA</w:t>
      </w:r>
      <w:r w:rsidR="00EA2C2C" w:rsidRPr="00EC5E1C">
        <w:t xml:space="preserve"> saņēma naudas atmaksu no Komisijas 11,2 miljonu EUR apmērā, un šī summa tika atzīta par ienākumiem; atzinīgi vērtē </w:t>
      </w:r>
      <w:r w:rsidR="00EA2C2C" w:rsidRPr="00EC5E1C">
        <w:rPr>
          <w:i/>
          <w:iCs/>
        </w:rPr>
        <w:t>EMA</w:t>
      </w:r>
      <w:r w:rsidR="00EA2C2C" w:rsidRPr="00EC5E1C">
        <w:t xml:space="preserve"> </w:t>
      </w:r>
      <w:proofErr w:type="spellStart"/>
      <w:r w:rsidR="00EA2C2C" w:rsidRPr="00EC5E1C">
        <w:t>proaktīvos</w:t>
      </w:r>
      <w:proofErr w:type="spellEnd"/>
      <w:r w:rsidR="00EA2C2C" w:rsidRPr="00EC5E1C">
        <w:t xml:space="preserve"> soļus un piesardzīgos pasākumus, lai mazinātu daļu no finansiālā sloga, ko rada šī problēma;</w:t>
      </w:r>
    </w:p>
    <w:p w14:paraId="683B87A6" w14:textId="764212E4" w:rsidR="00EA2C2C" w:rsidRPr="00EC5E1C" w:rsidRDefault="00EC5E1C" w:rsidP="00EA2C2C">
      <w:pPr>
        <w:pStyle w:val="NormalHanging12a"/>
      </w:pPr>
      <w:r w:rsidRPr="00EC5E1C">
        <w:t>105</w:t>
      </w:r>
      <w:r w:rsidR="00EA2C2C" w:rsidRPr="00EC5E1C">
        <w:t>.</w:t>
      </w:r>
      <w:r w:rsidR="00EA2C2C" w:rsidRPr="00EC5E1C">
        <w:tab/>
        <w:t xml:space="preserve">uzsver, ka laikā, kad </w:t>
      </w:r>
      <w:r w:rsidR="00EA2C2C" w:rsidRPr="00EC5E1C">
        <w:rPr>
          <w:i/>
          <w:iCs/>
        </w:rPr>
        <w:t>EMA</w:t>
      </w:r>
      <w:r w:rsidR="00EA2C2C" w:rsidRPr="00EC5E1C">
        <w:t xml:space="preserve"> publicēja pārskatus, apakšnomnieks bija izpildījis savas līgumsaistības, samaksājot nomas maksu un pakalpojumu maksu par laikposmu līdz 2025. gada 30. jūnijam;</w:t>
      </w:r>
    </w:p>
    <w:p w14:paraId="4ECFECA1" w14:textId="5FDBAC69" w:rsidR="00EA2C2C" w:rsidRPr="00EC5E1C" w:rsidRDefault="00EC5E1C" w:rsidP="00EA2C2C">
      <w:pPr>
        <w:pStyle w:val="NormalHanging12a"/>
      </w:pPr>
      <w:r w:rsidRPr="00EC5E1C">
        <w:t>106</w:t>
      </w:r>
      <w:r w:rsidR="00EA2C2C" w:rsidRPr="00EC5E1C">
        <w:t>.</w:t>
      </w:r>
      <w:r w:rsidR="00EA2C2C" w:rsidRPr="00EC5E1C">
        <w:tab/>
        <w:t xml:space="preserve">pauž atbalstu </w:t>
      </w:r>
      <w:r w:rsidR="00EA2C2C" w:rsidRPr="00EC5E1C">
        <w:rPr>
          <w:i/>
          <w:iCs/>
        </w:rPr>
        <w:t>EMA</w:t>
      </w:r>
      <w:r w:rsidR="00EA2C2C" w:rsidRPr="00EC5E1C">
        <w:t xml:space="preserve"> valdes prasībai atrisināt šo jautājumu augstākajā politiskajā līmenī, tādējādi ļaujot</w:t>
      </w:r>
      <w:r w:rsidR="00EA2C2C" w:rsidRPr="00EC5E1C">
        <w:rPr>
          <w:i/>
          <w:iCs/>
        </w:rPr>
        <w:t xml:space="preserve"> EMA</w:t>
      </w:r>
      <w:r w:rsidR="00EA2C2C" w:rsidRPr="00EC5E1C">
        <w:t xml:space="preserve"> koncentrēt savus resursus uz tās oficiālo pilnvaru īstenošanu un pievērsties sabiedrības veselības prioritātēm visā Savienībā;</w:t>
      </w:r>
    </w:p>
    <w:p w14:paraId="19B5C9F6" w14:textId="09723474" w:rsidR="00EA2C2C" w:rsidRPr="00EC5E1C" w:rsidRDefault="00EC5E1C" w:rsidP="00EA2C2C">
      <w:pPr>
        <w:pStyle w:val="NormalHanging12a"/>
      </w:pPr>
      <w:r w:rsidRPr="00EC5E1C">
        <w:t>107</w:t>
      </w:r>
      <w:r w:rsidR="00EA2C2C" w:rsidRPr="00EC5E1C">
        <w:t>.</w:t>
      </w:r>
      <w:r w:rsidR="00EA2C2C" w:rsidRPr="00EC5E1C">
        <w:tab/>
        <w:t xml:space="preserve">atgādina par diviem </w:t>
      </w:r>
      <w:r w:rsidR="00EA2C2C" w:rsidRPr="00EC5E1C">
        <w:rPr>
          <w:i/>
          <w:iCs/>
        </w:rPr>
        <w:t>EMA</w:t>
      </w:r>
      <w:r w:rsidR="00EA2C2C" w:rsidRPr="00EC5E1C">
        <w:t xml:space="preserve"> iepirkuma pārkāpumiem, uz kuriem Revīzijas palāta norādīja 2020. gadā un kuru rezultātā 2024. gadā tika veikti nepareizi maksājumi; norāda, ka </w:t>
      </w:r>
      <w:r w:rsidR="00EA2C2C" w:rsidRPr="00EC5E1C">
        <w:rPr>
          <w:i/>
          <w:iCs/>
        </w:rPr>
        <w:t>EMA</w:t>
      </w:r>
      <w:r w:rsidR="00EA2C2C" w:rsidRPr="00EC5E1C">
        <w:t xml:space="preserve"> pārsniedza vairāku IT pamatlīgumu finanšu maksimālos apjomus, palielinot tos no 77 % līdz 124 %, tādējādi pārkāpjot Finanšu regulas 172. panta 3. punkta a) apakšpunkta iii) punktu, kā rezultātā 2024. gadā tika veikti nepareizi maksājumi 3,1 miljona EUR apmērā; pieņem zināšanai </w:t>
      </w:r>
      <w:r w:rsidR="00EA2C2C" w:rsidRPr="00EC5E1C">
        <w:rPr>
          <w:i/>
          <w:iCs/>
        </w:rPr>
        <w:t>EMA</w:t>
      </w:r>
      <w:r w:rsidR="00EA2C2C" w:rsidRPr="00EC5E1C">
        <w:t xml:space="preserve"> atbildi, ka palielinājumi bija nepieciešami, lai reaģētu uz ārkārtējām darbības vajadzībām, ko radīja neparedzēti notikumi likumdošanas un sabiedrības veselības jomā, un ka visi līguma grozījumi tika reģistrēti izņēmumu reģistrā;</w:t>
      </w:r>
    </w:p>
    <w:p w14:paraId="6E11A44D" w14:textId="17A0A1A1" w:rsidR="00EA2C2C" w:rsidRPr="00EC5E1C" w:rsidRDefault="00EC5E1C" w:rsidP="00EA2C2C">
      <w:pPr>
        <w:pStyle w:val="NormalHanging12a"/>
      </w:pPr>
      <w:r w:rsidRPr="00EC5E1C">
        <w:t>108</w:t>
      </w:r>
      <w:r w:rsidR="00EA2C2C" w:rsidRPr="00EC5E1C">
        <w:t>.</w:t>
      </w:r>
      <w:r w:rsidR="00EA2C2C" w:rsidRPr="00EC5E1C">
        <w:tab/>
        <w:t>vērš uzmanību uz Komisijas 2024. gada 28. jūnija Īstenošanas lēmumu, ar ko atceļ Komisijas Lēmumu C(2018) 4831, ar kuru atbilstīgi Regulai (EK) Nr. 726/2004 tika atteikta tirdzniecības atļauja cilvēkiem paredzētām zālēm “</w:t>
      </w:r>
      <w:proofErr w:type="spellStart"/>
      <w:r w:rsidR="00EA2C2C" w:rsidRPr="00EC5E1C">
        <w:t>Aplidin</w:t>
      </w:r>
      <w:proofErr w:type="spellEnd"/>
      <w:r w:rsidR="00EA2C2C" w:rsidRPr="00EC5E1C">
        <w:t xml:space="preserve"> (</w:t>
      </w:r>
      <w:proofErr w:type="spellStart"/>
      <w:r w:rsidR="00EA2C2C" w:rsidRPr="00EC5E1C">
        <w:t>plitidepsīns</w:t>
      </w:r>
      <w:proofErr w:type="spellEnd"/>
      <w:r w:rsidR="00EA2C2C" w:rsidRPr="00EC5E1C">
        <w:t xml:space="preserve">)”; uzsver, ka atsaukšanas pamatā bija konstatējums par interešu konfliktu, kas saistīts ar vienu no zinātniskajiem padomdevējiem, kurš piedalījās padomdevējā grupā un kurš aktīvi piedalījās konkurējošu zāļu izstrādē, un šim apstāklim būtu bijis jāliedz viņa dalība saskaņā ar objektīvās neitralitātes principu; uzsver, ka </w:t>
      </w:r>
      <w:r w:rsidR="00EA2C2C" w:rsidRPr="00EC5E1C">
        <w:rPr>
          <w:i/>
          <w:iCs/>
        </w:rPr>
        <w:t>EMA</w:t>
      </w:r>
      <w:r w:rsidR="00EA2C2C" w:rsidRPr="00EC5E1C">
        <w:t xml:space="preserve"> ir ievērojami pastiprinājusi savu politiku attiecībā uz zinātnisko komiteju locekļu un ekspertu konkurējošu interešu pārvaldību, ko </w:t>
      </w:r>
      <w:r w:rsidR="00EA2C2C" w:rsidRPr="00EC5E1C">
        <w:rPr>
          <w:i/>
          <w:iCs/>
        </w:rPr>
        <w:t>EMA</w:t>
      </w:r>
      <w:r w:rsidR="00EA2C2C" w:rsidRPr="00EC5E1C">
        <w:t xml:space="preserve"> valde pieņēma 2024. gada decembrī un kas </w:t>
      </w:r>
      <w:r w:rsidR="00EA2C2C" w:rsidRPr="00EC5E1C">
        <w:lastRenderedPageBreak/>
        <w:t>stājās spēkā 2025. gada 1. maijā;</w:t>
      </w:r>
    </w:p>
    <w:p w14:paraId="35D9182F" w14:textId="7535FD6F" w:rsidR="00EA2C2C" w:rsidRPr="00EC5E1C" w:rsidRDefault="00EC5E1C" w:rsidP="00EA2C2C">
      <w:pPr>
        <w:pStyle w:val="NormalHanging12a"/>
      </w:pPr>
      <w:r w:rsidRPr="00EC5E1C">
        <w:t>109</w:t>
      </w:r>
      <w:r w:rsidR="00EA2C2C" w:rsidRPr="00EC5E1C">
        <w:t>.</w:t>
      </w:r>
      <w:r w:rsidR="00EA2C2C" w:rsidRPr="00EC5E1C">
        <w:tab/>
        <w:t xml:space="preserve">atzinīgi vērtē </w:t>
      </w:r>
      <w:r w:rsidR="00EA2C2C" w:rsidRPr="00EC5E1C">
        <w:rPr>
          <w:i/>
          <w:iCs/>
        </w:rPr>
        <w:t>EMA</w:t>
      </w:r>
      <w:r w:rsidR="00EA2C2C" w:rsidRPr="00EC5E1C">
        <w:t xml:space="preserve"> darbu </w:t>
      </w:r>
      <w:proofErr w:type="spellStart"/>
      <w:r w:rsidR="00EA2C2C" w:rsidRPr="00EC5E1C">
        <w:t>amoksicilīna</w:t>
      </w:r>
      <w:proofErr w:type="spellEnd"/>
      <w:r w:rsidR="00EA2C2C" w:rsidRPr="00EC5E1C">
        <w:t xml:space="preserve"> antibiotiku trūkuma novēršanā Eiropā un sadarbību ar valstu zāļu aģentūrām, lai novērstu trūkumu, kā rezultātā </w:t>
      </w:r>
      <w:proofErr w:type="spellStart"/>
      <w:r w:rsidR="00EA2C2C" w:rsidRPr="00EC5E1C">
        <w:t>amoksicilīns</w:t>
      </w:r>
      <w:proofErr w:type="spellEnd"/>
      <w:r w:rsidR="00EA2C2C" w:rsidRPr="00EC5E1C">
        <w:t xml:space="preserve"> 2024. gadā tika svītrots no deficīta saraksta; mudina </w:t>
      </w:r>
      <w:r w:rsidR="00EA2C2C" w:rsidRPr="00EC5E1C">
        <w:rPr>
          <w:i/>
          <w:iCs/>
        </w:rPr>
        <w:t>EMA</w:t>
      </w:r>
      <w:r w:rsidR="00EA2C2C" w:rsidRPr="00EC5E1C">
        <w:t xml:space="preserve"> turpināt piemērot personāla un budžeta resursus līdzīgiem mērķiem;</w:t>
      </w:r>
    </w:p>
    <w:p w14:paraId="64818070" w14:textId="334892DF" w:rsidR="00EA2C2C" w:rsidRPr="00EC5E1C" w:rsidRDefault="00EC5E1C" w:rsidP="00EA2C2C">
      <w:pPr>
        <w:pStyle w:val="NormalHanging12a"/>
      </w:pPr>
      <w:r w:rsidRPr="00EC5E1C">
        <w:t>110</w:t>
      </w:r>
      <w:r w:rsidR="00EA2C2C" w:rsidRPr="00EC5E1C">
        <w:t>.</w:t>
      </w:r>
      <w:r w:rsidR="00EA2C2C" w:rsidRPr="00EC5E1C">
        <w:tab/>
        <w:t xml:space="preserve">norāda, ka Revīzijas palāta Īpašajā ziņojumā 12/2024 ieteica </w:t>
      </w:r>
      <w:r w:rsidR="00EA2C2C" w:rsidRPr="00EC5E1C">
        <w:rPr>
          <w:i/>
          <w:iCs/>
        </w:rPr>
        <w:t>EMA</w:t>
      </w:r>
      <w:r w:rsidR="00EA2C2C" w:rsidRPr="00EC5E1C">
        <w:t xml:space="preserve"> turpināt darbu pie tā, lai nodrošinātu, ka tās paziņojumi ir viegli pieejami sabiedrībai, lai sabiedrībai būtu labāks priekšstats par to, kā šī aģentūra izmanto Savienības līdzekļus;</w:t>
      </w:r>
    </w:p>
    <w:p w14:paraId="57293FD3" w14:textId="02373F1F" w:rsidR="00EA2C2C" w:rsidRPr="00EC5E1C" w:rsidRDefault="00EC5E1C" w:rsidP="00EA2C2C">
      <w:pPr>
        <w:pStyle w:val="NormalHanging12a"/>
      </w:pPr>
      <w:r w:rsidRPr="00EC5E1C">
        <w:t>111</w:t>
      </w:r>
      <w:r w:rsidR="00EA2C2C" w:rsidRPr="00EC5E1C">
        <w:t>.</w:t>
      </w:r>
      <w:r w:rsidR="00EA2C2C" w:rsidRPr="00EC5E1C">
        <w:tab/>
        <w:t xml:space="preserve">norāda, ka Revīzijas palāta savā 2024. gada decembra īpašajā ziņojumā ieteica </w:t>
      </w:r>
      <w:r w:rsidR="00EA2C2C" w:rsidRPr="00EC5E1C">
        <w:rPr>
          <w:i/>
          <w:iCs/>
        </w:rPr>
        <w:t>EMA</w:t>
      </w:r>
      <w:r w:rsidR="00EA2C2C" w:rsidRPr="00EC5E1C">
        <w:t xml:space="preserve"> sadarboties ar </w:t>
      </w:r>
      <w:r w:rsidR="00EA2C2C" w:rsidRPr="00EC5E1C">
        <w:rPr>
          <w:i/>
          <w:iCs/>
        </w:rPr>
        <w:t>ECDC</w:t>
      </w:r>
      <w:r w:rsidR="00EA2C2C" w:rsidRPr="00EC5E1C">
        <w:t xml:space="preserve"> un </w:t>
      </w:r>
      <w:r w:rsidR="00EA2C2C" w:rsidRPr="00EC5E1C">
        <w:rPr>
          <w:i/>
          <w:iCs/>
        </w:rPr>
        <w:t>HERA</w:t>
      </w:r>
      <w:r w:rsidR="00EA2C2C" w:rsidRPr="00EC5E1C">
        <w:t>, lai uzlabotu gatavību pandēmijām, nosakot skaidrākus uzdevumus, efektīvāk izmantojot Savienības līdzekļus un pārskatot pandēmijas laikā izstrādātos instrumentus, procedūras un norādījumus, lai noteiktu, kuri būtu jāsaglabā vai jāpielāgo atbilstoši zinātnes un tehnoloģiju progresam, un mudina piešķirt pietiekamus resursus šo centienu atbalstam;</w:t>
      </w:r>
    </w:p>
    <w:p w14:paraId="64825426" w14:textId="1C7D2E07" w:rsidR="00EA2C2C" w:rsidRPr="00EC5E1C" w:rsidRDefault="00EC5E1C" w:rsidP="00EA2C2C">
      <w:pPr>
        <w:pStyle w:val="NormalHanging12a"/>
      </w:pPr>
      <w:r w:rsidRPr="00EC5E1C">
        <w:t>112</w:t>
      </w:r>
      <w:r w:rsidR="00EA2C2C" w:rsidRPr="00EC5E1C">
        <w:t>.</w:t>
      </w:r>
      <w:r w:rsidR="00EA2C2C" w:rsidRPr="00EC5E1C">
        <w:tab/>
        <w:t xml:space="preserve">uzsver, ka </w:t>
      </w:r>
      <w:r w:rsidR="00EA2C2C" w:rsidRPr="00EC5E1C">
        <w:rPr>
          <w:i/>
          <w:iCs/>
        </w:rPr>
        <w:t>EMA</w:t>
      </w:r>
      <w:r w:rsidR="00EA2C2C" w:rsidRPr="00EC5E1C">
        <w:t xml:space="preserve"> cita starpā ir norādījusi uz to, ka Eiropas Savienības un EEZ dalībvalstīs joprojām trūkst kritiski svarīgu zāļu, tostarp būtisku </w:t>
      </w:r>
      <w:proofErr w:type="spellStart"/>
      <w:r w:rsidR="00EA2C2C" w:rsidRPr="00EC5E1C">
        <w:t>pretvēža</w:t>
      </w:r>
      <w:proofErr w:type="spellEnd"/>
      <w:r w:rsidR="00EA2C2C" w:rsidRPr="00EC5E1C">
        <w:t xml:space="preserve"> zāļu (</w:t>
      </w:r>
      <w:proofErr w:type="spellStart"/>
      <w:r w:rsidR="00EA2C2C" w:rsidRPr="00EC5E1C">
        <w:t>fludarabīna</w:t>
      </w:r>
      <w:proofErr w:type="spellEnd"/>
      <w:r w:rsidR="00EA2C2C" w:rsidRPr="00EC5E1C">
        <w:t xml:space="preserve">, </w:t>
      </w:r>
      <w:proofErr w:type="spellStart"/>
      <w:r w:rsidR="00EA2C2C" w:rsidRPr="00EC5E1C">
        <w:t>vindesīna</w:t>
      </w:r>
      <w:proofErr w:type="spellEnd"/>
      <w:r w:rsidR="00EA2C2C" w:rsidRPr="00EC5E1C">
        <w:t xml:space="preserve">, </w:t>
      </w:r>
      <w:proofErr w:type="spellStart"/>
      <w:r w:rsidR="00EA2C2C" w:rsidRPr="00EC5E1C">
        <w:t>fluoruracila</w:t>
      </w:r>
      <w:proofErr w:type="spellEnd"/>
      <w:r w:rsidR="00EA2C2C" w:rsidRPr="00EC5E1C">
        <w:t xml:space="preserve">, </w:t>
      </w:r>
      <w:proofErr w:type="spellStart"/>
      <w:r w:rsidR="00EA2C2C" w:rsidRPr="00EC5E1C">
        <w:t>cisplatīna</w:t>
      </w:r>
      <w:proofErr w:type="spellEnd"/>
      <w:r w:rsidR="00EA2C2C" w:rsidRPr="00EC5E1C">
        <w:t xml:space="preserve">, </w:t>
      </w:r>
      <w:proofErr w:type="spellStart"/>
      <w:r w:rsidR="00EA2C2C" w:rsidRPr="00EC5E1C">
        <w:t>topotekāna</w:t>
      </w:r>
      <w:proofErr w:type="spellEnd"/>
      <w:r w:rsidR="00EA2C2C" w:rsidRPr="00EC5E1C">
        <w:t xml:space="preserve">, </w:t>
      </w:r>
      <w:proofErr w:type="spellStart"/>
      <w:r w:rsidR="00EA2C2C" w:rsidRPr="00EC5E1C">
        <w:t>metotreksāta</w:t>
      </w:r>
      <w:proofErr w:type="spellEnd"/>
      <w:r w:rsidR="00EA2C2C" w:rsidRPr="00EC5E1C">
        <w:t xml:space="preserve">) leikēmijas, </w:t>
      </w:r>
      <w:proofErr w:type="spellStart"/>
      <w:r w:rsidR="00EA2C2C" w:rsidRPr="00EC5E1C">
        <w:t>limfomas</w:t>
      </w:r>
      <w:proofErr w:type="spellEnd"/>
      <w:r w:rsidR="00EA2C2C" w:rsidRPr="00EC5E1C">
        <w:t xml:space="preserve">, olnīcu un </w:t>
      </w:r>
      <w:proofErr w:type="spellStart"/>
      <w:r w:rsidR="00EA2C2C" w:rsidRPr="00EC5E1C">
        <w:t>sīkšūnu</w:t>
      </w:r>
      <w:proofErr w:type="spellEnd"/>
      <w:r w:rsidR="00EA2C2C" w:rsidRPr="00EC5E1C">
        <w:t xml:space="preserve"> plaušu vēža ārstēšanai, kā arī būtisku diabēta ārstniecisku līdzekļu (dažādu insulīnu, </w:t>
      </w:r>
      <w:proofErr w:type="spellStart"/>
      <w:r w:rsidR="00EA2C2C" w:rsidRPr="00EC5E1C">
        <w:t>liraglutīda</w:t>
      </w:r>
      <w:proofErr w:type="spellEnd"/>
      <w:r w:rsidR="00EA2C2C" w:rsidRPr="00EC5E1C">
        <w:t xml:space="preserve">, </w:t>
      </w:r>
      <w:proofErr w:type="spellStart"/>
      <w:r w:rsidR="00EA2C2C" w:rsidRPr="00EC5E1C">
        <w:t>dulaglutīda</w:t>
      </w:r>
      <w:proofErr w:type="spellEnd"/>
      <w:r w:rsidR="00EA2C2C" w:rsidRPr="00EC5E1C">
        <w:t>), kas nepieciešami 1. un 2. tipa diabēta pārvaldībai;</w:t>
      </w:r>
    </w:p>
    <w:p w14:paraId="76E30F1E" w14:textId="095B8B01" w:rsidR="00EA2C2C" w:rsidRPr="00EC5E1C" w:rsidRDefault="00EC5E1C" w:rsidP="00EA2C2C">
      <w:pPr>
        <w:pStyle w:val="NormalHanging12a"/>
      </w:pPr>
      <w:r w:rsidRPr="00EC5E1C">
        <w:t>113</w:t>
      </w:r>
      <w:r w:rsidR="00EA2C2C" w:rsidRPr="00EC5E1C">
        <w:t>.</w:t>
      </w:r>
      <w:r w:rsidR="00EA2C2C" w:rsidRPr="00EC5E1C">
        <w:tab/>
        <w:t xml:space="preserve">pauž nopietnas bažas par atkārtotiem Finanšu regulas pārkāpumiem, kas konstatēti </w:t>
      </w:r>
      <w:r w:rsidR="00EA2C2C" w:rsidRPr="00EC5E1C">
        <w:rPr>
          <w:i/>
          <w:iCs/>
        </w:rPr>
        <w:t>EUDA</w:t>
      </w:r>
      <w:r w:rsidR="00EA2C2C" w:rsidRPr="00EC5E1C">
        <w:t xml:space="preserve"> iepirkuma procesos, ņemot vērā piecus pārkāpumus, uz kuriem Revīzijas palāta norādīja 2024. gadā; uzsver, ka šie pārkāpumi ietver:</w:t>
      </w:r>
    </w:p>
    <w:p w14:paraId="7FC7DF84" w14:textId="77777777" w:rsidR="00EA2C2C" w:rsidRPr="00EC5E1C" w:rsidRDefault="00EA2C2C" w:rsidP="00EA2C2C">
      <w:pPr>
        <w:pStyle w:val="NormalHanging12a"/>
        <w:ind w:left="1134"/>
      </w:pPr>
      <w:r w:rsidRPr="00EC5E1C">
        <w:t>–</w:t>
      </w:r>
      <w:r w:rsidRPr="00EC5E1C">
        <w:tab/>
        <w:t>neatļautu līgumu sadalīšanu un sarunu procedūru nepareiza izmantošanu bez pamatojuma attiecībā uz trim Lisabonas pasākumu līgumiem (vieta un ēdināšana par kopējo summu 210 668 EUR), kā arī svarīgu dokumentu trūkumu un publiskā iepirkuma publicitātes prasību neievērošanu;</w:t>
      </w:r>
    </w:p>
    <w:p w14:paraId="31D6C144" w14:textId="77777777" w:rsidR="00EA2C2C" w:rsidRPr="00EC5E1C" w:rsidRDefault="00EA2C2C" w:rsidP="00EA2C2C">
      <w:pPr>
        <w:pStyle w:val="NormalHanging12a"/>
        <w:ind w:left="1134"/>
      </w:pPr>
      <w:r w:rsidRPr="00EC5E1C">
        <w:t>–</w:t>
      </w:r>
      <w:r w:rsidRPr="00EC5E1C">
        <w:tab/>
        <w:t>nopietnus trūkumus 410 000 EUR vērtā līgumā par ziņošanas sistēmu par narkotiku tirdzniecību, tostarp pienācīgu konkursa specifikāciju, piešķiršanas kritēriju un vērtēšanas komitejas neesamību, kā rezultātā gan līgums, gan tā maksājums 60 000 EUR apmērā ir nepareizs;</w:t>
      </w:r>
    </w:p>
    <w:p w14:paraId="16C1205A" w14:textId="77777777" w:rsidR="00EA2C2C" w:rsidRPr="00EC5E1C" w:rsidRDefault="00EA2C2C" w:rsidP="00EA2C2C">
      <w:pPr>
        <w:pStyle w:val="NormalHanging12a"/>
        <w:ind w:left="1134"/>
      </w:pPr>
      <w:r w:rsidRPr="00EC5E1C">
        <w:t>–</w:t>
      </w:r>
      <w:r w:rsidRPr="00EC5E1C">
        <w:tab/>
        <w:t xml:space="preserve">pārmērīgus maksājumus 14 007 EUR apmērā, kas pārsniedz līguma vērtību, par inaugurācijas ceremonijām, pārkāpjot </w:t>
      </w:r>
      <w:r w:rsidRPr="00EC5E1C">
        <w:rPr>
          <w:i/>
          <w:iCs/>
        </w:rPr>
        <w:t>EUDA</w:t>
      </w:r>
      <w:r w:rsidRPr="00EC5E1C">
        <w:t xml:space="preserve"> finanšu noteikumu 73. pantu;</w:t>
      </w:r>
    </w:p>
    <w:p w14:paraId="0A02DD96" w14:textId="77777777" w:rsidR="00EA2C2C" w:rsidRPr="00EC5E1C" w:rsidRDefault="00EA2C2C" w:rsidP="00EA2C2C">
      <w:pPr>
        <w:pStyle w:val="NormalHanging12a"/>
        <w:ind w:left="1134"/>
      </w:pPr>
      <w:r w:rsidRPr="00EC5E1C">
        <w:t>–</w:t>
      </w:r>
      <w:r w:rsidRPr="00EC5E1C">
        <w:tab/>
        <w:t>kļūdainu iepirkumu 10 000 EUR apmērā datu vākšanas līgumam Ukrainā, kurā trūka piešķiršanas kritēriju un pienācīgas dokumentācijas;</w:t>
      </w:r>
    </w:p>
    <w:p w14:paraId="2AFB8282" w14:textId="77777777" w:rsidR="00EA2C2C" w:rsidRPr="00EC5E1C" w:rsidRDefault="00EA2C2C" w:rsidP="00EA2C2C">
      <w:pPr>
        <w:pStyle w:val="NormalHanging12a"/>
        <w:ind w:left="1134"/>
      </w:pPr>
      <w:r w:rsidRPr="00EC5E1C">
        <w:t>–</w:t>
      </w:r>
      <w:r w:rsidRPr="00EC5E1C">
        <w:tab/>
        <w:t>neatbilstību publicitātes prasībām un interešu konflikta deklarācijām 100 000 EUR apmērā pagaidu pakalpojumu iepirkumā;</w:t>
      </w:r>
    </w:p>
    <w:p w14:paraId="0DCA85DA" w14:textId="17F06248" w:rsidR="00EA2C2C" w:rsidRPr="00EC5E1C" w:rsidRDefault="00EC5E1C" w:rsidP="00EA2C2C">
      <w:pPr>
        <w:pStyle w:val="NormalHanging12a"/>
      </w:pPr>
      <w:r w:rsidRPr="00EC5E1C">
        <w:t>114</w:t>
      </w:r>
      <w:r w:rsidR="00EA2C2C" w:rsidRPr="00EC5E1C">
        <w:t>.</w:t>
      </w:r>
      <w:r w:rsidR="00EA2C2C" w:rsidRPr="00EC5E1C">
        <w:tab/>
        <w:t xml:space="preserve">pieņem zināšanai </w:t>
      </w:r>
      <w:r w:rsidR="00EA2C2C" w:rsidRPr="00EC5E1C">
        <w:rPr>
          <w:i/>
          <w:iCs/>
        </w:rPr>
        <w:t>EUDA</w:t>
      </w:r>
      <w:r w:rsidR="00EA2C2C" w:rsidRPr="00EC5E1C">
        <w:t xml:space="preserve"> atbildi, atzīstot gan procesuālos trūkumus, gan nepieciešamību veikt turpmākus pasākumus, lai nodrošinātu atbilstību;</w:t>
      </w:r>
    </w:p>
    <w:p w14:paraId="2D7DC0C2" w14:textId="7BF7317B" w:rsidR="00EA2C2C" w:rsidRPr="00EC5E1C" w:rsidRDefault="00EC5E1C" w:rsidP="00EA2C2C">
      <w:pPr>
        <w:pStyle w:val="NormalHanging12a"/>
      </w:pPr>
      <w:r w:rsidRPr="00EC5E1C">
        <w:t>115</w:t>
      </w:r>
      <w:r w:rsidR="00EA2C2C" w:rsidRPr="00EC5E1C">
        <w:t>.</w:t>
      </w:r>
      <w:r w:rsidR="00EA2C2C" w:rsidRPr="00EC5E1C">
        <w:tab/>
        <w:t xml:space="preserve">pieņem zināšanai pastāvīgos </w:t>
      </w:r>
      <w:r w:rsidR="00EA2C2C" w:rsidRPr="00EC5E1C">
        <w:rPr>
          <w:i/>
          <w:iCs/>
        </w:rPr>
        <w:t>EUDA</w:t>
      </w:r>
      <w:r w:rsidR="00EA2C2C" w:rsidRPr="00EC5E1C">
        <w:t xml:space="preserve"> īstenošanas kavējumus attiecībā uz Iekšējās revīzijas dienesta ieteikumiem par cilvēkresursu pārvaldību un ētiku, jo īpaši atvērto </w:t>
      </w:r>
      <w:r w:rsidR="00EA2C2C" w:rsidRPr="00EC5E1C">
        <w:lastRenderedPageBreak/>
        <w:t>ieteikumu par darba slodzes un snieguma pārvaldību, kas joprojām nav atrisināts, jo pastāv īstenošanas problēmas darba slodzes novērtēšanas un uz darbības jomām balstītas pārvaldības metožu jomā attiecībā uz personāla/</w:t>
      </w:r>
      <w:proofErr w:type="spellStart"/>
      <w:r w:rsidR="00EA2C2C" w:rsidRPr="00EC5E1C">
        <w:t>pilnslodzes</w:t>
      </w:r>
      <w:proofErr w:type="spellEnd"/>
      <w:r w:rsidR="00EA2C2C" w:rsidRPr="00EC5E1C">
        <w:t xml:space="preserve"> ekvivalentu sadalījumu un izmaksu budžeta plānošanu; apzinās, ka Aģentūra ir pārskatījusi savu īstenošanas </w:t>
      </w:r>
      <w:proofErr w:type="spellStart"/>
      <w:r w:rsidR="00EA2C2C" w:rsidRPr="00EC5E1C">
        <w:t>mērķtermiņu</w:t>
      </w:r>
      <w:proofErr w:type="spellEnd"/>
      <w:r w:rsidR="00EA2C2C" w:rsidRPr="00EC5E1C">
        <w:t>, nosakot to 2025. gada 31. decembrī;</w:t>
      </w:r>
    </w:p>
    <w:p w14:paraId="4C588DAB" w14:textId="553226E8" w:rsidR="00EA2C2C" w:rsidRPr="00EC5E1C" w:rsidRDefault="00EC5E1C" w:rsidP="00EA2C2C">
      <w:pPr>
        <w:pStyle w:val="NormalHanging12a"/>
      </w:pPr>
      <w:r w:rsidRPr="00EC5E1C">
        <w:t>116</w:t>
      </w:r>
      <w:r w:rsidR="00EA2C2C" w:rsidRPr="00EC5E1C">
        <w:t>.</w:t>
      </w:r>
      <w:r w:rsidR="00EA2C2C" w:rsidRPr="00EC5E1C">
        <w:tab/>
        <w:t xml:space="preserve">pieņem zināšanai Revīzijas palātas konstatējumu, ka trīs </w:t>
      </w:r>
      <w:r w:rsidR="00EA2C2C" w:rsidRPr="00EC5E1C">
        <w:rPr>
          <w:i/>
          <w:iCs/>
        </w:rPr>
        <w:t>ECDC</w:t>
      </w:r>
      <w:r w:rsidR="00EA2C2C" w:rsidRPr="00EC5E1C">
        <w:t xml:space="preserve"> iepirkuma procedūras tika sāktas bez iepriekšējiem finansēšanas lēmumiem, kas ir pretrunā tā Finanšu regulas 72. panta 3. punkta b) apakšpunktam; turklāt norāda uz kontroles nepilnībām 2,8 EUR miljonu vērta konferenču līguma novērtēšanā, tostarp atlases kritēriju nepietiekamu pārbaudi un nepamatoti lētu piedāvājumu pārbaužu trūkumu, tādējādi pārkāpjot Finanšu regulas 151. un 167. pantu un I pielikuma 23. iedaļu; pieņem zināšanai Centra atbildi, kurā izklāstīti korektīvie pasākumi, tostarp pastiprināta </w:t>
      </w:r>
      <w:proofErr w:type="spellStart"/>
      <w:r w:rsidR="00EA2C2C" w:rsidRPr="00EC5E1C">
        <w:rPr>
          <w:i/>
          <w:iCs/>
        </w:rPr>
        <w:t>ex</w:t>
      </w:r>
      <w:proofErr w:type="spellEnd"/>
      <w:r w:rsidR="00EA2C2C" w:rsidRPr="00EC5E1C">
        <w:rPr>
          <w:i/>
          <w:iCs/>
        </w:rPr>
        <w:t> </w:t>
      </w:r>
      <w:proofErr w:type="spellStart"/>
      <w:r w:rsidR="00EA2C2C" w:rsidRPr="00EC5E1C">
        <w:rPr>
          <w:i/>
          <w:iCs/>
        </w:rPr>
        <w:t>ante</w:t>
      </w:r>
      <w:proofErr w:type="spellEnd"/>
      <w:r w:rsidR="00EA2C2C" w:rsidRPr="00EC5E1C">
        <w:t xml:space="preserve"> pārbaude un uzlabota iepirkuma novērtējumu dokumentācija;</w:t>
      </w:r>
    </w:p>
    <w:p w14:paraId="7C3FC5FD" w14:textId="000B696D" w:rsidR="00EA2C2C" w:rsidRPr="00EC5E1C" w:rsidRDefault="00EC5E1C" w:rsidP="00EA2C2C">
      <w:pPr>
        <w:pStyle w:val="NormalHanging12a"/>
      </w:pPr>
      <w:r w:rsidRPr="00EC5E1C">
        <w:t>117</w:t>
      </w:r>
      <w:r w:rsidR="00EA2C2C" w:rsidRPr="00EC5E1C">
        <w:t>.</w:t>
      </w:r>
      <w:r w:rsidR="00EA2C2C" w:rsidRPr="00EC5E1C">
        <w:tab/>
        <w:t xml:space="preserve">uzsver, ka Revīzijas palāta iesaka </w:t>
      </w:r>
      <w:r w:rsidR="00EA2C2C" w:rsidRPr="00EC5E1C">
        <w:rPr>
          <w:i/>
          <w:iCs/>
        </w:rPr>
        <w:t>ECDC</w:t>
      </w:r>
      <w:r w:rsidR="00EA2C2C" w:rsidRPr="00EC5E1C">
        <w:t xml:space="preserve"> sadarboties ar dalībvalstīm, lai stiprinātu saskaņotu Savienības mēroga infekcijas slimību uzraudzības sistēmu, uzlabotu iekšējos procesus nolūkā sniegt savlaicīgākus un praktiskākus norādījumus un skaidrāk sazināties ar sabiedrību, izmantojot vienkāršu valodu, lai labāk atspoguļotu Savienības līdzekļu izmantošanu, kā Revīzijas palāta norādījusi savā Īpašajā ziņojumā 12/2024;</w:t>
      </w:r>
    </w:p>
    <w:p w14:paraId="359B7831" w14:textId="77777777" w:rsidR="00EA2C2C" w:rsidRPr="00EC5E1C" w:rsidRDefault="00EA2C2C" w:rsidP="00EA2C2C">
      <w:pPr>
        <w:pStyle w:val="NormalHanging12a"/>
        <w:rPr>
          <w:bCs/>
          <w:i/>
          <w:iCs/>
        </w:rPr>
      </w:pPr>
      <w:r w:rsidRPr="00EC5E1C">
        <w:rPr>
          <w:i/>
        </w:rPr>
        <w:t>Ieteikumi</w:t>
      </w:r>
    </w:p>
    <w:p w14:paraId="285EBE41" w14:textId="50D83797" w:rsidR="00EA2C2C" w:rsidRPr="00EC5E1C" w:rsidRDefault="00EC5E1C" w:rsidP="00EA2C2C">
      <w:pPr>
        <w:pStyle w:val="NormalHanging12a"/>
        <w:rPr>
          <w:bCs/>
        </w:rPr>
      </w:pPr>
      <w:r w:rsidRPr="00EC5E1C">
        <w:t>118</w:t>
      </w:r>
      <w:r w:rsidR="00EA2C2C" w:rsidRPr="00EC5E1C">
        <w:t>.</w:t>
      </w:r>
      <w:r w:rsidR="00EA2C2C" w:rsidRPr="00EC5E1C">
        <w:tab/>
        <w:t>aicina aģentūras rīkoties saskaņā ar Revīzijas palātas konstatējumiem, jo īpaši:</w:t>
      </w:r>
    </w:p>
    <w:p w14:paraId="55B57DE8" w14:textId="77777777" w:rsidR="00EA2C2C" w:rsidRPr="00EC5E1C" w:rsidRDefault="00EA2C2C" w:rsidP="00EA2C2C">
      <w:pPr>
        <w:pStyle w:val="NormalHanging12a"/>
        <w:ind w:left="1134"/>
        <w:rPr>
          <w:bCs/>
        </w:rPr>
      </w:pPr>
      <w:r w:rsidRPr="00EC5E1C">
        <w:t>i)</w:t>
      </w:r>
      <w:r w:rsidRPr="00EC5E1C">
        <w:tab/>
      </w:r>
      <w:r w:rsidRPr="00EC5E1C">
        <w:rPr>
          <w:i/>
          <w:iCs/>
        </w:rPr>
        <w:t>EUDA</w:t>
      </w:r>
      <w:r w:rsidRPr="00EC5E1C">
        <w:t xml:space="preserve"> nekavējoties novērst pārkāpumus, stiprināt iekšējo kontroli un nodrošināt iepirkuma noteikumu stingru ievērošanu, lai novērstu turpmākus pārkāpumus;</w:t>
      </w:r>
    </w:p>
    <w:p w14:paraId="2EAC1343" w14:textId="77777777" w:rsidR="00EA2C2C" w:rsidRPr="00EC5E1C" w:rsidRDefault="00EA2C2C" w:rsidP="00EA2C2C">
      <w:pPr>
        <w:pStyle w:val="NormalHanging12a"/>
        <w:ind w:left="1134"/>
        <w:rPr>
          <w:bCs/>
        </w:rPr>
      </w:pPr>
      <w:r w:rsidRPr="00EC5E1C">
        <w:t>ii)</w:t>
      </w:r>
      <w:r w:rsidRPr="00EC5E1C">
        <w:tab/>
      </w:r>
      <w:r w:rsidRPr="00EC5E1C">
        <w:rPr>
          <w:i/>
          <w:iCs/>
        </w:rPr>
        <w:t>EMA</w:t>
      </w:r>
      <w:r w:rsidRPr="00EC5E1C">
        <w:t xml:space="preserve"> uzlabot procedūras iespējamo interešu konfliktu identificēšanai un novēršanai, izraugoties konsultatīvās padomes locekļus;</w:t>
      </w:r>
    </w:p>
    <w:p w14:paraId="1A6BACFC" w14:textId="77777777" w:rsidR="00EA2C2C" w:rsidRPr="00EC5E1C" w:rsidRDefault="00EA2C2C" w:rsidP="00EA2C2C">
      <w:pPr>
        <w:pStyle w:val="NormalHanging12a"/>
        <w:ind w:left="1134"/>
        <w:rPr>
          <w:bCs/>
        </w:rPr>
      </w:pPr>
      <w:r w:rsidRPr="00EC5E1C">
        <w:t>iii)</w:t>
      </w:r>
      <w:r w:rsidRPr="00EC5E1C">
        <w:tab/>
      </w:r>
      <w:r w:rsidRPr="00EC5E1C">
        <w:rPr>
          <w:i/>
          <w:iCs/>
        </w:rPr>
        <w:t>ECDC</w:t>
      </w:r>
      <w:r w:rsidRPr="00EC5E1C">
        <w:t xml:space="preserve"> nodrošināt iepirkuma noteikumu konsekventu īstenošanu, tostarp pastiprinātu </w:t>
      </w:r>
      <w:proofErr w:type="spellStart"/>
      <w:r w:rsidRPr="00EC5E1C">
        <w:rPr>
          <w:i/>
          <w:iCs/>
        </w:rPr>
        <w:t>ex</w:t>
      </w:r>
      <w:proofErr w:type="spellEnd"/>
      <w:r w:rsidRPr="00EC5E1C">
        <w:rPr>
          <w:i/>
          <w:iCs/>
        </w:rPr>
        <w:t> </w:t>
      </w:r>
      <w:proofErr w:type="spellStart"/>
      <w:r w:rsidRPr="00EC5E1C">
        <w:rPr>
          <w:i/>
          <w:iCs/>
        </w:rPr>
        <w:t>ante</w:t>
      </w:r>
      <w:proofErr w:type="spellEnd"/>
      <w:r w:rsidRPr="00EC5E1C">
        <w:t xml:space="preserve"> pārbaudi;</w:t>
      </w:r>
    </w:p>
    <w:p w14:paraId="2FD80981" w14:textId="77777777" w:rsidR="00EA2C2C" w:rsidRPr="00EC5E1C" w:rsidRDefault="00EA2C2C" w:rsidP="00EA2C2C">
      <w:pPr>
        <w:pStyle w:val="NormalHanging12a"/>
        <w:ind w:left="1134"/>
        <w:rPr>
          <w:bCs/>
        </w:rPr>
      </w:pPr>
      <w:r w:rsidRPr="00EC5E1C">
        <w:t>iv)</w:t>
      </w:r>
      <w:r w:rsidRPr="00EC5E1C">
        <w:tab/>
        <w:t>piedāvāt darbiniekiem atbilstošu apmācību par iepirkuma noteikumiem;</w:t>
      </w:r>
    </w:p>
    <w:p w14:paraId="0DF1580F" w14:textId="11D97028" w:rsidR="00EA2C2C" w:rsidRPr="00EC5E1C" w:rsidRDefault="00EC5E1C" w:rsidP="00EA2C2C">
      <w:pPr>
        <w:pStyle w:val="NormalHanging12a"/>
        <w:rPr>
          <w:bCs/>
        </w:rPr>
      </w:pPr>
      <w:r w:rsidRPr="00EC5E1C">
        <w:t>119</w:t>
      </w:r>
      <w:r w:rsidR="00EA2C2C" w:rsidRPr="00EC5E1C">
        <w:t>.</w:t>
      </w:r>
      <w:r w:rsidR="00EA2C2C" w:rsidRPr="00EC5E1C">
        <w:tab/>
        <w:t>turklāt aicina šādas aģentūras:</w:t>
      </w:r>
    </w:p>
    <w:p w14:paraId="7ECBE1C8" w14:textId="77777777" w:rsidR="00EA2C2C" w:rsidRPr="00EC5E1C" w:rsidRDefault="00EA2C2C" w:rsidP="00EA2C2C">
      <w:pPr>
        <w:pStyle w:val="NormalHanging12a"/>
        <w:ind w:left="1134"/>
        <w:rPr>
          <w:bCs/>
        </w:rPr>
      </w:pPr>
      <w:r w:rsidRPr="00EC5E1C">
        <w:t>i)</w:t>
      </w:r>
      <w:r w:rsidRPr="00EC5E1C">
        <w:tab/>
      </w:r>
      <w:r w:rsidRPr="00EC5E1C">
        <w:rPr>
          <w:i/>
          <w:iCs/>
        </w:rPr>
        <w:t>EUDA</w:t>
      </w:r>
      <w:r w:rsidRPr="00EC5E1C">
        <w:t xml:space="preserve"> paziņot budžeta izpildes </w:t>
      </w:r>
      <w:proofErr w:type="spellStart"/>
      <w:r w:rsidRPr="00EC5E1C">
        <w:t>apstiprinātājiestādei</w:t>
      </w:r>
      <w:proofErr w:type="spellEnd"/>
      <w:r w:rsidRPr="00EC5E1C">
        <w:t xml:space="preserve"> detalizētu informāciju par progresu, kas panākts, īstenojot Iekšējās revīzijas dienesta ieteikumus par cilvēkresursu pārvaldību un ētiku, jo īpaši atvērto ieteikumu par darba slodzi un snieguma pārvaldību;</w:t>
      </w:r>
    </w:p>
    <w:p w14:paraId="6EA1A78B" w14:textId="77777777" w:rsidR="00EA2C2C" w:rsidRPr="00EC5E1C" w:rsidRDefault="00EA2C2C" w:rsidP="00EA2C2C">
      <w:pPr>
        <w:pStyle w:val="NormalHanging12a"/>
        <w:ind w:left="1134"/>
        <w:rPr>
          <w:bCs/>
        </w:rPr>
      </w:pPr>
      <w:r w:rsidRPr="00EC5E1C">
        <w:t>ii)</w:t>
      </w:r>
      <w:r w:rsidRPr="00EC5E1C">
        <w:tab/>
        <w:t>visām aģentūrām ņemt vērā Revīzijas palātas apsvērumus, jo īpaši attiecībā uz iepirkuma noteikumiem, un attiecīgi rīkoties, īstenojot Revīzijas palātas ieteikumus;</w:t>
      </w:r>
    </w:p>
    <w:p w14:paraId="4AA5834B" w14:textId="77777777" w:rsidR="00EA2C2C" w:rsidRPr="00EC5E1C" w:rsidRDefault="00EA2C2C" w:rsidP="00EA2C2C">
      <w:pPr>
        <w:pStyle w:val="NormalHanging12a"/>
        <w:ind w:left="1134"/>
      </w:pPr>
      <w:r w:rsidRPr="00EC5E1C">
        <w:t>iii)</w:t>
      </w:r>
      <w:r w:rsidRPr="00EC5E1C">
        <w:tab/>
      </w:r>
      <w:r w:rsidRPr="00EC5E1C">
        <w:rPr>
          <w:i/>
          <w:iCs/>
        </w:rPr>
        <w:t>ECDC</w:t>
      </w:r>
      <w:r w:rsidRPr="00EC5E1C">
        <w:t xml:space="preserve"> un </w:t>
      </w:r>
      <w:r w:rsidRPr="00EC5E1C">
        <w:rPr>
          <w:i/>
          <w:iCs/>
        </w:rPr>
        <w:t>EMA</w:t>
      </w:r>
      <w:r w:rsidRPr="00EC5E1C">
        <w:t xml:space="preserve"> daļu sava budžeta izmantot, lai īstenotu ieteikumus, ko Revīzijas palāta izklāstījusi Īpašajā ziņojumā 12/2024 un uzskaitījusi iepriekš;</w:t>
      </w:r>
    </w:p>
    <w:p w14:paraId="4AAAC191" w14:textId="77777777" w:rsidR="00EA2C2C" w:rsidRPr="00EC5E1C" w:rsidRDefault="00EA2C2C" w:rsidP="00EA2C2C">
      <w:pPr>
        <w:pStyle w:val="NormalHanging12a"/>
        <w:ind w:left="1134"/>
        <w:rPr>
          <w:bCs/>
        </w:rPr>
      </w:pPr>
      <w:r w:rsidRPr="00EC5E1C">
        <w:t>iv)</w:t>
      </w:r>
      <w:r w:rsidRPr="00EC5E1C">
        <w:tab/>
      </w:r>
      <w:r w:rsidRPr="00EC5E1C">
        <w:rPr>
          <w:i/>
          <w:iCs/>
        </w:rPr>
        <w:t>EMA</w:t>
      </w:r>
      <w:r w:rsidRPr="00EC5E1C">
        <w:t xml:space="preserve">, Komisijai un dalībvalstīm nekavējoties rīkoties, lai novērstu iepriekš uzskaitīto kritiski svarīgo zāļu pastāvīgo trūkumu, un šajā sakarībā mudina </w:t>
      </w:r>
      <w:r w:rsidRPr="00EC5E1C">
        <w:rPr>
          <w:i/>
          <w:iCs/>
        </w:rPr>
        <w:t>EMA</w:t>
      </w:r>
      <w:r w:rsidRPr="00EC5E1C">
        <w:t xml:space="preserve"> cieši sadarboties ar valstu iestādēm un Komisiju, lai i) piešķirtu pietiekamus </w:t>
      </w:r>
      <w:r w:rsidRPr="00EC5E1C">
        <w:lastRenderedPageBreak/>
        <w:t xml:space="preserve">resursus problēmas risināšanai, ii) analizētu un ierosinātu veidus, kā novērst šā trūkuma cēloņus, tostarp ražošanu, piegādes ķēdi, izplatīšanas problēmas un iekšējā tirgus šķēršļus vai valsts protekcionismu, tostarp nepieciešamību ražot Eiropas zāles, iii) izstrādātu ārkārtas rīcības plānus, lai nodrošinātu nepārtrauktu pacientu piekļuvi, tostarp piešķirot prioritāti gadījumiem, kad tas ir ļoti nepieciešams; uzsver, ka tūlītēja un koordinēta rīcība ir būtiska, lai novērstu ārstēšanas kavēšanos, izvairītos no pacientu rezultātu pasliktināšanās un aizsargātu sabiedrības uzticēšanos Eiropas veselības aprūpes sistēmai; mudina </w:t>
      </w:r>
      <w:r w:rsidRPr="00EC5E1C">
        <w:rPr>
          <w:i/>
          <w:iCs/>
        </w:rPr>
        <w:t>EMA</w:t>
      </w:r>
      <w:r w:rsidRPr="00EC5E1C">
        <w:t xml:space="preserve"> šim mērķim izmantot papildu iekšējos resursus no sava budžeta;</w:t>
      </w:r>
    </w:p>
    <w:p w14:paraId="13D0B20B" w14:textId="77777777" w:rsidR="00EA2C2C" w:rsidRPr="00EC5E1C" w:rsidRDefault="00EA2C2C" w:rsidP="00EA2C2C">
      <w:pPr>
        <w:pStyle w:val="NormalHanging12a"/>
        <w:rPr>
          <w:b/>
          <w:bCs/>
          <w:i/>
          <w:iCs/>
        </w:rPr>
      </w:pPr>
      <w:r w:rsidRPr="00EC5E1C">
        <w:rPr>
          <w:b/>
          <w:i/>
        </w:rPr>
        <w:t>Aģentūras transporta un mobilitātes jomā</w:t>
      </w:r>
      <w:r w:rsidRPr="00EC5E1C">
        <w:rPr>
          <w:b/>
          <w:bCs/>
          <w:i/>
          <w:iCs/>
          <w:vertAlign w:val="superscript"/>
        </w:rPr>
        <w:footnoteReference w:id="415"/>
      </w:r>
    </w:p>
    <w:p w14:paraId="484B05B8" w14:textId="5DB0568B" w:rsidR="00EA2C2C" w:rsidRPr="00EC5E1C" w:rsidRDefault="00EC5E1C" w:rsidP="00EA2C2C">
      <w:pPr>
        <w:pStyle w:val="NormalHanging12a"/>
      </w:pPr>
      <w:r w:rsidRPr="00EC5E1C">
        <w:t>120</w:t>
      </w:r>
      <w:r w:rsidR="00EA2C2C" w:rsidRPr="00EC5E1C">
        <w:t>.</w:t>
      </w:r>
      <w:r w:rsidR="00EA2C2C" w:rsidRPr="00EC5E1C">
        <w:tab/>
        <w:t xml:space="preserve">pieņem zināšanai Revīzijas palātas konstatējumu, ka </w:t>
      </w:r>
      <w:r w:rsidR="00EA2C2C" w:rsidRPr="00EC5E1C">
        <w:rPr>
          <w:i/>
          <w:iCs/>
        </w:rPr>
        <w:t>EASA</w:t>
      </w:r>
      <w:r w:rsidR="00EA2C2C" w:rsidRPr="00EC5E1C">
        <w:t xml:space="preserve"> 2024. gadā veica nepareizus maksājumus kopumā 43 000 EUR apmērā saskaņā ar līgumu par pakalpojumu, uz kuru līgums neattiecas; pieņem zināšanai Aģentūras atbildi, kurā šī problēma atzīta un ir norādīts, ka Aģentūra ir veikusi korektīvus pasākumus un pakalpojums ir iekļauts pamatlīgumā no 2025. gada;</w:t>
      </w:r>
    </w:p>
    <w:p w14:paraId="012746C1" w14:textId="50F4EC2F" w:rsidR="00EA2C2C" w:rsidRPr="00EC5E1C" w:rsidRDefault="00EC5E1C" w:rsidP="00EA2C2C">
      <w:pPr>
        <w:pStyle w:val="NormalHanging12a"/>
      </w:pPr>
      <w:r w:rsidRPr="00EC5E1C">
        <w:t>121</w:t>
      </w:r>
      <w:r w:rsidR="00EA2C2C" w:rsidRPr="00EC5E1C">
        <w:t>.</w:t>
      </w:r>
      <w:r w:rsidR="00EA2C2C" w:rsidRPr="00EC5E1C">
        <w:tab/>
        <w:t xml:space="preserve">pieņem zināšanai Revīzijas palātas apsvērumus par </w:t>
      </w:r>
      <w:r w:rsidR="00EA2C2C" w:rsidRPr="00EC5E1C">
        <w:rPr>
          <w:i/>
          <w:iCs/>
        </w:rPr>
        <w:t>ERA</w:t>
      </w:r>
      <w:r w:rsidR="00EA2C2C" w:rsidRPr="00EC5E1C">
        <w:t xml:space="preserve"> pārvaldības un kontroles sistēmām, tostarp par:</w:t>
      </w:r>
    </w:p>
    <w:p w14:paraId="5AD20499" w14:textId="77777777" w:rsidR="00EA2C2C" w:rsidRPr="00EC5E1C" w:rsidRDefault="00EA2C2C" w:rsidP="00EA2C2C">
      <w:pPr>
        <w:pStyle w:val="NormalHanging12a"/>
        <w:ind w:left="1134"/>
      </w:pPr>
      <w:r w:rsidRPr="00EC5E1C">
        <w:t>–</w:t>
      </w:r>
      <w:r w:rsidRPr="00EC5E1C">
        <w:tab/>
        <w:t>nepilnīgu dokumentāciju, kas liedza aģentūrai saskaņot maksājumus 144 153 EUR apmērā 2024. gada Eiropas Dzelzceļa satiksmes vadības sistēmas konferencei, potenciāli apdraudot pilnīgu ieņēmumu iekasēšanu;</w:t>
      </w:r>
    </w:p>
    <w:p w14:paraId="46073B0C" w14:textId="77777777" w:rsidR="00EA2C2C" w:rsidRPr="00EC5E1C" w:rsidRDefault="00EA2C2C" w:rsidP="00EA2C2C">
      <w:pPr>
        <w:pStyle w:val="NormalHanging12a"/>
        <w:ind w:left="1134"/>
      </w:pPr>
      <w:r w:rsidRPr="00EC5E1C">
        <w:t>–</w:t>
      </w:r>
      <w:r w:rsidRPr="00EC5E1C">
        <w:tab/>
      </w:r>
      <w:proofErr w:type="spellStart"/>
      <w:r w:rsidRPr="00EC5E1C">
        <w:t>debetnotu</w:t>
      </w:r>
      <w:proofErr w:type="spellEnd"/>
      <w:r w:rsidRPr="00EC5E1C">
        <w:t xml:space="preserve"> novēlota izdošanu, kas ir pretrunā </w:t>
      </w:r>
      <w:r w:rsidRPr="00EC5E1C">
        <w:rPr>
          <w:i/>
          <w:iCs/>
        </w:rPr>
        <w:t>ERA</w:t>
      </w:r>
      <w:r w:rsidRPr="00EC5E1C">
        <w:t xml:space="preserve"> dibināšanas regulas 43. pantam, kurā noteikts, ka </w:t>
      </w:r>
      <w:proofErr w:type="spellStart"/>
      <w:r w:rsidRPr="00EC5E1C">
        <w:t>debetnotas</w:t>
      </w:r>
      <w:proofErr w:type="spellEnd"/>
      <w:r w:rsidRPr="00EC5E1C">
        <w:t xml:space="preserve"> ir jāizdod 60 dienu laikā pēc pakalpojumu sniegšanas;</w:t>
      </w:r>
    </w:p>
    <w:p w14:paraId="1E711C05" w14:textId="77777777" w:rsidR="00EA2C2C" w:rsidRPr="00EC5E1C" w:rsidRDefault="00EA2C2C" w:rsidP="00EA2C2C">
      <w:pPr>
        <w:pStyle w:val="NormalHanging12a"/>
        <w:rPr>
          <w:bCs/>
          <w:i/>
          <w:iCs/>
        </w:rPr>
      </w:pPr>
      <w:r w:rsidRPr="00EC5E1C">
        <w:rPr>
          <w:i/>
        </w:rPr>
        <w:t>Ieteikumi</w:t>
      </w:r>
    </w:p>
    <w:p w14:paraId="744CAB6D" w14:textId="5F15B12C" w:rsidR="00EA2C2C" w:rsidRPr="00EC5E1C" w:rsidRDefault="00EC5E1C" w:rsidP="00EA2C2C">
      <w:pPr>
        <w:pStyle w:val="NormalHanging12a"/>
      </w:pPr>
      <w:r w:rsidRPr="00EC5E1C">
        <w:t>122</w:t>
      </w:r>
      <w:r w:rsidR="00EA2C2C" w:rsidRPr="00EC5E1C">
        <w:t>.</w:t>
      </w:r>
      <w:r w:rsidR="00EA2C2C" w:rsidRPr="00EC5E1C">
        <w:tab/>
        <w:t>aicina aģentūras rīkoties saskaņā ar Revīzijas palātas konstatējumiem, jo īpaši:</w:t>
      </w:r>
    </w:p>
    <w:p w14:paraId="3C597CF8" w14:textId="77777777" w:rsidR="00EA2C2C" w:rsidRPr="00EC5E1C" w:rsidRDefault="00EA2C2C" w:rsidP="00EA2C2C">
      <w:pPr>
        <w:pStyle w:val="NormalHanging12a"/>
        <w:ind w:left="1134"/>
      </w:pPr>
      <w:r w:rsidRPr="00EC5E1C">
        <w:t>–</w:t>
      </w:r>
      <w:r w:rsidRPr="00EC5E1C">
        <w:tab/>
      </w:r>
      <w:r w:rsidRPr="00EC5E1C">
        <w:rPr>
          <w:i/>
          <w:iCs/>
        </w:rPr>
        <w:t>ERA</w:t>
      </w:r>
      <w:r w:rsidRPr="00EC5E1C">
        <w:t xml:space="preserve"> — izveidot un ieviest standartizētu izsekošanas sistēmu visiem maksas pasākumiem un ieviest sistēmu rēķinu izrakstīšanas procesu automatizācijai, lai nodrošinātu, ka </w:t>
      </w:r>
      <w:proofErr w:type="spellStart"/>
      <w:r w:rsidRPr="00EC5E1C">
        <w:t>debetnotas</w:t>
      </w:r>
      <w:proofErr w:type="spellEnd"/>
      <w:r w:rsidRPr="00EC5E1C">
        <w:t xml:space="preserve"> tiek izdotas 60 dienu laikā pēc pakalpojuma sniegšanas, samazinot paļaušanos uz manuālām aktivizācijām, īstenot iekšējo kontroli un iekļaut rēķinu izrakstīšanas savlaicīgumu kā galveno snieguma rādītāju (GSR) finanšu pārskatos;</w:t>
      </w:r>
    </w:p>
    <w:p w14:paraId="501C000C" w14:textId="77777777" w:rsidR="00EA2C2C" w:rsidRPr="00EC5E1C" w:rsidRDefault="00EA2C2C" w:rsidP="00EA2C2C">
      <w:pPr>
        <w:pStyle w:val="NormalHanging12a"/>
        <w:rPr>
          <w:i/>
          <w:iCs/>
        </w:rPr>
      </w:pPr>
      <w:r w:rsidRPr="00EC5E1C">
        <w:rPr>
          <w:b/>
          <w:i/>
        </w:rPr>
        <w:t>Aģentūras vides un enerģijas jomā</w:t>
      </w:r>
      <w:r w:rsidRPr="00EC5E1C">
        <w:rPr>
          <w:b/>
          <w:bCs/>
          <w:i/>
          <w:iCs/>
          <w:vertAlign w:val="superscript"/>
        </w:rPr>
        <w:footnoteReference w:id="416"/>
      </w:r>
    </w:p>
    <w:p w14:paraId="5D3AB0E9" w14:textId="5E3AC69D" w:rsidR="00EA2C2C" w:rsidRPr="00EC5E1C" w:rsidRDefault="00EC5E1C" w:rsidP="00EA2C2C">
      <w:pPr>
        <w:pStyle w:val="NormalHanging12a"/>
      </w:pPr>
      <w:r w:rsidRPr="00EC5E1C">
        <w:t>123</w:t>
      </w:r>
      <w:r w:rsidR="00EA2C2C" w:rsidRPr="00EC5E1C">
        <w:t>.</w:t>
      </w:r>
      <w:r w:rsidR="00EA2C2C" w:rsidRPr="00EC5E1C">
        <w:tab/>
        <w:t>pieņem zināšanai Revīzijas palātas trīs apsvērumus par iepirkuma pārkāpumiem EVA, tostarp par:</w:t>
      </w:r>
    </w:p>
    <w:p w14:paraId="2FA1D1B5" w14:textId="77777777" w:rsidR="00EA2C2C" w:rsidRPr="00EC5E1C" w:rsidRDefault="00EA2C2C" w:rsidP="00EA2C2C">
      <w:pPr>
        <w:pStyle w:val="NormalHanging12a"/>
        <w:ind w:left="1134"/>
      </w:pPr>
      <w:r w:rsidRPr="00EC5E1C">
        <w:t>–</w:t>
      </w:r>
      <w:r w:rsidRPr="00EC5E1C">
        <w:tab/>
        <w:t xml:space="preserve">nepareiziem maksājumiem saskaņā ar pamatlīgumu par ēdnīcu un ēdināšanas pakalpojumiem, atmaksājot 6 514 EUR bez Aģentūrai adresēta rēķina, kas ir pretrunā Finanšu regulas 111. panta 2. punktam, un palielinot pusdienu cenas par 34 % virs saskaņotā indeksācijas mehānisma; pieņem zināšanai Aģentūras atbildi, ka tie bija atsevišķi incidenti, kuru procedūras kopš tā laika ir precizētas un pastiprinātas, un ka cenu korekcija bija saistīta ar ārkārtējiem inflācijas </w:t>
      </w:r>
      <w:r w:rsidRPr="00EC5E1C">
        <w:lastRenderedPageBreak/>
        <w:t>apstākļiem;</w:t>
      </w:r>
    </w:p>
    <w:p w14:paraId="6DF6D847" w14:textId="77777777" w:rsidR="00EA2C2C" w:rsidRPr="00EC5E1C" w:rsidRDefault="00EA2C2C" w:rsidP="00EA2C2C">
      <w:pPr>
        <w:pStyle w:val="NormalHanging12a"/>
        <w:ind w:left="1134"/>
      </w:pPr>
      <w:r w:rsidRPr="00EC5E1C">
        <w:t>–</w:t>
      </w:r>
      <w:r w:rsidRPr="00EC5E1C">
        <w:tab/>
        <w:t>ēdiena pakalpojumu pasūtīšanai izmantot savu iekšējo ekspertu sanāksmju sistēmu, nevis pamatlīgumā paredzētās pasūtījuma veidlapas, kas neļauj uzticami uzraudzīt kumulatīvos izdevumus un rada risku, ka tiks pārsniegti līguma griesti, tādējādi pārkāpjot Finanšu regulas 111. panta 1. un 3. punktu; pieņem zināšanai EVA atbildi, ka ekspertu sanāksmju sistēma nodrošina racionalizētu kontroles procesu un ka tā attiecīgi grozīs pamatlīgumu; uzsver — lai pilnībā kliedētu Revīzijas palātas bažas, ekspertu sanāksmju sistēma būtu jāintegrē grāmatvedības sistēmā, lai nodrošinātu, ka visi ēdināšanas pasūtījumi automātiski rada juridiski saistošas saistības;</w:t>
      </w:r>
    </w:p>
    <w:p w14:paraId="31D41F98" w14:textId="77777777" w:rsidR="00EA2C2C" w:rsidRPr="00EC5E1C" w:rsidRDefault="00EA2C2C" w:rsidP="00EA2C2C">
      <w:pPr>
        <w:pStyle w:val="NormalHanging12a"/>
        <w:ind w:left="1134"/>
      </w:pPr>
      <w:r w:rsidRPr="00EC5E1C">
        <w:t>–</w:t>
      </w:r>
      <w:r w:rsidRPr="00EC5E1C">
        <w:tab/>
        <w:t>līguma veids: norāda, ka EVA pretēji Finanšu regulas I pielikuma 1.1. iedaļai nenorādīja konkrētā līguma veidu (fiksēta cena vai laiks un līdzekļi) IT konsultāciju līgumam par summu 731 000 EUR, tāpēc nebija iespējams saskaņot kopējo līguma summu ar cenu par konsultantu; pieņem zināšanai EVA paskaidrojumu, ka bezdarbībai nebija finansiālas ietekmes, un apņemšanos nodrošināt, ka visos turpmākajos līgumos ir iekļauta šī informācija;</w:t>
      </w:r>
    </w:p>
    <w:p w14:paraId="31CCD12D" w14:textId="0FE268E1" w:rsidR="00EA2C2C" w:rsidRPr="00EC5E1C" w:rsidRDefault="00EC5E1C" w:rsidP="00EA2C2C">
      <w:pPr>
        <w:pStyle w:val="NormalHanging12a"/>
      </w:pPr>
      <w:r w:rsidRPr="00EC5E1C">
        <w:t>124</w:t>
      </w:r>
      <w:r w:rsidR="00EA2C2C" w:rsidRPr="00EC5E1C">
        <w:t>.</w:t>
      </w:r>
      <w:r w:rsidR="00EA2C2C" w:rsidRPr="00EC5E1C">
        <w:tab/>
        <w:t xml:space="preserve">pieņem zināšanai Revīzijas palātas konstatējumu, ka </w:t>
      </w:r>
      <w:r w:rsidR="00EA2C2C" w:rsidRPr="00EC5E1C">
        <w:rPr>
          <w:i/>
          <w:iCs/>
        </w:rPr>
        <w:t>ECHA</w:t>
      </w:r>
      <w:r w:rsidR="00EA2C2C" w:rsidRPr="00EC5E1C">
        <w:t xml:space="preserve"> parakstīja īpašu IT infrastruktūras līgumu 8,1 miljona EUR vērtībā, par 1,3 miljoniem EUR pārsniedzot kredītrīkotāja deleģēto ierobežojumu; pieņem zināšanai Aģentūras paskaidrojumu, ka līguma pamatā bija nesaistošas pakalpojumu apjoma aplēses gada apropriāciju robežās un ka faktiskās budžeta saistības nepārsniedza deleģētās pilnvaras; mudina </w:t>
      </w:r>
      <w:r w:rsidR="00EA2C2C" w:rsidRPr="00EC5E1C">
        <w:rPr>
          <w:i/>
          <w:iCs/>
        </w:rPr>
        <w:t>ECHA</w:t>
      </w:r>
      <w:r w:rsidR="00EA2C2C" w:rsidRPr="00EC5E1C">
        <w:t xml:space="preserve"> nodrošināt skaidru saskaņotību starp finanšu deleģēšanu un līgumsaistībām; aicina Aģentūru ieviest uzlabotus uz nākotni vērstus pārbaudes mehānismus ārējiem līgumslēdzējiem, kas iesaistīti darbā, kurš saistīts ar Aģentūras regulatīvo lēmumu pieņemšanu;</w:t>
      </w:r>
    </w:p>
    <w:p w14:paraId="198185B7" w14:textId="7BDE2C2B" w:rsidR="00EA2C2C" w:rsidRPr="00EC5E1C" w:rsidRDefault="00EC5E1C" w:rsidP="00EA2C2C">
      <w:pPr>
        <w:pStyle w:val="NormalHanging12a"/>
      </w:pPr>
      <w:r w:rsidRPr="00EC5E1C">
        <w:t>125</w:t>
      </w:r>
      <w:r w:rsidR="00EA2C2C" w:rsidRPr="00EC5E1C">
        <w:t>.</w:t>
      </w:r>
      <w:r w:rsidR="00EA2C2C" w:rsidRPr="00EC5E1C">
        <w:tab/>
        <w:t>vērš uzmanību uz vairāku pilsoniskās sabiedrības organizāciju paustajām bažām par iespējamu profesionālu interešu konfliktu “</w:t>
      </w:r>
      <w:proofErr w:type="spellStart"/>
      <w:r w:rsidR="00EA2C2C" w:rsidRPr="00EC5E1C">
        <w:t>Ramboll</w:t>
      </w:r>
      <w:proofErr w:type="spellEnd"/>
      <w:r w:rsidR="00EA2C2C" w:rsidRPr="00EC5E1C">
        <w:t xml:space="preserve"> </w:t>
      </w:r>
      <w:proofErr w:type="spellStart"/>
      <w:r w:rsidR="00EA2C2C" w:rsidRPr="00EC5E1C">
        <w:t>Germany</w:t>
      </w:r>
      <w:proofErr w:type="spellEnd"/>
      <w:r w:rsidR="00EA2C2C" w:rsidRPr="00EC5E1C">
        <w:t xml:space="preserve"> </w:t>
      </w:r>
      <w:proofErr w:type="spellStart"/>
      <w:r w:rsidR="00EA2C2C" w:rsidRPr="00EC5E1C">
        <w:t>GmbH</w:t>
      </w:r>
      <w:proofErr w:type="spellEnd"/>
      <w:r w:rsidR="00EA2C2C" w:rsidRPr="00EC5E1C">
        <w:t xml:space="preserve">” gadījumā, kas ir konsultants, kurš iepriekš veica tehniskus pētījumus </w:t>
      </w:r>
      <w:r w:rsidR="00EA2C2C" w:rsidRPr="00EC5E1C">
        <w:rPr>
          <w:i/>
          <w:iCs/>
        </w:rPr>
        <w:t>ECHA</w:t>
      </w:r>
      <w:r w:rsidR="00EA2C2C" w:rsidRPr="00EC5E1C">
        <w:t xml:space="preserve"> vajadzībām, vienlaikus sniedzot pakalpojumus nozares ieinteresētajām personām, kuras cenšas ietekmēt gaidāmos </w:t>
      </w:r>
      <w:r w:rsidR="00EA2C2C" w:rsidRPr="00EC5E1C">
        <w:rPr>
          <w:i/>
          <w:iCs/>
        </w:rPr>
        <w:t>PFAS</w:t>
      </w:r>
      <w:r w:rsidR="00EA2C2C" w:rsidRPr="00EC5E1C">
        <w:t xml:space="preserve"> ierobežojumus; uzsver, ka ekspertu padomdevējām struktūrām būtu jāatspoguļo līdzsvarota zinātnisko, rūpniecisko un pilsoniskās sabiedrības speciālo zināšanu pārstāvība, lai stiprinātu leģitimitāti un uz pierādījumiem balstītu lēmumu pieņemšanu; pieņem zināšanai organizāciju apgalvojumu, ka “</w:t>
      </w:r>
      <w:proofErr w:type="spellStart"/>
      <w:r w:rsidR="00EA2C2C" w:rsidRPr="00EC5E1C">
        <w:t>Ramboll</w:t>
      </w:r>
      <w:proofErr w:type="spellEnd"/>
      <w:r w:rsidR="00EA2C2C" w:rsidRPr="00EC5E1C">
        <w:t>” paralēlās darbības būtu varējušas apdraudēt Finanšu regulas 2. panta 56. punktā un 143. panta d) apakšpunktā pieprasīto neitralitāti; uzsver, ka saskaņā ar pareizas finanšu pārvaldības principu Aģentūrai ir jānodrošina, ka iepirkums un līgumu izpilde tiek veikta tā, lai saglabātu institucionālo objektivitāti un sabiedrības uzticēšanos; norāda, ka neidentificēti interešu konflikti var ietekmēt Savienības finansēto darbību ticamību pat tad, ja nav procesuālu pārkāpumu; aicina nodrošināt pienācīgus aizsardzības pasākumus, lai novērstu gan faktiskos, gan acīmredzamos riskus;</w:t>
      </w:r>
    </w:p>
    <w:p w14:paraId="18F37335" w14:textId="155162D0" w:rsidR="00EA2C2C" w:rsidRPr="00EC5E1C" w:rsidRDefault="00EC5E1C" w:rsidP="00EA2C2C">
      <w:pPr>
        <w:pStyle w:val="NormalHanging12a"/>
      </w:pPr>
      <w:r w:rsidRPr="00EC5E1C">
        <w:t>126</w:t>
      </w:r>
      <w:r w:rsidR="00EA2C2C" w:rsidRPr="00EC5E1C">
        <w:t>.</w:t>
      </w:r>
      <w:r w:rsidR="00EA2C2C" w:rsidRPr="00EC5E1C">
        <w:tab/>
        <w:t xml:space="preserve">tomēr pieņem zināšanai </w:t>
      </w:r>
      <w:r w:rsidR="00EA2C2C" w:rsidRPr="00EC5E1C">
        <w:rPr>
          <w:i/>
          <w:iCs/>
        </w:rPr>
        <w:t>ECHA</w:t>
      </w:r>
      <w:r w:rsidR="00EA2C2C" w:rsidRPr="00EC5E1C">
        <w:t xml:space="preserve"> skaidrojumu, ka darbs, ko “</w:t>
      </w:r>
      <w:proofErr w:type="spellStart"/>
      <w:r w:rsidR="00EA2C2C" w:rsidRPr="00EC5E1C">
        <w:t>Ramboll</w:t>
      </w:r>
      <w:proofErr w:type="spellEnd"/>
      <w:r w:rsidR="00EA2C2C" w:rsidRPr="00EC5E1C">
        <w:t xml:space="preserve"> </w:t>
      </w:r>
      <w:proofErr w:type="spellStart"/>
      <w:r w:rsidR="00EA2C2C" w:rsidRPr="00EC5E1C">
        <w:t>Deutschland</w:t>
      </w:r>
      <w:proofErr w:type="spellEnd"/>
      <w:r w:rsidR="00EA2C2C" w:rsidRPr="00EC5E1C">
        <w:t xml:space="preserve">” veica Aģentūras uzdevumā saistībā ar </w:t>
      </w:r>
      <w:r w:rsidR="00EA2C2C" w:rsidRPr="00EC5E1C">
        <w:rPr>
          <w:i/>
          <w:iCs/>
        </w:rPr>
        <w:t>PFAS</w:t>
      </w:r>
      <w:r w:rsidR="00EA2C2C" w:rsidRPr="00EC5E1C">
        <w:t xml:space="preserve">, tika veikts laikposmā no 2020. līdz 2021. gadam, pirms konsultāciju uzņēmums 2022. gadā sadarbojās ar nozari, un ka līguma slēgšanas tiesību piešķiršanas laikā tika veikti interešu konflikta novērtējumi saskaņā ar </w:t>
      </w:r>
      <w:r w:rsidR="00EA2C2C" w:rsidRPr="00EC5E1C">
        <w:rPr>
          <w:i/>
          <w:iCs/>
        </w:rPr>
        <w:t>ECHA</w:t>
      </w:r>
      <w:r w:rsidR="00EA2C2C" w:rsidRPr="00EC5E1C">
        <w:t xml:space="preserve"> procedūrām; turklāt norāda, ka saskaņā ar pašreizējo 2024. gada pamatlīgumu “</w:t>
      </w:r>
      <w:proofErr w:type="spellStart"/>
      <w:r w:rsidR="00EA2C2C" w:rsidRPr="00EC5E1C">
        <w:t>Ramboll</w:t>
      </w:r>
      <w:proofErr w:type="spellEnd"/>
      <w:r w:rsidR="00EA2C2C" w:rsidRPr="00EC5E1C">
        <w:t xml:space="preserve">” nav iesniedzis piedāvājumus konkrētiem līgumiem; atzinīgi vērtē </w:t>
      </w:r>
      <w:r w:rsidR="00EA2C2C" w:rsidRPr="00EC5E1C">
        <w:rPr>
          <w:i/>
          <w:iCs/>
        </w:rPr>
        <w:t>ECHA</w:t>
      </w:r>
      <w:r w:rsidR="00EA2C2C" w:rsidRPr="00EC5E1C">
        <w:t xml:space="preserve"> paziņojumu, ka tā ir veikusi detalizētu iekšējo pārskatīšanu, reaģējot uz </w:t>
      </w:r>
      <w:r w:rsidR="00EA2C2C" w:rsidRPr="00EC5E1C">
        <w:lastRenderedPageBreak/>
        <w:t xml:space="preserve">pieprasījumiem par piekļuvi dokumentiem, un nav konstatējusi nepārvaldītu interešu konfliktu; tomēr uzsver, ka ir svarīgi nodrošināt stingras, </w:t>
      </w:r>
      <w:proofErr w:type="spellStart"/>
      <w:r w:rsidR="00EA2C2C" w:rsidRPr="00EC5E1C">
        <w:t>proaktīvas</w:t>
      </w:r>
      <w:proofErr w:type="spellEnd"/>
      <w:r w:rsidR="00EA2C2C" w:rsidRPr="00EC5E1C">
        <w:t xml:space="preserve"> un uz nākotni vērstas interešu konfliktu pārbaudes visiem ārējiem līgumslēdzējiem, jo īpaši tiem, kas iesaistīti tehniskajā darbā, kas saistīts ar </w:t>
      </w:r>
      <w:proofErr w:type="spellStart"/>
      <w:r w:rsidR="00EA2C2C" w:rsidRPr="00EC5E1C">
        <w:t>sensitīvu</w:t>
      </w:r>
      <w:proofErr w:type="spellEnd"/>
      <w:r w:rsidR="00EA2C2C" w:rsidRPr="00EC5E1C">
        <w:t xml:space="preserve"> regulatīvo lēmumu pieņemšanu; uzsver, ka ekspertu grupās vajadzētu būt līdzsvarotai locekļu pārstāvībai no dažādām nozarēm, tostarp privātā sektora, zinātnes nozarēm un pilsoniskās sabiedrības, lai pārstāvētu dažādas kompetences un viedokļus; aicina Aģentūru integrēt līgumslēdzēju neatkarības pārbaudes plašākā iekšējās kontroles un riska pārvaldības sistēmā; uzsver, ka ir jānodrošina stingras un </w:t>
      </w:r>
      <w:proofErr w:type="spellStart"/>
      <w:r w:rsidR="00EA2C2C" w:rsidRPr="00EC5E1C">
        <w:t>proaktīvas</w:t>
      </w:r>
      <w:proofErr w:type="spellEnd"/>
      <w:r w:rsidR="00EA2C2C" w:rsidRPr="00EC5E1C">
        <w:t xml:space="preserve"> procedūras, lai novērstu jebkādu interešu konflikta vai nepamatotas ietekmes risku;</w:t>
      </w:r>
    </w:p>
    <w:p w14:paraId="4E9774CC" w14:textId="6E487C55" w:rsidR="00EA2C2C" w:rsidRPr="00EC5E1C" w:rsidRDefault="00EC5E1C" w:rsidP="00EA2C2C">
      <w:pPr>
        <w:pStyle w:val="NormalHanging12a"/>
      </w:pPr>
      <w:r w:rsidRPr="00EC5E1C">
        <w:t>127</w:t>
      </w:r>
      <w:r w:rsidR="00EA2C2C" w:rsidRPr="00EC5E1C">
        <w:t>.</w:t>
      </w:r>
      <w:r w:rsidR="00EA2C2C" w:rsidRPr="00EC5E1C">
        <w:tab/>
        <w:t xml:space="preserve">pieņem zināšanai Revīzijas palātas konstatējumu, ka </w:t>
      </w:r>
      <w:r w:rsidR="00EA2C2C" w:rsidRPr="00EC5E1C">
        <w:rPr>
          <w:i/>
          <w:iCs/>
        </w:rPr>
        <w:t>EFCA</w:t>
      </w:r>
      <w:r w:rsidR="00EA2C2C" w:rsidRPr="00EC5E1C">
        <w:t xml:space="preserve"> piemēroja iepirkuma formulu IT pakalpojumiem, kā rezultātā cenas kritērija faktiskais svērums noslīdēja zem 30 % minimuma, kas ieteikts Komisijas pamatnostādnēs (Finanšu regulas I pielikuma 21.2. punkts); pieņem zināšanai </w:t>
      </w:r>
      <w:r w:rsidR="00EA2C2C" w:rsidRPr="00EC5E1C">
        <w:rPr>
          <w:i/>
          <w:iCs/>
        </w:rPr>
        <w:t>EFCA</w:t>
      </w:r>
      <w:r w:rsidR="00EA2C2C" w:rsidRPr="00EC5E1C">
        <w:t xml:space="preserve"> apņemšanos nepiemērot šo formulu turpmākajās iepirkuma procedūrās;</w:t>
      </w:r>
    </w:p>
    <w:p w14:paraId="236886F6" w14:textId="6DD6C09D" w:rsidR="00EA2C2C" w:rsidRPr="00EC5E1C" w:rsidRDefault="00EC5E1C" w:rsidP="00EA2C2C">
      <w:pPr>
        <w:pStyle w:val="NormalHanging12a"/>
      </w:pPr>
      <w:r w:rsidRPr="00EC5E1C">
        <w:t>128</w:t>
      </w:r>
      <w:r w:rsidR="00EA2C2C" w:rsidRPr="00EC5E1C">
        <w:t>.</w:t>
      </w:r>
      <w:r w:rsidR="00EA2C2C" w:rsidRPr="00EC5E1C">
        <w:tab/>
        <w:t xml:space="preserve">norāda uz Revīzijas palātas diviem konstatējumiem par </w:t>
      </w:r>
      <w:r w:rsidR="00EA2C2C" w:rsidRPr="00EC5E1C">
        <w:rPr>
          <w:i/>
          <w:iCs/>
        </w:rPr>
        <w:t>ACER</w:t>
      </w:r>
      <w:r w:rsidR="00EA2C2C" w:rsidRPr="00EC5E1C">
        <w:t xml:space="preserve"> iepirkuma pārkāpumiem, kuru rezultātā 2024. gadā tika veikti nepareizi maksājumi; norāda, ka pēc piegādātāju politikas maiņas </w:t>
      </w:r>
      <w:r w:rsidR="00EA2C2C" w:rsidRPr="00EC5E1C">
        <w:rPr>
          <w:i/>
          <w:iCs/>
        </w:rPr>
        <w:t>ACER</w:t>
      </w:r>
      <w:r w:rsidR="00EA2C2C" w:rsidRPr="00EC5E1C">
        <w:t xml:space="preserve"> sešas nedēļas pirms grozītā līguma parakstīšanas pasūtīja IT atbalsta pakalpojumus bez juridiska pamata, kā rezultātā tika veikti nepareizi maksājumi 8179 EUR apmērā, pārkāpjot Finanšu regulas 172. panta 1. punktu; pieņem zināšanai Aģentūras atbildi, ka šis izņēmums tika oficiāli apstiprināts, lai izvairītos no pakalpojumu traucējumiem, un ka maksājumi tika veikti par pienācīgi sniegtiem un dokumentētiem pakalpojumiem;</w:t>
      </w:r>
    </w:p>
    <w:p w14:paraId="7C0E3E77" w14:textId="62A82B10" w:rsidR="00EA2C2C" w:rsidRPr="00EC5E1C" w:rsidRDefault="00EC5E1C" w:rsidP="00EA2C2C">
      <w:pPr>
        <w:pStyle w:val="NormalHanging12a"/>
      </w:pPr>
      <w:r w:rsidRPr="00EC5E1C">
        <w:t>129</w:t>
      </w:r>
      <w:r w:rsidR="00EA2C2C" w:rsidRPr="00EC5E1C">
        <w:t>.</w:t>
      </w:r>
      <w:r w:rsidR="00EA2C2C" w:rsidRPr="00EC5E1C">
        <w:tab/>
        <w:t xml:space="preserve">norāda, ka </w:t>
      </w:r>
      <w:r w:rsidR="00EA2C2C" w:rsidRPr="00EC5E1C">
        <w:rPr>
          <w:i/>
          <w:iCs/>
        </w:rPr>
        <w:t>ACER</w:t>
      </w:r>
      <w:r w:rsidR="00EA2C2C" w:rsidRPr="00EC5E1C">
        <w:t xml:space="preserve"> pieņēma pārskatītu finanšu piedāvājumu sarunu procedūrā, palielinot līguma vērtību no 51 450 EUR līdz 79 450 EUR pēc iesniegšanas, tādējādi pārkāpjot Finanšu regulas 151. pantu, 160. panta 1. punktu un 170. pantu;</w:t>
      </w:r>
    </w:p>
    <w:p w14:paraId="497F56C9" w14:textId="6888F188" w:rsidR="00EA2C2C" w:rsidRPr="00EC5E1C" w:rsidRDefault="00EC5E1C" w:rsidP="00EA2C2C">
      <w:pPr>
        <w:pStyle w:val="NormalHanging12a"/>
        <w:rPr>
          <w:bCs/>
        </w:rPr>
      </w:pPr>
      <w:r w:rsidRPr="00EC5E1C">
        <w:t>130</w:t>
      </w:r>
      <w:r w:rsidR="00EA2C2C" w:rsidRPr="00EC5E1C">
        <w:t>.</w:t>
      </w:r>
      <w:r w:rsidR="00EA2C2C" w:rsidRPr="00EC5E1C">
        <w:tab/>
        <w:t xml:space="preserve">atgādina, ka Revīzijas palātas konstatējums par </w:t>
      </w:r>
      <w:r w:rsidR="00EA2C2C" w:rsidRPr="00EC5E1C">
        <w:rPr>
          <w:i/>
          <w:iCs/>
        </w:rPr>
        <w:t>ACER</w:t>
      </w:r>
      <w:r w:rsidR="00EA2C2C" w:rsidRPr="00EC5E1C">
        <w:t xml:space="preserve"> strukturālo paļaušanos uz pagaidu darbiniekiem kopš 2019. gada ir palicis atklāts un pagaidu darbinieki turpina veikt ilgtermiņa uzdevumus, kuriem parasti vajadzētu būt tieši nodarbinātiem darbiniekiem; norāda, ka, lai gan pagaidu darba aģentūru darbinieku skaits samazinājās no 18 darbiniekiem 2023. gadā līdz 16 darbiniekiem 2024. gadā, situācija saglabājās un </w:t>
      </w:r>
      <w:r w:rsidR="00EA2C2C" w:rsidRPr="00EC5E1C">
        <w:rPr>
          <w:i/>
          <w:iCs/>
        </w:rPr>
        <w:t>ACER</w:t>
      </w:r>
      <w:r w:rsidR="00EA2C2C" w:rsidRPr="00EC5E1C">
        <w:t xml:space="preserve"> plāno slēgt apakšuzņēmuma līgumus par daļu no šīm darbībām; pieņem zināšanai Aģentūras atbildes uz anketas jautājumiem, saskaņā ar kurām nepietiekamu iekšējo resursu un specializēto zināšanu dēļ ir vajadzīgi plaši ārpakalpojumi; konstatē, ka </w:t>
      </w:r>
      <w:r w:rsidR="00EA2C2C" w:rsidRPr="00EC5E1C">
        <w:rPr>
          <w:i/>
          <w:iCs/>
        </w:rPr>
        <w:t>ACER</w:t>
      </w:r>
      <w:r w:rsidR="00EA2C2C" w:rsidRPr="00EC5E1C">
        <w:t xml:space="preserve"> uztic ārpakalpojumu sniedzējiem plašu funkciju klāstu, tostarp augsti specializētus konsultāciju pakalpojumus un pētījumus enerģētikas regulējuma, juridisko pakalpojumu, pasākumu organizēšanas un dažādu vispārējo pakalpojumu jomā, taču lielākā atkarība ir saistīta ar IT jomu, kurā tās sistēmu projektēšanu, izstrādi, īstenošanu, atbalstu, uzturēšanu un drošību lielā mērā veic ārpakalpojumu sniedzēji; šajā sakarībā uzsver, ka vairāk nekā 100 ārējie IT eksperti (ne vienmēr pilna laika) ir iesaistīti IT pakalpojumu sniegšanā </w:t>
      </w:r>
      <w:r w:rsidR="00EA2C2C" w:rsidRPr="00EC5E1C">
        <w:rPr>
          <w:i/>
          <w:iCs/>
        </w:rPr>
        <w:t>ACER</w:t>
      </w:r>
      <w:r w:rsidR="00EA2C2C" w:rsidRPr="00EC5E1C">
        <w:t xml:space="preserve"> salīdzinājumā ar tikai 17 iekšējiem IT darbiniekiem, radot būtisku strukturālu nelīdzsvarotību; turklāt norāda, ka saskaņā ar </w:t>
      </w:r>
      <w:r w:rsidR="00EA2C2C" w:rsidRPr="00EC5E1C">
        <w:rPr>
          <w:i/>
          <w:iCs/>
        </w:rPr>
        <w:t>ACER</w:t>
      </w:r>
      <w:r w:rsidR="00EA2C2C" w:rsidRPr="00EC5E1C">
        <w:t xml:space="preserve"> šo ārpakalpojumu modeli skaidri ieteica Komisija, ņemot vērā Aģentūras ierobežoto štatu sarakstu un ierobežotos resursus; tomēr uzsver, ka šāda pastāvīga atkarība no ārējiem pakalpojumu sniedzējiem attiecībā uz IT </w:t>
      </w:r>
      <w:proofErr w:type="spellStart"/>
      <w:r w:rsidR="00EA2C2C" w:rsidRPr="00EC5E1C">
        <w:t>pamatspējām</w:t>
      </w:r>
      <w:proofErr w:type="spellEnd"/>
      <w:r w:rsidR="00EA2C2C" w:rsidRPr="00EC5E1C">
        <w:t xml:space="preserve"> apvienojumā ar pagaidu darbinieku nepārtrauktu izmantošanu pastāvīgu uzdevumu veikšanai rada bažas par zināšanu saglabāšanu, darbības nepārtrauktību un ilgtermiņa institucionālajām spējām; uzsver, ka ir steidzami jārisina jautājums par lielo IT atkarību, lai nodrošinātu zināšanu </w:t>
      </w:r>
      <w:r w:rsidR="00EA2C2C" w:rsidRPr="00EC5E1C">
        <w:lastRenderedPageBreak/>
        <w:t xml:space="preserve">saglabāšanu un darbības nepārtrauktību; prasa Komisijai un </w:t>
      </w:r>
      <w:r w:rsidR="00EA2C2C" w:rsidRPr="00EC5E1C">
        <w:rPr>
          <w:i/>
          <w:iCs/>
        </w:rPr>
        <w:t>ACER</w:t>
      </w:r>
      <w:r w:rsidR="00EA2C2C" w:rsidRPr="00EC5E1C">
        <w:t xml:space="preserve"> ziņot budžeta izpildes </w:t>
      </w:r>
      <w:proofErr w:type="spellStart"/>
      <w:r w:rsidR="00EA2C2C" w:rsidRPr="00EC5E1C">
        <w:t>apstiprinātājiestādei</w:t>
      </w:r>
      <w:proofErr w:type="spellEnd"/>
      <w:r w:rsidR="00EA2C2C" w:rsidRPr="00EC5E1C">
        <w:t xml:space="preserve"> par pieņemtajiem korektīvajiem pasākumiem;</w:t>
      </w:r>
    </w:p>
    <w:p w14:paraId="35314B17" w14:textId="77777777" w:rsidR="00EA2C2C" w:rsidRPr="00EC5E1C" w:rsidRDefault="00EA2C2C" w:rsidP="00EA2C2C">
      <w:pPr>
        <w:pStyle w:val="NormalHanging12a"/>
        <w:rPr>
          <w:i/>
          <w:iCs/>
        </w:rPr>
      </w:pPr>
      <w:r w:rsidRPr="00EC5E1C">
        <w:rPr>
          <w:i/>
        </w:rPr>
        <w:t>Ieteikumi</w:t>
      </w:r>
    </w:p>
    <w:p w14:paraId="3F1A84AD" w14:textId="68A6DDBF" w:rsidR="00EA2C2C" w:rsidRPr="00EC5E1C" w:rsidRDefault="00EC5E1C" w:rsidP="00EA2C2C">
      <w:pPr>
        <w:pStyle w:val="NormalHanging12a"/>
        <w:rPr>
          <w:bCs/>
        </w:rPr>
      </w:pPr>
      <w:r w:rsidRPr="00EC5E1C">
        <w:t>131</w:t>
      </w:r>
      <w:r w:rsidR="00EA2C2C" w:rsidRPr="00EC5E1C">
        <w:t>.</w:t>
      </w:r>
      <w:r w:rsidR="00EA2C2C" w:rsidRPr="00EC5E1C">
        <w:tab/>
        <w:t>aicina aģentūras rīkoties saskaņā ar Revīzijas palātas konstatējumiem, jo īpaši:</w:t>
      </w:r>
    </w:p>
    <w:p w14:paraId="7760BA16" w14:textId="77777777" w:rsidR="00EA2C2C" w:rsidRPr="00EC5E1C" w:rsidRDefault="00EA2C2C" w:rsidP="00EA2C2C">
      <w:pPr>
        <w:pStyle w:val="NormalHanging12a"/>
        <w:ind w:left="1134"/>
        <w:rPr>
          <w:bCs/>
        </w:rPr>
      </w:pPr>
      <w:r w:rsidRPr="00EC5E1C">
        <w:t>i)</w:t>
      </w:r>
      <w:r w:rsidRPr="00EC5E1C">
        <w:tab/>
      </w:r>
      <w:r w:rsidRPr="00EC5E1C">
        <w:rPr>
          <w:i/>
          <w:iCs/>
        </w:rPr>
        <w:t>EVA</w:t>
      </w:r>
      <w:r w:rsidRPr="00EC5E1C">
        <w:t xml:space="preserve"> stiprināt tās iepirkuma un līgumu pārvaldības procedūras, lai novērstu līdzīgus pārkāpumus, jo īpaši sistemātiski īstenojot Finanšu regulas prasības par rēķinu izrakstīšanu un cenu indeksāciju attiecībā uz visiem pamatlīgumiem, integrējot ekspertu sanāksmju sistēmu </w:t>
      </w:r>
      <w:r w:rsidRPr="00EC5E1C">
        <w:rPr>
          <w:i/>
          <w:iCs/>
        </w:rPr>
        <w:t>EVA</w:t>
      </w:r>
      <w:r w:rsidRPr="00EC5E1C">
        <w:t xml:space="preserve"> grāmatvedības un saistību sistēmās, lai nodrošinātu, ka ēdināšanas pakalpojumu pasūtījumi rada juridiski saistošas saistības un ļauj uzticami uzraudzīt kumulatīvos izdevumus saskaņā ar 111. pantu, pilnvarojot līguma veida (fiksēta cena vai laiks un līdzekļi) iekļaušanu visos konkrētajos līgumos saskaņā ar I pielikumu un īstenojot regulāras pārbaudes, darbinieku apmācību un pastiprinātu uzraudzības kontroli, vienlaikus pilnībā dokumentējot visus veiktos korektīvos pasākumus;</w:t>
      </w:r>
    </w:p>
    <w:p w14:paraId="54CFC4A5" w14:textId="77777777" w:rsidR="00EA2C2C" w:rsidRPr="00EC5E1C" w:rsidRDefault="00EA2C2C" w:rsidP="00EA2C2C">
      <w:pPr>
        <w:pStyle w:val="NormalHanging12a"/>
        <w:ind w:left="1134"/>
        <w:rPr>
          <w:bCs/>
        </w:rPr>
      </w:pPr>
      <w:r w:rsidRPr="00EC5E1C">
        <w:t>ii)</w:t>
      </w:r>
      <w:r w:rsidRPr="00EC5E1C">
        <w:tab/>
      </w:r>
      <w:r w:rsidRPr="00EC5E1C">
        <w:rPr>
          <w:i/>
          <w:iCs/>
        </w:rPr>
        <w:t>EFCA</w:t>
      </w:r>
      <w:r w:rsidRPr="00EC5E1C">
        <w:t xml:space="preserve"> nodrošināt stingru atbilstību Savienības iepirkuma noteikumiem, saglabājot vismaz 30 % cenas svēruma kritērijus, nodrošināt iekšējo apmācību par iepirkuma svēruma pareizu piemērošanu, ieviest obligātus dokumentārus pierādījumus (piemēram, īres līgumus), veikt periodiskas dzīvesvietas revīzijas un pastiprināt kontroles, lai novērstu nepareizus pabalstu maksājumus, un ziņot budžeta izpildes </w:t>
      </w:r>
      <w:proofErr w:type="spellStart"/>
      <w:r w:rsidRPr="00EC5E1C">
        <w:t>apstiprinātājiestādei</w:t>
      </w:r>
      <w:proofErr w:type="spellEnd"/>
      <w:r w:rsidRPr="00EC5E1C">
        <w:t xml:space="preserve"> par īstenošanu;</w:t>
      </w:r>
    </w:p>
    <w:p w14:paraId="41B7C216" w14:textId="77777777" w:rsidR="00EA2C2C" w:rsidRPr="00EC5E1C" w:rsidRDefault="00EA2C2C" w:rsidP="00EA2C2C">
      <w:pPr>
        <w:pStyle w:val="NormalHanging12a"/>
        <w:ind w:left="1134"/>
        <w:rPr>
          <w:bCs/>
        </w:rPr>
      </w:pPr>
      <w:r w:rsidRPr="00EC5E1C">
        <w:t>iii)</w:t>
      </w:r>
      <w:r w:rsidRPr="00EC5E1C">
        <w:tab/>
      </w:r>
      <w:r w:rsidRPr="00EC5E1C">
        <w:rPr>
          <w:i/>
          <w:iCs/>
        </w:rPr>
        <w:t>ACER</w:t>
      </w:r>
      <w:r w:rsidRPr="00EC5E1C">
        <w:t xml:space="preserve"> novērst turpmākus iepirkuma pārkāpumus un nodrošināt pilnīgu atbilstību Finanšu regulai;</w:t>
      </w:r>
    </w:p>
    <w:p w14:paraId="419D9F28" w14:textId="77777777" w:rsidR="00EA2C2C" w:rsidRPr="00EC5E1C" w:rsidRDefault="00EA2C2C" w:rsidP="00EA2C2C">
      <w:pPr>
        <w:pStyle w:val="NormalHanging12a"/>
        <w:rPr>
          <w:b/>
          <w:bCs/>
          <w:i/>
          <w:iCs/>
        </w:rPr>
      </w:pPr>
      <w:r w:rsidRPr="00EC5E1C">
        <w:rPr>
          <w:b/>
          <w:i/>
        </w:rPr>
        <w:t>Aģentūras citās jomās</w:t>
      </w:r>
      <w:r w:rsidRPr="00EC5E1C">
        <w:rPr>
          <w:b/>
          <w:bCs/>
          <w:i/>
          <w:iCs/>
          <w:vertAlign w:val="superscript"/>
        </w:rPr>
        <w:footnoteReference w:id="417"/>
      </w:r>
    </w:p>
    <w:p w14:paraId="56EFA137" w14:textId="6495E571" w:rsidR="00EA2C2C" w:rsidRPr="00EC5E1C" w:rsidRDefault="00EC5E1C" w:rsidP="00EA2C2C">
      <w:pPr>
        <w:pStyle w:val="NormalHanging12a"/>
      </w:pPr>
      <w:r w:rsidRPr="00EC5E1C">
        <w:t>132</w:t>
      </w:r>
      <w:r w:rsidR="00EA2C2C" w:rsidRPr="00EC5E1C">
        <w:t>.</w:t>
      </w:r>
      <w:r w:rsidR="00EA2C2C" w:rsidRPr="00EC5E1C">
        <w:tab/>
        <w:t xml:space="preserve">norāda, ka divās sarunu procedūrās </w:t>
      </w:r>
      <w:r w:rsidR="00EA2C2C" w:rsidRPr="00EC5E1C">
        <w:rPr>
          <w:i/>
          <w:iCs/>
        </w:rPr>
        <w:t>BEREC</w:t>
      </w:r>
      <w:r w:rsidR="00EA2C2C" w:rsidRPr="00EC5E1C">
        <w:t xml:space="preserve"> birojs konkursa specifikācijās nenoteica atlases kritērijus, kas ir pretrunā Finanšu regulas I pielikuma 18.2. punktam, un tas rada risku </w:t>
      </w:r>
      <w:r w:rsidR="00EA2C2C" w:rsidRPr="00EC5E1C">
        <w:rPr>
          <w:i/>
          <w:iCs/>
        </w:rPr>
        <w:t>BEREC</w:t>
      </w:r>
      <w:r w:rsidR="00EA2C2C" w:rsidRPr="00EC5E1C">
        <w:t xml:space="preserve"> birojam, ka darbuzņēmējs varētu nebūt spējīgs īstenot līgumus; pieņem zināšanai </w:t>
      </w:r>
      <w:r w:rsidR="00EA2C2C" w:rsidRPr="00EC5E1C">
        <w:rPr>
          <w:i/>
          <w:iCs/>
        </w:rPr>
        <w:t>BEREC</w:t>
      </w:r>
      <w:r w:rsidR="00EA2C2C" w:rsidRPr="00EC5E1C">
        <w:t xml:space="preserve"> biroja paskaidrojumu, ka līgumslēdzēju spējas tika novērtētas, iepriekš apspriežoties, un ka tas nodrošinās, ka visos turpmākajos konkursos tiek noteikti atlases kritēriji;</w:t>
      </w:r>
    </w:p>
    <w:p w14:paraId="42089319" w14:textId="658FFFF5" w:rsidR="00EA2C2C" w:rsidRPr="00EC5E1C" w:rsidRDefault="00EC5E1C" w:rsidP="00EA2C2C">
      <w:pPr>
        <w:pStyle w:val="NormalHanging12a"/>
      </w:pPr>
      <w:r w:rsidRPr="00EC5E1C">
        <w:t>133</w:t>
      </w:r>
      <w:r w:rsidR="00EA2C2C" w:rsidRPr="00EC5E1C">
        <w:t>.</w:t>
      </w:r>
      <w:r w:rsidR="00EA2C2C" w:rsidRPr="00EC5E1C">
        <w:tab/>
        <w:t xml:space="preserve">vērš uzmanību uz to, ka Komisijai līdz 2023. gada decembrim bija jāpabeidz </w:t>
      </w:r>
      <w:r w:rsidR="00EA2C2C" w:rsidRPr="00EC5E1C">
        <w:rPr>
          <w:i/>
          <w:iCs/>
        </w:rPr>
        <w:t>BEREC</w:t>
      </w:r>
      <w:r w:rsidR="00EA2C2C" w:rsidRPr="00EC5E1C">
        <w:t xml:space="preserve"> biroja piecu gadu novērtējums saskaņā ar tā dibināšanas regulas 48. pantu, lai novērtētu iespējamās strukturālās vai pilnvaru izmaiņas </w:t>
      </w:r>
      <w:r w:rsidR="00EA2C2C" w:rsidRPr="00EC5E1C">
        <w:rPr>
          <w:i/>
          <w:iCs/>
        </w:rPr>
        <w:t>BEREC</w:t>
      </w:r>
      <w:r w:rsidR="00EA2C2C" w:rsidRPr="00EC5E1C">
        <w:t xml:space="preserve"> birojā, kā arī jebkādu finansiālo ietekmi; norāda, ka 2024. gada beigās Komisija vēl nebija pabeigusi šo novērtējumu un pēc EP deputāta pieprasījuma Komisija informēja Parlamentu, ka novērtējuma ziņojums tiks iesniegts 2025. gada decembrī;</w:t>
      </w:r>
    </w:p>
    <w:p w14:paraId="5DFFF0EF" w14:textId="605B4706" w:rsidR="00EA2C2C" w:rsidRPr="00EC5E1C" w:rsidRDefault="00EC5E1C" w:rsidP="00EA2C2C">
      <w:pPr>
        <w:pStyle w:val="NormalHanging12a"/>
      </w:pPr>
      <w:r w:rsidRPr="00EC5E1C">
        <w:t>134</w:t>
      </w:r>
      <w:r w:rsidR="00EA2C2C" w:rsidRPr="00EC5E1C">
        <w:t>.</w:t>
      </w:r>
      <w:r w:rsidR="00EA2C2C" w:rsidRPr="00EC5E1C">
        <w:tab/>
        <w:t xml:space="preserve">norāda uz Revīzijas palātas konstatējumu par </w:t>
      </w:r>
      <w:proofErr w:type="spellStart"/>
      <w:r w:rsidR="00EA2C2C" w:rsidRPr="00EC5E1C">
        <w:rPr>
          <w:i/>
          <w:iCs/>
        </w:rPr>
        <w:t>CdT</w:t>
      </w:r>
      <w:proofErr w:type="spellEnd"/>
      <w:r w:rsidR="00EA2C2C" w:rsidRPr="00EC5E1C">
        <w:t xml:space="preserve"> iepirkuma pārkāpumu IT aprīkojuma plauktu nomas līgumā, kura slēgšanas tiesības tika piešķirtas 2016. gadā, izmantojot sarunu procedūru bez paziņojuma par līgumu iepriekšējas publicēšanas; uzsver, ka līgums tika atjaunots 13 reizes, nepareizi paļaujoties uz atbrīvojumu no ēku līguma saskaņā ar Komisijas Deleģētās regulas (ES) Nr. 1268/2012 134. panta 1. punkta h) apakšpunktu, un Revīzijas palātas konstatētais noteikums neattiecas uz IT statīvu </w:t>
      </w:r>
      <w:r w:rsidR="00EA2C2C" w:rsidRPr="00EC5E1C">
        <w:lastRenderedPageBreak/>
        <w:t>nomu;</w:t>
      </w:r>
    </w:p>
    <w:p w14:paraId="3ECAEC46" w14:textId="28C09609" w:rsidR="00EA2C2C" w:rsidRPr="00EC5E1C" w:rsidRDefault="00EC5E1C" w:rsidP="00EA2C2C">
      <w:pPr>
        <w:pStyle w:val="NormalHanging12a"/>
      </w:pPr>
      <w:r w:rsidRPr="00EC5E1C">
        <w:t>135</w:t>
      </w:r>
      <w:r w:rsidR="00EA2C2C" w:rsidRPr="00EC5E1C">
        <w:t>.</w:t>
      </w:r>
      <w:r w:rsidR="00EA2C2C" w:rsidRPr="00EC5E1C">
        <w:tab/>
        <w:t xml:space="preserve">norāda, ka </w:t>
      </w:r>
      <w:r w:rsidR="00EA2C2C" w:rsidRPr="00EC5E1C">
        <w:rPr>
          <w:i/>
          <w:iCs/>
        </w:rPr>
        <w:t>ENISA</w:t>
      </w:r>
      <w:r w:rsidR="00EA2C2C" w:rsidRPr="00EC5E1C">
        <w:t xml:space="preserve"> nepieņēma pienācīgu finansēšanas lēmumu pirms iepirkuma procedūru sākšanas attiecībā uz darbības izdevumiem, tādējādi apdraudot efektīvu plānošanu un uzraudzību un pārkāpjot tās finanšu noteikumu 32. panta 1. punktu un 72. panta 3. punkta b) apakšpunktu; pieņem zināšanai </w:t>
      </w:r>
      <w:r w:rsidR="00EA2C2C" w:rsidRPr="00EC5E1C">
        <w:rPr>
          <w:i/>
          <w:iCs/>
        </w:rPr>
        <w:t>ENISA</w:t>
      </w:r>
      <w:r w:rsidR="00EA2C2C" w:rsidRPr="00EC5E1C">
        <w:t xml:space="preserve"> atbildi, ka tā piekrīt šim apsvērumam un ir veikusi nepieciešamos pasākumus, lai risinātu šo jautājumu;</w:t>
      </w:r>
    </w:p>
    <w:p w14:paraId="09D6FF0B" w14:textId="7F489D79" w:rsidR="00EA2C2C" w:rsidRPr="00EC5E1C" w:rsidRDefault="00EC5E1C" w:rsidP="00EA2C2C">
      <w:pPr>
        <w:pStyle w:val="NormalHanging12a"/>
      </w:pPr>
      <w:r w:rsidRPr="00EC5E1C">
        <w:t>136</w:t>
      </w:r>
      <w:r w:rsidR="00EA2C2C" w:rsidRPr="00EC5E1C">
        <w:t>.</w:t>
      </w:r>
      <w:r w:rsidR="00EA2C2C" w:rsidRPr="00EC5E1C">
        <w:tab/>
        <w:t>konstatē, ka četrās konferencēs (2022.</w:t>
      </w:r>
      <w:r w:rsidR="00EA2C2C" w:rsidRPr="00EC5E1C">
        <w:noBreakHyphen/>
        <w:t xml:space="preserve">2024. gadā) </w:t>
      </w:r>
      <w:r w:rsidR="00EA2C2C" w:rsidRPr="00EC5E1C">
        <w:rPr>
          <w:i/>
          <w:iCs/>
        </w:rPr>
        <w:t>ENISA</w:t>
      </w:r>
      <w:r w:rsidR="00EA2C2C" w:rsidRPr="00EC5E1C">
        <w:t xml:space="preserve"> vidējie viesnīcu tarifi pārsniedza piemērojamos Savienības darbinieku maksimālos apjomus un divos pasākumos bija augstas atcelšanas maksas (30 % no kopējām izmaksām); uzsver, ka trūkst vadlīniju vai </w:t>
      </w:r>
      <w:proofErr w:type="spellStart"/>
      <w:r w:rsidR="00EA2C2C" w:rsidRPr="00EC5E1C">
        <w:rPr>
          <w:i/>
          <w:iCs/>
        </w:rPr>
        <w:t>ex</w:t>
      </w:r>
      <w:proofErr w:type="spellEnd"/>
      <w:r w:rsidR="00EA2C2C" w:rsidRPr="00EC5E1C">
        <w:rPr>
          <w:i/>
          <w:iCs/>
        </w:rPr>
        <w:t> </w:t>
      </w:r>
      <w:proofErr w:type="spellStart"/>
      <w:r w:rsidR="00EA2C2C" w:rsidRPr="00EC5E1C">
        <w:rPr>
          <w:i/>
          <w:iCs/>
        </w:rPr>
        <w:t>ante</w:t>
      </w:r>
      <w:proofErr w:type="spellEnd"/>
      <w:r w:rsidR="00EA2C2C" w:rsidRPr="00EC5E1C">
        <w:t xml:space="preserve"> pārbaužu attiecībā uz konferenču organizēšanu; pieņem zināšanai </w:t>
      </w:r>
      <w:r w:rsidR="00EA2C2C" w:rsidRPr="00EC5E1C">
        <w:rPr>
          <w:i/>
          <w:iCs/>
        </w:rPr>
        <w:t>ENISA</w:t>
      </w:r>
      <w:r w:rsidR="00EA2C2C" w:rsidRPr="00EC5E1C">
        <w:t xml:space="preserve"> atbildi, ka tā piekrīt un veiks korektīvus pasākumus;</w:t>
      </w:r>
    </w:p>
    <w:p w14:paraId="1802F2A9" w14:textId="1FCE32BB" w:rsidR="00EA2C2C" w:rsidRPr="00EC5E1C" w:rsidRDefault="00EC5E1C" w:rsidP="00EA2C2C">
      <w:pPr>
        <w:pStyle w:val="NormalHanging12a"/>
      </w:pPr>
      <w:r w:rsidRPr="00EC5E1C">
        <w:t>137</w:t>
      </w:r>
      <w:r w:rsidR="00EA2C2C" w:rsidRPr="00EC5E1C">
        <w:t>.</w:t>
      </w:r>
      <w:r w:rsidR="00EA2C2C" w:rsidRPr="00EC5E1C">
        <w:tab/>
        <w:t xml:space="preserve">vērš uzmanību uz pētniecības un izstrādes pakalpojumu iepirkuma procedūru, kurā trūka pietiekamas dokumentācijas, lai pamatotu paredzamo līguma vērtību, un nebija noteikti konkrēti un izmērāmi atlases kritēriji, kā noteikts Finanšu regulas 167. pantā un I pielikuma 18.2. punktā; pieņem zināšanai </w:t>
      </w:r>
      <w:r w:rsidR="00EA2C2C" w:rsidRPr="00EC5E1C">
        <w:rPr>
          <w:i/>
          <w:iCs/>
        </w:rPr>
        <w:t>ENISA</w:t>
      </w:r>
      <w:r w:rsidR="00EA2C2C" w:rsidRPr="00EC5E1C">
        <w:t xml:space="preserve"> atbildi, ka tā jau ir pievērsusies šā jautājuma risināšanai;</w:t>
      </w:r>
    </w:p>
    <w:p w14:paraId="4423F092" w14:textId="447CE881" w:rsidR="00EA2C2C" w:rsidRPr="00EC5E1C" w:rsidRDefault="00EC5E1C" w:rsidP="00EA2C2C">
      <w:pPr>
        <w:pStyle w:val="NormalHanging12a"/>
      </w:pPr>
      <w:r w:rsidRPr="00EC5E1C">
        <w:t>138</w:t>
      </w:r>
      <w:r w:rsidR="00EA2C2C" w:rsidRPr="00EC5E1C">
        <w:t>.</w:t>
      </w:r>
      <w:r w:rsidR="00EA2C2C" w:rsidRPr="00EC5E1C">
        <w:tab/>
        <w:t xml:space="preserve">pieņem zināšanai Revīzijas palātas konstatējumu par </w:t>
      </w:r>
      <w:r w:rsidR="00EA2C2C" w:rsidRPr="00EC5E1C">
        <w:rPr>
          <w:i/>
          <w:iCs/>
        </w:rPr>
        <w:t>EIT</w:t>
      </w:r>
      <w:r w:rsidR="00EA2C2C" w:rsidRPr="00EC5E1C">
        <w:t xml:space="preserve">, jo īpaši saskaņā ar dotāciju maksājumiem veikto izmaksu posteņu reprezentatīvas izlases ārējo </w:t>
      </w:r>
      <w:proofErr w:type="spellStart"/>
      <w:r w:rsidR="00EA2C2C" w:rsidRPr="00EC5E1C">
        <w:rPr>
          <w:i/>
          <w:iCs/>
        </w:rPr>
        <w:t>ex</w:t>
      </w:r>
      <w:proofErr w:type="spellEnd"/>
      <w:r w:rsidR="00EA2C2C" w:rsidRPr="00EC5E1C">
        <w:rPr>
          <w:i/>
          <w:iCs/>
        </w:rPr>
        <w:t> post</w:t>
      </w:r>
      <w:r w:rsidR="00EA2C2C" w:rsidRPr="00EC5E1C">
        <w:t xml:space="preserve"> pārbaudi, kuras rezultātā kopējais kļūdu īpatsvars bija 0,4 %; konstatē, ka Revīzijas palāta pārrēķināja izlases kopējo kļūdu īpatsvaru, iekļaujot tajā papildu neattiecināmu summu, ko tā konstatēja savā revīzijā, un secināja, ka dotāciju maksājumos aplēstais kļūdu īpatsvars bija 0,8 %, kas attiecās uz 2024. gadā dzēsto </w:t>
      </w:r>
      <w:r w:rsidR="00EA2C2C" w:rsidRPr="00EC5E1C">
        <w:rPr>
          <w:i/>
          <w:iCs/>
        </w:rPr>
        <w:t>EIT</w:t>
      </w:r>
      <w:r w:rsidR="00EA2C2C" w:rsidRPr="00EC5E1C">
        <w:t xml:space="preserve"> dotāciju maksājumu 6 miljonu EUR apmērā, un norāda, ka kļūdu skarti var būt aptuveni 50 000 EUR;</w:t>
      </w:r>
    </w:p>
    <w:p w14:paraId="31D0ED34" w14:textId="06F07C07" w:rsidR="00EA2C2C" w:rsidRPr="00EC5E1C" w:rsidRDefault="00EC5E1C" w:rsidP="00EA2C2C">
      <w:pPr>
        <w:pStyle w:val="NormalHanging12a"/>
      </w:pPr>
      <w:r w:rsidRPr="00EC5E1C">
        <w:t>139</w:t>
      </w:r>
      <w:r w:rsidR="00EA2C2C" w:rsidRPr="00EC5E1C">
        <w:t>.</w:t>
      </w:r>
      <w:r w:rsidR="00EA2C2C" w:rsidRPr="00EC5E1C">
        <w:tab/>
        <w:t xml:space="preserve">norāda, ka 2023. gadā EIT dotāciju nolīgumi pārgāja no ikgadēja uz daudzgadu struktūru; vērš uzmanību uz to, ka šīs izmaiņas ietekmē Revīzijas palātas veikto likumības un pareizības novērtējumu, ko var veikt tikai starpposma un galīgo maksājumu laikā; norāda, ka 2024. gadā </w:t>
      </w:r>
      <w:r w:rsidR="00EA2C2C" w:rsidRPr="00EC5E1C">
        <w:rPr>
          <w:i/>
          <w:iCs/>
        </w:rPr>
        <w:t>EIT</w:t>
      </w:r>
      <w:r w:rsidR="00EA2C2C" w:rsidRPr="00EC5E1C">
        <w:t xml:space="preserve"> izmaksāja </w:t>
      </w:r>
      <w:proofErr w:type="spellStart"/>
      <w:r w:rsidR="00EA2C2C" w:rsidRPr="00EC5E1C">
        <w:t>priekšfinansējumu</w:t>
      </w:r>
      <w:proofErr w:type="spellEnd"/>
      <w:r w:rsidR="00EA2C2C" w:rsidRPr="00EC5E1C">
        <w:t xml:space="preserve"> 412 miljonu EUR apmērā par daudzgadu nolīgumiem, kas veido 92,9 % no gada kopējiem maksājumiem; pieņem zināšanai, ka šo maksājumu likumība un pareizība tiks novērtēta turpmākajos gados; uzsver, ka tik lielai </w:t>
      </w:r>
      <w:proofErr w:type="spellStart"/>
      <w:r w:rsidR="00EA2C2C" w:rsidRPr="00EC5E1C">
        <w:t>priekšfinansējuma</w:t>
      </w:r>
      <w:proofErr w:type="spellEnd"/>
      <w:r w:rsidR="00EA2C2C" w:rsidRPr="00EC5E1C">
        <w:t xml:space="preserve"> maksājumu daļai ir vajadzīgi pastiprināti uzraudzības un kontroles mehānismi, lai mazinātu turpmāku finanšu korekciju vai atgūšanas risku;</w:t>
      </w:r>
    </w:p>
    <w:p w14:paraId="3728A767" w14:textId="52D2BFE1" w:rsidR="00EA2C2C" w:rsidRPr="00EC5E1C" w:rsidRDefault="00EC5E1C" w:rsidP="00EA2C2C">
      <w:pPr>
        <w:pStyle w:val="NormalHanging12a"/>
      </w:pPr>
      <w:r w:rsidRPr="00EC5E1C">
        <w:t>140</w:t>
      </w:r>
      <w:r w:rsidR="00EA2C2C" w:rsidRPr="00EC5E1C">
        <w:t>.</w:t>
      </w:r>
      <w:r w:rsidR="00EA2C2C" w:rsidRPr="00EC5E1C">
        <w:tab/>
        <w:t>pauž bažas par</w:t>
      </w:r>
      <w:r w:rsidR="00EA2C2C" w:rsidRPr="00EC5E1C">
        <w:rPr>
          <w:i/>
          <w:iCs/>
        </w:rPr>
        <w:t xml:space="preserve"> OLAF</w:t>
      </w:r>
      <w:r w:rsidR="00EA2C2C" w:rsidRPr="00EC5E1C">
        <w:t xml:space="preserve"> izmeklēšanām attiecībā uz trim dažādām lietām, kas pabeigtas 2024. gadā, un no tām izrietošajiem finanšu un administratīvajiem ieteikumiem; norāda, ka </w:t>
      </w:r>
      <w:r w:rsidR="00EA2C2C" w:rsidRPr="00EC5E1C">
        <w:rPr>
          <w:i/>
          <w:iCs/>
        </w:rPr>
        <w:t>OLAF</w:t>
      </w:r>
      <w:r w:rsidR="00EA2C2C" w:rsidRPr="00EC5E1C">
        <w:t xml:space="preserve"> ieteica </w:t>
      </w:r>
      <w:r w:rsidR="00EA2C2C" w:rsidRPr="00EC5E1C">
        <w:rPr>
          <w:i/>
          <w:iCs/>
        </w:rPr>
        <w:t>EIT</w:t>
      </w:r>
      <w:r w:rsidR="00EA2C2C" w:rsidRPr="00EC5E1C">
        <w:t xml:space="preserve"> atgūt ievērojamas summas no saņēmējiem, par kuriem tika veikta izmeklēšana; ņem vērā, ka atgūstamā summa attiecas uz dotāciju nolīgumiem, kas piešķirti no 2020. līdz 2023. gadam; norāda, ka 2024. gadā </w:t>
      </w:r>
      <w:r w:rsidR="00EA2C2C" w:rsidRPr="00EC5E1C">
        <w:rPr>
          <w:i/>
          <w:iCs/>
        </w:rPr>
        <w:t>EIT</w:t>
      </w:r>
      <w:r w:rsidR="00EA2C2C" w:rsidRPr="00EC5E1C">
        <w:t xml:space="preserve"> veica </w:t>
      </w:r>
      <w:proofErr w:type="spellStart"/>
      <w:r w:rsidR="00EA2C2C" w:rsidRPr="00EC5E1C">
        <w:t>priekšfinansējuma</w:t>
      </w:r>
      <w:proofErr w:type="spellEnd"/>
      <w:r w:rsidR="00EA2C2C" w:rsidRPr="00EC5E1C">
        <w:t xml:space="preserve"> maksājumu 52,1 miljona EUR apmērā saistībā ar 2023. gada dotācijas nolīgumu un 2024. gadā tas neietilpa Revīzijas palātas maksājumu revīzijas datu kopā;</w:t>
      </w:r>
    </w:p>
    <w:p w14:paraId="2DAAE725" w14:textId="7A180270" w:rsidR="00EA2C2C" w:rsidRPr="00EC5E1C" w:rsidRDefault="00EC5E1C" w:rsidP="00EA2C2C">
      <w:pPr>
        <w:pStyle w:val="NormalHanging12a"/>
      </w:pPr>
      <w:r w:rsidRPr="00EC5E1C">
        <w:t>141</w:t>
      </w:r>
      <w:r w:rsidR="00EA2C2C" w:rsidRPr="00EC5E1C">
        <w:t>.</w:t>
      </w:r>
      <w:r w:rsidR="00EA2C2C" w:rsidRPr="00EC5E1C">
        <w:tab/>
        <w:t xml:space="preserve">īpašu uzmanību pievērš skaidrojumiem, ko </w:t>
      </w:r>
      <w:r w:rsidR="00EA2C2C" w:rsidRPr="00EC5E1C">
        <w:rPr>
          <w:i/>
          <w:iCs/>
        </w:rPr>
        <w:t>EIT</w:t>
      </w:r>
      <w:r w:rsidR="00EA2C2C" w:rsidRPr="00EC5E1C">
        <w:t xml:space="preserve"> direktors sniedza 2025. gada 1. decembra uzklausīšanā, proti, ka pārkāpumi attiecas uz </w:t>
      </w:r>
      <w:r w:rsidR="00EA2C2C" w:rsidRPr="00EC5E1C">
        <w:rPr>
          <w:i/>
          <w:iCs/>
        </w:rPr>
        <w:t>EIT</w:t>
      </w:r>
      <w:r w:rsidR="00EA2C2C" w:rsidRPr="00EC5E1C">
        <w:t xml:space="preserve"> dotāciju saņēmējiem, nevis </w:t>
      </w:r>
      <w:r w:rsidR="00EA2C2C" w:rsidRPr="00EC5E1C">
        <w:rPr>
          <w:i/>
          <w:iCs/>
        </w:rPr>
        <w:t>EIT</w:t>
      </w:r>
      <w:r w:rsidR="00EA2C2C" w:rsidRPr="00EC5E1C">
        <w:t xml:space="preserve"> darbiniekiem, un ka divos galvenajos gadījumos pārkāpumus atklāja pati Aģentūra un par tiem </w:t>
      </w:r>
      <w:proofErr w:type="spellStart"/>
      <w:r w:rsidR="00EA2C2C" w:rsidRPr="00EC5E1C">
        <w:t>proaktīvi</w:t>
      </w:r>
      <w:proofErr w:type="spellEnd"/>
      <w:r w:rsidR="00EA2C2C" w:rsidRPr="00EC5E1C">
        <w:t xml:space="preserve"> ziņoja </w:t>
      </w:r>
      <w:r w:rsidR="00EA2C2C" w:rsidRPr="00EC5E1C">
        <w:rPr>
          <w:i/>
          <w:iCs/>
        </w:rPr>
        <w:t>OLAF</w:t>
      </w:r>
      <w:r w:rsidR="00EA2C2C" w:rsidRPr="00EC5E1C">
        <w:t xml:space="preserve">; turklāt norāda, ka pēc </w:t>
      </w:r>
      <w:r w:rsidR="00EA2C2C" w:rsidRPr="00EC5E1C">
        <w:rPr>
          <w:i/>
          <w:iCs/>
        </w:rPr>
        <w:t>OLAF</w:t>
      </w:r>
      <w:r w:rsidR="00EA2C2C" w:rsidRPr="00EC5E1C">
        <w:t xml:space="preserve"> galīgo ziņojumu saņemšanas </w:t>
      </w:r>
      <w:r w:rsidR="00EA2C2C" w:rsidRPr="00EC5E1C">
        <w:rPr>
          <w:i/>
          <w:iCs/>
        </w:rPr>
        <w:t>EIT</w:t>
      </w:r>
      <w:r w:rsidR="00EA2C2C" w:rsidRPr="00EC5E1C">
        <w:t xml:space="preserve"> ir veicis tūlītējus korektīvus pasākumus, jo īpaši attiecībā uz galveno pārkāpumu, tostarp apturējis visus maksājumus attiecīgajam saņēmējam, </w:t>
      </w:r>
      <w:r w:rsidR="00EA2C2C" w:rsidRPr="00EC5E1C">
        <w:lastRenderedPageBreak/>
        <w:t xml:space="preserve">priekšlaicīgi izbeidzis spēkā esošo dotācijas nolīgumu un sācis atgūšanas procedūras saistībā ar iepriekš skartajām dotācijām, kā arī pieprasījis saņēmējam uzlabot savus procesus un procedūras; sagaida, ka </w:t>
      </w:r>
      <w:r w:rsidR="00EA2C2C" w:rsidRPr="00EC5E1C">
        <w:rPr>
          <w:i/>
          <w:iCs/>
        </w:rPr>
        <w:t>EIT</w:t>
      </w:r>
      <w:r w:rsidR="00EA2C2C" w:rsidRPr="00EC5E1C">
        <w:t xml:space="preserve"> pilnībā īstenos visus turpmākos pasākumus, kas izriet no </w:t>
      </w:r>
      <w:r w:rsidR="00EA2C2C" w:rsidRPr="00EC5E1C">
        <w:rPr>
          <w:i/>
          <w:iCs/>
        </w:rPr>
        <w:t>OLAF</w:t>
      </w:r>
      <w:r w:rsidR="00EA2C2C" w:rsidRPr="00EC5E1C">
        <w:t xml:space="preserve"> ieteikumiem, un nodrošinās, ka pastiprināti kontroles mehānismi efektīvi mazina līdzīgus riskus turpmākajos finansēšanas ciklos;</w:t>
      </w:r>
    </w:p>
    <w:p w14:paraId="10725049" w14:textId="06226B84" w:rsidR="00EA2C2C" w:rsidRPr="00EC5E1C" w:rsidRDefault="00EC5E1C" w:rsidP="00EA2C2C">
      <w:pPr>
        <w:pStyle w:val="NormalHanging12a"/>
      </w:pPr>
      <w:r w:rsidRPr="00EC5E1C">
        <w:t>142</w:t>
      </w:r>
      <w:r w:rsidR="00EA2C2C" w:rsidRPr="00EC5E1C">
        <w:t>.</w:t>
      </w:r>
      <w:r w:rsidR="00EA2C2C" w:rsidRPr="00EC5E1C">
        <w:tab/>
        <w:t xml:space="preserve">norāda — tā kā viena no trim lietām ir sarežģīta, </w:t>
      </w:r>
      <w:r w:rsidR="00EA2C2C" w:rsidRPr="00EC5E1C">
        <w:rPr>
          <w:i/>
          <w:iCs/>
        </w:rPr>
        <w:t>EIT</w:t>
      </w:r>
      <w:r w:rsidR="00EA2C2C" w:rsidRPr="00EC5E1C">
        <w:t xml:space="preserve"> cieši sadarbojas ar Komisijas juridiskajiem dienestiem, </w:t>
      </w:r>
      <w:r w:rsidR="00EA2C2C" w:rsidRPr="00EC5E1C">
        <w:rPr>
          <w:i/>
          <w:iCs/>
        </w:rPr>
        <w:t>OLAF</w:t>
      </w:r>
      <w:r w:rsidR="00EA2C2C" w:rsidRPr="00EC5E1C">
        <w:t xml:space="preserve"> un BUDG ĢD, un tiek lēsts, ka atgūstamā summa pašlaik ir aptuveni 15</w:t>
      </w:r>
      <w:r w:rsidR="00EA2C2C" w:rsidRPr="00EC5E1C">
        <w:noBreakHyphen/>
        <w:t>20 miljoni EUR;</w:t>
      </w:r>
    </w:p>
    <w:p w14:paraId="0C7EABD5" w14:textId="71835EEC" w:rsidR="00EA2C2C" w:rsidRPr="00EC5E1C" w:rsidRDefault="00EC5E1C" w:rsidP="00EA2C2C">
      <w:pPr>
        <w:pStyle w:val="NormalHanging12a"/>
      </w:pPr>
      <w:r w:rsidRPr="00EC5E1C">
        <w:t>143</w:t>
      </w:r>
      <w:r w:rsidR="00EA2C2C" w:rsidRPr="00EC5E1C">
        <w:t>.</w:t>
      </w:r>
      <w:r w:rsidR="00EA2C2C" w:rsidRPr="00EC5E1C">
        <w:tab/>
        <w:t xml:space="preserve">atzīst, ka 2024. gadā </w:t>
      </w:r>
      <w:r w:rsidR="00EA2C2C" w:rsidRPr="00EC5E1C">
        <w:rPr>
          <w:i/>
          <w:iCs/>
        </w:rPr>
        <w:t>EIT</w:t>
      </w:r>
      <w:r w:rsidR="00EA2C2C" w:rsidRPr="00EC5E1C">
        <w:t xml:space="preserve"> novērtēja savu iekšējo kontroli un apzināja trīs galvenos riskus ar augstu atkārtošanās iespējamību un būtisku ietekmi uz tā darbībām:</w:t>
      </w:r>
    </w:p>
    <w:p w14:paraId="7292BD67" w14:textId="77777777" w:rsidR="00EA2C2C" w:rsidRPr="00EC5E1C" w:rsidRDefault="00EA2C2C" w:rsidP="00EA2C2C">
      <w:pPr>
        <w:pStyle w:val="NormalHanging12a"/>
        <w:ind w:left="1134"/>
      </w:pPr>
      <w:r w:rsidRPr="00EC5E1C">
        <w:t>–</w:t>
      </w:r>
      <w:r w:rsidRPr="00EC5E1C">
        <w:tab/>
        <w:t>nepietiekami cilvēkresursi: norāda, ka Revīzijas palāta un Komisijas Iekšējās revīzijas dienests atzīst šo risku, uzsverot pārkāpumus darbinieku trūkuma dēļ; mudina palielināt darbinieku skaitu un attiecīgi palielināt finansējumu;</w:t>
      </w:r>
    </w:p>
    <w:p w14:paraId="02790D03" w14:textId="77777777" w:rsidR="00EA2C2C" w:rsidRPr="00EC5E1C" w:rsidRDefault="00EA2C2C" w:rsidP="00EA2C2C">
      <w:pPr>
        <w:pStyle w:val="NormalHanging12a"/>
        <w:ind w:left="1134"/>
      </w:pPr>
      <w:r w:rsidRPr="00EC5E1C">
        <w:t>–</w:t>
      </w:r>
      <w:r w:rsidRPr="00EC5E1C">
        <w:tab/>
        <w:t xml:space="preserve">ZIK stratēģiskais progress: pauž nožēlu par to, ka zināšanu un inovāciju kopienas (ZIK) var nesasniegt stratēģiskos mērķus nesaskaņotības, krāpšanas vai citu faktoru dēļ; pauž bažas par to, ka dažas ZIK joprojām atpaliek saistībā ar krāpšanas apkarošanas sistēmām un ka pašlaik tiek pārskatītas </w:t>
      </w:r>
      <w:r w:rsidRPr="00EC5E1C">
        <w:rPr>
          <w:i/>
          <w:iCs/>
        </w:rPr>
        <w:t>OLAF</w:t>
      </w:r>
      <w:r w:rsidRPr="00EC5E1C">
        <w:t xml:space="preserve"> izmeklēšanas saistībā ar ZIK, kurām, iespējams, ir nepieciešama līdzekļu atgūšana;</w:t>
      </w:r>
    </w:p>
    <w:p w14:paraId="78F4D17A" w14:textId="77777777" w:rsidR="00EA2C2C" w:rsidRPr="00EC5E1C" w:rsidRDefault="00EA2C2C" w:rsidP="00EA2C2C">
      <w:pPr>
        <w:pStyle w:val="NormalHanging12a"/>
        <w:ind w:left="1134"/>
      </w:pPr>
      <w:r w:rsidRPr="00EC5E1C">
        <w:t>–</w:t>
      </w:r>
      <w:r w:rsidRPr="00EC5E1C">
        <w:tab/>
      </w:r>
      <w:proofErr w:type="spellStart"/>
      <w:r w:rsidRPr="00EC5E1C">
        <w:t>kiberdrošības</w:t>
      </w:r>
      <w:proofErr w:type="spellEnd"/>
      <w:r w:rsidRPr="00EC5E1C">
        <w:t xml:space="preserve"> apdraudējumi: kiberuzbrukumi rada ļoti augstu risku, potenciāli ietekmējot darbības nepārtrauktību, izraisot datu zudumu un kaitējot reputācijai;</w:t>
      </w:r>
    </w:p>
    <w:p w14:paraId="631527A9" w14:textId="57DD77DF" w:rsidR="00EA2C2C" w:rsidRPr="00EC5E1C" w:rsidRDefault="00EC5E1C" w:rsidP="00EA2C2C">
      <w:pPr>
        <w:pStyle w:val="NormalHanging12a"/>
      </w:pPr>
      <w:r w:rsidRPr="00EC5E1C">
        <w:t>144</w:t>
      </w:r>
      <w:r w:rsidR="00EA2C2C" w:rsidRPr="00EC5E1C">
        <w:t>.</w:t>
      </w:r>
      <w:r w:rsidR="00EA2C2C" w:rsidRPr="00EC5E1C">
        <w:tab/>
        <w:t xml:space="preserve">vērš uzmanību uz diviem budžeta pārkāpumiem </w:t>
      </w:r>
      <w:r w:rsidR="00EA2C2C" w:rsidRPr="00EC5E1C">
        <w:rPr>
          <w:i/>
          <w:iCs/>
        </w:rPr>
        <w:t>EIT</w:t>
      </w:r>
      <w:r w:rsidR="00EA2C2C" w:rsidRPr="00EC5E1C">
        <w:t xml:space="preserve"> 2025. gada budžeta grozījumā:</w:t>
      </w:r>
    </w:p>
    <w:p w14:paraId="3D9F765B" w14:textId="77777777" w:rsidR="00EA2C2C" w:rsidRPr="00EC5E1C" w:rsidRDefault="00EA2C2C" w:rsidP="00EA2C2C">
      <w:pPr>
        <w:pStyle w:val="NormalHanging12a"/>
        <w:ind w:left="1134"/>
      </w:pPr>
      <w:r w:rsidRPr="00EC5E1C">
        <w:t>–</w:t>
      </w:r>
      <w:r w:rsidRPr="00EC5E1C">
        <w:tab/>
        <w:t xml:space="preserve">budžeta līdzsvars: norāda, ka sākotnējā versija uzrādīja ieņēmumus 463,6 miljonu EUR apmērā salīdzinājumā ar izdevumiem 446,7 miljonu EUR apmērā, tādējādi pārkāpjot finanšu </w:t>
      </w:r>
      <w:proofErr w:type="spellStart"/>
      <w:r w:rsidRPr="00EC5E1C">
        <w:t>pamatregulu</w:t>
      </w:r>
      <w:proofErr w:type="spellEnd"/>
      <w:r w:rsidRPr="00EC5E1C">
        <w:t xml:space="preserve"> 8. un 16. pantu; pieņem zināšanai 2025. gada 31. martā laboto versiju;</w:t>
      </w:r>
    </w:p>
    <w:p w14:paraId="298C537B" w14:textId="77777777" w:rsidR="00EA2C2C" w:rsidRPr="00EC5E1C" w:rsidRDefault="00EA2C2C" w:rsidP="00EA2C2C">
      <w:pPr>
        <w:pStyle w:val="NormalHanging12a"/>
        <w:ind w:left="1134"/>
      </w:pPr>
      <w:r w:rsidRPr="00EC5E1C">
        <w:t>–</w:t>
      </w:r>
      <w:r w:rsidRPr="00EC5E1C">
        <w:tab/>
        <w:t xml:space="preserve">ieņēmumu klasifikācijas kļūda: norāda, ka </w:t>
      </w:r>
      <w:r w:rsidRPr="00EC5E1C">
        <w:rPr>
          <w:i/>
          <w:iCs/>
        </w:rPr>
        <w:t>EIT</w:t>
      </w:r>
      <w:r w:rsidRPr="00EC5E1C">
        <w:t xml:space="preserve"> 2. sadaļā “Iemaksas” ārējos piešķirtos ieņēmumos iekļāva 16,7 miljonus EUR, nevis izveidoja īpašu nodaļu, tādējādi pārkāpjot 8., 20., 21. un 25. pantu; norāda, ka </w:t>
      </w:r>
      <w:r w:rsidRPr="00EC5E1C">
        <w:rPr>
          <w:i/>
          <w:iCs/>
        </w:rPr>
        <w:t>EIT</w:t>
      </w:r>
      <w:r w:rsidRPr="00EC5E1C">
        <w:t xml:space="preserve"> kopš tā laika ir apņēmies pārstrukturēt savu budžetu, lai 2025. gadā pienācīgi klasificētu šādus ieņēmumus;</w:t>
      </w:r>
    </w:p>
    <w:p w14:paraId="076B6809" w14:textId="664C94D4" w:rsidR="00EA2C2C" w:rsidRPr="00EC5E1C" w:rsidRDefault="00EC5E1C" w:rsidP="00EA2C2C">
      <w:pPr>
        <w:pStyle w:val="NormalHanging12a"/>
      </w:pPr>
      <w:r w:rsidRPr="00EC5E1C">
        <w:t>145</w:t>
      </w:r>
      <w:r w:rsidR="00EA2C2C" w:rsidRPr="00EC5E1C">
        <w:t>.</w:t>
      </w:r>
      <w:r w:rsidR="00EA2C2C" w:rsidRPr="00EC5E1C">
        <w:tab/>
      </w:r>
      <w:bookmarkStart w:id="15" w:name="_Hlk216795090"/>
      <w:r w:rsidR="00EA2C2C" w:rsidRPr="00EC5E1C">
        <w:t xml:space="preserve">norāda, ka </w:t>
      </w:r>
      <w:r w:rsidR="00EA2C2C" w:rsidRPr="00EC5E1C">
        <w:rPr>
          <w:i/>
          <w:iCs/>
        </w:rPr>
        <w:t>EIT</w:t>
      </w:r>
      <w:r w:rsidR="00EA2C2C" w:rsidRPr="00EC5E1C">
        <w:t xml:space="preserve"> pamatlīgums par ceļojumu pakalpojumiem neatbilst līguma noteikumiem, jo pasūtījuma veidlapas vai īpašie līgumi netiek izmantoti ceļojumu pakalpojumu pasūtīšanai; konstatē, ka </w:t>
      </w:r>
      <w:r w:rsidR="00EA2C2C" w:rsidRPr="00EC5E1C">
        <w:rPr>
          <w:i/>
          <w:iCs/>
        </w:rPr>
        <w:t>EIT</w:t>
      </w:r>
      <w:r w:rsidR="00EA2C2C" w:rsidRPr="00EC5E1C">
        <w:t xml:space="preserve"> paļaujas uz darbinieku komandējumu rīkojumiem kā juridiskām saistībām, bet nepaziņo tos darbuzņēmējam, tā vietā deleģējot pilnu atbildību ceļojošajiem darbiniekiem, kuriem savi ceļojumu pakalpojumi ir </w:t>
      </w:r>
      <w:proofErr w:type="spellStart"/>
      <w:r w:rsidR="00EA2C2C" w:rsidRPr="00EC5E1C">
        <w:t>jāpasūta</w:t>
      </w:r>
      <w:proofErr w:type="spellEnd"/>
      <w:r w:rsidR="00EA2C2C" w:rsidRPr="00EC5E1C">
        <w:t xml:space="preserve"> tieši pa e-pastu</w:t>
      </w:r>
      <w:bookmarkEnd w:id="15"/>
      <w:r w:rsidR="00EA2C2C" w:rsidRPr="00EC5E1C">
        <w:t xml:space="preserve">; uzsver trīs gadījumus, kad komandējumu rīkojumus un izmaksu deklarācijas nebija apstiprinājuši pienācīgi deleģētie darbinieki, un to, ka </w:t>
      </w:r>
      <w:r w:rsidR="00EA2C2C" w:rsidRPr="00EC5E1C">
        <w:rPr>
          <w:i/>
          <w:iCs/>
        </w:rPr>
        <w:t>EIT</w:t>
      </w:r>
      <w:r w:rsidR="00EA2C2C" w:rsidRPr="00EC5E1C">
        <w:t xml:space="preserve"> trūkst uzticamas sistēmas, lai uzraudzītu līgumu maksimālo apjomu ievērošanu; pieņem zināšanai </w:t>
      </w:r>
      <w:r w:rsidR="00EA2C2C" w:rsidRPr="00EC5E1C">
        <w:rPr>
          <w:i/>
          <w:iCs/>
        </w:rPr>
        <w:t>EIT</w:t>
      </w:r>
      <w:r w:rsidR="00EA2C2C" w:rsidRPr="00EC5E1C">
        <w:t xml:space="preserve"> atbildi, kurā apstiprināts, ka līguma maksimālais apjoms nav pārsniegts, taču aicina Aģentūru nodrošināt pienācīgu apstiprinātājas iestādes deleģēšanu un ieviest uzraudzības sistēmu, lai sekotu līdzi līguma maksimālā apjoma ievērošanai;</w:t>
      </w:r>
    </w:p>
    <w:p w14:paraId="3E82C649" w14:textId="22F67BA8" w:rsidR="00EA2C2C" w:rsidRPr="00EC5E1C" w:rsidRDefault="00EC5E1C" w:rsidP="00EA2C2C">
      <w:pPr>
        <w:pStyle w:val="NormalHanging12a"/>
      </w:pPr>
      <w:r w:rsidRPr="00EC5E1C">
        <w:t>146</w:t>
      </w:r>
      <w:r w:rsidR="00EA2C2C" w:rsidRPr="00EC5E1C">
        <w:t>.</w:t>
      </w:r>
      <w:r w:rsidR="00EA2C2C" w:rsidRPr="00EC5E1C">
        <w:tab/>
        <w:t xml:space="preserve">konstatē, ka </w:t>
      </w:r>
      <w:r w:rsidR="00EA2C2C" w:rsidRPr="00EC5E1C">
        <w:rPr>
          <w:i/>
          <w:iCs/>
        </w:rPr>
        <w:t>EIT</w:t>
      </w:r>
      <w:r w:rsidR="00EA2C2C" w:rsidRPr="00EC5E1C">
        <w:t xml:space="preserve"> uz 2025. gadu pārnesa 118 697 EUR personāla izmaksu saistībās kā </w:t>
      </w:r>
      <w:r w:rsidR="00EA2C2C" w:rsidRPr="00EC5E1C">
        <w:lastRenderedPageBreak/>
        <w:t xml:space="preserve">C9 apropriācijas, neraugoties uz to, ka finanšu </w:t>
      </w:r>
      <w:proofErr w:type="spellStart"/>
      <w:r w:rsidR="00EA2C2C" w:rsidRPr="00EC5E1C">
        <w:t>pamatregulas</w:t>
      </w:r>
      <w:proofErr w:type="spellEnd"/>
      <w:r w:rsidR="00EA2C2C" w:rsidRPr="00EC5E1C">
        <w:t xml:space="preserve"> 12. panta 5. punktā ir noteikts, ka šādas saistības līdz gada beigām ir jāatceļ; norāda, ka </w:t>
      </w:r>
      <w:r w:rsidR="00EA2C2C" w:rsidRPr="00EC5E1C">
        <w:rPr>
          <w:i/>
          <w:iCs/>
        </w:rPr>
        <w:t>EIT</w:t>
      </w:r>
      <w:r w:rsidR="00EA2C2C" w:rsidRPr="00EC5E1C">
        <w:t xml:space="preserve"> ir atzinis šo problēmu un apņēmies stiprināt iekšējo kontroli, lai novērstu tā atkārtošanos;</w:t>
      </w:r>
    </w:p>
    <w:p w14:paraId="39FDAE05" w14:textId="64F2B26C" w:rsidR="00EA2C2C" w:rsidRPr="00EC5E1C" w:rsidRDefault="00EC5E1C" w:rsidP="00EA2C2C">
      <w:pPr>
        <w:pStyle w:val="NormalHanging12a"/>
      </w:pPr>
      <w:r w:rsidRPr="00EC5E1C">
        <w:t>147</w:t>
      </w:r>
      <w:r w:rsidR="00EA2C2C" w:rsidRPr="00EC5E1C">
        <w:t>.</w:t>
      </w:r>
      <w:r w:rsidR="00EA2C2C" w:rsidRPr="00EC5E1C">
        <w:tab/>
        <w:t xml:space="preserve">norāda uz </w:t>
      </w:r>
      <w:r w:rsidR="00EA2C2C" w:rsidRPr="00EC5E1C">
        <w:rPr>
          <w:i/>
          <w:iCs/>
        </w:rPr>
        <w:t>EUSPA</w:t>
      </w:r>
      <w:r w:rsidR="00EA2C2C" w:rsidRPr="00EC5E1C">
        <w:t xml:space="preserve"> kā ES kosmosa programmas galvenā pīlāra stratēģisko nozīmi Savienības rūpnieciskās bāzes, konkurētspējas un inovācijas stiprināšanā; aicina Komisiju, sagatavojot nākamo daudzgadu finanšu shēmu (DFS), nodrošināt, ka </w:t>
      </w:r>
      <w:r w:rsidR="00EA2C2C" w:rsidRPr="00EC5E1C">
        <w:rPr>
          <w:i/>
          <w:iCs/>
        </w:rPr>
        <w:t>EUSPA</w:t>
      </w:r>
      <w:r w:rsidR="00EA2C2C" w:rsidRPr="00EC5E1C">
        <w:t xml:space="preserve"> ir pienācīgas pilnvaras un resursi, lai stiprinātu tās sniegumu un īstenošanas spējas, atbalstot Savienības stratēģisko autonomiju un suverenitāti, tostarp īstenojot jaunus uzdevumus saskaņā ar ES Kosmosa aktu; uzsver, ka ir svarīgi par prioritāti noteikt Eiropas iepirkumu jomās, kas ir kritiski svarīgas Savienības noturībai, drošībai un tehnoloģiskajai neatkarībai;</w:t>
      </w:r>
    </w:p>
    <w:p w14:paraId="5409C4F1" w14:textId="4DB3C3A2" w:rsidR="00EA2C2C" w:rsidRPr="00EC5E1C" w:rsidRDefault="00EC5E1C" w:rsidP="00EA2C2C">
      <w:pPr>
        <w:pStyle w:val="NormalHanging12a"/>
      </w:pPr>
      <w:r w:rsidRPr="00EC5E1C">
        <w:t>148</w:t>
      </w:r>
      <w:r w:rsidR="00EA2C2C" w:rsidRPr="00EC5E1C">
        <w:t>.</w:t>
      </w:r>
      <w:r w:rsidR="00EA2C2C" w:rsidRPr="00EC5E1C">
        <w:tab/>
        <w:t>aicina aģentūras rīkoties saskaņā ar Revīzijas palātas konstatējumiem, jo īpaši:</w:t>
      </w:r>
    </w:p>
    <w:p w14:paraId="15D52433" w14:textId="77777777" w:rsidR="00EA2C2C" w:rsidRPr="00EC5E1C" w:rsidRDefault="00EA2C2C" w:rsidP="00EA2C2C">
      <w:pPr>
        <w:pStyle w:val="NormalHanging12a"/>
        <w:ind w:left="1134"/>
      </w:pPr>
      <w:r w:rsidRPr="00EC5E1C">
        <w:t>i)</w:t>
      </w:r>
      <w:r w:rsidRPr="00EC5E1C">
        <w:tab/>
      </w:r>
      <w:r w:rsidRPr="00EC5E1C">
        <w:rPr>
          <w:i/>
          <w:iCs/>
        </w:rPr>
        <w:t>BEREC</w:t>
      </w:r>
      <w:r w:rsidRPr="00EC5E1C">
        <w:t xml:space="preserve"> birojam nodrošināt pilnīgu atbilstību iepirkuma noteikumiem, sistemātiski nosakot atlases kritērijus sarunu procedūrās, un stiprināt jaudas nodrošināšanas mehānismus;</w:t>
      </w:r>
    </w:p>
    <w:p w14:paraId="2CDA796B" w14:textId="77777777" w:rsidR="00EA2C2C" w:rsidRPr="00EC5E1C" w:rsidRDefault="00EA2C2C" w:rsidP="00EA2C2C">
      <w:pPr>
        <w:pStyle w:val="NormalHanging12a"/>
        <w:ind w:left="1134"/>
      </w:pPr>
      <w:r w:rsidRPr="00EC5E1C">
        <w:t>ii)</w:t>
      </w:r>
      <w:r w:rsidRPr="00EC5E1C">
        <w:tab/>
      </w:r>
      <w:proofErr w:type="spellStart"/>
      <w:r w:rsidRPr="00EC5E1C">
        <w:rPr>
          <w:i/>
          <w:iCs/>
        </w:rPr>
        <w:t>CdT</w:t>
      </w:r>
      <w:proofErr w:type="spellEnd"/>
      <w:r w:rsidRPr="00EC5E1C">
        <w:t xml:space="preserve"> pastiprināt iepirkuma kontroli nolūkā novērst Savienības un iekšējo finanšu noteikumu neievērošanas atkārtošanos;</w:t>
      </w:r>
    </w:p>
    <w:p w14:paraId="5470BCE3" w14:textId="77777777" w:rsidR="00EA2C2C" w:rsidRPr="00EC5E1C" w:rsidRDefault="00EA2C2C" w:rsidP="00EA2C2C">
      <w:pPr>
        <w:pStyle w:val="NormalHanging12a"/>
        <w:ind w:left="1134"/>
        <w:rPr>
          <w:bCs/>
        </w:rPr>
      </w:pPr>
      <w:r w:rsidRPr="00EC5E1C">
        <w:t>iii)</w:t>
      </w:r>
      <w:r w:rsidRPr="00EC5E1C">
        <w:tab/>
      </w:r>
      <w:r w:rsidRPr="00EC5E1C">
        <w:rPr>
          <w:i/>
          <w:iCs/>
        </w:rPr>
        <w:t>ENISA</w:t>
      </w:r>
      <w:r w:rsidRPr="00EC5E1C">
        <w:t xml:space="preserve"> pieņemt finansēšanas lēmumus pirms iepirkuma, ieviest pamatnostādnes un </w:t>
      </w:r>
      <w:proofErr w:type="spellStart"/>
      <w:r w:rsidRPr="00EC5E1C">
        <w:rPr>
          <w:i/>
          <w:iCs/>
        </w:rPr>
        <w:t>ex</w:t>
      </w:r>
      <w:proofErr w:type="spellEnd"/>
      <w:r w:rsidRPr="00EC5E1C">
        <w:rPr>
          <w:i/>
          <w:iCs/>
        </w:rPr>
        <w:t> </w:t>
      </w:r>
      <w:proofErr w:type="spellStart"/>
      <w:r w:rsidRPr="00EC5E1C">
        <w:rPr>
          <w:i/>
          <w:iCs/>
        </w:rPr>
        <w:t>ante</w:t>
      </w:r>
      <w:proofErr w:type="spellEnd"/>
      <w:r w:rsidRPr="00EC5E1C">
        <w:t xml:space="preserve"> pārbaudes konferenču organizēšanai un nodrošināt pilnīgu dokumentāciju un izmērāmus atlases kritērijus visās procedūrās;</w:t>
      </w:r>
    </w:p>
    <w:p w14:paraId="040B2117" w14:textId="77777777" w:rsidR="00EA2C2C" w:rsidRPr="00EC5E1C" w:rsidRDefault="00EA2C2C" w:rsidP="00EA2C2C">
      <w:pPr>
        <w:pStyle w:val="NormalHanging12a"/>
        <w:ind w:left="1134"/>
      </w:pPr>
      <w:r w:rsidRPr="00EC5E1C">
        <w:t>iv)</w:t>
      </w:r>
      <w:r w:rsidRPr="00EC5E1C">
        <w:tab/>
      </w:r>
      <w:r w:rsidRPr="00EC5E1C">
        <w:rPr>
          <w:i/>
          <w:iCs/>
        </w:rPr>
        <w:t>EIT</w:t>
      </w:r>
      <w:r w:rsidRPr="00EC5E1C">
        <w:t xml:space="preserve"> stiprināt ārējo pārbaudītāju uzraudzību un uzlabot pārbaudes kontrolsarakstus, nodrošināt pienācīgu budžeta līdzsvaru un ieņēmumu klasifikāciju, uzlabot tā ceļojumu pakalpojumu pamatlīguma īstenošanu un pastiprināt iekšējo kontroli, lai izvairītos no nepareiziem pārnesumiem;</w:t>
      </w:r>
    </w:p>
    <w:p w14:paraId="3A0133EA" w14:textId="0464F4FF" w:rsidR="00EA2C2C" w:rsidRPr="00EC5E1C" w:rsidRDefault="00EC5E1C" w:rsidP="00EA2C2C">
      <w:pPr>
        <w:pStyle w:val="NormalHanging12a"/>
      </w:pPr>
      <w:r w:rsidRPr="00EC5E1C">
        <w:t>149</w:t>
      </w:r>
      <w:r w:rsidR="00EA2C2C" w:rsidRPr="00EC5E1C">
        <w:t>.</w:t>
      </w:r>
      <w:r w:rsidR="00EA2C2C" w:rsidRPr="00EC5E1C">
        <w:tab/>
        <w:t>turklāt aicina šādas aģentūras:</w:t>
      </w:r>
    </w:p>
    <w:p w14:paraId="5B317990" w14:textId="77777777" w:rsidR="00EA2C2C" w:rsidRPr="00EC5E1C" w:rsidRDefault="00EA2C2C" w:rsidP="00EA2C2C">
      <w:pPr>
        <w:pStyle w:val="NormalHanging12a"/>
        <w:ind w:left="1134"/>
      </w:pPr>
      <w:r w:rsidRPr="00EC5E1C">
        <w:t>i)</w:t>
      </w:r>
      <w:r w:rsidRPr="00EC5E1C">
        <w:tab/>
      </w:r>
      <w:r w:rsidRPr="00EC5E1C">
        <w:rPr>
          <w:i/>
          <w:iCs/>
        </w:rPr>
        <w:t>BEREC</w:t>
      </w:r>
      <w:r w:rsidRPr="00EC5E1C">
        <w:t xml:space="preserve"> biroju ziņot budžeta izpildes </w:t>
      </w:r>
      <w:proofErr w:type="spellStart"/>
      <w:r w:rsidRPr="00EC5E1C">
        <w:t>apstiprinātājiestādei</w:t>
      </w:r>
      <w:proofErr w:type="spellEnd"/>
      <w:r w:rsidRPr="00EC5E1C">
        <w:t xml:space="preserve"> par Komisijas novēlotā piecu gadu novērtējuma laicīgu pabeigšanu un turpmākajiem pasākumiem;</w:t>
      </w:r>
    </w:p>
    <w:p w14:paraId="14117630" w14:textId="77777777" w:rsidR="00EA2C2C" w:rsidRPr="00EC5E1C" w:rsidRDefault="00EA2C2C" w:rsidP="00EA2C2C">
      <w:pPr>
        <w:pStyle w:val="NormalHanging12a"/>
        <w:ind w:left="1134"/>
      </w:pPr>
      <w:r w:rsidRPr="00EC5E1C">
        <w:t>ii)</w:t>
      </w:r>
      <w:r w:rsidRPr="00EC5E1C">
        <w:tab/>
      </w:r>
      <w:r w:rsidRPr="00EC5E1C">
        <w:rPr>
          <w:i/>
          <w:iCs/>
        </w:rPr>
        <w:t>ENISA</w:t>
      </w:r>
      <w:r w:rsidRPr="00EC5E1C">
        <w:t xml:space="preserve"> informēt budžeta izpildes </w:t>
      </w:r>
      <w:proofErr w:type="spellStart"/>
      <w:r w:rsidRPr="00EC5E1C">
        <w:t>apstiprinātājiestādi</w:t>
      </w:r>
      <w:proofErr w:type="spellEnd"/>
      <w:r w:rsidRPr="00EC5E1C">
        <w:t xml:space="preserve"> par to, kā tiek īstenoti korektīvi pasākumi attiecībā uz iepirkuma plānošanu, konferenču pārvaldību un pētniecības un izstrādes procedūru dokumentāciju;</w:t>
      </w:r>
    </w:p>
    <w:p w14:paraId="7CEFBFFD" w14:textId="76D9D969" w:rsidR="00EA2C2C" w:rsidRPr="00EC5E1C" w:rsidRDefault="00EA2C2C" w:rsidP="00EA2C2C">
      <w:pPr>
        <w:pStyle w:val="NormalHanging12a"/>
        <w:ind w:left="1134"/>
      </w:pPr>
      <w:r w:rsidRPr="00EC5E1C">
        <w:t>iii)</w:t>
      </w:r>
      <w:r w:rsidRPr="00EC5E1C">
        <w:tab/>
      </w:r>
      <w:r w:rsidRPr="00EC5E1C">
        <w:rPr>
          <w:i/>
          <w:iCs/>
        </w:rPr>
        <w:t>EIT</w:t>
      </w:r>
      <w:r w:rsidRPr="00EC5E1C">
        <w:t xml:space="preserve"> informēt budžeta izpildes </w:t>
      </w:r>
      <w:proofErr w:type="spellStart"/>
      <w:r w:rsidRPr="00EC5E1C">
        <w:t>apstiprinātājiestādi</w:t>
      </w:r>
      <w:proofErr w:type="spellEnd"/>
      <w:r w:rsidRPr="00EC5E1C">
        <w:t xml:space="preserve"> par </w:t>
      </w:r>
      <w:r w:rsidRPr="00EC5E1C">
        <w:rPr>
          <w:i/>
          <w:iCs/>
        </w:rPr>
        <w:t>OLAF</w:t>
      </w:r>
      <w:r w:rsidRPr="00EC5E1C">
        <w:t xml:space="preserve"> ieteikumu īstenošanu un pastiprinātiem kontroles mehānismiem, lai izvairītos no nepilnību atkārtošanās nākotnē; turpināt stiprināt </w:t>
      </w:r>
      <w:proofErr w:type="spellStart"/>
      <w:r w:rsidRPr="00EC5E1C">
        <w:t>kiberdrošības</w:t>
      </w:r>
      <w:proofErr w:type="spellEnd"/>
      <w:r w:rsidRPr="00EC5E1C">
        <w:t xml:space="preserve"> pārvaldību, pilnībā ievērojot Regulu (ES, </w:t>
      </w:r>
      <w:r w:rsidRPr="00EC5E1C">
        <w:rPr>
          <w:i/>
          <w:iCs/>
        </w:rPr>
        <w:t>Euratom</w:t>
      </w:r>
      <w:r w:rsidRPr="00EC5E1C">
        <w:t xml:space="preserve">) 2023/2841, lai vēl vairāk uzlabotu iekšējās </w:t>
      </w:r>
      <w:proofErr w:type="spellStart"/>
      <w:r w:rsidRPr="00EC5E1C">
        <w:t>kibernoturības</w:t>
      </w:r>
      <w:proofErr w:type="spellEnd"/>
      <w:r w:rsidRPr="00EC5E1C">
        <w:t xml:space="preserve"> spējas;</w:t>
      </w:r>
      <w:r w:rsidR="0076643C" w:rsidRPr="00EC5E1C">
        <w:t xml:space="preserve"> izveidot politiku attiecībā uz piekļuvi dokumentiem, lai nodrošinātu parlamentāro un publisko kontroli pār Savienības līdzekļu izlietojumu, jo īpaši attiecībā uz zināšanu un inovāciju kopienām (ZIK);</w:t>
      </w:r>
    </w:p>
    <w:p w14:paraId="4B09B086" w14:textId="4DBD57FA" w:rsidR="0076643C" w:rsidRPr="00EC5E1C" w:rsidRDefault="0076643C" w:rsidP="00EA2C2C">
      <w:pPr>
        <w:pStyle w:val="NormalHanging12a"/>
        <w:ind w:left="1134"/>
      </w:pPr>
      <w:r w:rsidRPr="00EC5E1C">
        <w:t>iv)</w:t>
      </w:r>
      <w:r w:rsidRPr="00EC5E1C">
        <w:tab/>
      </w:r>
      <w:proofErr w:type="spellStart"/>
      <w:r w:rsidRPr="00EC5E1C">
        <w:t>CdT</w:t>
      </w:r>
      <w:proofErr w:type="spellEnd"/>
      <w:r w:rsidRPr="00EC5E1C">
        <w:t xml:space="preserve"> turpināt uzlabot dokumentu pieejamību visās Savienības valodās, lai nodrošinātu vienlīdzīgu piekļuvi visiem Savienības iedzīvotājiem;</w:t>
      </w:r>
    </w:p>
    <w:p w14:paraId="14A541BA" w14:textId="301797A1" w:rsidR="00EA2C2C" w:rsidRPr="00EC5E1C" w:rsidRDefault="00EC5E1C" w:rsidP="00EA2C2C">
      <w:pPr>
        <w:pStyle w:val="NormalHanging12a"/>
      </w:pPr>
      <w:r w:rsidRPr="00EC5E1C">
        <w:t>150</w:t>
      </w:r>
      <w:r w:rsidR="00EA2C2C" w:rsidRPr="00EC5E1C">
        <w:t>.</w:t>
      </w:r>
      <w:r w:rsidR="00EA2C2C" w:rsidRPr="00EC5E1C">
        <w:tab/>
        <w:t>aicina Komisiju:</w:t>
      </w:r>
    </w:p>
    <w:p w14:paraId="22D736F1" w14:textId="77777777" w:rsidR="00EA2C2C" w:rsidRPr="00EC5E1C" w:rsidRDefault="00EA2C2C" w:rsidP="00EA2C2C">
      <w:pPr>
        <w:pStyle w:val="NormalHanging12a"/>
        <w:ind w:left="1134"/>
      </w:pPr>
      <w:r w:rsidRPr="00EC5E1C">
        <w:lastRenderedPageBreak/>
        <w:t>i)</w:t>
      </w:r>
      <w:r w:rsidRPr="00EC5E1C">
        <w:tab/>
        <w:t>apzināt sistēmiskas problēmas visās aģentūrās attiecībā uz IT pakalpojumu iepirkumu, izpētīt, vai vienmēr ir vajadzīgi jauni iepirkuma konkursi darbības nepārtrauktības nodrošināšanai, izpētīt, vai ieviest īpašus, elastīgākus noteikumus attiecībā uz IT iepirkumu, lai sniegtu atbalstu un pārraudzību aģentūrām šajā jomā;</w:t>
      </w:r>
    </w:p>
    <w:p w14:paraId="35638222" w14:textId="77777777" w:rsidR="00EA2C2C" w:rsidRPr="00EC5E1C" w:rsidRDefault="00EA2C2C" w:rsidP="00EA2C2C">
      <w:pPr>
        <w:pStyle w:val="NormalHanging12a"/>
        <w:ind w:left="1134"/>
      </w:pPr>
      <w:r w:rsidRPr="00EC5E1C">
        <w:t>ii)</w:t>
      </w:r>
      <w:r w:rsidRPr="00EC5E1C">
        <w:tab/>
        <w:t>piedāvāt atbilstošu apmācību par iepirkuma noteikumiem; mudina Komisiju analizēt sistēmiskas problēmas iepirkuma procedūrās visās aģentūrās, lai noskaidrotu konkrētas problēmu jomas un ierosinātu risinājumus.</w:t>
      </w:r>
    </w:p>
    <w:sectPr w:rsidR="00EA2C2C" w:rsidRPr="00EC5E1C" w:rsidSect="002E3114">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80F67" w14:textId="77777777" w:rsidR="000524F0" w:rsidRPr="00D106D3" w:rsidRDefault="000524F0">
      <w:r w:rsidRPr="00D106D3">
        <w:separator/>
      </w:r>
    </w:p>
  </w:endnote>
  <w:endnote w:type="continuationSeparator" w:id="0">
    <w:p w14:paraId="1D88E9AF" w14:textId="77777777" w:rsidR="000524F0" w:rsidRPr="00D106D3" w:rsidRDefault="000524F0">
      <w:r w:rsidRPr="00D106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F46E" w14:textId="77777777" w:rsidR="00EA2C2C" w:rsidRPr="00D106D3" w:rsidRDefault="00EA2C2C" w:rsidP="00806EEE">
    <w:pPr>
      <w:pStyle w:val="EPFooter"/>
    </w:pPr>
    <w:r w:rsidRPr="00D106D3">
      <w:rPr>
        <w:rStyle w:val="HideTWBExt"/>
      </w:rPr>
      <w:t>&lt;PathFdR&gt;</w:t>
    </w:r>
    <w:r w:rsidRPr="00D106D3">
      <w:t>PR\1326657EN.docx</w:t>
    </w:r>
    <w:r w:rsidRPr="00D106D3">
      <w:rPr>
        <w:rStyle w:val="HideTWBExt"/>
      </w:rPr>
      <w:t>&lt;/PathFdR&gt;</w:t>
    </w:r>
    <w:r w:rsidRPr="00D106D3">
      <w:tab/>
    </w:r>
    <w:r w:rsidRPr="00D106D3">
      <w:fldChar w:fldCharType="begin"/>
    </w:r>
    <w:r w:rsidRPr="00D106D3">
      <w:instrText xml:space="preserve"> PAGE </w:instrText>
    </w:r>
    <w:r w:rsidRPr="00D106D3">
      <w:fldChar w:fldCharType="separate"/>
    </w:r>
    <w:r w:rsidRPr="00D106D3">
      <w:rPr>
        <w:noProof/>
      </w:rPr>
      <w:t>8</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Pr>
      <w:t>&lt;NoPE&gt;</w:t>
    </w:r>
    <w:r w:rsidRPr="00D106D3">
      <w:t>776.806</w:t>
    </w:r>
    <w:r w:rsidRPr="00D106D3">
      <w:rPr>
        <w:rStyle w:val="HideTWBExt"/>
      </w:rPr>
      <w:t>&lt;/NoPE&gt;&lt;Version&gt;</w:t>
    </w:r>
    <w:r w:rsidRPr="00D106D3">
      <w:t>v01-00</w:t>
    </w:r>
    <w:r w:rsidRPr="00D106D3">
      <w:rPr>
        <w:rStyle w:val="HideTWBExt"/>
      </w:rPr>
      <w:t>&lt;/Version&gt;</w:t>
    </w:r>
  </w:p>
  <w:p w14:paraId="4634F0BC"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78042ECA" w14:textId="77777777" w:rsidR="00EA2C2C" w:rsidRPr="00D106D3" w:rsidRDefault="00EA2C2C" w:rsidP="00806E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35C13"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782FEE69"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82AA8"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12</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36791266"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5DC3A2B4" w14:textId="77777777" w:rsidR="00EA2C2C" w:rsidRPr="00D106D3" w:rsidRDefault="00EA2C2C"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F1C8B"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0646E880"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A5BC"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16</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3C5BE59A"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2C8429A7" w14:textId="77777777" w:rsidR="00EA2C2C" w:rsidRPr="00D106D3" w:rsidRDefault="00EA2C2C"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17D6"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16B34AEE"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1F686"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20</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3EEB3059"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5FAA8C9D" w14:textId="77777777" w:rsidR="00EA2C2C" w:rsidRPr="00D106D3" w:rsidRDefault="00EA2C2C"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6D5F5"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391AF78A"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5728"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24</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7054843A"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75619815" w14:textId="77777777" w:rsidR="00EA2C2C" w:rsidRPr="00D106D3" w:rsidRDefault="00EA2C2C"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81205"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14B84C0B"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4697"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28</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B52DF1B"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2545D6E4" w14:textId="77777777" w:rsidR="00EA2C2C" w:rsidRPr="00D106D3" w:rsidRDefault="00EA2C2C"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4BD1F"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97836CA"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8C627"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32</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0F26B849"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5B789492" w14:textId="77777777" w:rsidR="00EA2C2C" w:rsidRPr="00D106D3" w:rsidRDefault="00EA2C2C"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1D739"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15AA217"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BD64"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36</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516786CF"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0BAB991B" w14:textId="77777777" w:rsidR="00EA2C2C" w:rsidRPr="00D106D3" w:rsidRDefault="00EA2C2C"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441F"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60F33D70"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D313"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40</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46B130FB"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16B0E60D" w14:textId="77777777" w:rsidR="00EA2C2C" w:rsidRPr="00D106D3" w:rsidRDefault="00EA2C2C"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FE02"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03305C16"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CD7C8"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44</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CDECCD4"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7A64AB31" w14:textId="77777777" w:rsidR="00EA2C2C" w:rsidRPr="00D106D3" w:rsidRDefault="00EA2C2C"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77EBF"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01565F60"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CEAD"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48</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46A9A082"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747F7703" w14:textId="77777777" w:rsidR="00EA2C2C" w:rsidRPr="00D106D3" w:rsidRDefault="00EA2C2C"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C561"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4EE2F234"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49D50"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52</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7953CAEB"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1E9C96CE" w14:textId="77777777" w:rsidR="00EA2C2C" w:rsidRPr="00D106D3" w:rsidRDefault="00EA2C2C"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1A13"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1E54FE7"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CCF2"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56</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0EF04226"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3226644D" w14:textId="77777777" w:rsidR="00EA2C2C" w:rsidRPr="00D106D3" w:rsidRDefault="00EA2C2C"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33B14"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10AE5598"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E8D64"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60</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55D320A0"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1F97782A" w14:textId="77777777" w:rsidR="00EA2C2C" w:rsidRPr="00D106D3" w:rsidRDefault="00EA2C2C"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1EAF"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80202C8"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C576F"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64</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4FB3142A"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24197D1B" w14:textId="77777777" w:rsidR="00EA2C2C" w:rsidRPr="00D106D3" w:rsidRDefault="00EA2C2C"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6F74F"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0FA773B"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E3162"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68</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4694E33"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76E9CCF2" w14:textId="77777777" w:rsidR="00EA2C2C" w:rsidRPr="00D106D3" w:rsidRDefault="00EA2C2C"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BD93"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01A1AD3D"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460A9"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72</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1C5D1F55"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3B87B946" w14:textId="77777777" w:rsidR="00EA2C2C" w:rsidRPr="00D106D3" w:rsidRDefault="00EA2C2C"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3BAF"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0809466"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C79DB"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76</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6B7BC868"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06C435BF" w14:textId="77777777" w:rsidR="00EA2C2C" w:rsidRPr="00D106D3" w:rsidRDefault="00EA2C2C"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A3A1"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329F451C"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7EF6"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80</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30C187C6"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0B8279B2" w14:textId="77777777" w:rsidR="00EA2C2C" w:rsidRPr="00D106D3" w:rsidRDefault="00EA2C2C"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D4239"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76278FF"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A2833"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84</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7E950BE8"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36F6CC40" w14:textId="77777777" w:rsidR="00EA2C2C" w:rsidRPr="00D106D3" w:rsidRDefault="00EA2C2C"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FA71"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2CC94BF"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92DA"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88</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8A8B16E"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6AAB8294" w14:textId="77777777" w:rsidR="00EA2C2C" w:rsidRPr="00D106D3" w:rsidRDefault="00EA2C2C"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DBD9"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437FDA6A"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1D705"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92</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3E82BBD9"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386D564A" w14:textId="77777777" w:rsidR="00EA2C2C" w:rsidRPr="00D106D3" w:rsidRDefault="00EA2C2C"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41659"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650A2747"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F3B7A"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96</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3249AFCE"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4FEA4EAC" w14:textId="77777777" w:rsidR="00EA2C2C" w:rsidRPr="00D106D3" w:rsidRDefault="00EA2C2C"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3C56"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70636629"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EE51"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100</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429C5285"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0216A1E5" w14:textId="77777777" w:rsidR="00EA2C2C" w:rsidRPr="00D106D3" w:rsidRDefault="00EA2C2C"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FB352"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0E5F37F8"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62B2"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104</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5F6006BA"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01EEF307" w14:textId="77777777" w:rsidR="00EA2C2C" w:rsidRPr="00D106D3" w:rsidRDefault="00EA2C2C"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AC96"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1376B85B"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3839A"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108</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1CEC7461"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36396104" w14:textId="77777777" w:rsidR="00EA2C2C" w:rsidRPr="00D106D3" w:rsidRDefault="00EA2C2C"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3F1F"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10E157FD"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EE0D"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112</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15682ABD"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583C491C" w14:textId="77777777" w:rsidR="00EA2C2C" w:rsidRPr="00D106D3" w:rsidRDefault="00EA2C2C"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67EF"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6B6F0EEB"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FD730"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116</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628F45AB"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2D70AD47" w14:textId="77777777" w:rsidR="00EA2C2C" w:rsidRPr="00D106D3" w:rsidRDefault="00EA2C2C"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B7F2"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1D399F46"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F5E7"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120</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79A64102"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7A18DC5D" w14:textId="77777777" w:rsidR="00EA2C2C" w:rsidRPr="00D106D3" w:rsidRDefault="00EA2C2C"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7D059"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2E30BC34"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BFF38"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124</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18BAC1B7"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4FA65010" w14:textId="77777777" w:rsidR="00EA2C2C" w:rsidRPr="00D106D3" w:rsidRDefault="00EA2C2C"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F394"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603D4097"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5A05"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128</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41CB46B6"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2E64863D" w14:textId="77777777" w:rsidR="00EA2C2C" w:rsidRPr="00D106D3" w:rsidRDefault="00EA2C2C"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487F"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7646247F"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46175"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132</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5DEBA556"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3432BA4C" w14:textId="77777777" w:rsidR="00EA2C2C" w:rsidRPr="00D106D3" w:rsidRDefault="00EA2C2C"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5288A" w14:textId="77777777" w:rsidR="00EA2C2C" w:rsidRPr="00D106D3" w:rsidRDefault="00EA2C2C" w:rsidP="001A54A8">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04111B11" w14:textId="77777777" w:rsidR="00EA2C2C" w:rsidRPr="00D106D3" w:rsidRDefault="00EA2C2C" w:rsidP="00390068">
    <w:pPr>
      <w:pStyle w:val="EPFooter2"/>
      <w:tabs>
        <w:tab w:val="clear" w:pos="4535"/>
        <w:tab w:val="center" w:pos="4536"/>
      </w:tabs>
    </w:pPr>
    <w:r w:rsidRPr="00D106D3">
      <w:fldChar w:fldCharType="begin"/>
    </w:r>
    <w:r w:rsidRPr="00D106D3">
      <w:instrText xml:space="preserve"> DOCPROPERTY "&lt;Extension&gt;" </w:instrText>
    </w:r>
    <w:r w:rsidRPr="00D106D3">
      <w:fldChar w:fldCharType="separate"/>
    </w:r>
    <w:r w:rsidRPr="00D106D3">
      <w:t>LV</w:t>
    </w:r>
    <w:r w:rsidRPr="00D106D3">
      <w:fldChar w:fldCharType="end"/>
    </w:r>
    <w:r w:rsidRPr="00D106D3">
      <w:tab/>
    </w:r>
    <w:proofErr w:type="spellStart"/>
    <w:r w:rsidRPr="00D106D3">
      <w:rPr>
        <w:b w:val="0"/>
        <w:i/>
        <w:color w:val="C0C0C0"/>
        <w:sz w:val="22"/>
        <w:szCs w:val="22"/>
      </w:rPr>
      <w:t>United</w:t>
    </w:r>
    <w:proofErr w:type="spellEnd"/>
    <w:r w:rsidRPr="00D106D3">
      <w:rPr>
        <w:b w:val="0"/>
        <w:i/>
        <w:color w:val="C0C0C0"/>
        <w:sz w:val="22"/>
        <w:szCs w:val="22"/>
      </w:rPr>
      <w:t xml:space="preserve"> </w:t>
    </w:r>
    <w:proofErr w:type="spellStart"/>
    <w:r w:rsidRPr="00D106D3">
      <w:rPr>
        <w:b w:val="0"/>
        <w:i/>
        <w:color w:val="C0C0C0"/>
        <w:sz w:val="22"/>
        <w:szCs w:val="22"/>
      </w:rPr>
      <w:t>in</w:t>
    </w:r>
    <w:proofErr w:type="spellEnd"/>
    <w:r w:rsidRPr="00D106D3">
      <w:rPr>
        <w:b w:val="0"/>
        <w:i/>
        <w:color w:val="C0C0C0"/>
        <w:sz w:val="22"/>
        <w:szCs w:val="22"/>
      </w:rPr>
      <w:t xml:space="preserve"> </w:t>
    </w:r>
    <w:proofErr w:type="spellStart"/>
    <w:r w:rsidRPr="00D106D3">
      <w:rPr>
        <w:b w:val="0"/>
        <w:i/>
        <w:color w:val="C0C0C0"/>
        <w:sz w:val="22"/>
        <w:szCs w:val="22"/>
      </w:rPr>
      <w:t>diversity</w:t>
    </w:r>
    <w:proofErr w:type="spellEnd"/>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2433" w14:textId="77777777" w:rsidR="00EA2C2C" w:rsidRPr="00D106D3" w:rsidRDefault="00EA2C2C" w:rsidP="00806EEE">
    <w:pPr>
      <w:pStyle w:val="EPFooter"/>
    </w:pPr>
    <w:r w:rsidRPr="00D106D3">
      <w:rPr>
        <w:rStyle w:val="HideTWBExt"/>
        <w:rFonts w:eastAsiaTheme="majorEastAsia"/>
      </w:rPr>
      <w:t>&lt;PathFdR&gt;</w:t>
    </w:r>
    <w:r w:rsidRPr="00D106D3">
      <w:t>PR\1326657EN.docx</w:t>
    </w:r>
    <w:r w:rsidRPr="00D106D3">
      <w:rPr>
        <w:rStyle w:val="HideTWBExt"/>
        <w:rFonts w:eastAsiaTheme="majorEastAsia"/>
      </w:rPr>
      <w:t>&lt;/PathFdR&gt;</w:t>
    </w:r>
    <w:r w:rsidRPr="00D106D3">
      <w:tab/>
    </w:r>
    <w:r w:rsidRPr="00D106D3">
      <w:fldChar w:fldCharType="begin"/>
    </w:r>
    <w:r w:rsidRPr="00D106D3">
      <w:instrText xml:space="preserve"> PAGE </w:instrText>
    </w:r>
    <w:r w:rsidRPr="00D106D3">
      <w:fldChar w:fldCharType="separate"/>
    </w:r>
    <w:r w:rsidRPr="00D106D3">
      <w:rPr>
        <w:noProof/>
      </w:rPr>
      <w:t>138</w:t>
    </w:r>
    <w:r w:rsidRPr="00D106D3">
      <w:fldChar w:fldCharType="end"/>
    </w:r>
    <w:r w:rsidRPr="00D106D3">
      <w:t>/</w:t>
    </w:r>
    <w:r w:rsidRPr="00D106D3">
      <w:fldChar w:fldCharType="begin"/>
    </w:r>
    <w:r w:rsidRPr="00D106D3">
      <w:instrText xml:space="preserve"> NUMPAGES </w:instrText>
    </w:r>
    <w:r w:rsidRPr="00D106D3">
      <w:fldChar w:fldCharType="separate"/>
    </w:r>
    <w:r w:rsidRPr="00D106D3">
      <w:rPr>
        <w:noProof/>
      </w:rPr>
      <w:t>141</w:t>
    </w:r>
    <w:r w:rsidRPr="00D106D3">
      <w:rPr>
        <w:noProof/>
      </w:rPr>
      <w:fldChar w:fldCharType="end"/>
    </w:r>
    <w:r w:rsidRPr="00D106D3">
      <w:tab/>
      <w:t>PE</w:t>
    </w:r>
    <w:r w:rsidRPr="00D106D3">
      <w:rPr>
        <w:rStyle w:val="HideTWBExt"/>
        <w:rFonts w:eastAsiaTheme="majorEastAsia"/>
      </w:rPr>
      <w:t>&lt;NoPE&gt;</w:t>
    </w:r>
    <w:r w:rsidRPr="00D106D3">
      <w:t>776.806</w:t>
    </w:r>
    <w:r w:rsidRPr="00D106D3">
      <w:rPr>
        <w:rStyle w:val="HideTWBExt"/>
        <w:rFonts w:eastAsiaTheme="majorEastAsia"/>
      </w:rPr>
      <w:t>&lt;/NoPE&gt;&lt;Version&gt;</w:t>
    </w:r>
    <w:r w:rsidRPr="00D106D3">
      <w:t>v01-00</w:t>
    </w:r>
    <w:r w:rsidRPr="00D106D3">
      <w:rPr>
        <w:rStyle w:val="HideTWBExt"/>
        <w:rFonts w:eastAsiaTheme="majorEastAsia"/>
      </w:rPr>
      <w:t>&lt;/Version&gt;</w:t>
    </w:r>
  </w:p>
  <w:p w14:paraId="7D567178" w14:textId="77777777" w:rsidR="00EA2C2C" w:rsidRPr="00D106D3" w:rsidRDefault="00EA2C2C" w:rsidP="00806EEE">
    <w:pPr>
      <w:pStyle w:val="EPFooter2"/>
    </w:pPr>
    <w:r w:rsidRPr="00D106D3">
      <w:tab/>
    </w:r>
    <w:r w:rsidRPr="00D106D3">
      <w:tab/>
    </w:r>
    <w:r w:rsidRPr="00D106D3">
      <w:fldChar w:fldCharType="begin"/>
    </w:r>
    <w:r w:rsidRPr="00D106D3">
      <w:instrText xml:space="preserve"> DOCPROPERTY "&lt;Extension&gt;" </w:instrText>
    </w:r>
    <w:r w:rsidRPr="00D106D3">
      <w:fldChar w:fldCharType="separate"/>
    </w:r>
    <w:r w:rsidRPr="00D106D3">
      <w:t>LV</w:t>
    </w:r>
    <w:r w:rsidRPr="00D106D3">
      <w:fldChar w:fldCharType="end"/>
    </w:r>
  </w:p>
  <w:p w14:paraId="784C0A97" w14:textId="77777777" w:rsidR="00EA2C2C" w:rsidRPr="00D106D3" w:rsidRDefault="00EA2C2C"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9E86" w14:textId="77777777" w:rsidR="00064002" w:rsidRPr="00D106D3"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DC4D" w14:textId="77777777" w:rsidR="00064002" w:rsidRPr="00D106D3"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55E22" w14:textId="77777777" w:rsidR="00064002" w:rsidRPr="00D106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32CDD" w14:textId="77777777" w:rsidR="000524F0" w:rsidRPr="00D106D3" w:rsidRDefault="000524F0">
      <w:r w:rsidRPr="00D106D3">
        <w:separator/>
      </w:r>
    </w:p>
  </w:footnote>
  <w:footnote w:type="continuationSeparator" w:id="0">
    <w:p w14:paraId="79EB2045" w14:textId="77777777" w:rsidR="000524F0" w:rsidRPr="00D106D3" w:rsidRDefault="000524F0">
      <w:r w:rsidRPr="00D106D3">
        <w:continuationSeparator/>
      </w:r>
    </w:p>
  </w:footnote>
  <w:footnote w:id="1">
    <w:p w14:paraId="0B4C5090" w14:textId="6265173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
    <w:p w14:paraId="09BB6B7F" w14:textId="4FB131B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
    <w:p w14:paraId="7617B00A" w14:textId="10BE008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4">
    <w:p w14:paraId="05C965B9" w14:textId="76961EC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5">
    <w:p w14:paraId="1A5027E0" w14:textId="4AADFB3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158, 14.6.2019., 22. lpp., ELI: </w:t>
      </w:r>
      <w:r>
        <w:fldChar w:fldCharType="begin"/>
      </w:r>
      <w:r w:rsidRPr="00690DAC">
        <w:rPr>
          <w:lang w:val="fi-FI"/>
        </w:rPr>
        <w:instrText>HYPERLINK "https://data.europa.eu/eli/reg/2019/942/oj"</w:instrText>
      </w:r>
      <w:r>
        <w:fldChar w:fldCharType="separate"/>
      </w:r>
      <w:r w:rsidRPr="00D106D3">
        <w:rPr>
          <w:rStyle w:val="Hyperlink"/>
          <w:sz w:val="24"/>
          <w:lang w:val="lv-LV"/>
        </w:rPr>
        <w:t>https://data.europa.eu/eli/reg/2019/942/oj</w:t>
      </w:r>
      <w:r>
        <w:fldChar w:fldCharType="end"/>
      </w:r>
      <w:r w:rsidRPr="00D106D3">
        <w:rPr>
          <w:sz w:val="24"/>
          <w:lang w:val="lv-LV"/>
        </w:rPr>
        <w:t>.</w:t>
      </w:r>
    </w:p>
  </w:footnote>
  <w:footnote w:id="6">
    <w:p w14:paraId="101682A9" w14:textId="7636043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7">
    <w:p w14:paraId="4A9F4F68" w14:textId="6A1435A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8">
    <w:p w14:paraId="5CB62398" w14:textId="0EC69C2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9">
    <w:p w14:paraId="52805DC0" w14:textId="3F9370E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0">
    <w:p w14:paraId="21997F4B" w14:textId="779FACE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1">
    <w:p w14:paraId="18B53358" w14:textId="1AC38E0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158, 14.6.2019., 22. lpp., ELI: </w:t>
      </w:r>
      <w:r>
        <w:fldChar w:fldCharType="begin"/>
      </w:r>
      <w:r w:rsidRPr="00690DAC">
        <w:rPr>
          <w:lang w:val="fi-FI"/>
        </w:rPr>
        <w:instrText>HYPERLINK "https://data.europa.eu/eli/reg/2019/942/oj"</w:instrText>
      </w:r>
      <w:r>
        <w:fldChar w:fldCharType="separate"/>
      </w:r>
      <w:r w:rsidRPr="00D106D3">
        <w:rPr>
          <w:rStyle w:val="Hyperlink"/>
          <w:sz w:val="24"/>
          <w:lang w:val="lv-LV"/>
        </w:rPr>
        <w:t>https://data.europa.eu/eli/reg/2019/942/oj</w:t>
      </w:r>
      <w:r>
        <w:fldChar w:fldCharType="end"/>
      </w:r>
      <w:r w:rsidRPr="00D106D3">
        <w:rPr>
          <w:sz w:val="24"/>
          <w:lang w:val="lv-LV"/>
        </w:rPr>
        <w:t>.</w:t>
      </w:r>
    </w:p>
  </w:footnote>
  <w:footnote w:id="12">
    <w:p w14:paraId="7A7F7B4D" w14:textId="7D22D5F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3">
    <w:p w14:paraId="07AA2BFE" w14:textId="3633515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4">
    <w:p w14:paraId="26665BDC" w14:textId="324ABCE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5">
    <w:p w14:paraId="3FDEBD52" w14:textId="255C032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6">
    <w:p w14:paraId="5F11C7AE" w14:textId="39DB311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7">
    <w:p w14:paraId="482656B2" w14:textId="29FE909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321, 17.12.2018., 1. lpp., ELI: </w:t>
      </w:r>
      <w:r>
        <w:fldChar w:fldCharType="begin"/>
      </w:r>
      <w:r w:rsidRPr="00690DAC">
        <w:rPr>
          <w:lang w:val="fi-FI"/>
        </w:rPr>
        <w:instrText>HYPERLINK "https://data.europa.eu/eli/reg/2018/1971/oj"</w:instrText>
      </w:r>
      <w:r>
        <w:fldChar w:fldCharType="separate"/>
      </w:r>
      <w:r w:rsidRPr="00D106D3">
        <w:rPr>
          <w:rStyle w:val="Hyperlink"/>
          <w:sz w:val="24"/>
          <w:lang w:val="lv-LV"/>
        </w:rPr>
        <w:t>https://data.europa.eu/eli/reg/2018/1971/oj</w:t>
      </w:r>
      <w:r>
        <w:fldChar w:fldCharType="end"/>
      </w:r>
      <w:r w:rsidRPr="00D106D3">
        <w:rPr>
          <w:sz w:val="24"/>
          <w:lang w:val="lv-LV"/>
        </w:rPr>
        <w:t>.</w:t>
      </w:r>
    </w:p>
  </w:footnote>
  <w:footnote w:id="18">
    <w:p w14:paraId="01D8C781" w14:textId="6EA1EEF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9">
    <w:p w14:paraId="746A555C" w14:textId="3CF3CAD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0">
    <w:p w14:paraId="2E599ECA" w14:textId="249B831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1">
    <w:p w14:paraId="3F2D793C" w14:textId="643DE3E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2">
    <w:p w14:paraId="4E90C212" w14:textId="67689DA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3">
    <w:p w14:paraId="22720D20" w14:textId="2A8BDB3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321, 17.12.2018., 1. lpp., ELI: </w:t>
      </w:r>
      <w:r>
        <w:fldChar w:fldCharType="begin"/>
      </w:r>
      <w:r w:rsidRPr="00690DAC">
        <w:rPr>
          <w:lang w:val="fi-FI"/>
        </w:rPr>
        <w:instrText>HYPERLINK "https://data.europa.eu/eli/reg/2018/1971/oj"</w:instrText>
      </w:r>
      <w:r>
        <w:fldChar w:fldCharType="separate"/>
      </w:r>
      <w:r w:rsidRPr="00D106D3">
        <w:rPr>
          <w:rStyle w:val="Hyperlink"/>
          <w:sz w:val="24"/>
          <w:lang w:val="lv-LV"/>
        </w:rPr>
        <w:t>https://data.europa.eu/eli/reg/2018/1971/oj</w:t>
      </w:r>
      <w:r>
        <w:fldChar w:fldCharType="end"/>
      </w:r>
      <w:r w:rsidRPr="00D106D3">
        <w:rPr>
          <w:sz w:val="24"/>
          <w:lang w:val="lv-LV"/>
        </w:rPr>
        <w:t>.</w:t>
      </w:r>
    </w:p>
  </w:footnote>
  <w:footnote w:id="24">
    <w:p w14:paraId="0C6E3D46" w14:textId="02C53ED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5">
    <w:p w14:paraId="7C316631" w14:textId="6FABD71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6">
    <w:p w14:paraId="0E2A55BF" w14:textId="1A19404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7">
    <w:p w14:paraId="09284241" w14:textId="70A0C15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8">
    <w:p w14:paraId="68825E20" w14:textId="20F59B2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9">
    <w:p w14:paraId="6C61D966" w14:textId="16A1229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314, 7.12.1994., 1. lpp., ELI: </w:t>
      </w:r>
      <w:r>
        <w:fldChar w:fldCharType="begin"/>
      </w:r>
      <w:r w:rsidRPr="00690DAC">
        <w:rPr>
          <w:lang w:val="fi-FI"/>
        </w:rPr>
        <w:instrText>HYPERLINK "https://data.europa.eu/eli/reg/1994/2965/oj"</w:instrText>
      </w:r>
      <w:r>
        <w:fldChar w:fldCharType="separate"/>
      </w:r>
      <w:r w:rsidRPr="00D106D3">
        <w:rPr>
          <w:rStyle w:val="Hyperlink"/>
          <w:sz w:val="24"/>
          <w:lang w:val="lv-LV"/>
        </w:rPr>
        <w:t>https://data.europa.eu/eli/reg/1994/2965/oj</w:t>
      </w:r>
      <w:r>
        <w:fldChar w:fldCharType="end"/>
      </w:r>
      <w:r w:rsidRPr="00D106D3">
        <w:rPr>
          <w:sz w:val="24"/>
          <w:lang w:val="lv-LV"/>
        </w:rPr>
        <w:t>.</w:t>
      </w:r>
    </w:p>
  </w:footnote>
  <w:footnote w:id="30">
    <w:p w14:paraId="00DE0DDA" w14:textId="1FFC470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1">
    <w:p w14:paraId="61C617F8" w14:textId="0D8119E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2">
    <w:p w14:paraId="079272A5" w14:textId="7456E79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3">
    <w:p w14:paraId="1844D1F3" w14:textId="4F77D7B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4">
    <w:p w14:paraId="23371EFC" w14:textId="43107C7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5">
    <w:p w14:paraId="14AC7CDF" w14:textId="1FC620F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314, 7.12.1994., 1. lpp., ELI: </w:t>
      </w:r>
      <w:r>
        <w:fldChar w:fldCharType="begin"/>
      </w:r>
      <w:r w:rsidRPr="00690DAC">
        <w:rPr>
          <w:lang w:val="fi-FI"/>
        </w:rPr>
        <w:instrText>HYPERLINK "https://data.europa.eu/eli/reg/1994/2965/oj"</w:instrText>
      </w:r>
      <w:r>
        <w:fldChar w:fldCharType="separate"/>
      </w:r>
      <w:r w:rsidRPr="00D106D3">
        <w:rPr>
          <w:rStyle w:val="Hyperlink"/>
          <w:sz w:val="24"/>
          <w:lang w:val="lv-LV"/>
        </w:rPr>
        <w:t>https://data.europa.eu/eli/reg/1994/2965/oj</w:t>
      </w:r>
      <w:r>
        <w:fldChar w:fldCharType="end"/>
      </w:r>
      <w:r w:rsidRPr="00D106D3">
        <w:rPr>
          <w:sz w:val="24"/>
          <w:lang w:val="lv-LV"/>
        </w:rPr>
        <w:t>.</w:t>
      </w:r>
    </w:p>
  </w:footnote>
  <w:footnote w:id="36">
    <w:p w14:paraId="383F29E4" w14:textId="6D4D15A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7">
    <w:p w14:paraId="6A36D01D" w14:textId="4D8C742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8">
    <w:p w14:paraId="53DAE2E4" w14:textId="4D50519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9">
    <w:p w14:paraId="0F3F366C" w14:textId="7B28EC0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40">
    <w:p w14:paraId="07178ECD" w14:textId="2576D4F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41">
    <w:p w14:paraId="2DCDFF7A" w14:textId="62F480C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30, 31.1.2019., 90. lpp., ELI: </w:t>
      </w:r>
      <w:r>
        <w:fldChar w:fldCharType="begin"/>
      </w:r>
      <w:r w:rsidRPr="00690DAC">
        <w:rPr>
          <w:lang w:val="fi-FI"/>
        </w:rPr>
        <w:instrText>HYPERLINK "https://data.europa.eu/eli/reg/2019/128/oj"</w:instrText>
      </w:r>
      <w:r>
        <w:fldChar w:fldCharType="separate"/>
      </w:r>
      <w:r w:rsidRPr="00D106D3">
        <w:rPr>
          <w:rStyle w:val="Hyperlink"/>
          <w:sz w:val="24"/>
          <w:lang w:val="lv-LV"/>
        </w:rPr>
        <w:t>https://data.europa.eu/eli/reg/2019/128/oj</w:t>
      </w:r>
      <w:r>
        <w:fldChar w:fldCharType="end"/>
      </w:r>
      <w:r w:rsidRPr="00D106D3">
        <w:rPr>
          <w:sz w:val="24"/>
          <w:lang w:val="lv-LV"/>
        </w:rPr>
        <w:t>.</w:t>
      </w:r>
    </w:p>
  </w:footnote>
  <w:footnote w:id="42">
    <w:p w14:paraId="52CEBD37" w14:textId="7C966EF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43">
    <w:p w14:paraId="603DD546" w14:textId="423616D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44">
    <w:p w14:paraId="3F2BC6A8" w14:textId="637D033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45">
    <w:p w14:paraId="0D70E7E9" w14:textId="21EFF8D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46">
    <w:p w14:paraId="3F7D970F" w14:textId="6ADA1C2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47">
    <w:p w14:paraId="5018E3E1" w14:textId="0985A04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30, 31.1.2019., 90. lpp., ELI: </w:t>
      </w:r>
      <w:r>
        <w:fldChar w:fldCharType="begin"/>
      </w:r>
      <w:r w:rsidRPr="00690DAC">
        <w:rPr>
          <w:lang w:val="fi-FI"/>
        </w:rPr>
        <w:instrText>HYPERLINK "https://data.europa.eu/eli/reg/2019/128/oj"</w:instrText>
      </w:r>
      <w:r>
        <w:fldChar w:fldCharType="separate"/>
      </w:r>
      <w:r w:rsidRPr="00D106D3">
        <w:rPr>
          <w:rStyle w:val="Hyperlink"/>
          <w:sz w:val="24"/>
          <w:lang w:val="lv-LV"/>
        </w:rPr>
        <w:t>https://data.europa.eu/eli/reg/2019/128/oj</w:t>
      </w:r>
      <w:r>
        <w:fldChar w:fldCharType="end"/>
      </w:r>
      <w:r w:rsidRPr="00D106D3">
        <w:rPr>
          <w:sz w:val="24"/>
          <w:lang w:val="lv-LV"/>
        </w:rPr>
        <w:t>.</w:t>
      </w:r>
    </w:p>
  </w:footnote>
  <w:footnote w:id="48">
    <w:p w14:paraId="65EB08E0" w14:textId="4CA8CB2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49">
    <w:p w14:paraId="04C066ED" w14:textId="7ECB1D5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50">
    <w:p w14:paraId="643934A3" w14:textId="686E08F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51">
    <w:p w14:paraId="01A5474E" w14:textId="641CA92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52">
    <w:p w14:paraId="3CAD3901" w14:textId="361A8F3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53">
    <w:p w14:paraId="5C70A1A5" w14:textId="09E4879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319, 4.12.2015., 1. lpp., ELI: </w:t>
      </w:r>
      <w:r>
        <w:fldChar w:fldCharType="begin"/>
      </w:r>
      <w:r w:rsidRPr="00690DAC">
        <w:rPr>
          <w:lang w:val="fi-FI"/>
        </w:rPr>
        <w:instrText>HYPERLINK "https://data.europa.eu/eli/reg/2015/2219/oj"</w:instrText>
      </w:r>
      <w:r>
        <w:fldChar w:fldCharType="separate"/>
      </w:r>
      <w:r w:rsidRPr="00D106D3">
        <w:rPr>
          <w:rStyle w:val="Hyperlink"/>
          <w:sz w:val="24"/>
          <w:lang w:val="lv-LV"/>
        </w:rPr>
        <w:t>https://data.europa.eu/eli/reg/2015/2219/oj</w:t>
      </w:r>
      <w:r>
        <w:fldChar w:fldCharType="end"/>
      </w:r>
      <w:r w:rsidRPr="00D106D3">
        <w:rPr>
          <w:sz w:val="24"/>
          <w:lang w:val="lv-LV"/>
        </w:rPr>
        <w:t>.</w:t>
      </w:r>
    </w:p>
  </w:footnote>
  <w:footnote w:id="54">
    <w:p w14:paraId="67F62AC7" w14:textId="0E9BE36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55">
    <w:p w14:paraId="69D40D73" w14:textId="0327D8F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56">
    <w:p w14:paraId="0714E9F8" w14:textId="5441AF9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57">
    <w:p w14:paraId="486085DE" w14:textId="7ACEE90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58">
    <w:p w14:paraId="39FC6705" w14:textId="24D3F76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59">
    <w:p w14:paraId="23090EB3" w14:textId="27FB878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319, 4.12.2015., 1. lpp., ELI: </w:t>
      </w:r>
      <w:r>
        <w:fldChar w:fldCharType="begin"/>
      </w:r>
      <w:r w:rsidRPr="00690DAC">
        <w:rPr>
          <w:lang w:val="fi-FI"/>
        </w:rPr>
        <w:instrText>HYPERLINK "https://data.europa.eu/eli/reg/2015/2219/oj"</w:instrText>
      </w:r>
      <w:r>
        <w:fldChar w:fldCharType="separate"/>
      </w:r>
      <w:r w:rsidRPr="00D106D3">
        <w:rPr>
          <w:rStyle w:val="Hyperlink"/>
          <w:sz w:val="24"/>
          <w:lang w:val="lv-LV"/>
        </w:rPr>
        <w:t>https://data.europa.eu/eli/reg/2015/2219/oj</w:t>
      </w:r>
      <w:r>
        <w:fldChar w:fldCharType="end"/>
      </w:r>
      <w:r w:rsidRPr="00D106D3">
        <w:rPr>
          <w:sz w:val="24"/>
          <w:lang w:val="lv-LV"/>
        </w:rPr>
        <w:t>.</w:t>
      </w:r>
    </w:p>
  </w:footnote>
  <w:footnote w:id="60">
    <w:p w14:paraId="2D85A160" w14:textId="0C1C957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61">
    <w:p w14:paraId="7A8CAA20" w14:textId="4E019E2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62">
    <w:p w14:paraId="01678E0E" w14:textId="15B3DC3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63">
    <w:p w14:paraId="7CC16F72" w14:textId="29D9668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64">
    <w:p w14:paraId="23DD69BE" w14:textId="74637ED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65">
    <w:p w14:paraId="002E70AC" w14:textId="28B29CE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212, 22.8.2018., 1. lpp., ELI: </w:t>
      </w:r>
      <w:r>
        <w:fldChar w:fldCharType="begin"/>
      </w:r>
      <w:r w:rsidRPr="00690DAC">
        <w:rPr>
          <w:lang w:val="fi-FI"/>
        </w:rPr>
        <w:instrText>HYPERLINK "https://data.europa.eu/eli/reg/2018/1139/oj"</w:instrText>
      </w:r>
      <w:r>
        <w:fldChar w:fldCharType="separate"/>
      </w:r>
      <w:r w:rsidRPr="00D106D3">
        <w:rPr>
          <w:rStyle w:val="Hyperlink"/>
          <w:sz w:val="24"/>
          <w:lang w:val="lv-LV"/>
        </w:rPr>
        <w:t>https://data.europa.eu/eli/reg/2018/1139/oj</w:t>
      </w:r>
      <w:r>
        <w:fldChar w:fldCharType="end"/>
      </w:r>
      <w:r w:rsidRPr="00D106D3">
        <w:rPr>
          <w:sz w:val="24"/>
          <w:lang w:val="lv-LV"/>
        </w:rPr>
        <w:t>.</w:t>
      </w:r>
    </w:p>
  </w:footnote>
  <w:footnote w:id="66">
    <w:p w14:paraId="10A53760" w14:textId="671C5E3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67">
    <w:p w14:paraId="2D4A1CE5" w14:textId="1C79EF2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68">
    <w:p w14:paraId="0F4335D2" w14:textId="000D58E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69">
    <w:p w14:paraId="207480EC" w14:textId="41EA7FB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70">
    <w:p w14:paraId="3082AA16" w14:textId="419FBF0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71">
    <w:p w14:paraId="1FC3EB5B" w14:textId="1A23D1F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212, 22.8.2018., 1. lpp., ELI: </w:t>
      </w:r>
      <w:r>
        <w:fldChar w:fldCharType="begin"/>
      </w:r>
      <w:r w:rsidRPr="00690DAC">
        <w:rPr>
          <w:lang w:val="fi-FI"/>
        </w:rPr>
        <w:instrText>HYPERLINK "https://data.europa.eu/eli/reg/2018/1139/oj"</w:instrText>
      </w:r>
      <w:r>
        <w:fldChar w:fldCharType="separate"/>
      </w:r>
      <w:r w:rsidRPr="00D106D3">
        <w:rPr>
          <w:rStyle w:val="Hyperlink"/>
          <w:sz w:val="24"/>
          <w:lang w:val="lv-LV"/>
        </w:rPr>
        <w:t>https://data.europa.eu/eli/reg/2018/1139/oj</w:t>
      </w:r>
      <w:r>
        <w:fldChar w:fldCharType="end"/>
      </w:r>
      <w:r w:rsidRPr="00D106D3">
        <w:rPr>
          <w:sz w:val="24"/>
          <w:lang w:val="lv-LV"/>
        </w:rPr>
        <w:t>.</w:t>
      </w:r>
    </w:p>
  </w:footnote>
  <w:footnote w:id="72">
    <w:p w14:paraId="3A28C1F9" w14:textId="42CDFF8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73">
    <w:p w14:paraId="48A644F9" w14:textId="0E950E7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74">
    <w:p w14:paraId="2DB0E44B" w14:textId="422D207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75">
    <w:p w14:paraId="7632D0EF" w14:textId="6B2CCE7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76">
    <w:p w14:paraId="168649CD" w14:textId="5936B9C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77">
    <w:p w14:paraId="38CA0362" w14:textId="4809FD2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331, 15.12.2010., 12. lpp., ELI: </w:t>
      </w:r>
      <w:r>
        <w:fldChar w:fldCharType="begin"/>
      </w:r>
      <w:r w:rsidRPr="00690DAC">
        <w:rPr>
          <w:lang w:val="fi-FI"/>
        </w:rPr>
        <w:instrText>HYPERLINK "https://data.europa.eu/eli/reg/2010/1093/oj"</w:instrText>
      </w:r>
      <w:r>
        <w:fldChar w:fldCharType="separate"/>
      </w:r>
      <w:r w:rsidRPr="00D106D3">
        <w:rPr>
          <w:rStyle w:val="Hyperlink"/>
          <w:sz w:val="24"/>
          <w:lang w:val="lv-LV"/>
        </w:rPr>
        <w:t>https://data.europa.eu/eli/reg/2010/1093/oj</w:t>
      </w:r>
      <w:r>
        <w:fldChar w:fldCharType="end"/>
      </w:r>
      <w:r w:rsidRPr="00D106D3">
        <w:rPr>
          <w:sz w:val="24"/>
          <w:lang w:val="lv-LV"/>
        </w:rPr>
        <w:t>.</w:t>
      </w:r>
    </w:p>
  </w:footnote>
  <w:footnote w:id="78">
    <w:p w14:paraId="38F08C23" w14:textId="1764D37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79">
    <w:p w14:paraId="7F3CE3C4" w14:textId="6AB53D6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80">
    <w:p w14:paraId="5DFADA3A" w14:textId="6EF6948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81">
    <w:p w14:paraId="7B92BF01" w14:textId="5E99221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82">
    <w:p w14:paraId="47B684B2" w14:textId="1BB17FF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83">
    <w:p w14:paraId="400D79E7" w14:textId="226BFFE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331, 15.12.2010., 12. lpp., ELI: </w:t>
      </w:r>
      <w:r>
        <w:fldChar w:fldCharType="begin"/>
      </w:r>
      <w:r w:rsidRPr="00690DAC">
        <w:rPr>
          <w:lang w:val="fi-FI"/>
        </w:rPr>
        <w:instrText>HYPERLINK "https://data.europa.eu/eli/reg/2010/1093/oj"</w:instrText>
      </w:r>
      <w:r>
        <w:fldChar w:fldCharType="separate"/>
      </w:r>
      <w:r w:rsidRPr="00D106D3">
        <w:rPr>
          <w:rStyle w:val="Hyperlink"/>
          <w:sz w:val="24"/>
          <w:lang w:val="lv-LV"/>
        </w:rPr>
        <w:t>https://data.europa.eu/eli/reg/2010/1093/oj</w:t>
      </w:r>
      <w:r>
        <w:fldChar w:fldCharType="end"/>
      </w:r>
      <w:r w:rsidRPr="00D106D3">
        <w:rPr>
          <w:sz w:val="24"/>
          <w:lang w:val="lv-LV"/>
        </w:rPr>
        <w:t>.</w:t>
      </w:r>
    </w:p>
  </w:footnote>
  <w:footnote w:id="84">
    <w:p w14:paraId="600A7991" w14:textId="3DA7477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85">
    <w:p w14:paraId="0CE6AA0A" w14:textId="75A88BC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86">
    <w:p w14:paraId="0815E680" w14:textId="4D2AD8D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87">
    <w:p w14:paraId="4B387E10" w14:textId="1F8CBF2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88">
    <w:p w14:paraId="5149032E" w14:textId="4679DE5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89">
    <w:p w14:paraId="790BCD9B" w14:textId="0F2187F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142, 30.4.2004., 1. lpp., ELI: </w:t>
      </w:r>
      <w:r>
        <w:fldChar w:fldCharType="begin"/>
      </w:r>
      <w:r w:rsidRPr="00690DAC">
        <w:rPr>
          <w:lang w:val="fi-FI"/>
        </w:rPr>
        <w:instrText>HYPERLINK "https://data.europa.eu/eli/reg/2004/851/oj"</w:instrText>
      </w:r>
      <w:r>
        <w:fldChar w:fldCharType="separate"/>
      </w:r>
      <w:r w:rsidRPr="00D106D3">
        <w:rPr>
          <w:rStyle w:val="Hyperlink"/>
          <w:sz w:val="24"/>
          <w:lang w:val="lv-LV"/>
        </w:rPr>
        <w:t>https://data.europa.eu/eli/reg/2004/851/oj</w:t>
      </w:r>
      <w:r>
        <w:fldChar w:fldCharType="end"/>
      </w:r>
      <w:r w:rsidRPr="00D106D3">
        <w:rPr>
          <w:sz w:val="24"/>
          <w:lang w:val="lv-LV"/>
        </w:rPr>
        <w:t>.</w:t>
      </w:r>
    </w:p>
  </w:footnote>
  <w:footnote w:id="90">
    <w:p w14:paraId="54DBA19A" w14:textId="3E998CD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91">
    <w:p w14:paraId="08D3792D" w14:textId="03AF4CD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92">
    <w:p w14:paraId="33DC59DD" w14:textId="02A9F42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93">
    <w:p w14:paraId="277034B3" w14:textId="4F2D932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94">
    <w:p w14:paraId="16A28076" w14:textId="3B7C4D2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95">
    <w:p w14:paraId="7326E2A4" w14:textId="735C795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142, 30.4.2004., 1. lpp., ELI: </w:t>
      </w:r>
      <w:r>
        <w:fldChar w:fldCharType="begin"/>
      </w:r>
      <w:r w:rsidRPr="00690DAC">
        <w:rPr>
          <w:lang w:val="fi-FI"/>
        </w:rPr>
        <w:instrText>HYPERLINK "https://data.europa.eu/eli/reg/2004/851/oj"</w:instrText>
      </w:r>
      <w:r>
        <w:fldChar w:fldCharType="separate"/>
      </w:r>
      <w:r w:rsidRPr="00D106D3">
        <w:rPr>
          <w:rStyle w:val="Hyperlink"/>
          <w:sz w:val="24"/>
          <w:lang w:val="lv-LV"/>
        </w:rPr>
        <w:t>https://data.europa.eu/eli/reg/2004/851/oj</w:t>
      </w:r>
      <w:r>
        <w:fldChar w:fldCharType="end"/>
      </w:r>
      <w:r w:rsidRPr="00D106D3">
        <w:rPr>
          <w:sz w:val="24"/>
          <w:lang w:val="lv-LV"/>
        </w:rPr>
        <w:t>.</w:t>
      </w:r>
    </w:p>
  </w:footnote>
  <w:footnote w:id="96">
    <w:p w14:paraId="35D19B20" w14:textId="0345897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97">
    <w:p w14:paraId="4538E3AE" w14:textId="7924481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98">
    <w:p w14:paraId="328367DF" w14:textId="47E9E0E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99">
    <w:p w14:paraId="7634B1CC" w14:textId="7AF4FB4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00">
    <w:p w14:paraId="5E95CC81" w14:textId="323AA6E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01">
    <w:p w14:paraId="33D35232" w14:textId="0336280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396, 30.12.2006., 1. lpp., ELI: </w:t>
      </w:r>
      <w:r>
        <w:fldChar w:fldCharType="begin"/>
      </w:r>
      <w:r w:rsidRPr="00690DAC">
        <w:rPr>
          <w:lang w:val="fi-FI"/>
        </w:rPr>
        <w:instrText>HYPERLINK "https://data.europa.eu/eli/reg/2006/1907/oj"</w:instrText>
      </w:r>
      <w:r>
        <w:fldChar w:fldCharType="separate"/>
      </w:r>
      <w:r w:rsidRPr="00D106D3">
        <w:rPr>
          <w:rStyle w:val="Hyperlink"/>
          <w:sz w:val="24"/>
          <w:lang w:val="lv-LV"/>
        </w:rPr>
        <w:t>https://data.europa.eu/eli/reg/2006/1907/oj</w:t>
      </w:r>
      <w:r>
        <w:fldChar w:fldCharType="end"/>
      </w:r>
      <w:r w:rsidRPr="00D106D3">
        <w:rPr>
          <w:sz w:val="24"/>
          <w:lang w:val="lv-LV"/>
        </w:rPr>
        <w:t>.</w:t>
      </w:r>
    </w:p>
  </w:footnote>
  <w:footnote w:id="102">
    <w:p w14:paraId="4D052021" w14:textId="1A182ED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03">
    <w:p w14:paraId="58AE7544" w14:textId="16B4A80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04">
    <w:p w14:paraId="37D5A565" w14:textId="091D71F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05">
    <w:p w14:paraId="1A36D88E" w14:textId="319C9FF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06">
    <w:p w14:paraId="451E704A" w14:textId="15C4524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07">
    <w:p w14:paraId="3BC6A345" w14:textId="68FFEBA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396, 30.12.2006., 1. lpp., ELI: </w:t>
      </w:r>
      <w:r>
        <w:fldChar w:fldCharType="begin"/>
      </w:r>
      <w:r w:rsidRPr="00690DAC">
        <w:rPr>
          <w:lang w:val="fi-FI"/>
        </w:rPr>
        <w:instrText>HYPERLINK "https://data.europa.eu/eli/reg/2006/1907/oj"</w:instrText>
      </w:r>
      <w:r>
        <w:fldChar w:fldCharType="separate"/>
      </w:r>
      <w:r w:rsidRPr="00D106D3">
        <w:rPr>
          <w:rStyle w:val="Hyperlink"/>
          <w:sz w:val="24"/>
          <w:lang w:val="lv-LV"/>
        </w:rPr>
        <w:t>https://data.europa.eu/eli/reg/2006/1907/oj</w:t>
      </w:r>
      <w:r>
        <w:fldChar w:fldCharType="end"/>
      </w:r>
      <w:r w:rsidRPr="00D106D3">
        <w:rPr>
          <w:sz w:val="24"/>
          <w:lang w:val="lv-LV"/>
        </w:rPr>
        <w:t>.</w:t>
      </w:r>
    </w:p>
  </w:footnote>
  <w:footnote w:id="108">
    <w:p w14:paraId="4E72667B" w14:textId="046898B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09">
    <w:p w14:paraId="15D2636A" w14:textId="4D319B5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10">
    <w:p w14:paraId="433C8E1C" w14:textId="5A4E3BD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11">
    <w:p w14:paraId="05248F48" w14:textId="0991DB8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12">
    <w:p w14:paraId="66997F17" w14:textId="31DDEE9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13">
    <w:p w14:paraId="29AD8F91" w14:textId="767A369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126, 21.5.2009., 13. lpp., ELI: </w:t>
      </w:r>
      <w:r>
        <w:fldChar w:fldCharType="begin"/>
      </w:r>
      <w:r w:rsidRPr="00690DAC">
        <w:rPr>
          <w:lang w:val="fi-FI"/>
        </w:rPr>
        <w:instrText>HYPERLINK "https://data.europa.eu/eli/reg/2009/401/oj"</w:instrText>
      </w:r>
      <w:r>
        <w:fldChar w:fldCharType="separate"/>
      </w:r>
      <w:r w:rsidRPr="00D106D3">
        <w:rPr>
          <w:rStyle w:val="Hyperlink"/>
          <w:sz w:val="24"/>
          <w:lang w:val="lv-LV"/>
        </w:rPr>
        <w:t>https://data.europa.eu/eli/reg/2009/401/oj</w:t>
      </w:r>
      <w:r>
        <w:fldChar w:fldCharType="end"/>
      </w:r>
      <w:r w:rsidRPr="00D106D3">
        <w:rPr>
          <w:sz w:val="24"/>
          <w:lang w:val="lv-LV"/>
        </w:rPr>
        <w:t>.</w:t>
      </w:r>
    </w:p>
  </w:footnote>
  <w:footnote w:id="114">
    <w:p w14:paraId="02696AF9" w14:textId="06ED7C4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15">
    <w:p w14:paraId="213975E6" w14:textId="6C7CF36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16">
    <w:p w14:paraId="346CCF2D" w14:textId="5EED334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17">
    <w:p w14:paraId="4D54BAED" w14:textId="3D2D206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18">
    <w:p w14:paraId="4693FE2C" w14:textId="1C20564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19">
    <w:p w14:paraId="368AC34A" w14:textId="1A7FE94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126, 21.5.2009., 13. lpp., ELI: </w:t>
      </w:r>
      <w:r>
        <w:fldChar w:fldCharType="begin"/>
      </w:r>
      <w:r w:rsidRPr="00690DAC">
        <w:rPr>
          <w:lang w:val="fi-FI"/>
        </w:rPr>
        <w:instrText>HYPERLINK "https://data.europa.eu/eli/reg/2009/401/oj"</w:instrText>
      </w:r>
      <w:r>
        <w:fldChar w:fldCharType="separate"/>
      </w:r>
      <w:r w:rsidRPr="00D106D3">
        <w:rPr>
          <w:rStyle w:val="Hyperlink"/>
          <w:sz w:val="24"/>
          <w:lang w:val="lv-LV"/>
        </w:rPr>
        <w:t>https://data.europa.eu/eli/reg/2009/401/oj</w:t>
      </w:r>
      <w:r>
        <w:fldChar w:fldCharType="end"/>
      </w:r>
      <w:r w:rsidRPr="00D106D3">
        <w:rPr>
          <w:sz w:val="24"/>
          <w:lang w:val="lv-LV"/>
        </w:rPr>
        <w:t>.</w:t>
      </w:r>
    </w:p>
  </w:footnote>
  <w:footnote w:id="120">
    <w:p w14:paraId="0472B78B" w14:textId="2955EE9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21">
    <w:p w14:paraId="3FF7F1D0" w14:textId="5BA11DA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22">
    <w:p w14:paraId="260499BF" w14:textId="7DBA0FA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23">
    <w:p w14:paraId="198AFE6B" w14:textId="02F3563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24">
    <w:p w14:paraId="044F1409" w14:textId="362819B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25">
    <w:p w14:paraId="68C0437B" w14:textId="0EE7B2C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83, 25.3.2019., 18. lpp., ELI: </w:t>
      </w:r>
      <w:r>
        <w:fldChar w:fldCharType="begin"/>
      </w:r>
      <w:r w:rsidRPr="00690DAC">
        <w:rPr>
          <w:lang w:val="fi-FI"/>
        </w:rPr>
        <w:instrText>HYPERLINK "https://data.europa.eu/eli/reg/2019/473/oj"</w:instrText>
      </w:r>
      <w:r>
        <w:fldChar w:fldCharType="separate"/>
      </w:r>
      <w:r w:rsidRPr="00D106D3">
        <w:rPr>
          <w:rStyle w:val="Hyperlink"/>
          <w:sz w:val="24"/>
          <w:lang w:val="lv-LV"/>
        </w:rPr>
        <w:t>https://data.europa.eu/eli/reg/2019/473/oj</w:t>
      </w:r>
      <w:r>
        <w:fldChar w:fldCharType="end"/>
      </w:r>
      <w:r w:rsidRPr="00D106D3">
        <w:rPr>
          <w:sz w:val="24"/>
          <w:lang w:val="lv-LV"/>
        </w:rPr>
        <w:t>.</w:t>
      </w:r>
    </w:p>
  </w:footnote>
  <w:footnote w:id="126">
    <w:p w14:paraId="32E9B7F3" w14:textId="4DD0CD1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27">
    <w:p w14:paraId="4B42BF31" w14:textId="707D550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28">
    <w:p w14:paraId="5AAD9371" w14:textId="4324E99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29">
    <w:p w14:paraId="4FFE2B52" w14:textId="2322FEF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30">
    <w:p w14:paraId="64D0B763" w14:textId="6683991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31">
    <w:p w14:paraId="36183F8F" w14:textId="6FB4C8E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83, 25.3.2019., 18. lpp., ELI: </w:t>
      </w:r>
      <w:r>
        <w:fldChar w:fldCharType="begin"/>
      </w:r>
      <w:r w:rsidRPr="00690DAC">
        <w:rPr>
          <w:lang w:val="fi-FI"/>
        </w:rPr>
        <w:instrText>HYPERLINK "https://data.europa.eu/eli/reg/2019/473/oj"</w:instrText>
      </w:r>
      <w:r>
        <w:fldChar w:fldCharType="separate"/>
      </w:r>
      <w:r w:rsidRPr="00D106D3">
        <w:rPr>
          <w:rStyle w:val="Hyperlink"/>
          <w:sz w:val="24"/>
          <w:lang w:val="lv-LV"/>
        </w:rPr>
        <w:t>https://data.europa.eu/eli/reg/2019/473/oj</w:t>
      </w:r>
      <w:r>
        <w:fldChar w:fldCharType="end"/>
      </w:r>
      <w:r w:rsidRPr="00D106D3">
        <w:rPr>
          <w:sz w:val="24"/>
          <w:lang w:val="lv-LV"/>
        </w:rPr>
        <w:t>.</w:t>
      </w:r>
    </w:p>
  </w:footnote>
  <w:footnote w:id="132">
    <w:p w14:paraId="5B4B2EAF" w14:textId="2F21B99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33">
    <w:p w14:paraId="6E4AD254" w14:textId="70D2E95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34">
    <w:p w14:paraId="4773C9CA" w14:textId="574DD1E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35">
    <w:p w14:paraId="40112C2A" w14:textId="103DDCF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36">
    <w:p w14:paraId="6DD822AB" w14:textId="50D0B71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37">
    <w:p w14:paraId="17B6EB0A" w14:textId="461BC69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31, 1.2.2002., 1. lpp., ELI: </w:t>
      </w:r>
      <w:r>
        <w:fldChar w:fldCharType="begin"/>
      </w:r>
      <w:r w:rsidRPr="00690DAC">
        <w:rPr>
          <w:lang w:val="fi-FI"/>
        </w:rPr>
        <w:instrText>HYPERLINK "https://data.europa.eu/eli/reg/2002/178/oj"</w:instrText>
      </w:r>
      <w:r>
        <w:fldChar w:fldCharType="separate"/>
      </w:r>
      <w:r w:rsidRPr="00D106D3">
        <w:rPr>
          <w:rStyle w:val="Hyperlink"/>
          <w:sz w:val="24"/>
          <w:lang w:val="lv-LV"/>
        </w:rPr>
        <w:t>https://data.europa.eu/eli/reg/2002/178/oj</w:t>
      </w:r>
      <w:r>
        <w:fldChar w:fldCharType="end"/>
      </w:r>
      <w:r w:rsidRPr="00D106D3">
        <w:rPr>
          <w:sz w:val="24"/>
          <w:lang w:val="lv-LV"/>
        </w:rPr>
        <w:t>.</w:t>
      </w:r>
    </w:p>
  </w:footnote>
  <w:footnote w:id="138">
    <w:p w14:paraId="5F63AE48" w14:textId="2349D40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39">
    <w:p w14:paraId="0E21DD38" w14:textId="3953182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40">
    <w:p w14:paraId="443077BF" w14:textId="40CE912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41">
    <w:p w14:paraId="126EC264" w14:textId="24D0448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42">
    <w:p w14:paraId="3E242E4D" w14:textId="1F4394E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43">
    <w:p w14:paraId="0D110DC0" w14:textId="67CFD35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31, 1.2.2002., 1. lpp., ELI: </w:t>
      </w:r>
      <w:r>
        <w:fldChar w:fldCharType="begin"/>
      </w:r>
      <w:r w:rsidRPr="00690DAC">
        <w:rPr>
          <w:lang w:val="fi-FI"/>
        </w:rPr>
        <w:instrText>HYPERLINK "https://data.europa.eu/eli/reg/2002/178/oj"</w:instrText>
      </w:r>
      <w:r>
        <w:fldChar w:fldCharType="separate"/>
      </w:r>
      <w:r w:rsidRPr="00D106D3">
        <w:rPr>
          <w:rStyle w:val="Hyperlink"/>
          <w:sz w:val="24"/>
          <w:lang w:val="lv-LV"/>
        </w:rPr>
        <w:t>https://data.europa.eu/eli/reg/2002/178/oj</w:t>
      </w:r>
      <w:r>
        <w:fldChar w:fldCharType="end"/>
      </w:r>
      <w:r w:rsidRPr="00D106D3">
        <w:rPr>
          <w:sz w:val="24"/>
          <w:lang w:val="lv-LV"/>
        </w:rPr>
        <w:t>.</w:t>
      </w:r>
    </w:p>
  </w:footnote>
  <w:footnote w:id="144">
    <w:p w14:paraId="6249470E" w14:textId="68AC2A5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45">
    <w:p w14:paraId="3037C8CA" w14:textId="646CB7D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46">
    <w:p w14:paraId="671ECC04" w14:textId="4469E08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47">
    <w:p w14:paraId="23859F1B" w14:textId="676C461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48">
    <w:p w14:paraId="583586A1" w14:textId="7F6A63E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49">
    <w:p w14:paraId="187AB4B1" w14:textId="353A236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403, 30.12.2006., 9. lpp., ELI: </w:t>
      </w:r>
      <w:r>
        <w:fldChar w:fldCharType="begin"/>
      </w:r>
      <w:r w:rsidRPr="00690DAC">
        <w:rPr>
          <w:lang w:val="fi-FI"/>
        </w:rPr>
        <w:instrText>HYPERLINK "https://data.europa.eu/eli/reg/2006/1922/oj"</w:instrText>
      </w:r>
      <w:r>
        <w:fldChar w:fldCharType="separate"/>
      </w:r>
      <w:r w:rsidRPr="00D106D3">
        <w:rPr>
          <w:rStyle w:val="Hyperlink"/>
          <w:sz w:val="24"/>
          <w:lang w:val="lv-LV"/>
        </w:rPr>
        <w:t>https://data.europa.eu/eli/reg/2006/1922/oj</w:t>
      </w:r>
      <w:r>
        <w:fldChar w:fldCharType="end"/>
      </w:r>
      <w:r w:rsidRPr="00D106D3">
        <w:rPr>
          <w:sz w:val="24"/>
          <w:lang w:val="lv-LV"/>
        </w:rPr>
        <w:t>.</w:t>
      </w:r>
    </w:p>
  </w:footnote>
  <w:footnote w:id="150">
    <w:p w14:paraId="3672BAD9" w14:textId="68920CF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51">
    <w:p w14:paraId="6A76FAC9" w14:textId="08F5209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52">
    <w:p w14:paraId="717FD6B2" w14:textId="5FF7B5A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53">
    <w:p w14:paraId="505C5729" w14:textId="614B28D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54">
    <w:p w14:paraId="01889A56" w14:textId="24CD6ED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55">
    <w:p w14:paraId="709591EE" w14:textId="67B2C75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403, 30.12.2006., 9. lpp., ELI: </w:t>
      </w:r>
      <w:r>
        <w:fldChar w:fldCharType="begin"/>
      </w:r>
      <w:r w:rsidRPr="00690DAC">
        <w:rPr>
          <w:lang w:val="fi-FI"/>
        </w:rPr>
        <w:instrText>HYPERLINK "https://data.europa.eu/eli/reg/2006/1922/oj"</w:instrText>
      </w:r>
      <w:r>
        <w:fldChar w:fldCharType="separate"/>
      </w:r>
      <w:r w:rsidRPr="00D106D3">
        <w:rPr>
          <w:rStyle w:val="Hyperlink"/>
          <w:sz w:val="24"/>
          <w:lang w:val="lv-LV"/>
        </w:rPr>
        <w:t>https://data.europa.eu/eli/reg/2006/1922/oj</w:t>
      </w:r>
      <w:r>
        <w:fldChar w:fldCharType="end"/>
      </w:r>
      <w:r w:rsidRPr="00D106D3">
        <w:rPr>
          <w:sz w:val="24"/>
          <w:lang w:val="lv-LV"/>
        </w:rPr>
        <w:t>.</w:t>
      </w:r>
    </w:p>
  </w:footnote>
  <w:footnote w:id="156">
    <w:p w14:paraId="350C5C9C" w14:textId="463B3BC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57">
    <w:p w14:paraId="3649A982" w14:textId="5FC0533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58">
    <w:p w14:paraId="42F8BC17" w14:textId="0D36FD7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59">
    <w:p w14:paraId="5B548C5B" w14:textId="5A1A49D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60">
    <w:p w14:paraId="55995C45" w14:textId="7AF415E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61">
    <w:p w14:paraId="77759B67" w14:textId="387A798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331, 15.12.2010., 48. lpp., ELI: </w:t>
      </w:r>
      <w:r>
        <w:fldChar w:fldCharType="begin"/>
      </w:r>
      <w:r w:rsidRPr="00690DAC">
        <w:rPr>
          <w:lang w:val="fi-FI"/>
        </w:rPr>
        <w:instrText>HYPERLINK "https://data.europa.eu/eli/reg/2010/1094/oj"</w:instrText>
      </w:r>
      <w:r>
        <w:fldChar w:fldCharType="separate"/>
      </w:r>
      <w:r w:rsidRPr="00D106D3">
        <w:rPr>
          <w:rStyle w:val="Hyperlink"/>
          <w:sz w:val="24"/>
          <w:lang w:val="lv-LV"/>
        </w:rPr>
        <w:t>https://data.europa.eu/eli/reg/2010/1094/oj</w:t>
      </w:r>
      <w:r>
        <w:fldChar w:fldCharType="end"/>
      </w:r>
      <w:r w:rsidRPr="00D106D3">
        <w:rPr>
          <w:sz w:val="24"/>
          <w:lang w:val="lv-LV"/>
        </w:rPr>
        <w:t>.</w:t>
      </w:r>
    </w:p>
  </w:footnote>
  <w:footnote w:id="162">
    <w:p w14:paraId="75D7C489" w14:textId="2BA76E6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63">
    <w:p w14:paraId="719BC15D" w14:textId="714FC35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64">
    <w:p w14:paraId="7F5607E4" w14:textId="6E2DEC9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65">
    <w:p w14:paraId="2279A074" w14:textId="198D776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66">
    <w:p w14:paraId="2F0D47E6" w14:textId="67060B9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67">
    <w:p w14:paraId="2B8C2084" w14:textId="326D3FB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331, 15.12.2010., 48. lpp., ELI: </w:t>
      </w:r>
      <w:r>
        <w:fldChar w:fldCharType="begin"/>
      </w:r>
      <w:r w:rsidRPr="00690DAC">
        <w:rPr>
          <w:lang w:val="fi-FI"/>
        </w:rPr>
        <w:instrText>HYPERLINK "https://data.europa.eu/eli/reg/2010/1094/oj"</w:instrText>
      </w:r>
      <w:r>
        <w:fldChar w:fldCharType="separate"/>
      </w:r>
      <w:r w:rsidRPr="00D106D3">
        <w:rPr>
          <w:rStyle w:val="Hyperlink"/>
          <w:sz w:val="24"/>
          <w:lang w:val="lv-LV"/>
        </w:rPr>
        <w:t>https://data.europa.eu/eli/reg/2010/1094/oj</w:t>
      </w:r>
      <w:r>
        <w:fldChar w:fldCharType="end"/>
      </w:r>
      <w:r w:rsidRPr="00D106D3">
        <w:rPr>
          <w:sz w:val="24"/>
          <w:lang w:val="lv-LV"/>
        </w:rPr>
        <w:t>.</w:t>
      </w:r>
    </w:p>
  </w:footnote>
  <w:footnote w:id="168">
    <w:p w14:paraId="39C83940" w14:textId="01B5EF6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69">
    <w:p w14:paraId="51492929" w14:textId="549C6C5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70">
    <w:p w14:paraId="7EBCECB9" w14:textId="70B975F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71">
    <w:p w14:paraId="30D26573" w14:textId="5E0BDBE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72">
    <w:p w14:paraId="128ACA84" w14:textId="09BE864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73">
    <w:p w14:paraId="7187E658" w14:textId="2940588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189, 28.5.2021., 61. lpp., ELI: </w:t>
      </w:r>
      <w:r>
        <w:fldChar w:fldCharType="begin"/>
      </w:r>
      <w:r w:rsidRPr="00690DAC">
        <w:rPr>
          <w:lang w:val="fi-FI"/>
        </w:rPr>
        <w:instrText>HYPERLINK "https://data.europa.eu/eli/reg/2021/819/oj"</w:instrText>
      </w:r>
      <w:r>
        <w:fldChar w:fldCharType="separate"/>
      </w:r>
      <w:r w:rsidRPr="00D106D3">
        <w:rPr>
          <w:rStyle w:val="Hyperlink"/>
          <w:sz w:val="24"/>
          <w:lang w:val="lv-LV"/>
        </w:rPr>
        <w:t>https://data.europa.eu/eli/reg/2021/819/oj</w:t>
      </w:r>
      <w:r>
        <w:fldChar w:fldCharType="end"/>
      </w:r>
      <w:r w:rsidRPr="00D106D3">
        <w:rPr>
          <w:sz w:val="24"/>
          <w:lang w:val="lv-LV"/>
        </w:rPr>
        <w:t>.</w:t>
      </w:r>
    </w:p>
  </w:footnote>
  <w:footnote w:id="174">
    <w:p w14:paraId="059CA73F" w14:textId="6A0BDC6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75">
    <w:p w14:paraId="65C8D74E" w14:textId="2C7CEBA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76">
    <w:p w14:paraId="64F8A6BF" w14:textId="7C44C2A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77">
    <w:p w14:paraId="3221DE4E" w14:textId="763D2BE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78">
    <w:p w14:paraId="585A25E9" w14:textId="5C38B07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79">
    <w:p w14:paraId="156D31BD" w14:textId="7CFD004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189, 28.5.2021., 61. lpp., ELI: </w:t>
      </w:r>
      <w:r>
        <w:fldChar w:fldCharType="begin"/>
      </w:r>
      <w:r w:rsidRPr="00690DAC">
        <w:rPr>
          <w:lang w:val="fi-FI"/>
        </w:rPr>
        <w:instrText>HYPERLINK "https://data.europa.eu/eli/reg/2021/819/oj"</w:instrText>
      </w:r>
      <w:r>
        <w:fldChar w:fldCharType="separate"/>
      </w:r>
      <w:r w:rsidRPr="00D106D3">
        <w:rPr>
          <w:rStyle w:val="Hyperlink"/>
          <w:sz w:val="24"/>
          <w:lang w:val="lv-LV"/>
        </w:rPr>
        <w:t>https://data.europa.eu/eli/reg/2021/819/oj</w:t>
      </w:r>
      <w:r>
        <w:fldChar w:fldCharType="end"/>
      </w:r>
      <w:r w:rsidRPr="00D106D3">
        <w:rPr>
          <w:sz w:val="24"/>
          <w:lang w:val="lv-LV"/>
        </w:rPr>
        <w:t>.</w:t>
      </w:r>
    </w:p>
  </w:footnote>
  <w:footnote w:id="180">
    <w:p w14:paraId="1919EE30" w14:textId="4955A5E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81">
    <w:p w14:paraId="12D368B4" w14:textId="35DDB45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82">
    <w:p w14:paraId="53647CE2" w14:textId="500FCBA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83">
    <w:p w14:paraId="5117CC7B" w14:textId="64048C1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84">
    <w:p w14:paraId="190C777B" w14:textId="64E5E99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85">
    <w:p w14:paraId="0E5079A3" w14:textId="0CDB66A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186, 11.7.2019., 21. lpp., ELI: </w:t>
      </w:r>
      <w:r>
        <w:fldChar w:fldCharType="begin"/>
      </w:r>
      <w:r w:rsidRPr="00690DAC">
        <w:rPr>
          <w:lang w:val="fi-FI"/>
        </w:rPr>
        <w:instrText>HYPERLINK "https://data.europa.eu/eli/reg/2019/1149/oj"</w:instrText>
      </w:r>
      <w:r>
        <w:fldChar w:fldCharType="separate"/>
      </w:r>
      <w:r w:rsidRPr="00D106D3">
        <w:rPr>
          <w:rStyle w:val="Hyperlink"/>
          <w:sz w:val="24"/>
          <w:lang w:val="lv-LV"/>
        </w:rPr>
        <w:t>https://data.europa.eu/eli/reg/2019/1149/oj</w:t>
      </w:r>
      <w:r>
        <w:fldChar w:fldCharType="end"/>
      </w:r>
      <w:r w:rsidRPr="00D106D3">
        <w:rPr>
          <w:sz w:val="24"/>
          <w:lang w:val="lv-LV"/>
        </w:rPr>
        <w:t>.</w:t>
      </w:r>
    </w:p>
  </w:footnote>
  <w:footnote w:id="186">
    <w:p w14:paraId="40570E6C" w14:textId="2DB945F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87">
    <w:p w14:paraId="66D12584" w14:textId="54D86A6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88">
    <w:p w14:paraId="00992275" w14:textId="068926C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89">
    <w:p w14:paraId="0DCB8C64" w14:textId="1F1A937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90">
    <w:p w14:paraId="54D5A069" w14:textId="180D8E1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91">
    <w:p w14:paraId="2277B772" w14:textId="2FFB5AA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186, 11.7.2019., 21. lpp., ELI: </w:t>
      </w:r>
      <w:r>
        <w:fldChar w:fldCharType="begin"/>
      </w:r>
      <w:r w:rsidRPr="00690DAC">
        <w:rPr>
          <w:lang w:val="fi-FI"/>
        </w:rPr>
        <w:instrText>HYPERLINK "https://data.europa.eu/eli/reg/2019/1149/oj"</w:instrText>
      </w:r>
      <w:r>
        <w:fldChar w:fldCharType="separate"/>
      </w:r>
      <w:r w:rsidRPr="00D106D3">
        <w:rPr>
          <w:rStyle w:val="Hyperlink"/>
          <w:sz w:val="24"/>
          <w:lang w:val="lv-LV"/>
        </w:rPr>
        <w:t>https://data.europa.eu/eli/reg/2019/1149/oj</w:t>
      </w:r>
      <w:r>
        <w:fldChar w:fldCharType="end"/>
      </w:r>
      <w:r w:rsidRPr="00D106D3">
        <w:rPr>
          <w:sz w:val="24"/>
          <w:lang w:val="lv-LV"/>
        </w:rPr>
        <w:t>.</w:t>
      </w:r>
    </w:p>
  </w:footnote>
  <w:footnote w:id="192">
    <w:p w14:paraId="65C563BB" w14:textId="5BBCFE4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93">
    <w:p w14:paraId="608FFC89" w14:textId="010F094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194">
    <w:p w14:paraId="0ED7FA6D" w14:textId="2986117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195">
    <w:p w14:paraId="0EAED53B" w14:textId="349E176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196">
    <w:p w14:paraId="643703A9" w14:textId="7A9C495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197">
    <w:p w14:paraId="2D945252" w14:textId="1252289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136, 30.4.2004., 1. lpp., ELI: </w:t>
      </w:r>
      <w:r>
        <w:fldChar w:fldCharType="begin"/>
      </w:r>
      <w:r w:rsidRPr="00690DAC">
        <w:rPr>
          <w:lang w:val="fi-FI"/>
        </w:rPr>
        <w:instrText>HYPERLINK "http://data.europa.eu/eli/reg/2004/726/oj"</w:instrText>
      </w:r>
      <w:r>
        <w:fldChar w:fldCharType="separate"/>
      </w:r>
      <w:r w:rsidRPr="00D106D3">
        <w:rPr>
          <w:rStyle w:val="Hyperlink"/>
          <w:sz w:val="24"/>
          <w:lang w:val="lv-LV"/>
        </w:rPr>
        <w:t>http://data.europa.eu/eli/reg/2004/726/oj</w:t>
      </w:r>
      <w:r>
        <w:fldChar w:fldCharType="end"/>
      </w:r>
      <w:r w:rsidRPr="00D106D3">
        <w:rPr>
          <w:sz w:val="24"/>
          <w:lang w:val="lv-LV"/>
        </w:rPr>
        <w:t>.</w:t>
      </w:r>
    </w:p>
  </w:footnote>
  <w:footnote w:id="198">
    <w:p w14:paraId="2E26EB28" w14:textId="6AAF590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199">
    <w:p w14:paraId="26182F6E" w14:textId="3C46824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00">
    <w:p w14:paraId="08E056E5" w14:textId="5E27B9B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01">
    <w:p w14:paraId="2172510E" w14:textId="15DE352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02">
    <w:p w14:paraId="399C52F7" w14:textId="1AB2C4F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03">
    <w:p w14:paraId="3D278F25" w14:textId="6EC6F5B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136, 30.4.2004., 1. lpp., ELI: </w:t>
      </w:r>
      <w:r>
        <w:fldChar w:fldCharType="begin"/>
      </w:r>
      <w:r w:rsidRPr="00690DAC">
        <w:rPr>
          <w:lang w:val="fi-FI"/>
        </w:rPr>
        <w:instrText>HYPERLINK "http://data.europa.eu/eli/reg/2004/726/oj"</w:instrText>
      </w:r>
      <w:r>
        <w:fldChar w:fldCharType="separate"/>
      </w:r>
      <w:r w:rsidRPr="00D106D3">
        <w:rPr>
          <w:rStyle w:val="Hyperlink"/>
          <w:sz w:val="24"/>
          <w:lang w:val="lv-LV"/>
        </w:rPr>
        <w:t>http://data.europa.eu/eli/reg/2004/726/oj</w:t>
      </w:r>
      <w:r>
        <w:fldChar w:fldCharType="end"/>
      </w:r>
      <w:r w:rsidRPr="00D106D3">
        <w:rPr>
          <w:sz w:val="24"/>
          <w:lang w:val="lv-LV"/>
        </w:rPr>
        <w:t>.</w:t>
      </w:r>
    </w:p>
  </w:footnote>
  <w:footnote w:id="204">
    <w:p w14:paraId="31AB47DF" w14:textId="42CFB0E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05">
    <w:p w14:paraId="12F11027" w14:textId="07184EC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06">
    <w:p w14:paraId="45056F5A" w14:textId="0FB061E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07">
    <w:p w14:paraId="7C8D9899" w14:textId="51A1559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08">
    <w:p w14:paraId="5F241BAB" w14:textId="5D3FBAC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09">
    <w:p w14:paraId="07465327" w14:textId="21D124E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376, 27.12.2006., 1. lpp., ELI: </w:t>
      </w:r>
      <w:r>
        <w:fldChar w:fldCharType="begin"/>
      </w:r>
      <w:r w:rsidRPr="00690DAC">
        <w:rPr>
          <w:lang w:val="fi-FI"/>
        </w:rPr>
        <w:instrText>HYPERLINK "https://data.europa.eu/eli/reg/2006/1920/oj"</w:instrText>
      </w:r>
      <w:r>
        <w:fldChar w:fldCharType="separate"/>
      </w:r>
      <w:r w:rsidRPr="00D106D3">
        <w:rPr>
          <w:rStyle w:val="Hyperlink"/>
          <w:sz w:val="24"/>
          <w:lang w:val="lv-LV"/>
        </w:rPr>
        <w:t>https://data.europa.eu/eli/reg/2006/1920/oj</w:t>
      </w:r>
      <w:r>
        <w:fldChar w:fldCharType="end"/>
      </w:r>
      <w:r w:rsidRPr="00D106D3">
        <w:rPr>
          <w:sz w:val="24"/>
          <w:lang w:val="lv-LV"/>
        </w:rPr>
        <w:t>.</w:t>
      </w:r>
    </w:p>
  </w:footnote>
  <w:footnote w:id="210">
    <w:p w14:paraId="2FF0C574" w14:textId="7BF6267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166, 30.6.2023., 6. lpp., ELI: </w:t>
      </w:r>
      <w:r>
        <w:fldChar w:fldCharType="begin"/>
      </w:r>
      <w:r w:rsidRPr="00690DAC">
        <w:rPr>
          <w:lang w:val="fi-FI"/>
        </w:rPr>
        <w:instrText>HYPERLINK "https://data.europa.eu/eli/reg/2023/1322/oj"</w:instrText>
      </w:r>
      <w:r>
        <w:fldChar w:fldCharType="separate"/>
      </w:r>
      <w:r w:rsidRPr="00D106D3">
        <w:rPr>
          <w:rStyle w:val="Hyperlink"/>
          <w:sz w:val="24"/>
          <w:lang w:val="lv-LV"/>
        </w:rPr>
        <w:t>https://data.europa.eu/eli/reg/2023/1322/oj</w:t>
      </w:r>
      <w:r>
        <w:fldChar w:fldCharType="end"/>
      </w:r>
      <w:r w:rsidRPr="00D106D3">
        <w:rPr>
          <w:sz w:val="24"/>
          <w:lang w:val="lv-LV"/>
        </w:rPr>
        <w:t>.</w:t>
      </w:r>
    </w:p>
  </w:footnote>
  <w:footnote w:id="211">
    <w:p w14:paraId="42D3B527" w14:textId="12CA6A0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12">
    <w:p w14:paraId="4ED973FB" w14:textId="457B569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13">
    <w:p w14:paraId="074343B9" w14:textId="561F1B5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14">
    <w:p w14:paraId="3A89B406" w14:textId="7C87501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15">
    <w:p w14:paraId="4FCC1D46" w14:textId="32B5449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16">
    <w:p w14:paraId="648BF120" w14:textId="3E3CCB6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376, 27.12.2006., 1. lpp., ELI: </w:t>
      </w:r>
      <w:r>
        <w:fldChar w:fldCharType="begin"/>
      </w:r>
      <w:r w:rsidRPr="00690DAC">
        <w:rPr>
          <w:lang w:val="fi-FI"/>
        </w:rPr>
        <w:instrText>HYPERLINK "https://data.europa.eu/eli/reg/2006/1920/oj"</w:instrText>
      </w:r>
      <w:r>
        <w:fldChar w:fldCharType="separate"/>
      </w:r>
      <w:r w:rsidRPr="00D106D3">
        <w:rPr>
          <w:rStyle w:val="Hyperlink"/>
          <w:sz w:val="24"/>
          <w:lang w:val="lv-LV"/>
        </w:rPr>
        <w:t>https://data.europa.eu/eli/reg/2006/1920/oj</w:t>
      </w:r>
      <w:r>
        <w:fldChar w:fldCharType="end"/>
      </w:r>
      <w:r w:rsidRPr="00D106D3">
        <w:rPr>
          <w:sz w:val="24"/>
          <w:lang w:val="lv-LV"/>
        </w:rPr>
        <w:t>.</w:t>
      </w:r>
    </w:p>
  </w:footnote>
  <w:footnote w:id="217">
    <w:p w14:paraId="67AE4BA3" w14:textId="269D42F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166, 30.6.2023., 6. lpp., ELI: </w:t>
      </w:r>
      <w:r>
        <w:fldChar w:fldCharType="begin"/>
      </w:r>
      <w:r w:rsidRPr="00690DAC">
        <w:rPr>
          <w:lang w:val="fi-FI"/>
        </w:rPr>
        <w:instrText>HYPERLINK "https://data.europa.eu/eli/reg/2023/1322/oj"</w:instrText>
      </w:r>
      <w:r>
        <w:fldChar w:fldCharType="separate"/>
      </w:r>
      <w:r w:rsidRPr="00D106D3">
        <w:rPr>
          <w:rStyle w:val="Hyperlink"/>
          <w:sz w:val="24"/>
          <w:lang w:val="lv-LV"/>
        </w:rPr>
        <w:t>https://data.europa.eu/eli/reg/2023/1322/oj</w:t>
      </w:r>
      <w:r>
        <w:fldChar w:fldCharType="end"/>
      </w:r>
      <w:r w:rsidRPr="00D106D3">
        <w:rPr>
          <w:sz w:val="24"/>
          <w:lang w:val="lv-LV"/>
        </w:rPr>
        <w:t>.</w:t>
      </w:r>
    </w:p>
  </w:footnote>
  <w:footnote w:id="218">
    <w:p w14:paraId="2498A573" w14:textId="1F87343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19">
    <w:p w14:paraId="0F100293" w14:textId="768A13E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20">
    <w:p w14:paraId="743F740D" w14:textId="2B48C23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21">
    <w:p w14:paraId="41540ED5" w14:textId="2A4B117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22">
    <w:p w14:paraId="50C9E1D0" w14:textId="2EFCCB1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23">
    <w:p w14:paraId="6BE8B9A2" w14:textId="1659EDA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208, 5.8.2002., 1. lpp., ELI: </w:t>
      </w:r>
      <w:r>
        <w:fldChar w:fldCharType="begin"/>
      </w:r>
      <w:r w:rsidRPr="00690DAC">
        <w:rPr>
          <w:lang w:val="fi-FI"/>
        </w:rPr>
        <w:instrText>HYPERLINK "https://data.europa.eu/eli/reg/2002/1406/oj"</w:instrText>
      </w:r>
      <w:r>
        <w:fldChar w:fldCharType="separate"/>
      </w:r>
      <w:r w:rsidRPr="00D106D3">
        <w:rPr>
          <w:rStyle w:val="Hyperlink"/>
          <w:sz w:val="24"/>
          <w:lang w:val="lv-LV"/>
        </w:rPr>
        <w:t>https://data.europa.eu/eli/reg/2002/1406/oj</w:t>
      </w:r>
      <w:r>
        <w:fldChar w:fldCharType="end"/>
      </w:r>
      <w:r w:rsidRPr="00D106D3">
        <w:rPr>
          <w:sz w:val="24"/>
          <w:lang w:val="lv-LV"/>
        </w:rPr>
        <w:t>.</w:t>
      </w:r>
    </w:p>
  </w:footnote>
  <w:footnote w:id="224">
    <w:p w14:paraId="5A266A38" w14:textId="0DDE47B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25">
    <w:p w14:paraId="0EC5D59E" w14:textId="6A1E0BE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26">
    <w:p w14:paraId="56A0B7C2" w14:textId="038E0B0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27">
    <w:p w14:paraId="6EB67181" w14:textId="070F795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28">
    <w:p w14:paraId="682D4E82" w14:textId="3CD7063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29">
    <w:p w14:paraId="2D29B9C1" w14:textId="76CAC1E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208, 5.8.2002., 1. lpp., ELI: </w:t>
      </w:r>
      <w:r>
        <w:fldChar w:fldCharType="begin"/>
      </w:r>
      <w:r w:rsidRPr="00690DAC">
        <w:rPr>
          <w:lang w:val="fi-FI"/>
        </w:rPr>
        <w:instrText>HYPERLINK "https://data.europa.eu/eli/reg/2002/1406/oj"</w:instrText>
      </w:r>
      <w:r>
        <w:fldChar w:fldCharType="separate"/>
      </w:r>
      <w:r w:rsidRPr="00D106D3">
        <w:rPr>
          <w:rStyle w:val="Hyperlink"/>
          <w:sz w:val="24"/>
          <w:lang w:val="lv-LV"/>
        </w:rPr>
        <w:t>https://data.europa.eu/eli/reg/2002/1406/oj</w:t>
      </w:r>
      <w:r>
        <w:fldChar w:fldCharType="end"/>
      </w:r>
      <w:r w:rsidRPr="00D106D3">
        <w:rPr>
          <w:sz w:val="24"/>
          <w:lang w:val="lv-LV"/>
        </w:rPr>
        <w:t>.</w:t>
      </w:r>
    </w:p>
  </w:footnote>
  <w:footnote w:id="230">
    <w:p w14:paraId="34C7E380" w14:textId="2A39962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31">
    <w:p w14:paraId="736F7CCA" w14:textId="5AB41AF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32">
    <w:p w14:paraId="171342AD" w14:textId="18C3D72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33">
    <w:p w14:paraId="58F1B2E6" w14:textId="3F0D7A7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34">
    <w:p w14:paraId="4B690968" w14:textId="4E5C99B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35">
    <w:p w14:paraId="179AAB2F" w14:textId="418C7BE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151, 7.6.2019., 15. lpp., ELI: </w:t>
      </w:r>
      <w:r>
        <w:fldChar w:fldCharType="begin"/>
      </w:r>
      <w:r w:rsidRPr="00690DAC">
        <w:rPr>
          <w:lang w:val="fi-FI"/>
        </w:rPr>
        <w:instrText>HYPERLINK "https://data.europa.eu/eli/reg/2019/881/oj"</w:instrText>
      </w:r>
      <w:r>
        <w:fldChar w:fldCharType="separate"/>
      </w:r>
      <w:r w:rsidRPr="00D106D3">
        <w:rPr>
          <w:rStyle w:val="Hyperlink"/>
          <w:sz w:val="24"/>
          <w:lang w:val="lv-LV"/>
        </w:rPr>
        <w:t>https://data.europa.eu/eli/reg/2019/881/oj</w:t>
      </w:r>
      <w:r>
        <w:fldChar w:fldCharType="end"/>
      </w:r>
      <w:r w:rsidRPr="00D106D3">
        <w:rPr>
          <w:sz w:val="24"/>
          <w:lang w:val="lv-LV"/>
        </w:rPr>
        <w:t>.</w:t>
      </w:r>
    </w:p>
  </w:footnote>
  <w:footnote w:id="236">
    <w:p w14:paraId="23A5D9BB" w14:textId="3FB3C80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37">
    <w:p w14:paraId="2C9EA27E" w14:textId="5EDF34E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38">
    <w:p w14:paraId="5CCC8128" w14:textId="66E0FC4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39">
    <w:p w14:paraId="2C83BD04" w14:textId="3ECC639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40">
    <w:p w14:paraId="54F701FE" w14:textId="390E156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41">
    <w:p w14:paraId="23144850" w14:textId="62CE905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151, 7.6.2019., 15. lpp., ELI: </w:t>
      </w:r>
      <w:r>
        <w:fldChar w:fldCharType="begin"/>
      </w:r>
      <w:r w:rsidRPr="00690DAC">
        <w:rPr>
          <w:lang w:val="fi-FI"/>
        </w:rPr>
        <w:instrText>HYPERLINK "https://data.europa.eu/eli/reg/2019/881/oj"</w:instrText>
      </w:r>
      <w:r>
        <w:fldChar w:fldCharType="separate"/>
      </w:r>
      <w:r w:rsidRPr="00D106D3">
        <w:rPr>
          <w:rStyle w:val="Hyperlink"/>
          <w:sz w:val="24"/>
          <w:lang w:val="lv-LV"/>
        </w:rPr>
        <w:t>https://data.europa.eu/eli/reg/2019/881/oj</w:t>
      </w:r>
      <w:r>
        <w:fldChar w:fldCharType="end"/>
      </w:r>
      <w:r w:rsidRPr="00D106D3">
        <w:rPr>
          <w:sz w:val="24"/>
          <w:lang w:val="lv-LV"/>
        </w:rPr>
        <w:t>.</w:t>
      </w:r>
    </w:p>
  </w:footnote>
  <w:footnote w:id="242">
    <w:p w14:paraId="5C26F323" w14:textId="2EC8213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43">
    <w:p w14:paraId="5D4A69E4" w14:textId="4A17681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44">
    <w:p w14:paraId="0ACD4A6A" w14:textId="799B268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45">
    <w:p w14:paraId="00AC7E48" w14:textId="274759C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46">
    <w:p w14:paraId="7475455A" w14:textId="7EB0A47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47">
    <w:p w14:paraId="51F28C8D" w14:textId="70307CA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138, 26.5.2016., 1. lpp., ELI: </w:t>
      </w:r>
      <w:r>
        <w:fldChar w:fldCharType="begin"/>
      </w:r>
      <w:r w:rsidRPr="00690DAC">
        <w:rPr>
          <w:lang w:val="fi-FI"/>
        </w:rPr>
        <w:instrText>HYPERLINK "https://data.europa.eu/eli/reg/2016/796/oj"</w:instrText>
      </w:r>
      <w:r>
        <w:fldChar w:fldCharType="separate"/>
      </w:r>
      <w:r w:rsidRPr="00D106D3">
        <w:rPr>
          <w:rStyle w:val="Hyperlink"/>
          <w:sz w:val="24"/>
          <w:lang w:val="lv-LV"/>
        </w:rPr>
        <w:t>https://data.europa.eu/eli/reg/2016/796/oj</w:t>
      </w:r>
      <w:r>
        <w:fldChar w:fldCharType="end"/>
      </w:r>
      <w:r w:rsidRPr="00D106D3">
        <w:rPr>
          <w:sz w:val="24"/>
          <w:lang w:val="lv-LV"/>
        </w:rPr>
        <w:t>.</w:t>
      </w:r>
    </w:p>
  </w:footnote>
  <w:footnote w:id="248">
    <w:p w14:paraId="6106D02B" w14:textId="1EDD93D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49">
    <w:p w14:paraId="5D6CDE61" w14:textId="3873C6A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50">
    <w:p w14:paraId="349C2A7F" w14:textId="2307270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51">
    <w:p w14:paraId="66171C42" w14:textId="1AB293D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52">
    <w:p w14:paraId="1FA3ECD1" w14:textId="5FE78B0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53">
    <w:p w14:paraId="6EC0C36C" w14:textId="59BF323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138, 26.5.2016., 1. lpp., ELI: </w:t>
      </w:r>
      <w:r>
        <w:fldChar w:fldCharType="begin"/>
      </w:r>
      <w:r w:rsidRPr="00690DAC">
        <w:rPr>
          <w:lang w:val="fi-FI"/>
        </w:rPr>
        <w:instrText>HYPERLINK "https://data.europa.eu/eli/reg/2016/796/oj"</w:instrText>
      </w:r>
      <w:r>
        <w:fldChar w:fldCharType="separate"/>
      </w:r>
      <w:r w:rsidRPr="00D106D3">
        <w:rPr>
          <w:rStyle w:val="Hyperlink"/>
          <w:sz w:val="24"/>
          <w:lang w:val="lv-LV"/>
        </w:rPr>
        <w:t>https://data.europa.eu/eli/reg/2016/796/oj</w:t>
      </w:r>
      <w:r>
        <w:fldChar w:fldCharType="end"/>
      </w:r>
      <w:r w:rsidRPr="00D106D3">
        <w:rPr>
          <w:sz w:val="24"/>
          <w:lang w:val="lv-LV"/>
        </w:rPr>
        <w:t>.</w:t>
      </w:r>
    </w:p>
  </w:footnote>
  <w:footnote w:id="254">
    <w:p w14:paraId="7415FA98" w14:textId="5A91B74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55">
    <w:p w14:paraId="0A3B9CDF" w14:textId="0896357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56">
    <w:p w14:paraId="2BFDD009" w14:textId="287943F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57">
    <w:p w14:paraId="4322A583" w14:textId="534123C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58">
    <w:p w14:paraId="23346DEE" w14:textId="5AA3969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59">
    <w:p w14:paraId="2D6A070C" w14:textId="4BB7D6F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41, 15.2.2008., 15. lpp., ELI: </w:t>
      </w:r>
      <w:r>
        <w:fldChar w:fldCharType="begin"/>
      </w:r>
      <w:r w:rsidRPr="00690DAC">
        <w:rPr>
          <w:lang w:val="fi-FI"/>
        </w:rPr>
        <w:instrText>HYPERLINK "https://data.europa.eu/eli/dec/2008/114(1)/oj"</w:instrText>
      </w:r>
      <w:r>
        <w:fldChar w:fldCharType="separate"/>
      </w:r>
      <w:r w:rsidRPr="00D106D3">
        <w:rPr>
          <w:rStyle w:val="Hyperlink"/>
          <w:sz w:val="24"/>
          <w:lang w:val="lv-LV"/>
        </w:rPr>
        <w:t>https://data.europa.eu/eli/dec/2008/114(1)/oj</w:t>
      </w:r>
      <w:r>
        <w:fldChar w:fldCharType="end"/>
      </w:r>
      <w:r w:rsidRPr="00D106D3">
        <w:rPr>
          <w:sz w:val="24"/>
          <w:lang w:val="lv-LV"/>
        </w:rPr>
        <w:t>.</w:t>
      </w:r>
    </w:p>
  </w:footnote>
  <w:footnote w:id="260">
    <w:p w14:paraId="579D2B0E" w14:textId="061ABDD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61">
    <w:p w14:paraId="43898DCE" w14:textId="78C4338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62">
    <w:p w14:paraId="0F11E9E3" w14:textId="6D850D6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63">
    <w:p w14:paraId="3D4658F8" w14:textId="1893F74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64">
    <w:p w14:paraId="4ED00214" w14:textId="4940DC3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41, 15.2.2008., 15. lpp., ELI: </w:t>
      </w:r>
      <w:r>
        <w:fldChar w:fldCharType="begin"/>
      </w:r>
      <w:r w:rsidRPr="00690DAC">
        <w:rPr>
          <w:lang w:val="fi-FI"/>
        </w:rPr>
        <w:instrText>HYPERLINK "https://data.europa.eu/eli/dec/2008/114(1)/oj"</w:instrText>
      </w:r>
      <w:r>
        <w:fldChar w:fldCharType="separate"/>
      </w:r>
      <w:r w:rsidRPr="00D106D3">
        <w:rPr>
          <w:rStyle w:val="Hyperlink"/>
          <w:sz w:val="24"/>
          <w:lang w:val="lv-LV"/>
        </w:rPr>
        <w:t>https://data.europa.eu/eli/dec/2008/114(1)/oj</w:t>
      </w:r>
      <w:r>
        <w:fldChar w:fldCharType="end"/>
      </w:r>
      <w:r w:rsidRPr="00D106D3">
        <w:rPr>
          <w:sz w:val="24"/>
          <w:lang w:val="lv-LV"/>
        </w:rPr>
        <w:t>.</w:t>
      </w:r>
    </w:p>
  </w:footnote>
  <w:footnote w:id="265">
    <w:p w14:paraId="1CEC86E5" w14:textId="26AE07D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66">
    <w:p w14:paraId="38FFB990" w14:textId="0173018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67">
    <w:p w14:paraId="457E8FE5" w14:textId="740649C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68">
    <w:p w14:paraId="23632214" w14:textId="0125E4A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69">
    <w:p w14:paraId="2D1F2399" w14:textId="1D4FAE0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331, 15.12.2010., 84. lpp., ELI: </w:t>
      </w:r>
      <w:r>
        <w:fldChar w:fldCharType="begin"/>
      </w:r>
      <w:r w:rsidRPr="00690DAC">
        <w:rPr>
          <w:lang w:val="fi-FI"/>
        </w:rPr>
        <w:instrText>HYPERLINK "https://data.europa.eu/eli/reg/2010/1095/oj"</w:instrText>
      </w:r>
      <w:r>
        <w:fldChar w:fldCharType="separate"/>
      </w:r>
      <w:r w:rsidRPr="00D106D3">
        <w:rPr>
          <w:rStyle w:val="Hyperlink"/>
          <w:sz w:val="24"/>
          <w:lang w:val="lv-LV"/>
        </w:rPr>
        <w:t>https://data.europa.eu/eli/reg/2010/1095/oj</w:t>
      </w:r>
      <w:r>
        <w:fldChar w:fldCharType="end"/>
      </w:r>
      <w:r w:rsidRPr="00D106D3">
        <w:rPr>
          <w:sz w:val="24"/>
          <w:lang w:val="lv-LV"/>
        </w:rPr>
        <w:t>.</w:t>
      </w:r>
    </w:p>
  </w:footnote>
  <w:footnote w:id="270">
    <w:p w14:paraId="1EA55F41" w14:textId="201DF03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71">
    <w:p w14:paraId="4943FCB5" w14:textId="330047A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72">
    <w:p w14:paraId="50427927" w14:textId="2401F35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73">
    <w:p w14:paraId="212EBF5C" w14:textId="6559D64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74">
    <w:p w14:paraId="196FFF5F" w14:textId="7721DEE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75">
    <w:p w14:paraId="78A495E8" w14:textId="5E3E5C9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331, 15.12.2010., 84. lpp., ELI: </w:t>
      </w:r>
      <w:r>
        <w:fldChar w:fldCharType="begin"/>
      </w:r>
      <w:r w:rsidRPr="00690DAC">
        <w:rPr>
          <w:lang w:val="fi-FI"/>
        </w:rPr>
        <w:instrText>HYPERLINK "https://data.europa.eu/eli/reg/2010/1095/oj"</w:instrText>
      </w:r>
      <w:r>
        <w:fldChar w:fldCharType="separate"/>
      </w:r>
      <w:r w:rsidRPr="00D106D3">
        <w:rPr>
          <w:rStyle w:val="Hyperlink"/>
          <w:sz w:val="24"/>
          <w:lang w:val="lv-LV"/>
        </w:rPr>
        <w:t>https://data.europa.eu/eli/reg/2010/1095/oj</w:t>
      </w:r>
      <w:r>
        <w:fldChar w:fldCharType="end"/>
      </w:r>
      <w:r w:rsidRPr="00D106D3">
        <w:rPr>
          <w:sz w:val="24"/>
          <w:lang w:val="lv-LV"/>
        </w:rPr>
        <w:t>.</w:t>
      </w:r>
    </w:p>
  </w:footnote>
  <w:footnote w:id="276">
    <w:p w14:paraId="5D17E089" w14:textId="7E0FC68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77">
    <w:p w14:paraId="780DE053" w14:textId="0FB309D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78">
    <w:p w14:paraId="4763DA52" w14:textId="313E654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79">
    <w:p w14:paraId="5CBB5387" w14:textId="43510AA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80">
    <w:p w14:paraId="198056C9" w14:textId="1F58B87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81">
    <w:p w14:paraId="6B8E1058" w14:textId="7E46FE3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354, 31.12.2008., 82. lpp., ELI: </w:t>
      </w:r>
      <w:r>
        <w:fldChar w:fldCharType="begin"/>
      </w:r>
      <w:r w:rsidRPr="00690DAC">
        <w:rPr>
          <w:lang w:val="fi-FI"/>
        </w:rPr>
        <w:instrText>HYPERLINK "https://data.europa.eu/eli/reg/2008/1339"</w:instrText>
      </w:r>
      <w:r>
        <w:fldChar w:fldCharType="separate"/>
      </w:r>
      <w:r w:rsidRPr="00D106D3">
        <w:rPr>
          <w:rStyle w:val="Hyperlink"/>
          <w:sz w:val="24"/>
          <w:lang w:val="lv-LV"/>
        </w:rPr>
        <w:t>https://data.europa.eu/eli/reg/2008/1339</w:t>
      </w:r>
      <w:r>
        <w:fldChar w:fldCharType="end"/>
      </w:r>
      <w:r w:rsidRPr="00D106D3">
        <w:rPr>
          <w:sz w:val="24"/>
          <w:lang w:val="lv-LV"/>
        </w:rPr>
        <w:t>.</w:t>
      </w:r>
    </w:p>
  </w:footnote>
  <w:footnote w:id="282">
    <w:p w14:paraId="4415EA11" w14:textId="04E9258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83">
    <w:p w14:paraId="17C16FCF" w14:textId="01F0CFC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84">
    <w:p w14:paraId="72EB25AC" w14:textId="29CEE72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85">
    <w:p w14:paraId="421130A5" w14:textId="026C5A8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86">
    <w:p w14:paraId="2883F8D8" w14:textId="46922A3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87">
    <w:p w14:paraId="69EE3435" w14:textId="443BAB6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354, 31.12.2008., 82. lpp., ELI: </w:t>
      </w:r>
      <w:r>
        <w:fldChar w:fldCharType="begin"/>
      </w:r>
      <w:r w:rsidRPr="00690DAC">
        <w:rPr>
          <w:lang w:val="fi-FI"/>
        </w:rPr>
        <w:instrText>HYPERLINK "https://data.europa.eu/eli/reg/2008/1339"</w:instrText>
      </w:r>
      <w:r>
        <w:fldChar w:fldCharType="separate"/>
      </w:r>
      <w:r w:rsidRPr="00D106D3">
        <w:rPr>
          <w:rStyle w:val="Hyperlink"/>
          <w:sz w:val="24"/>
          <w:lang w:val="lv-LV"/>
        </w:rPr>
        <w:t>https://data.europa.eu/eli/reg/2008/1339</w:t>
      </w:r>
      <w:r>
        <w:fldChar w:fldCharType="end"/>
      </w:r>
      <w:r w:rsidRPr="00D106D3">
        <w:rPr>
          <w:sz w:val="24"/>
          <w:lang w:val="lv-LV"/>
        </w:rPr>
        <w:t>.</w:t>
      </w:r>
    </w:p>
  </w:footnote>
  <w:footnote w:id="288">
    <w:p w14:paraId="7255C8DE" w14:textId="32C0A71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89">
    <w:p w14:paraId="6007D0E7" w14:textId="102E7ED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90">
    <w:p w14:paraId="26E60942" w14:textId="696C776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91">
    <w:p w14:paraId="61FDEC8F" w14:textId="34CEBA9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92">
    <w:p w14:paraId="65692401" w14:textId="5E207E9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93">
    <w:p w14:paraId="0D973673" w14:textId="62C5AC1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468, 30.12.2021., 1. lpp., ELI: </w:t>
      </w:r>
      <w:r>
        <w:fldChar w:fldCharType="begin"/>
      </w:r>
      <w:r w:rsidRPr="00690DAC">
        <w:rPr>
          <w:lang w:val="fi-FI"/>
        </w:rPr>
        <w:instrText>HYPERLINK "http://data.europa.eu/eli/reg/2021/2303/oj"</w:instrText>
      </w:r>
      <w:r>
        <w:fldChar w:fldCharType="separate"/>
      </w:r>
      <w:r w:rsidRPr="00D106D3">
        <w:rPr>
          <w:rStyle w:val="Hyperlink"/>
          <w:sz w:val="24"/>
          <w:lang w:val="lv-LV"/>
        </w:rPr>
        <w:t>http://data.europa.eu/eli/reg/2021/2303/oj</w:t>
      </w:r>
      <w:r>
        <w:fldChar w:fldCharType="end"/>
      </w:r>
      <w:r w:rsidRPr="00D106D3">
        <w:rPr>
          <w:sz w:val="24"/>
          <w:lang w:val="lv-LV"/>
        </w:rPr>
        <w:t>.</w:t>
      </w:r>
    </w:p>
  </w:footnote>
  <w:footnote w:id="294">
    <w:p w14:paraId="7D108575" w14:textId="533A8FB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295">
    <w:p w14:paraId="7DDCD5BB" w14:textId="5E64241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296">
    <w:p w14:paraId="1C006D6F" w14:textId="213C53B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297">
    <w:p w14:paraId="5772F099" w14:textId="1CCBD26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298">
    <w:p w14:paraId="6F84FD0A" w14:textId="592BC02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299">
    <w:p w14:paraId="5BEC5235" w14:textId="6696339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468, 30.12.2021., 1. lpp., ELI: </w:t>
      </w:r>
      <w:r>
        <w:fldChar w:fldCharType="begin"/>
      </w:r>
      <w:r w:rsidRPr="00690DAC">
        <w:rPr>
          <w:lang w:val="fi-FI"/>
        </w:rPr>
        <w:instrText>HYPERLINK "http://data.europa.eu/eli/reg/2021/2303/oj"</w:instrText>
      </w:r>
      <w:r>
        <w:fldChar w:fldCharType="separate"/>
      </w:r>
      <w:r w:rsidRPr="00D106D3">
        <w:rPr>
          <w:rStyle w:val="Hyperlink"/>
          <w:sz w:val="24"/>
          <w:lang w:val="lv-LV"/>
        </w:rPr>
        <w:t>http://data.europa.eu/eli/reg/2021/2303/oj</w:t>
      </w:r>
      <w:r>
        <w:fldChar w:fldCharType="end"/>
      </w:r>
      <w:r w:rsidRPr="00D106D3">
        <w:rPr>
          <w:sz w:val="24"/>
          <w:lang w:val="lv-LV"/>
        </w:rPr>
        <w:t>.</w:t>
      </w:r>
    </w:p>
  </w:footnote>
  <w:footnote w:id="300">
    <w:p w14:paraId="141A928C" w14:textId="71C8D3B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01">
    <w:p w14:paraId="5A74CFC9" w14:textId="1A244FC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02">
    <w:p w14:paraId="4E54446F" w14:textId="7818DD0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03">
    <w:p w14:paraId="11D23E2E" w14:textId="0962AC1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04">
    <w:p w14:paraId="49A814BF" w14:textId="4073578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05">
    <w:p w14:paraId="5030B967" w14:textId="799050C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295, 21.11.2018., 99. lpp., ELI: </w:t>
      </w:r>
      <w:r>
        <w:fldChar w:fldCharType="begin"/>
      </w:r>
      <w:r w:rsidRPr="00690DAC">
        <w:rPr>
          <w:lang w:val="fi-FI"/>
        </w:rPr>
        <w:instrText>HYPERLINK "http://data.europa.eu/eli/reg/2018/1726/oj"</w:instrText>
      </w:r>
      <w:r>
        <w:fldChar w:fldCharType="separate"/>
      </w:r>
      <w:r w:rsidRPr="00D106D3">
        <w:rPr>
          <w:rStyle w:val="Hyperlink"/>
          <w:sz w:val="24"/>
          <w:lang w:val="lv-LV"/>
        </w:rPr>
        <w:t>http://data.europa.eu/eli/reg/2018/1726/oj</w:t>
      </w:r>
      <w:r>
        <w:fldChar w:fldCharType="end"/>
      </w:r>
      <w:r w:rsidRPr="00D106D3">
        <w:rPr>
          <w:sz w:val="24"/>
          <w:lang w:val="lv-LV"/>
        </w:rPr>
        <w:t>.</w:t>
      </w:r>
    </w:p>
  </w:footnote>
  <w:footnote w:id="306">
    <w:p w14:paraId="78459256" w14:textId="06D96F9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07">
    <w:p w14:paraId="200BD8FE" w14:textId="2EC8ED6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08">
    <w:p w14:paraId="0190438C" w14:textId="218AF42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09">
    <w:p w14:paraId="167BF8FA" w14:textId="38BFDD5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10">
    <w:p w14:paraId="2D0B3B41" w14:textId="148E11E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11">
    <w:p w14:paraId="22ED06F1" w14:textId="3C93CA0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295, 21.11.2018., 99. lpp., ELI: </w:t>
      </w:r>
      <w:r>
        <w:fldChar w:fldCharType="begin"/>
      </w:r>
      <w:r w:rsidRPr="00690DAC">
        <w:rPr>
          <w:lang w:val="fi-FI"/>
        </w:rPr>
        <w:instrText>HYPERLINK "http://data.europa.eu/eli/reg/2018/1726/oj"</w:instrText>
      </w:r>
      <w:r>
        <w:fldChar w:fldCharType="separate"/>
      </w:r>
      <w:r w:rsidRPr="00D106D3">
        <w:rPr>
          <w:rStyle w:val="Hyperlink"/>
          <w:sz w:val="24"/>
          <w:lang w:val="lv-LV"/>
        </w:rPr>
        <w:t>http://data.europa.eu/eli/reg/2018/1726/oj</w:t>
      </w:r>
      <w:r>
        <w:fldChar w:fldCharType="end"/>
      </w:r>
      <w:r w:rsidRPr="00D106D3">
        <w:rPr>
          <w:sz w:val="24"/>
          <w:lang w:val="lv-LV"/>
        </w:rPr>
        <w:t>.</w:t>
      </w:r>
    </w:p>
  </w:footnote>
  <w:footnote w:id="312">
    <w:p w14:paraId="7A3010F8" w14:textId="00B9F81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13">
    <w:p w14:paraId="2107F23E" w14:textId="11F9767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14">
    <w:p w14:paraId="48E50539" w14:textId="0134C71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15">
    <w:p w14:paraId="1506273D" w14:textId="5BB4B48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16">
    <w:p w14:paraId="281C063C" w14:textId="068BAD2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17">
    <w:p w14:paraId="5627F2AE" w14:textId="4C4BF68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30, 31.1.2019., 58. lpp., ELI: </w:t>
      </w:r>
      <w:r>
        <w:fldChar w:fldCharType="begin"/>
      </w:r>
      <w:r w:rsidRPr="00690DAC">
        <w:rPr>
          <w:lang w:val="fi-FI"/>
        </w:rPr>
        <w:instrText>HYPERLINK "http://data.europa.eu/eli/reg/2019/126/oj"</w:instrText>
      </w:r>
      <w:r>
        <w:fldChar w:fldCharType="separate"/>
      </w:r>
      <w:r w:rsidRPr="00D106D3">
        <w:rPr>
          <w:rStyle w:val="Hyperlink"/>
          <w:sz w:val="24"/>
          <w:lang w:val="lv-LV"/>
        </w:rPr>
        <w:t>http://data.europa.eu/eli/reg/2019/126/oj</w:t>
      </w:r>
      <w:r>
        <w:fldChar w:fldCharType="end"/>
      </w:r>
      <w:r w:rsidRPr="00D106D3">
        <w:rPr>
          <w:sz w:val="24"/>
          <w:lang w:val="lv-LV"/>
        </w:rPr>
        <w:t>.</w:t>
      </w:r>
    </w:p>
  </w:footnote>
  <w:footnote w:id="318">
    <w:p w14:paraId="5595D09B" w14:textId="19C52C6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19">
    <w:p w14:paraId="6F70AA84" w14:textId="0AC7A6D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20">
    <w:p w14:paraId="504A6C7C" w14:textId="4993EBA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21">
    <w:p w14:paraId="5230A57E" w14:textId="1FBAFE3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22">
    <w:p w14:paraId="2F49A173" w14:textId="781C9E7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23">
    <w:p w14:paraId="36C387FA" w14:textId="05697BE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30, 31.1.2019., 58. lpp., ELI: </w:t>
      </w:r>
      <w:r>
        <w:fldChar w:fldCharType="begin"/>
      </w:r>
      <w:r w:rsidRPr="00690DAC">
        <w:rPr>
          <w:lang w:val="fi-FI"/>
        </w:rPr>
        <w:instrText>HYPERLINK "http://data.europa.eu/eli/reg/2019/126/oj"</w:instrText>
      </w:r>
      <w:r>
        <w:fldChar w:fldCharType="separate"/>
      </w:r>
      <w:r w:rsidRPr="00D106D3">
        <w:rPr>
          <w:rStyle w:val="Hyperlink"/>
          <w:sz w:val="24"/>
          <w:lang w:val="lv-LV"/>
        </w:rPr>
        <w:t>http://data.europa.eu/eli/reg/2019/126/oj</w:t>
      </w:r>
      <w:r>
        <w:fldChar w:fldCharType="end"/>
      </w:r>
      <w:r w:rsidRPr="00D106D3">
        <w:rPr>
          <w:sz w:val="24"/>
          <w:lang w:val="lv-LV"/>
        </w:rPr>
        <w:t>.</w:t>
      </w:r>
    </w:p>
  </w:footnote>
  <w:footnote w:id="324">
    <w:p w14:paraId="06445B70" w14:textId="0023597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25">
    <w:p w14:paraId="07749475" w14:textId="6F3C681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26">
    <w:p w14:paraId="1E700BE5" w14:textId="6DF2BEE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27">
    <w:p w14:paraId="4B851D4B" w14:textId="3659C98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28">
    <w:p w14:paraId="4CC19C90" w14:textId="357EFA9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29">
    <w:p w14:paraId="3AA023BE" w14:textId="57B1F04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30, 31.1.2019., 74. lpp., ELI: </w:t>
      </w:r>
      <w:r>
        <w:fldChar w:fldCharType="begin"/>
      </w:r>
      <w:r w:rsidRPr="00690DAC">
        <w:rPr>
          <w:lang w:val="fi-FI"/>
        </w:rPr>
        <w:instrText>HYPERLINK "http://data.europa.eu/eli/reg/2019/127/oj"</w:instrText>
      </w:r>
      <w:r>
        <w:fldChar w:fldCharType="separate"/>
      </w:r>
      <w:r w:rsidRPr="00D106D3">
        <w:rPr>
          <w:rStyle w:val="Hyperlink"/>
          <w:sz w:val="24"/>
          <w:lang w:val="lv-LV"/>
        </w:rPr>
        <w:t>http://data.europa.eu/eli/reg/2019/127/oj</w:t>
      </w:r>
      <w:r>
        <w:fldChar w:fldCharType="end"/>
      </w:r>
      <w:r w:rsidRPr="00D106D3">
        <w:rPr>
          <w:sz w:val="24"/>
          <w:lang w:val="lv-LV"/>
        </w:rPr>
        <w:t>.</w:t>
      </w:r>
    </w:p>
  </w:footnote>
  <w:footnote w:id="330">
    <w:p w14:paraId="2C880B4A" w14:textId="66125D7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31">
    <w:p w14:paraId="7A25D27F" w14:textId="4AF3C4C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32">
    <w:p w14:paraId="18095052" w14:textId="21CAC28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33">
    <w:p w14:paraId="385B08C5" w14:textId="646FB64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34">
    <w:p w14:paraId="176C4323" w14:textId="2979639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35">
    <w:p w14:paraId="2F5859D3" w14:textId="0900CB6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30, 31.1.2019., 74. lpp., ELI: </w:t>
      </w:r>
      <w:r>
        <w:fldChar w:fldCharType="begin"/>
      </w:r>
      <w:r w:rsidRPr="00690DAC">
        <w:rPr>
          <w:lang w:val="fi-FI"/>
        </w:rPr>
        <w:instrText>HYPERLINK "http://data.europa.eu/eli/reg/2019/127/oj"</w:instrText>
      </w:r>
      <w:r>
        <w:fldChar w:fldCharType="separate"/>
      </w:r>
      <w:r w:rsidRPr="00D106D3">
        <w:rPr>
          <w:rStyle w:val="Hyperlink"/>
          <w:sz w:val="24"/>
          <w:lang w:val="lv-LV"/>
        </w:rPr>
        <w:t>http://data.europa.eu/eli/reg/2019/127/oj</w:t>
      </w:r>
      <w:r>
        <w:fldChar w:fldCharType="end"/>
      </w:r>
      <w:r w:rsidRPr="00D106D3">
        <w:rPr>
          <w:sz w:val="24"/>
          <w:lang w:val="lv-LV"/>
        </w:rPr>
        <w:t>.</w:t>
      </w:r>
    </w:p>
  </w:footnote>
  <w:footnote w:id="336">
    <w:p w14:paraId="6B7AD1C3" w14:textId="6F090C2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37">
    <w:p w14:paraId="61CE0512" w14:textId="1EE51FE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38">
    <w:p w14:paraId="37A57EA6" w14:textId="6124ED2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39">
    <w:p w14:paraId="62F86A7D" w14:textId="7B984D6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40">
    <w:p w14:paraId="6F1A227C" w14:textId="441631B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41">
    <w:p w14:paraId="58A9F086" w14:textId="76A2C6C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295, 21.11.2018., 138. lpp., ELI: </w:t>
      </w:r>
      <w:r>
        <w:fldChar w:fldCharType="begin"/>
      </w:r>
      <w:r w:rsidRPr="00690DAC">
        <w:rPr>
          <w:lang w:val="fi-FI"/>
        </w:rPr>
        <w:instrText>HYPERLINK "http://data.europa.eu/eli/reg/2018/1727/oj"</w:instrText>
      </w:r>
      <w:r>
        <w:fldChar w:fldCharType="separate"/>
      </w:r>
      <w:r w:rsidRPr="00D106D3">
        <w:rPr>
          <w:rStyle w:val="Hyperlink"/>
          <w:sz w:val="24"/>
          <w:lang w:val="lv-LV"/>
        </w:rPr>
        <w:t>http://data.europa.eu/eli/reg/2018/1727/oj</w:t>
      </w:r>
      <w:r>
        <w:fldChar w:fldCharType="end"/>
      </w:r>
      <w:r w:rsidRPr="00D106D3">
        <w:rPr>
          <w:sz w:val="24"/>
          <w:lang w:val="lv-LV"/>
        </w:rPr>
        <w:t>.</w:t>
      </w:r>
    </w:p>
  </w:footnote>
  <w:footnote w:id="342">
    <w:p w14:paraId="0A7D19BA" w14:textId="13633D0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43">
    <w:p w14:paraId="7C50AE43" w14:textId="0355D64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44">
    <w:p w14:paraId="3E3A3B4C" w14:textId="0993900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45">
    <w:p w14:paraId="5B01AF4B" w14:textId="4B09475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46">
    <w:p w14:paraId="6AAEC488" w14:textId="26873CB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47">
    <w:p w14:paraId="4DB69203" w14:textId="3CDF5B3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295, 21.11.2018., 138. lpp., ELI: </w:t>
      </w:r>
      <w:r>
        <w:fldChar w:fldCharType="begin"/>
      </w:r>
      <w:r w:rsidRPr="00690DAC">
        <w:rPr>
          <w:lang w:val="fi-FI"/>
        </w:rPr>
        <w:instrText>HYPERLINK "http://data.europa.eu/eli/reg/2018/1727/oj"</w:instrText>
      </w:r>
      <w:r>
        <w:fldChar w:fldCharType="separate"/>
      </w:r>
      <w:r w:rsidRPr="00D106D3">
        <w:rPr>
          <w:rStyle w:val="Hyperlink"/>
          <w:sz w:val="24"/>
          <w:lang w:val="lv-LV"/>
        </w:rPr>
        <w:t>http://data.europa.eu/eli/reg/2018/1727/oj</w:t>
      </w:r>
      <w:r>
        <w:fldChar w:fldCharType="end"/>
      </w:r>
      <w:r w:rsidRPr="00D106D3">
        <w:rPr>
          <w:sz w:val="24"/>
          <w:lang w:val="lv-LV"/>
        </w:rPr>
        <w:t>.</w:t>
      </w:r>
    </w:p>
  </w:footnote>
  <w:footnote w:id="348">
    <w:p w14:paraId="700C598C" w14:textId="3900B67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49">
    <w:p w14:paraId="24D4559C" w14:textId="40A4ED0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50">
    <w:p w14:paraId="00E4FDFE" w14:textId="6A1DE43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51">
    <w:p w14:paraId="6BF0B537" w14:textId="7D01784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52">
    <w:p w14:paraId="0C64E4D0" w14:textId="00DD3D4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53">
    <w:p w14:paraId="15AAB8E3" w14:textId="2B22254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135, 24.5.2016., 53. lpp., ELI: </w:t>
      </w:r>
      <w:r>
        <w:fldChar w:fldCharType="begin"/>
      </w:r>
      <w:r w:rsidRPr="00690DAC">
        <w:rPr>
          <w:lang w:val="fi-FI"/>
        </w:rPr>
        <w:instrText>HYPERLINK "http://data.europa.eu/eli/reg/2016/794/oj"</w:instrText>
      </w:r>
      <w:r>
        <w:fldChar w:fldCharType="separate"/>
      </w:r>
      <w:r w:rsidRPr="00D106D3">
        <w:rPr>
          <w:rStyle w:val="Hyperlink"/>
          <w:sz w:val="24"/>
          <w:lang w:val="lv-LV"/>
        </w:rPr>
        <w:t>http://data.europa.eu/eli/reg/2016/794/oj</w:t>
      </w:r>
      <w:r>
        <w:fldChar w:fldCharType="end"/>
      </w:r>
      <w:r w:rsidRPr="00D106D3">
        <w:rPr>
          <w:sz w:val="24"/>
          <w:lang w:val="lv-LV"/>
        </w:rPr>
        <w:t>.</w:t>
      </w:r>
    </w:p>
  </w:footnote>
  <w:footnote w:id="354">
    <w:p w14:paraId="51838E37" w14:textId="528388F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55">
    <w:p w14:paraId="3EF3C533" w14:textId="38038A2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56">
    <w:p w14:paraId="28E0FA9D" w14:textId="785979A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57">
    <w:p w14:paraId="59FB1EA4" w14:textId="5875968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58">
    <w:p w14:paraId="11D36FF8" w14:textId="4E5464D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59">
    <w:p w14:paraId="777B3044" w14:textId="7F6C3C2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135, 24.5.2016., 53. lpp., ELI: </w:t>
      </w:r>
      <w:r>
        <w:fldChar w:fldCharType="begin"/>
      </w:r>
      <w:r w:rsidRPr="00690DAC">
        <w:rPr>
          <w:lang w:val="fi-FI"/>
        </w:rPr>
        <w:instrText>HYPERLINK "http://data.europa.eu/eli/reg/2016/794/oj"</w:instrText>
      </w:r>
      <w:r>
        <w:fldChar w:fldCharType="separate"/>
      </w:r>
      <w:r w:rsidRPr="00D106D3">
        <w:rPr>
          <w:rStyle w:val="Hyperlink"/>
          <w:sz w:val="24"/>
          <w:lang w:val="lv-LV"/>
        </w:rPr>
        <w:t>http://data.europa.eu/eli/reg/2016/794/oj</w:t>
      </w:r>
      <w:r>
        <w:fldChar w:fldCharType="end"/>
      </w:r>
      <w:r w:rsidRPr="00D106D3">
        <w:rPr>
          <w:sz w:val="24"/>
          <w:lang w:val="lv-LV"/>
        </w:rPr>
        <w:t>.</w:t>
      </w:r>
    </w:p>
  </w:footnote>
  <w:footnote w:id="360">
    <w:p w14:paraId="4BF7A33A" w14:textId="634FD43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61">
    <w:p w14:paraId="763DD217" w14:textId="187AAD4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62">
    <w:p w14:paraId="3CB1BD62" w14:textId="7FFCFC9D"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63">
    <w:p w14:paraId="09BB2A5A" w14:textId="749D845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64">
    <w:p w14:paraId="6C5478B0" w14:textId="0A9FC5A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65">
    <w:p w14:paraId="7FA6E867" w14:textId="632A783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170, 12.5.2021., 69. lpp., ELI: </w:t>
      </w:r>
      <w:r>
        <w:fldChar w:fldCharType="begin"/>
      </w:r>
      <w:r w:rsidRPr="00690DAC">
        <w:rPr>
          <w:lang w:val="fi-FI"/>
        </w:rPr>
        <w:instrText>HYPERLINK "http://data.europa.eu/eli/reg/2021/696/oj"</w:instrText>
      </w:r>
      <w:r>
        <w:fldChar w:fldCharType="separate"/>
      </w:r>
      <w:r w:rsidRPr="00D106D3">
        <w:rPr>
          <w:rStyle w:val="Hyperlink"/>
          <w:sz w:val="24"/>
          <w:lang w:val="lv-LV"/>
        </w:rPr>
        <w:t>http://data.europa.eu/eli/reg/2021/696/oj</w:t>
      </w:r>
      <w:r>
        <w:fldChar w:fldCharType="end"/>
      </w:r>
      <w:r w:rsidRPr="00D106D3">
        <w:rPr>
          <w:sz w:val="24"/>
          <w:lang w:val="lv-LV"/>
        </w:rPr>
        <w:t>.</w:t>
      </w:r>
    </w:p>
  </w:footnote>
  <w:footnote w:id="366">
    <w:p w14:paraId="412EA9FC" w14:textId="4F13B99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67">
    <w:p w14:paraId="363BF80C" w14:textId="3107C66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68">
    <w:p w14:paraId="35A7B37C" w14:textId="6007555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69">
    <w:p w14:paraId="7D9D6EB0" w14:textId="7BC9C92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70">
    <w:p w14:paraId="1BAC638E" w14:textId="047CDA3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71">
    <w:p w14:paraId="3F73FDC0" w14:textId="1B3E8D8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170, 12.5.2021., 69. lpp., ELI: </w:t>
      </w:r>
      <w:r>
        <w:fldChar w:fldCharType="begin"/>
      </w:r>
      <w:r w:rsidRPr="00690DAC">
        <w:rPr>
          <w:lang w:val="fi-FI"/>
        </w:rPr>
        <w:instrText>HYPERLINK "http://data.europa.eu/eli/reg/2021/696/oj"</w:instrText>
      </w:r>
      <w:r>
        <w:fldChar w:fldCharType="separate"/>
      </w:r>
      <w:r w:rsidRPr="00D106D3">
        <w:rPr>
          <w:rStyle w:val="Hyperlink"/>
          <w:sz w:val="24"/>
          <w:lang w:val="lv-LV"/>
        </w:rPr>
        <w:t>http://data.europa.eu/eli/reg/2021/696/oj</w:t>
      </w:r>
      <w:r>
        <w:fldChar w:fldCharType="end"/>
      </w:r>
      <w:r w:rsidRPr="00D106D3">
        <w:rPr>
          <w:sz w:val="24"/>
          <w:lang w:val="lv-LV"/>
        </w:rPr>
        <w:t>.</w:t>
      </w:r>
    </w:p>
  </w:footnote>
  <w:footnote w:id="372">
    <w:p w14:paraId="5FDA8D4F" w14:textId="05198C9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73">
    <w:p w14:paraId="5E6BF261" w14:textId="0B23A03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74">
    <w:p w14:paraId="6E3E558B" w14:textId="7A6D058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75">
    <w:p w14:paraId="68649B52" w14:textId="1652C5E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76">
    <w:p w14:paraId="76A7934B" w14:textId="4673156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77">
    <w:p w14:paraId="15CAA3C7" w14:textId="7F52B47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53, 22.2.2007., 1. lpp., ELI: </w:t>
      </w:r>
      <w:r>
        <w:fldChar w:fldCharType="begin"/>
      </w:r>
      <w:r w:rsidRPr="00690DAC">
        <w:rPr>
          <w:lang w:val="fi-FI"/>
        </w:rPr>
        <w:instrText>HYPERLINK "http://data.europa.eu/eli/reg/2007/168/oj"</w:instrText>
      </w:r>
      <w:r>
        <w:fldChar w:fldCharType="separate"/>
      </w:r>
      <w:r w:rsidRPr="00D106D3">
        <w:rPr>
          <w:rStyle w:val="Hyperlink"/>
          <w:sz w:val="24"/>
          <w:lang w:val="lv-LV"/>
        </w:rPr>
        <w:t>http://data.europa.eu/eli/reg/2007/168/oj</w:t>
      </w:r>
      <w:r>
        <w:fldChar w:fldCharType="end"/>
      </w:r>
      <w:r w:rsidRPr="00D106D3">
        <w:rPr>
          <w:sz w:val="24"/>
          <w:lang w:val="lv-LV"/>
        </w:rPr>
        <w:t>.</w:t>
      </w:r>
    </w:p>
  </w:footnote>
  <w:footnote w:id="378">
    <w:p w14:paraId="19F9C2C4" w14:textId="0FFDC93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79">
    <w:p w14:paraId="1DB198E5" w14:textId="74C2228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80">
    <w:p w14:paraId="41434BCE" w14:textId="6BD41EF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81">
    <w:p w14:paraId="4DBFE3AB" w14:textId="5020170C"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82">
    <w:p w14:paraId="558DFC0C" w14:textId="5B8C4C6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83">
    <w:p w14:paraId="430B4BE6" w14:textId="63E0CFF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53, 22.2.2007., 1. lpp., ELI: </w:t>
      </w:r>
      <w:r>
        <w:fldChar w:fldCharType="begin"/>
      </w:r>
      <w:r w:rsidRPr="00690DAC">
        <w:rPr>
          <w:lang w:val="fi-FI"/>
        </w:rPr>
        <w:instrText>HYPERLINK "http://data.europa.eu/eli/reg/2007/168/oj"</w:instrText>
      </w:r>
      <w:r>
        <w:fldChar w:fldCharType="separate"/>
      </w:r>
      <w:r w:rsidRPr="00D106D3">
        <w:rPr>
          <w:rStyle w:val="Hyperlink"/>
          <w:sz w:val="24"/>
          <w:lang w:val="lv-LV"/>
        </w:rPr>
        <w:t>http://data.europa.eu/eli/reg/2007/168/oj</w:t>
      </w:r>
      <w:r>
        <w:fldChar w:fldCharType="end"/>
      </w:r>
      <w:r w:rsidRPr="00D106D3">
        <w:rPr>
          <w:sz w:val="24"/>
          <w:lang w:val="lv-LV"/>
        </w:rPr>
        <w:t>.</w:t>
      </w:r>
    </w:p>
  </w:footnote>
  <w:footnote w:id="384">
    <w:p w14:paraId="236B93D8" w14:textId="76BE5DF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85">
    <w:p w14:paraId="71137E69" w14:textId="59CD30B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86">
    <w:p w14:paraId="13E58426" w14:textId="0445B64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87">
    <w:p w14:paraId="670B5EF9" w14:textId="77846FF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88">
    <w:p w14:paraId="3A476700" w14:textId="63A0D526"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89">
    <w:p w14:paraId="60473E18" w14:textId="0D5A0C6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295, 14.11.2019., 1. lpp., ELI: </w:t>
      </w:r>
      <w:r>
        <w:fldChar w:fldCharType="begin"/>
      </w:r>
      <w:r w:rsidRPr="00690DAC">
        <w:rPr>
          <w:lang w:val="fi-FI"/>
        </w:rPr>
        <w:instrText>HYPERLINK "http://data.europa.eu/eli/reg/2019/1896/oj"</w:instrText>
      </w:r>
      <w:r>
        <w:fldChar w:fldCharType="separate"/>
      </w:r>
      <w:r w:rsidRPr="00D106D3">
        <w:rPr>
          <w:rStyle w:val="Hyperlink"/>
          <w:sz w:val="24"/>
          <w:lang w:val="lv-LV"/>
        </w:rPr>
        <w:t>http://data.europa.eu/eli/reg/2019/1896/oj</w:t>
      </w:r>
      <w:r>
        <w:fldChar w:fldCharType="end"/>
      </w:r>
      <w:r w:rsidRPr="00D106D3">
        <w:rPr>
          <w:sz w:val="24"/>
          <w:lang w:val="lv-LV"/>
        </w:rPr>
        <w:t>.</w:t>
      </w:r>
    </w:p>
  </w:footnote>
  <w:footnote w:id="390">
    <w:p w14:paraId="2826096B" w14:textId="12BED2A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91">
    <w:p w14:paraId="56441A86" w14:textId="69B002E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C/2025/5734, 30.10.2025., ELI: </w:t>
      </w:r>
      <w:r>
        <w:fldChar w:fldCharType="begin"/>
      </w:r>
      <w:r w:rsidRPr="00690DAC">
        <w:rPr>
          <w:lang w:val="da-DK"/>
        </w:rPr>
        <w:instrText>HYPERLINK "http://data.europa.eu/eli/C/2025/5734/oj" \t "_blank" \o "Nodrošina piekļuvi šim dokumentam, izmantojot tā ELI URI."</w:instrText>
      </w:r>
      <w:r>
        <w:fldChar w:fldCharType="separate"/>
      </w:r>
      <w:r w:rsidRPr="00D106D3">
        <w:rPr>
          <w:rStyle w:val="Hyperlink"/>
          <w:sz w:val="24"/>
          <w:lang w:val="lv-LV"/>
        </w:rPr>
        <w:t>http://data.europa.eu/eli/C/2025/5734/oj</w:t>
      </w:r>
      <w:r>
        <w:fldChar w:fldCharType="end"/>
      </w:r>
      <w:r w:rsidRPr="00D106D3">
        <w:rPr>
          <w:sz w:val="24"/>
          <w:lang w:val="lv-LV"/>
        </w:rPr>
        <w:t>.</w:t>
      </w:r>
    </w:p>
  </w:footnote>
  <w:footnote w:id="392">
    <w:p w14:paraId="0DBA598E" w14:textId="7DA7DF4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OV C, C/2025/5407, 13.10.2025., ELI: </w:t>
      </w:r>
      <w:r>
        <w:fldChar w:fldCharType="begin"/>
      </w:r>
      <w:r w:rsidRPr="00690DAC">
        <w:rPr>
          <w:lang w:val="da-DK"/>
        </w:rPr>
        <w:instrText>HYPERLINK "http://data.europa.eu/eli/C/2025/5407/oj" \t "_blank" \o "Nodrošina piekļuvi šim dokumentam, izmantojot tā ELI URI."</w:instrText>
      </w:r>
      <w:r>
        <w:fldChar w:fldCharType="separate"/>
      </w:r>
      <w:r w:rsidRPr="00D106D3">
        <w:rPr>
          <w:rStyle w:val="Hyperlink"/>
          <w:sz w:val="24"/>
          <w:lang w:val="lv-LV"/>
        </w:rPr>
        <w:t>http://data.europa.eu/eli/C/2025/5407/oj</w:t>
      </w:r>
      <w:r>
        <w:fldChar w:fldCharType="end"/>
      </w:r>
      <w:r w:rsidRPr="00D106D3">
        <w:rPr>
          <w:sz w:val="24"/>
          <w:lang w:val="lv-LV"/>
        </w:rPr>
        <w:t>.</w:t>
      </w:r>
    </w:p>
  </w:footnote>
  <w:footnote w:id="393">
    <w:p w14:paraId="410A4C04" w14:textId="5E7643C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193, 30.7.2018., 1. lpp., ELI: </w:t>
      </w:r>
      <w:r>
        <w:fldChar w:fldCharType="begin"/>
      </w:r>
      <w:r w:rsidRPr="00690DAC">
        <w:rPr>
          <w:lang w:val="fi-FI"/>
        </w:rPr>
        <w:instrText>HYPERLINK "http://data.europa.eu/eli/reg/2018/1046/oj"</w:instrText>
      </w:r>
      <w:r>
        <w:fldChar w:fldCharType="separate"/>
      </w:r>
      <w:r w:rsidRPr="00D106D3">
        <w:rPr>
          <w:rStyle w:val="Hyperlink"/>
          <w:sz w:val="24"/>
          <w:lang w:val="lv-LV"/>
        </w:rPr>
        <w:t>http://data.europa.eu/eli/reg/2018/1046/oj</w:t>
      </w:r>
      <w:r>
        <w:fldChar w:fldCharType="end"/>
      </w:r>
      <w:r w:rsidRPr="00D106D3">
        <w:rPr>
          <w:sz w:val="24"/>
          <w:lang w:val="lv-LV"/>
        </w:rPr>
        <w:t>.</w:t>
      </w:r>
    </w:p>
  </w:footnote>
  <w:footnote w:id="394">
    <w:p w14:paraId="43130E78" w14:textId="5828047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2024/2509, 26.9.2024., ELI: </w:t>
      </w:r>
      <w:r>
        <w:fldChar w:fldCharType="begin"/>
      </w:r>
      <w:r w:rsidRPr="00690DAC">
        <w:rPr>
          <w:lang w:val="fi-FI"/>
        </w:rPr>
        <w:instrText>HYPERLINK "http://data.europa.eu/eli/reg/2024/2509/oj"</w:instrText>
      </w:r>
      <w:r>
        <w:fldChar w:fldCharType="separate"/>
      </w:r>
      <w:r w:rsidRPr="00D106D3">
        <w:rPr>
          <w:rStyle w:val="Hyperlink"/>
          <w:sz w:val="24"/>
          <w:lang w:val="lv-LV"/>
        </w:rPr>
        <w:t>http://data.europa.eu/eli/reg/2024/2509/oj</w:t>
      </w:r>
      <w:r>
        <w:fldChar w:fldCharType="end"/>
      </w:r>
      <w:r w:rsidRPr="00D106D3">
        <w:rPr>
          <w:sz w:val="24"/>
          <w:lang w:val="lv-LV"/>
        </w:rPr>
        <w:t>.</w:t>
      </w:r>
    </w:p>
  </w:footnote>
  <w:footnote w:id="395">
    <w:p w14:paraId="4D1EE357" w14:textId="15056A3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295, 14.11.2019., 1. lpp., ELI: </w:t>
      </w:r>
      <w:r>
        <w:fldChar w:fldCharType="begin"/>
      </w:r>
      <w:r w:rsidRPr="00690DAC">
        <w:rPr>
          <w:lang w:val="fi-FI"/>
        </w:rPr>
        <w:instrText>HYPERLINK "http://data.europa.eu/eli/reg/2019/1896/oj"</w:instrText>
      </w:r>
      <w:r>
        <w:fldChar w:fldCharType="separate"/>
      </w:r>
      <w:r w:rsidRPr="00D106D3">
        <w:rPr>
          <w:rStyle w:val="Hyperlink"/>
          <w:sz w:val="24"/>
          <w:lang w:val="lv-LV"/>
        </w:rPr>
        <w:t>http://data.europa.eu/eli/reg/2019/1896/oj</w:t>
      </w:r>
      <w:r>
        <w:fldChar w:fldCharType="end"/>
      </w:r>
      <w:r w:rsidRPr="00D106D3">
        <w:rPr>
          <w:sz w:val="24"/>
          <w:lang w:val="lv-LV"/>
        </w:rPr>
        <w:t>.</w:t>
      </w:r>
    </w:p>
  </w:footnote>
  <w:footnote w:id="396">
    <w:p w14:paraId="350460F7" w14:textId="61D68B1E"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OV L 122, 10.5.2019., 1. lpp., ELI: </w:t>
      </w:r>
      <w:r>
        <w:fldChar w:fldCharType="begin"/>
      </w:r>
      <w:r w:rsidRPr="00690DAC">
        <w:rPr>
          <w:lang w:val="fi-FI"/>
        </w:rPr>
        <w:instrText>HYPERLINK "http://data.europa.eu/eli/reg_del/2019/715/oj"</w:instrText>
      </w:r>
      <w:r>
        <w:fldChar w:fldCharType="separate"/>
      </w:r>
      <w:r w:rsidRPr="00D106D3">
        <w:rPr>
          <w:rStyle w:val="Hyperlink"/>
          <w:sz w:val="24"/>
          <w:lang w:val="lv-LV"/>
        </w:rPr>
        <w:t>http://data.europa.eu/eli/reg_del/2019/715/oj</w:t>
      </w:r>
      <w:r>
        <w:fldChar w:fldCharType="end"/>
      </w:r>
      <w:r w:rsidRPr="00D106D3">
        <w:rPr>
          <w:sz w:val="24"/>
          <w:lang w:val="lv-LV"/>
        </w:rPr>
        <w:t>.</w:t>
      </w:r>
    </w:p>
  </w:footnote>
  <w:footnote w:id="397">
    <w:p w14:paraId="0408ADD7" w14:textId="201458B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Eiropas Parlamenta, ES Padomes un Eiropas Komisijas 2012. gada jūlija Kopīgais paziņojums par decentralizētām aģentūrām (</w:t>
      </w:r>
      <w:r>
        <w:fldChar w:fldCharType="begin"/>
      </w:r>
      <w:r w:rsidRPr="00690DAC">
        <w:rPr>
          <w:lang w:val="lv-LV"/>
        </w:rPr>
        <w:instrText>HYPERLINK "https://european-union.europa.eu/document/download/d4199ff4-1e3d-45e6-af7e-90cf1a7b10bc_en?filename=joint_statement_on_decentralised_agencies_en.pdf"</w:instrText>
      </w:r>
      <w:r>
        <w:fldChar w:fldCharType="separate"/>
      </w:r>
      <w:r w:rsidRPr="00D106D3">
        <w:rPr>
          <w:rStyle w:val="Hyperlink"/>
          <w:sz w:val="24"/>
          <w:lang w:val="lv-LV"/>
        </w:rPr>
        <w:t>https://european-union.europa.eu/document/download/d4199ff4-1e3d-45e6-af7e-90cf1a7b10bc_en?filename=joint_statement_on_decentralised_agencies_en.pdf</w:t>
      </w:r>
      <w:r>
        <w:fldChar w:fldCharType="end"/>
      </w:r>
      <w:r w:rsidRPr="00D106D3">
        <w:rPr>
          <w:sz w:val="24"/>
          <w:lang w:val="lv-LV"/>
        </w:rPr>
        <w:t>).</w:t>
      </w:r>
    </w:p>
  </w:footnote>
  <w:footnote w:id="398">
    <w:p w14:paraId="5C01B6DE" w14:textId="3667BE78"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fldChar w:fldCharType="begin"/>
      </w:r>
      <w:r w:rsidRPr="00690DAC">
        <w:rPr>
          <w:lang w:val="lv-LV"/>
        </w:rPr>
        <w:instrText>HYPERLINK "https://agencies-network.europa.eu/document/download/04667fb8-be05-4818-9f62-0cb99f0c5538_en?filename=EUAN%20WG%25"</w:instrText>
      </w:r>
      <w:r>
        <w:fldChar w:fldCharType="separate"/>
      </w:r>
      <w:r w:rsidRPr="00D106D3">
        <w:rPr>
          <w:rStyle w:val="Hyperlink"/>
          <w:sz w:val="24"/>
          <w:lang w:val="lv-LV"/>
        </w:rPr>
        <w:t>https://agencies-network.europa.eu/document/download/04667fb8-be05-4818-9f62-0cb99f0c5538_en?filename=EUAN%20WG%25</w:t>
      </w:r>
      <w:r>
        <w:fldChar w:fldCharType="end"/>
      </w:r>
      <w:r w:rsidRPr="00D106D3">
        <w:rPr>
          <w:sz w:val="24"/>
          <w:lang w:val="lv-LV"/>
        </w:rPr>
        <w:t>.</w:t>
      </w:r>
    </w:p>
  </w:footnote>
  <w:footnote w:id="399">
    <w:p w14:paraId="48D15178" w14:textId="48A60430"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Dati saskaņā ar 2024. finanšu gada ieņēmumu un izdevumu pārskatiem, kas publicēti OV par katru konkrēto aģentūru.</w:t>
      </w:r>
    </w:p>
  </w:footnote>
  <w:footnote w:id="400">
    <w:p w14:paraId="212F34DF" w14:textId="228C2459"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No iepriekšējā finanšu gada pārnestais pārpalikums ir atskaitīts.</w:t>
      </w:r>
    </w:p>
  </w:footnote>
  <w:footnote w:id="401">
    <w:p w14:paraId="2B0C2568" w14:textId="093C3731"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Budžeta korekcijas, kas atbilst atskaitītajam uzkrātajam pārpalikumam.</w:t>
      </w:r>
    </w:p>
  </w:footnote>
  <w:footnote w:id="402">
    <w:p w14:paraId="0C03CAD2" w14:textId="7B228E5A"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ES un trešo valstu kopējais ieguldījums ir EUR 67,8 miljoni. Dotāciju ieguldījums un pakalpojumu līmeņa vienošanās kopā ir 33,8 miljoni EUR.</w:t>
      </w:r>
    </w:p>
  </w:footnote>
  <w:footnote w:id="403">
    <w:p w14:paraId="08888B12" w14:textId="2D0C400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i/>
          <w:iCs/>
          <w:sz w:val="24"/>
          <w:lang w:val="lv-LV"/>
        </w:rPr>
        <w:t xml:space="preserve"> </w:t>
      </w:r>
      <w:r w:rsidR="00D106D3" w:rsidRPr="00D106D3">
        <w:rPr>
          <w:i/>
          <w:iCs/>
          <w:sz w:val="24"/>
          <w:lang w:val="lv-LV"/>
        </w:rPr>
        <w:tab/>
      </w:r>
      <w:r w:rsidRPr="00D106D3">
        <w:rPr>
          <w:i/>
          <w:iCs/>
          <w:sz w:val="24"/>
          <w:lang w:val="lv-LV"/>
        </w:rPr>
        <w:t>ENISA</w:t>
      </w:r>
      <w:r w:rsidRPr="00D106D3">
        <w:rPr>
          <w:sz w:val="24"/>
          <w:lang w:val="lv-LV"/>
        </w:rPr>
        <w:t xml:space="preserve"> 2024. gadā darbojās ar 26,2 miljonu EUR budžetu salīdzinājumā ar 25,2 miljoniem EUR 2023. gada budžetā. 2023. gada decembra beigās tika parakstīts iemaksu nolīgums starp </w:t>
      </w:r>
      <w:proofErr w:type="spellStart"/>
      <w:r w:rsidRPr="00D106D3">
        <w:rPr>
          <w:i/>
          <w:iCs/>
          <w:sz w:val="24"/>
          <w:lang w:val="lv-LV"/>
        </w:rPr>
        <w:t>Connect</w:t>
      </w:r>
      <w:proofErr w:type="spellEnd"/>
      <w:r w:rsidRPr="00D106D3">
        <w:rPr>
          <w:sz w:val="24"/>
          <w:lang w:val="lv-LV"/>
        </w:rPr>
        <w:t xml:space="preserve"> un </w:t>
      </w:r>
      <w:r w:rsidRPr="00D106D3">
        <w:rPr>
          <w:i/>
          <w:iCs/>
          <w:sz w:val="24"/>
          <w:lang w:val="lv-LV"/>
        </w:rPr>
        <w:t>ENISA</w:t>
      </w:r>
      <w:r w:rsidRPr="00D106D3">
        <w:rPr>
          <w:sz w:val="24"/>
          <w:lang w:val="lv-LV"/>
        </w:rPr>
        <w:t xml:space="preserve">, kopumā piešķirot 20 miljonus EUR </w:t>
      </w:r>
      <w:proofErr w:type="spellStart"/>
      <w:r w:rsidRPr="00D106D3">
        <w:rPr>
          <w:sz w:val="24"/>
          <w:lang w:val="lv-LV"/>
        </w:rPr>
        <w:t>kiberatbalsta</w:t>
      </w:r>
      <w:proofErr w:type="spellEnd"/>
      <w:r w:rsidRPr="00D106D3">
        <w:rPr>
          <w:sz w:val="24"/>
          <w:lang w:val="lv-LV"/>
        </w:rPr>
        <w:t xml:space="preserve"> un situācijas centra darbību īstenošanai 2024.</w:t>
      </w:r>
      <w:r w:rsidRPr="00D106D3">
        <w:rPr>
          <w:sz w:val="24"/>
          <w:lang w:val="lv-LV"/>
        </w:rPr>
        <w:noBreakHyphen/>
        <w:t>2026. gadā. Pirmais maksājums 16 miljonu EUR apmērā tika saņemts 2024. gada februārī saskaņoto darbību īstenošanai.</w:t>
      </w:r>
    </w:p>
  </w:footnote>
  <w:footnote w:id="404">
    <w:p w14:paraId="794BEE87" w14:textId="7034CDF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Pašu ieņēmumi attiecas uz maksām, ko iekasē par sertifikātiem, atļaujām, vielu reģistrāciju, iemaksām, datu vākšanu, tirgus uzraudzību, uzraudzību un citiem pakalpojumiem.</w:t>
      </w:r>
    </w:p>
  </w:footnote>
  <w:footnote w:id="405">
    <w:p w14:paraId="710AABB3" w14:textId="6AABD2C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Pašu ieņēmumi attiecas uz valstu uzraudzības iestāžu iemaksām.</w:t>
      </w:r>
    </w:p>
  </w:footnote>
  <w:footnote w:id="406">
    <w:p w14:paraId="4169D934" w14:textId="1394835F" w:rsidR="00EA2C2C" w:rsidRPr="00D106D3" w:rsidRDefault="00EA2C2C" w:rsidP="00D106D3">
      <w:pPr>
        <w:pStyle w:val="FootnoteText"/>
        <w:ind w:left="567" w:hanging="567"/>
        <w:rPr>
          <w:sz w:val="24"/>
          <w:lang w:val="lv-LV"/>
        </w:rPr>
      </w:pPr>
      <w:r w:rsidRPr="00D106D3">
        <w:rPr>
          <w:sz w:val="24"/>
          <w:vertAlign w:val="superscript"/>
          <w:lang w:val="lv-LV"/>
        </w:rPr>
        <w:footnoteRef/>
      </w:r>
      <w:r w:rsidR="00D106D3" w:rsidRPr="00D106D3">
        <w:rPr>
          <w:sz w:val="24"/>
          <w:lang w:val="lv-LV"/>
        </w:rPr>
        <w:t xml:space="preserve"> </w:t>
      </w:r>
      <w:r w:rsidR="00D106D3" w:rsidRPr="00D106D3">
        <w:rPr>
          <w:sz w:val="24"/>
          <w:lang w:val="lv-LV"/>
        </w:rPr>
        <w:tab/>
      </w:r>
      <w:r w:rsidRPr="00D106D3">
        <w:rPr>
          <w:sz w:val="24"/>
          <w:lang w:val="lv-LV"/>
        </w:rPr>
        <w:t>Pašu ieņēmumi attiecas uz valstu uzraudzības iestāžu iemaksām.</w:t>
      </w:r>
    </w:p>
  </w:footnote>
  <w:footnote w:id="407">
    <w:p w14:paraId="14BE7E61" w14:textId="781C2063" w:rsidR="00EA2C2C" w:rsidRPr="00D106D3" w:rsidRDefault="00EA2C2C" w:rsidP="00D106D3">
      <w:pPr>
        <w:pStyle w:val="FootnoteText"/>
        <w:ind w:left="567" w:hanging="567"/>
        <w:rPr>
          <w:sz w:val="24"/>
          <w:lang w:val="lv-LV"/>
        </w:rPr>
      </w:pPr>
      <w:r w:rsidRPr="00D106D3">
        <w:rPr>
          <w:sz w:val="24"/>
          <w:vertAlign w:val="superscript"/>
          <w:lang w:val="lv-LV"/>
        </w:rPr>
        <w:footnoteRef/>
      </w:r>
      <w:r w:rsidR="00D106D3" w:rsidRPr="00D106D3">
        <w:rPr>
          <w:sz w:val="24"/>
          <w:lang w:val="lv-LV"/>
        </w:rPr>
        <w:t xml:space="preserve"> </w:t>
      </w:r>
      <w:r w:rsidR="00D106D3" w:rsidRPr="00D106D3">
        <w:rPr>
          <w:sz w:val="24"/>
          <w:lang w:val="lv-LV"/>
        </w:rPr>
        <w:tab/>
      </w:r>
      <w:r w:rsidRPr="00D106D3">
        <w:rPr>
          <w:sz w:val="24"/>
          <w:lang w:val="lv-LV"/>
        </w:rPr>
        <w:t>Pašu ieņēmumos ietilpst valstu uzraudzības iestāžu iemaksas un Iestādei samaksātās maksas.</w:t>
      </w:r>
    </w:p>
  </w:footnote>
  <w:footnote w:id="408">
    <w:p w14:paraId="6B030496" w14:textId="060D83C4"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EBI, EAAPI un EVTI.</w:t>
      </w:r>
    </w:p>
  </w:footnote>
  <w:footnote w:id="409">
    <w:p w14:paraId="6DD3D4EB" w14:textId="588868B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i/>
          <w:iCs/>
          <w:sz w:val="24"/>
          <w:lang w:val="lv-LV"/>
        </w:rPr>
        <w:t xml:space="preserve"> </w:t>
      </w:r>
      <w:r w:rsidR="00D106D3" w:rsidRPr="00D106D3">
        <w:rPr>
          <w:i/>
          <w:iCs/>
          <w:sz w:val="24"/>
          <w:lang w:val="lv-LV"/>
        </w:rPr>
        <w:tab/>
      </w:r>
      <w:r w:rsidRPr="00D106D3">
        <w:rPr>
          <w:i/>
          <w:iCs/>
          <w:sz w:val="24"/>
          <w:lang w:val="lv-LV"/>
        </w:rPr>
        <w:t>CEPOL</w:t>
      </w:r>
      <w:r w:rsidRPr="00D106D3">
        <w:rPr>
          <w:sz w:val="24"/>
          <w:lang w:val="lv-LV"/>
        </w:rPr>
        <w:t xml:space="preserve">, </w:t>
      </w:r>
      <w:r w:rsidRPr="00D106D3">
        <w:rPr>
          <w:i/>
          <w:iCs/>
          <w:sz w:val="24"/>
          <w:lang w:val="lv-LV"/>
        </w:rPr>
        <w:t>EIGE</w:t>
      </w:r>
      <w:r w:rsidRPr="00D106D3">
        <w:rPr>
          <w:sz w:val="24"/>
          <w:lang w:val="lv-LV"/>
        </w:rPr>
        <w:t xml:space="preserve">, </w:t>
      </w:r>
      <w:r w:rsidRPr="00D106D3">
        <w:rPr>
          <w:i/>
          <w:iCs/>
          <w:sz w:val="24"/>
          <w:lang w:val="lv-LV"/>
        </w:rPr>
        <w:t>EUAA</w:t>
      </w:r>
      <w:r w:rsidRPr="00D106D3">
        <w:rPr>
          <w:sz w:val="24"/>
          <w:lang w:val="lv-LV"/>
        </w:rPr>
        <w:t xml:space="preserve">, </w:t>
      </w:r>
      <w:proofErr w:type="spellStart"/>
      <w:r w:rsidRPr="00D106D3">
        <w:rPr>
          <w:i/>
          <w:iCs/>
          <w:sz w:val="24"/>
          <w:lang w:val="lv-LV"/>
        </w:rPr>
        <w:t>eu</w:t>
      </w:r>
      <w:proofErr w:type="spellEnd"/>
      <w:r w:rsidRPr="00D106D3">
        <w:rPr>
          <w:i/>
          <w:iCs/>
          <w:sz w:val="24"/>
          <w:lang w:val="lv-LV"/>
        </w:rPr>
        <w:t>-LISA</w:t>
      </w:r>
      <w:r w:rsidRPr="00D106D3">
        <w:rPr>
          <w:sz w:val="24"/>
          <w:lang w:val="lv-LV"/>
        </w:rPr>
        <w:t xml:space="preserve">, </w:t>
      </w:r>
      <w:proofErr w:type="spellStart"/>
      <w:r w:rsidRPr="00D106D3">
        <w:rPr>
          <w:i/>
          <w:iCs/>
          <w:sz w:val="24"/>
          <w:lang w:val="lv-LV"/>
        </w:rPr>
        <w:t>Eurojust</w:t>
      </w:r>
      <w:proofErr w:type="spellEnd"/>
      <w:r w:rsidRPr="00D106D3">
        <w:rPr>
          <w:sz w:val="24"/>
          <w:lang w:val="lv-LV"/>
        </w:rPr>
        <w:t xml:space="preserve">, EIROPOLS, </w:t>
      </w:r>
      <w:r w:rsidRPr="00D106D3">
        <w:rPr>
          <w:i/>
          <w:iCs/>
          <w:sz w:val="24"/>
          <w:lang w:val="lv-LV"/>
        </w:rPr>
        <w:t>FRA</w:t>
      </w:r>
      <w:r w:rsidRPr="00D106D3">
        <w:rPr>
          <w:sz w:val="24"/>
          <w:lang w:val="lv-LV"/>
        </w:rPr>
        <w:t xml:space="preserve"> un </w:t>
      </w:r>
      <w:proofErr w:type="spellStart"/>
      <w:r w:rsidRPr="00D106D3">
        <w:rPr>
          <w:i/>
          <w:iCs/>
          <w:sz w:val="24"/>
          <w:lang w:val="lv-LV"/>
        </w:rPr>
        <w:t>Frontex</w:t>
      </w:r>
      <w:proofErr w:type="spellEnd"/>
      <w:r w:rsidRPr="00D106D3">
        <w:rPr>
          <w:sz w:val="24"/>
          <w:lang w:val="lv-LV"/>
        </w:rPr>
        <w:t>.</w:t>
      </w:r>
    </w:p>
  </w:footnote>
  <w:footnote w:id="410">
    <w:p w14:paraId="729C20E5" w14:textId="7E4CA14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 xml:space="preserve">Eiropas Parlamenta un Padomes Regula (ES, </w:t>
      </w:r>
      <w:r w:rsidRPr="00D106D3">
        <w:rPr>
          <w:i/>
          <w:iCs/>
          <w:sz w:val="24"/>
          <w:lang w:val="lv-LV"/>
        </w:rPr>
        <w:t>Euratom</w:t>
      </w:r>
      <w:r w:rsidRPr="00D106D3">
        <w:rPr>
          <w:sz w:val="24"/>
          <w:lang w:val="lv-LV"/>
        </w:rPr>
        <w:t xml:space="preserve">) 2023/2841 (2023. gada 13. decembris), kas paredz pasākumus nolūkā panākt vienādu augstu </w:t>
      </w:r>
      <w:proofErr w:type="spellStart"/>
      <w:r w:rsidRPr="00D106D3">
        <w:rPr>
          <w:sz w:val="24"/>
          <w:lang w:val="lv-LV"/>
        </w:rPr>
        <w:t>kiberdrošības</w:t>
      </w:r>
      <w:proofErr w:type="spellEnd"/>
      <w:r w:rsidRPr="00D106D3">
        <w:rPr>
          <w:sz w:val="24"/>
          <w:lang w:val="lv-LV"/>
        </w:rPr>
        <w:t xml:space="preserve"> līmeni Savienības iestādēs, struktūrās, birojos un aģentūrās (OV L, 2023/2841, 18.12.2023., ELI: </w:t>
      </w:r>
      <w:r w:rsidR="007F768D">
        <w:fldChar w:fldCharType="begin"/>
      </w:r>
      <w:r w:rsidR="007F768D" w:rsidRPr="00690DAC">
        <w:rPr>
          <w:lang w:val="lv-LV"/>
        </w:rPr>
        <w:instrText>HYPERLINK "http://data.europa.eu/eli/reg/2023/2841/oj"</w:instrText>
      </w:r>
      <w:r w:rsidR="007F768D">
        <w:fldChar w:fldCharType="separate"/>
      </w:r>
      <w:r w:rsidR="007F768D" w:rsidRPr="007F768D">
        <w:rPr>
          <w:rStyle w:val="Hyperlink"/>
          <w:sz w:val="24"/>
          <w:lang w:val="lv-LV"/>
        </w:rPr>
        <w:t>http://data.europa.eu/eli/reg/2023/2841/oj</w:t>
      </w:r>
      <w:r w:rsidR="007F768D">
        <w:fldChar w:fldCharType="end"/>
      </w:r>
      <w:r w:rsidRPr="00D106D3">
        <w:rPr>
          <w:sz w:val="24"/>
          <w:lang w:val="lv-LV"/>
        </w:rPr>
        <w:t>).</w:t>
      </w:r>
    </w:p>
  </w:footnote>
  <w:footnote w:id="411">
    <w:p w14:paraId="6AA6F630" w14:textId="041A098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007F768D" w:rsidRPr="007F768D">
        <w:rPr>
          <w:sz w:val="24"/>
          <w:lang w:val="lv-LV"/>
        </w:rPr>
        <w:t xml:space="preserve">Vispārējās tiesas 2025. gada 15. oktobra spriedums – </w:t>
      </w:r>
      <w:r w:rsidR="007F768D" w:rsidRPr="007F768D">
        <w:rPr>
          <w:i/>
          <w:iCs/>
          <w:sz w:val="24"/>
          <w:lang w:val="lv-LV"/>
        </w:rPr>
        <w:t>WU/</w:t>
      </w:r>
      <w:proofErr w:type="spellStart"/>
      <w:r w:rsidR="007F768D" w:rsidRPr="007F768D">
        <w:rPr>
          <w:i/>
          <w:iCs/>
          <w:sz w:val="24"/>
          <w:lang w:val="lv-LV"/>
        </w:rPr>
        <w:t>Eurojust</w:t>
      </w:r>
      <w:proofErr w:type="spellEnd"/>
      <w:r w:rsidR="007F768D" w:rsidRPr="002E3114">
        <w:rPr>
          <w:sz w:val="24"/>
          <w:lang w:val="lv-LV"/>
        </w:rPr>
        <w:t>,</w:t>
      </w:r>
      <w:r w:rsidRPr="00D106D3">
        <w:rPr>
          <w:sz w:val="24"/>
          <w:lang w:val="lv-LV"/>
        </w:rPr>
        <w:t xml:space="preserve"> T</w:t>
      </w:r>
      <w:r w:rsidRPr="00D106D3">
        <w:rPr>
          <w:sz w:val="24"/>
          <w:lang w:val="lv-LV"/>
        </w:rPr>
        <w:noBreakHyphen/>
        <w:t>295/23 un T</w:t>
      </w:r>
      <w:r w:rsidRPr="00D106D3">
        <w:rPr>
          <w:sz w:val="24"/>
          <w:lang w:val="lv-LV"/>
        </w:rPr>
        <w:noBreakHyphen/>
        <w:t>1176/23</w:t>
      </w:r>
      <w:r w:rsidR="007F768D">
        <w:rPr>
          <w:sz w:val="24"/>
          <w:lang w:val="lv-LV"/>
        </w:rPr>
        <w:t xml:space="preserve">, </w:t>
      </w:r>
      <w:r w:rsidR="007F768D" w:rsidRPr="007F768D">
        <w:rPr>
          <w:sz w:val="24"/>
          <w:lang w:val="lv-LV"/>
        </w:rPr>
        <w:t>ECLI:EU:T:2025:963.</w:t>
      </w:r>
      <w:r w:rsidRPr="00D106D3">
        <w:rPr>
          <w:sz w:val="24"/>
          <w:lang w:val="lv-LV"/>
        </w:rPr>
        <w:t xml:space="preserve"> </w:t>
      </w:r>
    </w:p>
  </w:footnote>
  <w:footnote w:id="412">
    <w:p w14:paraId="223F792A" w14:textId="0F2BAAC2"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i/>
          <w:iCs/>
          <w:sz w:val="24"/>
          <w:lang w:val="lv-LV"/>
        </w:rPr>
        <w:t xml:space="preserve"> </w:t>
      </w:r>
      <w:r w:rsidR="00D106D3" w:rsidRPr="00D106D3">
        <w:rPr>
          <w:i/>
          <w:iCs/>
          <w:sz w:val="24"/>
          <w:lang w:val="lv-LV"/>
        </w:rPr>
        <w:tab/>
      </w:r>
      <w:proofErr w:type="spellStart"/>
      <w:r w:rsidRPr="00D106D3">
        <w:rPr>
          <w:i/>
          <w:iCs/>
          <w:sz w:val="24"/>
          <w:lang w:val="lv-LV"/>
        </w:rPr>
        <w:t>Cedefop</w:t>
      </w:r>
      <w:proofErr w:type="spellEnd"/>
      <w:r w:rsidRPr="00D106D3">
        <w:rPr>
          <w:sz w:val="24"/>
          <w:lang w:val="lv-LV"/>
        </w:rPr>
        <w:t xml:space="preserve">, </w:t>
      </w:r>
      <w:r w:rsidRPr="00D106D3">
        <w:rPr>
          <w:i/>
          <w:iCs/>
          <w:sz w:val="24"/>
          <w:lang w:val="lv-LV"/>
        </w:rPr>
        <w:t>ELA</w:t>
      </w:r>
      <w:r w:rsidRPr="00D106D3">
        <w:rPr>
          <w:sz w:val="24"/>
          <w:lang w:val="lv-LV"/>
        </w:rPr>
        <w:t xml:space="preserve">, </w:t>
      </w:r>
      <w:r w:rsidRPr="00D106D3">
        <w:rPr>
          <w:i/>
          <w:iCs/>
          <w:sz w:val="24"/>
          <w:lang w:val="lv-LV"/>
        </w:rPr>
        <w:t>ETF</w:t>
      </w:r>
      <w:r w:rsidRPr="00D106D3">
        <w:rPr>
          <w:sz w:val="24"/>
          <w:lang w:val="lv-LV"/>
        </w:rPr>
        <w:t xml:space="preserve">, </w:t>
      </w:r>
      <w:proofErr w:type="spellStart"/>
      <w:r w:rsidRPr="00D106D3">
        <w:rPr>
          <w:i/>
          <w:iCs/>
          <w:sz w:val="24"/>
          <w:lang w:val="lv-LV"/>
        </w:rPr>
        <w:t>Eurofound</w:t>
      </w:r>
      <w:proofErr w:type="spellEnd"/>
      <w:r w:rsidRPr="00D106D3">
        <w:rPr>
          <w:sz w:val="24"/>
          <w:lang w:val="lv-LV"/>
        </w:rPr>
        <w:t xml:space="preserve"> un </w:t>
      </w:r>
      <w:r w:rsidRPr="00D106D3">
        <w:rPr>
          <w:i/>
          <w:iCs/>
          <w:sz w:val="24"/>
          <w:lang w:val="lv-LV"/>
        </w:rPr>
        <w:t>EU-OSHA</w:t>
      </w:r>
      <w:r w:rsidRPr="00D106D3">
        <w:rPr>
          <w:sz w:val="24"/>
          <w:lang w:val="lv-LV"/>
        </w:rPr>
        <w:t>.</w:t>
      </w:r>
    </w:p>
  </w:footnote>
  <w:footnote w:id="413">
    <w:p w14:paraId="7817FF0B" w14:textId="61A20CB7"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sz w:val="24"/>
          <w:lang w:val="lv-LV"/>
        </w:rPr>
        <w:t xml:space="preserve"> </w:t>
      </w:r>
      <w:r w:rsidR="00D106D3" w:rsidRPr="00D106D3">
        <w:rPr>
          <w:sz w:val="24"/>
          <w:lang w:val="lv-LV"/>
        </w:rPr>
        <w:tab/>
      </w:r>
      <w:r w:rsidRPr="00D106D3">
        <w:rPr>
          <w:sz w:val="24"/>
          <w:lang w:val="lv-LV"/>
        </w:rPr>
        <w:t>Eiropas Darba iestādes (</w:t>
      </w:r>
      <w:r w:rsidRPr="00D106D3">
        <w:rPr>
          <w:i/>
          <w:iCs/>
          <w:sz w:val="24"/>
          <w:lang w:val="lv-LV"/>
        </w:rPr>
        <w:t>ELA</w:t>
      </w:r>
      <w:r w:rsidRPr="00D106D3">
        <w:rPr>
          <w:sz w:val="24"/>
          <w:lang w:val="lv-LV"/>
        </w:rPr>
        <w:t xml:space="preserve">) </w:t>
      </w:r>
      <w:proofErr w:type="spellStart"/>
      <w:r w:rsidRPr="00D106D3">
        <w:rPr>
          <w:sz w:val="24"/>
          <w:lang w:val="lv-LV"/>
        </w:rPr>
        <w:t>izvērtējums</w:t>
      </w:r>
      <w:proofErr w:type="spellEnd"/>
      <w:r w:rsidRPr="00D106D3">
        <w:rPr>
          <w:sz w:val="24"/>
          <w:lang w:val="lv-LV"/>
        </w:rPr>
        <w:t>, Briselē, 26.5.2025., COM(2025)0256 un SWD(2025)0128.</w:t>
      </w:r>
    </w:p>
  </w:footnote>
  <w:footnote w:id="414">
    <w:p w14:paraId="4BA05171" w14:textId="758ABE85"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i/>
          <w:iCs/>
          <w:sz w:val="24"/>
          <w:lang w:val="lv-LV"/>
        </w:rPr>
        <w:t xml:space="preserve"> </w:t>
      </w:r>
      <w:r w:rsidR="00D106D3" w:rsidRPr="00D106D3">
        <w:rPr>
          <w:i/>
          <w:iCs/>
          <w:sz w:val="24"/>
          <w:lang w:val="lv-LV"/>
        </w:rPr>
        <w:tab/>
      </w:r>
      <w:r w:rsidRPr="00D106D3">
        <w:rPr>
          <w:i/>
          <w:iCs/>
          <w:sz w:val="24"/>
          <w:lang w:val="lv-LV"/>
        </w:rPr>
        <w:t>ECDC</w:t>
      </w:r>
      <w:r w:rsidRPr="00D106D3">
        <w:rPr>
          <w:sz w:val="24"/>
          <w:lang w:val="lv-LV"/>
        </w:rPr>
        <w:t xml:space="preserve">, </w:t>
      </w:r>
      <w:r w:rsidRPr="00D106D3">
        <w:rPr>
          <w:i/>
          <w:iCs/>
          <w:sz w:val="24"/>
          <w:lang w:val="lv-LV"/>
        </w:rPr>
        <w:t>EFSA</w:t>
      </w:r>
      <w:r w:rsidRPr="00D106D3">
        <w:rPr>
          <w:sz w:val="24"/>
          <w:lang w:val="lv-LV"/>
        </w:rPr>
        <w:t xml:space="preserve">, </w:t>
      </w:r>
      <w:r w:rsidRPr="00D106D3">
        <w:rPr>
          <w:i/>
          <w:iCs/>
          <w:sz w:val="24"/>
          <w:lang w:val="lv-LV"/>
        </w:rPr>
        <w:t>EMA</w:t>
      </w:r>
      <w:r w:rsidRPr="00D106D3">
        <w:rPr>
          <w:sz w:val="24"/>
          <w:lang w:val="lv-LV"/>
        </w:rPr>
        <w:t xml:space="preserve"> un </w:t>
      </w:r>
      <w:r w:rsidRPr="00D106D3">
        <w:rPr>
          <w:i/>
          <w:iCs/>
          <w:sz w:val="24"/>
          <w:lang w:val="lv-LV"/>
        </w:rPr>
        <w:t>EUDA</w:t>
      </w:r>
      <w:r w:rsidRPr="00D106D3">
        <w:rPr>
          <w:sz w:val="24"/>
          <w:lang w:val="lv-LV"/>
        </w:rPr>
        <w:t>.</w:t>
      </w:r>
    </w:p>
  </w:footnote>
  <w:footnote w:id="415">
    <w:p w14:paraId="60612D0C" w14:textId="6AED3B7F"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i/>
          <w:iCs/>
          <w:sz w:val="24"/>
          <w:lang w:val="lv-LV"/>
        </w:rPr>
        <w:t xml:space="preserve"> </w:t>
      </w:r>
      <w:r w:rsidR="00D106D3" w:rsidRPr="00D106D3">
        <w:rPr>
          <w:i/>
          <w:iCs/>
          <w:sz w:val="24"/>
          <w:lang w:val="lv-LV"/>
        </w:rPr>
        <w:tab/>
      </w:r>
      <w:r w:rsidRPr="00D106D3">
        <w:rPr>
          <w:i/>
          <w:iCs/>
          <w:sz w:val="24"/>
          <w:lang w:val="lv-LV"/>
        </w:rPr>
        <w:t>EASA</w:t>
      </w:r>
      <w:r w:rsidRPr="00D106D3">
        <w:rPr>
          <w:sz w:val="24"/>
          <w:lang w:val="lv-LV"/>
        </w:rPr>
        <w:t xml:space="preserve">, </w:t>
      </w:r>
      <w:r w:rsidRPr="00D106D3">
        <w:rPr>
          <w:i/>
          <w:iCs/>
          <w:sz w:val="24"/>
          <w:lang w:val="lv-LV"/>
        </w:rPr>
        <w:t>EMSA</w:t>
      </w:r>
      <w:r w:rsidRPr="00D106D3">
        <w:rPr>
          <w:sz w:val="24"/>
          <w:lang w:val="lv-LV"/>
        </w:rPr>
        <w:t xml:space="preserve"> un </w:t>
      </w:r>
      <w:r w:rsidRPr="00D106D3">
        <w:rPr>
          <w:i/>
          <w:iCs/>
          <w:sz w:val="24"/>
          <w:lang w:val="lv-LV"/>
        </w:rPr>
        <w:t>ERA</w:t>
      </w:r>
      <w:r w:rsidRPr="00D106D3">
        <w:rPr>
          <w:sz w:val="24"/>
          <w:lang w:val="lv-LV"/>
        </w:rPr>
        <w:t>.</w:t>
      </w:r>
    </w:p>
  </w:footnote>
  <w:footnote w:id="416">
    <w:p w14:paraId="0B0A0CC4" w14:textId="28D18C03"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i/>
          <w:iCs/>
          <w:sz w:val="24"/>
          <w:lang w:val="lv-LV"/>
        </w:rPr>
        <w:t xml:space="preserve"> </w:t>
      </w:r>
      <w:r w:rsidR="00D106D3" w:rsidRPr="00D106D3">
        <w:rPr>
          <w:i/>
          <w:iCs/>
          <w:sz w:val="24"/>
          <w:lang w:val="lv-LV"/>
        </w:rPr>
        <w:tab/>
      </w:r>
      <w:r w:rsidRPr="00D106D3">
        <w:rPr>
          <w:i/>
          <w:iCs/>
          <w:sz w:val="24"/>
          <w:lang w:val="lv-LV"/>
        </w:rPr>
        <w:t>ACER</w:t>
      </w:r>
      <w:r w:rsidRPr="00D106D3">
        <w:rPr>
          <w:sz w:val="24"/>
          <w:lang w:val="lv-LV"/>
        </w:rPr>
        <w:t xml:space="preserve">, </w:t>
      </w:r>
      <w:r w:rsidRPr="00D106D3">
        <w:rPr>
          <w:i/>
          <w:iCs/>
          <w:sz w:val="24"/>
          <w:lang w:val="lv-LV"/>
        </w:rPr>
        <w:t>ECHA</w:t>
      </w:r>
      <w:r w:rsidRPr="00D106D3">
        <w:rPr>
          <w:sz w:val="24"/>
          <w:lang w:val="lv-LV"/>
        </w:rPr>
        <w:t xml:space="preserve">, EVA un </w:t>
      </w:r>
      <w:r w:rsidRPr="00D106D3">
        <w:rPr>
          <w:i/>
          <w:iCs/>
          <w:sz w:val="24"/>
          <w:lang w:val="lv-LV"/>
        </w:rPr>
        <w:t>EFCA</w:t>
      </w:r>
      <w:r w:rsidRPr="00D106D3">
        <w:rPr>
          <w:sz w:val="24"/>
          <w:lang w:val="lv-LV"/>
        </w:rPr>
        <w:t>.</w:t>
      </w:r>
    </w:p>
  </w:footnote>
  <w:footnote w:id="417">
    <w:p w14:paraId="1B9861CB" w14:textId="09FCD58B" w:rsidR="00EA2C2C" w:rsidRPr="00D106D3" w:rsidRDefault="00EA2C2C" w:rsidP="00D106D3">
      <w:pPr>
        <w:pStyle w:val="FootnoteText"/>
        <w:ind w:left="567" w:hanging="567"/>
        <w:rPr>
          <w:sz w:val="24"/>
          <w:lang w:val="lv-LV"/>
        </w:rPr>
      </w:pPr>
      <w:r w:rsidRPr="00D106D3">
        <w:rPr>
          <w:rStyle w:val="FootnoteReference"/>
          <w:sz w:val="24"/>
          <w:lang w:val="lv-LV"/>
        </w:rPr>
        <w:footnoteRef/>
      </w:r>
      <w:r w:rsidR="00D106D3" w:rsidRPr="00D106D3">
        <w:rPr>
          <w:i/>
          <w:iCs/>
          <w:sz w:val="24"/>
          <w:lang w:val="lv-LV"/>
        </w:rPr>
        <w:t xml:space="preserve"> </w:t>
      </w:r>
      <w:r w:rsidR="00D106D3" w:rsidRPr="00D106D3">
        <w:rPr>
          <w:i/>
          <w:iCs/>
          <w:sz w:val="24"/>
          <w:lang w:val="lv-LV"/>
        </w:rPr>
        <w:tab/>
      </w:r>
      <w:r w:rsidRPr="00D106D3">
        <w:rPr>
          <w:i/>
          <w:iCs/>
          <w:sz w:val="24"/>
          <w:lang w:val="lv-LV"/>
        </w:rPr>
        <w:t>BEREC</w:t>
      </w:r>
      <w:r w:rsidRPr="00D106D3">
        <w:rPr>
          <w:sz w:val="24"/>
          <w:lang w:val="lv-LV"/>
        </w:rPr>
        <w:t xml:space="preserve"> birojs, </w:t>
      </w:r>
      <w:proofErr w:type="spellStart"/>
      <w:r w:rsidRPr="00D106D3">
        <w:rPr>
          <w:i/>
          <w:iCs/>
          <w:sz w:val="24"/>
          <w:lang w:val="lv-LV"/>
        </w:rPr>
        <w:t>CdT</w:t>
      </w:r>
      <w:proofErr w:type="spellEnd"/>
      <w:r w:rsidRPr="00D106D3">
        <w:rPr>
          <w:sz w:val="24"/>
          <w:lang w:val="lv-LV"/>
        </w:rPr>
        <w:t xml:space="preserve">, </w:t>
      </w:r>
      <w:r w:rsidRPr="00D106D3">
        <w:rPr>
          <w:i/>
          <w:iCs/>
          <w:sz w:val="24"/>
          <w:lang w:val="lv-LV"/>
        </w:rPr>
        <w:t>ENISA</w:t>
      </w:r>
      <w:r w:rsidRPr="00D106D3">
        <w:rPr>
          <w:sz w:val="24"/>
          <w:lang w:val="lv-LV"/>
        </w:rPr>
        <w:t xml:space="preserve">, </w:t>
      </w:r>
      <w:r w:rsidRPr="00D106D3">
        <w:rPr>
          <w:i/>
          <w:iCs/>
          <w:sz w:val="24"/>
          <w:lang w:val="lv-LV"/>
        </w:rPr>
        <w:t>EIT</w:t>
      </w:r>
      <w:r w:rsidRPr="00D106D3">
        <w:rPr>
          <w:sz w:val="24"/>
          <w:lang w:val="lv-LV"/>
        </w:rPr>
        <w:t xml:space="preserve">, </w:t>
      </w:r>
      <w:r w:rsidRPr="00D106D3">
        <w:rPr>
          <w:i/>
          <w:iCs/>
          <w:sz w:val="24"/>
          <w:lang w:val="lv-LV"/>
        </w:rPr>
        <w:t>EUSPA</w:t>
      </w:r>
      <w:r w:rsidRPr="00D106D3">
        <w:rPr>
          <w:sz w:val="24"/>
          <w:lang w:val="lv-LV"/>
        </w:rPr>
        <w:t xml:space="preserve"> un </w:t>
      </w:r>
      <w:r w:rsidRPr="00D106D3">
        <w:rPr>
          <w:i/>
          <w:iCs/>
          <w:sz w:val="24"/>
          <w:lang w:val="lv-LV"/>
        </w:rPr>
        <w:t>ESA Euratom</w:t>
      </w:r>
      <w:r w:rsidRPr="00D106D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F7F2" w14:textId="77777777" w:rsidR="00064002" w:rsidRPr="00D106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E2339" w14:textId="77777777" w:rsidR="00064002" w:rsidRPr="00D106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4A3D2" w14:textId="77777777" w:rsidR="00064002" w:rsidRPr="00D106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6018221">
    <w:abstractNumId w:val="0"/>
  </w:num>
  <w:num w:numId="2" w16cid:durableId="142811785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LV"/>
    <w:docVar w:name="dvnumam" w:val="0"/>
    <w:docVar w:name="dvpe" w:val="776.806"/>
    <w:docVar w:name="dvrapporteur" w:val="Referente: "/>
    <w:docVar w:name="dvtitre" w:val="Eiropas Parlamenta 2026. gada XX. XXX lēmums par Eiropas Savienības aģentūru 2024. finanšu gada budžeta izpildes apstiprināšanu(2025/2156(DEC))"/>
  </w:docVars>
  <w:rsids>
    <w:rsidRoot w:val="000524F0"/>
    <w:rsid w:val="00002272"/>
    <w:rsid w:val="000524F0"/>
    <w:rsid w:val="00064002"/>
    <w:rsid w:val="000677B9"/>
    <w:rsid w:val="000831BA"/>
    <w:rsid w:val="000A42CC"/>
    <w:rsid w:val="000D4495"/>
    <w:rsid w:val="000E7DD9"/>
    <w:rsid w:val="0010095E"/>
    <w:rsid w:val="00125B37"/>
    <w:rsid w:val="00187494"/>
    <w:rsid w:val="001C1432"/>
    <w:rsid w:val="001F32AE"/>
    <w:rsid w:val="002767FF"/>
    <w:rsid w:val="002B18FE"/>
    <w:rsid w:val="002B5493"/>
    <w:rsid w:val="002E3114"/>
    <w:rsid w:val="00343214"/>
    <w:rsid w:val="00361C00"/>
    <w:rsid w:val="00395FA1"/>
    <w:rsid w:val="003E15D4"/>
    <w:rsid w:val="00411CCE"/>
    <w:rsid w:val="0041666E"/>
    <w:rsid w:val="00421060"/>
    <w:rsid w:val="00437C1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0DAC"/>
    <w:rsid w:val="006D2360"/>
    <w:rsid w:val="006F74FA"/>
    <w:rsid w:val="00731ADD"/>
    <w:rsid w:val="00734777"/>
    <w:rsid w:val="00747932"/>
    <w:rsid w:val="00751A4A"/>
    <w:rsid w:val="00756632"/>
    <w:rsid w:val="00762C74"/>
    <w:rsid w:val="0076643C"/>
    <w:rsid w:val="00786EC0"/>
    <w:rsid w:val="007D1690"/>
    <w:rsid w:val="007E22AD"/>
    <w:rsid w:val="007F768D"/>
    <w:rsid w:val="00817416"/>
    <w:rsid w:val="00842779"/>
    <w:rsid w:val="00865F67"/>
    <w:rsid w:val="00873DFB"/>
    <w:rsid w:val="00881A7B"/>
    <w:rsid w:val="008840E5"/>
    <w:rsid w:val="00887B3E"/>
    <w:rsid w:val="008C2AC6"/>
    <w:rsid w:val="008F67AA"/>
    <w:rsid w:val="00930C23"/>
    <w:rsid w:val="0093193B"/>
    <w:rsid w:val="009509D8"/>
    <w:rsid w:val="00950B64"/>
    <w:rsid w:val="00981893"/>
    <w:rsid w:val="00A1687D"/>
    <w:rsid w:val="00A43E52"/>
    <w:rsid w:val="00A4678D"/>
    <w:rsid w:val="00A778C7"/>
    <w:rsid w:val="00AB441E"/>
    <w:rsid w:val="00AB6293"/>
    <w:rsid w:val="00AE0928"/>
    <w:rsid w:val="00AF222A"/>
    <w:rsid w:val="00AF3B82"/>
    <w:rsid w:val="00B12E95"/>
    <w:rsid w:val="00B22876"/>
    <w:rsid w:val="00B44DA1"/>
    <w:rsid w:val="00B558F0"/>
    <w:rsid w:val="00BD48FE"/>
    <w:rsid w:val="00BD7BD8"/>
    <w:rsid w:val="00BE6ADC"/>
    <w:rsid w:val="00C05BFE"/>
    <w:rsid w:val="00C23CD4"/>
    <w:rsid w:val="00C61C0C"/>
    <w:rsid w:val="00C941CB"/>
    <w:rsid w:val="00CC2357"/>
    <w:rsid w:val="00CF071A"/>
    <w:rsid w:val="00D058B8"/>
    <w:rsid w:val="00D106D3"/>
    <w:rsid w:val="00D56C11"/>
    <w:rsid w:val="00D834A0"/>
    <w:rsid w:val="00D872DF"/>
    <w:rsid w:val="00D91E21"/>
    <w:rsid w:val="00DA7FCD"/>
    <w:rsid w:val="00E365E1"/>
    <w:rsid w:val="00E820A4"/>
    <w:rsid w:val="00EA2C2C"/>
    <w:rsid w:val="00EB006A"/>
    <w:rsid w:val="00EB4772"/>
    <w:rsid w:val="00EC5E1C"/>
    <w:rsid w:val="00ED169E"/>
    <w:rsid w:val="00ED4235"/>
    <w:rsid w:val="00F04346"/>
    <w:rsid w:val="00F075DC"/>
    <w:rsid w:val="00F149E9"/>
    <w:rsid w:val="00F5134D"/>
    <w:rsid w:val="00F519D0"/>
    <w:rsid w:val="00F74202"/>
    <w:rsid w:val="00F7739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0A2D4"/>
  <w15:chartTrackingRefBased/>
  <w15:docId w15:val="{250FD302-7177-401D-8E17-5F6646524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A2C2C"/>
    <w:rPr>
      <w:b/>
      <w:kern w:val="28"/>
      <w:sz w:val="28"/>
      <w:lang w:val="fr-FR" w:eastAsia="fr-FR"/>
    </w:rPr>
  </w:style>
  <w:style w:type="character" w:customStyle="1" w:styleId="Heading2Char">
    <w:name w:val="Heading 2 Char"/>
    <w:basedOn w:val="DefaultParagraphFont"/>
    <w:link w:val="Heading2"/>
    <w:semiHidden/>
    <w:rsid w:val="00EA2C2C"/>
    <w:rPr>
      <w:sz w:val="24"/>
      <w:lang w:val="fr-FR" w:eastAsia="fr-FR"/>
    </w:rPr>
  </w:style>
  <w:style w:type="character" w:customStyle="1" w:styleId="Heading3Char">
    <w:name w:val="Heading 3 Char"/>
    <w:basedOn w:val="DefaultParagraphFont"/>
    <w:link w:val="Heading3"/>
    <w:semiHidden/>
    <w:rsid w:val="00EA2C2C"/>
    <w:rPr>
      <w:rFonts w:ascii="Arial" w:hAnsi="Arial"/>
      <w:sz w:val="24"/>
      <w:lang w:val="fr-FR" w:eastAsia="fr-FR"/>
    </w:rPr>
  </w:style>
  <w:style w:type="character" w:customStyle="1" w:styleId="Heading4Char">
    <w:name w:val="Heading 4 Char"/>
    <w:basedOn w:val="DefaultParagraphFont"/>
    <w:link w:val="Heading4"/>
    <w:semiHidden/>
    <w:rsid w:val="00EA2C2C"/>
    <w:rPr>
      <w:sz w:val="24"/>
      <w:lang w:val="en-US" w:eastAsia="fr-FR"/>
    </w:rPr>
  </w:style>
  <w:style w:type="character" w:customStyle="1" w:styleId="Heading5Char">
    <w:name w:val="Heading 5 Char"/>
    <w:basedOn w:val="DefaultParagraphFont"/>
    <w:link w:val="Heading5"/>
    <w:semiHidden/>
    <w:rsid w:val="00EA2C2C"/>
    <w:rPr>
      <w:sz w:val="24"/>
      <w:lang w:val="en-US" w:eastAsia="fr-FR"/>
    </w:rPr>
  </w:style>
  <w:style w:type="character" w:customStyle="1" w:styleId="Heading6Char">
    <w:name w:val="Heading 6 Char"/>
    <w:basedOn w:val="DefaultParagraphFont"/>
    <w:link w:val="Heading6"/>
    <w:semiHidden/>
    <w:rsid w:val="00EA2C2C"/>
    <w:rPr>
      <w:i/>
      <w:sz w:val="22"/>
      <w:lang w:val="lv-LV"/>
    </w:rPr>
  </w:style>
  <w:style w:type="character" w:customStyle="1" w:styleId="Heading7Char">
    <w:name w:val="Heading 7 Char"/>
    <w:basedOn w:val="DefaultParagraphFont"/>
    <w:link w:val="Heading7"/>
    <w:semiHidden/>
    <w:rsid w:val="00EA2C2C"/>
    <w:rPr>
      <w:rFonts w:ascii="Arial" w:hAnsi="Arial"/>
      <w:sz w:val="24"/>
      <w:lang w:val="lv-LV"/>
    </w:rPr>
  </w:style>
  <w:style w:type="character" w:customStyle="1" w:styleId="Heading8Char">
    <w:name w:val="Heading 8 Char"/>
    <w:basedOn w:val="DefaultParagraphFont"/>
    <w:link w:val="Heading8"/>
    <w:semiHidden/>
    <w:rsid w:val="00EA2C2C"/>
    <w:rPr>
      <w:rFonts w:ascii="Arial" w:hAnsi="Arial"/>
      <w:i/>
      <w:sz w:val="24"/>
      <w:lang w:val="lv-LV"/>
    </w:rPr>
  </w:style>
  <w:style w:type="character" w:customStyle="1" w:styleId="Heading9Char">
    <w:name w:val="Heading 9 Char"/>
    <w:basedOn w:val="DefaultParagraphFont"/>
    <w:link w:val="Heading9"/>
    <w:semiHidden/>
    <w:rsid w:val="00EA2C2C"/>
    <w:rPr>
      <w:rFonts w:ascii="Arial" w:hAnsi="Arial"/>
      <w:b/>
      <w:i/>
      <w:sz w:val="18"/>
      <w:lang w:val="lv-LV"/>
    </w:rPr>
  </w:style>
  <w:style w:type="paragraph" w:styleId="TOCHeading">
    <w:name w:val="TOC Heading"/>
    <w:basedOn w:val="Normal"/>
    <w:next w:val="Normal"/>
    <w:unhideWhenUsed/>
    <w:qFormat/>
    <w:rsid w:val="00EA2C2C"/>
    <w:pPr>
      <w:widowControl/>
      <w:spacing w:after="240"/>
    </w:pPr>
    <w:rPr>
      <w:lang w:val="en-GB"/>
    </w:rPr>
  </w:style>
  <w:style w:type="paragraph" w:customStyle="1" w:styleId="EPFooter2">
    <w:name w:val="EPFooter2"/>
    <w:basedOn w:val="Normal"/>
    <w:next w:val="Normal"/>
    <w:link w:val="EPFooter2Char"/>
    <w:rsid w:val="00EA2C2C"/>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EA2C2C"/>
    <w:pPr>
      <w:spacing w:before="480" w:after="240"/>
    </w:pPr>
  </w:style>
  <w:style w:type="paragraph" w:customStyle="1" w:styleId="TOCPage">
    <w:name w:val="TOC Page"/>
    <w:basedOn w:val="Normal"/>
    <w:next w:val="TOC1"/>
    <w:rsid w:val="00EA2C2C"/>
    <w:pPr>
      <w:keepNext/>
      <w:spacing w:after="240"/>
      <w:jc w:val="right"/>
    </w:pPr>
    <w:rPr>
      <w:rFonts w:ascii="Arial" w:hAnsi="Arial"/>
      <w:b/>
    </w:rPr>
  </w:style>
  <w:style w:type="paragraph" w:customStyle="1" w:styleId="PageHeading">
    <w:name w:val="PageHeading"/>
    <w:basedOn w:val="Normal"/>
    <w:link w:val="PageHeadingChar"/>
    <w:rsid w:val="00EA2C2C"/>
    <w:pPr>
      <w:keepNext/>
      <w:spacing w:after="480"/>
      <w:jc w:val="center"/>
    </w:pPr>
    <w:rPr>
      <w:rFonts w:ascii="Arial" w:hAnsi="Arial" w:cs="Arial"/>
      <w:b/>
    </w:rPr>
  </w:style>
  <w:style w:type="paragraph" w:customStyle="1" w:styleId="NormalBold">
    <w:name w:val="NormalBold"/>
    <w:basedOn w:val="Normal"/>
    <w:rsid w:val="00EA2C2C"/>
    <w:rPr>
      <w:b/>
    </w:rPr>
  </w:style>
  <w:style w:type="paragraph" w:customStyle="1" w:styleId="NormalHanging12a">
    <w:name w:val="NormalHanging12a"/>
    <w:basedOn w:val="Normal"/>
    <w:link w:val="NormalHanging12aChar"/>
    <w:rsid w:val="00EA2C2C"/>
    <w:pPr>
      <w:spacing w:after="240"/>
      <w:ind w:left="567" w:hanging="567"/>
    </w:pPr>
  </w:style>
  <w:style w:type="paragraph" w:customStyle="1" w:styleId="CoverNormal24a">
    <w:name w:val="CoverNormal24a"/>
    <w:basedOn w:val="Normal"/>
    <w:rsid w:val="00EA2C2C"/>
    <w:pPr>
      <w:spacing w:after="480"/>
      <w:ind w:left="1417"/>
    </w:pPr>
  </w:style>
  <w:style w:type="paragraph" w:customStyle="1" w:styleId="CoverNormal">
    <w:name w:val="CoverNormal"/>
    <w:basedOn w:val="Normal"/>
    <w:rsid w:val="00EA2C2C"/>
    <w:pPr>
      <w:ind w:left="1418"/>
    </w:pPr>
  </w:style>
  <w:style w:type="paragraph" w:customStyle="1" w:styleId="NormalCenter12a">
    <w:name w:val="NormalCenter12a"/>
    <w:basedOn w:val="Normal"/>
    <w:rsid w:val="00EA2C2C"/>
    <w:pPr>
      <w:spacing w:after="240"/>
      <w:jc w:val="center"/>
    </w:pPr>
  </w:style>
  <w:style w:type="paragraph" w:customStyle="1" w:styleId="CoverReference">
    <w:name w:val="CoverReference"/>
    <w:basedOn w:val="Normal"/>
    <w:rsid w:val="00EA2C2C"/>
    <w:pPr>
      <w:spacing w:before="1080"/>
      <w:jc w:val="right"/>
    </w:pPr>
    <w:rPr>
      <w:rFonts w:ascii="Arial" w:hAnsi="Arial" w:cs="Arial"/>
      <w:b/>
    </w:rPr>
  </w:style>
  <w:style w:type="paragraph" w:customStyle="1" w:styleId="CoverDocType24a">
    <w:name w:val="CoverDocType24a"/>
    <w:basedOn w:val="Normal"/>
    <w:rsid w:val="00EA2C2C"/>
    <w:pPr>
      <w:spacing w:after="480"/>
      <w:ind w:left="1418"/>
    </w:pPr>
    <w:rPr>
      <w:rFonts w:ascii="Arial" w:hAnsi="Arial"/>
      <w:b/>
      <w:sz w:val="48"/>
    </w:rPr>
  </w:style>
  <w:style w:type="paragraph" w:customStyle="1" w:styleId="CoverDate">
    <w:name w:val="CoverDate"/>
    <w:basedOn w:val="Normal"/>
    <w:rsid w:val="00EA2C2C"/>
    <w:pPr>
      <w:spacing w:before="240" w:after="1200"/>
    </w:pPr>
  </w:style>
  <w:style w:type="paragraph" w:styleId="Header">
    <w:name w:val="header"/>
    <w:basedOn w:val="Normal"/>
    <w:link w:val="HeaderChar"/>
    <w:rsid w:val="00EA2C2C"/>
    <w:pPr>
      <w:tabs>
        <w:tab w:val="center" w:pos="4513"/>
        <w:tab w:val="right" w:pos="9026"/>
      </w:tabs>
    </w:pPr>
  </w:style>
  <w:style w:type="character" w:customStyle="1" w:styleId="HeaderChar">
    <w:name w:val="Header Char"/>
    <w:basedOn w:val="DefaultParagraphFont"/>
    <w:link w:val="Header"/>
    <w:rsid w:val="00EA2C2C"/>
    <w:rPr>
      <w:sz w:val="24"/>
      <w:lang w:val="lv-LV"/>
    </w:rPr>
  </w:style>
  <w:style w:type="paragraph" w:customStyle="1" w:styleId="EPBody">
    <w:name w:val="EPBody"/>
    <w:basedOn w:val="Normal"/>
    <w:rsid w:val="00EA2C2C"/>
    <w:pPr>
      <w:jc w:val="center"/>
    </w:pPr>
    <w:rPr>
      <w:rFonts w:ascii="Arial" w:hAnsi="Arial" w:cs="Arial"/>
      <w:i/>
      <w:sz w:val="22"/>
      <w:szCs w:val="22"/>
    </w:rPr>
  </w:style>
  <w:style w:type="paragraph" w:customStyle="1" w:styleId="EPFooter">
    <w:name w:val="EPFooter"/>
    <w:basedOn w:val="Normal"/>
    <w:link w:val="EPFooterChar"/>
    <w:rsid w:val="00EA2C2C"/>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EA2C2C"/>
    <w:rPr>
      <w:sz w:val="24"/>
      <w:lang w:val="lv-LV"/>
    </w:rPr>
  </w:style>
  <w:style w:type="paragraph" w:customStyle="1" w:styleId="PageHeadingDec">
    <w:name w:val="PageHeadingDec"/>
    <w:basedOn w:val="PageHeading"/>
    <w:link w:val="PageHeadingDecChar"/>
    <w:qFormat/>
    <w:rsid w:val="00EA2C2C"/>
  </w:style>
  <w:style w:type="character" w:customStyle="1" w:styleId="PageHeadingChar">
    <w:name w:val="PageHeading Char"/>
    <w:basedOn w:val="DefaultParagraphFont"/>
    <w:link w:val="PageHeading"/>
    <w:rsid w:val="00EA2C2C"/>
    <w:rPr>
      <w:rFonts w:ascii="Arial" w:hAnsi="Arial" w:cs="Arial"/>
      <w:b/>
      <w:sz w:val="24"/>
      <w:lang w:val="lv-LV"/>
    </w:rPr>
  </w:style>
  <w:style w:type="character" w:customStyle="1" w:styleId="PageHeadingDecChar">
    <w:name w:val="PageHeadingDec Char"/>
    <w:basedOn w:val="PageHeadingChar"/>
    <w:link w:val="PageHeadingDec"/>
    <w:rsid w:val="00EA2C2C"/>
    <w:rPr>
      <w:rFonts w:ascii="Arial" w:hAnsi="Arial" w:cs="Arial"/>
      <w:b/>
      <w:sz w:val="24"/>
      <w:lang w:val="lv-LV"/>
    </w:rPr>
  </w:style>
  <w:style w:type="paragraph" w:styleId="TOC9">
    <w:name w:val="toc 9"/>
    <w:basedOn w:val="Normal"/>
    <w:next w:val="Normal"/>
    <w:autoRedefine/>
    <w:uiPriority w:val="39"/>
    <w:rsid w:val="00EA2C2C"/>
    <w:pPr>
      <w:spacing w:after="100"/>
      <w:jc w:val="center"/>
    </w:pPr>
  </w:style>
  <w:style w:type="paragraph" w:styleId="TOC8">
    <w:name w:val="toc 8"/>
    <w:basedOn w:val="Normal"/>
    <w:next w:val="Normal"/>
    <w:autoRedefine/>
    <w:uiPriority w:val="39"/>
    <w:rsid w:val="00EA2C2C"/>
    <w:pPr>
      <w:spacing w:after="240"/>
    </w:pPr>
    <w:rPr>
      <w:b/>
    </w:rPr>
  </w:style>
  <w:style w:type="paragraph" w:customStyle="1" w:styleId="PageHeadingNotTOC">
    <w:name w:val="PageHeadingNotTOC"/>
    <w:basedOn w:val="Normal"/>
    <w:link w:val="PageHeadingNotTOCChar"/>
    <w:rsid w:val="00EA2C2C"/>
    <w:pPr>
      <w:keepNext/>
      <w:spacing w:after="480"/>
      <w:jc w:val="center"/>
    </w:pPr>
    <w:rPr>
      <w:rFonts w:ascii="Arial" w:hAnsi="Arial" w:cs="Arial"/>
      <w:b/>
    </w:rPr>
  </w:style>
  <w:style w:type="paragraph" w:styleId="TOC7">
    <w:name w:val="toc 7"/>
    <w:basedOn w:val="Normal"/>
    <w:next w:val="Normal"/>
    <w:autoRedefine/>
    <w:uiPriority w:val="39"/>
    <w:rsid w:val="00EA2C2C"/>
    <w:pPr>
      <w:spacing w:after="240"/>
      <w:ind w:left="720" w:hanging="720"/>
    </w:pPr>
  </w:style>
  <w:style w:type="paragraph" w:styleId="BalloonText">
    <w:name w:val="Balloon Text"/>
    <w:basedOn w:val="Normal"/>
    <w:link w:val="BalloonTextChar"/>
    <w:uiPriority w:val="99"/>
    <w:unhideWhenUsed/>
    <w:rsid w:val="00EA2C2C"/>
    <w:rPr>
      <w:rFonts w:ascii="Segoe UI" w:hAnsi="Segoe UI" w:cs="Segoe UI"/>
      <w:sz w:val="18"/>
      <w:szCs w:val="18"/>
    </w:rPr>
  </w:style>
  <w:style w:type="character" w:customStyle="1" w:styleId="BalloonTextChar">
    <w:name w:val="Balloon Text Char"/>
    <w:basedOn w:val="DefaultParagraphFont"/>
    <w:link w:val="BalloonText"/>
    <w:uiPriority w:val="99"/>
    <w:rsid w:val="00EA2C2C"/>
    <w:rPr>
      <w:rFonts w:ascii="Segoe UI" w:hAnsi="Segoe UI" w:cs="Segoe UI"/>
      <w:sz w:val="18"/>
      <w:szCs w:val="18"/>
      <w:lang w:val="lv-LV"/>
    </w:rPr>
  </w:style>
  <w:style w:type="character" w:styleId="Hyperlink">
    <w:name w:val="Hyperlink"/>
    <w:basedOn w:val="DefaultParagraphFont"/>
    <w:rsid w:val="00EA2C2C"/>
    <w:rPr>
      <w:color w:val="0563C1" w:themeColor="hyperlink"/>
      <w:u w:val="single"/>
    </w:rPr>
  </w:style>
  <w:style w:type="character" w:styleId="UnresolvedMention">
    <w:name w:val="Unresolved Mention"/>
    <w:basedOn w:val="DefaultParagraphFont"/>
    <w:uiPriority w:val="99"/>
    <w:semiHidden/>
    <w:unhideWhenUsed/>
    <w:rsid w:val="00EA2C2C"/>
    <w:rPr>
      <w:color w:val="605E5C"/>
      <w:shd w:val="clear" w:color="auto" w:fill="E1DFDD"/>
    </w:rPr>
  </w:style>
  <w:style w:type="character" w:styleId="CommentReference">
    <w:name w:val="annotation reference"/>
    <w:basedOn w:val="DefaultParagraphFont"/>
    <w:rsid w:val="00EA2C2C"/>
    <w:rPr>
      <w:sz w:val="16"/>
      <w:szCs w:val="16"/>
    </w:rPr>
  </w:style>
  <w:style w:type="paragraph" w:styleId="CommentText">
    <w:name w:val="annotation text"/>
    <w:basedOn w:val="Normal"/>
    <w:link w:val="CommentTextChar"/>
    <w:rsid w:val="00EA2C2C"/>
    <w:rPr>
      <w:sz w:val="20"/>
    </w:rPr>
  </w:style>
  <w:style w:type="character" w:customStyle="1" w:styleId="CommentTextChar">
    <w:name w:val="Comment Text Char"/>
    <w:basedOn w:val="DefaultParagraphFont"/>
    <w:link w:val="CommentText"/>
    <w:rsid w:val="00EA2C2C"/>
    <w:rPr>
      <w:lang w:val="lv-LV"/>
    </w:rPr>
  </w:style>
  <w:style w:type="paragraph" w:styleId="CommentSubject">
    <w:name w:val="annotation subject"/>
    <w:basedOn w:val="CommentText"/>
    <w:next w:val="CommentText"/>
    <w:link w:val="CommentSubjectChar"/>
    <w:unhideWhenUsed/>
    <w:rsid w:val="00EA2C2C"/>
    <w:rPr>
      <w:b/>
      <w:bCs/>
    </w:rPr>
  </w:style>
  <w:style w:type="character" w:customStyle="1" w:styleId="CommentSubjectChar">
    <w:name w:val="Comment Subject Char"/>
    <w:basedOn w:val="CommentTextChar"/>
    <w:link w:val="CommentSubject"/>
    <w:rsid w:val="00EA2C2C"/>
    <w:rPr>
      <w:b/>
      <w:bCs/>
      <w:lang w:val="lv-LV"/>
    </w:rPr>
  </w:style>
  <w:style w:type="paragraph" w:styleId="Revision">
    <w:name w:val="Revision"/>
    <w:hidden/>
    <w:uiPriority w:val="99"/>
    <w:semiHidden/>
    <w:rsid w:val="00EA2C2C"/>
    <w:rPr>
      <w:sz w:val="24"/>
      <w:lang w:val="lv-LV"/>
    </w:rPr>
  </w:style>
  <w:style w:type="character" w:styleId="FollowedHyperlink">
    <w:name w:val="FollowedHyperlink"/>
    <w:basedOn w:val="DefaultParagraphFont"/>
    <w:uiPriority w:val="99"/>
    <w:rsid w:val="00EA2C2C"/>
    <w:rPr>
      <w:color w:val="954F72" w:themeColor="followedHyperlink"/>
      <w:u w:val="single"/>
    </w:rPr>
  </w:style>
  <w:style w:type="paragraph" w:customStyle="1" w:styleId="Normal12Hanging">
    <w:name w:val="Normal12Hanging"/>
    <w:basedOn w:val="Normal"/>
    <w:rsid w:val="00EA2C2C"/>
    <w:pPr>
      <w:spacing w:after="240"/>
      <w:ind w:left="567" w:hanging="567"/>
    </w:pPr>
  </w:style>
  <w:style w:type="paragraph" w:customStyle="1" w:styleId="Normal24a">
    <w:name w:val="Normal24a"/>
    <w:basedOn w:val="Normal"/>
    <w:rsid w:val="00EA2C2C"/>
    <w:pPr>
      <w:spacing w:after="480"/>
    </w:pPr>
  </w:style>
  <w:style w:type="paragraph" w:customStyle="1" w:styleId="NormalBoldCenter">
    <w:name w:val="NormalBoldCenter"/>
    <w:basedOn w:val="Normal"/>
    <w:rsid w:val="00EA2C2C"/>
    <w:pPr>
      <w:jc w:val="center"/>
    </w:pPr>
    <w:rPr>
      <w:b/>
    </w:rPr>
  </w:style>
  <w:style w:type="paragraph" w:customStyle="1" w:styleId="Footprint12b">
    <w:name w:val="Footprint12b"/>
    <w:basedOn w:val="Normal"/>
    <w:rsid w:val="00EA2C2C"/>
    <w:pPr>
      <w:spacing w:before="240"/>
    </w:pPr>
    <w:rPr>
      <w:szCs w:val="24"/>
    </w:rPr>
  </w:style>
  <w:style w:type="paragraph" w:customStyle="1" w:styleId="NormalSingle">
    <w:name w:val="NormalSingle"/>
    <w:basedOn w:val="Normal"/>
    <w:qFormat/>
    <w:rsid w:val="00EA2C2C"/>
    <w:rPr>
      <w:szCs w:val="24"/>
    </w:rPr>
  </w:style>
  <w:style w:type="paragraph" w:customStyle="1" w:styleId="Normal12a">
    <w:name w:val="Normal12a"/>
    <w:basedOn w:val="Normal"/>
    <w:rsid w:val="00EA2C2C"/>
    <w:pPr>
      <w:spacing w:after="240"/>
    </w:pPr>
  </w:style>
  <w:style w:type="paragraph" w:customStyle="1" w:styleId="RollCallSymbols14pt">
    <w:name w:val="RollCallSymbols14pt"/>
    <w:basedOn w:val="Normal"/>
    <w:rsid w:val="00EA2C2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A2C2C"/>
    <w:pPr>
      <w:tabs>
        <w:tab w:val="center" w:pos="284"/>
        <w:tab w:val="left" w:pos="426"/>
      </w:tabs>
    </w:pPr>
    <w:rPr>
      <w:snapToGrid w:val="0"/>
      <w:lang w:eastAsia="en-US"/>
    </w:rPr>
  </w:style>
  <w:style w:type="paragraph" w:customStyle="1" w:styleId="RollCallVotes">
    <w:name w:val="RollCallVotes"/>
    <w:basedOn w:val="Normal"/>
    <w:rsid w:val="00EA2C2C"/>
    <w:pPr>
      <w:spacing w:before="120" w:after="120"/>
      <w:jc w:val="center"/>
    </w:pPr>
    <w:rPr>
      <w:b/>
      <w:bCs/>
      <w:snapToGrid w:val="0"/>
      <w:sz w:val="16"/>
      <w:lang w:eastAsia="en-US"/>
    </w:rPr>
  </w:style>
  <w:style w:type="paragraph" w:customStyle="1" w:styleId="RollCallTable">
    <w:name w:val="RollCallTable"/>
    <w:basedOn w:val="Normal"/>
    <w:rsid w:val="00EA2C2C"/>
    <w:pPr>
      <w:spacing w:before="120" w:after="120"/>
    </w:pPr>
    <w:rPr>
      <w:snapToGrid w:val="0"/>
      <w:sz w:val="16"/>
      <w:lang w:eastAsia="en-US"/>
    </w:rPr>
  </w:style>
  <w:style w:type="paragraph" w:customStyle="1" w:styleId="RollCallHeading">
    <w:name w:val="RollCallHeading"/>
    <w:basedOn w:val="Normal"/>
    <w:qFormat/>
    <w:rsid w:val="00EA2C2C"/>
    <w:pPr>
      <w:snapToGrid w:val="0"/>
      <w:spacing w:before="480" w:after="480"/>
      <w:jc w:val="center"/>
    </w:pPr>
    <w:rPr>
      <w:b/>
      <w:sz w:val="28"/>
      <w:lang w:eastAsia="en-US"/>
    </w:rPr>
  </w:style>
  <w:style w:type="paragraph" w:customStyle="1" w:styleId="Normal12">
    <w:name w:val="Normal12"/>
    <w:basedOn w:val="Normal"/>
    <w:qFormat/>
    <w:rsid w:val="00EA2C2C"/>
    <w:pPr>
      <w:snapToGrid w:val="0"/>
      <w:spacing w:after="240"/>
    </w:pPr>
    <w:rPr>
      <w:lang w:eastAsia="en-US"/>
    </w:rPr>
  </w:style>
  <w:style w:type="paragraph" w:customStyle="1" w:styleId="RollCallContents">
    <w:name w:val="RollCallContents"/>
    <w:basedOn w:val="Normal"/>
    <w:qFormat/>
    <w:rsid w:val="00EA2C2C"/>
    <w:pPr>
      <w:snapToGrid w:val="0"/>
      <w:spacing w:before="480" w:after="480"/>
      <w:jc w:val="center"/>
    </w:pPr>
    <w:rPr>
      <w:b/>
      <w:lang w:eastAsia="en-US"/>
    </w:rPr>
  </w:style>
  <w:style w:type="paragraph" w:customStyle="1" w:styleId="RollCallSubtitle">
    <w:name w:val="RollCallSubtitle"/>
    <w:basedOn w:val="Normal"/>
    <w:link w:val="RollCallSubtitleChar"/>
    <w:qFormat/>
    <w:rsid w:val="00EA2C2C"/>
    <w:pPr>
      <w:snapToGrid w:val="0"/>
      <w:spacing w:after="240"/>
    </w:pPr>
    <w:rPr>
      <w:lang w:eastAsia="en-US"/>
    </w:rPr>
  </w:style>
  <w:style w:type="paragraph" w:customStyle="1" w:styleId="NormalTabs">
    <w:name w:val="NormalTabs"/>
    <w:basedOn w:val="Normal"/>
    <w:qFormat/>
    <w:rsid w:val="00EA2C2C"/>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EA2C2C"/>
    <w:rPr>
      <w:rFonts w:ascii="Arial" w:hAnsi="Arial" w:cs="Arial"/>
      <w:b/>
      <w:sz w:val="24"/>
      <w:lang w:val="lv-LV"/>
    </w:rPr>
  </w:style>
  <w:style w:type="character" w:customStyle="1" w:styleId="RollCallSubtitleChar">
    <w:name w:val="RollCallSubtitle Char"/>
    <w:basedOn w:val="DefaultParagraphFont"/>
    <w:link w:val="RollCallSubtitle"/>
    <w:rsid w:val="00EA2C2C"/>
    <w:rPr>
      <w:sz w:val="24"/>
      <w:lang w:val="lv-LV" w:eastAsia="en-US"/>
    </w:rPr>
  </w:style>
  <w:style w:type="character" w:customStyle="1" w:styleId="EPFooter2Char">
    <w:name w:val="EPFooter2 Char"/>
    <w:basedOn w:val="RollCallSubtitleChar"/>
    <w:link w:val="EPFooter2"/>
    <w:rsid w:val="00EA2C2C"/>
    <w:rPr>
      <w:rFonts w:ascii="Arial" w:hAnsi="Arial" w:cs="Arial"/>
      <w:b/>
      <w:sz w:val="48"/>
      <w:lang w:val="lv-LV" w:eastAsia="en-US"/>
    </w:rPr>
  </w:style>
  <w:style w:type="character" w:customStyle="1" w:styleId="EPFooterChar">
    <w:name w:val="EPFooter Char"/>
    <w:basedOn w:val="RollCallSubtitleChar"/>
    <w:link w:val="EPFooter"/>
    <w:rsid w:val="00EA2C2C"/>
    <w:rPr>
      <w:color w:val="010000"/>
      <w:sz w:val="22"/>
      <w:lang w:val="lv-LV" w:eastAsia="en-US"/>
    </w:rPr>
  </w:style>
  <w:style w:type="paragraph" w:customStyle="1" w:styleId="NormalBold0">
    <w:name w:val="Normal Bold"/>
    <w:basedOn w:val="Normal"/>
    <w:uiPriority w:val="99"/>
    <w:rsid w:val="00EA2C2C"/>
    <w:pPr>
      <w:snapToGrid w:val="0"/>
    </w:pPr>
    <w:rPr>
      <w:b/>
      <w:lang w:eastAsia="en-US"/>
    </w:rPr>
  </w:style>
  <w:style w:type="paragraph" w:styleId="Footer">
    <w:name w:val="footer"/>
    <w:basedOn w:val="Normal"/>
    <w:link w:val="FooterChar"/>
    <w:uiPriority w:val="99"/>
    <w:rsid w:val="00EA2C2C"/>
    <w:pPr>
      <w:tabs>
        <w:tab w:val="center" w:pos="4513"/>
        <w:tab w:val="right" w:pos="9026"/>
      </w:tabs>
    </w:pPr>
  </w:style>
  <w:style w:type="character" w:customStyle="1" w:styleId="FooterChar">
    <w:name w:val="Footer Char"/>
    <w:basedOn w:val="DefaultParagraphFont"/>
    <w:link w:val="Footer"/>
    <w:uiPriority w:val="99"/>
    <w:rsid w:val="00EA2C2C"/>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435524">
      <w:bodyDiv w:val="1"/>
      <w:marLeft w:val="0"/>
      <w:marRight w:val="0"/>
      <w:marTop w:val="0"/>
      <w:marBottom w:val="0"/>
      <w:divBdr>
        <w:top w:val="none" w:sz="0" w:space="0" w:color="auto"/>
        <w:left w:val="none" w:sz="0" w:space="0" w:color="auto"/>
        <w:bottom w:val="none" w:sz="0" w:space="0" w:color="auto"/>
        <w:right w:val="none" w:sz="0" w:space="0" w:color="auto"/>
      </w:divBdr>
    </w:div>
    <w:div w:id="69311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171</Pages>
  <Words>41103</Words>
  <Characters>266120</Characters>
  <Application>Microsoft Office Word</Application>
  <DocSecurity>0</DocSecurity>
  <Lines>10235</Lines>
  <Paragraphs>3233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2026-05-13T06:57:00Z</dcterms:created>
  <dcterms:modified xsi:type="dcterms:W3CDTF">2026-05-13T06:57:00Z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P10_TA(2026)0136_</vt:lpwstr>
  </property>
  <property fmtid="{D5CDD505-2E9C-101B-9397-08002B2CF9AE}" pid="4" name="&lt;Type&gt;">
    <vt:lpwstr>RR</vt:lpwstr>
  </property>
</Properties>
</file>