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6.xml" ContentType="application/vnd.openxmlformats-officedocument.wordprocessingml.header+xml"/>
  <Override PartName="/word/footer7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537" w14:paraId="7E3D9D6A" w14:textId="77777777" w:rsidTr="0010095E">
        <w:trPr>
          <w:trHeight w:hRule="exact" w:val="1418"/>
        </w:trPr>
        <w:tc>
          <w:tcPr>
            <w:tcW w:w="6804" w:type="dxa"/>
            <w:shd w:val="clear" w:color="auto" w:fill="auto"/>
            <w:vAlign w:val="center"/>
          </w:tcPr>
          <w:p w14:paraId="78E8D9CE" w14:textId="77777777" w:rsidR="00751A4A" w:rsidRPr="004D0537" w:rsidRDefault="0053608B" w:rsidP="0010095E">
            <w:pPr>
              <w:pStyle w:val="EPName"/>
            </w:pPr>
            <w:r w:rsidRPr="004D0537">
              <w:t>Europaparlamentet</w:t>
            </w:r>
          </w:p>
          <w:p w14:paraId="17F89DA3" w14:textId="77777777" w:rsidR="00751A4A" w:rsidRPr="004D0537" w:rsidRDefault="005F1B17" w:rsidP="005F1B17">
            <w:pPr>
              <w:pStyle w:val="EPTerm"/>
              <w:rPr>
                <w:rStyle w:val="HideTWBExt"/>
                <w:noProof w:val="0"/>
                <w:vanish w:val="0"/>
                <w:color w:val="auto"/>
              </w:rPr>
            </w:pPr>
            <w:r w:rsidRPr="004D0537">
              <w:t>2024</w:t>
            </w:r>
            <w:r w:rsidR="00817416" w:rsidRPr="004D0537">
              <w:t>-202</w:t>
            </w:r>
            <w:r w:rsidRPr="004D0537">
              <w:t>9</w:t>
            </w:r>
          </w:p>
        </w:tc>
        <w:tc>
          <w:tcPr>
            <w:tcW w:w="2268" w:type="dxa"/>
            <w:shd w:val="clear" w:color="auto" w:fill="auto"/>
          </w:tcPr>
          <w:p w14:paraId="37C43BF9" w14:textId="77777777" w:rsidR="00751A4A" w:rsidRPr="004D0537" w:rsidRDefault="00187494" w:rsidP="0010095E">
            <w:pPr>
              <w:pStyle w:val="EPLogo"/>
            </w:pPr>
            <w:r w:rsidRPr="004D0537">
              <w:rPr>
                <w:noProof/>
                <w:lang w:eastAsia="ja-JP"/>
              </w:rPr>
              <w:drawing>
                <wp:inline distT="0" distB="0" distL="0" distR="0" wp14:anchorId="75CC63F0" wp14:editId="3D22DB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CCE32C" w14:textId="77777777" w:rsidR="00D058B8" w:rsidRPr="004D0537" w:rsidRDefault="00D058B8" w:rsidP="004C5D52">
      <w:pPr>
        <w:pStyle w:val="LineTop"/>
      </w:pPr>
    </w:p>
    <w:p w14:paraId="7B33C59B" w14:textId="77777777" w:rsidR="00680577" w:rsidRPr="004D0537" w:rsidRDefault="0053608B" w:rsidP="00680577">
      <w:pPr>
        <w:pStyle w:val="EPBodyTA1"/>
      </w:pPr>
      <w:r w:rsidRPr="004D0537">
        <w:t>ANTAGNA TEXTER</w:t>
      </w:r>
    </w:p>
    <w:p w14:paraId="0C30B51C" w14:textId="77777777" w:rsidR="00D058B8" w:rsidRPr="004D0537" w:rsidRDefault="00D058B8" w:rsidP="00D058B8">
      <w:pPr>
        <w:pStyle w:val="LineBottom"/>
      </w:pPr>
    </w:p>
    <w:p w14:paraId="43A0B8EE" w14:textId="7A4586F2" w:rsidR="0053608B" w:rsidRPr="004D0537" w:rsidRDefault="0053608B" w:rsidP="0053608B">
      <w:pPr>
        <w:pStyle w:val="ATHeading1"/>
      </w:pPr>
      <w:bookmarkStart w:id="0" w:name="TANumber"/>
      <w:r w:rsidRPr="004D0537">
        <w:t>P10_TA(2026)</w:t>
      </w:r>
      <w:bookmarkEnd w:id="0"/>
      <w:r w:rsidR="00F86C5B" w:rsidRPr="004D0537">
        <w:t>0136</w:t>
      </w:r>
    </w:p>
    <w:p w14:paraId="07E3606D" w14:textId="77777777" w:rsidR="0053608B" w:rsidRPr="004D0537" w:rsidRDefault="0053608B" w:rsidP="0053608B">
      <w:pPr>
        <w:pStyle w:val="ATHeading2"/>
      </w:pPr>
      <w:bookmarkStart w:id="1" w:name="title"/>
      <w:r w:rsidRPr="004D0537">
        <w:t>Ansvarsfrihet 2024: byråer</w:t>
      </w:r>
      <w:bookmarkEnd w:id="1"/>
    </w:p>
    <w:p w14:paraId="38F6E088" w14:textId="77777777" w:rsidR="0053608B" w:rsidRPr="004D0537" w:rsidRDefault="0053608B" w:rsidP="0053608B">
      <w:pPr>
        <w:rPr>
          <w:i/>
          <w:vanish/>
        </w:rPr>
      </w:pPr>
      <w:r w:rsidRPr="004D0537">
        <w:rPr>
          <w:i/>
        </w:rPr>
        <w:fldChar w:fldCharType="begin"/>
      </w:r>
      <w:r w:rsidRPr="004D0537">
        <w:rPr>
          <w:i/>
        </w:rPr>
        <w:instrText xml:space="preserve"> TC"(</w:instrText>
      </w:r>
      <w:bookmarkStart w:id="2" w:name="DocNumber"/>
      <w:r w:rsidRPr="004D0537">
        <w:rPr>
          <w:i/>
        </w:rPr>
        <w:instrText>A10-0087/2026</w:instrText>
      </w:r>
      <w:bookmarkEnd w:id="2"/>
      <w:r w:rsidRPr="004D0537">
        <w:rPr>
          <w:i/>
        </w:rPr>
        <w:instrText xml:space="preserve"> - Föredragande: Monika Hohlmeier)"\l3 \n&gt; \* MERGEFORMAT </w:instrText>
      </w:r>
      <w:r w:rsidRPr="004D0537">
        <w:rPr>
          <w:i/>
        </w:rPr>
        <w:fldChar w:fldCharType="end"/>
      </w:r>
    </w:p>
    <w:p w14:paraId="72109E51" w14:textId="77777777" w:rsidR="0053608B" w:rsidRPr="004D0537" w:rsidRDefault="0053608B" w:rsidP="0053608B">
      <w:pPr>
        <w:rPr>
          <w:vanish/>
        </w:rPr>
      </w:pPr>
      <w:bookmarkStart w:id="3" w:name="Commission"/>
      <w:r w:rsidRPr="004D0537">
        <w:rPr>
          <w:vanish/>
        </w:rPr>
        <w:t>Budgetkontrollutskottet</w:t>
      </w:r>
      <w:bookmarkEnd w:id="3"/>
    </w:p>
    <w:p w14:paraId="02966C43" w14:textId="77777777" w:rsidR="0053608B" w:rsidRPr="004D0537" w:rsidRDefault="0053608B" w:rsidP="0053608B">
      <w:pPr>
        <w:rPr>
          <w:vanish/>
        </w:rPr>
      </w:pPr>
      <w:bookmarkStart w:id="4" w:name="PE"/>
      <w:r w:rsidRPr="004D0537">
        <w:rPr>
          <w:vanish/>
        </w:rPr>
        <w:t>PE776.806</w:t>
      </w:r>
      <w:bookmarkEnd w:id="4"/>
    </w:p>
    <w:p w14:paraId="45A396BE" w14:textId="76695667" w:rsidR="004B06CC" w:rsidRPr="004D0537" w:rsidRDefault="00DC628C" w:rsidP="00DC628C">
      <w:pPr>
        <w:pStyle w:val="ATHeading3"/>
      </w:pPr>
      <w:r w:rsidRPr="004D0537">
        <w:t xml:space="preserve">1. Europaparlamentets beslut av den 29 april </w:t>
      </w:r>
      <w:r w:rsidR="00091EB7" w:rsidRPr="004D0537">
        <w:t xml:space="preserve">2026 </w:t>
      </w:r>
      <w:r w:rsidR="004B06CC" w:rsidRPr="004D0537">
        <w:t>om ansvarsfrihet för genomförandet av budgeten för Europeiska unionens byrå för samarbete mellan energitillsynsmyndigheter för budgetåret 2024</w:t>
      </w:r>
      <w:r w:rsidRPr="004D0537">
        <w:t xml:space="preserve"> </w:t>
      </w:r>
      <w:r w:rsidR="004B06CC" w:rsidRPr="004D0537">
        <w:t>(2025/2156(DEC))</w:t>
      </w:r>
    </w:p>
    <w:p w14:paraId="2FDABF8E" w14:textId="77777777" w:rsidR="004B06CC" w:rsidRPr="004D0537" w:rsidRDefault="004B06CC" w:rsidP="004B06CC">
      <w:pPr>
        <w:spacing w:before="480" w:after="240"/>
      </w:pPr>
      <w:r w:rsidRPr="004D0537">
        <w:rPr>
          <w:i/>
          <w:iCs/>
        </w:rPr>
        <w:t>Europaparlamentet fattar detta beslut</w:t>
      </w:r>
    </w:p>
    <w:p w14:paraId="75F37DD4" w14:textId="77777777" w:rsidR="004B06CC" w:rsidRPr="004D0537" w:rsidRDefault="004B06CC" w:rsidP="004B06CC">
      <w:pPr>
        <w:spacing w:after="240"/>
        <w:ind w:left="567" w:hanging="567"/>
      </w:pPr>
      <w:r w:rsidRPr="004D0537">
        <w:t>–</w:t>
      </w:r>
      <w:r w:rsidRPr="004D0537">
        <w:tab/>
        <w:t>med beaktande av den slutliga årsredovisningen för Europeiska unionens byrå för samarbete mellan energitillsynsmyndigheter för budgetåret 2024,</w:t>
      </w:r>
    </w:p>
    <w:p w14:paraId="192F26A7"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
      </w:r>
      <w:r w:rsidRPr="004D0537">
        <w:t>,</w:t>
      </w:r>
    </w:p>
    <w:p w14:paraId="40EA993A"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
      </w:r>
      <w:r w:rsidRPr="004D0537">
        <w:t>, som avgetts av revisionsrätten för budgetåret 2024 i enlighet med artikel 287 i fördraget om Europeiska unionens funktionssätt,</w:t>
      </w:r>
    </w:p>
    <w:p w14:paraId="030527A2"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77CE11FE"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7953A8F"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
      </w:r>
      <w:r w:rsidRPr="004D0537">
        <w:t>, särskilt artikel 70,</w:t>
      </w:r>
    </w:p>
    <w:p w14:paraId="72F43F1C" w14:textId="77777777" w:rsidR="004B06CC" w:rsidRPr="004D0537" w:rsidRDefault="004B06CC" w:rsidP="004B06CC">
      <w:pPr>
        <w:spacing w:after="240"/>
        <w:ind w:left="567" w:hanging="567"/>
      </w:pPr>
      <w:r w:rsidRPr="004D0537">
        <w:t>–</w:t>
      </w:r>
      <w:r w:rsidRPr="004D0537">
        <w:tab/>
        <w:t xml:space="preserve">med beaktande av Europaparlamentets och rådets förordning (EU, Euratom) 2024/2509 </w:t>
      </w:r>
      <w:r w:rsidRPr="004D0537">
        <w:lastRenderedPageBreak/>
        <w:t>av den 23 september 2024 om finansiella regler för unionens allmänna budget</w:t>
      </w:r>
      <w:r w:rsidRPr="004D0537">
        <w:rPr>
          <w:vertAlign w:val="superscript"/>
        </w:rPr>
        <w:footnoteReference w:id="4"/>
      </w:r>
      <w:r w:rsidRPr="004D0537">
        <w:t>, särskilt artikel 70,</w:t>
      </w:r>
    </w:p>
    <w:p w14:paraId="1F261A19" w14:textId="77777777" w:rsidR="004B06CC" w:rsidRPr="004D0537" w:rsidRDefault="004B06CC" w:rsidP="004B06CC">
      <w:pPr>
        <w:spacing w:after="240"/>
        <w:ind w:left="567" w:hanging="567"/>
      </w:pPr>
      <w:r w:rsidRPr="004D0537">
        <w:t>–</w:t>
      </w:r>
      <w:r w:rsidRPr="004D0537">
        <w:tab/>
        <w:t>med beaktande av Europaparlamentets och rådets förordning (EU) 2019/942 av den 5 juni 2019 om inrättande av Europeiska unionens byrå för samarbete mellan energitillsynsmyndigheter</w:t>
      </w:r>
      <w:r w:rsidRPr="004D0537">
        <w:rPr>
          <w:vertAlign w:val="superscript"/>
        </w:rPr>
        <w:footnoteReference w:id="5"/>
      </w:r>
      <w:r w:rsidRPr="004D0537">
        <w:t>, särskilt artikel 35,</w:t>
      </w:r>
    </w:p>
    <w:p w14:paraId="13C3ED8D"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6"/>
      </w:r>
      <w:r w:rsidRPr="004D0537">
        <w:t>, särskilt artikel 105,</w:t>
      </w:r>
    </w:p>
    <w:p w14:paraId="5E7D041A" w14:textId="77777777" w:rsidR="004B06CC" w:rsidRPr="004D0537" w:rsidRDefault="004B06CC" w:rsidP="004B06CC">
      <w:pPr>
        <w:spacing w:after="240"/>
        <w:ind w:left="567" w:hanging="567"/>
      </w:pPr>
      <w:r w:rsidRPr="004D0537">
        <w:t>–</w:t>
      </w:r>
      <w:r w:rsidRPr="004D0537">
        <w:tab/>
        <w:t>med beaktande av artikel 102 och bilaga V i arbetsordningen,</w:t>
      </w:r>
    </w:p>
    <w:p w14:paraId="7D133707"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653302B9"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70FC64B9" w14:textId="77777777" w:rsidR="004B06CC" w:rsidRPr="004D0537" w:rsidRDefault="004B06CC" w:rsidP="004B06CC">
      <w:pPr>
        <w:spacing w:after="240"/>
        <w:ind w:left="567" w:hanging="567"/>
      </w:pPr>
      <w:r w:rsidRPr="004D0537">
        <w:t>1.</w:t>
      </w:r>
      <w:r w:rsidRPr="004D0537">
        <w:tab/>
        <w:t>Europaparlamentet beviljar den tillförordnade direktören för Europeiska unionens byrå för samarbete mellan energitillsynsmyndigheter ansvarsfrihet för genomförandet av byråns budget för budgetåret 2024.</w:t>
      </w:r>
    </w:p>
    <w:p w14:paraId="1DB0EE2B"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27AD9CE6"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direktören för Europeiska unionens byrå för samarbete mellan energitillsynsmyndigheter, rådet, kommissionen och revisionsrätten, och att se till att de offentliggörs i </w:t>
      </w:r>
      <w:r w:rsidRPr="004D0537">
        <w:rPr>
          <w:i/>
          <w:iCs/>
        </w:rPr>
        <w:t>Europeiska unionens officiella tidning</w:t>
      </w:r>
      <w:r w:rsidRPr="004D0537">
        <w:t xml:space="preserve"> (L-serien).</w:t>
      </w:r>
    </w:p>
    <w:p w14:paraId="4A68DCA6" w14:textId="77777777" w:rsidR="004B06CC" w:rsidRPr="004D0537" w:rsidRDefault="004B06CC" w:rsidP="004B06CC"/>
    <w:p w14:paraId="33E5B5E1" w14:textId="77777777" w:rsidR="004B06CC" w:rsidRPr="004D0537" w:rsidRDefault="004B06CC" w:rsidP="004B06CC">
      <w:pPr>
        <w:spacing w:after="480"/>
        <w:jc w:val="center"/>
        <w:rPr>
          <w:rFonts w:cs="Arial"/>
          <w:b/>
        </w:rPr>
        <w:sectPr w:rsidR="004B06CC" w:rsidRPr="004D0537" w:rsidSect="003A4A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8F2CE8" w14:textId="4F267406" w:rsidR="004B06CC" w:rsidRPr="004D0537" w:rsidRDefault="00DC628C" w:rsidP="00091EB7">
      <w:pPr>
        <w:pStyle w:val="ATHeading3"/>
      </w:pPr>
      <w:r w:rsidRPr="004D0537">
        <w:lastRenderedPageBreak/>
        <w:t xml:space="preserve">2. Europaparlamentets beslut av den 29 april </w:t>
      </w:r>
      <w:r w:rsidR="00091EB7" w:rsidRPr="004D0537">
        <w:t xml:space="preserve">2026 </w:t>
      </w:r>
      <w:r w:rsidR="004B06CC" w:rsidRPr="004D0537">
        <w:t>om avslutande av räkenskaperna för Europeiska unionens byrå för samarbete mellan energitillsynsmyndigheter för budgetåret 2024</w:t>
      </w:r>
      <w:r w:rsidRPr="004D0537">
        <w:t xml:space="preserve"> </w:t>
      </w:r>
      <w:r w:rsidR="004B06CC" w:rsidRPr="004D0537">
        <w:t>(2025/2156(DEC))</w:t>
      </w:r>
    </w:p>
    <w:p w14:paraId="23BA8165" w14:textId="77777777" w:rsidR="004B06CC" w:rsidRPr="004D0537" w:rsidRDefault="004B06CC" w:rsidP="004B06CC">
      <w:pPr>
        <w:spacing w:before="480" w:after="240"/>
      </w:pPr>
      <w:r w:rsidRPr="004D0537">
        <w:rPr>
          <w:i/>
          <w:iCs/>
        </w:rPr>
        <w:t>Europaparlamentet fattar detta beslut</w:t>
      </w:r>
    </w:p>
    <w:p w14:paraId="4502D39C" w14:textId="77777777" w:rsidR="004B06CC" w:rsidRPr="004D0537" w:rsidRDefault="004B06CC" w:rsidP="004B06CC">
      <w:pPr>
        <w:spacing w:after="240"/>
        <w:ind w:left="567" w:hanging="567"/>
      </w:pPr>
      <w:r w:rsidRPr="004D0537">
        <w:t>–</w:t>
      </w:r>
      <w:r w:rsidRPr="004D0537">
        <w:tab/>
        <w:t>med beaktande av den slutliga årsredovisningen för Europeiska unionens byrå för samarbete mellan energitillsynsmyndigheter för budgetåret 2024,</w:t>
      </w:r>
    </w:p>
    <w:p w14:paraId="187CF24C"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7"/>
      </w:r>
      <w:r w:rsidRPr="004D0537">
        <w:t>,</w:t>
      </w:r>
    </w:p>
    <w:p w14:paraId="0C68134C"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8"/>
      </w:r>
      <w:r w:rsidRPr="004D0537">
        <w:t>, som avgetts av revisionsrätten för budgetåret 2024 i enlighet med artikel 287 i fördraget om Europeiska unionens funktionssätt,</w:t>
      </w:r>
    </w:p>
    <w:p w14:paraId="0FB8FB3E"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468B2894"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63A0924D"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9"/>
      </w:r>
      <w:r w:rsidRPr="004D0537">
        <w:t>, särskilt artikel 70,</w:t>
      </w:r>
    </w:p>
    <w:p w14:paraId="22197A54"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0"/>
      </w:r>
      <w:r w:rsidRPr="004D0537">
        <w:t>, särskilt artikel 70,</w:t>
      </w:r>
    </w:p>
    <w:p w14:paraId="4676A0A3" w14:textId="77777777" w:rsidR="004B06CC" w:rsidRPr="004D0537" w:rsidRDefault="004B06CC" w:rsidP="004B06CC">
      <w:pPr>
        <w:spacing w:after="240"/>
        <w:ind w:left="567" w:hanging="567"/>
      </w:pPr>
      <w:r w:rsidRPr="004D0537">
        <w:t>–</w:t>
      </w:r>
      <w:r w:rsidRPr="004D0537">
        <w:tab/>
        <w:t>med beaktande av Europaparlamentets och rådets förordning (EU) 2019/942 av den 5 juni 2019 om inrättande av Europeiska unionens byrå för samarbete mellan energitillsynsmyndigheter</w:t>
      </w:r>
      <w:r w:rsidRPr="004D0537">
        <w:rPr>
          <w:vertAlign w:val="superscript"/>
        </w:rPr>
        <w:footnoteReference w:id="11"/>
      </w:r>
      <w:r w:rsidRPr="004D0537">
        <w:t>, särskilt artikel 35,</w:t>
      </w:r>
    </w:p>
    <w:p w14:paraId="4FFD68ED"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2"/>
      </w:r>
      <w:r w:rsidRPr="004D0537">
        <w:t>, särskilt artikel 105,</w:t>
      </w:r>
    </w:p>
    <w:p w14:paraId="47AF3286" w14:textId="77777777" w:rsidR="004B06CC" w:rsidRPr="004D0537" w:rsidRDefault="004B06CC" w:rsidP="004B06CC">
      <w:pPr>
        <w:spacing w:after="240"/>
        <w:ind w:left="567" w:hanging="567"/>
      </w:pPr>
      <w:r w:rsidRPr="004D0537">
        <w:t>–</w:t>
      </w:r>
      <w:r w:rsidRPr="004D0537">
        <w:tab/>
        <w:t>med beaktande av artikel 102 och bilaga V i arbetsordningen,</w:t>
      </w:r>
    </w:p>
    <w:p w14:paraId="27322422"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49A103F1"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41211B5A" w14:textId="77777777" w:rsidR="004B06CC" w:rsidRPr="004D0537" w:rsidRDefault="004B06CC" w:rsidP="004B06CC">
      <w:pPr>
        <w:spacing w:after="240"/>
        <w:ind w:left="567" w:hanging="567"/>
      </w:pPr>
      <w:r w:rsidRPr="004D0537">
        <w:t>1.</w:t>
      </w:r>
      <w:r w:rsidRPr="004D0537">
        <w:tab/>
        <w:t>Europaparlamentet godkänner avslutandet av räkenskaperna för Europeiska unionens byrå för samarbete mellan energitillsynsmyndigheter för budgetåret 2024.</w:t>
      </w:r>
    </w:p>
    <w:p w14:paraId="2E232DA1"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den tillförordnade direktören för Europeiska unionens byrå för samarbete mellan energitillsynsmyndigheter, rådet, kommissionen och revisionsrätten, och att se till att det offentliggörs i </w:t>
      </w:r>
      <w:r w:rsidRPr="004D0537">
        <w:rPr>
          <w:i/>
          <w:iCs/>
        </w:rPr>
        <w:t>Europeiska unionens officiella tidning</w:t>
      </w:r>
      <w:r w:rsidRPr="004D0537">
        <w:t xml:space="preserve"> (L-serien).</w:t>
      </w:r>
    </w:p>
    <w:p w14:paraId="169A3C7A" w14:textId="77777777" w:rsidR="004B06CC" w:rsidRPr="004D0537" w:rsidRDefault="004B06CC" w:rsidP="004B06CC"/>
    <w:p w14:paraId="724CD52C" w14:textId="77777777" w:rsidR="004B06CC" w:rsidRPr="004D0537" w:rsidRDefault="004B06CC" w:rsidP="00DC628C">
      <w:pPr>
        <w:spacing w:after="480"/>
        <w:rPr>
          <w:rFonts w:cs="Arial"/>
          <w:b/>
        </w:rPr>
        <w:sectPr w:rsidR="004B06CC" w:rsidRPr="004D0537" w:rsidSect="003A4AB5">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B1F32D" w14:textId="3FAA27BB" w:rsidR="004B06CC" w:rsidRPr="004D0537" w:rsidRDefault="00DC628C" w:rsidP="00DC628C">
      <w:pPr>
        <w:pStyle w:val="ATHeading3"/>
      </w:pPr>
      <w:r w:rsidRPr="004D0537">
        <w:lastRenderedPageBreak/>
        <w:t xml:space="preserve">3. Europaparlamentets beslut av den 29 april </w:t>
      </w:r>
      <w:r w:rsidR="00091EB7" w:rsidRPr="004D0537">
        <w:t xml:space="preserve">2026 </w:t>
      </w:r>
      <w:r w:rsidR="004B06CC" w:rsidRPr="004D0537">
        <w:t xml:space="preserve">om ansvarsfrihet för genomförandet av budgeten för Byrån för stöd till </w:t>
      </w:r>
      <w:proofErr w:type="spellStart"/>
      <w:r w:rsidR="004B06CC" w:rsidRPr="004D0537">
        <w:t>Berec</w:t>
      </w:r>
      <w:proofErr w:type="spellEnd"/>
      <w:r w:rsidR="004B06CC" w:rsidRPr="004D0537">
        <w:t xml:space="preserve"> för budgetåret 2024</w:t>
      </w:r>
      <w:r w:rsidRPr="004D0537">
        <w:t xml:space="preserve"> </w:t>
      </w:r>
      <w:r w:rsidR="004B06CC" w:rsidRPr="004D0537">
        <w:t>(2025/2156(DEC))</w:t>
      </w:r>
    </w:p>
    <w:p w14:paraId="49CAE63B" w14:textId="77777777" w:rsidR="004B06CC" w:rsidRPr="004D0537" w:rsidRDefault="004B06CC" w:rsidP="004B06CC">
      <w:pPr>
        <w:spacing w:before="480" w:after="240"/>
      </w:pPr>
      <w:r w:rsidRPr="004D0537">
        <w:rPr>
          <w:i/>
          <w:iCs/>
        </w:rPr>
        <w:t>Europaparlamentet fattar detta beslut</w:t>
      </w:r>
    </w:p>
    <w:p w14:paraId="07EF39F5" w14:textId="77777777" w:rsidR="004B06CC" w:rsidRPr="004D0537" w:rsidRDefault="004B06CC" w:rsidP="004B06CC">
      <w:pPr>
        <w:spacing w:after="240"/>
        <w:ind w:left="567" w:hanging="567"/>
      </w:pPr>
      <w:r w:rsidRPr="004D0537">
        <w:t>–</w:t>
      </w:r>
      <w:r w:rsidRPr="004D0537">
        <w:tab/>
        <w:t xml:space="preserve">med beaktande av den slutliga årsredovisningen för Byrån för stöd till </w:t>
      </w:r>
      <w:proofErr w:type="spellStart"/>
      <w:r w:rsidRPr="004D0537">
        <w:t>Berec</w:t>
      </w:r>
      <w:proofErr w:type="spellEnd"/>
      <w:r w:rsidRPr="004D0537">
        <w:t xml:space="preserve"> för budgetåret 2024,</w:t>
      </w:r>
    </w:p>
    <w:p w14:paraId="7F8F1B48"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3"/>
      </w:r>
      <w:r w:rsidRPr="004D0537">
        <w:t>,</w:t>
      </w:r>
    </w:p>
    <w:p w14:paraId="30168A99"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4"/>
      </w:r>
      <w:r w:rsidRPr="004D0537">
        <w:t>, som avgetts av revisionsrätten för budgetåret 2024 i enlighet med artikel 287 i fördraget om Europeiska unionens funktionssätt,</w:t>
      </w:r>
    </w:p>
    <w:p w14:paraId="6BCFE9B8"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22462564"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78153661"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5"/>
      </w:r>
      <w:r w:rsidRPr="004D0537">
        <w:t>, särskilt artikel 70,</w:t>
      </w:r>
    </w:p>
    <w:p w14:paraId="60D42B43"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6"/>
      </w:r>
      <w:r w:rsidRPr="004D0537">
        <w:t>, särskilt artikel 70,</w:t>
      </w:r>
    </w:p>
    <w:p w14:paraId="468C8547" w14:textId="77777777" w:rsidR="004B06CC" w:rsidRPr="004D0537" w:rsidRDefault="004B06CC" w:rsidP="004B06CC">
      <w:pPr>
        <w:spacing w:after="240"/>
        <w:ind w:left="567" w:hanging="567"/>
      </w:pPr>
      <w:r w:rsidRPr="004D0537">
        <w:t>–</w:t>
      </w:r>
      <w:r w:rsidRPr="004D0537">
        <w:tab/>
        <w:t>med beaktande av Europaparlamentets och rådets förordning (EU) 2018/1971 av den 11 december 2018 om inrättande av Organet för europeiska regleringsmyndigheter för elektronisk kommunikation (</w:t>
      </w:r>
      <w:proofErr w:type="spellStart"/>
      <w:r w:rsidRPr="004D0537">
        <w:t>Berec</w:t>
      </w:r>
      <w:proofErr w:type="spellEnd"/>
      <w:r w:rsidRPr="004D0537">
        <w:t xml:space="preserve">) och Byrån för stöd till </w:t>
      </w:r>
      <w:proofErr w:type="spellStart"/>
      <w:r w:rsidRPr="004D0537">
        <w:t>Berec</w:t>
      </w:r>
      <w:proofErr w:type="spellEnd"/>
      <w:r w:rsidRPr="004D0537">
        <w:t xml:space="preserve"> (</w:t>
      </w:r>
      <w:proofErr w:type="spellStart"/>
      <w:r w:rsidRPr="004D0537">
        <w:t>Berecbyrån</w:t>
      </w:r>
      <w:proofErr w:type="spellEnd"/>
      <w:r w:rsidRPr="004D0537">
        <w:t>), om ändring av förordning (EU) 2015/2120 och om upphävande av förordning (EG) nr 1211/2009</w:t>
      </w:r>
      <w:r w:rsidRPr="004D0537">
        <w:rPr>
          <w:vertAlign w:val="superscript"/>
        </w:rPr>
        <w:footnoteReference w:id="17"/>
      </w:r>
      <w:r w:rsidRPr="004D0537">
        <w:t>, särskilt artikel 28,</w:t>
      </w:r>
    </w:p>
    <w:p w14:paraId="17E1C9C4"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8"/>
      </w:r>
      <w:r w:rsidRPr="004D0537">
        <w:t>, särskilt artikel 105,</w:t>
      </w:r>
    </w:p>
    <w:p w14:paraId="4C0616EE"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20AA812E"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482A7796"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203A7FF9" w14:textId="77777777" w:rsidR="004B06CC" w:rsidRPr="004D0537" w:rsidRDefault="004B06CC" w:rsidP="004B06CC">
      <w:pPr>
        <w:spacing w:after="240"/>
        <w:ind w:left="567" w:hanging="567"/>
      </w:pPr>
      <w:r w:rsidRPr="004D0537">
        <w:t>1.</w:t>
      </w:r>
      <w:r w:rsidRPr="004D0537">
        <w:tab/>
        <w:t xml:space="preserve">Europaparlamentet beviljar direktören för Byrån för stöd till </w:t>
      </w:r>
      <w:proofErr w:type="spellStart"/>
      <w:r w:rsidRPr="004D0537">
        <w:t>Berec</w:t>
      </w:r>
      <w:proofErr w:type="spellEnd"/>
      <w:r w:rsidRPr="004D0537">
        <w:t xml:space="preserve"> ansvarsfrihet för genomförandet av byråns budget för budgetåret 2024.</w:t>
      </w:r>
    </w:p>
    <w:p w14:paraId="7F4C3C0F"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2AA90C07"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direktören för Byrån för stöd till </w:t>
      </w:r>
      <w:proofErr w:type="spellStart"/>
      <w:r w:rsidRPr="004D0537">
        <w:t>Berec</w:t>
      </w:r>
      <w:proofErr w:type="spellEnd"/>
      <w:r w:rsidRPr="004D0537">
        <w:t xml:space="preserve">, rådet, kommissionen och revisionsrätten, och att se till att de offentliggörs i </w:t>
      </w:r>
      <w:r w:rsidRPr="004D0537">
        <w:rPr>
          <w:i/>
          <w:iCs/>
        </w:rPr>
        <w:t>Europeiska unionens officiella tidning</w:t>
      </w:r>
      <w:r w:rsidRPr="004D0537">
        <w:t xml:space="preserve"> (L-serien).</w:t>
      </w:r>
    </w:p>
    <w:p w14:paraId="323F36B2" w14:textId="77777777" w:rsidR="004B06CC" w:rsidRPr="004D0537" w:rsidRDefault="004B06CC" w:rsidP="004B06CC"/>
    <w:p w14:paraId="3E220F73" w14:textId="77777777" w:rsidR="004B06CC" w:rsidRPr="004D0537" w:rsidRDefault="004B06CC" w:rsidP="004B06CC">
      <w:pPr>
        <w:spacing w:after="480"/>
        <w:jc w:val="center"/>
        <w:rPr>
          <w:rFonts w:cs="Arial"/>
          <w:b/>
        </w:rPr>
        <w:sectPr w:rsidR="004B06CC" w:rsidRPr="004D0537" w:rsidSect="003A4AB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EBB125" w14:textId="369221C7" w:rsidR="004B06CC" w:rsidRPr="004D0537" w:rsidRDefault="00DC628C" w:rsidP="00DC628C">
      <w:pPr>
        <w:pStyle w:val="ATHeading3"/>
      </w:pPr>
      <w:r w:rsidRPr="004D0537">
        <w:lastRenderedPageBreak/>
        <w:t xml:space="preserve">4. Europaparlamentets beslut av den 29 april </w:t>
      </w:r>
      <w:r w:rsidR="00091EB7" w:rsidRPr="004D0537">
        <w:t xml:space="preserve">2026 </w:t>
      </w:r>
      <w:r w:rsidR="004B06CC" w:rsidRPr="004D0537">
        <w:t xml:space="preserve">om avslutande av räkenskaperna för Byrån för stöd till </w:t>
      </w:r>
      <w:proofErr w:type="spellStart"/>
      <w:r w:rsidR="004B06CC" w:rsidRPr="004D0537">
        <w:t>Berec</w:t>
      </w:r>
      <w:proofErr w:type="spellEnd"/>
      <w:r w:rsidR="004B06CC" w:rsidRPr="004D0537">
        <w:t xml:space="preserve"> för budgetåret 2024</w:t>
      </w:r>
      <w:r w:rsidRPr="004D0537">
        <w:t xml:space="preserve"> </w:t>
      </w:r>
      <w:r w:rsidR="004B06CC" w:rsidRPr="004D0537">
        <w:t>(2025/2156(DEC))</w:t>
      </w:r>
    </w:p>
    <w:p w14:paraId="38F79C54" w14:textId="77777777" w:rsidR="004B06CC" w:rsidRPr="004D0537" w:rsidRDefault="004B06CC" w:rsidP="004B06CC">
      <w:pPr>
        <w:spacing w:before="480" w:after="240"/>
      </w:pPr>
      <w:r w:rsidRPr="004D0537">
        <w:rPr>
          <w:i/>
          <w:iCs/>
        </w:rPr>
        <w:t>Europaparlamentet fattar detta beslut</w:t>
      </w:r>
    </w:p>
    <w:p w14:paraId="0E350BB9" w14:textId="77777777" w:rsidR="004B06CC" w:rsidRPr="004D0537" w:rsidRDefault="004B06CC" w:rsidP="004B06CC">
      <w:pPr>
        <w:spacing w:after="240"/>
        <w:ind w:left="567" w:hanging="567"/>
      </w:pPr>
      <w:r w:rsidRPr="004D0537">
        <w:t>–</w:t>
      </w:r>
      <w:r w:rsidRPr="004D0537">
        <w:tab/>
        <w:t xml:space="preserve">med beaktande av den slutliga årsredovisningen för Byrån för stöd till </w:t>
      </w:r>
      <w:proofErr w:type="spellStart"/>
      <w:r w:rsidRPr="004D0537">
        <w:t>Berec</w:t>
      </w:r>
      <w:proofErr w:type="spellEnd"/>
      <w:r w:rsidRPr="004D0537">
        <w:t xml:space="preserve"> för budgetåret 2024,</w:t>
      </w:r>
    </w:p>
    <w:p w14:paraId="240F7D71"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9"/>
      </w:r>
      <w:r w:rsidRPr="004D0537">
        <w:t>,</w:t>
      </w:r>
    </w:p>
    <w:p w14:paraId="014C2B9A"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0"/>
      </w:r>
      <w:r w:rsidRPr="004D0537">
        <w:t>, som avgetts av revisionsrätten för budgetåret 2024 i enlighet med artikel 287 i fördraget om Europeiska unionens funktionssätt,</w:t>
      </w:r>
    </w:p>
    <w:p w14:paraId="6231545D"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197E4E14"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1D860F7D"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1"/>
      </w:r>
      <w:r w:rsidRPr="004D0537">
        <w:t>, särskilt artikel 70,</w:t>
      </w:r>
    </w:p>
    <w:p w14:paraId="3B0CE70E"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2"/>
      </w:r>
      <w:r w:rsidRPr="004D0537">
        <w:t>, särskilt artikel 70,</w:t>
      </w:r>
    </w:p>
    <w:p w14:paraId="7908EA36" w14:textId="77777777" w:rsidR="004B06CC" w:rsidRPr="004D0537" w:rsidRDefault="004B06CC" w:rsidP="004B06CC">
      <w:pPr>
        <w:spacing w:after="240"/>
        <w:ind w:left="567" w:hanging="567"/>
      </w:pPr>
      <w:r w:rsidRPr="004D0537">
        <w:t>–</w:t>
      </w:r>
      <w:r w:rsidRPr="004D0537">
        <w:tab/>
        <w:t>med beaktande av Europaparlamentets och rådets förordning (EU) 2018/1971 av den 11 december 2018 om inrättande av Organet för europeiska regleringsmyndigheter för elektronisk kommunikation (</w:t>
      </w:r>
      <w:proofErr w:type="spellStart"/>
      <w:r w:rsidRPr="004D0537">
        <w:t>Berec</w:t>
      </w:r>
      <w:proofErr w:type="spellEnd"/>
      <w:r w:rsidRPr="004D0537">
        <w:t xml:space="preserve">) och Byrån för stöd till </w:t>
      </w:r>
      <w:proofErr w:type="spellStart"/>
      <w:r w:rsidRPr="004D0537">
        <w:t>Berec</w:t>
      </w:r>
      <w:proofErr w:type="spellEnd"/>
      <w:r w:rsidRPr="004D0537">
        <w:t xml:space="preserve"> (</w:t>
      </w:r>
      <w:proofErr w:type="spellStart"/>
      <w:r w:rsidRPr="004D0537">
        <w:t>Berecbyrån</w:t>
      </w:r>
      <w:proofErr w:type="spellEnd"/>
      <w:r w:rsidRPr="004D0537">
        <w:t>), om ändring av förordning (EU) 2015/2120 och om upphävande av förordning (EG) nr 1211/2009</w:t>
      </w:r>
      <w:r w:rsidRPr="004D0537">
        <w:rPr>
          <w:vertAlign w:val="superscript"/>
        </w:rPr>
        <w:footnoteReference w:id="23"/>
      </w:r>
      <w:r w:rsidRPr="004D0537">
        <w:t>, särskilt artikel 28,</w:t>
      </w:r>
    </w:p>
    <w:p w14:paraId="660E098F"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4"/>
      </w:r>
      <w:r w:rsidRPr="004D0537">
        <w:t>, särskilt artikel 105,</w:t>
      </w:r>
    </w:p>
    <w:p w14:paraId="43919B2D" w14:textId="77777777" w:rsidR="004B06CC" w:rsidRPr="004D0537" w:rsidRDefault="004B06CC" w:rsidP="004B06CC">
      <w:pPr>
        <w:spacing w:after="240"/>
        <w:ind w:left="567" w:hanging="567"/>
      </w:pPr>
      <w:r w:rsidRPr="004D0537">
        <w:t>–</w:t>
      </w:r>
      <w:r w:rsidRPr="004D0537">
        <w:tab/>
        <w:t>med beaktande av artikel 102 och bilaga V i arbetsordningen,</w:t>
      </w:r>
    </w:p>
    <w:p w14:paraId="43FADA39"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0992A47D"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59BCF27A" w14:textId="77777777" w:rsidR="004B06CC" w:rsidRPr="004D0537" w:rsidRDefault="004B06CC" w:rsidP="004B06CC">
      <w:pPr>
        <w:spacing w:after="240"/>
        <w:ind w:left="567" w:hanging="567"/>
      </w:pPr>
      <w:r w:rsidRPr="004D0537">
        <w:t>1.</w:t>
      </w:r>
      <w:r w:rsidRPr="004D0537">
        <w:tab/>
        <w:t xml:space="preserve">Europaparlamentet godkänner avslutandet av räkenskaperna för Byrån för stöd till </w:t>
      </w:r>
      <w:proofErr w:type="spellStart"/>
      <w:r w:rsidRPr="004D0537">
        <w:t>Berec</w:t>
      </w:r>
      <w:proofErr w:type="spellEnd"/>
      <w:r w:rsidRPr="004D0537">
        <w:t xml:space="preserve"> för budgetåret 2024.</w:t>
      </w:r>
    </w:p>
    <w:p w14:paraId="40AF0C76"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direktören för Byrån för stöd till </w:t>
      </w:r>
      <w:proofErr w:type="spellStart"/>
      <w:r w:rsidRPr="004D0537">
        <w:t>Berec</w:t>
      </w:r>
      <w:proofErr w:type="spellEnd"/>
      <w:r w:rsidRPr="004D0537">
        <w:t xml:space="preserve">, rådet, kommissionen och revisionsrätten, och att se till att det offentliggörs i </w:t>
      </w:r>
      <w:r w:rsidRPr="004D0537">
        <w:rPr>
          <w:i/>
          <w:iCs/>
        </w:rPr>
        <w:t>Europeiska unionens officiella tidning</w:t>
      </w:r>
      <w:r w:rsidRPr="004D0537">
        <w:t xml:space="preserve"> (L-serien).</w:t>
      </w:r>
    </w:p>
    <w:p w14:paraId="167DD20D" w14:textId="77777777" w:rsidR="004B06CC" w:rsidRPr="004D0537" w:rsidRDefault="004B06CC" w:rsidP="004B06CC"/>
    <w:p w14:paraId="694518A5" w14:textId="77777777" w:rsidR="004B06CC" w:rsidRPr="004D0537" w:rsidRDefault="004B06CC" w:rsidP="00DC628C">
      <w:pPr>
        <w:spacing w:after="480"/>
        <w:rPr>
          <w:rFonts w:cs="Arial"/>
          <w:b/>
        </w:rPr>
        <w:sectPr w:rsidR="004B06CC" w:rsidRPr="004D0537" w:rsidSect="003A4AB5">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CB8775" w14:textId="76E219FB" w:rsidR="004B06CC" w:rsidRPr="004D0537" w:rsidRDefault="00091EB7" w:rsidP="00091EB7">
      <w:pPr>
        <w:pStyle w:val="ATHeading3"/>
      </w:pPr>
      <w:r w:rsidRPr="004D0537">
        <w:lastRenderedPageBreak/>
        <w:t xml:space="preserve">5. Europaparlamentets beslut av den 29 april 2026 </w:t>
      </w:r>
      <w:r w:rsidR="004B06CC" w:rsidRPr="004D0537">
        <w:t>om ansvarsfrihet för genomförandet av budgeten för Översättningscentrum för Europeiska unionens organ för budgetåret 202</w:t>
      </w:r>
      <w:r w:rsidRPr="004D0537">
        <w:t xml:space="preserve">4 </w:t>
      </w:r>
      <w:r w:rsidR="004B06CC" w:rsidRPr="004D0537">
        <w:t>(2025/2156(DEC))</w:t>
      </w:r>
    </w:p>
    <w:p w14:paraId="61189966" w14:textId="77777777" w:rsidR="004B06CC" w:rsidRPr="004D0537" w:rsidRDefault="004B06CC" w:rsidP="004B06CC">
      <w:pPr>
        <w:spacing w:before="480" w:after="240"/>
      </w:pPr>
      <w:r w:rsidRPr="004D0537">
        <w:rPr>
          <w:i/>
          <w:iCs/>
        </w:rPr>
        <w:t>Europaparlamentet fattar detta beslut</w:t>
      </w:r>
    </w:p>
    <w:p w14:paraId="07C1CEAD" w14:textId="77777777" w:rsidR="004B06CC" w:rsidRPr="004D0537" w:rsidRDefault="004B06CC" w:rsidP="004B06CC">
      <w:pPr>
        <w:spacing w:after="240"/>
        <w:ind w:left="567" w:hanging="567"/>
      </w:pPr>
      <w:r w:rsidRPr="004D0537">
        <w:t>–</w:t>
      </w:r>
      <w:r w:rsidRPr="004D0537">
        <w:tab/>
        <w:t>med beaktande av den slutliga årsredovisningen för Översättningscentrum för Europeiska unionens organ för budgetåret 2024,</w:t>
      </w:r>
    </w:p>
    <w:p w14:paraId="3122768D"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5"/>
      </w:r>
      <w:r w:rsidRPr="004D0537">
        <w:t>,</w:t>
      </w:r>
    </w:p>
    <w:p w14:paraId="122ABF70"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6"/>
      </w:r>
      <w:r w:rsidRPr="004D0537">
        <w:t>, som avgetts av revisionsrätten för budgetåret 2024 i enlighet med artikel 287 i fördraget om Europeiska unionens funktionssätt,</w:t>
      </w:r>
    </w:p>
    <w:p w14:paraId="0CFEF8B8" w14:textId="77777777" w:rsidR="004B06CC" w:rsidRPr="004D0537" w:rsidRDefault="004B06CC" w:rsidP="004B06CC">
      <w:pPr>
        <w:spacing w:after="240"/>
        <w:ind w:left="567" w:hanging="567"/>
      </w:pPr>
      <w:r w:rsidRPr="004D0537">
        <w:t>–</w:t>
      </w:r>
      <w:r w:rsidRPr="004D0537">
        <w:tab/>
        <w:t>med beaktande av rådets rekommendation av den 2 mars 2026 om att bevilja centrumet ansvarsfrihet för genomförandet av budgeten för budgetåret 2024 (05750/2026 – C10</w:t>
      </w:r>
      <w:r w:rsidRPr="004D0537">
        <w:noBreakHyphen/>
        <w:t>0148/2026),</w:t>
      </w:r>
    </w:p>
    <w:p w14:paraId="2C9853D5"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6AD4D390"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7"/>
      </w:r>
      <w:r w:rsidRPr="004D0537">
        <w:t>, särskilt artikel 70,</w:t>
      </w:r>
    </w:p>
    <w:p w14:paraId="01C53C91"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8"/>
      </w:r>
      <w:r w:rsidRPr="004D0537">
        <w:t>, särskilt artikel 70,</w:t>
      </w:r>
    </w:p>
    <w:p w14:paraId="06B146E5" w14:textId="77777777" w:rsidR="004B06CC" w:rsidRPr="004D0537" w:rsidRDefault="004B06CC" w:rsidP="004B06CC">
      <w:pPr>
        <w:spacing w:after="240"/>
        <w:ind w:left="567" w:hanging="567"/>
      </w:pPr>
      <w:r w:rsidRPr="004D0537">
        <w:t>–</w:t>
      </w:r>
      <w:r w:rsidRPr="004D0537">
        <w:tab/>
        <w:t>med beaktande av rådets förordning (EG) nr 2965/94 av den 28 november 1994 om upprättande av ett översättningscentrum för Europeiska unionens organ</w:t>
      </w:r>
      <w:r w:rsidRPr="004D0537">
        <w:rPr>
          <w:vertAlign w:val="superscript"/>
        </w:rPr>
        <w:footnoteReference w:id="29"/>
      </w:r>
      <w:r w:rsidRPr="004D0537">
        <w:t>, särskilt artikel 14,</w:t>
      </w:r>
    </w:p>
    <w:p w14:paraId="59F965DB"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0"/>
      </w:r>
      <w:r w:rsidRPr="004D0537">
        <w:t>, särskilt artikel 105,</w:t>
      </w:r>
    </w:p>
    <w:p w14:paraId="4FC568E7" w14:textId="77777777" w:rsidR="004B06CC" w:rsidRPr="004D0537" w:rsidRDefault="004B06CC" w:rsidP="004B06CC">
      <w:pPr>
        <w:spacing w:after="240"/>
        <w:ind w:left="567" w:hanging="567"/>
      </w:pPr>
      <w:r w:rsidRPr="004D0537">
        <w:t>–</w:t>
      </w:r>
      <w:r w:rsidRPr="004D0537">
        <w:tab/>
        <w:t>med beaktande av artikel 102 och bilaga V i arbetsordningen,</w:t>
      </w:r>
    </w:p>
    <w:p w14:paraId="6356351E"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7D409982"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324E19B9" w14:textId="77777777" w:rsidR="004B06CC" w:rsidRPr="004D0537" w:rsidRDefault="004B06CC" w:rsidP="004B06CC">
      <w:pPr>
        <w:spacing w:after="240"/>
        <w:ind w:left="567" w:hanging="567"/>
      </w:pPr>
      <w:r w:rsidRPr="004D0537">
        <w:t>1.</w:t>
      </w:r>
      <w:r w:rsidRPr="004D0537">
        <w:tab/>
        <w:t>Europaparlamentet beviljar den tillförordnade direktören för Översättningscentrum för Europeiska unionens organ ansvarsfrihet för genomförandet av centrumets budget för budgetåret 2024.</w:t>
      </w:r>
    </w:p>
    <w:p w14:paraId="793D8DAB"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4970D38E"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den tillförordnade direktören för Översättningscentrum för Europeiska unionens organ, rådet, kommissionen och revisionsrätten, och att se till att de offentliggörs i </w:t>
      </w:r>
      <w:r w:rsidRPr="004D0537">
        <w:rPr>
          <w:i/>
          <w:iCs/>
        </w:rPr>
        <w:t>Europeiska unionens officiella tidning</w:t>
      </w:r>
      <w:r w:rsidRPr="004D0537">
        <w:t xml:space="preserve"> (L-serien).</w:t>
      </w:r>
    </w:p>
    <w:p w14:paraId="0870C0F0" w14:textId="77777777" w:rsidR="004B06CC" w:rsidRPr="004D0537" w:rsidRDefault="004B06CC" w:rsidP="004B06CC"/>
    <w:p w14:paraId="68A65C33" w14:textId="77777777" w:rsidR="004B06CC" w:rsidRPr="004D0537" w:rsidRDefault="004B06CC" w:rsidP="004B06CC">
      <w:pPr>
        <w:spacing w:after="480"/>
        <w:jc w:val="center"/>
        <w:rPr>
          <w:rFonts w:cs="Arial"/>
          <w:b/>
        </w:rPr>
        <w:sectPr w:rsidR="004B06CC" w:rsidRPr="004D0537" w:rsidSect="003A4AB5">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A57A9C9" w14:textId="75662A5F" w:rsidR="004B06CC" w:rsidRPr="004D0537" w:rsidRDefault="00091EB7" w:rsidP="00091EB7">
      <w:pPr>
        <w:pStyle w:val="ATHeading3"/>
      </w:pPr>
      <w:r w:rsidRPr="004D0537">
        <w:lastRenderedPageBreak/>
        <w:t xml:space="preserve">6. Europaparlamentets beslut av den 29 april 2026 </w:t>
      </w:r>
      <w:r w:rsidR="004B06CC" w:rsidRPr="004D0537">
        <w:t>om avslutande av räkenskaperna för Översättningscentrum för Europeiska unionens organ för budgetåret 2024</w:t>
      </w:r>
      <w:r w:rsidRPr="004D0537">
        <w:t xml:space="preserve"> </w:t>
      </w:r>
      <w:r w:rsidR="004B06CC" w:rsidRPr="004D0537">
        <w:t>(2025/2156(DEC))</w:t>
      </w:r>
    </w:p>
    <w:p w14:paraId="20196B46" w14:textId="77777777" w:rsidR="004B06CC" w:rsidRPr="004D0537" w:rsidRDefault="004B06CC" w:rsidP="004B06CC">
      <w:pPr>
        <w:spacing w:before="480" w:after="240"/>
      </w:pPr>
      <w:r w:rsidRPr="004D0537">
        <w:rPr>
          <w:i/>
          <w:iCs/>
        </w:rPr>
        <w:t>Europaparlamentet fattar detta beslut</w:t>
      </w:r>
    </w:p>
    <w:p w14:paraId="0A351B73" w14:textId="77777777" w:rsidR="004B06CC" w:rsidRPr="004D0537" w:rsidRDefault="004B06CC" w:rsidP="004B06CC">
      <w:pPr>
        <w:spacing w:after="240"/>
        <w:ind w:left="567" w:hanging="567"/>
      </w:pPr>
      <w:r w:rsidRPr="004D0537">
        <w:t>–</w:t>
      </w:r>
      <w:r w:rsidRPr="004D0537">
        <w:tab/>
        <w:t>med beaktande av den slutliga årsredovisningen för Översättningscentrum för Europeiska unionens organ för budgetåret 2024,</w:t>
      </w:r>
    </w:p>
    <w:p w14:paraId="326AB50A"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1"/>
      </w:r>
      <w:r w:rsidRPr="004D0537">
        <w:t>,</w:t>
      </w:r>
    </w:p>
    <w:p w14:paraId="42B00531"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2"/>
      </w:r>
      <w:r w:rsidRPr="004D0537">
        <w:t>, som avgetts av revisionsrätten för budgetåret 2024 i enlighet med artikel 287 i fördraget om Europeiska unionens funktionssätt,</w:t>
      </w:r>
    </w:p>
    <w:p w14:paraId="75C40A5B" w14:textId="77777777" w:rsidR="004B06CC" w:rsidRPr="004D0537" w:rsidRDefault="004B06CC" w:rsidP="004B06CC">
      <w:pPr>
        <w:spacing w:after="240"/>
        <w:ind w:left="567" w:hanging="567"/>
      </w:pPr>
      <w:r w:rsidRPr="004D0537">
        <w:t>–</w:t>
      </w:r>
      <w:r w:rsidRPr="004D0537">
        <w:tab/>
        <w:t>med beaktande av rådets rekommendation av den 2 mars 2026 om att bevilja centrumet ansvarsfrihet för genomförandet av budgeten för budgetåret 2024 (05750/2026 – C10</w:t>
      </w:r>
      <w:r w:rsidRPr="004D0537">
        <w:noBreakHyphen/>
        <w:t>0148/2026),</w:t>
      </w:r>
    </w:p>
    <w:p w14:paraId="7CCE31ED"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0D5E4E75"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3"/>
      </w:r>
      <w:r w:rsidRPr="004D0537">
        <w:t>, särskilt artikel 70,</w:t>
      </w:r>
    </w:p>
    <w:p w14:paraId="75F48DA1"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4"/>
      </w:r>
      <w:r w:rsidRPr="004D0537">
        <w:t>, särskilt artikel 70,</w:t>
      </w:r>
    </w:p>
    <w:p w14:paraId="41EA635B" w14:textId="77777777" w:rsidR="004B06CC" w:rsidRPr="004D0537" w:rsidRDefault="004B06CC" w:rsidP="004B06CC">
      <w:pPr>
        <w:spacing w:after="240"/>
        <w:ind w:left="567" w:hanging="567"/>
      </w:pPr>
      <w:r w:rsidRPr="004D0537">
        <w:t>–</w:t>
      </w:r>
      <w:r w:rsidRPr="004D0537">
        <w:tab/>
        <w:t>med beaktande av rådets förordning (EG) nr 2965/94 av den 28 november 1994 om upprättande av ett översättningscentrum för Europeiska unionens organ</w:t>
      </w:r>
      <w:r w:rsidRPr="004D0537">
        <w:rPr>
          <w:vertAlign w:val="superscript"/>
        </w:rPr>
        <w:footnoteReference w:id="35"/>
      </w:r>
      <w:r w:rsidRPr="004D0537">
        <w:t>, särskilt artikel 14,</w:t>
      </w:r>
    </w:p>
    <w:p w14:paraId="57F27C4A"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6"/>
      </w:r>
      <w:r w:rsidRPr="004D0537">
        <w:t>, särskilt artikel 105,</w:t>
      </w:r>
    </w:p>
    <w:p w14:paraId="0C9701BF" w14:textId="77777777" w:rsidR="004B06CC" w:rsidRPr="004D0537" w:rsidRDefault="004B06CC" w:rsidP="004B06CC">
      <w:pPr>
        <w:spacing w:after="240"/>
        <w:ind w:left="567" w:hanging="567"/>
      </w:pPr>
      <w:r w:rsidRPr="004D0537">
        <w:t>–</w:t>
      </w:r>
      <w:r w:rsidRPr="004D0537">
        <w:tab/>
        <w:t>med beaktande av artikel 102 och bilaga V i arbetsordningen,</w:t>
      </w:r>
    </w:p>
    <w:p w14:paraId="182AAE37"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386A45CE"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004B0CC" w14:textId="77777777" w:rsidR="004B06CC" w:rsidRPr="004D0537" w:rsidRDefault="004B06CC" w:rsidP="004B06CC">
      <w:pPr>
        <w:spacing w:after="240"/>
        <w:ind w:left="567" w:hanging="567"/>
      </w:pPr>
      <w:r w:rsidRPr="004D0537">
        <w:t>1.</w:t>
      </w:r>
      <w:r w:rsidRPr="004D0537">
        <w:tab/>
        <w:t>Europaparlamentet godkänner avslutandet av räkenskaperna för Översättningscentrum för Europeiska unionens organ för budgetåret 2024.</w:t>
      </w:r>
    </w:p>
    <w:p w14:paraId="2EFF6E75"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den tillförordnade direktören för Översättningscentrum för Europeiska unionens organ, rådet, kommissionen och revisionsrätten, och att se till att det offentliggörs i </w:t>
      </w:r>
      <w:r w:rsidRPr="004D0537">
        <w:rPr>
          <w:i/>
          <w:iCs/>
        </w:rPr>
        <w:t>Europeiska unionens officiella tidning</w:t>
      </w:r>
      <w:r w:rsidRPr="004D0537">
        <w:t xml:space="preserve"> (L serien).</w:t>
      </w:r>
    </w:p>
    <w:p w14:paraId="61DCF13A" w14:textId="77777777" w:rsidR="004B06CC" w:rsidRPr="004D0537" w:rsidRDefault="004B06CC" w:rsidP="004B06CC">
      <w:pPr>
        <w:spacing w:after="480"/>
        <w:jc w:val="center"/>
        <w:rPr>
          <w:rFonts w:cs="Arial"/>
          <w:b/>
        </w:rPr>
        <w:sectPr w:rsidR="004B06CC" w:rsidRPr="004D0537" w:rsidSect="003A4AB5">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5389DC" w14:textId="4D0FE886" w:rsidR="004B06CC" w:rsidRPr="004D0537" w:rsidRDefault="00091EB7" w:rsidP="00091EB7">
      <w:pPr>
        <w:pStyle w:val="ATHeading3"/>
      </w:pPr>
      <w:r w:rsidRPr="004D0537">
        <w:lastRenderedPageBreak/>
        <w:t xml:space="preserve">7. Europaparlamentets beslut av den 29 april 2026 </w:t>
      </w:r>
      <w:r w:rsidR="004B06CC" w:rsidRPr="004D0537">
        <w:t>om ansvarsfrihet för genomförandet av budgeten för Europeiska centrumet för utveckling av yrkesutbildning för budgetåret 202</w:t>
      </w:r>
      <w:r w:rsidRPr="004D0537">
        <w:t xml:space="preserve">4 </w:t>
      </w:r>
      <w:r w:rsidR="004B06CC" w:rsidRPr="004D0537">
        <w:t>(2025/2156(DEC))</w:t>
      </w:r>
    </w:p>
    <w:p w14:paraId="4CDC6682" w14:textId="77777777" w:rsidR="004B06CC" w:rsidRPr="004D0537" w:rsidRDefault="004B06CC" w:rsidP="004B06CC">
      <w:pPr>
        <w:spacing w:before="480" w:after="240"/>
      </w:pPr>
      <w:r w:rsidRPr="004D0537">
        <w:rPr>
          <w:i/>
          <w:iCs/>
        </w:rPr>
        <w:t>Europaparlamentet fattar detta beslut</w:t>
      </w:r>
    </w:p>
    <w:p w14:paraId="3E555BCC" w14:textId="77777777" w:rsidR="004B06CC" w:rsidRPr="004D0537" w:rsidRDefault="004B06CC" w:rsidP="004B06CC">
      <w:pPr>
        <w:spacing w:after="240"/>
        <w:ind w:left="567" w:hanging="567"/>
      </w:pPr>
      <w:r w:rsidRPr="004D0537">
        <w:t>–</w:t>
      </w:r>
      <w:r w:rsidRPr="004D0537">
        <w:tab/>
        <w:t>med beaktande av den slutliga årsredovisningen för Europeiska centrumet för utveckling av yrkesutbildning för budgetåret 2024,</w:t>
      </w:r>
    </w:p>
    <w:p w14:paraId="6BAF8164"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7"/>
      </w:r>
      <w:r w:rsidRPr="004D0537">
        <w:t>,</w:t>
      </w:r>
    </w:p>
    <w:p w14:paraId="4703C2D4"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8"/>
      </w:r>
      <w:r w:rsidRPr="004D0537">
        <w:t>, som avgetts av revisionsrätten för budgetåret 2024 i enlighet med artikel 287 i fördraget om Europeiska unionens funktionssätt,</w:t>
      </w:r>
    </w:p>
    <w:p w14:paraId="76560F43" w14:textId="77777777" w:rsidR="004B06CC" w:rsidRPr="004D0537" w:rsidRDefault="004B06CC" w:rsidP="004B06CC">
      <w:pPr>
        <w:spacing w:after="240"/>
        <w:ind w:left="567" w:hanging="567"/>
      </w:pPr>
      <w:r w:rsidRPr="004D0537">
        <w:t>–</w:t>
      </w:r>
      <w:r w:rsidRPr="004D0537">
        <w:tab/>
        <w:t>med beaktande av rådets rekommendation av den 2 mars 2026 om att bevilja centrumet ansvarsfrihet för genomförandet av budgeten för budgetåret 2024 (05750/2026 – C10</w:t>
      </w:r>
      <w:r w:rsidRPr="004D0537">
        <w:noBreakHyphen/>
        <w:t>0148/2026),</w:t>
      </w:r>
    </w:p>
    <w:p w14:paraId="5E946BC8"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7EF7CDF7"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9"/>
      </w:r>
      <w:r w:rsidRPr="004D0537">
        <w:t>, särskilt artikel 70,</w:t>
      </w:r>
    </w:p>
    <w:p w14:paraId="03A575AB"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40"/>
      </w:r>
      <w:r w:rsidRPr="004D0537">
        <w:t>, särskilt artikel 70,</w:t>
      </w:r>
    </w:p>
    <w:p w14:paraId="7D9FDB30" w14:textId="77777777" w:rsidR="004B06CC" w:rsidRPr="004D0537" w:rsidRDefault="004B06CC" w:rsidP="004B06CC">
      <w:pPr>
        <w:spacing w:after="240"/>
        <w:ind w:left="567" w:hanging="567"/>
      </w:pPr>
      <w:r w:rsidRPr="004D0537">
        <w:t>–</w:t>
      </w:r>
      <w:r w:rsidRPr="004D0537">
        <w:tab/>
        <w:t>med beaktande av Europaparlamentets och rådets förordning (EU) 2019/128 av den 16 januari 2019 om inrättande av ett europeiskt centrum för utveckling av yrkesutbildning (</w:t>
      </w:r>
      <w:proofErr w:type="spellStart"/>
      <w:r w:rsidRPr="004D0537">
        <w:t>Cedefop</w:t>
      </w:r>
      <w:proofErr w:type="spellEnd"/>
      <w:r w:rsidRPr="004D0537">
        <w:t>) och om upphävande av rådets förordning (EEG) nr 337/75</w:t>
      </w:r>
      <w:r w:rsidRPr="004D0537">
        <w:rPr>
          <w:vertAlign w:val="superscript"/>
        </w:rPr>
        <w:footnoteReference w:id="41"/>
      </w:r>
      <w:r w:rsidRPr="004D0537">
        <w:t>, särskilt artikel 15,</w:t>
      </w:r>
    </w:p>
    <w:p w14:paraId="78A8B7DF"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42"/>
      </w:r>
      <w:r w:rsidRPr="004D0537">
        <w:t>, särskilt artikel 105,</w:t>
      </w:r>
    </w:p>
    <w:p w14:paraId="7BA2D487"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30C03C40"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59D42ACE"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3B7B0C95" w14:textId="77777777" w:rsidR="004B06CC" w:rsidRPr="004D0537" w:rsidRDefault="004B06CC" w:rsidP="004B06CC">
      <w:pPr>
        <w:spacing w:after="240"/>
        <w:ind w:left="567" w:hanging="567"/>
      </w:pPr>
      <w:r w:rsidRPr="004D0537">
        <w:t>1.</w:t>
      </w:r>
      <w:r w:rsidRPr="004D0537">
        <w:tab/>
        <w:t>Europaparlamentet beviljar verkställande direktören för Europeiska centrumet för utveckling av yrkesutbildning ansvarsfrihet för genomförandet av centrumets budget för budgetåret 2024.</w:t>
      </w:r>
    </w:p>
    <w:p w14:paraId="7A9E919B"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3044F393"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centrumet för utveckling av yrkesutbildning, rådet, kommissionen och revisionsrätten, och att se till att de offentliggörs i </w:t>
      </w:r>
      <w:r w:rsidRPr="004D0537">
        <w:rPr>
          <w:i/>
          <w:iCs/>
        </w:rPr>
        <w:t>Europeiska unionens officiella tidning</w:t>
      </w:r>
      <w:r w:rsidRPr="004D0537">
        <w:t xml:space="preserve"> (L-serien).</w:t>
      </w:r>
    </w:p>
    <w:p w14:paraId="60412970" w14:textId="77777777" w:rsidR="004B06CC" w:rsidRPr="004D0537" w:rsidRDefault="004B06CC" w:rsidP="004B06CC"/>
    <w:p w14:paraId="3EDFA220" w14:textId="77777777" w:rsidR="004B06CC" w:rsidRPr="004D0537" w:rsidRDefault="004B06CC" w:rsidP="00DC628C">
      <w:pPr>
        <w:spacing w:after="480"/>
        <w:rPr>
          <w:rFonts w:cs="Arial"/>
          <w:b/>
        </w:rPr>
        <w:sectPr w:rsidR="004B06CC" w:rsidRPr="004D0537" w:rsidSect="003A4AB5">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849138" w14:textId="2A21F221" w:rsidR="004B06CC" w:rsidRPr="004D0537" w:rsidRDefault="004D0537" w:rsidP="00091EB7">
      <w:pPr>
        <w:pStyle w:val="ATHeading3"/>
      </w:pPr>
      <w:r w:rsidRPr="004D0537">
        <w:lastRenderedPageBreak/>
        <w:t>8</w:t>
      </w:r>
      <w:r w:rsidR="00091EB7" w:rsidRPr="004D0537">
        <w:t xml:space="preserve">. Europaparlamentets beslut av den 29 april 2026 </w:t>
      </w:r>
      <w:r w:rsidR="004B06CC" w:rsidRPr="004D0537">
        <w:t>om avslutande av räkenskaperna för Europeiska centrumet för utveckling av yrkesutbildning för budgetåret 202</w:t>
      </w:r>
      <w:r w:rsidR="00091EB7" w:rsidRPr="004D0537">
        <w:t xml:space="preserve">4 </w:t>
      </w:r>
      <w:r w:rsidR="004B06CC" w:rsidRPr="004D0537">
        <w:t>(2025/2156(DEC))</w:t>
      </w:r>
    </w:p>
    <w:p w14:paraId="71C3ECE7" w14:textId="77777777" w:rsidR="004B06CC" w:rsidRPr="004D0537" w:rsidRDefault="004B06CC" w:rsidP="004B06CC">
      <w:pPr>
        <w:spacing w:before="480" w:after="240"/>
      </w:pPr>
      <w:r w:rsidRPr="004D0537">
        <w:rPr>
          <w:i/>
          <w:iCs/>
        </w:rPr>
        <w:t>Europaparlamentet fattar detta beslut</w:t>
      </w:r>
    </w:p>
    <w:p w14:paraId="046458C7" w14:textId="77777777" w:rsidR="004B06CC" w:rsidRPr="004D0537" w:rsidRDefault="004B06CC" w:rsidP="004B06CC">
      <w:pPr>
        <w:spacing w:after="240"/>
        <w:ind w:left="567" w:hanging="567"/>
      </w:pPr>
      <w:r w:rsidRPr="004D0537">
        <w:t>–</w:t>
      </w:r>
      <w:r w:rsidRPr="004D0537">
        <w:tab/>
        <w:t>med beaktande av den slutliga årsredovisningen för Europeiska centrumet för utveckling av yrkesutbildning för budgetåret 2024,</w:t>
      </w:r>
    </w:p>
    <w:p w14:paraId="18AE6B57"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43"/>
      </w:r>
      <w:r w:rsidRPr="004D0537">
        <w:t>,</w:t>
      </w:r>
    </w:p>
    <w:p w14:paraId="7658A00D"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44"/>
      </w:r>
      <w:r w:rsidRPr="004D0537">
        <w:t>, som avgetts av revisionsrätten för budgetåret 2024 i enlighet med artikel 287 i fördraget om Europeiska unionens funktionssätt,</w:t>
      </w:r>
    </w:p>
    <w:p w14:paraId="4100FC72" w14:textId="77777777" w:rsidR="004B06CC" w:rsidRPr="004D0537" w:rsidRDefault="004B06CC" w:rsidP="004B06CC">
      <w:pPr>
        <w:spacing w:after="240"/>
        <w:ind w:left="567" w:hanging="567"/>
      </w:pPr>
      <w:r w:rsidRPr="004D0537">
        <w:t>–</w:t>
      </w:r>
      <w:r w:rsidRPr="004D0537">
        <w:tab/>
        <w:t>med beaktande av rådets rekommendation av den 2 mars 2026 om att bevilja centrumet ansvarsfrihet för genomförandet av budgeten för budgetåret 2024 (05750/2026 – C10</w:t>
      </w:r>
      <w:r w:rsidRPr="004D0537">
        <w:noBreakHyphen/>
        <w:t>0148/2026),</w:t>
      </w:r>
    </w:p>
    <w:p w14:paraId="5DE186A4"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2FF72AA1"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45"/>
      </w:r>
      <w:r w:rsidRPr="004D0537">
        <w:t>, särskilt artikel 70,</w:t>
      </w:r>
    </w:p>
    <w:p w14:paraId="382B2F4A"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46"/>
      </w:r>
      <w:r w:rsidRPr="004D0537">
        <w:t>, särskilt artikel 70,</w:t>
      </w:r>
    </w:p>
    <w:p w14:paraId="6BC20AB0" w14:textId="77777777" w:rsidR="004B06CC" w:rsidRPr="004D0537" w:rsidRDefault="004B06CC" w:rsidP="004B06CC">
      <w:pPr>
        <w:spacing w:after="240"/>
        <w:ind w:left="567" w:hanging="567"/>
      </w:pPr>
      <w:r w:rsidRPr="004D0537">
        <w:t>–</w:t>
      </w:r>
      <w:r w:rsidRPr="004D0537">
        <w:tab/>
        <w:t>med beaktande av Europaparlamentets och rådets förordning (EU) 2019/128 av den 16 januari 2019 om inrättande av ett europeiskt centrum för utveckling av yrkesutbildning (</w:t>
      </w:r>
      <w:proofErr w:type="spellStart"/>
      <w:r w:rsidRPr="004D0537">
        <w:t>Cedefop</w:t>
      </w:r>
      <w:proofErr w:type="spellEnd"/>
      <w:r w:rsidRPr="004D0537">
        <w:t>) och om upphävande av rådets förordning (EEG) nr 337/75</w:t>
      </w:r>
      <w:r w:rsidRPr="004D0537">
        <w:rPr>
          <w:vertAlign w:val="superscript"/>
        </w:rPr>
        <w:footnoteReference w:id="47"/>
      </w:r>
      <w:r w:rsidRPr="004D0537">
        <w:t>, särskilt artikel 15,</w:t>
      </w:r>
    </w:p>
    <w:p w14:paraId="0E20F5DB"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48"/>
      </w:r>
      <w:r w:rsidRPr="004D0537">
        <w:t>, särskilt artikel 105,</w:t>
      </w:r>
    </w:p>
    <w:p w14:paraId="21848609" w14:textId="77777777" w:rsidR="004B06CC" w:rsidRPr="004D0537" w:rsidRDefault="004B06CC" w:rsidP="004B06CC">
      <w:pPr>
        <w:spacing w:after="240"/>
        <w:ind w:left="567" w:hanging="567"/>
      </w:pPr>
      <w:r w:rsidRPr="004D0537">
        <w:t>–</w:t>
      </w:r>
      <w:r w:rsidRPr="004D0537">
        <w:tab/>
        <w:t>med beaktande av artikel 102 och bilaga V i arbetsordningen,</w:t>
      </w:r>
    </w:p>
    <w:p w14:paraId="7416D8F0"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2B8D6EF1"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BE5E1D9" w14:textId="77777777" w:rsidR="004B06CC" w:rsidRPr="004D0537" w:rsidRDefault="004B06CC" w:rsidP="004B06CC">
      <w:pPr>
        <w:spacing w:after="240"/>
        <w:ind w:left="567" w:hanging="567"/>
      </w:pPr>
      <w:r w:rsidRPr="004D0537">
        <w:t>1.</w:t>
      </w:r>
      <w:r w:rsidRPr="004D0537">
        <w:tab/>
        <w:t>Europaparlamentet godkänner avslutandet av räkenskaperna för Europeiska centrumet för utveckling av yrkesutbildning för budgetåret 2024.</w:t>
      </w:r>
    </w:p>
    <w:p w14:paraId="6D163AEA"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centrumet för utveckling av yrkesutbildning, rådet, kommissionen och revisionsrätten, och att se till att det offentliggörs i </w:t>
      </w:r>
      <w:r w:rsidRPr="004D0537">
        <w:rPr>
          <w:i/>
          <w:iCs/>
        </w:rPr>
        <w:t>Europeiska unionens officiella tidning</w:t>
      </w:r>
      <w:r w:rsidRPr="004D0537">
        <w:t xml:space="preserve"> (L-serien).</w:t>
      </w:r>
    </w:p>
    <w:p w14:paraId="70A4BF66" w14:textId="77777777" w:rsidR="004B06CC" w:rsidRPr="004D0537" w:rsidRDefault="004B06CC" w:rsidP="004B06CC"/>
    <w:p w14:paraId="3A485508" w14:textId="77777777" w:rsidR="004B06CC" w:rsidRPr="004D0537" w:rsidRDefault="004B06CC" w:rsidP="004B06CC">
      <w:pPr>
        <w:spacing w:after="480"/>
        <w:jc w:val="center"/>
        <w:rPr>
          <w:rFonts w:cs="Arial"/>
          <w:b/>
        </w:rPr>
        <w:sectPr w:rsidR="004B06CC" w:rsidRPr="004D0537" w:rsidSect="003A4AB5">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1880A8" w14:textId="17C23706" w:rsidR="004B06CC" w:rsidRPr="004D0537" w:rsidRDefault="00091EB7" w:rsidP="00091EB7">
      <w:pPr>
        <w:pStyle w:val="ATHeading3"/>
      </w:pPr>
      <w:r w:rsidRPr="004D0537">
        <w:lastRenderedPageBreak/>
        <w:t xml:space="preserve">9. Europaparlamentets beslut av den 29 april 2026 </w:t>
      </w:r>
      <w:r w:rsidR="004B06CC" w:rsidRPr="004D0537">
        <w:t>om ansvarsfrihet för genomförandet av budgeten för Europeiska unionens byrå för utbildning av tjänstemän inom brottsbekämpning för budgetåret 202</w:t>
      </w:r>
      <w:r w:rsidRPr="004D0537">
        <w:t xml:space="preserve">4 </w:t>
      </w:r>
      <w:r w:rsidR="004B06CC" w:rsidRPr="004D0537">
        <w:t>(2025/2156(DEC))</w:t>
      </w:r>
    </w:p>
    <w:p w14:paraId="5E0C5C62" w14:textId="77777777" w:rsidR="004B06CC" w:rsidRPr="004D0537" w:rsidRDefault="004B06CC" w:rsidP="004B06CC">
      <w:pPr>
        <w:spacing w:before="480" w:after="240"/>
      </w:pPr>
      <w:r w:rsidRPr="004D0537">
        <w:rPr>
          <w:i/>
          <w:iCs/>
        </w:rPr>
        <w:t>Europaparlamentet fattar detta beslut</w:t>
      </w:r>
    </w:p>
    <w:p w14:paraId="1B411404" w14:textId="77777777" w:rsidR="004B06CC" w:rsidRPr="004D0537" w:rsidRDefault="004B06CC" w:rsidP="004B06CC">
      <w:pPr>
        <w:spacing w:after="240"/>
        <w:ind w:left="567" w:hanging="567"/>
      </w:pPr>
      <w:r w:rsidRPr="004D0537">
        <w:t>–</w:t>
      </w:r>
      <w:r w:rsidRPr="004D0537">
        <w:tab/>
        <w:t>med beaktande av den slutliga årsredovisningen för Europeiska unionens byrå för utbildning av tjänstemän inom brottsbekämpning för budgetåret 2024,</w:t>
      </w:r>
    </w:p>
    <w:p w14:paraId="2AA9A3F6"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49"/>
      </w:r>
      <w:r w:rsidRPr="004D0537">
        <w:t>,</w:t>
      </w:r>
    </w:p>
    <w:p w14:paraId="4903EB49"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50"/>
      </w:r>
      <w:r w:rsidRPr="004D0537">
        <w:t>, som avgetts av revisionsrätten för budgetåret 2024 i enlighet med artikel 287 i fördraget om Europeiska unionens funktionssätt,</w:t>
      </w:r>
    </w:p>
    <w:p w14:paraId="36661DF8"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069893C1"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266912BB"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51"/>
      </w:r>
      <w:r w:rsidRPr="004D0537">
        <w:t>, särskilt artikel 70,</w:t>
      </w:r>
    </w:p>
    <w:p w14:paraId="28004B94"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52"/>
      </w:r>
      <w:r w:rsidRPr="004D0537">
        <w:t>, särskilt artikel 70,</w:t>
      </w:r>
    </w:p>
    <w:p w14:paraId="2E6036B9" w14:textId="3199761A" w:rsidR="004B06CC" w:rsidRPr="004D0537" w:rsidRDefault="004B06CC" w:rsidP="004B06CC">
      <w:pPr>
        <w:spacing w:after="240"/>
        <w:ind w:left="567" w:hanging="567"/>
      </w:pPr>
      <w:r w:rsidRPr="004D0537">
        <w:t>–</w:t>
      </w:r>
      <w:r w:rsidRPr="004D0537">
        <w:tab/>
        <w:t>med beaktande av Europaparlamentets och rådets förordning (EU) 2015/2219 av den 25 november 2015 om Europeiska unionens byrå för utbildning av tjänstemän inom brottsbekämpning (</w:t>
      </w:r>
      <w:proofErr w:type="spellStart"/>
      <w:r w:rsidRPr="004D0537">
        <w:t>Cepol</w:t>
      </w:r>
      <w:proofErr w:type="spellEnd"/>
      <w:r w:rsidRPr="004D0537">
        <w:t>) och om ersättning och upphävande av rådets beslut 2005/681/RIF</w:t>
      </w:r>
      <w:r w:rsidRPr="004D0537">
        <w:rPr>
          <w:vertAlign w:val="superscript"/>
        </w:rPr>
        <w:footnoteReference w:id="53"/>
      </w:r>
      <w:r w:rsidRPr="004D0537">
        <w:t>, särskilt artikel 20,</w:t>
      </w:r>
    </w:p>
    <w:p w14:paraId="3C201566"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54"/>
      </w:r>
      <w:r w:rsidRPr="004D0537">
        <w:t>, särskilt artikel 105,</w:t>
      </w:r>
    </w:p>
    <w:p w14:paraId="35E1BAC1"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2FC649A4"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6503F603"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401BE55" w14:textId="77777777" w:rsidR="004B06CC" w:rsidRPr="004D0537" w:rsidRDefault="004B06CC" w:rsidP="004B06CC">
      <w:pPr>
        <w:spacing w:after="240"/>
        <w:ind w:left="567" w:hanging="567"/>
      </w:pPr>
      <w:r w:rsidRPr="004D0537">
        <w:t>1.</w:t>
      </w:r>
      <w:r w:rsidRPr="004D0537">
        <w:tab/>
        <w:t>Europaparlamentet beviljar verkställande direktören för Europeiska unionens byrå för utbildning av tjänstemän inom brottsbekämpning ansvarsfrihet för genomförandet av byråns budget för budgetåret 2024.</w:t>
      </w:r>
    </w:p>
    <w:p w14:paraId="31EFBCA3"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5524996C"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unionens byrå för utbildning av tjänstemän inom brottsbekämpning, rådet, kommissionen och revisionsrätten, och att se till att de offentliggörs i </w:t>
      </w:r>
      <w:r w:rsidRPr="004D0537">
        <w:rPr>
          <w:i/>
          <w:iCs/>
        </w:rPr>
        <w:t>Europeiska unionens officiella tidning</w:t>
      </w:r>
      <w:r w:rsidRPr="004D0537">
        <w:t xml:space="preserve"> (L-serien).</w:t>
      </w:r>
    </w:p>
    <w:p w14:paraId="781EA6C3" w14:textId="77777777" w:rsidR="004B06CC" w:rsidRPr="004D0537" w:rsidRDefault="004B06CC" w:rsidP="004B06CC"/>
    <w:p w14:paraId="4AF08192" w14:textId="77777777" w:rsidR="004B06CC" w:rsidRPr="004D0537" w:rsidRDefault="004B06CC" w:rsidP="004B06CC">
      <w:pPr>
        <w:spacing w:after="480"/>
        <w:jc w:val="center"/>
        <w:rPr>
          <w:rFonts w:cs="Arial"/>
          <w:b/>
        </w:rPr>
        <w:sectPr w:rsidR="004B06CC" w:rsidRPr="004D0537" w:rsidSect="003A4AB5">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3B6BCB" w14:textId="222F8837" w:rsidR="004B06CC" w:rsidRPr="004D0537" w:rsidRDefault="00091EB7" w:rsidP="00091EB7">
      <w:pPr>
        <w:pStyle w:val="ATHeading3"/>
      </w:pPr>
      <w:r w:rsidRPr="004D0537">
        <w:lastRenderedPageBreak/>
        <w:t xml:space="preserve">10. Europaparlamentets beslut av den 29 april 2026 </w:t>
      </w:r>
      <w:r w:rsidR="004B06CC" w:rsidRPr="004D0537">
        <w:t>om avslutande av räkenskaperna för Europeiska unionens byrå för utbildning av tjänstemän inom brottsbekämpning för budgetåret 202</w:t>
      </w:r>
      <w:r w:rsidRPr="004D0537">
        <w:t xml:space="preserve">4 </w:t>
      </w:r>
      <w:r w:rsidR="004B06CC" w:rsidRPr="004D0537">
        <w:t>(2025/2156(DEC))</w:t>
      </w:r>
    </w:p>
    <w:p w14:paraId="26A33226" w14:textId="77777777" w:rsidR="004B06CC" w:rsidRPr="004D0537" w:rsidRDefault="004B06CC" w:rsidP="004B06CC">
      <w:pPr>
        <w:spacing w:before="480" w:after="240"/>
      </w:pPr>
      <w:r w:rsidRPr="004D0537">
        <w:rPr>
          <w:i/>
          <w:iCs/>
        </w:rPr>
        <w:t>Europaparlamentet fattar detta beslut</w:t>
      </w:r>
    </w:p>
    <w:p w14:paraId="5DC7A8C1" w14:textId="77777777" w:rsidR="004B06CC" w:rsidRPr="004D0537" w:rsidRDefault="004B06CC" w:rsidP="004B06CC">
      <w:pPr>
        <w:spacing w:after="240"/>
        <w:ind w:left="567" w:hanging="567"/>
      </w:pPr>
      <w:r w:rsidRPr="004D0537">
        <w:t>–</w:t>
      </w:r>
      <w:r w:rsidRPr="004D0537">
        <w:tab/>
        <w:t>med beaktande av den slutliga årsredovisningen för Europeiska unionens byrå för utbildning av tjänstemän inom brottsbekämpning för budgetåret 2024,</w:t>
      </w:r>
    </w:p>
    <w:p w14:paraId="4FA1E2DB"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55"/>
      </w:r>
      <w:r w:rsidRPr="004D0537">
        <w:t>,</w:t>
      </w:r>
    </w:p>
    <w:p w14:paraId="1088D73C"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56"/>
      </w:r>
      <w:r w:rsidRPr="004D0537">
        <w:t>, som avgetts av revisionsrätten för budgetåret 2024 i enlighet med artikel 287 i fördraget om Europeiska unionens funktionssätt,</w:t>
      </w:r>
    </w:p>
    <w:p w14:paraId="6CB5CCF2"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158449F1"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0F1556EE"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57"/>
      </w:r>
      <w:r w:rsidRPr="004D0537">
        <w:t>, särskilt artikel 70,</w:t>
      </w:r>
    </w:p>
    <w:p w14:paraId="40B49AAA"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58"/>
      </w:r>
      <w:r w:rsidRPr="004D0537">
        <w:t>, särskilt artikel 70,</w:t>
      </w:r>
    </w:p>
    <w:p w14:paraId="6B9E3A0E" w14:textId="1859AA61" w:rsidR="004B06CC" w:rsidRPr="004D0537" w:rsidRDefault="004B06CC" w:rsidP="004B06CC">
      <w:pPr>
        <w:spacing w:after="240"/>
        <w:ind w:left="567" w:hanging="567"/>
      </w:pPr>
      <w:r w:rsidRPr="004D0537">
        <w:t>–</w:t>
      </w:r>
      <w:r w:rsidRPr="004D0537">
        <w:tab/>
        <w:t>med beaktande av Europaparlamentets och rådets förordning (EU) 2015/2219 av den 25 november 2015 om Europeiska unionens byrå för utbildning av tjänstemän inom brottsbekämpning (</w:t>
      </w:r>
      <w:proofErr w:type="spellStart"/>
      <w:r w:rsidRPr="004D0537">
        <w:t>Cepol</w:t>
      </w:r>
      <w:proofErr w:type="spellEnd"/>
      <w:r w:rsidRPr="004D0537">
        <w:t>) och om ersättning och upphävande av rådets beslut 2005/681/RIF</w:t>
      </w:r>
      <w:r w:rsidRPr="004D0537">
        <w:rPr>
          <w:vertAlign w:val="superscript"/>
        </w:rPr>
        <w:footnoteReference w:id="59"/>
      </w:r>
      <w:r w:rsidRPr="004D0537">
        <w:t>, särskilt artikel 20,</w:t>
      </w:r>
    </w:p>
    <w:p w14:paraId="3026242C"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60"/>
      </w:r>
      <w:r w:rsidRPr="004D0537">
        <w:t>, särskilt artikel 105,</w:t>
      </w:r>
    </w:p>
    <w:p w14:paraId="424673D7" w14:textId="77777777" w:rsidR="004B06CC" w:rsidRPr="004D0537" w:rsidRDefault="004B06CC" w:rsidP="004B06CC">
      <w:pPr>
        <w:spacing w:after="240"/>
        <w:ind w:left="567" w:hanging="567"/>
      </w:pPr>
      <w:r w:rsidRPr="004D0537">
        <w:t>–</w:t>
      </w:r>
      <w:r w:rsidRPr="004D0537">
        <w:tab/>
        <w:t>med beaktande av artikel 102 och bilaga V i arbetsordningen,</w:t>
      </w:r>
    </w:p>
    <w:p w14:paraId="23D6E05D"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056A20C9"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5378800E" w14:textId="77777777" w:rsidR="004B06CC" w:rsidRPr="004D0537" w:rsidRDefault="004B06CC" w:rsidP="004B06CC">
      <w:pPr>
        <w:spacing w:after="240"/>
        <w:ind w:left="567" w:hanging="567"/>
      </w:pPr>
      <w:r w:rsidRPr="004D0537">
        <w:t>1.</w:t>
      </w:r>
      <w:r w:rsidRPr="004D0537">
        <w:tab/>
        <w:t>Europaparlamentet godkänner avslutandet av räkenskaperna för Europeiska unionens byrå för utbildning av tjänstemän inom brottsbekämpning för budgetåret 2024.</w:t>
      </w:r>
    </w:p>
    <w:p w14:paraId="50D58C66"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unionens byrå för utbildning av tjänstemän inom brottsbekämpning, rådet, kommissionen och revisionsrätten, och att se till att det offentliggörs i </w:t>
      </w:r>
      <w:r w:rsidRPr="004D0537">
        <w:rPr>
          <w:i/>
          <w:iCs/>
        </w:rPr>
        <w:t>Europeiska unionens officiella tidning</w:t>
      </w:r>
      <w:r w:rsidRPr="004D0537">
        <w:t xml:space="preserve"> (L-serien).</w:t>
      </w:r>
    </w:p>
    <w:p w14:paraId="599286A5" w14:textId="77777777" w:rsidR="004B06CC" w:rsidRPr="004D0537" w:rsidRDefault="004B06CC" w:rsidP="003E27E5">
      <w:pPr>
        <w:spacing w:after="480"/>
        <w:rPr>
          <w:rFonts w:cs="Arial"/>
          <w:b/>
        </w:rPr>
        <w:sectPr w:rsidR="004B06CC" w:rsidRPr="004D0537" w:rsidSect="003A4AB5">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3B67B3" w14:textId="0766F3C4" w:rsidR="004B06CC" w:rsidRPr="004D0537" w:rsidRDefault="00091EB7" w:rsidP="00091EB7">
      <w:pPr>
        <w:pStyle w:val="ATHeading3"/>
      </w:pPr>
      <w:r w:rsidRPr="004D0537">
        <w:lastRenderedPageBreak/>
        <w:t xml:space="preserve">11. Europaparlamentets beslut av den 29 april 2026 </w:t>
      </w:r>
      <w:r w:rsidR="004B06CC" w:rsidRPr="004D0537">
        <w:t>om ansvarsfrihet för genomförandet av budgeten för Europeiska unionens byrå för luftfartssäkerhet för budgetåret 2024</w:t>
      </w:r>
      <w:r w:rsidRPr="004D0537">
        <w:t xml:space="preserve"> </w:t>
      </w:r>
      <w:r w:rsidR="004B06CC" w:rsidRPr="004D0537">
        <w:t>(2025/2156(DEC))</w:t>
      </w:r>
    </w:p>
    <w:p w14:paraId="600636BC" w14:textId="77777777" w:rsidR="004B06CC" w:rsidRPr="004D0537" w:rsidRDefault="004B06CC" w:rsidP="004B06CC">
      <w:pPr>
        <w:spacing w:before="480" w:after="240"/>
      </w:pPr>
      <w:r w:rsidRPr="004D0537">
        <w:rPr>
          <w:i/>
          <w:iCs/>
        </w:rPr>
        <w:t>Europaparlamentet fattar detta beslut</w:t>
      </w:r>
    </w:p>
    <w:p w14:paraId="696EBC1C" w14:textId="77777777" w:rsidR="004B06CC" w:rsidRPr="004D0537" w:rsidRDefault="004B06CC" w:rsidP="004B06CC">
      <w:pPr>
        <w:spacing w:after="240"/>
        <w:ind w:left="567" w:hanging="567"/>
      </w:pPr>
      <w:r w:rsidRPr="004D0537">
        <w:t>–</w:t>
      </w:r>
      <w:r w:rsidRPr="004D0537">
        <w:tab/>
        <w:t>med beaktande av den slutliga årsredovisningen för Europeiska unionens byrå för luftfartssäkerhet för budgetåret 2024,</w:t>
      </w:r>
    </w:p>
    <w:p w14:paraId="58337B00"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61"/>
      </w:r>
      <w:r w:rsidRPr="004D0537">
        <w:t>,</w:t>
      </w:r>
    </w:p>
    <w:p w14:paraId="4A02A05E"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62"/>
      </w:r>
      <w:r w:rsidRPr="004D0537">
        <w:t>, som avgetts av revisionsrätten för budgetåret 2024 i enlighet med artikel 287 i fördraget om Europeiska unionens funktionssätt,</w:t>
      </w:r>
    </w:p>
    <w:p w14:paraId="61CF092B"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5E9F9A59"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2BF13F78"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63"/>
      </w:r>
      <w:r w:rsidRPr="004D0537">
        <w:t>, särskilt artikel 70,</w:t>
      </w:r>
    </w:p>
    <w:p w14:paraId="611CB117"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64"/>
      </w:r>
      <w:r w:rsidRPr="004D0537">
        <w:t>, särskilt artikel 70,</w:t>
      </w:r>
    </w:p>
    <w:p w14:paraId="24C298AC" w14:textId="77777777" w:rsidR="004B06CC" w:rsidRPr="004D0537" w:rsidRDefault="004B06CC" w:rsidP="004B06CC">
      <w:pPr>
        <w:spacing w:after="240"/>
        <w:ind w:left="567" w:hanging="567"/>
      </w:pPr>
      <w:r w:rsidRPr="004D0537">
        <w:t>–</w:t>
      </w:r>
      <w:r w:rsidRPr="004D0537">
        <w:tab/>
        <w:t>med beaktande av Europaparlamentets och rådets förordning (EU) 2018/1139 av den 4 juli 2018 om fastställande av gemensamma bestämmelser på det civila luftfartsområdet och inrättande av Europeiska unionens byrå för luftfartssäkerhet, och om ändring av Europaparlamentets och rådets förordningar (EG) nr 2111/2005, (EG) nr 1008/2008, (EU) nr 996/2010, (EU) nr 376/2014 och direktiv 2014/30/EU och 2014/53/EU, samt om upphävande av Europaparlamentets och rådets förordningar (EG) nr 552/2004 och (EG) nr 216/2008 och rådets förordning (EEG) nr 3922/91</w:t>
      </w:r>
      <w:r w:rsidRPr="004D0537">
        <w:rPr>
          <w:vertAlign w:val="superscript"/>
        </w:rPr>
        <w:footnoteReference w:id="65"/>
      </w:r>
      <w:r w:rsidRPr="004D0537">
        <w:t>, särskilt artikel 121,</w:t>
      </w:r>
    </w:p>
    <w:p w14:paraId="5867C5BD"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 xml:space="preserve">fördraget och Euratomfördraget och som avses i artikel 70 i Europaparlamentets </w:t>
      </w:r>
      <w:r w:rsidRPr="004D0537">
        <w:lastRenderedPageBreak/>
        <w:t>och rådets förordning (EU, Euratom) 2018/1046</w:t>
      </w:r>
      <w:r w:rsidRPr="004D0537">
        <w:rPr>
          <w:vertAlign w:val="superscript"/>
        </w:rPr>
        <w:footnoteReference w:id="66"/>
      </w:r>
      <w:r w:rsidRPr="004D0537">
        <w:t>, särskilt artikel 105,</w:t>
      </w:r>
    </w:p>
    <w:p w14:paraId="2019D9E6" w14:textId="77777777" w:rsidR="004B06CC" w:rsidRPr="004D0537" w:rsidRDefault="004B06CC" w:rsidP="004B06CC">
      <w:pPr>
        <w:spacing w:after="240"/>
        <w:ind w:left="567" w:hanging="567"/>
      </w:pPr>
      <w:r w:rsidRPr="004D0537">
        <w:t>–</w:t>
      </w:r>
      <w:r w:rsidRPr="004D0537">
        <w:tab/>
        <w:t>med beaktande av artikel 102 och bilaga V i arbetsordningen,</w:t>
      </w:r>
    </w:p>
    <w:p w14:paraId="1AC91829"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2FB09AF0"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2534ABF3" w14:textId="77777777" w:rsidR="004B06CC" w:rsidRPr="004D0537" w:rsidRDefault="004B06CC" w:rsidP="004B06CC">
      <w:pPr>
        <w:spacing w:after="240"/>
        <w:ind w:left="567" w:hanging="567"/>
      </w:pPr>
      <w:r w:rsidRPr="004D0537">
        <w:t>1.</w:t>
      </w:r>
      <w:r w:rsidRPr="004D0537">
        <w:tab/>
        <w:t>Europaparlamentet beviljar verkställande direktören för Europeiska unionens byrå för luftfartssäkerhet ansvarsfrihet för genomförandet av byråns budget för budgetåret 2024.</w:t>
      </w:r>
    </w:p>
    <w:p w14:paraId="70B55D0B"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78BF720B"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unionens byrå för luftfartssäkerhet, rådet, kommissionen och revisionsrätten, och att se till att de offentliggörs i </w:t>
      </w:r>
      <w:r w:rsidRPr="004D0537">
        <w:rPr>
          <w:i/>
          <w:iCs/>
        </w:rPr>
        <w:t>Europeiska unionens officiella tidning</w:t>
      </w:r>
      <w:r w:rsidRPr="004D0537">
        <w:t xml:space="preserve"> (L-serien).</w:t>
      </w:r>
    </w:p>
    <w:p w14:paraId="6387045C" w14:textId="77777777" w:rsidR="004B06CC" w:rsidRPr="004D0537" w:rsidRDefault="004B06CC" w:rsidP="004B06CC"/>
    <w:p w14:paraId="4DBF1AB5" w14:textId="77777777" w:rsidR="004B06CC" w:rsidRPr="004D0537" w:rsidRDefault="004B06CC" w:rsidP="004B06CC">
      <w:pPr>
        <w:spacing w:after="480"/>
        <w:jc w:val="center"/>
        <w:rPr>
          <w:rFonts w:cs="Arial"/>
          <w:b/>
        </w:rPr>
        <w:sectPr w:rsidR="004B06CC" w:rsidRPr="004D0537" w:rsidSect="003A4AB5">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04713D" w14:textId="719C6A72" w:rsidR="004B06CC" w:rsidRPr="004D0537" w:rsidRDefault="00091EB7" w:rsidP="00091EB7">
      <w:pPr>
        <w:pStyle w:val="ATHeading3"/>
      </w:pPr>
      <w:r w:rsidRPr="004D0537">
        <w:lastRenderedPageBreak/>
        <w:t xml:space="preserve">12. Europaparlamentets beslut av den 29 april 2026 </w:t>
      </w:r>
      <w:r w:rsidR="004B06CC" w:rsidRPr="004D0537">
        <w:t>om avslutande av räkenskaperna för Europeiska unionens byrå för luftfartssäkerhet för budgetåret 2024</w:t>
      </w:r>
      <w:r w:rsidRPr="004D0537">
        <w:t xml:space="preserve"> </w:t>
      </w:r>
      <w:r w:rsidR="004B06CC" w:rsidRPr="004D0537">
        <w:t>(2025/2156(DEC))</w:t>
      </w:r>
    </w:p>
    <w:p w14:paraId="7E78F484" w14:textId="77777777" w:rsidR="004B06CC" w:rsidRPr="004D0537" w:rsidRDefault="004B06CC" w:rsidP="004B06CC">
      <w:pPr>
        <w:spacing w:before="480" w:after="240"/>
      </w:pPr>
      <w:r w:rsidRPr="004D0537">
        <w:rPr>
          <w:i/>
          <w:iCs/>
        </w:rPr>
        <w:t>Europaparlamentet fattar detta beslut</w:t>
      </w:r>
    </w:p>
    <w:p w14:paraId="01497779" w14:textId="77777777" w:rsidR="004B06CC" w:rsidRPr="004D0537" w:rsidRDefault="004B06CC" w:rsidP="004B06CC">
      <w:pPr>
        <w:spacing w:after="240"/>
        <w:ind w:left="567" w:hanging="567"/>
      </w:pPr>
      <w:r w:rsidRPr="004D0537">
        <w:t>–</w:t>
      </w:r>
      <w:r w:rsidRPr="004D0537">
        <w:tab/>
        <w:t>med beaktande av den slutliga årsredovisningen för Europeiska unionens byrå för luftfartssäkerhet för budgetåret 2024,</w:t>
      </w:r>
    </w:p>
    <w:p w14:paraId="7A7918D2"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67"/>
      </w:r>
      <w:r w:rsidRPr="004D0537">
        <w:t>,</w:t>
      </w:r>
    </w:p>
    <w:p w14:paraId="12BA3584"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68"/>
      </w:r>
      <w:r w:rsidRPr="004D0537">
        <w:t>, som avgetts av revisionsrätten för budgetåret 2024 i enlighet med artikel 287 i fördraget om Europeiska unionens funktionssätt,</w:t>
      </w:r>
    </w:p>
    <w:p w14:paraId="0CA3C653"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01FC0891"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CE14ECF"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69"/>
      </w:r>
      <w:r w:rsidRPr="004D0537">
        <w:t>, särskilt artikel 70,</w:t>
      </w:r>
    </w:p>
    <w:p w14:paraId="2A993485"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70"/>
      </w:r>
      <w:r w:rsidRPr="004D0537">
        <w:t>, särskilt artikel 70,</w:t>
      </w:r>
    </w:p>
    <w:p w14:paraId="52808A36" w14:textId="77777777" w:rsidR="004B06CC" w:rsidRPr="004D0537" w:rsidRDefault="004B06CC" w:rsidP="004B06CC">
      <w:pPr>
        <w:spacing w:after="240"/>
        <w:ind w:left="567" w:hanging="567"/>
      </w:pPr>
      <w:r w:rsidRPr="004D0537">
        <w:t>–</w:t>
      </w:r>
      <w:r w:rsidRPr="004D0537">
        <w:tab/>
        <w:t>med beaktande av Europaparlamentets och rådets förordning (EU) 2018/1139 av den 4 juli 2018 om fastställande av gemensamma bestämmelser på det civila luftfartsområdet och inrättande av Europeiska unionens byrå för luftfartssäkerhet, och om ändring av Europaparlamentets och rådets förordningar (EG) nr 2111/2005, (EG) nr 1008/2008, (EU) nr 996/2010, (EU) nr 376/2014 och direktiv 2014/30/EU och 2014/53/EU, samt om upphävande av Europaparlamentets och rådets förordningar (EG) nr 552/2004 och (EG) nr 216/2008 och rådets förordning (EEG) nr 3922/91</w:t>
      </w:r>
      <w:r w:rsidRPr="004D0537">
        <w:rPr>
          <w:vertAlign w:val="superscript"/>
        </w:rPr>
        <w:footnoteReference w:id="71"/>
      </w:r>
      <w:r w:rsidRPr="004D0537">
        <w:t>, särskilt artikel 121,</w:t>
      </w:r>
    </w:p>
    <w:p w14:paraId="284326CA"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 xml:space="preserve">fördraget och Euratomfördraget och som avses i artikel 70 i Europaparlamentets </w:t>
      </w:r>
      <w:r w:rsidRPr="004D0537">
        <w:lastRenderedPageBreak/>
        <w:t>och rådets förordning (EU, Euratom) 2018/1046</w:t>
      </w:r>
      <w:r w:rsidRPr="004D0537">
        <w:rPr>
          <w:vertAlign w:val="superscript"/>
        </w:rPr>
        <w:footnoteReference w:id="72"/>
      </w:r>
      <w:r w:rsidRPr="004D0537">
        <w:t>, särskilt artikel 105,</w:t>
      </w:r>
    </w:p>
    <w:p w14:paraId="3333DFD0" w14:textId="77777777" w:rsidR="004B06CC" w:rsidRPr="004D0537" w:rsidRDefault="004B06CC" w:rsidP="004B06CC">
      <w:pPr>
        <w:spacing w:after="240"/>
        <w:ind w:left="567" w:hanging="567"/>
      </w:pPr>
      <w:r w:rsidRPr="004D0537">
        <w:t>–</w:t>
      </w:r>
      <w:r w:rsidRPr="004D0537">
        <w:tab/>
        <w:t>med beaktande av artikel 102 och bilaga V i arbetsordningen,</w:t>
      </w:r>
    </w:p>
    <w:p w14:paraId="681DEC87"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5F07D933"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4B24516B" w14:textId="77777777" w:rsidR="004B06CC" w:rsidRPr="004D0537" w:rsidRDefault="004B06CC" w:rsidP="004B06CC">
      <w:pPr>
        <w:spacing w:after="240"/>
        <w:ind w:left="567" w:hanging="567"/>
      </w:pPr>
      <w:r w:rsidRPr="004D0537">
        <w:t>1.</w:t>
      </w:r>
      <w:r w:rsidRPr="004D0537">
        <w:tab/>
        <w:t>Europaparlamentet godkänner avslutandet av räkenskaperna för Europeiska unionens byrå för luftfartssäkerhet för budgetåret 2024.</w:t>
      </w:r>
    </w:p>
    <w:p w14:paraId="4B54522F"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unionens byrå för luftfartssäkerhet, rådet, kommissionen och revisionsrätten, och att se till att det offentliggörs i </w:t>
      </w:r>
      <w:r w:rsidRPr="004D0537">
        <w:rPr>
          <w:i/>
          <w:iCs/>
        </w:rPr>
        <w:t>Europeiska unionens officiella tidning</w:t>
      </w:r>
      <w:r w:rsidRPr="004D0537">
        <w:t xml:space="preserve"> (L-serien).</w:t>
      </w:r>
    </w:p>
    <w:p w14:paraId="7CE1A685" w14:textId="77777777" w:rsidR="004B06CC" w:rsidRPr="004D0537" w:rsidRDefault="004B06CC" w:rsidP="004B06CC"/>
    <w:p w14:paraId="48BD1F47" w14:textId="77777777" w:rsidR="004B06CC" w:rsidRPr="004D0537" w:rsidRDefault="004B06CC" w:rsidP="004B06CC">
      <w:pPr>
        <w:spacing w:after="480"/>
        <w:jc w:val="center"/>
        <w:rPr>
          <w:rFonts w:cs="Arial"/>
          <w:b/>
        </w:rPr>
        <w:sectPr w:rsidR="004B06CC" w:rsidRPr="004D0537" w:rsidSect="003A4AB5">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072ABD" w14:textId="3164F4BF" w:rsidR="004B06CC" w:rsidRPr="004D0537" w:rsidRDefault="00091EB7" w:rsidP="00091EB7">
      <w:pPr>
        <w:pStyle w:val="ATHeading3"/>
      </w:pPr>
      <w:r w:rsidRPr="004D0537">
        <w:lastRenderedPageBreak/>
        <w:t xml:space="preserve">13. Europaparlamentets beslut av den 29 april 2026 </w:t>
      </w:r>
      <w:r w:rsidR="004B06CC" w:rsidRPr="004D0537">
        <w:t>om ansvarsfrihet för genomförandet av budgeten för Europeiska bankmyndigheten för budgetåret 2024</w:t>
      </w:r>
      <w:r w:rsidRPr="004D0537">
        <w:t xml:space="preserve"> </w:t>
      </w:r>
      <w:r w:rsidR="004B06CC" w:rsidRPr="004D0537">
        <w:t>(2025/2156(DEC))</w:t>
      </w:r>
    </w:p>
    <w:p w14:paraId="6CFF7265" w14:textId="77777777" w:rsidR="004B06CC" w:rsidRPr="004D0537" w:rsidRDefault="004B06CC" w:rsidP="004B06CC">
      <w:pPr>
        <w:spacing w:before="480" w:after="240"/>
      </w:pPr>
      <w:r w:rsidRPr="004D0537">
        <w:rPr>
          <w:i/>
          <w:iCs/>
        </w:rPr>
        <w:t>Europaparlamentet fattar detta beslut</w:t>
      </w:r>
    </w:p>
    <w:p w14:paraId="1ED46F73" w14:textId="77777777" w:rsidR="004B06CC" w:rsidRPr="004D0537" w:rsidRDefault="004B06CC" w:rsidP="004B06CC">
      <w:pPr>
        <w:spacing w:after="240"/>
        <w:ind w:left="567" w:hanging="567"/>
      </w:pPr>
      <w:r w:rsidRPr="004D0537">
        <w:t>–</w:t>
      </w:r>
      <w:r w:rsidRPr="004D0537">
        <w:tab/>
        <w:t>med beaktande av den slutliga årsredovisningen för Europeiska bankmyndigheten för budgetåret 2024,</w:t>
      </w:r>
    </w:p>
    <w:p w14:paraId="56C451D6"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73"/>
      </w:r>
      <w:r w:rsidRPr="004D0537">
        <w:t>,</w:t>
      </w:r>
    </w:p>
    <w:p w14:paraId="44846E63"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74"/>
      </w:r>
      <w:r w:rsidRPr="004D0537">
        <w:t>, som avgetts av revisionsrätten för budgetåret 2024 i enlighet med artikel 287 i fördraget om Europeiska unionens funktionssätt,</w:t>
      </w:r>
    </w:p>
    <w:p w14:paraId="278B982B"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3159790C"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50858984"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75"/>
      </w:r>
      <w:r w:rsidRPr="004D0537">
        <w:t>, särskilt artikel 70,</w:t>
      </w:r>
    </w:p>
    <w:p w14:paraId="2DF963B9"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76"/>
      </w:r>
      <w:r w:rsidRPr="004D0537">
        <w:t>, särskilt artikel 70,</w:t>
      </w:r>
    </w:p>
    <w:p w14:paraId="537370B8" w14:textId="77777777" w:rsidR="004B06CC" w:rsidRPr="004D0537" w:rsidRDefault="004B06CC" w:rsidP="004B06CC">
      <w:pPr>
        <w:spacing w:after="240"/>
        <w:ind w:left="567" w:hanging="567"/>
      </w:pPr>
      <w:r w:rsidRPr="004D0537">
        <w:t>–</w:t>
      </w:r>
      <w:r w:rsidRPr="004D0537">
        <w:tab/>
        <w:t>med beaktande av Europaparlamentets och rådets förordning (EU) nr 1093/2010 av den 24 november 2010 om inrättande av en europeisk tillsynsmyndighet (Europeiska bankmyndigheten), om ändring av beslut nr 716/2009/EG och om upphävande av kommissionens beslut 2009/78/EG</w:t>
      </w:r>
      <w:r w:rsidRPr="004D0537">
        <w:rPr>
          <w:vertAlign w:val="superscript"/>
        </w:rPr>
        <w:footnoteReference w:id="77"/>
      </w:r>
      <w:r w:rsidRPr="004D0537">
        <w:t>, särskilt artikel 64,</w:t>
      </w:r>
    </w:p>
    <w:p w14:paraId="0EB82BBF"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78"/>
      </w:r>
      <w:r w:rsidRPr="004D0537">
        <w:t>, särskilt artikel 105,</w:t>
      </w:r>
    </w:p>
    <w:p w14:paraId="4A72FD40" w14:textId="77777777" w:rsidR="004B06CC" w:rsidRPr="004D0537" w:rsidRDefault="004B06CC" w:rsidP="004B06CC">
      <w:pPr>
        <w:spacing w:after="240"/>
        <w:ind w:left="567" w:hanging="567"/>
      </w:pPr>
      <w:r w:rsidRPr="004D0537">
        <w:t>–</w:t>
      </w:r>
      <w:r w:rsidRPr="004D0537">
        <w:tab/>
        <w:t>med beaktande av artikel 102 och bilaga V i arbetsordningen,</w:t>
      </w:r>
    </w:p>
    <w:p w14:paraId="386A694D"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65567BC6"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41D73BBD" w14:textId="77777777" w:rsidR="004B06CC" w:rsidRPr="004D0537" w:rsidRDefault="004B06CC" w:rsidP="004B06CC">
      <w:pPr>
        <w:spacing w:after="240"/>
        <w:ind w:left="567" w:hanging="567"/>
      </w:pPr>
      <w:r w:rsidRPr="004D0537">
        <w:t>1.</w:t>
      </w:r>
      <w:r w:rsidRPr="004D0537">
        <w:tab/>
        <w:t>Europaparlamentet beviljar verkställande direktören för Europeiska bankmyndigheten ansvarsfrihet för genomförandet av myndighetens budget för budgetåret 2024.</w:t>
      </w:r>
    </w:p>
    <w:p w14:paraId="791B8F35"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3151E462"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bankmyndigheten, rådet, kommissionen och revisionsrätten, och att se till att de offentliggörs i </w:t>
      </w:r>
      <w:r w:rsidRPr="004D0537">
        <w:rPr>
          <w:i/>
          <w:iCs/>
        </w:rPr>
        <w:t>Europeiska unionens officiella tidning</w:t>
      </w:r>
      <w:r w:rsidRPr="004D0537">
        <w:t xml:space="preserve"> (L-serien).</w:t>
      </w:r>
    </w:p>
    <w:p w14:paraId="2DB34E75" w14:textId="77777777" w:rsidR="004B06CC" w:rsidRPr="004D0537" w:rsidRDefault="004B06CC" w:rsidP="004B06CC"/>
    <w:p w14:paraId="52D5A396" w14:textId="77777777" w:rsidR="004B06CC" w:rsidRPr="004D0537" w:rsidRDefault="004B06CC" w:rsidP="004B06CC">
      <w:pPr>
        <w:spacing w:after="480"/>
        <w:jc w:val="center"/>
        <w:rPr>
          <w:rFonts w:cs="Arial"/>
          <w:b/>
        </w:rPr>
        <w:sectPr w:rsidR="004B06CC" w:rsidRPr="004D0537" w:rsidSect="003A4AB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B53CD26" w14:textId="3B4EEAE4" w:rsidR="004B06CC" w:rsidRPr="004D0537" w:rsidRDefault="00091EB7" w:rsidP="00091EB7">
      <w:pPr>
        <w:pStyle w:val="ATHeading3"/>
      </w:pPr>
      <w:r w:rsidRPr="004D0537">
        <w:lastRenderedPageBreak/>
        <w:t xml:space="preserve">14. Europaparlamentets beslut av den 29 april 2026 </w:t>
      </w:r>
      <w:r w:rsidR="004B06CC" w:rsidRPr="004D0537">
        <w:t>om avslutande av räkenskaperna för Europeiska bankmyndigheten för budgetåret 2024</w:t>
      </w:r>
      <w:r w:rsidRPr="004D0537">
        <w:t xml:space="preserve"> </w:t>
      </w:r>
      <w:r w:rsidR="004B06CC" w:rsidRPr="004D0537">
        <w:t>(2025/2156(DEC))</w:t>
      </w:r>
    </w:p>
    <w:p w14:paraId="08F22D55" w14:textId="77777777" w:rsidR="004B06CC" w:rsidRPr="004D0537" w:rsidRDefault="004B06CC" w:rsidP="004B06CC">
      <w:pPr>
        <w:spacing w:before="480" w:after="240"/>
      </w:pPr>
      <w:r w:rsidRPr="004D0537">
        <w:rPr>
          <w:i/>
          <w:iCs/>
        </w:rPr>
        <w:t>Europaparlamentet fattar detta beslut</w:t>
      </w:r>
    </w:p>
    <w:p w14:paraId="4DC1D98A" w14:textId="77777777" w:rsidR="004B06CC" w:rsidRPr="004D0537" w:rsidRDefault="004B06CC" w:rsidP="004B06CC">
      <w:pPr>
        <w:spacing w:after="240"/>
        <w:ind w:left="567" w:hanging="567"/>
      </w:pPr>
      <w:r w:rsidRPr="004D0537">
        <w:t>–</w:t>
      </w:r>
      <w:r w:rsidRPr="004D0537">
        <w:tab/>
        <w:t>med beaktande av den slutliga årsredovisningen för Europeiska bankmyndigheten för budgetåret 2024,</w:t>
      </w:r>
    </w:p>
    <w:p w14:paraId="20C35DCC"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79"/>
      </w:r>
      <w:r w:rsidRPr="004D0537">
        <w:t>,</w:t>
      </w:r>
    </w:p>
    <w:p w14:paraId="01F22CB6"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80"/>
      </w:r>
      <w:r w:rsidRPr="004D0537">
        <w:t>, som avgetts av revisionsrätten för budgetåret 2024 i enlighet med artikel 287 i fördraget om Europeiska unionens funktionssätt,</w:t>
      </w:r>
    </w:p>
    <w:p w14:paraId="42A9EE2D"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0C2306B3"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6C4BD0C"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81"/>
      </w:r>
      <w:r w:rsidRPr="004D0537">
        <w:t>, särskilt artikel 70,</w:t>
      </w:r>
    </w:p>
    <w:p w14:paraId="34953BCB"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82"/>
      </w:r>
      <w:r w:rsidRPr="004D0537">
        <w:t>, särskilt artikel 70,</w:t>
      </w:r>
    </w:p>
    <w:p w14:paraId="5C23AAB1" w14:textId="77777777" w:rsidR="004B06CC" w:rsidRPr="004D0537" w:rsidRDefault="004B06CC" w:rsidP="004B06CC">
      <w:pPr>
        <w:spacing w:after="240"/>
        <w:ind w:left="567" w:hanging="567"/>
      </w:pPr>
      <w:r w:rsidRPr="004D0537">
        <w:t>–</w:t>
      </w:r>
      <w:r w:rsidRPr="004D0537">
        <w:tab/>
        <w:t>med beaktande av Europaparlamentets och rådets förordning (EU) nr 1093/2010 av den 24 november 2010 om inrättande av en europeisk tillsynsmyndighet (Europeiska bankmyndigheten), om ändring av beslut nr 716/2009/EG och om upphävande av kommissionens beslut 2009/78/EG</w:t>
      </w:r>
      <w:r w:rsidRPr="004D0537">
        <w:rPr>
          <w:vertAlign w:val="superscript"/>
        </w:rPr>
        <w:footnoteReference w:id="83"/>
      </w:r>
      <w:r w:rsidRPr="004D0537">
        <w:t>, särskilt artikel 64,</w:t>
      </w:r>
    </w:p>
    <w:p w14:paraId="5F58413C"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84"/>
      </w:r>
      <w:r w:rsidRPr="004D0537">
        <w:t>, särskilt artikel 105,</w:t>
      </w:r>
    </w:p>
    <w:p w14:paraId="57CB7B14" w14:textId="77777777" w:rsidR="004B06CC" w:rsidRPr="004D0537" w:rsidRDefault="004B06CC" w:rsidP="004B06CC">
      <w:pPr>
        <w:spacing w:after="240"/>
        <w:ind w:left="567" w:hanging="567"/>
      </w:pPr>
      <w:r w:rsidRPr="004D0537">
        <w:t>–</w:t>
      </w:r>
      <w:r w:rsidRPr="004D0537">
        <w:tab/>
        <w:t>med beaktande av artikel 102 och bilaga V i arbetsordningen,</w:t>
      </w:r>
    </w:p>
    <w:p w14:paraId="343D97C4"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39F40A74"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241CC38" w14:textId="77777777" w:rsidR="004B06CC" w:rsidRPr="004D0537" w:rsidRDefault="004B06CC" w:rsidP="004B06CC">
      <w:pPr>
        <w:spacing w:after="240"/>
        <w:ind w:left="567" w:hanging="567"/>
      </w:pPr>
      <w:r w:rsidRPr="004D0537">
        <w:t>1.</w:t>
      </w:r>
      <w:r w:rsidRPr="004D0537">
        <w:tab/>
        <w:t>Europaparlamentet godkänner avslutandet av räkenskaperna för Europeiska bankmyndigheten för budgetåret 2024.</w:t>
      </w:r>
    </w:p>
    <w:p w14:paraId="11447682"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bankmyndigheten, rådet, kommissionen och revisionsrätten, och att se till att det offentliggörs i </w:t>
      </w:r>
      <w:r w:rsidRPr="004D0537">
        <w:rPr>
          <w:i/>
          <w:iCs/>
        </w:rPr>
        <w:t>Europeiska unionens officiella tidning</w:t>
      </w:r>
      <w:r w:rsidRPr="004D0537">
        <w:t xml:space="preserve"> (L-serien).</w:t>
      </w:r>
    </w:p>
    <w:p w14:paraId="0A831DDD" w14:textId="77777777" w:rsidR="004B06CC" w:rsidRPr="004D0537" w:rsidRDefault="004B06CC" w:rsidP="004B06CC"/>
    <w:p w14:paraId="4848D98D" w14:textId="77777777" w:rsidR="004B06CC" w:rsidRPr="004D0537" w:rsidRDefault="004B06CC" w:rsidP="003E27E5">
      <w:pPr>
        <w:spacing w:after="480"/>
        <w:rPr>
          <w:rFonts w:cs="Arial"/>
          <w:b/>
        </w:rPr>
        <w:sectPr w:rsidR="004B06CC" w:rsidRPr="004D0537" w:rsidSect="003A4AB5">
          <w:footerReference w:type="first" r:id="rId2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E4BD316" w14:textId="238FC27C" w:rsidR="004B06CC" w:rsidRPr="004D0537" w:rsidRDefault="00091EB7" w:rsidP="00091EB7">
      <w:pPr>
        <w:pStyle w:val="ATHeading3"/>
      </w:pPr>
      <w:r w:rsidRPr="004D0537">
        <w:lastRenderedPageBreak/>
        <w:t xml:space="preserve">15. Europaparlamentets beslut av den 29 april 2026 </w:t>
      </w:r>
      <w:r w:rsidR="004B06CC" w:rsidRPr="004D0537">
        <w:t>om ansvarsfrihet för genomförandet av budgeten för Europeiska centrumet för förebyggande och kontroll av sjukdomar för budgetåret 2024</w:t>
      </w:r>
      <w:r w:rsidRPr="004D0537">
        <w:t xml:space="preserve"> </w:t>
      </w:r>
      <w:r w:rsidR="004B06CC" w:rsidRPr="004D0537">
        <w:t>(2025/2156(DEC))</w:t>
      </w:r>
    </w:p>
    <w:p w14:paraId="7DEDC3D6" w14:textId="77777777" w:rsidR="004B06CC" w:rsidRPr="004D0537" w:rsidRDefault="004B06CC" w:rsidP="004B06CC">
      <w:pPr>
        <w:spacing w:before="480" w:after="240"/>
      </w:pPr>
      <w:r w:rsidRPr="004D0537">
        <w:rPr>
          <w:i/>
          <w:iCs/>
        </w:rPr>
        <w:t>Europaparlamentet fattar detta beslut</w:t>
      </w:r>
    </w:p>
    <w:p w14:paraId="257EE892" w14:textId="77777777" w:rsidR="004B06CC" w:rsidRPr="004D0537" w:rsidRDefault="004B06CC" w:rsidP="004B06CC">
      <w:pPr>
        <w:spacing w:after="240"/>
        <w:ind w:left="567" w:hanging="567"/>
      </w:pPr>
      <w:r w:rsidRPr="004D0537">
        <w:t>–</w:t>
      </w:r>
      <w:r w:rsidRPr="004D0537">
        <w:tab/>
        <w:t>med beaktande av den slutliga årsredovisningen för Europeiska centrumet för förebyggande och kontroll av sjukdomar för budgetåret 2024,</w:t>
      </w:r>
    </w:p>
    <w:p w14:paraId="10ACFE63"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85"/>
      </w:r>
      <w:r w:rsidRPr="004D0537">
        <w:t>,</w:t>
      </w:r>
    </w:p>
    <w:p w14:paraId="57A7CB2B"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86"/>
      </w:r>
      <w:r w:rsidRPr="004D0537">
        <w:t>, som avgetts av revisionsrätten för budgetåret 2024 i enlighet med artikel 287 i fördraget om Europeiska unionens funktionssätt,</w:t>
      </w:r>
    </w:p>
    <w:p w14:paraId="5B2A1B18" w14:textId="77777777" w:rsidR="004B06CC" w:rsidRPr="004D0537" w:rsidRDefault="004B06CC" w:rsidP="004B06CC">
      <w:pPr>
        <w:spacing w:after="240"/>
        <w:ind w:left="567" w:hanging="567"/>
      </w:pPr>
      <w:r w:rsidRPr="004D0537">
        <w:t>–</w:t>
      </w:r>
      <w:r w:rsidRPr="004D0537">
        <w:tab/>
        <w:t>med beaktande av rådets rekommendation av den 2 mars 2026 om att bevilja centrumet ansvarsfrihet för genomförandet av budgeten för budgetåret 2024 (05750/2026 – C10</w:t>
      </w:r>
      <w:r w:rsidRPr="004D0537">
        <w:noBreakHyphen/>
        <w:t>0148/2026),</w:t>
      </w:r>
    </w:p>
    <w:p w14:paraId="795E45D3"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0A9B540"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87"/>
      </w:r>
      <w:r w:rsidRPr="004D0537">
        <w:t>, särskilt artikel 70,</w:t>
      </w:r>
    </w:p>
    <w:p w14:paraId="799B2CFE"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88"/>
      </w:r>
      <w:r w:rsidRPr="004D0537">
        <w:t>, särskilt artikel 70,</w:t>
      </w:r>
    </w:p>
    <w:p w14:paraId="5119F6D2" w14:textId="77777777" w:rsidR="004B06CC" w:rsidRPr="004D0537" w:rsidRDefault="004B06CC" w:rsidP="004B06CC">
      <w:pPr>
        <w:spacing w:after="240"/>
        <w:ind w:left="567" w:hanging="567"/>
      </w:pPr>
      <w:r w:rsidRPr="004D0537">
        <w:t>–</w:t>
      </w:r>
      <w:r w:rsidRPr="004D0537">
        <w:tab/>
        <w:t>med beaktande av Europaparlamentets och rådets förordning (EG) nr 851/2004 av den 21 april 2004 om inrättande av ett europeiskt centrum för förebyggande och kontroll av sjukdomar</w:t>
      </w:r>
      <w:r w:rsidRPr="004D0537">
        <w:rPr>
          <w:vertAlign w:val="superscript"/>
        </w:rPr>
        <w:footnoteReference w:id="89"/>
      </w:r>
      <w:r w:rsidRPr="004D0537">
        <w:t>, särskilt artikel 23,</w:t>
      </w:r>
    </w:p>
    <w:p w14:paraId="6C1EBB84"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90"/>
      </w:r>
      <w:r w:rsidRPr="004D0537">
        <w:t>, särskilt artikel 105,</w:t>
      </w:r>
    </w:p>
    <w:p w14:paraId="720CA000" w14:textId="77777777" w:rsidR="004B06CC" w:rsidRPr="004D0537" w:rsidRDefault="004B06CC" w:rsidP="004B06CC">
      <w:pPr>
        <w:spacing w:after="240"/>
        <w:ind w:left="567" w:hanging="567"/>
      </w:pPr>
      <w:r w:rsidRPr="004D0537">
        <w:t>–</w:t>
      </w:r>
      <w:r w:rsidRPr="004D0537">
        <w:tab/>
        <w:t>med beaktande av artikel 102 och bilaga V i arbetsordningen,</w:t>
      </w:r>
    </w:p>
    <w:p w14:paraId="69631350"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18E8D2E2"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36EEF461" w14:textId="77777777" w:rsidR="004B06CC" w:rsidRPr="004D0537" w:rsidRDefault="004B06CC" w:rsidP="004B06CC">
      <w:pPr>
        <w:spacing w:after="240"/>
        <w:ind w:left="567" w:hanging="567"/>
      </w:pPr>
      <w:r w:rsidRPr="004D0537">
        <w:t>1.</w:t>
      </w:r>
      <w:r w:rsidRPr="004D0537">
        <w:tab/>
        <w:t>Europaparlamentet beviljar direktören för Europeiska centrumet för förebyggande och kontroll av sjukdomar ansvarsfrihet för genomförandet av centrumets budget för budgetåret 2024.</w:t>
      </w:r>
    </w:p>
    <w:p w14:paraId="082203A2"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1BF221E4"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direktören för Europeiska centrumet för förebyggande och kontroll av sjukdomar, rådet, kommissionen och revisionsrätten, och att se till att de offentliggörs i </w:t>
      </w:r>
      <w:r w:rsidRPr="004D0537">
        <w:rPr>
          <w:i/>
          <w:iCs/>
        </w:rPr>
        <w:t>Europeiska unionens officiella tidning</w:t>
      </w:r>
      <w:r w:rsidRPr="004D0537">
        <w:t xml:space="preserve"> (L-serien).</w:t>
      </w:r>
    </w:p>
    <w:p w14:paraId="330AD89C" w14:textId="77777777" w:rsidR="004B06CC" w:rsidRPr="004D0537" w:rsidRDefault="004B06CC" w:rsidP="004B06CC"/>
    <w:p w14:paraId="422495AA" w14:textId="77777777" w:rsidR="004B06CC" w:rsidRPr="004D0537" w:rsidRDefault="004B06CC" w:rsidP="004B06CC">
      <w:pPr>
        <w:spacing w:after="480"/>
        <w:jc w:val="center"/>
        <w:rPr>
          <w:rFonts w:cs="Arial"/>
          <w:b/>
        </w:rPr>
        <w:sectPr w:rsidR="004B06CC" w:rsidRPr="004D0537" w:rsidSect="003A4AB5">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8F7219" w14:textId="008588E3" w:rsidR="004B06CC" w:rsidRPr="004D0537" w:rsidRDefault="00091EB7" w:rsidP="00091EB7">
      <w:pPr>
        <w:pStyle w:val="ATHeading3"/>
      </w:pPr>
      <w:r w:rsidRPr="004D0537">
        <w:lastRenderedPageBreak/>
        <w:t xml:space="preserve">16. Europaparlamentets beslut av den 29 april 2026 </w:t>
      </w:r>
      <w:r w:rsidR="004B06CC" w:rsidRPr="004D0537">
        <w:t>om avslutande av räkenskaperna för Europeiska centrumet för förebyggande och kontroll av sjukdomar för budgetåret 2024</w:t>
      </w:r>
      <w:r w:rsidRPr="004D0537">
        <w:t xml:space="preserve"> </w:t>
      </w:r>
      <w:r w:rsidR="004B06CC" w:rsidRPr="004D0537">
        <w:t>(2025/2156(DEC))</w:t>
      </w:r>
    </w:p>
    <w:p w14:paraId="4618DB95" w14:textId="77777777" w:rsidR="004B06CC" w:rsidRPr="004D0537" w:rsidRDefault="004B06CC" w:rsidP="004B06CC">
      <w:pPr>
        <w:spacing w:before="480" w:after="240"/>
      </w:pPr>
      <w:r w:rsidRPr="004D0537">
        <w:rPr>
          <w:i/>
          <w:iCs/>
        </w:rPr>
        <w:t>Europaparlamentet fattar detta beslut</w:t>
      </w:r>
    </w:p>
    <w:p w14:paraId="42ACCD4D" w14:textId="77777777" w:rsidR="004B06CC" w:rsidRPr="004D0537" w:rsidRDefault="004B06CC" w:rsidP="004B06CC">
      <w:pPr>
        <w:spacing w:after="240"/>
        <w:ind w:left="567" w:hanging="567"/>
      </w:pPr>
      <w:r w:rsidRPr="004D0537">
        <w:t>–</w:t>
      </w:r>
      <w:r w:rsidRPr="004D0537">
        <w:tab/>
        <w:t>med beaktande av den slutliga årsredovisningen för Europeiska centrumet för förebyggande och kontroll av sjukdomar för budgetåret 2024,</w:t>
      </w:r>
    </w:p>
    <w:p w14:paraId="7A4CEB92"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91"/>
      </w:r>
      <w:r w:rsidRPr="004D0537">
        <w:t>,</w:t>
      </w:r>
    </w:p>
    <w:p w14:paraId="73F62FC1"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92"/>
      </w:r>
      <w:r w:rsidRPr="004D0537">
        <w:t>, som avgetts av revisionsrätten för budgetåret 2024 i enlighet med artikel 287 i fördraget om Europeiska unionens funktionssätt,</w:t>
      </w:r>
    </w:p>
    <w:p w14:paraId="4692F8B9" w14:textId="77777777" w:rsidR="004B06CC" w:rsidRPr="004D0537" w:rsidRDefault="004B06CC" w:rsidP="004B06CC">
      <w:pPr>
        <w:spacing w:after="240"/>
        <w:ind w:left="567" w:hanging="567"/>
      </w:pPr>
      <w:r w:rsidRPr="004D0537">
        <w:t>–</w:t>
      </w:r>
      <w:r w:rsidRPr="004D0537">
        <w:tab/>
        <w:t>med beaktande av rådets rekommendation av den 2 mars 2026 om att bevilja centrumet ansvarsfrihet för genomförandet av budgeten för budgetåret 2024 (05750/2026 – C10</w:t>
      </w:r>
      <w:r w:rsidRPr="004D0537">
        <w:noBreakHyphen/>
        <w:t>0148/2026),</w:t>
      </w:r>
    </w:p>
    <w:p w14:paraId="0F5CA38E"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6FFB49F6"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93"/>
      </w:r>
      <w:r w:rsidRPr="004D0537">
        <w:t>, särskilt artikel 70,</w:t>
      </w:r>
    </w:p>
    <w:p w14:paraId="1651583B"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94"/>
      </w:r>
      <w:r w:rsidRPr="004D0537">
        <w:t>, särskilt artikel 70,</w:t>
      </w:r>
    </w:p>
    <w:p w14:paraId="49B29EA2" w14:textId="77777777" w:rsidR="004B06CC" w:rsidRPr="004D0537" w:rsidRDefault="004B06CC" w:rsidP="004B06CC">
      <w:pPr>
        <w:spacing w:after="240"/>
        <w:ind w:left="567" w:hanging="567"/>
      </w:pPr>
      <w:r w:rsidRPr="004D0537">
        <w:t>–</w:t>
      </w:r>
      <w:r w:rsidRPr="004D0537">
        <w:tab/>
        <w:t>med beaktande av Europaparlamentets och rådets förordning (EG) nr 851/2004 av den 21 april 2004 om inrättande av ett europeiskt centrum för förebyggande och kontroll av sjukdomar</w:t>
      </w:r>
      <w:r w:rsidRPr="004D0537">
        <w:rPr>
          <w:vertAlign w:val="superscript"/>
        </w:rPr>
        <w:footnoteReference w:id="95"/>
      </w:r>
      <w:r w:rsidRPr="004D0537">
        <w:t>, särskilt artikel 23,</w:t>
      </w:r>
    </w:p>
    <w:p w14:paraId="647C8677"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96"/>
      </w:r>
      <w:r w:rsidRPr="004D0537">
        <w:t>, särskilt artikel 105,</w:t>
      </w:r>
    </w:p>
    <w:p w14:paraId="183F665D" w14:textId="77777777" w:rsidR="004B06CC" w:rsidRPr="004D0537" w:rsidRDefault="004B06CC" w:rsidP="004B06CC">
      <w:pPr>
        <w:spacing w:after="240"/>
        <w:ind w:left="567" w:hanging="567"/>
      </w:pPr>
      <w:r w:rsidRPr="004D0537">
        <w:t>–</w:t>
      </w:r>
      <w:r w:rsidRPr="004D0537">
        <w:tab/>
        <w:t>med beaktande av artikel 102 och bilaga V i arbetsordningen,</w:t>
      </w:r>
    </w:p>
    <w:p w14:paraId="5346BD2C"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5BD43473"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76ECF617" w14:textId="77777777" w:rsidR="004B06CC" w:rsidRPr="004D0537" w:rsidRDefault="004B06CC" w:rsidP="004B06CC">
      <w:pPr>
        <w:spacing w:after="240"/>
        <w:ind w:left="567" w:hanging="567"/>
      </w:pPr>
      <w:r w:rsidRPr="004D0537">
        <w:t>1.</w:t>
      </w:r>
      <w:r w:rsidRPr="004D0537">
        <w:tab/>
        <w:t>Europaparlamentet godkänner avslutandet av räkenskaperna för Europeiska centrumet för förebyggande och kontroll av sjukdomar för budgetåret 2024.</w:t>
      </w:r>
    </w:p>
    <w:p w14:paraId="7BA9DA25"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direktören för Europeiska centrumet för förebyggande och kontroll av sjukdomar, rådet, kommissionen och revisionsrätten, och att se till att det offentliggörs i </w:t>
      </w:r>
      <w:r w:rsidRPr="004D0537">
        <w:rPr>
          <w:i/>
          <w:iCs/>
        </w:rPr>
        <w:t>Europeiska unionens officiella tidning</w:t>
      </w:r>
      <w:r w:rsidRPr="004D0537">
        <w:t xml:space="preserve"> (L-serien).</w:t>
      </w:r>
    </w:p>
    <w:p w14:paraId="6C3F85C4" w14:textId="77777777" w:rsidR="004B06CC" w:rsidRPr="004D0537" w:rsidRDefault="004B06CC" w:rsidP="003E27E5">
      <w:pPr>
        <w:spacing w:after="480"/>
        <w:rPr>
          <w:rFonts w:cs="Arial"/>
          <w:b/>
        </w:rPr>
        <w:sectPr w:rsidR="004B06CC" w:rsidRPr="004D0537" w:rsidSect="003A4AB5">
          <w:footerReference w:type="first" r:id="rId2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0BE35A" w14:textId="1586391A" w:rsidR="004B06CC" w:rsidRPr="004D0537" w:rsidRDefault="00091EB7" w:rsidP="00091EB7">
      <w:pPr>
        <w:pStyle w:val="ATHeading3"/>
      </w:pPr>
      <w:r w:rsidRPr="004D0537">
        <w:lastRenderedPageBreak/>
        <w:t xml:space="preserve">17. Europaparlamentets beslut av den 29 april 2026 </w:t>
      </w:r>
      <w:r w:rsidR="004B06CC" w:rsidRPr="004D0537">
        <w:t>om ansvarsfrihet för genomförandet av budgeten för Europeiska kemikaliemyndigheten för budgetåret 2024</w:t>
      </w:r>
      <w:r w:rsidRPr="004D0537">
        <w:t xml:space="preserve"> </w:t>
      </w:r>
      <w:r w:rsidR="004B06CC" w:rsidRPr="004D0537">
        <w:t>(2025/2156(DEC))</w:t>
      </w:r>
    </w:p>
    <w:p w14:paraId="431DE98F" w14:textId="77777777" w:rsidR="004B06CC" w:rsidRPr="004D0537" w:rsidRDefault="004B06CC" w:rsidP="004B06CC">
      <w:pPr>
        <w:spacing w:before="480" w:after="240"/>
      </w:pPr>
      <w:r w:rsidRPr="004D0537">
        <w:rPr>
          <w:i/>
          <w:iCs/>
        </w:rPr>
        <w:t>Europaparlamentet fattar detta beslut</w:t>
      </w:r>
    </w:p>
    <w:p w14:paraId="6D95E212" w14:textId="77777777" w:rsidR="004B06CC" w:rsidRPr="004D0537" w:rsidRDefault="004B06CC" w:rsidP="004B06CC">
      <w:pPr>
        <w:spacing w:after="240"/>
        <w:ind w:left="567" w:hanging="567"/>
      </w:pPr>
      <w:r w:rsidRPr="004D0537">
        <w:t>–</w:t>
      </w:r>
      <w:r w:rsidRPr="004D0537">
        <w:tab/>
        <w:t>med beaktande av den slutliga årsredovisningen för Europeiska kemikaliemyndigheten för budgetåret 2024,</w:t>
      </w:r>
    </w:p>
    <w:p w14:paraId="2A0EC58D"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97"/>
      </w:r>
      <w:r w:rsidRPr="004D0537">
        <w:t>,</w:t>
      </w:r>
    </w:p>
    <w:p w14:paraId="13BD7330"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98"/>
      </w:r>
      <w:r w:rsidRPr="004D0537">
        <w:t>, som avgetts av revisionsrätten för budgetåret 2024 i enlighet med artikel 287 i fördraget om Europeiska unionens funktionssätt,</w:t>
      </w:r>
    </w:p>
    <w:p w14:paraId="65F8BE6B"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12AE01BD"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8857498"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99"/>
      </w:r>
      <w:r w:rsidRPr="004D0537">
        <w:t>, särskilt artikel 70,</w:t>
      </w:r>
    </w:p>
    <w:p w14:paraId="72D6C940"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00"/>
      </w:r>
      <w:r w:rsidRPr="004D0537">
        <w:t>, särskilt artikel 70,</w:t>
      </w:r>
    </w:p>
    <w:p w14:paraId="34F39AE1" w14:textId="77777777" w:rsidR="004B06CC" w:rsidRPr="004D0537" w:rsidRDefault="004B06CC" w:rsidP="004B06CC">
      <w:pPr>
        <w:spacing w:after="240"/>
        <w:ind w:left="567" w:hanging="567"/>
      </w:pPr>
      <w:r w:rsidRPr="004D0537">
        <w:t>–</w:t>
      </w:r>
      <w:r w:rsidRPr="004D0537">
        <w:tab/>
        <w:t>med beaktande av Europaparlamentets och rådets förordning (EG) nr 1907/2006 av den 18 december 2006 om registrering, utvärdering, godkännande och begränsning av kemikalier (</w:t>
      </w:r>
      <w:proofErr w:type="spellStart"/>
      <w:r w:rsidRPr="004D0537">
        <w:t>Reach</w:t>
      </w:r>
      <w:proofErr w:type="spellEnd"/>
      <w:r w:rsidRPr="004D0537">
        <w:t>), inrättande av en europeisk kemikaliemyndighet, ändring av direktiv 1999/45/EG och upphävande av rådets förordning (EEG) nr 793/93 och kommissionens förordning (EG) nr 1488/94 samt rådets direktiv 76/769/EEG och kommissionens direktiv 91/155/EEG, 93/67/EEG, 93/105/EG och 2000/21/EG</w:t>
      </w:r>
      <w:r w:rsidRPr="004D0537">
        <w:rPr>
          <w:vertAlign w:val="superscript"/>
        </w:rPr>
        <w:footnoteReference w:id="101"/>
      </w:r>
      <w:r w:rsidRPr="004D0537">
        <w:t>, särskilt artikel 97,</w:t>
      </w:r>
    </w:p>
    <w:p w14:paraId="008982AF"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 xml:space="preserve">fördraget och Euratomfördraget och som avses i artikel 70 i Europaparlamentets </w:t>
      </w:r>
      <w:r w:rsidRPr="004D0537">
        <w:lastRenderedPageBreak/>
        <w:t>och rådets förordning (EU, Euratom) 2018/1046</w:t>
      </w:r>
      <w:r w:rsidRPr="004D0537">
        <w:rPr>
          <w:vertAlign w:val="superscript"/>
        </w:rPr>
        <w:footnoteReference w:id="102"/>
      </w:r>
      <w:r w:rsidRPr="004D0537">
        <w:t>, särskilt artikel 105,</w:t>
      </w:r>
    </w:p>
    <w:p w14:paraId="366717FE" w14:textId="77777777" w:rsidR="004B06CC" w:rsidRPr="004D0537" w:rsidRDefault="004B06CC" w:rsidP="004B06CC">
      <w:pPr>
        <w:spacing w:after="240"/>
        <w:ind w:left="567" w:hanging="567"/>
      </w:pPr>
      <w:r w:rsidRPr="004D0537">
        <w:t>–</w:t>
      </w:r>
      <w:r w:rsidRPr="004D0537">
        <w:tab/>
        <w:t>med beaktande av artikel 102 och bilaga V i arbetsordningen,</w:t>
      </w:r>
    </w:p>
    <w:p w14:paraId="2C102964"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0310B687"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3336FA50" w14:textId="77777777" w:rsidR="004B06CC" w:rsidRPr="004D0537" w:rsidRDefault="004B06CC" w:rsidP="004B06CC">
      <w:pPr>
        <w:spacing w:after="240"/>
        <w:ind w:left="567" w:hanging="567"/>
      </w:pPr>
      <w:r w:rsidRPr="004D0537">
        <w:t>1.</w:t>
      </w:r>
      <w:r w:rsidRPr="004D0537">
        <w:tab/>
        <w:t>Europaparlamentet beviljar verkställande direktören för Europeiska kemikaliemyndigheten ansvarsfrihet för genomförandet av myndighetens budget för budgetåret 2024.</w:t>
      </w:r>
    </w:p>
    <w:p w14:paraId="5F2D9B6A"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73B025DE"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kemikaliemyndigheten, rådet, kommissionen och revisionsrätten, och att se till att de offentliggörs i </w:t>
      </w:r>
      <w:r w:rsidRPr="004D0537">
        <w:rPr>
          <w:i/>
          <w:iCs/>
        </w:rPr>
        <w:t>Europeiska unionens officiella tidning</w:t>
      </w:r>
      <w:r w:rsidRPr="004D0537">
        <w:t xml:space="preserve"> (L-serien).</w:t>
      </w:r>
    </w:p>
    <w:p w14:paraId="47A9B939" w14:textId="77777777" w:rsidR="004B06CC" w:rsidRPr="004D0537" w:rsidRDefault="004B06CC" w:rsidP="004B06CC"/>
    <w:p w14:paraId="5533980C" w14:textId="77777777" w:rsidR="004B06CC" w:rsidRPr="004D0537" w:rsidRDefault="004B06CC" w:rsidP="004B06CC">
      <w:pPr>
        <w:spacing w:after="480"/>
        <w:jc w:val="center"/>
        <w:rPr>
          <w:rFonts w:cs="Arial"/>
          <w:b/>
        </w:rPr>
        <w:sectPr w:rsidR="004B06CC" w:rsidRPr="004D0537" w:rsidSect="003A4AB5">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C925748" w14:textId="73EC9109" w:rsidR="004B06CC" w:rsidRPr="004D0537" w:rsidRDefault="00091EB7" w:rsidP="00091EB7">
      <w:pPr>
        <w:pStyle w:val="ATHeading3"/>
      </w:pPr>
      <w:r w:rsidRPr="004D0537">
        <w:lastRenderedPageBreak/>
        <w:t xml:space="preserve">18. Europaparlamentets beslut av den 29 april 2026 </w:t>
      </w:r>
      <w:r w:rsidR="004B06CC" w:rsidRPr="004D0537">
        <w:t>om avslutande av räkenskaperna för Europeiska kemikaliemyndigheten för budgetåret 2024</w:t>
      </w:r>
      <w:r w:rsidR="003E27E5" w:rsidRPr="004D0537">
        <w:t xml:space="preserve"> </w:t>
      </w:r>
      <w:r w:rsidR="004B06CC" w:rsidRPr="004D0537">
        <w:t>(2025/2156(DEC))</w:t>
      </w:r>
    </w:p>
    <w:p w14:paraId="052B2A9F" w14:textId="77777777" w:rsidR="004B06CC" w:rsidRPr="004D0537" w:rsidRDefault="004B06CC" w:rsidP="004B06CC">
      <w:pPr>
        <w:spacing w:before="480" w:after="240"/>
      </w:pPr>
      <w:r w:rsidRPr="004D0537">
        <w:rPr>
          <w:i/>
          <w:iCs/>
        </w:rPr>
        <w:t>Europaparlamentet fattar detta beslut</w:t>
      </w:r>
    </w:p>
    <w:p w14:paraId="640EBCFC" w14:textId="77777777" w:rsidR="004B06CC" w:rsidRPr="004D0537" w:rsidRDefault="004B06CC" w:rsidP="004B06CC">
      <w:pPr>
        <w:spacing w:after="240"/>
        <w:ind w:left="567" w:hanging="567"/>
      </w:pPr>
      <w:r w:rsidRPr="004D0537">
        <w:t>–</w:t>
      </w:r>
      <w:r w:rsidRPr="004D0537">
        <w:tab/>
        <w:t>med beaktande av den slutliga årsredovisningen för Europeiska kemikaliemyndigheten för budgetåret 2024,</w:t>
      </w:r>
    </w:p>
    <w:p w14:paraId="2474FFFB"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03"/>
      </w:r>
      <w:r w:rsidRPr="004D0537">
        <w:t>,</w:t>
      </w:r>
    </w:p>
    <w:p w14:paraId="378CF5AF"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04"/>
      </w:r>
      <w:r w:rsidRPr="004D0537">
        <w:t>, som avgetts av revisionsrätten för budgetåret 2024 i enlighet med artikel 287 i fördraget om Europeiska unionens funktionssätt,</w:t>
      </w:r>
    </w:p>
    <w:p w14:paraId="35BA0893"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3CE7CC9D"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23A17B61"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05"/>
      </w:r>
      <w:r w:rsidRPr="004D0537">
        <w:t>, särskilt artikel 70,</w:t>
      </w:r>
    </w:p>
    <w:p w14:paraId="0506F1A3"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06"/>
      </w:r>
      <w:r w:rsidRPr="004D0537">
        <w:t>, särskilt artikel 70,</w:t>
      </w:r>
    </w:p>
    <w:p w14:paraId="7670B2EF" w14:textId="77777777" w:rsidR="004B06CC" w:rsidRPr="004D0537" w:rsidRDefault="004B06CC" w:rsidP="004B06CC">
      <w:pPr>
        <w:spacing w:after="240"/>
        <w:ind w:left="567" w:hanging="567"/>
      </w:pPr>
      <w:r w:rsidRPr="004D0537">
        <w:t>–</w:t>
      </w:r>
      <w:r w:rsidRPr="004D0537">
        <w:tab/>
        <w:t>med beaktande av Europaparlamentets och rådets förordning (EG) nr 1907/2006 av den 18 december 2006 om registrering, utvärdering, godkännande och begränsning av kemikalier (</w:t>
      </w:r>
      <w:proofErr w:type="spellStart"/>
      <w:r w:rsidRPr="004D0537">
        <w:t>Reach</w:t>
      </w:r>
      <w:proofErr w:type="spellEnd"/>
      <w:r w:rsidRPr="004D0537">
        <w:t>), inrättande av en europeisk kemikaliemyndighet, ändring av direktiv 1999/45/EG och upphävande av rådets förordning (EEG) nr 793/93 och kommissionens förordning (EG) nr 1488/94 samt rådets direktiv 76/769/EEG och kommissionens direktiv 91/155/EEG, 93/67/EEG, 93/105/EG och 2000/21/EG</w:t>
      </w:r>
      <w:r w:rsidRPr="004D0537">
        <w:rPr>
          <w:vertAlign w:val="superscript"/>
        </w:rPr>
        <w:footnoteReference w:id="107"/>
      </w:r>
      <w:r w:rsidRPr="004D0537">
        <w:t>, särskilt artikel 97,</w:t>
      </w:r>
    </w:p>
    <w:p w14:paraId="5C8D67EB"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08"/>
      </w:r>
      <w:r w:rsidRPr="004D0537">
        <w:t>, särskilt artikel 105,</w:t>
      </w:r>
    </w:p>
    <w:p w14:paraId="37D88E32"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09D3D641"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1ECF3709"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0E7F0952" w14:textId="77777777" w:rsidR="004B06CC" w:rsidRPr="004D0537" w:rsidRDefault="004B06CC" w:rsidP="004B06CC">
      <w:pPr>
        <w:spacing w:after="240"/>
        <w:ind w:left="567" w:hanging="567"/>
      </w:pPr>
      <w:r w:rsidRPr="004D0537">
        <w:t>1.</w:t>
      </w:r>
      <w:r w:rsidRPr="004D0537">
        <w:tab/>
        <w:t>Europaparlamentet godkänner avslutandet av räkenskaperna för Europeiska kemikaliemyndigheten för budgetåret 2024.</w:t>
      </w:r>
    </w:p>
    <w:p w14:paraId="3A955958"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kemikaliemyndigheten, rådet, kommissionen och revisionsrätten, och att se till att det offentliggörs i </w:t>
      </w:r>
      <w:r w:rsidRPr="004D0537">
        <w:rPr>
          <w:i/>
          <w:iCs/>
        </w:rPr>
        <w:t>Europeiska unionens officiella tidning</w:t>
      </w:r>
      <w:r w:rsidRPr="004D0537">
        <w:t xml:space="preserve"> (L-serien).</w:t>
      </w:r>
    </w:p>
    <w:p w14:paraId="45DBE1DD" w14:textId="77777777" w:rsidR="004B06CC" w:rsidRPr="004D0537" w:rsidRDefault="004B06CC" w:rsidP="003E27E5">
      <w:pPr>
        <w:spacing w:after="480"/>
        <w:rPr>
          <w:rFonts w:cs="Arial"/>
          <w:b/>
        </w:rPr>
        <w:sectPr w:rsidR="004B06CC" w:rsidRPr="004D0537" w:rsidSect="003A4AB5">
          <w:footerReference w:type="first" r:id="rId3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7DA54E" w14:textId="32F4B151" w:rsidR="004B06CC" w:rsidRPr="004D0537" w:rsidRDefault="00091EB7" w:rsidP="00091EB7">
      <w:pPr>
        <w:pStyle w:val="ATHeading3"/>
      </w:pPr>
      <w:r w:rsidRPr="004D0537">
        <w:lastRenderedPageBreak/>
        <w:t xml:space="preserve">19. Europaparlamentets beslut av den 29 april 2026 </w:t>
      </w:r>
      <w:r w:rsidR="004B06CC" w:rsidRPr="004D0537">
        <w:t>om ansvarsfrihet för genomförandet av budgeten för Europeiska miljöbyrån för budgetåret 2024</w:t>
      </w:r>
      <w:r w:rsidR="003E27E5" w:rsidRPr="004D0537">
        <w:t xml:space="preserve"> </w:t>
      </w:r>
      <w:r w:rsidR="004B06CC" w:rsidRPr="004D0537">
        <w:t>(2025/2156(DEC))</w:t>
      </w:r>
    </w:p>
    <w:p w14:paraId="4B3B4AEC" w14:textId="77777777" w:rsidR="004B06CC" w:rsidRPr="004D0537" w:rsidRDefault="004B06CC" w:rsidP="004B06CC">
      <w:pPr>
        <w:spacing w:before="480" w:after="240"/>
      </w:pPr>
      <w:r w:rsidRPr="004D0537">
        <w:rPr>
          <w:i/>
          <w:iCs/>
        </w:rPr>
        <w:t>Europaparlamentet fattar detta beslut</w:t>
      </w:r>
    </w:p>
    <w:p w14:paraId="3CB6124E" w14:textId="77777777" w:rsidR="004B06CC" w:rsidRPr="004D0537" w:rsidRDefault="004B06CC" w:rsidP="004B06CC">
      <w:pPr>
        <w:spacing w:after="240"/>
        <w:ind w:left="567" w:hanging="567"/>
      </w:pPr>
      <w:r w:rsidRPr="004D0537">
        <w:t>–</w:t>
      </w:r>
      <w:r w:rsidRPr="004D0537">
        <w:tab/>
        <w:t>med beaktande av den slutliga årsredovisningen för Europeiska miljöbyrån för budgetåret 2024,</w:t>
      </w:r>
    </w:p>
    <w:p w14:paraId="2FE91A9F"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09"/>
      </w:r>
      <w:r w:rsidRPr="004D0537">
        <w:t>,</w:t>
      </w:r>
    </w:p>
    <w:p w14:paraId="1CAF08E6"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10"/>
      </w:r>
      <w:r w:rsidRPr="004D0537">
        <w:t>, som avgetts av revisionsrätten för budgetåret 2024 i enlighet med artikel 287 i fördraget om Europeiska unionens funktionssätt,</w:t>
      </w:r>
    </w:p>
    <w:p w14:paraId="01F52FCF"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3637B9EB"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12E43C2D"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11"/>
      </w:r>
      <w:r w:rsidRPr="004D0537">
        <w:t>, särskilt artikel 70,</w:t>
      </w:r>
    </w:p>
    <w:p w14:paraId="58E53F9F"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12"/>
      </w:r>
      <w:r w:rsidRPr="004D0537">
        <w:t>, särskilt artikel 70,</w:t>
      </w:r>
    </w:p>
    <w:p w14:paraId="6DC69638" w14:textId="77777777" w:rsidR="004B06CC" w:rsidRPr="004D0537" w:rsidRDefault="004B06CC" w:rsidP="004B06CC">
      <w:pPr>
        <w:spacing w:after="240"/>
        <w:ind w:left="567" w:hanging="567"/>
      </w:pPr>
      <w:r w:rsidRPr="004D0537">
        <w:t>–</w:t>
      </w:r>
      <w:r w:rsidRPr="004D0537">
        <w:tab/>
        <w:t>med beaktande av Europaparlamentets och rådets förordning (EG) nr 401/2009 av den 23 april 2009 om Europeiska miljöbyrån och Europeiska nätverket för miljöinformation och miljöövervakning</w:t>
      </w:r>
      <w:r w:rsidRPr="004D0537">
        <w:rPr>
          <w:vertAlign w:val="superscript"/>
        </w:rPr>
        <w:footnoteReference w:id="113"/>
      </w:r>
      <w:r w:rsidRPr="004D0537">
        <w:t>, särskilt artikel 13,</w:t>
      </w:r>
    </w:p>
    <w:p w14:paraId="767DCBEA"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14"/>
      </w:r>
      <w:r w:rsidRPr="004D0537">
        <w:t>, särskilt artikel 105,</w:t>
      </w:r>
    </w:p>
    <w:p w14:paraId="5304CDA9" w14:textId="77777777" w:rsidR="004B06CC" w:rsidRPr="004D0537" w:rsidRDefault="004B06CC" w:rsidP="004B06CC">
      <w:pPr>
        <w:spacing w:after="240"/>
        <w:ind w:left="567" w:hanging="567"/>
      </w:pPr>
      <w:r w:rsidRPr="004D0537">
        <w:t>–</w:t>
      </w:r>
      <w:r w:rsidRPr="004D0537">
        <w:tab/>
        <w:t>med beaktande av artikel 102 och bilaga V i arbetsordningen,</w:t>
      </w:r>
    </w:p>
    <w:p w14:paraId="7A52BDC2"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5346B4DC"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5A953FA6" w14:textId="77777777" w:rsidR="004B06CC" w:rsidRPr="004D0537" w:rsidRDefault="004B06CC" w:rsidP="004B06CC">
      <w:pPr>
        <w:spacing w:after="240"/>
        <w:ind w:left="567" w:hanging="567"/>
      </w:pPr>
      <w:r w:rsidRPr="004D0537">
        <w:t>1.</w:t>
      </w:r>
      <w:r w:rsidRPr="004D0537">
        <w:tab/>
        <w:t>Europaparlamentet beviljar verkställande direktören för Europeiska miljöbyrån ansvarsfrihet för genomförandet av byråns budget för budgetåret 2024.</w:t>
      </w:r>
    </w:p>
    <w:p w14:paraId="2AB7BA71"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6578538B"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miljöbyrån, rådet, kommissionen och revisionsrätten, och att se till att de offentliggörs i </w:t>
      </w:r>
      <w:r w:rsidRPr="004D0537">
        <w:rPr>
          <w:i/>
          <w:iCs/>
        </w:rPr>
        <w:t>Europeiska unionens officiella tidning</w:t>
      </w:r>
      <w:r w:rsidRPr="004D0537">
        <w:t xml:space="preserve"> (L-serien).</w:t>
      </w:r>
    </w:p>
    <w:p w14:paraId="5429FB2C" w14:textId="77777777" w:rsidR="004B06CC" w:rsidRPr="004D0537" w:rsidRDefault="004B06CC" w:rsidP="004B06CC"/>
    <w:p w14:paraId="6995B49A" w14:textId="77777777" w:rsidR="004B06CC" w:rsidRPr="004D0537" w:rsidRDefault="004B06CC" w:rsidP="004B06CC">
      <w:pPr>
        <w:spacing w:after="480"/>
        <w:jc w:val="center"/>
        <w:rPr>
          <w:rFonts w:cs="Arial"/>
          <w:b/>
        </w:rPr>
        <w:sectPr w:rsidR="004B06CC" w:rsidRPr="004D0537" w:rsidSect="003A4AB5">
          <w:footerReference w:type="first" r:id="rId3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59ED41" w14:textId="1156C8F4" w:rsidR="004B06CC" w:rsidRPr="004D0537" w:rsidRDefault="00091EB7" w:rsidP="00091EB7">
      <w:pPr>
        <w:pStyle w:val="ATHeading3"/>
      </w:pPr>
      <w:r w:rsidRPr="004D0537">
        <w:lastRenderedPageBreak/>
        <w:t xml:space="preserve">20. Europaparlamentets beslut av den 29 april 2026 </w:t>
      </w:r>
      <w:r w:rsidR="004B06CC" w:rsidRPr="004D0537">
        <w:t>om avslutande av räkenskaperna för Europeiska miljöbyrån för budgetåret 2024</w:t>
      </w:r>
      <w:r w:rsidR="003E27E5" w:rsidRPr="004D0537">
        <w:t xml:space="preserve"> </w:t>
      </w:r>
      <w:r w:rsidR="004B06CC" w:rsidRPr="004D0537">
        <w:t>(2025/2156(DEC))</w:t>
      </w:r>
    </w:p>
    <w:p w14:paraId="28EF9960" w14:textId="77777777" w:rsidR="004B06CC" w:rsidRPr="004D0537" w:rsidRDefault="004B06CC" w:rsidP="004B06CC">
      <w:pPr>
        <w:spacing w:before="480" w:after="240"/>
      </w:pPr>
      <w:r w:rsidRPr="004D0537">
        <w:rPr>
          <w:i/>
          <w:iCs/>
        </w:rPr>
        <w:t>Europaparlamentet fattar detta beslut</w:t>
      </w:r>
    </w:p>
    <w:p w14:paraId="0ADBCBA6" w14:textId="77777777" w:rsidR="004B06CC" w:rsidRPr="004D0537" w:rsidRDefault="004B06CC" w:rsidP="004B06CC">
      <w:pPr>
        <w:spacing w:after="240"/>
        <w:ind w:left="567" w:hanging="567"/>
      </w:pPr>
      <w:r w:rsidRPr="004D0537">
        <w:t>–</w:t>
      </w:r>
      <w:r w:rsidRPr="004D0537">
        <w:tab/>
        <w:t>med beaktande av den slutliga årsredovisningen för Europeiska miljöbyrån för budgetåret 2024,</w:t>
      </w:r>
    </w:p>
    <w:p w14:paraId="2D2055A1"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15"/>
      </w:r>
      <w:r w:rsidRPr="004D0537">
        <w:t>,</w:t>
      </w:r>
    </w:p>
    <w:p w14:paraId="4C81CF6A"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16"/>
      </w:r>
      <w:r w:rsidRPr="004D0537">
        <w:t>, som avgetts av revisionsrätten för budgetåret 2024 i enlighet med artikel 287 i fördraget om Europeiska unionens funktionssätt,</w:t>
      </w:r>
    </w:p>
    <w:p w14:paraId="2AFEEBC0"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10A70137"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71E65400"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17"/>
      </w:r>
      <w:r w:rsidRPr="004D0537">
        <w:t>, särskilt artikel 70,</w:t>
      </w:r>
    </w:p>
    <w:p w14:paraId="2C31669B"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18"/>
      </w:r>
      <w:r w:rsidRPr="004D0537">
        <w:t>, särskilt artikel 70,</w:t>
      </w:r>
    </w:p>
    <w:p w14:paraId="7E3A23A5" w14:textId="77777777" w:rsidR="004B06CC" w:rsidRPr="004D0537" w:rsidRDefault="004B06CC" w:rsidP="004B06CC">
      <w:pPr>
        <w:spacing w:after="240"/>
        <w:ind w:left="567" w:hanging="567"/>
      </w:pPr>
      <w:r w:rsidRPr="004D0537">
        <w:t>–</w:t>
      </w:r>
      <w:r w:rsidRPr="004D0537">
        <w:tab/>
        <w:t>med beaktande av Europaparlamentets och rådets förordning (EG) nr 401/2009 av den 23 april 2009 om Europeiska miljöbyrån och Europeiska nätverket för miljöinformation och miljöövervakning</w:t>
      </w:r>
      <w:r w:rsidRPr="004D0537">
        <w:rPr>
          <w:vertAlign w:val="superscript"/>
        </w:rPr>
        <w:footnoteReference w:id="119"/>
      </w:r>
      <w:r w:rsidRPr="004D0537">
        <w:t>, särskilt artikel 13,</w:t>
      </w:r>
    </w:p>
    <w:p w14:paraId="17765AE5"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20"/>
      </w:r>
      <w:r w:rsidRPr="004D0537">
        <w:t>, särskilt artikel 105,</w:t>
      </w:r>
    </w:p>
    <w:p w14:paraId="3289B0AD" w14:textId="77777777" w:rsidR="004B06CC" w:rsidRPr="004D0537" w:rsidRDefault="004B06CC" w:rsidP="004B06CC">
      <w:pPr>
        <w:spacing w:after="240"/>
        <w:ind w:left="567" w:hanging="567"/>
      </w:pPr>
      <w:r w:rsidRPr="004D0537">
        <w:t>–</w:t>
      </w:r>
      <w:r w:rsidRPr="004D0537">
        <w:tab/>
        <w:t>med beaktande av artikel 102 och bilaga V i arbetsordningen,</w:t>
      </w:r>
    </w:p>
    <w:p w14:paraId="674B9A23"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w:t>
      </w:r>
      <w:r w:rsidRPr="004D0537">
        <w:lastRenderedPageBreak/>
        <w:t>utskottet för transport och turism, fiskeriutskottet, utskottet för medborgerliga fri- och rättigheter samt rättsliga och inrikes frågor och utskottet för kvinnors rättigheter och jämställdhet,</w:t>
      </w:r>
    </w:p>
    <w:p w14:paraId="5A6520E2"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74AB54B7" w14:textId="77777777" w:rsidR="004B06CC" w:rsidRPr="004D0537" w:rsidRDefault="004B06CC" w:rsidP="004B06CC">
      <w:pPr>
        <w:spacing w:after="240"/>
        <w:ind w:left="567" w:hanging="567"/>
      </w:pPr>
      <w:r w:rsidRPr="004D0537">
        <w:t>1.</w:t>
      </w:r>
      <w:r w:rsidRPr="004D0537">
        <w:tab/>
        <w:t>Europaparlamentet godkänner avslutandet av räkenskaperna för Europeiska miljöbyrån för budgetåret 2024.</w:t>
      </w:r>
    </w:p>
    <w:p w14:paraId="6BDDEFC8"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miljöbyrån, rådet, kommissionen och revisionsrätten, och att se till att det offentliggörs i </w:t>
      </w:r>
      <w:r w:rsidRPr="004D0537">
        <w:rPr>
          <w:i/>
          <w:iCs/>
        </w:rPr>
        <w:t>Europeiska unionens officiella tidning</w:t>
      </w:r>
      <w:r w:rsidRPr="004D0537">
        <w:t xml:space="preserve"> (L-serien).</w:t>
      </w:r>
    </w:p>
    <w:p w14:paraId="73C4D83B" w14:textId="77777777" w:rsidR="004B06CC" w:rsidRPr="004D0537" w:rsidRDefault="004B06CC" w:rsidP="003E27E5">
      <w:pPr>
        <w:spacing w:after="480"/>
        <w:rPr>
          <w:rFonts w:cs="Arial"/>
          <w:b/>
        </w:rPr>
        <w:sectPr w:rsidR="004B06CC" w:rsidRPr="004D0537" w:rsidSect="003A4AB5">
          <w:footerReference w:type="first" r:id="rId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DA9D4BF" w14:textId="49799E7C" w:rsidR="004B06CC" w:rsidRPr="004D0537" w:rsidRDefault="00091EB7" w:rsidP="00091EB7">
      <w:pPr>
        <w:pStyle w:val="ATHeading3"/>
      </w:pPr>
      <w:r w:rsidRPr="004D0537">
        <w:lastRenderedPageBreak/>
        <w:t xml:space="preserve">21. Europaparlamentets beslut av den 29 april 2026 </w:t>
      </w:r>
      <w:r w:rsidR="004B06CC" w:rsidRPr="004D0537">
        <w:t>om ansvarsfrihet för genomförandet av budgeten för Europeiska fiskerikontrollbyrån för budgetåret 2024</w:t>
      </w:r>
      <w:r w:rsidR="003E27E5" w:rsidRPr="004D0537">
        <w:t xml:space="preserve"> </w:t>
      </w:r>
      <w:r w:rsidR="004B06CC" w:rsidRPr="004D0537">
        <w:t>(2025/2156(DEC))</w:t>
      </w:r>
    </w:p>
    <w:p w14:paraId="075371FE" w14:textId="77777777" w:rsidR="004B06CC" w:rsidRPr="004D0537" w:rsidRDefault="004B06CC" w:rsidP="004B06CC">
      <w:pPr>
        <w:spacing w:before="480" w:after="240"/>
      </w:pPr>
      <w:r w:rsidRPr="004D0537">
        <w:rPr>
          <w:i/>
          <w:iCs/>
        </w:rPr>
        <w:t>Europaparlamentet fattar detta beslut</w:t>
      </w:r>
    </w:p>
    <w:p w14:paraId="2748BF25" w14:textId="77777777" w:rsidR="004B06CC" w:rsidRPr="004D0537" w:rsidRDefault="004B06CC" w:rsidP="004B06CC">
      <w:pPr>
        <w:spacing w:after="240"/>
        <w:ind w:left="567" w:hanging="567"/>
      </w:pPr>
      <w:r w:rsidRPr="004D0537">
        <w:t>–</w:t>
      </w:r>
      <w:r w:rsidRPr="004D0537">
        <w:tab/>
        <w:t>med beaktande av den slutliga årsredovisningen för Europeiska fiskerikontrollbyrån för budgetåret 2024,</w:t>
      </w:r>
    </w:p>
    <w:p w14:paraId="2CD9A5D1"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21"/>
      </w:r>
      <w:r w:rsidRPr="004D0537">
        <w:t>,</w:t>
      </w:r>
    </w:p>
    <w:p w14:paraId="34BAFF52"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22"/>
      </w:r>
      <w:r w:rsidRPr="004D0537">
        <w:t>, som avgetts av revisionsrätten för budgetåret 2024 i enlighet med artikel 287 i fördraget om Europeiska unionens funktionssätt,</w:t>
      </w:r>
    </w:p>
    <w:p w14:paraId="04E1AFB4"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611E47BB"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61B2CBBD"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23"/>
      </w:r>
      <w:r w:rsidRPr="004D0537">
        <w:t>, särskilt artikel 70,</w:t>
      </w:r>
    </w:p>
    <w:p w14:paraId="233F06B3"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24"/>
      </w:r>
      <w:r w:rsidRPr="004D0537">
        <w:t>, särskilt artikel 70,</w:t>
      </w:r>
    </w:p>
    <w:p w14:paraId="43F0D03A" w14:textId="77777777" w:rsidR="004B06CC" w:rsidRPr="004D0537" w:rsidRDefault="004B06CC" w:rsidP="004B06CC">
      <w:pPr>
        <w:spacing w:after="240"/>
        <w:ind w:left="567" w:hanging="567"/>
      </w:pPr>
      <w:r w:rsidRPr="004D0537">
        <w:t>–</w:t>
      </w:r>
      <w:r w:rsidRPr="004D0537">
        <w:tab/>
        <w:t>med beaktande av Europaparlamentets och rådets förordning (EU) 2019/473 av den 19 mars 2019 om Europeiska fiskerikontrollbyrån</w:t>
      </w:r>
      <w:r w:rsidRPr="004D0537">
        <w:rPr>
          <w:vertAlign w:val="superscript"/>
        </w:rPr>
        <w:footnoteReference w:id="125"/>
      </w:r>
      <w:r w:rsidRPr="004D0537">
        <w:t>, särskilt artikel 45,</w:t>
      </w:r>
    </w:p>
    <w:p w14:paraId="08711AB0"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26"/>
      </w:r>
      <w:r w:rsidRPr="004D0537">
        <w:t>, särskilt artikel 105,</w:t>
      </w:r>
    </w:p>
    <w:p w14:paraId="76198EB4" w14:textId="77777777" w:rsidR="004B06CC" w:rsidRPr="004D0537" w:rsidRDefault="004B06CC" w:rsidP="004B06CC">
      <w:pPr>
        <w:spacing w:after="240"/>
        <w:ind w:left="567" w:hanging="567"/>
      </w:pPr>
      <w:r w:rsidRPr="004D0537">
        <w:t>–</w:t>
      </w:r>
      <w:r w:rsidRPr="004D0537">
        <w:tab/>
        <w:t>med beaktande av artikel 102 och bilaga V i arbetsordningen,</w:t>
      </w:r>
    </w:p>
    <w:p w14:paraId="4D847525"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w:t>
      </w:r>
      <w:r w:rsidRPr="004D0537">
        <w:lastRenderedPageBreak/>
        <w:t>utskottet för transport och turism, fiskeriutskottet, utskottet för medborgerliga fri- och rättigheter samt rättsliga och inrikes frågor och utskottet för kvinnors rättigheter och jämställdhet,</w:t>
      </w:r>
    </w:p>
    <w:p w14:paraId="6D8ED9B1"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1C423F8F" w14:textId="77777777" w:rsidR="004B06CC" w:rsidRPr="004D0537" w:rsidRDefault="004B06CC" w:rsidP="004B06CC">
      <w:pPr>
        <w:spacing w:after="240"/>
        <w:ind w:left="567" w:hanging="567"/>
      </w:pPr>
      <w:r w:rsidRPr="004D0537">
        <w:t>1.</w:t>
      </w:r>
      <w:r w:rsidRPr="004D0537">
        <w:tab/>
        <w:t>Europaparlamentet beviljar verkställande direktören för Europeiska fiskerikontrollbyrån ansvarsfrihet för genomförandet av byråns budget för budgetåret 2024.</w:t>
      </w:r>
    </w:p>
    <w:p w14:paraId="348D05ED"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212918AF"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fiskerikontrollbyrån, rådet, kommissionen och revisionsrätten, och att se till att de offentliggörs i </w:t>
      </w:r>
      <w:r w:rsidRPr="004D0537">
        <w:rPr>
          <w:i/>
          <w:iCs/>
        </w:rPr>
        <w:t>Europeiska unionens officiella tidning</w:t>
      </w:r>
      <w:r w:rsidRPr="004D0537">
        <w:t xml:space="preserve"> (L-serien).</w:t>
      </w:r>
    </w:p>
    <w:p w14:paraId="40A4C545" w14:textId="77777777" w:rsidR="004B06CC" w:rsidRPr="004D0537" w:rsidRDefault="004B06CC" w:rsidP="004B06CC"/>
    <w:p w14:paraId="0C30BDCA" w14:textId="77777777" w:rsidR="004B06CC" w:rsidRPr="004D0537" w:rsidRDefault="004B06CC" w:rsidP="003E27E5">
      <w:pPr>
        <w:spacing w:after="480"/>
        <w:rPr>
          <w:rFonts w:cs="Arial"/>
          <w:b/>
        </w:rPr>
        <w:sectPr w:rsidR="004B06CC" w:rsidRPr="004D0537" w:rsidSect="003A4AB5">
          <w:footerReference w:type="first" r:id="rId3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7109FB" w14:textId="756B2E07" w:rsidR="004B06CC" w:rsidRPr="004D0537" w:rsidRDefault="00AB7ADA" w:rsidP="00AB7ADA">
      <w:pPr>
        <w:pStyle w:val="ATHeading3"/>
      </w:pPr>
      <w:r w:rsidRPr="004D0537">
        <w:lastRenderedPageBreak/>
        <w:t xml:space="preserve">22. Europaparlamentets beslut av den 29 april 2026 </w:t>
      </w:r>
      <w:r w:rsidR="004B06CC" w:rsidRPr="004D0537">
        <w:t>om avslutande av räkenskaperna för Europeiska fiskerikontrollbyrån för budgetåret 2024</w:t>
      </w:r>
      <w:r w:rsidR="003E27E5" w:rsidRPr="004D0537">
        <w:t xml:space="preserve"> </w:t>
      </w:r>
      <w:r w:rsidR="004B06CC" w:rsidRPr="004D0537">
        <w:t>(2025/2156(DEC))</w:t>
      </w:r>
    </w:p>
    <w:p w14:paraId="3698AFCF" w14:textId="77777777" w:rsidR="004B06CC" w:rsidRPr="004D0537" w:rsidRDefault="004B06CC" w:rsidP="004B06CC">
      <w:pPr>
        <w:spacing w:before="480" w:after="240"/>
      </w:pPr>
      <w:r w:rsidRPr="004D0537">
        <w:rPr>
          <w:i/>
          <w:iCs/>
        </w:rPr>
        <w:t>Europaparlamentet fattar detta beslut</w:t>
      </w:r>
    </w:p>
    <w:p w14:paraId="1A9D78EF" w14:textId="77777777" w:rsidR="004B06CC" w:rsidRPr="004D0537" w:rsidRDefault="004B06CC" w:rsidP="004B06CC">
      <w:pPr>
        <w:spacing w:after="240"/>
        <w:ind w:left="567" w:hanging="567"/>
      </w:pPr>
      <w:r w:rsidRPr="004D0537">
        <w:t>–</w:t>
      </w:r>
      <w:r w:rsidRPr="004D0537">
        <w:tab/>
        <w:t>med beaktande av den slutliga årsredovisningen för Europeiska fiskerikontrollbyrån för budgetåret 2024,</w:t>
      </w:r>
    </w:p>
    <w:p w14:paraId="26352F69"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27"/>
      </w:r>
      <w:r w:rsidRPr="004D0537">
        <w:t>,</w:t>
      </w:r>
    </w:p>
    <w:p w14:paraId="616886AA"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28"/>
      </w:r>
      <w:r w:rsidRPr="004D0537">
        <w:t>, som avgetts av revisionsrätten för budgetåret 2024 i enlighet med artikel 287 i fördraget om Europeiska unionens funktionssätt,</w:t>
      </w:r>
    </w:p>
    <w:p w14:paraId="02031874"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4BCDD4CF"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269EBA9"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29"/>
      </w:r>
      <w:r w:rsidRPr="004D0537">
        <w:t>, särskilt artikel 70,</w:t>
      </w:r>
    </w:p>
    <w:p w14:paraId="24827070"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30"/>
      </w:r>
      <w:r w:rsidRPr="004D0537">
        <w:t>, särskilt artikel 70,</w:t>
      </w:r>
    </w:p>
    <w:p w14:paraId="3B203B73" w14:textId="77777777" w:rsidR="004B06CC" w:rsidRPr="004D0537" w:rsidRDefault="004B06CC" w:rsidP="004B06CC">
      <w:pPr>
        <w:spacing w:after="240"/>
        <w:ind w:left="567" w:hanging="567"/>
      </w:pPr>
      <w:r w:rsidRPr="004D0537">
        <w:t>–</w:t>
      </w:r>
      <w:r w:rsidRPr="004D0537">
        <w:tab/>
        <w:t>med beaktande av Europaparlamentets och rådets förordning (EU) 2019/473 av den 19 mars 2019 om Europeiska fiskerikontrollbyrån</w:t>
      </w:r>
      <w:r w:rsidRPr="004D0537">
        <w:rPr>
          <w:vertAlign w:val="superscript"/>
        </w:rPr>
        <w:footnoteReference w:id="131"/>
      </w:r>
      <w:r w:rsidRPr="004D0537">
        <w:t>, särskilt artikel 45,</w:t>
      </w:r>
    </w:p>
    <w:p w14:paraId="5E957E8C"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32"/>
      </w:r>
      <w:r w:rsidRPr="004D0537">
        <w:t>, särskilt artikel 105,</w:t>
      </w:r>
    </w:p>
    <w:p w14:paraId="28249D8C" w14:textId="77777777" w:rsidR="004B06CC" w:rsidRPr="004D0537" w:rsidRDefault="004B06CC" w:rsidP="004B06CC">
      <w:pPr>
        <w:spacing w:after="240"/>
        <w:ind w:left="567" w:hanging="567"/>
      </w:pPr>
      <w:r w:rsidRPr="004D0537">
        <w:t>–</w:t>
      </w:r>
      <w:r w:rsidRPr="004D0537">
        <w:tab/>
        <w:t>med beaktande av artikel 102 och bilaga V i arbetsordningen,</w:t>
      </w:r>
    </w:p>
    <w:p w14:paraId="1FBCD1C9"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utskottet för transport och turism, fiskeriutskottet, utskottet för medborgerliga fri- och </w:t>
      </w:r>
      <w:r w:rsidRPr="004D0537">
        <w:lastRenderedPageBreak/>
        <w:t>rättigheter samt rättsliga och inrikes frågor och utskottet för kvinnors rättigheter och jämställdhet,</w:t>
      </w:r>
    </w:p>
    <w:p w14:paraId="29C8E244"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1A9D00CE" w14:textId="77777777" w:rsidR="004B06CC" w:rsidRPr="004D0537" w:rsidRDefault="004B06CC" w:rsidP="004B06CC">
      <w:pPr>
        <w:spacing w:after="240"/>
        <w:ind w:left="567" w:hanging="567"/>
      </w:pPr>
      <w:r w:rsidRPr="004D0537">
        <w:t>1.</w:t>
      </w:r>
      <w:r w:rsidRPr="004D0537">
        <w:tab/>
        <w:t>Europaparlamentet godkänner avslutandet av räkenskaperna för Europeiska fiskerikontrollbyrån för budgetåret 2024.</w:t>
      </w:r>
    </w:p>
    <w:p w14:paraId="229C3351" w14:textId="73D5964E" w:rsidR="004B06CC" w:rsidRPr="004D0537" w:rsidRDefault="004B06CC" w:rsidP="003E27E5">
      <w:pPr>
        <w:spacing w:after="240"/>
        <w:ind w:left="567" w:hanging="567"/>
        <w:sectPr w:rsidR="004B06CC" w:rsidRPr="004D0537" w:rsidSect="003A4AB5">
          <w:footerReference w:type="first" r:id="rId35"/>
          <w:footnotePr>
            <w:numRestart w:val="eachSect"/>
          </w:footnotePr>
          <w:endnotePr>
            <w:numFmt w:val="decimal"/>
          </w:endnotePr>
          <w:pgSz w:w="11906" w:h="16838" w:code="9"/>
          <w:pgMar w:top="1134" w:right="1418" w:bottom="1418" w:left="1418" w:header="567" w:footer="567" w:gutter="0"/>
          <w:cols w:space="720"/>
          <w:noEndnote/>
          <w:docGrid w:linePitch="326"/>
        </w:sectPr>
      </w:pPr>
      <w:r w:rsidRPr="004D0537">
        <w:t>2.</w:t>
      </w:r>
      <w:r w:rsidRPr="004D0537">
        <w:tab/>
        <w:t xml:space="preserve">Europaparlamentet uppdrar åt talmannen att översända detta beslut till verkställande direktören för Europeiska fiskerikontrollbyrån, rådet, kommissionen och revisionsrätten, och att se till att det offentliggörs i </w:t>
      </w:r>
      <w:r w:rsidRPr="004D0537">
        <w:rPr>
          <w:i/>
          <w:iCs/>
        </w:rPr>
        <w:t>Europeiska unionens officiella tidning</w:t>
      </w:r>
      <w:r w:rsidRPr="004D0537">
        <w:t xml:space="preserve"> (L-serien).</w:t>
      </w:r>
    </w:p>
    <w:p w14:paraId="65EEDA47" w14:textId="624053F0" w:rsidR="004B06CC" w:rsidRPr="004D0537" w:rsidRDefault="00AB7ADA" w:rsidP="00353A6C">
      <w:pPr>
        <w:pStyle w:val="ATHeading3"/>
      </w:pPr>
      <w:r w:rsidRPr="004D0537">
        <w:lastRenderedPageBreak/>
        <w:t xml:space="preserve">23. Europaparlamentets beslut av den 29 april 2026 </w:t>
      </w:r>
      <w:r w:rsidR="004B06CC" w:rsidRPr="004D0537">
        <w:t>om ansvarsfrihet för genomförandet av budgeten för Europeiska myndigheten för livsmedelssäkerhet för budgetåret 2024</w:t>
      </w:r>
      <w:r w:rsidR="003E27E5" w:rsidRPr="004D0537">
        <w:t xml:space="preserve"> </w:t>
      </w:r>
      <w:r w:rsidR="004B06CC" w:rsidRPr="004D0537">
        <w:t>(2025/2156(DEC))</w:t>
      </w:r>
    </w:p>
    <w:p w14:paraId="1738B5C7" w14:textId="77777777" w:rsidR="004B06CC" w:rsidRPr="004D0537" w:rsidRDefault="004B06CC" w:rsidP="004B06CC">
      <w:pPr>
        <w:spacing w:before="480" w:after="240"/>
      </w:pPr>
      <w:r w:rsidRPr="004D0537">
        <w:rPr>
          <w:i/>
          <w:iCs/>
        </w:rPr>
        <w:t>Europaparlamentet fattar detta beslut</w:t>
      </w:r>
    </w:p>
    <w:p w14:paraId="75A260EA" w14:textId="77777777" w:rsidR="004B06CC" w:rsidRPr="004D0537" w:rsidRDefault="004B06CC" w:rsidP="004B06CC">
      <w:pPr>
        <w:spacing w:after="240"/>
        <w:ind w:left="567" w:hanging="567"/>
      </w:pPr>
      <w:r w:rsidRPr="004D0537">
        <w:t>–</w:t>
      </w:r>
      <w:r w:rsidRPr="004D0537">
        <w:tab/>
        <w:t>med beaktande av den slutliga årsredovisningen för Europeiska myndigheten för livsmedelssäkerhet för budgetåret 2024,</w:t>
      </w:r>
    </w:p>
    <w:p w14:paraId="716CF81A"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33"/>
      </w:r>
      <w:r w:rsidRPr="004D0537">
        <w:t>,</w:t>
      </w:r>
    </w:p>
    <w:p w14:paraId="7C76EA76"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34"/>
      </w:r>
      <w:r w:rsidRPr="004D0537">
        <w:t>, som avgetts av revisionsrätten för budgetåret 2024 i enlighet med artikel 287 i fördraget om Europeiska unionens funktionssätt,</w:t>
      </w:r>
    </w:p>
    <w:p w14:paraId="790DBC28"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1EF83E26"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474F5C5"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35"/>
      </w:r>
      <w:r w:rsidRPr="004D0537">
        <w:t>, särskilt artikel 70,</w:t>
      </w:r>
    </w:p>
    <w:p w14:paraId="060568BA"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36"/>
      </w:r>
      <w:r w:rsidRPr="004D0537">
        <w:t>, särskilt artikel 70,</w:t>
      </w:r>
    </w:p>
    <w:p w14:paraId="188F591A" w14:textId="77777777" w:rsidR="004B06CC" w:rsidRPr="004D0537" w:rsidRDefault="004B06CC" w:rsidP="004B06CC">
      <w:pPr>
        <w:spacing w:after="240"/>
        <w:ind w:left="567" w:hanging="567"/>
      </w:pPr>
      <w:r w:rsidRPr="004D0537">
        <w:t>–</w:t>
      </w:r>
      <w:r w:rsidRPr="004D0537">
        <w:tab/>
        <w:t>med beaktande av Europaparlamentets och rådets förordning (EG) nr 178/2002 av den 28 januari 2002 om allmänna principer och krav för livsmedelslagstiftning, om inrättande av Europeiska myndigheten för livsmedelssäkerhet och om förfaranden i frågor som gäller livsmedelssäkerhet</w:t>
      </w:r>
      <w:r w:rsidRPr="004D0537">
        <w:rPr>
          <w:vertAlign w:val="superscript"/>
        </w:rPr>
        <w:footnoteReference w:id="137"/>
      </w:r>
      <w:r w:rsidRPr="004D0537">
        <w:t>, särskilt artikel 44,</w:t>
      </w:r>
    </w:p>
    <w:p w14:paraId="4E59F065"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38"/>
      </w:r>
      <w:r w:rsidRPr="004D0537">
        <w:t>, särskilt artikel 105,</w:t>
      </w:r>
    </w:p>
    <w:p w14:paraId="6B682423"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153F3D91"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3629980D"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74BB0349" w14:textId="77777777" w:rsidR="004B06CC" w:rsidRPr="004D0537" w:rsidRDefault="004B06CC" w:rsidP="004B06CC">
      <w:pPr>
        <w:spacing w:after="240"/>
        <w:ind w:left="567" w:hanging="567"/>
      </w:pPr>
      <w:r w:rsidRPr="004D0537">
        <w:t>1.</w:t>
      </w:r>
      <w:r w:rsidRPr="004D0537">
        <w:tab/>
        <w:t>Europaparlamentet beviljar verkställande direktören för Europeiska myndigheten för livsmedelssäkerhet ansvarsfrihet för genomförandet av myndighetens budget för budgetåret 2024.</w:t>
      </w:r>
    </w:p>
    <w:p w14:paraId="4579FC2F"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73CC69DE"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myndigheten för livsmedelssäkerhet, rådet, kommissionen och revisionsrätten, och att se till att de offentliggörs i </w:t>
      </w:r>
      <w:r w:rsidRPr="004D0537">
        <w:rPr>
          <w:i/>
          <w:iCs/>
        </w:rPr>
        <w:t>Europeiska unionens officiella tidning</w:t>
      </w:r>
      <w:r w:rsidRPr="004D0537">
        <w:t xml:space="preserve"> (L-serien).</w:t>
      </w:r>
    </w:p>
    <w:p w14:paraId="04065ED7" w14:textId="77777777" w:rsidR="004B06CC" w:rsidRPr="004D0537" w:rsidRDefault="004B06CC" w:rsidP="004B06CC"/>
    <w:p w14:paraId="037114E2" w14:textId="77777777" w:rsidR="004B06CC" w:rsidRPr="004D0537" w:rsidRDefault="004B06CC" w:rsidP="004B06CC">
      <w:pPr>
        <w:spacing w:after="480"/>
        <w:jc w:val="center"/>
        <w:rPr>
          <w:rFonts w:cs="Arial"/>
          <w:b/>
        </w:rPr>
        <w:sectPr w:rsidR="004B06CC" w:rsidRPr="004D0537" w:rsidSect="003A4AB5">
          <w:footerReference w:type="first" r:id="rId3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0BC46F" w14:textId="1CA4D85B" w:rsidR="004B06CC" w:rsidRPr="004D0537" w:rsidRDefault="00AB7ADA" w:rsidP="00AB7ADA">
      <w:pPr>
        <w:pStyle w:val="ATHeading3"/>
      </w:pPr>
      <w:r w:rsidRPr="004D0537">
        <w:lastRenderedPageBreak/>
        <w:t xml:space="preserve">24. Europaparlamentets beslut av den 29 april 2026 </w:t>
      </w:r>
      <w:r w:rsidR="004B06CC" w:rsidRPr="004D0537">
        <w:t>om avslutande av räkenskaperna för Europeiska myndigheten för livsmedelssäkerhet för budgetåret 2024</w:t>
      </w:r>
      <w:r w:rsidR="003E27E5" w:rsidRPr="004D0537">
        <w:t xml:space="preserve"> </w:t>
      </w:r>
      <w:r w:rsidR="004B06CC" w:rsidRPr="004D0537">
        <w:t>(2025/2156(DEC))</w:t>
      </w:r>
    </w:p>
    <w:p w14:paraId="067BA095" w14:textId="77777777" w:rsidR="004B06CC" w:rsidRPr="004D0537" w:rsidRDefault="004B06CC" w:rsidP="004B06CC">
      <w:pPr>
        <w:spacing w:before="480" w:after="240"/>
      </w:pPr>
      <w:r w:rsidRPr="004D0537">
        <w:rPr>
          <w:i/>
          <w:iCs/>
        </w:rPr>
        <w:t>Europaparlamentet fattar detta beslut</w:t>
      </w:r>
    </w:p>
    <w:p w14:paraId="4FCC27D4" w14:textId="77777777" w:rsidR="004B06CC" w:rsidRPr="004D0537" w:rsidRDefault="004B06CC" w:rsidP="004B06CC">
      <w:pPr>
        <w:spacing w:after="240"/>
        <w:ind w:left="567" w:hanging="567"/>
      </w:pPr>
      <w:r w:rsidRPr="004D0537">
        <w:t>–</w:t>
      </w:r>
      <w:r w:rsidRPr="004D0537">
        <w:tab/>
        <w:t>med beaktande av den slutliga årsredovisningen för Europeiska myndigheten för livsmedelssäkerhet för budgetåret 2024,</w:t>
      </w:r>
    </w:p>
    <w:p w14:paraId="6620D697"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39"/>
      </w:r>
      <w:r w:rsidRPr="004D0537">
        <w:t>,</w:t>
      </w:r>
    </w:p>
    <w:p w14:paraId="14D5523F"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40"/>
      </w:r>
      <w:r w:rsidRPr="004D0537">
        <w:t>, som avgetts av revisionsrätten för budgetåret 2024 i enlighet med artikel 287 i fördraget om Europeiska unionens funktionssätt,</w:t>
      </w:r>
    </w:p>
    <w:p w14:paraId="56C10A3C"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46B28759"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49FF3C38"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41"/>
      </w:r>
      <w:r w:rsidRPr="004D0537">
        <w:t>, särskilt artikel 70,</w:t>
      </w:r>
    </w:p>
    <w:p w14:paraId="5FB616D8"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42"/>
      </w:r>
      <w:r w:rsidRPr="004D0537">
        <w:t>, särskilt artikel 70,</w:t>
      </w:r>
    </w:p>
    <w:p w14:paraId="679748E3" w14:textId="77777777" w:rsidR="004B06CC" w:rsidRPr="004D0537" w:rsidRDefault="004B06CC" w:rsidP="004B06CC">
      <w:pPr>
        <w:spacing w:after="240"/>
        <w:ind w:left="567" w:hanging="567"/>
      </w:pPr>
      <w:r w:rsidRPr="004D0537">
        <w:t>–</w:t>
      </w:r>
      <w:r w:rsidRPr="004D0537">
        <w:tab/>
        <w:t>med beaktande av Europaparlamentets och rådets förordning (EG) nr 178/2002 av den 28 januari 2002 om allmänna principer och krav för livsmedelslagstiftning, om inrättande av Europeiska myndigheten för livsmedelssäkerhet och om förfaranden i frågor som gäller livsmedelssäkerhet</w:t>
      </w:r>
      <w:r w:rsidRPr="004D0537">
        <w:rPr>
          <w:vertAlign w:val="superscript"/>
        </w:rPr>
        <w:footnoteReference w:id="143"/>
      </w:r>
      <w:r w:rsidRPr="004D0537">
        <w:t>, särskilt artikel 44,</w:t>
      </w:r>
    </w:p>
    <w:p w14:paraId="31D4264D"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44"/>
      </w:r>
      <w:r w:rsidRPr="004D0537">
        <w:t>, särskilt artikel 105,</w:t>
      </w:r>
    </w:p>
    <w:p w14:paraId="32CE18C9" w14:textId="77777777" w:rsidR="004B06CC" w:rsidRPr="004D0537" w:rsidRDefault="004B06CC" w:rsidP="004B06CC">
      <w:pPr>
        <w:spacing w:after="240"/>
        <w:ind w:left="567" w:hanging="567"/>
      </w:pPr>
      <w:r w:rsidRPr="004D0537">
        <w:t>–</w:t>
      </w:r>
      <w:r w:rsidRPr="004D0537">
        <w:tab/>
        <w:t>med beaktande av artikel 102 och bilaga V i arbetsordningen,</w:t>
      </w:r>
    </w:p>
    <w:p w14:paraId="2799B56E"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4ED211B4"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BFE10F0" w14:textId="77777777" w:rsidR="004B06CC" w:rsidRPr="004D0537" w:rsidRDefault="004B06CC" w:rsidP="004B06CC">
      <w:pPr>
        <w:spacing w:after="240"/>
        <w:ind w:left="567" w:hanging="567"/>
      </w:pPr>
      <w:r w:rsidRPr="004D0537">
        <w:t>1.</w:t>
      </w:r>
      <w:r w:rsidRPr="004D0537">
        <w:tab/>
        <w:t>Europaparlamentet godkänner avslutandet av räkenskaperna för Europeiska myndigheten för livsmedelssäkerhet för budgetåret 2024.</w:t>
      </w:r>
    </w:p>
    <w:p w14:paraId="0CDCAC45"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myndigheten för livsmedelssäkerhet, rådet, kommissionen och revisionsrätten, och att se till att det offentliggörs i </w:t>
      </w:r>
      <w:r w:rsidRPr="004D0537">
        <w:rPr>
          <w:i/>
          <w:iCs/>
        </w:rPr>
        <w:t>Europeiska unionens officiella tidning</w:t>
      </w:r>
      <w:r w:rsidRPr="004D0537">
        <w:t xml:space="preserve"> (L-serien).</w:t>
      </w:r>
    </w:p>
    <w:p w14:paraId="172817F8" w14:textId="77777777" w:rsidR="004B06CC" w:rsidRPr="004D0537" w:rsidRDefault="004B06CC" w:rsidP="004B06CC">
      <w:pPr>
        <w:spacing w:after="480"/>
        <w:jc w:val="center"/>
        <w:rPr>
          <w:rFonts w:cs="Arial"/>
          <w:b/>
        </w:rPr>
        <w:sectPr w:rsidR="004B06CC" w:rsidRPr="004D0537" w:rsidSect="003A4AB5">
          <w:footerReference w:type="first" r:id="rId3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67E9E9A" w14:textId="38362287" w:rsidR="004B06CC" w:rsidRPr="004D0537" w:rsidRDefault="00AB7ADA" w:rsidP="00AB7ADA">
      <w:pPr>
        <w:pStyle w:val="ATHeading3"/>
      </w:pPr>
      <w:r w:rsidRPr="004D0537">
        <w:lastRenderedPageBreak/>
        <w:t xml:space="preserve">25. Europaparlamentets beslut av den 29 april 2026 </w:t>
      </w:r>
      <w:r w:rsidR="004B06CC" w:rsidRPr="004D0537">
        <w:t>om ansvarsfrihet för genomförandet av budgeten för Europeiska jämställdhetsinstitutet för budgetåret 2024</w:t>
      </w:r>
      <w:r w:rsidR="003E27E5" w:rsidRPr="004D0537">
        <w:t xml:space="preserve"> </w:t>
      </w:r>
      <w:r w:rsidR="004B06CC" w:rsidRPr="004D0537">
        <w:t>(2025/2156(DEC))</w:t>
      </w:r>
    </w:p>
    <w:p w14:paraId="1297446D" w14:textId="77777777" w:rsidR="004B06CC" w:rsidRPr="004D0537" w:rsidRDefault="004B06CC" w:rsidP="004B06CC">
      <w:pPr>
        <w:spacing w:before="480" w:after="240"/>
      </w:pPr>
      <w:r w:rsidRPr="004D0537">
        <w:rPr>
          <w:i/>
          <w:iCs/>
        </w:rPr>
        <w:t>Europaparlamentet fattar detta beslut</w:t>
      </w:r>
    </w:p>
    <w:p w14:paraId="5028D234" w14:textId="77777777" w:rsidR="004B06CC" w:rsidRPr="004D0537" w:rsidRDefault="004B06CC" w:rsidP="004B06CC">
      <w:pPr>
        <w:spacing w:after="240"/>
        <w:ind w:left="567" w:hanging="567"/>
      </w:pPr>
      <w:r w:rsidRPr="004D0537">
        <w:t>–</w:t>
      </w:r>
      <w:r w:rsidRPr="004D0537">
        <w:tab/>
        <w:t>med beaktande av den slutliga årsredovisningen för Europeiska jämställdhetsinstitutet för budgetåret 2024,</w:t>
      </w:r>
    </w:p>
    <w:p w14:paraId="4914EF1B"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45"/>
      </w:r>
      <w:r w:rsidRPr="004D0537">
        <w:t>,</w:t>
      </w:r>
    </w:p>
    <w:p w14:paraId="4325ACF5"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46"/>
      </w:r>
      <w:r w:rsidRPr="004D0537">
        <w:t>, som avgetts av revisionsrätten för budgetåret 2024 i enlighet med artikel 287 i fördraget om Europeiska unionens funktionssätt,</w:t>
      </w:r>
    </w:p>
    <w:p w14:paraId="17691E27" w14:textId="77777777" w:rsidR="004B06CC" w:rsidRPr="004D0537" w:rsidRDefault="004B06CC" w:rsidP="004B06CC">
      <w:pPr>
        <w:spacing w:after="240"/>
        <w:ind w:left="567" w:hanging="567"/>
      </w:pPr>
      <w:r w:rsidRPr="004D0537">
        <w:t>–</w:t>
      </w:r>
      <w:r w:rsidRPr="004D0537">
        <w:tab/>
        <w:t>med beaktande av rådets rekommendation av den 2 mars 2026 om att bevilja institutet ansvarsfrihet för genomförandet av budgeten för budgetåret 2024 (05750/2026 – C10</w:t>
      </w:r>
      <w:r w:rsidRPr="004D0537">
        <w:noBreakHyphen/>
        <w:t>0148/2026),</w:t>
      </w:r>
    </w:p>
    <w:p w14:paraId="36B68E44"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147CA737"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47"/>
      </w:r>
      <w:r w:rsidRPr="004D0537">
        <w:t>, särskilt artikel 70,</w:t>
      </w:r>
    </w:p>
    <w:p w14:paraId="0D279AA9"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48"/>
      </w:r>
      <w:r w:rsidRPr="004D0537">
        <w:t>, särskilt artikel 70,</w:t>
      </w:r>
    </w:p>
    <w:p w14:paraId="43650948" w14:textId="77777777" w:rsidR="004B06CC" w:rsidRPr="004D0537" w:rsidRDefault="004B06CC" w:rsidP="004B06CC">
      <w:pPr>
        <w:spacing w:after="240"/>
        <w:ind w:left="567" w:hanging="567"/>
      </w:pPr>
      <w:r w:rsidRPr="004D0537">
        <w:t>–</w:t>
      </w:r>
      <w:r w:rsidRPr="004D0537">
        <w:tab/>
        <w:t>med beaktande av Europaparlamentets och rådets förordning (EG) nr 1922/2006 av den 20 december 2006 om inrättande av ett europeiskt jämställdhetsinstitut</w:t>
      </w:r>
      <w:r w:rsidRPr="004D0537">
        <w:rPr>
          <w:vertAlign w:val="superscript"/>
        </w:rPr>
        <w:footnoteReference w:id="149"/>
      </w:r>
      <w:r w:rsidRPr="004D0537">
        <w:t>, särskilt artikel 15,</w:t>
      </w:r>
    </w:p>
    <w:p w14:paraId="1621D85D"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50"/>
      </w:r>
      <w:r w:rsidRPr="004D0537">
        <w:t>, särskilt artikel 105,</w:t>
      </w:r>
    </w:p>
    <w:p w14:paraId="2B762D05" w14:textId="77777777" w:rsidR="004B06CC" w:rsidRPr="004D0537" w:rsidRDefault="004B06CC" w:rsidP="004B06CC">
      <w:pPr>
        <w:spacing w:after="240"/>
        <w:ind w:left="567" w:hanging="567"/>
      </w:pPr>
      <w:r w:rsidRPr="004D0537">
        <w:t>–</w:t>
      </w:r>
      <w:r w:rsidRPr="004D0537">
        <w:tab/>
        <w:t>med beaktande av artikel 102 och bilaga V i arbetsordningen,</w:t>
      </w:r>
    </w:p>
    <w:p w14:paraId="6FA9EC5C"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64DD7391"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1EA75C1E" w14:textId="77777777" w:rsidR="004B06CC" w:rsidRPr="004D0537" w:rsidRDefault="004B06CC" w:rsidP="004B06CC">
      <w:pPr>
        <w:spacing w:after="240"/>
        <w:ind w:left="567" w:hanging="567"/>
      </w:pPr>
      <w:r w:rsidRPr="004D0537">
        <w:t>1.</w:t>
      </w:r>
      <w:r w:rsidRPr="004D0537">
        <w:tab/>
        <w:t>Europaparlamentet beviljar direktören för Europeiska jämställdhetsinstitutet ansvarsfrihet för genomförandet av institutets budget för budgetåret 2024.</w:t>
      </w:r>
    </w:p>
    <w:p w14:paraId="1585A798"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437B2AA4"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direktören för Europeiska jämställdhetsinstitutet, rådet, kommissionen och revisionsrätten, och att se till att de offentliggörs i </w:t>
      </w:r>
      <w:r w:rsidRPr="004D0537">
        <w:rPr>
          <w:i/>
          <w:iCs/>
        </w:rPr>
        <w:t>Europeiska unionens officiella tidning</w:t>
      </w:r>
      <w:r w:rsidRPr="004D0537">
        <w:t xml:space="preserve"> (L-serien).</w:t>
      </w:r>
    </w:p>
    <w:p w14:paraId="671FA6CC" w14:textId="77777777" w:rsidR="004B06CC" w:rsidRPr="004D0537" w:rsidRDefault="004B06CC" w:rsidP="004B06CC"/>
    <w:p w14:paraId="444EDC6A" w14:textId="77777777" w:rsidR="004B06CC" w:rsidRPr="004D0537" w:rsidRDefault="004B06CC" w:rsidP="004B06CC">
      <w:pPr>
        <w:spacing w:after="480"/>
        <w:jc w:val="center"/>
        <w:rPr>
          <w:rFonts w:cs="Arial"/>
          <w:b/>
        </w:rPr>
        <w:sectPr w:rsidR="004B06CC" w:rsidRPr="004D0537" w:rsidSect="003A4AB5">
          <w:footerReference w:type="first" r:id="rId3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65D29E" w14:textId="08C440B9" w:rsidR="004B06CC" w:rsidRPr="004D0537" w:rsidRDefault="00AB7ADA" w:rsidP="00AB7ADA">
      <w:pPr>
        <w:pStyle w:val="ATHeading3"/>
      </w:pPr>
      <w:r w:rsidRPr="004D0537">
        <w:lastRenderedPageBreak/>
        <w:t xml:space="preserve">26. Europaparlamentets beslut av den 29 april 2026 </w:t>
      </w:r>
      <w:r w:rsidR="004B06CC" w:rsidRPr="004D0537">
        <w:t>om avslutande av räkenskaperna för Europeiska jämställdhetsinstitutet för budgetåret 2024</w:t>
      </w:r>
      <w:r w:rsidR="003E27E5" w:rsidRPr="004D0537">
        <w:t xml:space="preserve"> </w:t>
      </w:r>
      <w:r w:rsidR="004B06CC" w:rsidRPr="004D0537">
        <w:t>(2025/2156(DEC))</w:t>
      </w:r>
    </w:p>
    <w:p w14:paraId="7A4DE0D2" w14:textId="77777777" w:rsidR="004B06CC" w:rsidRPr="004D0537" w:rsidRDefault="004B06CC" w:rsidP="004B06CC">
      <w:pPr>
        <w:spacing w:before="480" w:after="240"/>
      </w:pPr>
      <w:r w:rsidRPr="004D0537">
        <w:rPr>
          <w:i/>
          <w:iCs/>
        </w:rPr>
        <w:t>Europaparlamentet fattar detta beslut</w:t>
      </w:r>
    </w:p>
    <w:p w14:paraId="18B6C7EF" w14:textId="77777777" w:rsidR="004B06CC" w:rsidRPr="004D0537" w:rsidRDefault="004B06CC" w:rsidP="004B06CC">
      <w:pPr>
        <w:spacing w:after="240"/>
        <w:ind w:left="567" w:hanging="567"/>
      </w:pPr>
      <w:r w:rsidRPr="004D0537">
        <w:t>–</w:t>
      </w:r>
      <w:r w:rsidRPr="004D0537">
        <w:tab/>
        <w:t>med beaktande av den slutliga årsredovisningen för Europeiska jämställdhetsinstitutet för budgetåret 2024,</w:t>
      </w:r>
    </w:p>
    <w:p w14:paraId="3720E82D"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51"/>
      </w:r>
      <w:r w:rsidRPr="004D0537">
        <w:t>,</w:t>
      </w:r>
    </w:p>
    <w:p w14:paraId="0477E3B6"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52"/>
      </w:r>
      <w:r w:rsidRPr="004D0537">
        <w:t>, som avgetts av revisionsrätten för budgetåret 2024 i enlighet med artikel 287 i fördraget om Europeiska unionens funktionssätt,</w:t>
      </w:r>
    </w:p>
    <w:p w14:paraId="06677D09" w14:textId="77777777" w:rsidR="004B06CC" w:rsidRPr="004D0537" w:rsidRDefault="004B06CC" w:rsidP="004B06CC">
      <w:pPr>
        <w:spacing w:after="240"/>
        <w:ind w:left="567" w:hanging="567"/>
      </w:pPr>
      <w:r w:rsidRPr="004D0537">
        <w:t>–</w:t>
      </w:r>
      <w:r w:rsidRPr="004D0537">
        <w:tab/>
        <w:t>med beaktande av rådets rekommendation av den 2 mars 2026 om att bevilja institutet ansvarsfrihet för genomförandet av budgeten för budgetåret 2024 (05750/2026 – C10</w:t>
      </w:r>
      <w:r w:rsidRPr="004D0537">
        <w:noBreakHyphen/>
        <w:t>0148/2026),</w:t>
      </w:r>
    </w:p>
    <w:p w14:paraId="4B34736C"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63CD612"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53"/>
      </w:r>
      <w:r w:rsidRPr="004D0537">
        <w:t>, särskilt artikel 70,</w:t>
      </w:r>
    </w:p>
    <w:p w14:paraId="56ED303A"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54"/>
      </w:r>
      <w:r w:rsidRPr="004D0537">
        <w:t>, särskilt artikel 70,</w:t>
      </w:r>
    </w:p>
    <w:p w14:paraId="64600A0B" w14:textId="77777777" w:rsidR="004B06CC" w:rsidRPr="004D0537" w:rsidRDefault="004B06CC" w:rsidP="004B06CC">
      <w:pPr>
        <w:spacing w:after="240"/>
        <w:ind w:left="567" w:hanging="567"/>
      </w:pPr>
      <w:r w:rsidRPr="004D0537">
        <w:t>–</w:t>
      </w:r>
      <w:r w:rsidRPr="004D0537">
        <w:tab/>
        <w:t>med beaktande av Europaparlamentets och rådets förordning (EG) nr 1922/2006 av den 20 december 2006 om inrättande av ett europeiskt jämställdhetsinstitut</w:t>
      </w:r>
      <w:r w:rsidRPr="004D0537">
        <w:rPr>
          <w:vertAlign w:val="superscript"/>
        </w:rPr>
        <w:footnoteReference w:id="155"/>
      </w:r>
      <w:r w:rsidRPr="004D0537">
        <w:t>, särskilt artikel 15,</w:t>
      </w:r>
    </w:p>
    <w:p w14:paraId="536E3431"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56"/>
      </w:r>
      <w:r w:rsidRPr="004D0537">
        <w:t>, särskilt artikel 105,</w:t>
      </w:r>
    </w:p>
    <w:p w14:paraId="45D520BB" w14:textId="77777777" w:rsidR="004B06CC" w:rsidRPr="004D0537" w:rsidRDefault="004B06CC" w:rsidP="004B06CC">
      <w:pPr>
        <w:spacing w:after="240"/>
        <w:ind w:left="567" w:hanging="567"/>
      </w:pPr>
      <w:r w:rsidRPr="004D0537">
        <w:t>–</w:t>
      </w:r>
      <w:r w:rsidRPr="004D0537">
        <w:tab/>
        <w:t>med beaktande av artikel 102 och bilaga V i arbetsordningen,</w:t>
      </w:r>
    </w:p>
    <w:p w14:paraId="1C55731D"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w:t>
      </w:r>
      <w:r w:rsidRPr="004D0537">
        <w:lastRenderedPageBreak/>
        <w:t>utskottet för transport och turism, fiskeriutskottet, utskottet för medborgerliga fri- och rättigheter samt rättsliga och inrikes frågor och utskottet för kvinnors rättigheter och jämställdhet,</w:t>
      </w:r>
    </w:p>
    <w:p w14:paraId="152DD676"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1A8925D1" w14:textId="77777777" w:rsidR="004B06CC" w:rsidRPr="004D0537" w:rsidRDefault="004B06CC" w:rsidP="004B06CC">
      <w:pPr>
        <w:spacing w:after="240"/>
        <w:ind w:left="567" w:hanging="567"/>
      </w:pPr>
      <w:r w:rsidRPr="004D0537">
        <w:t>1.</w:t>
      </w:r>
      <w:r w:rsidRPr="004D0537">
        <w:tab/>
        <w:t>Europaparlamentet godkänner avslutandet av räkenskaperna för Europeiska jämställdhetsinstitutet för budgetåret 2024.</w:t>
      </w:r>
    </w:p>
    <w:p w14:paraId="1A7C7834"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direktören för Europeiska jämställdhetsinstitutet, rådet, kommissionen och revisionsrätten, och att se till att det offentliggörs i </w:t>
      </w:r>
      <w:r w:rsidRPr="004D0537">
        <w:rPr>
          <w:i/>
          <w:iCs/>
        </w:rPr>
        <w:t>Europeiska unionens officiella tidning</w:t>
      </w:r>
      <w:r w:rsidRPr="004D0537">
        <w:t xml:space="preserve"> (L-serien).</w:t>
      </w:r>
    </w:p>
    <w:p w14:paraId="1B089AA5" w14:textId="77777777" w:rsidR="004B06CC" w:rsidRPr="004D0537" w:rsidRDefault="004B06CC" w:rsidP="004B06CC">
      <w:pPr>
        <w:spacing w:after="480"/>
        <w:jc w:val="center"/>
        <w:rPr>
          <w:rFonts w:cs="Arial"/>
          <w:b/>
        </w:rPr>
        <w:sectPr w:rsidR="004B06CC" w:rsidRPr="004D0537" w:rsidSect="003A4AB5">
          <w:footerReference w:type="first" r:id="rId3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AA7E303" w14:textId="3B5D5125" w:rsidR="004B06CC" w:rsidRPr="004D0537" w:rsidRDefault="00AB7ADA" w:rsidP="00AB7ADA">
      <w:pPr>
        <w:pStyle w:val="ATHeading3"/>
      </w:pPr>
      <w:r w:rsidRPr="004D0537">
        <w:lastRenderedPageBreak/>
        <w:t xml:space="preserve">27. Europaparlamentets beslut av den 29 april 2026 </w:t>
      </w:r>
      <w:r w:rsidR="004B06CC" w:rsidRPr="004D0537">
        <w:t>om ansvarsfrihet för genomförandet av budgeten för Europeiska försäkrings- och tjänstepensionsmyndigheten för budgetåret 2024</w:t>
      </w:r>
      <w:r w:rsidR="003E27E5" w:rsidRPr="004D0537">
        <w:t xml:space="preserve"> </w:t>
      </w:r>
      <w:r w:rsidR="004B06CC" w:rsidRPr="004D0537">
        <w:t>(2025/2156(DEC))</w:t>
      </w:r>
    </w:p>
    <w:p w14:paraId="05BCAE5A" w14:textId="77777777" w:rsidR="004B06CC" w:rsidRPr="004D0537" w:rsidRDefault="004B06CC" w:rsidP="004B06CC">
      <w:pPr>
        <w:spacing w:before="480" w:after="240"/>
      </w:pPr>
      <w:r w:rsidRPr="004D0537">
        <w:rPr>
          <w:i/>
          <w:iCs/>
        </w:rPr>
        <w:t>Europaparlamentet fattar detta beslut</w:t>
      </w:r>
    </w:p>
    <w:p w14:paraId="32797861" w14:textId="77777777" w:rsidR="004B06CC" w:rsidRPr="004D0537" w:rsidRDefault="004B06CC" w:rsidP="004B06CC">
      <w:pPr>
        <w:spacing w:after="240"/>
        <w:ind w:left="567" w:hanging="567"/>
      </w:pPr>
      <w:r w:rsidRPr="004D0537">
        <w:t>–</w:t>
      </w:r>
      <w:r w:rsidRPr="004D0537">
        <w:tab/>
        <w:t>med beaktande av den slutliga årsredovisningen för Europeiska försäkrings- och tjänstepensionsmyndigheten för budgetåret 2024,</w:t>
      </w:r>
    </w:p>
    <w:p w14:paraId="790BF83A"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57"/>
      </w:r>
      <w:r w:rsidRPr="004D0537">
        <w:t>,</w:t>
      </w:r>
    </w:p>
    <w:p w14:paraId="5B3EC4DA"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58"/>
      </w:r>
      <w:r w:rsidRPr="004D0537">
        <w:t>, som avgetts av revisionsrätten för budgetåret 2024 i enlighet med artikel 287 i fördraget om Europeiska unionens funktionssätt,</w:t>
      </w:r>
    </w:p>
    <w:p w14:paraId="1212BBBC"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73B8DB48"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15C15E02"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59"/>
      </w:r>
      <w:r w:rsidRPr="004D0537">
        <w:t>, särskilt artikel 70,</w:t>
      </w:r>
    </w:p>
    <w:p w14:paraId="36402827"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60"/>
      </w:r>
      <w:r w:rsidRPr="004D0537">
        <w:t>, särskilt artikel 70,</w:t>
      </w:r>
    </w:p>
    <w:p w14:paraId="56512733" w14:textId="77777777" w:rsidR="004B06CC" w:rsidRPr="004D0537" w:rsidRDefault="004B06CC" w:rsidP="004B06CC">
      <w:pPr>
        <w:spacing w:after="240"/>
        <w:ind w:left="567" w:hanging="567"/>
      </w:pPr>
      <w:r w:rsidRPr="004D0537">
        <w:t>–</w:t>
      </w:r>
      <w:r w:rsidRPr="004D0537">
        <w:tab/>
        <w:t>med beaktande av Europaparlamentets och rådets förordning (EU) nr 1094/2010 av den 24 november 2010 om inrättande av en europeisk tillsynsmyndighet (Europeiska försäkrings- och tjänstepensionsmyndigheten), om ändring av beslut nr 716/2009/EG och om upphävande av kommissionens beslut 2009/79/EG</w:t>
      </w:r>
      <w:r w:rsidRPr="004D0537">
        <w:rPr>
          <w:vertAlign w:val="superscript"/>
        </w:rPr>
        <w:footnoteReference w:id="161"/>
      </w:r>
      <w:r w:rsidRPr="004D0537">
        <w:t>, särskilt artikel 64,</w:t>
      </w:r>
    </w:p>
    <w:p w14:paraId="0259B0DD"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62"/>
      </w:r>
      <w:r w:rsidRPr="004D0537">
        <w:t>, särskilt artikel 105,</w:t>
      </w:r>
    </w:p>
    <w:p w14:paraId="45E2BFE3"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26E84AC0"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388865B7"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3B2FFA2" w14:textId="77777777" w:rsidR="004B06CC" w:rsidRPr="004D0537" w:rsidRDefault="004B06CC" w:rsidP="004B06CC">
      <w:pPr>
        <w:spacing w:after="240"/>
        <w:ind w:left="567" w:hanging="567"/>
      </w:pPr>
      <w:r w:rsidRPr="004D0537">
        <w:t>1.</w:t>
      </w:r>
      <w:r w:rsidRPr="004D0537">
        <w:tab/>
        <w:t>Europaparlamentet beviljar verkställande direktören för Europeiska försäkrings- och tjänstepensionsmyndigheten ansvarsfrihet för genomförandet av myndighetens budget för budgetåret 2024.</w:t>
      </w:r>
    </w:p>
    <w:p w14:paraId="6505E81B"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2EA6301F"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försäkrings- och tjänstepensionsmyndigheten, rådet, kommissionen och revisionsrätten, och att se till att de offentliggörs i </w:t>
      </w:r>
      <w:r w:rsidRPr="004D0537">
        <w:rPr>
          <w:i/>
          <w:iCs/>
        </w:rPr>
        <w:t>Europeiska unionens officiella tidning</w:t>
      </w:r>
      <w:r w:rsidRPr="004D0537">
        <w:t xml:space="preserve"> (L-serien).</w:t>
      </w:r>
    </w:p>
    <w:p w14:paraId="3890E6B6" w14:textId="77777777" w:rsidR="004B06CC" w:rsidRPr="004D0537" w:rsidRDefault="004B06CC" w:rsidP="004B06CC"/>
    <w:p w14:paraId="29EF989A" w14:textId="77777777" w:rsidR="004B06CC" w:rsidRPr="004D0537" w:rsidRDefault="004B06CC" w:rsidP="004B06CC">
      <w:pPr>
        <w:spacing w:after="480"/>
        <w:jc w:val="center"/>
        <w:rPr>
          <w:rFonts w:cs="Arial"/>
          <w:b/>
        </w:rPr>
        <w:sectPr w:rsidR="004B06CC" w:rsidRPr="004D0537" w:rsidSect="003A4AB5">
          <w:footerReference w:type="first" r:id="rId4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BCBF99" w14:textId="2530148D" w:rsidR="004B06CC" w:rsidRPr="004D0537" w:rsidRDefault="00AB7ADA" w:rsidP="00AB7ADA">
      <w:pPr>
        <w:pStyle w:val="ATHeading3"/>
      </w:pPr>
      <w:r w:rsidRPr="004D0537">
        <w:lastRenderedPageBreak/>
        <w:t xml:space="preserve">28. Europaparlamentets beslut av den 29 april 2026 </w:t>
      </w:r>
      <w:r w:rsidR="004B06CC" w:rsidRPr="004D0537">
        <w:t>om avslutande av räkenskaperna för Europeiska försäkrings- och tjänstepensionsmyndigheten för budgetåret 2024</w:t>
      </w:r>
      <w:r w:rsidR="003E27E5" w:rsidRPr="004D0537">
        <w:t xml:space="preserve"> </w:t>
      </w:r>
      <w:r w:rsidR="004B06CC" w:rsidRPr="004D0537">
        <w:t>(2025/2156(DEC))</w:t>
      </w:r>
    </w:p>
    <w:p w14:paraId="1C0F228E" w14:textId="77777777" w:rsidR="004B06CC" w:rsidRPr="004D0537" w:rsidRDefault="004B06CC" w:rsidP="004B06CC">
      <w:pPr>
        <w:spacing w:before="480" w:after="240"/>
      </w:pPr>
      <w:r w:rsidRPr="004D0537">
        <w:rPr>
          <w:i/>
          <w:iCs/>
        </w:rPr>
        <w:t>Europaparlamentet fattar detta beslut</w:t>
      </w:r>
    </w:p>
    <w:p w14:paraId="0BAD707D" w14:textId="77777777" w:rsidR="004B06CC" w:rsidRPr="004D0537" w:rsidRDefault="004B06CC" w:rsidP="004B06CC">
      <w:pPr>
        <w:spacing w:after="240"/>
        <w:ind w:left="567" w:hanging="567"/>
      </w:pPr>
      <w:r w:rsidRPr="004D0537">
        <w:t>–</w:t>
      </w:r>
      <w:r w:rsidRPr="004D0537">
        <w:tab/>
        <w:t>med beaktande av den slutliga årsredovisningen för Europeiska försäkrings- och tjänstepensionsmyndigheten för budgetåret 2024,</w:t>
      </w:r>
    </w:p>
    <w:p w14:paraId="17C12927"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63"/>
      </w:r>
      <w:r w:rsidRPr="004D0537">
        <w:t>,</w:t>
      </w:r>
    </w:p>
    <w:p w14:paraId="68548A6B"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64"/>
      </w:r>
      <w:r w:rsidRPr="004D0537">
        <w:t>, som avgetts av revisionsrätten för budgetåret 2024 i enlighet med artikel 287 i fördraget om Europeiska unionens funktionssätt,</w:t>
      </w:r>
    </w:p>
    <w:p w14:paraId="0E4F0F21"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0A0419D1"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5A5F1C93"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65"/>
      </w:r>
      <w:r w:rsidRPr="004D0537">
        <w:t>, särskilt artikel 70,</w:t>
      </w:r>
    </w:p>
    <w:p w14:paraId="0DD80F58"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66"/>
      </w:r>
      <w:r w:rsidRPr="004D0537">
        <w:t>, särskilt artikel 70,</w:t>
      </w:r>
    </w:p>
    <w:p w14:paraId="34D15193" w14:textId="77777777" w:rsidR="004B06CC" w:rsidRPr="004D0537" w:rsidRDefault="004B06CC" w:rsidP="004B06CC">
      <w:pPr>
        <w:spacing w:after="240"/>
        <w:ind w:left="567" w:hanging="567"/>
      </w:pPr>
      <w:r w:rsidRPr="004D0537">
        <w:t>–</w:t>
      </w:r>
      <w:r w:rsidRPr="004D0537">
        <w:tab/>
        <w:t>med beaktande av Europaparlamentets och rådets förordning (EU) nr 1094/2010 av den 24 november 2010 om inrättande av en europeisk tillsynsmyndighet (Europeiska försäkrings- och tjänstepensionsmyndigheten), om ändring av beslut nr 716/2009/EG och om upphävande av kommissionens beslut 2009/79/EG</w:t>
      </w:r>
      <w:r w:rsidRPr="004D0537">
        <w:rPr>
          <w:vertAlign w:val="superscript"/>
        </w:rPr>
        <w:footnoteReference w:id="167"/>
      </w:r>
      <w:r w:rsidRPr="004D0537">
        <w:t>, särskilt artikel 64,</w:t>
      </w:r>
    </w:p>
    <w:p w14:paraId="5D334D7E"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68"/>
      </w:r>
      <w:r w:rsidRPr="004D0537">
        <w:t>, särskilt artikel 105,</w:t>
      </w:r>
    </w:p>
    <w:p w14:paraId="1430B37E" w14:textId="77777777" w:rsidR="004B06CC" w:rsidRPr="004D0537" w:rsidRDefault="004B06CC" w:rsidP="004B06CC">
      <w:pPr>
        <w:spacing w:after="240"/>
        <w:ind w:left="567" w:hanging="567"/>
      </w:pPr>
      <w:r w:rsidRPr="004D0537">
        <w:t>–</w:t>
      </w:r>
      <w:r w:rsidRPr="004D0537">
        <w:tab/>
        <w:t>med beaktande av artikel 102 och bilaga V i arbetsordningen,</w:t>
      </w:r>
    </w:p>
    <w:p w14:paraId="2B629EA6"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016D10CA"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5029B7A0" w14:textId="77777777" w:rsidR="004B06CC" w:rsidRPr="004D0537" w:rsidRDefault="004B06CC" w:rsidP="004B06CC">
      <w:pPr>
        <w:spacing w:after="240"/>
        <w:ind w:left="567" w:hanging="567"/>
      </w:pPr>
      <w:r w:rsidRPr="004D0537">
        <w:t>1.</w:t>
      </w:r>
      <w:r w:rsidRPr="004D0537">
        <w:tab/>
        <w:t>Europaparlamentet godkänner avslutandet av räkenskaperna för Europeiska försäkrings- och tjänstepensionsmyndigheten för budgetåret 2024.</w:t>
      </w:r>
    </w:p>
    <w:p w14:paraId="6B764F56"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försäkrings- och tjänstepensionsmyndigheten, rådet, kommissionen och revisionsrätten, och att se till att det offentliggörs i </w:t>
      </w:r>
      <w:r w:rsidRPr="004D0537">
        <w:rPr>
          <w:i/>
          <w:iCs/>
        </w:rPr>
        <w:t>Europeiska unionens officiella tidning</w:t>
      </w:r>
      <w:r w:rsidRPr="004D0537">
        <w:t xml:space="preserve"> (L-serien).</w:t>
      </w:r>
    </w:p>
    <w:p w14:paraId="34CE9639" w14:textId="77777777" w:rsidR="004B06CC" w:rsidRPr="004D0537" w:rsidRDefault="004B06CC" w:rsidP="004B06CC"/>
    <w:p w14:paraId="11D04B5F" w14:textId="77777777" w:rsidR="004B06CC" w:rsidRPr="004D0537" w:rsidRDefault="004B06CC" w:rsidP="003E27E5">
      <w:pPr>
        <w:spacing w:after="480"/>
        <w:rPr>
          <w:rFonts w:cs="Arial"/>
          <w:b/>
        </w:rPr>
        <w:sectPr w:rsidR="004B06CC" w:rsidRPr="004D0537" w:rsidSect="003A4AB5">
          <w:footerReference w:type="first" r:id="rId4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17235D" w14:textId="7C19D107" w:rsidR="004B06CC" w:rsidRPr="004D0537" w:rsidRDefault="00AB7ADA" w:rsidP="00AB7ADA">
      <w:pPr>
        <w:pStyle w:val="ATHeading3"/>
      </w:pPr>
      <w:r w:rsidRPr="004D0537">
        <w:lastRenderedPageBreak/>
        <w:t xml:space="preserve">29. Europaparlamentets beslut av den 29 april 2026 </w:t>
      </w:r>
      <w:r w:rsidR="004B06CC" w:rsidRPr="004D0537">
        <w:t>om ansvarsfrihet för genomförandet av budgeten för Europeiska institutet för innovation och teknik för budgetåret 2024</w:t>
      </w:r>
      <w:r w:rsidR="003E27E5" w:rsidRPr="004D0537">
        <w:t xml:space="preserve"> </w:t>
      </w:r>
      <w:r w:rsidR="004B06CC" w:rsidRPr="004D0537">
        <w:t>(2025/2156(DEC))</w:t>
      </w:r>
    </w:p>
    <w:p w14:paraId="19B46AAC" w14:textId="77777777" w:rsidR="004B06CC" w:rsidRPr="004D0537" w:rsidRDefault="004B06CC" w:rsidP="004B06CC">
      <w:pPr>
        <w:spacing w:before="480" w:after="240"/>
      </w:pPr>
      <w:r w:rsidRPr="004D0537">
        <w:rPr>
          <w:i/>
          <w:iCs/>
        </w:rPr>
        <w:t>Europaparlamentet fattar detta beslut</w:t>
      </w:r>
    </w:p>
    <w:p w14:paraId="396D11B1" w14:textId="77777777" w:rsidR="004B06CC" w:rsidRPr="004D0537" w:rsidRDefault="004B06CC" w:rsidP="004B06CC">
      <w:pPr>
        <w:spacing w:after="240"/>
        <w:ind w:left="567" w:hanging="567"/>
      </w:pPr>
      <w:r w:rsidRPr="004D0537">
        <w:t>–</w:t>
      </w:r>
      <w:r w:rsidRPr="004D0537">
        <w:tab/>
        <w:t>med beaktande av den slutliga årsredovisningen för Europeiska institutet för innovation och teknik för budgetåret 2024,</w:t>
      </w:r>
    </w:p>
    <w:p w14:paraId="284C7889"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69"/>
      </w:r>
      <w:r w:rsidRPr="004D0537">
        <w:t>,</w:t>
      </w:r>
    </w:p>
    <w:p w14:paraId="18B8F351"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70"/>
      </w:r>
      <w:r w:rsidRPr="004D0537">
        <w:t>, som avgetts av revisionsrätten för budgetåret 2024 i enlighet med artikel 287 i fördraget om Europeiska unionens funktionssätt,</w:t>
      </w:r>
    </w:p>
    <w:p w14:paraId="0A5B3236" w14:textId="77777777" w:rsidR="004B06CC" w:rsidRPr="004D0537" w:rsidRDefault="004B06CC" w:rsidP="004B06CC">
      <w:pPr>
        <w:spacing w:after="240"/>
        <w:ind w:left="567" w:hanging="567"/>
      </w:pPr>
      <w:r w:rsidRPr="004D0537">
        <w:t>–</w:t>
      </w:r>
      <w:r w:rsidRPr="004D0537">
        <w:tab/>
        <w:t>med beaktande av rådets rekommendation av den 2 mars 2026 om att bevilja institutet ansvarsfrihet för genomförandet av budgeten för budgetåret 2024 (05750/2026 – C10</w:t>
      </w:r>
      <w:r w:rsidRPr="004D0537">
        <w:noBreakHyphen/>
        <w:t>0148/2026),</w:t>
      </w:r>
    </w:p>
    <w:p w14:paraId="67A1F58A"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4B55AA9D"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71"/>
      </w:r>
      <w:r w:rsidRPr="004D0537">
        <w:t>, särskilt artikel 70,</w:t>
      </w:r>
    </w:p>
    <w:p w14:paraId="307F3010"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72"/>
      </w:r>
      <w:r w:rsidRPr="004D0537">
        <w:t>, särskilt artikel 70,</w:t>
      </w:r>
    </w:p>
    <w:p w14:paraId="1A63A64A" w14:textId="77777777" w:rsidR="004B06CC" w:rsidRPr="004D0537" w:rsidRDefault="004B06CC" w:rsidP="004B06CC">
      <w:pPr>
        <w:spacing w:after="240"/>
        <w:ind w:left="567" w:hanging="567"/>
      </w:pPr>
      <w:r w:rsidRPr="004D0537">
        <w:t>–</w:t>
      </w:r>
      <w:r w:rsidRPr="004D0537">
        <w:tab/>
        <w:t>med beaktande av Europaparlamentets och rådets förordning (EU) 2021/819 av den 20 maj 2021 om Europeiska institutet för innovation och teknik</w:t>
      </w:r>
      <w:r w:rsidRPr="004D0537">
        <w:rPr>
          <w:vertAlign w:val="superscript"/>
        </w:rPr>
        <w:footnoteReference w:id="173"/>
      </w:r>
      <w:r w:rsidRPr="004D0537">
        <w:t>, särskilt artikel 23,</w:t>
      </w:r>
    </w:p>
    <w:p w14:paraId="7BEF1B81"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74"/>
      </w:r>
      <w:r w:rsidRPr="004D0537">
        <w:t>, särskilt artikel 105,</w:t>
      </w:r>
    </w:p>
    <w:p w14:paraId="1EFF0DAA" w14:textId="77777777" w:rsidR="004B06CC" w:rsidRPr="004D0537" w:rsidRDefault="004B06CC" w:rsidP="004B06CC">
      <w:pPr>
        <w:spacing w:after="240"/>
        <w:ind w:left="567" w:hanging="567"/>
      </w:pPr>
      <w:r w:rsidRPr="004D0537">
        <w:t>–</w:t>
      </w:r>
      <w:r w:rsidRPr="004D0537">
        <w:tab/>
        <w:t>med beaktande av artikel 102 och bilaga V i arbetsordningen,</w:t>
      </w:r>
    </w:p>
    <w:p w14:paraId="39BBF884"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7B39BDE9"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71378B4D" w14:textId="77777777" w:rsidR="004B06CC" w:rsidRPr="004D0537" w:rsidRDefault="004B06CC" w:rsidP="004B06CC">
      <w:pPr>
        <w:spacing w:after="240"/>
        <w:ind w:left="567" w:hanging="567"/>
      </w:pPr>
      <w:r w:rsidRPr="004D0537">
        <w:t>1.</w:t>
      </w:r>
      <w:r w:rsidRPr="004D0537">
        <w:tab/>
        <w:t>Europaparlamentet beviljar direktören för Europeiska institutet för innovation och teknik ansvarsfrihet för genomförandet av institutets budget för budgetåret 2024.</w:t>
      </w:r>
    </w:p>
    <w:p w14:paraId="7AE80C52"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332D8FAA"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direktören för Europeiska institutet för innovation och teknik, rådet, kommissionen och revisionsrätten, och att se till att de offentliggörs i </w:t>
      </w:r>
      <w:r w:rsidRPr="004D0537">
        <w:rPr>
          <w:i/>
          <w:iCs/>
        </w:rPr>
        <w:t>Europeiska unionens officiella tidning</w:t>
      </w:r>
      <w:r w:rsidRPr="004D0537">
        <w:t xml:space="preserve"> (L-serien).</w:t>
      </w:r>
    </w:p>
    <w:p w14:paraId="75ED398E" w14:textId="77777777" w:rsidR="004B06CC" w:rsidRPr="004D0537" w:rsidRDefault="004B06CC" w:rsidP="004B06CC"/>
    <w:p w14:paraId="28C603C2" w14:textId="77777777" w:rsidR="004B06CC" w:rsidRPr="004D0537" w:rsidRDefault="004B06CC" w:rsidP="004B06CC">
      <w:pPr>
        <w:spacing w:after="480"/>
        <w:jc w:val="center"/>
        <w:rPr>
          <w:rFonts w:cs="Arial"/>
          <w:b/>
        </w:rPr>
        <w:sectPr w:rsidR="004B06CC" w:rsidRPr="004D0537" w:rsidSect="003A4AB5">
          <w:footerReference w:type="first" r:id="rI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C01E67" w14:textId="27678FF3" w:rsidR="004B06CC" w:rsidRPr="004D0537" w:rsidRDefault="00AB7ADA" w:rsidP="00AB7ADA">
      <w:pPr>
        <w:pStyle w:val="ATHeading3"/>
      </w:pPr>
      <w:r w:rsidRPr="004D0537">
        <w:lastRenderedPageBreak/>
        <w:t xml:space="preserve">30. Europaparlamentets beslut av den 29 april 2026 </w:t>
      </w:r>
      <w:r w:rsidR="004B06CC" w:rsidRPr="004D0537">
        <w:t>om avslutande av räkenskaperna för Europeiska institutet för innovation och teknik för budgetåret 2024</w:t>
      </w:r>
      <w:r w:rsidR="003E27E5" w:rsidRPr="004D0537">
        <w:t xml:space="preserve"> </w:t>
      </w:r>
      <w:r w:rsidR="004B06CC" w:rsidRPr="004D0537">
        <w:t>(2025/2156(DEC))</w:t>
      </w:r>
    </w:p>
    <w:p w14:paraId="695B32ED" w14:textId="77777777" w:rsidR="004B06CC" w:rsidRPr="004D0537" w:rsidRDefault="004B06CC" w:rsidP="004B06CC">
      <w:pPr>
        <w:spacing w:before="480" w:after="240"/>
      </w:pPr>
      <w:r w:rsidRPr="004D0537">
        <w:rPr>
          <w:i/>
          <w:iCs/>
        </w:rPr>
        <w:t>Europaparlamentet fattar detta beslut</w:t>
      </w:r>
    </w:p>
    <w:p w14:paraId="6ABDA24F" w14:textId="77777777" w:rsidR="004B06CC" w:rsidRPr="004D0537" w:rsidRDefault="004B06CC" w:rsidP="004B06CC">
      <w:pPr>
        <w:spacing w:after="240"/>
        <w:ind w:left="567" w:hanging="567"/>
      </w:pPr>
      <w:r w:rsidRPr="004D0537">
        <w:t>–</w:t>
      </w:r>
      <w:r w:rsidRPr="004D0537">
        <w:tab/>
        <w:t>med beaktande av den slutliga årsredovisningen för Europeiska institutet för innovation och teknik för budgetåret 2024,</w:t>
      </w:r>
    </w:p>
    <w:p w14:paraId="0808A657"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75"/>
      </w:r>
      <w:r w:rsidRPr="004D0537">
        <w:t>,</w:t>
      </w:r>
    </w:p>
    <w:p w14:paraId="4EE211D3"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76"/>
      </w:r>
      <w:r w:rsidRPr="004D0537">
        <w:t>, som avgetts av revisionsrätten för budgetåret 2024 i enlighet med artikel 287 i fördraget om Europeiska unionens funktionssätt,</w:t>
      </w:r>
    </w:p>
    <w:p w14:paraId="51D2AAA9" w14:textId="77777777" w:rsidR="004B06CC" w:rsidRPr="004D0537" w:rsidRDefault="004B06CC" w:rsidP="004B06CC">
      <w:pPr>
        <w:spacing w:after="240"/>
        <w:ind w:left="567" w:hanging="567"/>
      </w:pPr>
      <w:r w:rsidRPr="004D0537">
        <w:t>–</w:t>
      </w:r>
      <w:r w:rsidRPr="004D0537">
        <w:tab/>
        <w:t>med beaktande av rådets rekommendation av den 2 mars 2026 om att bevilja institutet ansvarsfrihet för genomförandet av budgeten för budgetåret 2024 (05750/2026 – C10</w:t>
      </w:r>
      <w:r w:rsidRPr="004D0537">
        <w:noBreakHyphen/>
        <w:t>0148/2026),</w:t>
      </w:r>
    </w:p>
    <w:p w14:paraId="19E9FB86"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40630D42"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77"/>
      </w:r>
      <w:r w:rsidRPr="004D0537">
        <w:t>, särskilt artikel 70,</w:t>
      </w:r>
    </w:p>
    <w:p w14:paraId="3300850E"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78"/>
      </w:r>
      <w:r w:rsidRPr="004D0537">
        <w:t>, särskilt artikel 70,</w:t>
      </w:r>
    </w:p>
    <w:p w14:paraId="35FD2907" w14:textId="77777777" w:rsidR="004B06CC" w:rsidRPr="004D0537" w:rsidRDefault="004B06CC" w:rsidP="004B06CC">
      <w:pPr>
        <w:spacing w:after="240"/>
        <w:ind w:left="567" w:hanging="567"/>
      </w:pPr>
      <w:r w:rsidRPr="004D0537">
        <w:t>–</w:t>
      </w:r>
      <w:r w:rsidRPr="004D0537">
        <w:tab/>
        <w:t>med beaktande av Europaparlamentets och rådets förordning (EU) 2021/819 av den 20 maj 2021 om Europeiska institutet för innovation och teknik</w:t>
      </w:r>
      <w:r w:rsidRPr="004D0537">
        <w:rPr>
          <w:vertAlign w:val="superscript"/>
        </w:rPr>
        <w:footnoteReference w:id="179"/>
      </w:r>
      <w:r w:rsidRPr="004D0537">
        <w:t>, särskilt artikel 23,</w:t>
      </w:r>
    </w:p>
    <w:p w14:paraId="4C1BBB32"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80"/>
      </w:r>
      <w:r w:rsidRPr="004D0537">
        <w:t>, särskilt artikel 105,</w:t>
      </w:r>
    </w:p>
    <w:p w14:paraId="5EE95C35" w14:textId="77777777" w:rsidR="004B06CC" w:rsidRPr="004D0537" w:rsidRDefault="004B06CC" w:rsidP="004B06CC">
      <w:pPr>
        <w:spacing w:after="240"/>
        <w:ind w:left="567" w:hanging="567"/>
      </w:pPr>
      <w:r w:rsidRPr="004D0537">
        <w:t>–</w:t>
      </w:r>
      <w:r w:rsidRPr="004D0537">
        <w:tab/>
        <w:t>med beaktande av artikel 102 och bilaga V i arbetsordningen,</w:t>
      </w:r>
    </w:p>
    <w:p w14:paraId="39833E70"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w:t>
      </w:r>
      <w:r w:rsidRPr="004D0537">
        <w:lastRenderedPageBreak/>
        <w:t>utskottet för transport och turism, fiskeriutskottet, utskottet för medborgerliga fri- och rättigheter samt rättsliga och inrikes frågor och utskottet för kvinnors rättigheter och jämställdhet,</w:t>
      </w:r>
    </w:p>
    <w:p w14:paraId="7AFF18B7"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27641001" w14:textId="77777777" w:rsidR="004B06CC" w:rsidRPr="004D0537" w:rsidRDefault="004B06CC" w:rsidP="004B06CC">
      <w:pPr>
        <w:spacing w:after="240"/>
        <w:ind w:left="567" w:hanging="567"/>
      </w:pPr>
      <w:r w:rsidRPr="004D0537">
        <w:t>1.</w:t>
      </w:r>
      <w:r w:rsidRPr="004D0537">
        <w:tab/>
        <w:t>Europaparlamentet godkänner avslutandet av räkenskaperna för Europeiska institutet för innovation och teknik för budgetåret 2024.</w:t>
      </w:r>
    </w:p>
    <w:p w14:paraId="44C6C304"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direktören för Europeiska institutet för innovation och teknik, rådet, kommissionen och revisionsrätten, och att se till att det offentliggörs i </w:t>
      </w:r>
      <w:r w:rsidRPr="004D0537">
        <w:rPr>
          <w:i/>
          <w:iCs/>
        </w:rPr>
        <w:t>Europeiska unionens officiella tidning</w:t>
      </w:r>
      <w:r w:rsidRPr="004D0537">
        <w:t xml:space="preserve"> (L-serien).</w:t>
      </w:r>
    </w:p>
    <w:p w14:paraId="18344354" w14:textId="77777777" w:rsidR="004B06CC" w:rsidRPr="004D0537" w:rsidRDefault="004B06CC" w:rsidP="004B06CC"/>
    <w:p w14:paraId="28079CF2" w14:textId="77777777" w:rsidR="004B06CC" w:rsidRPr="004D0537" w:rsidRDefault="004B06CC" w:rsidP="004B06CC"/>
    <w:p w14:paraId="36552435" w14:textId="77777777" w:rsidR="004B06CC" w:rsidRPr="004D0537" w:rsidRDefault="004B06CC" w:rsidP="004B06CC">
      <w:pPr>
        <w:spacing w:after="480"/>
        <w:jc w:val="center"/>
        <w:rPr>
          <w:rFonts w:cs="Arial"/>
          <w:b/>
        </w:rPr>
        <w:sectPr w:rsidR="004B06CC" w:rsidRPr="004D0537" w:rsidSect="003A4AB5">
          <w:footerReference w:type="first" r:id="rId4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BB86B48" w14:textId="71929FA3" w:rsidR="004B06CC" w:rsidRPr="004D0537" w:rsidRDefault="00AB7ADA" w:rsidP="00AB7ADA">
      <w:pPr>
        <w:pStyle w:val="ATHeading3"/>
      </w:pPr>
      <w:r w:rsidRPr="004D0537">
        <w:lastRenderedPageBreak/>
        <w:t xml:space="preserve">31. Europaparlamentets beslut av den 29 april 2026 </w:t>
      </w:r>
      <w:r w:rsidR="004B06CC" w:rsidRPr="004D0537">
        <w:t>om ansvarsfrihet för genomförandet av budgeten för Europeiska arbetsmyndigheten för budgetåret 2024</w:t>
      </w:r>
      <w:r w:rsidRPr="004D0537">
        <w:t xml:space="preserve"> </w:t>
      </w:r>
      <w:r w:rsidR="004B06CC" w:rsidRPr="004D0537">
        <w:t>(2025/2156(DEC))</w:t>
      </w:r>
    </w:p>
    <w:p w14:paraId="5CF87894" w14:textId="77777777" w:rsidR="004B06CC" w:rsidRPr="004D0537" w:rsidRDefault="004B06CC" w:rsidP="004B06CC">
      <w:pPr>
        <w:spacing w:before="480" w:after="240"/>
      </w:pPr>
      <w:r w:rsidRPr="004D0537">
        <w:rPr>
          <w:i/>
          <w:iCs/>
        </w:rPr>
        <w:t>Europaparlamentet fattar detta beslut</w:t>
      </w:r>
    </w:p>
    <w:p w14:paraId="4336B449" w14:textId="77777777" w:rsidR="004B06CC" w:rsidRPr="004D0537" w:rsidRDefault="004B06CC" w:rsidP="004B06CC">
      <w:pPr>
        <w:spacing w:after="240"/>
        <w:ind w:left="567" w:hanging="567"/>
      </w:pPr>
      <w:r w:rsidRPr="004D0537">
        <w:t>–</w:t>
      </w:r>
      <w:r w:rsidRPr="004D0537">
        <w:tab/>
        <w:t>med beaktande av den slutliga årsredovisningen för Europeiska arbetsmyndigheten för budgetåret 2024,</w:t>
      </w:r>
    </w:p>
    <w:p w14:paraId="24AF2B4A"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81"/>
      </w:r>
      <w:r w:rsidRPr="004D0537">
        <w:t>,</w:t>
      </w:r>
    </w:p>
    <w:p w14:paraId="6F1C7665"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82"/>
      </w:r>
      <w:r w:rsidRPr="004D0537">
        <w:t>, som avgetts av revisionsrätten för budgetåret 2024 i enlighet med artikel 287 i fördraget om Europeiska unionens funktionssätt,</w:t>
      </w:r>
    </w:p>
    <w:p w14:paraId="31F6E998"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686C2B15"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18BDADAE"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83"/>
      </w:r>
      <w:r w:rsidRPr="004D0537">
        <w:t>, särskilt artikel 70,</w:t>
      </w:r>
    </w:p>
    <w:p w14:paraId="3FBCB903"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84"/>
      </w:r>
      <w:r w:rsidRPr="004D0537">
        <w:t>, särskilt artikel 70,</w:t>
      </w:r>
    </w:p>
    <w:p w14:paraId="461288E6" w14:textId="77777777" w:rsidR="004B06CC" w:rsidRPr="004D0537" w:rsidRDefault="004B06CC" w:rsidP="004B06CC">
      <w:pPr>
        <w:spacing w:after="240"/>
        <w:ind w:left="567" w:hanging="567"/>
      </w:pPr>
      <w:r w:rsidRPr="004D0537">
        <w:t>–</w:t>
      </w:r>
      <w:r w:rsidRPr="004D0537">
        <w:tab/>
        <w:t>med beaktande av Europaparlamentets och rådets förordning (EU) 2019/1149 av den 20 juni 2019 om inrättande av Europeiska arbetsmyndigheten, om ändring av förordningarna (EG) nr 883/2004, (EU) nr 492/2011 och (EU) 2016/589 och om upphävande av beslut (EU) 2016/344</w:t>
      </w:r>
      <w:r w:rsidRPr="004D0537">
        <w:rPr>
          <w:vertAlign w:val="superscript"/>
        </w:rPr>
        <w:footnoteReference w:id="185"/>
      </w:r>
      <w:r w:rsidRPr="004D0537">
        <w:t>, särskilt artikel 28,</w:t>
      </w:r>
    </w:p>
    <w:p w14:paraId="501AAD1B"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86"/>
      </w:r>
      <w:r w:rsidRPr="004D0537">
        <w:t>, särskilt artikel 105,</w:t>
      </w:r>
    </w:p>
    <w:p w14:paraId="2A6FBE93" w14:textId="77777777" w:rsidR="004B06CC" w:rsidRPr="004D0537" w:rsidRDefault="004B06CC" w:rsidP="004B06CC">
      <w:pPr>
        <w:spacing w:after="240"/>
        <w:ind w:left="567" w:hanging="567"/>
      </w:pPr>
      <w:r w:rsidRPr="004D0537">
        <w:t>–</w:t>
      </w:r>
      <w:r w:rsidRPr="004D0537">
        <w:tab/>
        <w:t>med beaktande av artikel 102 och bilaga V i arbetsordningen,</w:t>
      </w:r>
    </w:p>
    <w:p w14:paraId="1BEED81C"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34E56152"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5ED354A3" w14:textId="77777777" w:rsidR="004B06CC" w:rsidRPr="004D0537" w:rsidRDefault="004B06CC" w:rsidP="004B06CC">
      <w:pPr>
        <w:spacing w:after="240"/>
        <w:ind w:left="567" w:hanging="567"/>
      </w:pPr>
      <w:r w:rsidRPr="004D0537">
        <w:t>1.</w:t>
      </w:r>
      <w:r w:rsidRPr="004D0537">
        <w:tab/>
        <w:t>Europaparlamentet beviljar verkställande direktören för Europeiska arbetsmyndigheten ansvarsfrihet för genomförandet av myndighetens budget för budgetåret 2024.</w:t>
      </w:r>
    </w:p>
    <w:p w14:paraId="6C62E6DA"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293F19C8"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arbetsmyndigheten, rådet, kommissionen och revisionsrätten, och att se till att de offentliggörs i </w:t>
      </w:r>
      <w:r w:rsidRPr="004D0537">
        <w:rPr>
          <w:i/>
          <w:iCs/>
        </w:rPr>
        <w:t>Europeiska unionens officiella tidning</w:t>
      </w:r>
      <w:r w:rsidRPr="004D0537">
        <w:t xml:space="preserve"> (L-serien).</w:t>
      </w:r>
    </w:p>
    <w:p w14:paraId="74CCC660" w14:textId="77777777" w:rsidR="004B06CC" w:rsidRPr="004D0537" w:rsidRDefault="004B06CC" w:rsidP="004B06CC"/>
    <w:p w14:paraId="6EE33DF8" w14:textId="77777777" w:rsidR="004B06CC" w:rsidRPr="004D0537" w:rsidRDefault="004B06CC" w:rsidP="004B06CC">
      <w:pPr>
        <w:spacing w:after="480"/>
        <w:jc w:val="center"/>
        <w:rPr>
          <w:rFonts w:cs="Arial"/>
          <w:b/>
        </w:rPr>
        <w:sectPr w:rsidR="004B06CC" w:rsidRPr="004D0537" w:rsidSect="003A4AB5">
          <w:footerReference w:type="first" r:id="rId4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706D29" w14:textId="622E62ED" w:rsidR="004B06CC" w:rsidRPr="004D0537" w:rsidRDefault="00AB7ADA" w:rsidP="00AB7ADA">
      <w:pPr>
        <w:pStyle w:val="ATHeading3"/>
      </w:pPr>
      <w:r w:rsidRPr="004D0537">
        <w:lastRenderedPageBreak/>
        <w:t xml:space="preserve">32. Europaparlamentets beslut av den 29 april 2026 </w:t>
      </w:r>
      <w:r w:rsidR="004B06CC" w:rsidRPr="004D0537">
        <w:t>om avslutande av räkenskaperna för Europeiska arbetsmyndigheten för budgetåret 2024</w:t>
      </w:r>
      <w:r w:rsidR="006053B7" w:rsidRPr="004D0537">
        <w:t xml:space="preserve"> </w:t>
      </w:r>
      <w:r w:rsidR="004B06CC" w:rsidRPr="004D0537">
        <w:t>(2025/2156(DEC))</w:t>
      </w:r>
    </w:p>
    <w:p w14:paraId="7E186ED2" w14:textId="77777777" w:rsidR="004B06CC" w:rsidRPr="004D0537" w:rsidRDefault="004B06CC" w:rsidP="004B06CC">
      <w:pPr>
        <w:spacing w:before="480" w:after="240"/>
      </w:pPr>
      <w:r w:rsidRPr="004D0537">
        <w:rPr>
          <w:i/>
          <w:iCs/>
        </w:rPr>
        <w:t>Europaparlamentet fattar detta beslut</w:t>
      </w:r>
    </w:p>
    <w:p w14:paraId="0A605F96" w14:textId="77777777" w:rsidR="004B06CC" w:rsidRPr="004D0537" w:rsidRDefault="004B06CC" w:rsidP="004B06CC">
      <w:pPr>
        <w:spacing w:after="240"/>
        <w:ind w:left="567" w:hanging="567"/>
      </w:pPr>
      <w:r w:rsidRPr="004D0537">
        <w:t>–</w:t>
      </w:r>
      <w:r w:rsidRPr="004D0537">
        <w:tab/>
        <w:t>med beaktande av den slutliga årsredovisningen för Europeiska arbetsmyndigheten för budgetåret 2024,</w:t>
      </w:r>
    </w:p>
    <w:p w14:paraId="2E3FA32F"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87"/>
      </w:r>
      <w:r w:rsidRPr="004D0537">
        <w:t>,</w:t>
      </w:r>
    </w:p>
    <w:p w14:paraId="5A64038F"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88"/>
      </w:r>
      <w:r w:rsidRPr="004D0537">
        <w:t>, som avgetts av revisionsrätten för budgetåret 2024 i enlighet med artikel 287 i fördraget om Europeiska unionens funktionssätt,</w:t>
      </w:r>
    </w:p>
    <w:p w14:paraId="49E97BB6"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1D3BCB23"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19ECC546"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89"/>
      </w:r>
      <w:r w:rsidRPr="004D0537">
        <w:t>, särskilt artikel 70,</w:t>
      </w:r>
    </w:p>
    <w:p w14:paraId="2B58D3D1"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90"/>
      </w:r>
      <w:r w:rsidRPr="004D0537">
        <w:t>, särskilt artikel 70,</w:t>
      </w:r>
    </w:p>
    <w:p w14:paraId="09C2B40C" w14:textId="77777777" w:rsidR="004B06CC" w:rsidRPr="004D0537" w:rsidRDefault="004B06CC" w:rsidP="004B06CC">
      <w:pPr>
        <w:spacing w:after="240"/>
        <w:ind w:left="567" w:hanging="567"/>
      </w:pPr>
      <w:r w:rsidRPr="004D0537">
        <w:t>–</w:t>
      </w:r>
      <w:r w:rsidRPr="004D0537">
        <w:tab/>
        <w:t>med beaktande av Europaparlamentets och rådets förordning (EU) 2019/1149 av den 20 juni 2019 om inrättande av Europeiska arbetsmyndigheten, om ändring av förordningarna (EG) nr 883/2004, (EU) nr 492/2011 och (EU) 2016/589 och om upphävande av beslut (EU) 2016/344</w:t>
      </w:r>
      <w:r w:rsidRPr="004D0537">
        <w:rPr>
          <w:vertAlign w:val="superscript"/>
        </w:rPr>
        <w:footnoteReference w:id="191"/>
      </w:r>
      <w:r w:rsidRPr="004D0537">
        <w:t>, särskilt artikel 28,</w:t>
      </w:r>
    </w:p>
    <w:p w14:paraId="0D81EFE7"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92"/>
      </w:r>
      <w:r w:rsidRPr="004D0537">
        <w:t>, särskilt artikel 105,</w:t>
      </w:r>
    </w:p>
    <w:p w14:paraId="4CDD2598" w14:textId="77777777" w:rsidR="004B06CC" w:rsidRPr="004D0537" w:rsidRDefault="004B06CC" w:rsidP="004B06CC">
      <w:pPr>
        <w:spacing w:after="240"/>
        <w:ind w:left="567" w:hanging="567"/>
      </w:pPr>
      <w:r w:rsidRPr="004D0537">
        <w:t>–</w:t>
      </w:r>
      <w:r w:rsidRPr="004D0537">
        <w:tab/>
        <w:t>med beaktande av artikel 102 och bilaga V i arbetsordningen,</w:t>
      </w:r>
    </w:p>
    <w:p w14:paraId="5AF8064B"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78164F6C"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0AF1DCD2" w14:textId="77777777" w:rsidR="004B06CC" w:rsidRPr="004D0537" w:rsidRDefault="004B06CC" w:rsidP="004B06CC">
      <w:pPr>
        <w:spacing w:after="240"/>
        <w:ind w:left="567" w:hanging="567"/>
      </w:pPr>
      <w:r w:rsidRPr="004D0537">
        <w:t>1.</w:t>
      </w:r>
      <w:r w:rsidRPr="004D0537">
        <w:tab/>
        <w:t>Europaparlamentet godkänner avslutandet av räkenskaperna för Europeiska arbetsmyndigheten för budgetåret 2024.</w:t>
      </w:r>
    </w:p>
    <w:p w14:paraId="7BB11E0E"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arbetsmyndigheten, rådet, kommissionen och revisionsrätten, och att se till att det offentliggörs i </w:t>
      </w:r>
      <w:r w:rsidRPr="004D0537">
        <w:rPr>
          <w:i/>
          <w:iCs/>
        </w:rPr>
        <w:t>Europeiska unionens officiella tidning</w:t>
      </w:r>
      <w:r w:rsidRPr="004D0537">
        <w:t xml:space="preserve"> (L-serien).</w:t>
      </w:r>
    </w:p>
    <w:p w14:paraId="54DB0103" w14:textId="77777777" w:rsidR="004B06CC" w:rsidRPr="004D0537" w:rsidRDefault="004B06CC" w:rsidP="004B06CC"/>
    <w:p w14:paraId="204C10A4" w14:textId="77777777" w:rsidR="004B06CC" w:rsidRPr="004D0537" w:rsidRDefault="004B06CC" w:rsidP="006053B7">
      <w:pPr>
        <w:spacing w:after="480"/>
        <w:rPr>
          <w:rFonts w:cs="Arial"/>
          <w:b/>
        </w:rPr>
        <w:sectPr w:rsidR="004B06CC" w:rsidRPr="004D0537" w:rsidSect="003A4AB5">
          <w:footerReference w:type="first" r:id="rId4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29CEA23" w14:textId="0ACA4DBD" w:rsidR="004B06CC" w:rsidRPr="004D0537" w:rsidRDefault="00AB7ADA" w:rsidP="00AB7ADA">
      <w:pPr>
        <w:pStyle w:val="ATHeading3"/>
      </w:pPr>
      <w:r w:rsidRPr="004D0537">
        <w:lastRenderedPageBreak/>
        <w:t xml:space="preserve">33. Europaparlamentets beslut av den 29 april 2026 </w:t>
      </w:r>
      <w:r w:rsidR="004B06CC" w:rsidRPr="004D0537">
        <w:t>om ansvarsfrihet för genomförandet av budgeten för Europeiska läkemedelsmyndigheten för budgetåret 2024</w:t>
      </w:r>
      <w:r w:rsidR="006053B7" w:rsidRPr="004D0537">
        <w:t xml:space="preserve"> </w:t>
      </w:r>
      <w:r w:rsidR="004B06CC" w:rsidRPr="004D0537">
        <w:t>(2025/2156(DEC))</w:t>
      </w:r>
    </w:p>
    <w:p w14:paraId="28CEFD09" w14:textId="77777777" w:rsidR="004B06CC" w:rsidRPr="004D0537" w:rsidRDefault="004B06CC" w:rsidP="004B06CC">
      <w:pPr>
        <w:spacing w:before="480" w:after="240"/>
      </w:pPr>
      <w:r w:rsidRPr="004D0537">
        <w:rPr>
          <w:i/>
          <w:iCs/>
        </w:rPr>
        <w:t>Europaparlamentet fattar detta beslut</w:t>
      </w:r>
    </w:p>
    <w:p w14:paraId="27CDFE37" w14:textId="77777777" w:rsidR="004B06CC" w:rsidRPr="004D0537" w:rsidRDefault="004B06CC" w:rsidP="004B06CC">
      <w:pPr>
        <w:spacing w:after="240"/>
        <w:ind w:left="567" w:hanging="567"/>
      </w:pPr>
      <w:r w:rsidRPr="004D0537">
        <w:t>–</w:t>
      </w:r>
      <w:r w:rsidRPr="004D0537">
        <w:tab/>
        <w:t>med beaktande av den slutliga årsredovisningen för Europeiska läkemedelsmyndigheten för budgetåret 2024,</w:t>
      </w:r>
    </w:p>
    <w:p w14:paraId="249E4372"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93"/>
      </w:r>
      <w:r w:rsidRPr="004D0537">
        <w:t>,</w:t>
      </w:r>
    </w:p>
    <w:p w14:paraId="668E407B"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194"/>
      </w:r>
      <w:r w:rsidRPr="004D0537">
        <w:t>, som avgetts av revisionsrätten för budgetåret 2024 i enlighet med artikel 287 i fördraget om Europeiska unionens funktionssätt,</w:t>
      </w:r>
    </w:p>
    <w:p w14:paraId="7A4CA73D"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69B8D953"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73764341"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195"/>
      </w:r>
      <w:r w:rsidRPr="004D0537">
        <w:t>, särskilt artikel 70,</w:t>
      </w:r>
    </w:p>
    <w:p w14:paraId="1AFF095B"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196"/>
      </w:r>
      <w:r w:rsidRPr="004D0537">
        <w:t>, särskilt artikel 70,</w:t>
      </w:r>
    </w:p>
    <w:p w14:paraId="45169B89" w14:textId="77777777" w:rsidR="004B06CC" w:rsidRPr="004D0537" w:rsidRDefault="004B06CC" w:rsidP="004B06CC">
      <w:pPr>
        <w:spacing w:after="240"/>
        <w:ind w:left="567" w:hanging="567"/>
      </w:pPr>
      <w:r w:rsidRPr="004D0537">
        <w:t>–</w:t>
      </w:r>
      <w:r w:rsidRPr="004D0537">
        <w:tab/>
        <w:t>med beaktande av Europaparlamentets och rådets förordning (EG) nr 726/2004 av den 31 mars 2004 om inrättande av unionsförfaranden för godkännande av och tillsyn över humanläkemedel och om inrättande av en europeisk läkemedelsmyndighet</w:t>
      </w:r>
      <w:r w:rsidRPr="004D0537">
        <w:rPr>
          <w:vertAlign w:val="superscript"/>
        </w:rPr>
        <w:footnoteReference w:id="197"/>
      </w:r>
      <w:r w:rsidRPr="004D0537">
        <w:t>, särskilt artikel 68,</w:t>
      </w:r>
    </w:p>
    <w:p w14:paraId="0F59A872"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198"/>
      </w:r>
      <w:r w:rsidRPr="004D0537">
        <w:t>, särskilt artikel 105,</w:t>
      </w:r>
    </w:p>
    <w:p w14:paraId="7D9FD070"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770C4D46"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2DFD688C"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DA08EE9" w14:textId="77777777" w:rsidR="004B06CC" w:rsidRPr="004D0537" w:rsidRDefault="004B06CC" w:rsidP="004B06CC">
      <w:pPr>
        <w:spacing w:after="240"/>
        <w:ind w:left="567" w:hanging="567"/>
      </w:pPr>
      <w:r w:rsidRPr="004D0537">
        <w:t>1.</w:t>
      </w:r>
      <w:r w:rsidRPr="004D0537">
        <w:tab/>
        <w:t>Europaparlamentet beviljar verkställande direktören för Europeiska läkemedelsmyndigheten ansvarsfrihet för genomförandet av myndighetens budget för budgetåret 2024.</w:t>
      </w:r>
    </w:p>
    <w:p w14:paraId="4397687F"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2290A0B0"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läkemedelsmyndigheten, rådet, kommissionen och revisionsrätten, och att se till att de offentliggörs i </w:t>
      </w:r>
      <w:r w:rsidRPr="004D0537">
        <w:rPr>
          <w:i/>
          <w:iCs/>
        </w:rPr>
        <w:t>Europeiska unionens officiella tidning</w:t>
      </w:r>
      <w:r w:rsidRPr="004D0537">
        <w:t xml:space="preserve"> (L-serien).</w:t>
      </w:r>
    </w:p>
    <w:p w14:paraId="21713D88" w14:textId="77777777" w:rsidR="004B06CC" w:rsidRPr="004D0537" w:rsidRDefault="004B06CC" w:rsidP="004B06CC"/>
    <w:p w14:paraId="105249B9" w14:textId="77777777" w:rsidR="004B06CC" w:rsidRPr="004D0537" w:rsidRDefault="004B06CC" w:rsidP="004B06CC">
      <w:pPr>
        <w:spacing w:after="480"/>
        <w:jc w:val="center"/>
        <w:rPr>
          <w:rFonts w:cs="Arial"/>
          <w:b/>
        </w:rPr>
        <w:sectPr w:rsidR="004B06CC" w:rsidRPr="004D0537" w:rsidSect="003A4AB5">
          <w:footerReference w:type="first" r:id="rId4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80810E" w14:textId="5F55C729" w:rsidR="004B06CC" w:rsidRPr="004D0537" w:rsidRDefault="00AB7ADA" w:rsidP="00AB7ADA">
      <w:pPr>
        <w:pStyle w:val="ATHeading3"/>
      </w:pPr>
      <w:r w:rsidRPr="004D0537">
        <w:lastRenderedPageBreak/>
        <w:t xml:space="preserve">34. Europaparlamentets beslut av den 29 april 2026 </w:t>
      </w:r>
      <w:r w:rsidR="004B06CC" w:rsidRPr="004D0537">
        <w:t>om avslutande av räkenskaperna för Europeiska läkemedelsmyndigheten för budgetåret 2024</w:t>
      </w:r>
      <w:r w:rsidR="006053B7" w:rsidRPr="004D0537">
        <w:t xml:space="preserve"> </w:t>
      </w:r>
      <w:r w:rsidR="004B06CC" w:rsidRPr="004D0537">
        <w:t>(2025/2156(DEC))</w:t>
      </w:r>
    </w:p>
    <w:p w14:paraId="7EE3AE81" w14:textId="77777777" w:rsidR="004B06CC" w:rsidRPr="004D0537" w:rsidRDefault="004B06CC" w:rsidP="004B06CC">
      <w:pPr>
        <w:spacing w:before="480" w:after="240"/>
      </w:pPr>
      <w:r w:rsidRPr="004D0537">
        <w:rPr>
          <w:i/>
          <w:iCs/>
        </w:rPr>
        <w:t>Europaparlamentet fattar detta beslut</w:t>
      </w:r>
    </w:p>
    <w:p w14:paraId="7FAA9970" w14:textId="77777777" w:rsidR="004B06CC" w:rsidRPr="004D0537" w:rsidRDefault="004B06CC" w:rsidP="004B06CC">
      <w:pPr>
        <w:spacing w:after="240"/>
        <w:ind w:left="567" w:hanging="567"/>
      </w:pPr>
      <w:r w:rsidRPr="004D0537">
        <w:t>–</w:t>
      </w:r>
      <w:r w:rsidRPr="004D0537">
        <w:tab/>
        <w:t>med beaktande av den slutliga årsredovisningen för Europeiska läkemedelsmyndigheten för budgetåret 2024,</w:t>
      </w:r>
    </w:p>
    <w:p w14:paraId="4ECD6814"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199"/>
      </w:r>
      <w:r w:rsidRPr="004D0537">
        <w:t>,</w:t>
      </w:r>
    </w:p>
    <w:p w14:paraId="391EB3FD"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00"/>
      </w:r>
      <w:r w:rsidRPr="004D0537">
        <w:t>, som avgetts av revisionsrätten för budgetåret 2024 i enlighet med artikel 287 i fördraget om Europeiska unionens funktionssätt,</w:t>
      </w:r>
    </w:p>
    <w:p w14:paraId="69EBB9E3"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13473686"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2E036C3A"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01"/>
      </w:r>
      <w:r w:rsidRPr="004D0537">
        <w:t>, särskilt artikel 70,</w:t>
      </w:r>
    </w:p>
    <w:p w14:paraId="545BB3BA"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02"/>
      </w:r>
      <w:r w:rsidRPr="004D0537">
        <w:t>, särskilt artikel 70,</w:t>
      </w:r>
    </w:p>
    <w:p w14:paraId="5D0ACB6C" w14:textId="77777777" w:rsidR="004B06CC" w:rsidRPr="004D0537" w:rsidRDefault="004B06CC" w:rsidP="004B06CC">
      <w:pPr>
        <w:spacing w:after="240"/>
        <w:ind w:left="567" w:hanging="567"/>
      </w:pPr>
      <w:r w:rsidRPr="004D0537">
        <w:t>–</w:t>
      </w:r>
      <w:r w:rsidRPr="004D0537">
        <w:tab/>
        <w:t>med beaktande av Europaparlamentets och rådets förordning (EG) nr 726/2004 av den 31 mars 2004 om inrättande av unionsförfaranden för godkännande av och tillsyn över humanläkemedel och om inrättande av en europeisk läkemedelsmyndighet</w:t>
      </w:r>
      <w:r w:rsidRPr="004D0537">
        <w:rPr>
          <w:vertAlign w:val="superscript"/>
        </w:rPr>
        <w:footnoteReference w:id="203"/>
      </w:r>
      <w:r w:rsidRPr="004D0537">
        <w:t>, särskilt artikel 68,</w:t>
      </w:r>
    </w:p>
    <w:p w14:paraId="022ADACF"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04"/>
      </w:r>
      <w:r w:rsidRPr="004D0537">
        <w:t>, särskilt artikel 105,</w:t>
      </w:r>
    </w:p>
    <w:p w14:paraId="4118F23E" w14:textId="77777777" w:rsidR="004B06CC" w:rsidRPr="004D0537" w:rsidRDefault="004B06CC" w:rsidP="004B06CC">
      <w:pPr>
        <w:spacing w:after="240"/>
        <w:ind w:left="567" w:hanging="567"/>
      </w:pPr>
      <w:r w:rsidRPr="004D0537">
        <w:t>–</w:t>
      </w:r>
      <w:r w:rsidRPr="004D0537">
        <w:tab/>
        <w:t>med beaktande av artikel 102 och bilaga V i arbetsordningen,</w:t>
      </w:r>
    </w:p>
    <w:p w14:paraId="75121375"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518165AA"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C2615D4" w14:textId="77777777" w:rsidR="004B06CC" w:rsidRPr="004D0537" w:rsidRDefault="004B06CC" w:rsidP="004B06CC">
      <w:pPr>
        <w:spacing w:after="240"/>
        <w:ind w:left="567" w:hanging="567"/>
      </w:pPr>
      <w:r w:rsidRPr="004D0537">
        <w:t>1.</w:t>
      </w:r>
      <w:r w:rsidRPr="004D0537">
        <w:tab/>
        <w:t>Europaparlamentet godkänner avslutandet av räkenskaperna för Europeiska läkemedelsmyndigheten för budgetåret 2024.</w:t>
      </w:r>
    </w:p>
    <w:p w14:paraId="0C205583"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läkemedelsmyndigheten, rådet, kommissionen och revisionsrätten, och att se till att det offentliggörs i </w:t>
      </w:r>
      <w:r w:rsidRPr="004D0537">
        <w:rPr>
          <w:i/>
          <w:iCs/>
        </w:rPr>
        <w:t>Europeiska unionens officiella tidning</w:t>
      </w:r>
      <w:r w:rsidRPr="004D0537">
        <w:t xml:space="preserve"> (L-serien).</w:t>
      </w:r>
    </w:p>
    <w:p w14:paraId="4F7D40DB" w14:textId="77777777" w:rsidR="004B06CC" w:rsidRPr="004D0537" w:rsidRDefault="004B06CC" w:rsidP="004B06CC"/>
    <w:p w14:paraId="6CCCAF21" w14:textId="77777777" w:rsidR="004B06CC" w:rsidRPr="004D0537" w:rsidRDefault="004B06CC" w:rsidP="004B06CC">
      <w:pPr>
        <w:spacing w:after="480"/>
        <w:jc w:val="center"/>
        <w:rPr>
          <w:rFonts w:cs="Arial"/>
          <w:b/>
        </w:rPr>
        <w:sectPr w:rsidR="004B06CC" w:rsidRPr="004D0537" w:rsidSect="003A4AB5">
          <w:footerReference w:type="first" r:id="rId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7F1606" w14:textId="00D6616D" w:rsidR="004B06CC" w:rsidRPr="004D0537" w:rsidRDefault="00AB7ADA" w:rsidP="00AB7ADA">
      <w:pPr>
        <w:pStyle w:val="ATHeading3"/>
      </w:pPr>
      <w:r w:rsidRPr="004D0537">
        <w:lastRenderedPageBreak/>
        <w:t xml:space="preserve">35. Europaparlamentets beslut av den 29 april 2026 </w:t>
      </w:r>
      <w:r w:rsidR="004B06CC" w:rsidRPr="004D0537">
        <w:t>om ansvarsfrihet för genomförandet av budgeten för Europeiska unionens narkotikamyndighet (före 2.7.2024: Europeiska centrumet för kontroll av narkotika och narkotikamissbruk) för budgetåret 2024</w:t>
      </w:r>
      <w:r w:rsidR="006053B7" w:rsidRPr="004D0537">
        <w:t xml:space="preserve"> </w:t>
      </w:r>
      <w:r w:rsidR="004B06CC" w:rsidRPr="004D0537">
        <w:t>(2025/2156(DEC))</w:t>
      </w:r>
    </w:p>
    <w:p w14:paraId="6B7C8A9E" w14:textId="77777777" w:rsidR="004B06CC" w:rsidRPr="004D0537" w:rsidRDefault="004B06CC" w:rsidP="004B06CC">
      <w:pPr>
        <w:spacing w:before="480" w:after="240"/>
      </w:pPr>
      <w:r w:rsidRPr="004D0537">
        <w:rPr>
          <w:i/>
          <w:iCs/>
        </w:rPr>
        <w:t>Europaparlamentet fattar detta beslut</w:t>
      </w:r>
    </w:p>
    <w:p w14:paraId="23DEB035" w14:textId="77777777" w:rsidR="004B06CC" w:rsidRPr="004D0537" w:rsidRDefault="004B06CC" w:rsidP="004B06CC">
      <w:pPr>
        <w:spacing w:after="240"/>
        <w:ind w:left="567" w:hanging="567"/>
      </w:pPr>
      <w:r w:rsidRPr="004D0537">
        <w:t>–</w:t>
      </w:r>
      <w:r w:rsidRPr="004D0537">
        <w:tab/>
        <w:t>med beaktande av den slutliga årsredovisningen för Europeiska unionens narkotikamyndighet för budgetåret 2024,</w:t>
      </w:r>
    </w:p>
    <w:p w14:paraId="311AAECE"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05"/>
      </w:r>
      <w:r w:rsidRPr="004D0537">
        <w:t>,</w:t>
      </w:r>
    </w:p>
    <w:p w14:paraId="67B0EE99"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06"/>
      </w:r>
      <w:r w:rsidRPr="004D0537">
        <w:t>, som avgetts av revisionsrätten för budgetåret 2024 i enlighet med artikel 287 i fördraget om Europeiska unionens funktionssätt,</w:t>
      </w:r>
    </w:p>
    <w:p w14:paraId="09BE54A7"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65C241D0"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6863BCC6"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07"/>
      </w:r>
      <w:r w:rsidRPr="004D0537">
        <w:t>, särskilt artikel 70,</w:t>
      </w:r>
    </w:p>
    <w:p w14:paraId="554DED91"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08"/>
      </w:r>
      <w:r w:rsidRPr="004D0537">
        <w:t>, särskilt artikel 70,</w:t>
      </w:r>
    </w:p>
    <w:p w14:paraId="299FB443" w14:textId="77777777" w:rsidR="004B06CC" w:rsidRPr="004D0537" w:rsidRDefault="004B06CC" w:rsidP="004B06CC">
      <w:pPr>
        <w:spacing w:after="240"/>
        <w:ind w:left="567" w:hanging="567"/>
      </w:pPr>
      <w:r w:rsidRPr="004D0537">
        <w:t>–</w:t>
      </w:r>
      <w:r w:rsidRPr="004D0537">
        <w:tab/>
        <w:t>med beaktande av Europaparlamentets och rådets förordning (EG) nr 1920/2006 av den 12 december 2006 om Europeiska centrumet för kontroll av narkotika och narkotikamissbruk</w:t>
      </w:r>
      <w:r w:rsidRPr="004D0537">
        <w:rPr>
          <w:vertAlign w:val="superscript"/>
        </w:rPr>
        <w:footnoteReference w:id="209"/>
      </w:r>
      <w:r w:rsidRPr="004D0537">
        <w:t>, särskilt artikel 15,</w:t>
      </w:r>
    </w:p>
    <w:p w14:paraId="6ED326FC" w14:textId="77777777" w:rsidR="004B06CC" w:rsidRPr="004D0537" w:rsidRDefault="004B06CC" w:rsidP="004B06CC">
      <w:pPr>
        <w:spacing w:after="240"/>
        <w:ind w:left="567" w:hanging="567"/>
      </w:pPr>
      <w:r w:rsidRPr="004D0537">
        <w:t>–</w:t>
      </w:r>
      <w:r w:rsidRPr="004D0537">
        <w:tab/>
        <w:t>med beaktande av Europaparlamentets och rådets förordning (EU) 2023/1322 av den 27 juni 2023 om Europeiska unionens narkotikamyndighet (EUDA) och om upphävande av förordning (EG) nr 1920/2006</w:t>
      </w:r>
      <w:r w:rsidRPr="004D0537">
        <w:rPr>
          <w:vertAlign w:val="superscript"/>
        </w:rPr>
        <w:footnoteReference w:id="210"/>
      </w:r>
      <w:r w:rsidRPr="004D0537">
        <w:t>, särskilt artikel 41,</w:t>
      </w:r>
    </w:p>
    <w:p w14:paraId="358B77AD" w14:textId="77777777" w:rsidR="004B06CC" w:rsidRPr="004D0537" w:rsidRDefault="004B06CC" w:rsidP="004B06CC">
      <w:pPr>
        <w:spacing w:after="240"/>
        <w:ind w:left="567" w:hanging="567"/>
      </w:pPr>
      <w:r w:rsidRPr="004D0537">
        <w:t>–</w:t>
      </w:r>
      <w:r w:rsidRPr="004D0537">
        <w:tab/>
        <w:t xml:space="preserve">med beaktande av kommissionens delegerade förordning (EU) 2019/715 av den 18 december 2018 med rambudgetförordning för de organ som inrättats enligt </w:t>
      </w:r>
      <w:r w:rsidRPr="004D0537">
        <w:lastRenderedPageBreak/>
        <w:t>EUF</w:t>
      </w:r>
      <w:r w:rsidRPr="004D0537">
        <w:noBreakHyphen/>
        <w:t>fördraget och Euratomfördraget och som avses i artikel 70 i Europaparlamentets och rådets förordning (EU, Euratom) 2018/1046</w:t>
      </w:r>
      <w:r w:rsidRPr="004D0537">
        <w:rPr>
          <w:vertAlign w:val="superscript"/>
        </w:rPr>
        <w:footnoteReference w:id="211"/>
      </w:r>
      <w:r w:rsidRPr="004D0537">
        <w:t>, särskilt artikel 105,</w:t>
      </w:r>
    </w:p>
    <w:p w14:paraId="427AF181" w14:textId="77777777" w:rsidR="004B06CC" w:rsidRPr="004D0537" w:rsidRDefault="004B06CC" w:rsidP="004B06CC">
      <w:pPr>
        <w:spacing w:after="240"/>
        <w:ind w:left="567" w:hanging="567"/>
      </w:pPr>
      <w:r w:rsidRPr="004D0537">
        <w:t>–</w:t>
      </w:r>
      <w:r w:rsidRPr="004D0537">
        <w:tab/>
        <w:t>med beaktande av artikel 102 och bilaga V i arbetsordningen,</w:t>
      </w:r>
    </w:p>
    <w:p w14:paraId="018FAA8C"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7F8E77AD"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1792183E" w14:textId="77777777" w:rsidR="004B06CC" w:rsidRPr="004D0537" w:rsidRDefault="004B06CC" w:rsidP="004B06CC">
      <w:pPr>
        <w:spacing w:after="240"/>
        <w:ind w:left="567" w:hanging="567"/>
      </w:pPr>
      <w:r w:rsidRPr="004D0537">
        <w:t>1.</w:t>
      </w:r>
      <w:r w:rsidRPr="004D0537">
        <w:tab/>
        <w:t>Europaparlamentet beviljar verkställande direktören för Europeiska unionens narkotikamyndighet ansvarsfrihet för genomförandet av myndighetens budget för budgetåret 2024.</w:t>
      </w:r>
    </w:p>
    <w:p w14:paraId="5AB8D338"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7F8BFD3B"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unionens narkotikamyndighet, rådet, kommissionen och revisionsrätten, och att se till att de offentliggörs i </w:t>
      </w:r>
      <w:r w:rsidRPr="004D0537">
        <w:rPr>
          <w:i/>
          <w:iCs/>
        </w:rPr>
        <w:t>Europeiska unionens officiella tidning</w:t>
      </w:r>
      <w:r w:rsidRPr="004D0537">
        <w:t xml:space="preserve"> (L-serien).</w:t>
      </w:r>
    </w:p>
    <w:p w14:paraId="387EC43C" w14:textId="77777777" w:rsidR="004B06CC" w:rsidRPr="004D0537" w:rsidRDefault="004B06CC" w:rsidP="004B06CC"/>
    <w:p w14:paraId="723AF8C0" w14:textId="77777777" w:rsidR="004B06CC" w:rsidRPr="004D0537" w:rsidRDefault="004B06CC" w:rsidP="004B06CC">
      <w:pPr>
        <w:spacing w:after="480"/>
        <w:jc w:val="center"/>
        <w:rPr>
          <w:rFonts w:cs="Arial"/>
          <w:b/>
        </w:rPr>
        <w:sectPr w:rsidR="004B06CC" w:rsidRPr="004D0537" w:rsidSect="003A4AB5">
          <w:footerReference w:type="first" r:id="rId4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AB9A6E" w14:textId="282F098D" w:rsidR="004B06CC" w:rsidRPr="004D0537" w:rsidRDefault="00AB7ADA" w:rsidP="00AB7ADA">
      <w:pPr>
        <w:pStyle w:val="ATHeading3"/>
      </w:pPr>
      <w:r w:rsidRPr="004D0537">
        <w:lastRenderedPageBreak/>
        <w:t xml:space="preserve">36. Europaparlamentets beslut av den 29 april 2026 </w:t>
      </w:r>
      <w:r w:rsidR="004B06CC" w:rsidRPr="004D0537">
        <w:t>om avslutande av räkenskaperna för Europeiska unionens narkotikamyndighet (före 2.7.2024: Europeiska centrumet för kontroll av narkotika och narkotikamissbruk) för budgetåret 2024</w:t>
      </w:r>
      <w:r w:rsidR="006053B7" w:rsidRPr="004D0537">
        <w:t xml:space="preserve"> </w:t>
      </w:r>
      <w:r w:rsidR="004B06CC" w:rsidRPr="004D0537">
        <w:t>(2025/2156(DEC))</w:t>
      </w:r>
    </w:p>
    <w:p w14:paraId="085036B8" w14:textId="77777777" w:rsidR="004B06CC" w:rsidRPr="004D0537" w:rsidRDefault="004B06CC" w:rsidP="004B06CC">
      <w:pPr>
        <w:spacing w:before="480" w:after="240"/>
      </w:pPr>
      <w:r w:rsidRPr="004D0537">
        <w:rPr>
          <w:i/>
          <w:iCs/>
        </w:rPr>
        <w:t>Europaparlamentet fattar detta beslut</w:t>
      </w:r>
    </w:p>
    <w:p w14:paraId="084FF2A2" w14:textId="77777777" w:rsidR="004B06CC" w:rsidRPr="004D0537" w:rsidRDefault="004B06CC" w:rsidP="004B06CC">
      <w:pPr>
        <w:spacing w:after="240"/>
        <w:ind w:left="567" w:hanging="567"/>
      </w:pPr>
      <w:r w:rsidRPr="004D0537">
        <w:t>–</w:t>
      </w:r>
      <w:r w:rsidRPr="004D0537">
        <w:tab/>
        <w:t>med beaktande av den slutliga årsredovisningen för Europeiska unionens narkotikamyndighet för budgetåret 2024,</w:t>
      </w:r>
    </w:p>
    <w:p w14:paraId="7E1BF6C2"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12"/>
      </w:r>
      <w:r w:rsidRPr="004D0537">
        <w:t>,</w:t>
      </w:r>
    </w:p>
    <w:p w14:paraId="11D65C60"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13"/>
      </w:r>
      <w:r w:rsidRPr="004D0537">
        <w:t>, som avgetts av revisionsrätten för budgetåret 2024 i enlighet med artikel 287 i fördraget om Europeiska unionens funktionssätt,</w:t>
      </w:r>
    </w:p>
    <w:p w14:paraId="67A297EE"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63AB631F"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4106780D"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14"/>
      </w:r>
      <w:r w:rsidRPr="004D0537">
        <w:t>, särskilt artikel 70,</w:t>
      </w:r>
    </w:p>
    <w:p w14:paraId="303851C2"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15"/>
      </w:r>
      <w:r w:rsidRPr="004D0537">
        <w:t>, särskilt artikel 70,</w:t>
      </w:r>
    </w:p>
    <w:p w14:paraId="7BA53A71" w14:textId="77777777" w:rsidR="004B06CC" w:rsidRPr="004D0537" w:rsidRDefault="004B06CC" w:rsidP="004B06CC">
      <w:pPr>
        <w:spacing w:after="240"/>
        <w:ind w:left="567" w:hanging="567"/>
      </w:pPr>
      <w:r w:rsidRPr="004D0537">
        <w:t>–</w:t>
      </w:r>
      <w:r w:rsidRPr="004D0537">
        <w:tab/>
        <w:t>med beaktande av Europaparlamentets och rådets förordning (EG) nr 1920/2006 av den 12 december 2006 om Europeiska centrumet för kontroll av narkotika och narkotikamissbruk</w:t>
      </w:r>
      <w:r w:rsidRPr="004D0537">
        <w:rPr>
          <w:vertAlign w:val="superscript"/>
        </w:rPr>
        <w:footnoteReference w:id="216"/>
      </w:r>
      <w:r w:rsidRPr="004D0537">
        <w:t>, särskilt artikel 15,</w:t>
      </w:r>
    </w:p>
    <w:p w14:paraId="0CBFFF62" w14:textId="77777777" w:rsidR="004B06CC" w:rsidRPr="004D0537" w:rsidRDefault="004B06CC" w:rsidP="004B06CC">
      <w:pPr>
        <w:spacing w:after="240"/>
        <w:ind w:left="567" w:hanging="567"/>
      </w:pPr>
      <w:r w:rsidRPr="004D0537">
        <w:t>–</w:t>
      </w:r>
      <w:r w:rsidRPr="004D0537">
        <w:tab/>
        <w:t>med beaktande av Europaparlamentets och rådets förordning (EU) 2023/1322 av den 27 juni 2023 om Europeiska unionens narkotikamyndighet (EUDA) och om upphävande av förordning (EG) nr 1920/2006</w:t>
      </w:r>
      <w:r w:rsidRPr="004D0537">
        <w:rPr>
          <w:vertAlign w:val="superscript"/>
        </w:rPr>
        <w:footnoteReference w:id="217"/>
      </w:r>
      <w:r w:rsidRPr="004D0537">
        <w:t>, särskilt artikel 41,</w:t>
      </w:r>
    </w:p>
    <w:p w14:paraId="3CB50FAB"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 xml:space="preserve">fördraget och Euratomfördraget och som avses i artikel 70 i Europaparlamentets </w:t>
      </w:r>
      <w:r w:rsidRPr="004D0537">
        <w:lastRenderedPageBreak/>
        <w:t>och rådets förordning (EU, Euratom) 2018/1046</w:t>
      </w:r>
      <w:r w:rsidRPr="004D0537">
        <w:rPr>
          <w:vertAlign w:val="superscript"/>
        </w:rPr>
        <w:footnoteReference w:id="218"/>
      </w:r>
      <w:r w:rsidRPr="004D0537">
        <w:t>, särskilt artikel 105,</w:t>
      </w:r>
    </w:p>
    <w:p w14:paraId="0926EE63" w14:textId="77777777" w:rsidR="004B06CC" w:rsidRPr="004D0537" w:rsidRDefault="004B06CC" w:rsidP="004B06CC">
      <w:pPr>
        <w:spacing w:after="240"/>
        <w:ind w:left="567" w:hanging="567"/>
      </w:pPr>
      <w:r w:rsidRPr="004D0537">
        <w:t>–</w:t>
      </w:r>
      <w:r w:rsidRPr="004D0537">
        <w:tab/>
        <w:t>med beaktande av artikel 102 och bilaga V i arbetsordningen,</w:t>
      </w:r>
    </w:p>
    <w:p w14:paraId="35940895"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0B1A13F3"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027C0043" w14:textId="77777777" w:rsidR="004B06CC" w:rsidRPr="004D0537" w:rsidRDefault="004B06CC" w:rsidP="004B06CC">
      <w:pPr>
        <w:spacing w:after="240"/>
        <w:ind w:left="567" w:hanging="567"/>
      </w:pPr>
      <w:r w:rsidRPr="004D0537">
        <w:t>1.</w:t>
      </w:r>
      <w:r w:rsidRPr="004D0537">
        <w:tab/>
        <w:t>Europaparlamentet godkänner avslutandet av räkenskaperna för Europeiska unionens narkotikamyndighet för budgetåret 2024.</w:t>
      </w:r>
    </w:p>
    <w:p w14:paraId="6A22B98B"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den verkställande direktören för Europeiska unionens narkotikamyndighet, rådet, kommissionen och revisionsrätten, och att se till att det offentliggörs i </w:t>
      </w:r>
      <w:r w:rsidRPr="004D0537">
        <w:rPr>
          <w:i/>
          <w:iCs/>
        </w:rPr>
        <w:t>Europeiska unionens officiella tidning</w:t>
      </w:r>
      <w:r w:rsidRPr="004D0537">
        <w:t xml:space="preserve"> (L-serien).</w:t>
      </w:r>
    </w:p>
    <w:p w14:paraId="5134F3F9" w14:textId="77777777" w:rsidR="004B06CC" w:rsidRPr="004D0537" w:rsidRDefault="004B06CC" w:rsidP="004B06CC"/>
    <w:p w14:paraId="77806634" w14:textId="77777777" w:rsidR="004B06CC" w:rsidRPr="004D0537" w:rsidRDefault="004B06CC" w:rsidP="004B06CC"/>
    <w:p w14:paraId="405165E1" w14:textId="77777777" w:rsidR="004B06CC" w:rsidRPr="004D0537" w:rsidRDefault="004B06CC" w:rsidP="004B06CC">
      <w:pPr>
        <w:spacing w:after="480"/>
        <w:jc w:val="center"/>
        <w:rPr>
          <w:rFonts w:cs="Arial"/>
          <w:b/>
        </w:rPr>
        <w:sectPr w:rsidR="004B06CC" w:rsidRPr="004D0537" w:rsidSect="003A4AB5">
          <w:footerReference w:type="first" r:id="rId4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9A9A9E" w14:textId="09EAA0A4" w:rsidR="004B06CC" w:rsidRPr="004D0537" w:rsidRDefault="00AB7ADA" w:rsidP="00AB7ADA">
      <w:pPr>
        <w:pStyle w:val="ATHeading3"/>
      </w:pPr>
      <w:r w:rsidRPr="004D0537">
        <w:lastRenderedPageBreak/>
        <w:t xml:space="preserve">37. Europaparlamentets beslut av den 29 april 2026 </w:t>
      </w:r>
      <w:r w:rsidR="004B06CC" w:rsidRPr="004D0537">
        <w:t>om ansvarsfrihet för genomförandet av budgeten för Europeiska sjösäkerhetsbyrån för budgetåret 2024</w:t>
      </w:r>
      <w:r w:rsidR="006053B7" w:rsidRPr="004D0537">
        <w:t xml:space="preserve"> </w:t>
      </w:r>
      <w:r w:rsidR="004B06CC" w:rsidRPr="004D0537">
        <w:t>(2025/2156(DEC))</w:t>
      </w:r>
    </w:p>
    <w:p w14:paraId="052A708D" w14:textId="77777777" w:rsidR="004B06CC" w:rsidRPr="004D0537" w:rsidRDefault="004B06CC" w:rsidP="004B06CC">
      <w:pPr>
        <w:spacing w:before="480" w:after="240"/>
      </w:pPr>
      <w:r w:rsidRPr="004D0537">
        <w:rPr>
          <w:i/>
          <w:iCs/>
        </w:rPr>
        <w:t>Europaparlamentet fattar detta beslut</w:t>
      </w:r>
    </w:p>
    <w:p w14:paraId="482C79D5" w14:textId="77777777" w:rsidR="004B06CC" w:rsidRPr="004D0537" w:rsidRDefault="004B06CC" w:rsidP="004B06CC">
      <w:pPr>
        <w:spacing w:after="240"/>
        <w:ind w:left="567" w:hanging="567"/>
      </w:pPr>
      <w:r w:rsidRPr="004D0537">
        <w:t>–</w:t>
      </w:r>
      <w:r w:rsidRPr="004D0537">
        <w:tab/>
        <w:t>med beaktande av den slutliga årsredovisningen för Europeiska sjösäkerhetsbyrån för budgetåret 2024,</w:t>
      </w:r>
    </w:p>
    <w:p w14:paraId="6D4ACB73"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19"/>
      </w:r>
      <w:r w:rsidRPr="004D0537">
        <w:t>,</w:t>
      </w:r>
    </w:p>
    <w:p w14:paraId="696BEA45"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20"/>
      </w:r>
      <w:r w:rsidRPr="004D0537">
        <w:t>, som avgetts av revisionsrätten för budgetåret 2024 i enlighet med artikel 287 i fördraget om Europeiska unionens funktionssätt,</w:t>
      </w:r>
    </w:p>
    <w:p w14:paraId="6C073DB1"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6CD6AD54"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02C45D71"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21"/>
      </w:r>
      <w:r w:rsidRPr="004D0537">
        <w:t>, särskilt artikel 70,</w:t>
      </w:r>
    </w:p>
    <w:p w14:paraId="42415725"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22"/>
      </w:r>
      <w:r w:rsidRPr="004D0537">
        <w:t>, särskilt artikel 70,</w:t>
      </w:r>
    </w:p>
    <w:p w14:paraId="5FB90EE4" w14:textId="77777777" w:rsidR="004B06CC" w:rsidRPr="004D0537" w:rsidRDefault="004B06CC" w:rsidP="004B06CC">
      <w:pPr>
        <w:spacing w:after="240"/>
        <w:ind w:left="567" w:hanging="567"/>
      </w:pPr>
      <w:r w:rsidRPr="004D0537">
        <w:t>–</w:t>
      </w:r>
      <w:r w:rsidRPr="004D0537">
        <w:tab/>
        <w:t>med beaktande av Europaparlamentets och rådets förordning (EG) nr 1406/2002 av den 27 juni 2002 om inrättande av en europeisk sjösäkerhetsbyrå</w:t>
      </w:r>
      <w:r w:rsidRPr="004D0537">
        <w:rPr>
          <w:vertAlign w:val="superscript"/>
        </w:rPr>
        <w:footnoteReference w:id="223"/>
      </w:r>
      <w:r w:rsidRPr="004D0537">
        <w:t>, särskilt artikel 19,</w:t>
      </w:r>
    </w:p>
    <w:p w14:paraId="597D399C"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24"/>
      </w:r>
      <w:r w:rsidRPr="004D0537">
        <w:t>, särskilt artikel 105,</w:t>
      </w:r>
    </w:p>
    <w:p w14:paraId="34180E62" w14:textId="77777777" w:rsidR="004B06CC" w:rsidRPr="004D0537" w:rsidRDefault="004B06CC" w:rsidP="004B06CC">
      <w:pPr>
        <w:spacing w:after="240"/>
        <w:ind w:left="567" w:hanging="567"/>
      </w:pPr>
      <w:r w:rsidRPr="004D0537">
        <w:t>–</w:t>
      </w:r>
      <w:r w:rsidRPr="004D0537">
        <w:tab/>
        <w:t>med beaktande av artikel 102 och bilaga V i arbetsordningen,</w:t>
      </w:r>
    </w:p>
    <w:p w14:paraId="19EC90FB"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w:t>
      </w:r>
      <w:r w:rsidRPr="004D0537">
        <w:lastRenderedPageBreak/>
        <w:t>utskottet för transport och turism, fiskeriutskottet, utskottet för medborgerliga fri- och rättigheter samt rättsliga och inrikes frågor och utskottet för kvinnors rättigheter och jämställdhet,</w:t>
      </w:r>
    </w:p>
    <w:p w14:paraId="2382BCAF"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98D54B2" w14:textId="77777777" w:rsidR="004B06CC" w:rsidRPr="004D0537" w:rsidRDefault="004B06CC" w:rsidP="004B06CC">
      <w:pPr>
        <w:spacing w:after="240"/>
        <w:ind w:left="567" w:hanging="567"/>
      </w:pPr>
      <w:r w:rsidRPr="004D0537">
        <w:t>1.</w:t>
      </w:r>
      <w:r w:rsidRPr="004D0537">
        <w:tab/>
        <w:t>Europaparlamentet beviljar verkställande direktören för Europeiska sjösäkerhetsbyrån ansvarsfrihet för genomförandet av byråns budget för budgetåret 2024.</w:t>
      </w:r>
    </w:p>
    <w:p w14:paraId="6DF729AC"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3E0692BC"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sjösäkerhetsbyrån, rådet, kommissionen och revisionsrätten, och att se till att de offentliggörs i </w:t>
      </w:r>
      <w:r w:rsidRPr="004D0537">
        <w:rPr>
          <w:i/>
          <w:iCs/>
        </w:rPr>
        <w:t>Europeiska unionens officiella tidning</w:t>
      </w:r>
      <w:r w:rsidRPr="004D0537">
        <w:t xml:space="preserve"> (L-serien).</w:t>
      </w:r>
    </w:p>
    <w:p w14:paraId="1D381BD4" w14:textId="77777777" w:rsidR="004B06CC" w:rsidRPr="004D0537" w:rsidRDefault="004B06CC" w:rsidP="004B06CC"/>
    <w:p w14:paraId="0C904C37" w14:textId="77777777" w:rsidR="004B06CC" w:rsidRPr="004D0537" w:rsidRDefault="004B06CC" w:rsidP="004B06CC">
      <w:pPr>
        <w:spacing w:after="480"/>
        <w:jc w:val="center"/>
        <w:rPr>
          <w:rFonts w:cs="Arial"/>
          <w:b/>
        </w:rPr>
        <w:sectPr w:rsidR="004B06CC" w:rsidRPr="004D0537" w:rsidSect="003A4AB5">
          <w:footerReference w:type="first" r:id="rId5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7ACDD5" w14:textId="6C75EFA0" w:rsidR="004B06CC" w:rsidRPr="004D0537" w:rsidRDefault="00AB7ADA" w:rsidP="00AB7ADA">
      <w:pPr>
        <w:pStyle w:val="ATHeading3"/>
      </w:pPr>
      <w:r w:rsidRPr="004D0537">
        <w:lastRenderedPageBreak/>
        <w:t xml:space="preserve">38. Europaparlamentets beslut av den 29 april 2026 </w:t>
      </w:r>
      <w:r w:rsidR="004B06CC" w:rsidRPr="004D0537">
        <w:t>om avslutande av räkenskaperna för Europeiska sjösäkerhetsbyrån för budgetåret 2024</w:t>
      </w:r>
      <w:r w:rsidR="006053B7" w:rsidRPr="004D0537">
        <w:t xml:space="preserve"> </w:t>
      </w:r>
      <w:r w:rsidR="004B06CC" w:rsidRPr="004D0537">
        <w:t>(2025/2156(DEC))</w:t>
      </w:r>
    </w:p>
    <w:p w14:paraId="0F375ED1" w14:textId="77777777" w:rsidR="004B06CC" w:rsidRPr="004D0537" w:rsidRDefault="004B06CC" w:rsidP="004B06CC">
      <w:pPr>
        <w:spacing w:before="480" w:after="240"/>
      </w:pPr>
      <w:r w:rsidRPr="004D0537">
        <w:rPr>
          <w:i/>
          <w:iCs/>
        </w:rPr>
        <w:t>Europaparlamentet fattar detta beslut</w:t>
      </w:r>
    </w:p>
    <w:p w14:paraId="5A3D23E8" w14:textId="77777777" w:rsidR="004B06CC" w:rsidRPr="004D0537" w:rsidRDefault="004B06CC" w:rsidP="004B06CC">
      <w:pPr>
        <w:spacing w:after="240"/>
        <w:ind w:left="567" w:hanging="567"/>
      </w:pPr>
      <w:r w:rsidRPr="004D0537">
        <w:t>–</w:t>
      </w:r>
      <w:r w:rsidRPr="004D0537">
        <w:tab/>
        <w:t>med beaktande av den slutliga årsredovisningen för Europeiska sjösäkerhetsbyrån för budgetåret 2024,</w:t>
      </w:r>
    </w:p>
    <w:p w14:paraId="76976D05"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25"/>
      </w:r>
      <w:r w:rsidRPr="004D0537">
        <w:t>,</w:t>
      </w:r>
    </w:p>
    <w:p w14:paraId="2A3E4EAE"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26"/>
      </w:r>
      <w:r w:rsidRPr="004D0537">
        <w:t>, som avgetts av revisionsrätten för budgetåret 2024 i enlighet med artikel 287 i fördraget om Europeiska unionens funktionssätt,</w:t>
      </w:r>
    </w:p>
    <w:p w14:paraId="335D3869"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1A49EDC3"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21330E9C"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27"/>
      </w:r>
      <w:r w:rsidRPr="004D0537">
        <w:t>, särskilt artikel 70,</w:t>
      </w:r>
    </w:p>
    <w:p w14:paraId="3EC43610"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28"/>
      </w:r>
      <w:r w:rsidRPr="004D0537">
        <w:t>, särskilt artikel 70,</w:t>
      </w:r>
    </w:p>
    <w:p w14:paraId="085AD0EB" w14:textId="77777777" w:rsidR="004B06CC" w:rsidRPr="004D0537" w:rsidRDefault="004B06CC" w:rsidP="004B06CC">
      <w:pPr>
        <w:spacing w:after="240"/>
        <w:ind w:left="567" w:hanging="567"/>
      </w:pPr>
      <w:r w:rsidRPr="004D0537">
        <w:t>–</w:t>
      </w:r>
      <w:r w:rsidRPr="004D0537">
        <w:tab/>
        <w:t>med beaktande av Europaparlamentets och rådets förordning (EG) nr 1406/2002 av den 27 juni 2002 om inrättande av en europeisk sjösäkerhetsbyrå</w:t>
      </w:r>
      <w:r w:rsidRPr="004D0537">
        <w:rPr>
          <w:vertAlign w:val="superscript"/>
        </w:rPr>
        <w:footnoteReference w:id="229"/>
      </w:r>
      <w:r w:rsidRPr="004D0537">
        <w:t>, särskilt artikel 19,</w:t>
      </w:r>
    </w:p>
    <w:p w14:paraId="1F0D7754"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30"/>
      </w:r>
      <w:r w:rsidRPr="004D0537">
        <w:t>, särskilt artikel 105,</w:t>
      </w:r>
    </w:p>
    <w:p w14:paraId="62A78E95" w14:textId="77777777" w:rsidR="004B06CC" w:rsidRPr="004D0537" w:rsidRDefault="004B06CC" w:rsidP="004B06CC">
      <w:pPr>
        <w:spacing w:after="240"/>
        <w:ind w:left="567" w:hanging="567"/>
      </w:pPr>
      <w:r w:rsidRPr="004D0537">
        <w:t>–</w:t>
      </w:r>
      <w:r w:rsidRPr="004D0537">
        <w:tab/>
        <w:t>med beaktande av artikel 102 och bilaga V i arbetsordningen,</w:t>
      </w:r>
    </w:p>
    <w:p w14:paraId="5115C564"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utskottet för transport och turism, fiskeriutskottet, utskottet för medborgerliga fri- och </w:t>
      </w:r>
      <w:r w:rsidRPr="004D0537">
        <w:lastRenderedPageBreak/>
        <w:t>rättigheter samt rättsliga och inrikes frågor och utskottet för kvinnors rättigheter och jämställdhet,</w:t>
      </w:r>
    </w:p>
    <w:p w14:paraId="4B42704F"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4EDB5E84" w14:textId="77777777" w:rsidR="004B06CC" w:rsidRPr="004D0537" w:rsidRDefault="004B06CC" w:rsidP="004B06CC">
      <w:pPr>
        <w:spacing w:after="240"/>
        <w:ind w:left="567" w:hanging="567"/>
      </w:pPr>
      <w:r w:rsidRPr="004D0537">
        <w:t>1.</w:t>
      </w:r>
      <w:r w:rsidRPr="004D0537">
        <w:tab/>
        <w:t>Europaparlamentet godkänner avslutandet av räkenskaperna för Europeiska sjösäkerhetsbyrån för budgetåret 2024.</w:t>
      </w:r>
    </w:p>
    <w:p w14:paraId="50C5C34C"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sjösäkerhetsbyrån, rådet, kommissionen och revisionsrätten, och att se till att det offentliggörs i </w:t>
      </w:r>
      <w:r w:rsidRPr="004D0537">
        <w:rPr>
          <w:i/>
          <w:iCs/>
        </w:rPr>
        <w:t>Europeiska unionens officiella tidning</w:t>
      </w:r>
      <w:r w:rsidRPr="004D0537">
        <w:t xml:space="preserve"> (L-serien).</w:t>
      </w:r>
    </w:p>
    <w:p w14:paraId="7E5C9E49" w14:textId="77777777" w:rsidR="004B06CC" w:rsidRPr="004D0537" w:rsidRDefault="004B06CC" w:rsidP="004B06CC">
      <w:pPr>
        <w:spacing w:after="480"/>
        <w:jc w:val="center"/>
        <w:rPr>
          <w:rFonts w:cs="Arial"/>
          <w:b/>
        </w:rPr>
        <w:sectPr w:rsidR="004B06CC" w:rsidRPr="004D0537" w:rsidSect="003A4AB5">
          <w:footerReference w:type="first" r:id="rId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AA6E6A" w14:textId="3994C189" w:rsidR="004B06CC" w:rsidRPr="004D0537" w:rsidRDefault="00AB7ADA" w:rsidP="00AB7ADA">
      <w:pPr>
        <w:pStyle w:val="ATHeading3"/>
      </w:pPr>
      <w:r w:rsidRPr="004D0537">
        <w:lastRenderedPageBreak/>
        <w:t xml:space="preserve">39. Europaparlamentets beslut av den 29 april 2026 </w:t>
      </w:r>
      <w:r w:rsidR="004B06CC" w:rsidRPr="004D0537">
        <w:t>om ansvarsfrihet för genomförandet av budgeten för Europeiska unionens cybersäkerhetsbyrå för budgetåret 2024</w:t>
      </w:r>
      <w:r w:rsidR="006053B7" w:rsidRPr="004D0537">
        <w:t xml:space="preserve"> </w:t>
      </w:r>
      <w:r w:rsidR="004B06CC" w:rsidRPr="004D0537">
        <w:t>(2025/2156(DEC))</w:t>
      </w:r>
    </w:p>
    <w:p w14:paraId="4C5AAB27" w14:textId="77777777" w:rsidR="004B06CC" w:rsidRPr="004D0537" w:rsidRDefault="004B06CC" w:rsidP="004B06CC">
      <w:pPr>
        <w:spacing w:before="480" w:after="240"/>
      </w:pPr>
      <w:r w:rsidRPr="004D0537">
        <w:rPr>
          <w:i/>
          <w:iCs/>
        </w:rPr>
        <w:t>Europaparlamentet fattar detta beslut</w:t>
      </w:r>
    </w:p>
    <w:p w14:paraId="4D64DE6B" w14:textId="77777777" w:rsidR="004B06CC" w:rsidRPr="004D0537" w:rsidRDefault="004B06CC" w:rsidP="004B06CC">
      <w:pPr>
        <w:spacing w:after="240"/>
        <w:ind w:left="567" w:hanging="567"/>
      </w:pPr>
      <w:r w:rsidRPr="004D0537">
        <w:t>–</w:t>
      </w:r>
      <w:r w:rsidRPr="004D0537">
        <w:tab/>
        <w:t>med beaktande av den slutliga årsredovisningen för Europeiska unionens cybersäkerhetsbyrå för budgetåret 2024,</w:t>
      </w:r>
    </w:p>
    <w:p w14:paraId="31B59440"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31"/>
      </w:r>
      <w:r w:rsidRPr="004D0537">
        <w:t>,</w:t>
      </w:r>
    </w:p>
    <w:p w14:paraId="1E052BE0"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32"/>
      </w:r>
      <w:r w:rsidRPr="004D0537">
        <w:t>, som avgetts av revisionsrätten för budgetåret 2024 i enlighet med artikel 287 i fördraget om Europeiska unionens funktionssätt,</w:t>
      </w:r>
    </w:p>
    <w:p w14:paraId="4770F4EF"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53715661"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E0BB41C"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33"/>
      </w:r>
      <w:r w:rsidRPr="004D0537">
        <w:t>, särskilt artikel 70,</w:t>
      </w:r>
    </w:p>
    <w:p w14:paraId="62096D16"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34"/>
      </w:r>
      <w:r w:rsidRPr="004D0537">
        <w:t>, särskilt artikel 70,</w:t>
      </w:r>
    </w:p>
    <w:p w14:paraId="1EAAD9CF" w14:textId="77777777" w:rsidR="004B06CC" w:rsidRPr="004D0537" w:rsidRDefault="004B06CC" w:rsidP="004B06CC">
      <w:pPr>
        <w:spacing w:after="240"/>
        <w:ind w:left="567" w:hanging="567"/>
      </w:pPr>
      <w:r w:rsidRPr="004D0537">
        <w:t>–</w:t>
      </w:r>
      <w:r w:rsidRPr="004D0537">
        <w:tab/>
        <w:t xml:space="preserve">med beaktande av Europaparlamentets och rådets förordning (EU) 2019/881 av den 17 april 2019 om </w:t>
      </w:r>
      <w:proofErr w:type="spellStart"/>
      <w:r w:rsidRPr="004D0537">
        <w:t>Enisa</w:t>
      </w:r>
      <w:proofErr w:type="spellEnd"/>
      <w:r w:rsidRPr="004D0537">
        <w:t xml:space="preserve"> (Europeiska unionens cybersäkerhetsbyrå) och om cybersäkerhetscertifiering av informations- och kommunikationsteknik och om upphävande av förordning (EU) nr 526/2013 (cybersäkerhetsakten)</w:t>
      </w:r>
      <w:r w:rsidRPr="004D0537">
        <w:rPr>
          <w:vertAlign w:val="superscript"/>
        </w:rPr>
        <w:footnoteReference w:id="235"/>
      </w:r>
      <w:r w:rsidRPr="004D0537">
        <w:t>, särskilt artikel 31,</w:t>
      </w:r>
    </w:p>
    <w:p w14:paraId="1B72947F"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36"/>
      </w:r>
      <w:r w:rsidRPr="004D0537">
        <w:t>, särskilt artikel 105,</w:t>
      </w:r>
    </w:p>
    <w:p w14:paraId="15B78BC1"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3D7926C2"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6BD0AA6E"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3F272284" w14:textId="77777777" w:rsidR="004B06CC" w:rsidRPr="004D0537" w:rsidRDefault="004B06CC" w:rsidP="004B06CC">
      <w:pPr>
        <w:spacing w:after="240"/>
        <w:ind w:left="567" w:hanging="567"/>
      </w:pPr>
      <w:r w:rsidRPr="004D0537">
        <w:t>1.</w:t>
      </w:r>
      <w:r w:rsidRPr="004D0537">
        <w:tab/>
        <w:t>Europaparlamentet beviljar verkställande direktören för Europeiska unionens cybersäkerhetsbyrå ansvarsfrihet för genomförandet av byråns budget för budgetåret 2024.</w:t>
      </w:r>
    </w:p>
    <w:p w14:paraId="5B63F2CD"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24667BF0"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unionens cybersäkerhetsbyrå, rådet, kommissionen och revisionsrätten, och att se till att de offentliggörs i </w:t>
      </w:r>
      <w:r w:rsidRPr="004D0537">
        <w:rPr>
          <w:i/>
          <w:iCs/>
        </w:rPr>
        <w:t>Europeiska unionens officiella tidning</w:t>
      </w:r>
      <w:r w:rsidRPr="004D0537">
        <w:t xml:space="preserve"> (L-serien).</w:t>
      </w:r>
    </w:p>
    <w:p w14:paraId="0AAD7B62" w14:textId="77777777" w:rsidR="004B06CC" w:rsidRPr="004D0537" w:rsidRDefault="004B06CC" w:rsidP="004B06CC"/>
    <w:p w14:paraId="3C63263C" w14:textId="77777777" w:rsidR="004B06CC" w:rsidRPr="004D0537" w:rsidRDefault="004B06CC" w:rsidP="004B06CC">
      <w:pPr>
        <w:spacing w:after="480"/>
        <w:jc w:val="center"/>
        <w:rPr>
          <w:rFonts w:cs="Arial"/>
          <w:b/>
        </w:rPr>
        <w:sectPr w:rsidR="004B06CC" w:rsidRPr="004D0537" w:rsidSect="003A4AB5">
          <w:footerReference w:type="first" r:id="rId5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E87C89" w14:textId="2A1086AC" w:rsidR="004B06CC" w:rsidRPr="004D0537" w:rsidRDefault="00AB7ADA" w:rsidP="00AB7ADA">
      <w:pPr>
        <w:pStyle w:val="ATHeading3"/>
      </w:pPr>
      <w:r w:rsidRPr="004D0537">
        <w:lastRenderedPageBreak/>
        <w:t xml:space="preserve">40. Europaparlamentets beslut av den 29 april 2026 </w:t>
      </w:r>
      <w:r w:rsidR="004B06CC" w:rsidRPr="004D0537">
        <w:t>om avslutande av räkenskaperna för Europeiska unionens cybersäkerhetsbyrå för budgetåret 2024</w:t>
      </w:r>
      <w:r w:rsidR="006053B7" w:rsidRPr="004D0537">
        <w:t xml:space="preserve"> </w:t>
      </w:r>
      <w:r w:rsidR="004B06CC" w:rsidRPr="004D0537">
        <w:t>(2025/2156(DEC))</w:t>
      </w:r>
    </w:p>
    <w:p w14:paraId="6CFE6B49" w14:textId="77777777" w:rsidR="004B06CC" w:rsidRPr="004D0537" w:rsidRDefault="004B06CC" w:rsidP="004B06CC">
      <w:pPr>
        <w:spacing w:before="480" w:after="240"/>
      </w:pPr>
      <w:r w:rsidRPr="004D0537">
        <w:rPr>
          <w:i/>
          <w:iCs/>
        </w:rPr>
        <w:t>Europaparlamentet fattar detta beslut</w:t>
      </w:r>
    </w:p>
    <w:p w14:paraId="7766AF5A" w14:textId="77777777" w:rsidR="004B06CC" w:rsidRPr="004D0537" w:rsidRDefault="004B06CC" w:rsidP="004B06CC">
      <w:pPr>
        <w:spacing w:after="240"/>
        <w:ind w:left="567" w:hanging="567"/>
      </w:pPr>
      <w:r w:rsidRPr="004D0537">
        <w:t>–</w:t>
      </w:r>
      <w:r w:rsidRPr="004D0537">
        <w:tab/>
        <w:t>med beaktande av den slutliga årsredovisningen för Europeiska unionens cybersäkerhetsbyrå för budgetåret 2024,</w:t>
      </w:r>
    </w:p>
    <w:p w14:paraId="3961F5D3"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37"/>
      </w:r>
      <w:r w:rsidRPr="004D0537">
        <w:t>,</w:t>
      </w:r>
    </w:p>
    <w:p w14:paraId="7E20694E"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38"/>
      </w:r>
      <w:r w:rsidRPr="004D0537">
        <w:t>, som avgetts av revisionsrätten för budgetåret 2024 i enlighet med artikel 287 i fördraget om Europeiska unionens funktionssätt,</w:t>
      </w:r>
    </w:p>
    <w:p w14:paraId="3C74C461"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669E9E91"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6E361F01"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39"/>
      </w:r>
      <w:r w:rsidRPr="004D0537">
        <w:t>, särskilt artikel 70,</w:t>
      </w:r>
    </w:p>
    <w:p w14:paraId="2D504CA5"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40"/>
      </w:r>
      <w:r w:rsidRPr="004D0537">
        <w:t>, särskilt artikel 70,</w:t>
      </w:r>
    </w:p>
    <w:p w14:paraId="7C992357" w14:textId="77777777" w:rsidR="004B06CC" w:rsidRPr="004D0537" w:rsidRDefault="004B06CC" w:rsidP="004B06CC">
      <w:pPr>
        <w:spacing w:after="240"/>
        <w:ind w:left="567" w:hanging="567"/>
      </w:pPr>
      <w:r w:rsidRPr="004D0537">
        <w:t>–</w:t>
      </w:r>
      <w:r w:rsidRPr="004D0537">
        <w:tab/>
        <w:t xml:space="preserve">med beaktande av Europaparlamentets och rådets förordning (EU) 2019/881 av den 17 april 2019 om </w:t>
      </w:r>
      <w:proofErr w:type="spellStart"/>
      <w:r w:rsidRPr="004D0537">
        <w:t>Enisa</w:t>
      </w:r>
      <w:proofErr w:type="spellEnd"/>
      <w:r w:rsidRPr="004D0537">
        <w:t xml:space="preserve"> (Europeiska unionens cybersäkerhetsbyrå) och om cybersäkerhetscertifiering av informations- och kommunikationsteknik och om upphävande av förordning (EU) nr 526/2013 (cybersäkerhetsakten)</w:t>
      </w:r>
      <w:r w:rsidRPr="004D0537">
        <w:rPr>
          <w:vertAlign w:val="superscript"/>
        </w:rPr>
        <w:footnoteReference w:id="241"/>
      </w:r>
      <w:r w:rsidRPr="004D0537">
        <w:t>, särskilt artikel 31,</w:t>
      </w:r>
    </w:p>
    <w:p w14:paraId="19EDB2CD"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42"/>
      </w:r>
      <w:r w:rsidRPr="004D0537">
        <w:t>, särskilt artikel 105,</w:t>
      </w:r>
    </w:p>
    <w:p w14:paraId="4EF10F0E" w14:textId="77777777" w:rsidR="004B06CC" w:rsidRPr="004D0537" w:rsidRDefault="004B06CC" w:rsidP="004B06CC">
      <w:pPr>
        <w:spacing w:after="240"/>
        <w:ind w:left="567" w:hanging="567"/>
      </w:pPr>
      <w:r w:rsidRPr="004D0537">
        <w:t>–</w:t>
      </w:r>
      <w:r w:rsidRPr="004D0537">
        <w:tab/>
        <w:t>med beaktande av artikel 102 och bilaga V i arbetsordningen,</w:t>
      </w:r>
    </w:p>
    <w:p w14:paraId="10DB68DA"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4C5221BA"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05E4AEB2" w14:textId="77777777" w:rsidR="004B06CC" w:rsidRPr="004D0537" w:rsidRDefault="004B06CC" w:rsidP="004B06CC">
      <w:pPr>
        <w:spacing w:after="240"/>
        <w:ind w:left="567" w:hanging="567"/>
      </w:pPr>
      <w:r w:rsidRPr="004D0537">
        <w:t>1.</w:t>
      </w:r>
      <w:r w:rsidRPr="004D0537">
        <w:tab/>
        <w:t>Europaparlamentet godkänner avslutandet av räkenskaperna för Europeiska unionens cybersäkerhetsbyrå för budgetåret 2024.</w:t>
      </w:r>
    </w:p>
    <w:p w14:paraId="310E9923"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unionens cybersäkerhetsbyrå, rådet, kommissionen och revisionsrätten, och att se till att det offentliggörs i </w:t>
      </w:r>
      <w:r w:rsidRPr="004D0537">
        <w:rPr>
          <w:i/>
          <w:iCs/>
        </w:rPr>
        <w:t>Europeiska unionens officiella tidning</w:t>
      </w:r>
      <w:r w:rsidRPr="004D0537">
        <w:t xml:space="preserve"> (L-serien).</w:t>
      </w:r>
    </w:p>
    <w:p w14:paraId="245AD26A" w14:textId="658AE0B9" w:rsidR="004B06CC" w:rsidRPr="004D0537" w:rsidRDefault="004B06CC" w:rsidP="006053B7">
      <w:pPr>
        <w:spacing w:after="480"/>
        <w:rPr>
          <w:rFonts w:cs="Arial"/>
          <w:b/>
        </w:rPr>
      </w:pPr>
    </w:p>
    <w:p w14:paraId="4B4704D9" w14:textId="77777777" w:rsidR="004B06CC" w:rsidRPr="004D0537" w:rsidRDefault="004B06CC" w:rsidP="006053B7">
      <w:pPr>
        <w:spacing w:after="480"/>
        <w:rPr>
          <w:rFonts w:cs="Arial"/>
          <w:b/>
        </w:rPr>
        <w:sectPr w:rsidR="004B06CC" w:rsidRPr="004D0537" w:rsidSect="003A4AB5">
          <w:footerReference w:type="first" r:id="rId5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0EA9F5B" w14:textId="7E6248CC" w:rsidR="004B06CC" w:rsidRPr="004D0537" w:rsidRDefault="00AB7ADA" w:rsidP="00AB7ADA">
      <w:pPr>
        <w:pStyle w:val="ATHeading3"/>
      </w:pPr>
      <w:r w:rsidRPr="004D0537">
        <w:lastRenderedPageBreak/>
        <w:t xml:space="preserve">41. Europaparlamentets beslut av den 29 april 2026 </w:t>
      </w:r>
      <w:r w:rsidR="004B06CC" w:rsidRPr="004D0537">
        <w:t>om ansvarsfrihet för genomförandet av budgeten för Europeiska unionens järnvägsbyrå för budgetåret 2024</w:t>
      </w:r>
      <w:r w:rsidR="006053B7" w:rsidRPr="004D0537">
        <w:t xml:space="preserve"> </w:t>
      </w:r>
      <w:r w:rsidR="004B06CC" w:rsidRPr="004D0537">
        <w:t>(2025/2156(DEC))</w:t>
      </w:r>
    </w:p>
    <w:p w14:paraId="73F058D9" w14:textId="77777777" w:rsidR="004B06CC" w:rsidRPr="004D0537" w:rsidRDefault="004B06CC" w:rsidP="004B06CC">
      <w:pPr>
        <w:spacing w:before="480" w:after="240"/>
      </w:pPr>
      <w:r w:rsidRPr="004D0537">
        <w:rPr>
          <w:i/>
          <w:iCs/>
        </w:rPr>
        <w:t>Europaparlamentet fattar detta beslut</w:t>
      </w:r>
    </w:p>
    <w:p w14:paraId="668D6129" w14:textId="77777777" w:rsidR="004B06CC" w:rsidRPr="004D0537" w:rsidRDefault="004B06CC" w:rsidP="004B06CC">
      <w:pPr>
        <w:spacing w:after="240"/>
        <w:ind w:left="567" w:hanging="567"/>
      </w:pPr>
      <w:r w:rsidRPr="004D0537">
        <w:t>–</w:t>
      </w:r>
      <w:r w:rsidRPr="004D0537">
        <w:tab/>
        <w:t>med beaktande av den slutliga årsredovisningen för Europeiska unionens järnvägsbyrå för budgetåret 2024,</w:t>
      </w:r>
    </w:p>
    <w:p w14:paraId="58D54420"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43"/>
      </w:r>
      <w:r w:rsidRPr="004D0537">
        <w:t>,</w:t>
      </w:r>
    </w:p>
    <w:p w14:paraId="08A35E7D"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44"/>
      </w:r>
      <w:r w:rsidRPr="004D0537">
        <w:t>, som avgetts av revisionsrätten för budgetåret 2024 i enlighet med artikel 287 i fördraget om Europeiska unionens funktionssätt,</w:t>
      </w:r>
    </w:p>
    <w:p w14:paraId="7E6C933C"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26595CFC"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4D50F082"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45"/>
      </w:r>
      <w:r w:rsidRPr="004D0537">
        <w:t>, särskilt artikel 70,</w:t>
      </w:r>
    </w:p>
    <w:p w14:paraId="35279793"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46"/>
      </w:r>
      <w:r w:rsidRPr="004D0537">
        <w:t>, särskilt artikel 70,</w:t>
      </w:r>
    </w:p>
    <w:p w14:paraId="4AEEAEE7" w14:textId="77777777" w:rsidR="004B06CC" w:rsidRPr="004D0537" w:rsidRDefault="004B06CC" w:rsidP="004B06CC">
      <w:pPr>
        <w:spacing w:after="240"/>
        <w:ind w:left="567" w:hanging="567"/>
      </w:pPr>
      <w:r w:rsidRPr="004D0537">
        <w:t>–</w:t>
      </w:r>
      <w:r w:rsidRPr="004D0537">
        <w:tab/>
        <w:t>med beaktande av Europaparlamentets och rådets förordning (EU) 2016/796 av den 11 maj 2016 om Europeiska unionens järnvägsbyrå och om upphävande av förordning (EG) nr 881/2004</w:t>
      </w:r>
      <w:r w:rsidRPr="004D0537">
        <w:rPr>
          <w:vertAlign w:val="superscript"/>
        </w:rPr>
        <w:footnoteReference w:id="247"/>
      </w:r>
      <w:r w:rsidRPr="004D0537">
        <w:t>, särskilt artikel 65,</w:t>
      </w:r>
    </w:p>
    <w:p w14:paraId="41B8BF37"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48"/>
      </w:r>
      <w:r w:rsidRPr="004D0537">
        <w:t>, särskilt artikel 105,</w:t>
      </w:r>
    </w:p>
    <w:p w14:paraId="678C7F03" w14:textId="77777777" w:rsidR="004B06CC" w:rsidRPr="004D0537" w:rsidRDefault="004B06CC" w:rsidP="004B06CC">
      <w:pPr>
        <w:spacing w:after="240"/>
        <w:ind w:left="567" w:hanging="567"/>
      </w:pPr>
      <w:r w:rsidRPr="004D0537">
        <w:t>–</w:t>
      </w:r>
      <w:r w:rsidRPr="004D0537">
        <w:tab/>
        <w:t>med beaktande av artikel 102 och bilaga V i arbetsordningen,</w:t>
      </w:r>
    </w:p>
    <w:p w14:paraId="13F194B9"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35E32FA2"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7A73D0E" w14:textId="77777777" w:rsidR="004B06CC" w:rsidRPr="004D0537" w:rsidRDefault="004B06CC" w:rsidP="004B06CC">
      <w:pPr>
        <w:spacing w:after="240"/>
        <w:ind w:left="567" w:hanging="567"/>
      </w:pPr>
      <w:r w:rsidRPr="004D0537">
        <w:t>1.</w:t>
      </w:r>
      <w:r w:rsidRPr="004D0537">
        <w:tab/>
        <w:t>Europaparlamentet beviljar verkställande direktören för Europeiska unionens järnvägsbyrå ansvarsfrihet för genomförandet av byråns budget för budgetåret 2024.</w:t>
      </w:r>
    </w:p>
    <w:p w14:paraId="15DE2ECF"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07B6842F"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unionens järnvägsbyrå, rådet, kommissionen och revisionsrätten, och att se till att de offentliggörs i </w:t>
      </w:r>
      <w:r w:rsidRPr="004D0537">
        <w:rPr>
          <w:i/>
          <w:iCs/>
        </w:rPr>
        <w:t>Europeiska unionens officiella tidning</w:t>
      </w:r>
      <w:r w:rsidRPr="004D0537">
        <w:t xml:space="preserve"> (L-serien).</w:t>
      </w:r>
    </w:p>
    <w:p w14:paraId="7FF9AF66" w14:textId="77777777" w:rsidR="004B06CC" w:rsidRPr="004D0537" w:rsidRDefault="004B06CC" w:rsidP="004B06CC"/>
    <w:p w14:paraId="28CAE254" w14:textId="77777777" w:rsidR="004B06CC" w:rsidRPr="004D0537" w:rsidRDefault="004B06CC" w:rsidP="004B06CC">
      <w:pPr>
        <w:spacing w:after="480"/>
        <w:jc w:val="center"/>
        <w:rPr>
          <w:rFonts w:cs="Arial"/>
          <w:b/>
        </w:rPr>
        <w:sectPr w:rsidR="004B06CC" w:rsidRPr="004D0537" w:rsidSect="003A4AB5">
          <w:footerReference w:type="first" r:id="rId5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C27950" w14:textId="163879CD" w:rsidR="004B06CC" w:rsidRPr="004D0537" w:rsidRDefault="006C1F72" w:rsidP="006C1F72">
      <w:pPr>
        <w:pStyle w:val="ATHeading3"/>
      </w:pPr>
      <w:r w:rsidRPr="004D0537">
        <w:lastRenderedPageBreak/>
        <w:t xml:space="preserve">42. Europaparlamentets beslut av den 29 april 2026 </w:t>
      </w:r>
      <w:r w:rsidR="004B06CC" w:rsidRPr="004D0537">
        <w:t>om avslutande av räkenskaperna för Europeiska unionens järnvägsbyrå för budgetåret 2024</w:t>
      </w:r>
      <w:r w:rsidR="006053B7" w:rsidRPr="004D0537">
        <w:t xml:space="preserve"> </w:t>
      </w:r>
      <w:r w:rsidR="004B06CC" w:rsidRPr="004D0537">
        <w:t>(2025/2156(DEC))</w:t>
      </w:r>
    </w:p>
    <w:p w14:paraId="7EB4D377" w14:textId="77777777" w:rsidR="004B06CC" w:rsidRPr="004D0537" w:rsidRDefault="004B06CC" w:rsidP="004B06CC">
      <w:pPr>
        <w:spacing w:before="480" w:after="240"/>
      </w:pPr>
      <w:r w:rsidRPr="004D0537">
        <w:rPr>
          <w:i/>
          <w:iCs/>
        </w:rPr>
        <w:t>Europaparlamentet fattar detta beslut</w:t>
      </w:r>
    </w:p>
    <w:p w14:paraId="7A218186" w14:textId="77777777" w:rsidR="004B06CC" w:rsidRPr="004D0537" w:rsidRDefault="004B06CC" w:rsidP="004B06CC">
      <w:pPr>
        <w:spacing w:after="240"/>
        <w:ind w:left="567" w:hanging="567"/>
      </w:pPr>
      <w:r w:rsidRPr="004D0537">
        <w:t>–</w:t>
      </w:r>
      <w:r w:rsidRPr="004D0537">
        <w:tab/>
        <w:t>med beaktande av den slutliga årsredovisningen för Europeiska unionens järnvägsbyrå för budgetåret 2024,</w:t>
      </w:r>
    </w:p>
    <w:p w14:paraId="7272F746"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49"/>
      </w:r>
      <w:r w:rsidRPr="004D0537">
        <w:t>,</w:t>
      </w:r>
    </w:p>
    <w:p w14:paraId="3F85338A"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50"/>
      </w:r>
      <w:r w:rsidRPr="004D0537">
        <w:t>, som avgetts av revisionsrätten för budgetåret 2024 i enlighet med artikel 287 i fördraget om Europeiska unionens funktionssätt,</w:t>
      </w:r>
    </w:p>
    <w:p w14:paraId="7416F964"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306A5D60"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7B8D0303"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51"/>
      </w:r>
      <w:r w:rsidRPr="004D0537">
        <w:t>, särskilt artikel 70,</w:t>
      </w:r>
    </w:p>
    <w:p w14:paraId="6BB993CE"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52"/>
      </w:r>
      <w:r w:rsidRPr="004D0537">
        <w:t>, särskilt artikel 70,</w:t>
      </w:r>
    </w:p>
    <w:p w14:paraId="496840A5" w14:textId="77777777" w:rsidR="004B06CC" w:rsidRPr="004D0537" w:rsidRDefault="004B06CC" w:rsidP="004B06CC">
      <w:pPr>
        <w:spacing w:after="240"/>
        <w:ind w:left="567" w:hanging="567"/>
      </w:pPr>
      <w:r w:rsidRPr="004D0537">
        <w:t>–</w:t>
      </w:r>
      <w:r w:rsidRPr="004D0537">
        <w:tab/>
        <w:t>med beaktande av Europaparlamentets och rådets förordning (EU) 2016/796 av den 11 maj 2016 om Europeiska unionens järnvägsbyrå och om upphävande av förordning (EG) nr 881/2004</w:t>
      </w:r>
      <w:r w:rsidRPr="004D0537">
        <w:rPr>
          <w:vertAlign w:val="superscript"/>
        </w:rPr>
        <w:footnoteReference w:id="253"/>
      </w:r>
      <w:r w:rsidRPr="004D0537">
        <w:t>, särskilt artikel 65,</w:t>
      </w:r>
    </w:p>
    <w:p w14:paraId="3F84C8B1"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54"/>
      </w:r>
      <w:r w:rsidRPr="004D0537">
        <w:t>, särskilt artikel 105,</w:t>
      </w:r>
    </w:p>
    <w:p w14:paraId="64140477" w14:textId="77777777" w:rsidR="004B06CC" w:rsidRPr="004D0537" w:rsidRDefault="004B06CC" w:rsidP="004B06CC">
      <w:pPr>
        <w:spacing w:after="240"/>
        <w:ind w:left="567" w:hanging="567"/>
      </w:pPr>
      <w:r w:rsidRPr="004D0537">
        <w:t>–</w:t>
      </w:r>
      <w:r w:rsidRPr="004D0537">
        <w:tab/>
        <w:t>med beaktande av artikel 102 och bilaga V i arbetsordningen,</w:t>
      </w:r>
    </w:p>
    <w:p w14:paraId="6EFC4516"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w:t>
      </w:r>
      <w:r w:rsidRPr="004D0537">
        <w:lastRenderedPageBreak/>
        <w:t>utskottet för transport och turism, fiskeriutskottet, utskottet för medborgerliga fri- och rättigheter samt rättsliga och inrikes frågor och utskottet för kvinnors rättigheter och jämställdhet,</w:t>
      </w:r>
    </w:p>
    <w:p w14:paraId="5EF3407F"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34FE2A5E" w14:textId="77777777" w:rsidR="004B06CC" w:rsidRPr="004D0537" w:rsidRDefault="004B06CC" w:rsidP="004B06CC">
      <w:pPr>
        <w:spacing w:after="240"/>
        <w:ind w:left="567" w:hanging="567"/>
      </w:pPr>
      <w:r w:rsidRPr="004D0537">
        <w:t>1.</w:t>
      </w:r>
      <w:r w:rsidRPr="004D0537">
        <w:tab/>
        <w:t>Europaparlamentet godkänner avslutandet av räkenskaperna för Europeiska unionens järnvägsbyrå för budgetåret 2024.</w:t>
      </w:r>
    </w:p>
    <w:p w14:paraId="15AC3703"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unionens järnvägsbyrå, rådet, kommissionen och revisionsrätten, och att se till att det offentliggörs i </w:t>
      </w:r>
      <w:r w:rsidRPr="004D0537">
        <w:rPr>
          <w:i/>
          <w:iCs/>
        </w:rPr>
        <w:t>Europeiska unionens officiella tidning</w:t>
      </w:r>
      <w:r w:rsidRPr="004D0537">
        <w:t xml:space="preserve"> (L-serien).</w:t>
      </w:r>
    </w:p>
    <w:p w14:paraId="0AC71FEC" w14:textId="77777777" w:rsidR="004B06CC" w:rsidRPr="004D0537" w:rsidRDefault="004B06CC" w:rsidP="004B06CC"/>
    <w:p w14:paraId="14204C32" w14:textId="77777777" w:rsidR="004B06CC" w:rsidRPr="004D0537" w:rsidRDefault="004B06CC" w:rsidP="004B06CC"/>
    <w:p w14:paraId="4C3E46F9" w14:textId="77777777" w:rsidR="004B06CC" w:rsidRPr="004D0537" w:rsidRDefault="004B06CC" w:rsidP="004B06CC">
      <w:pPr>
        <w:spacing w:after="480"/>
        <w:jc w:val="center"/>
        <w:rPr>
          <w:rFonts w:cs="Arial"/>
          <w:b/>
        </w:rPr>
        <w:sectPr w:rsidR="004B06CC" w:rsidRPr="004D0537" w:rsidSect="003A4AB5">
          <w:footerReference w:type="first" r:id="rId5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179C01" w14:textId="6B77299E" w:rsidR="004B06CC" w:rsidRPr="004D0537" w:rsidRDefault="006C1F72" w:rsidP="006C1F72">
      <w:pPr>
        <w:pStyle w:val="ATHeading3"/>
      </w:pPr>
      <w:r w:rsidRPr="004D0537">
        <w:lastRenderedPageBreak/>
        <w:t xml:space="preserve">43. Europaparlamentets beslut av den 29 april 2026 </w:t>
      </w:r>
      <w:r w:rsidR="004B06CC" w:rsidRPr="004D0537">
        <w:t>om ansvarsfrihet för genomförandet av budgeten för Euratoms försörjningsbyrå för budgetåret 2024</w:t>
      </w:r>
      <w:r w:rsidR="006053B7" w:rsidRPr="004D0537">
        <w:t xml:space="preserve"> </w:t>
      </w:r>
      <w:r w:rsidR="004B06CC" w:rsidRPr="004D0537">
        <w:t>(2025/2156(DEC))</w:t>
      </w:r>
    </w:p>
    <w:p w14:paraId="3DC8D111" w14:textId="77777777" w:rsidR="004B06CC" w:rsidRPr="004D0537" w:rsidRDefault="004B06CC" w:rsidP="004B06CC">
      <w:pPr>
        <w:spacing w:before="480" w:after="240"/>
      </w:pPr>
      <w:r w:rsidRPr="004D0537">
        <w:rPr>
          <w:i/>
          <w:iCs/>
        </w:rPr>
        <w:t>Europaparlamentet fattar detta beslut</w:t>
      </w:r>
    </w:p>
    <w:p w14:paraId="5C095902" w14:textId="77777777" w:rsidR="004B06CC" w:rsidRPr="004D0537" w:rsidRDefault="004B06CC" w:rsidP="004B06CC">
      <w:pPr>
        <w:spacing w:after="240"/>
        <w:ind w:left="567" w:hanging="567"/>
      </w:pPr>
      <w:r w:rsidRPr="004D0537">
        <w:t>–</w:t>
      </w:r>
      <w:r w:rsidRPr="004D0537">
        <w:tab/>
        <w:t>med beaktande av den slutliga årsredovisningen för Euratoms försörjningsbyrå för budgetåret 2024,</w:t>
      </w:r>
    </w:p>
    <w:p w14:paraId="6DA887C7"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55"/>
      </w:r>
      <w:r w:rsidRPr="004D0537">
        <w:t>,</w:t>
      </w:r>
    </w:p>
    <w:p w14:paraId="756DC644"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56"/>
      </w:r>
      <w:r w:rsidRPr="004D0537">
        <w:t>, som avgetts av revisionsrätten för budgetåret 2024 i enlighet med artikel 287 i fördraget om Europeiska unionens funktionssätt,</w:t>
      </w:r>
    </w:p>
    <w:p w14:paraId="0F5C0AFA"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591DDE6D"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69EAF1FB" w14:textId="77777777" w:rsidR="004B06CC" w:rsidRPr="004D0537" w:rsidRDefault="004B06CC" w:rsidP="004B06CC">
      <w:pPr>
        <w:spacing w:after="240"/>
        <w:ind w:left="567" w:hanging="567"/>
      </w:pPr>
      <w:r w:rsidRPr="004D0537">
        <w:t>–</w:t>
      </w:r>
      <w:r w:rsidRPr="004D0537">
        <w:tab/>
        <w:t>med beaktande av artikel 106a i fördraget om upprättandet av Europeiska atomenergigemenskapen,</w:t>
      </w:r>
    </w:p>
    <w:p w14:paraId="75522A15"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57"/>
      </w:r>
      <w:r w:rsidRPr="004D0537">
        <w:t>, särskilt artikel 68,</w:t>
      </w:r>
    </w:p>
    <w:p w14:paraId="6C256A27"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58"/>
      </w:r>
      <w:r w:rsidRPr="004D0537">
        <w:t>, särskilt artikel 68,</w:t>
      </w:r>
    </w:p>
    <w:p w14:paraId="72664430" w14:textId="77777777" w:rsidR="004B06CC" w:rsidRPr="004D0537" w:rsidRDefault="004B06CC" w:rsidP="004B06CC">
      <w:pPr>
        <w:spacing w:after="240"/>
        <w:ind w:left="567" w:hanging="567"/>
      </w:pPr>
      <w:r w:rsidRPr="004D0537">
        <w:t>–</w:t>
      </w:r>
      <w:r w:rsidRPr="004D0537">
        <w:tab/>
        <w:t>med beaktande av rådets beslut 2008/114/EG, Euratom av den 12 februari 2008 om stadgar för Euratoms försörjningsbyrå</w:t>
      </w:r>
      <w:r w:rsidRPr="004D0537">
        <w:rPr>
          <w:vertAlign w:val="superscript"/>
        </w:rPr>
        <w:footnoteReference w:id="259"/>
      </w:r>
      <w:r w:rsidRPr="004D0537">
        <w:t>, särskilt artikel 8 i bilagan,</w:t>
      </w:r>
    </w:p>
    <w:p w14:paraId="5852E68A" w14:textId="77777777" w:rsidR="004B06CC" w:rsidRPr="004D0537" w:rsidRDefault="004B06CC" w:rsidP="004B06CC">
      <w:pPr>
        <w:spacing w:after="240"/>
        <w:ind w:left="567" w:hanging="567"/>
      </w:pPr>
      <w:r w:rsidRPr="004D0537">
        <w:t>–</w:t>
      </w:r>
      <w:r w:rsidRPr="004D0537">
        <w:tab/>
        <w:t>med beaktande av artikel 102 och bilaga V i arbetsordningen,</w:t>
      </w:r>
    </w:p>
    <w:p w14:paraId="7F6314C5"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w:t>
      </w:r>
      <w:r w:rsidRPr="004D0537">
        <w:lastRenderedPageBreak/>
        <w:t>jämställdhet,</w:t>
      </w:r>
    </w:p>
    <w:p w14:paraId="1720C533"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5F3A0447" w14:textId="77777777" w:rsidR="004B06CC" w:rsidRPr="004D0537" w:rsidRDefault="004B06CC" w:rsidP="004B06CC">
      <w:pPr>
        <w:spacing w:after="240"/>
        <w:ind w:left="567" w:hanging="567"/>
      </w:pPr>
      <w:r w:rsidRPr="004D0537">
        <w:t>1.</w:t>
      </w:r>
      <w:r w:rsidRPr="004D0537">
        <w:tab/>
        <w:t>Europaparlamentet beviljar generaldirektören för Euratoms försörjningsbyrå ansvarsfrihet för genomförandet av byråns budget för budgetåret 2024.</w:t>
      </w:r>
    </w:p>
    <w:p w14:paraId="4FC2EDF6"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042FCBDD"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generaldirektören för Euratoms försörjningsbyrå, rådet, kommissionen och revisionsrätten, och att se till att de offentliggörs i </w:t>
      </w:r>
      <w:r w:rsidRPr="004D0537">
        <w:rPr>
          <w:i/>
          <w:iCs/>
        </w:rPr>
        <w:t>Europeiska unionens officiella tidning</w:t>
      </w:r>
      <w:r w:rsidRPr="004D0537">
        <w:t xml:space="preserve"> (L-serien).</w:t>
      </w:r>
    </w:p>
    <w:p w14:paraId="38AC9A6D" w14:textId="77777777" w:rsidR="004B06CC" w:rsidRPr="004D0537" w:rsidRDefault="004B06CC" w:rsidP="004B06CC"/>
    <w:p w14:paraId="50AD29D4" w14:textId="77777777" w:rsidR="004B06CC" w:rsidRPr="004D0537" w:rsidRDefault="004B06CC" w:rsidP="004B06CC">
      <w:pPr>
        <w:spacing w:after="480"/>
        <w:jc w:val="center"/>
        <w:rPr>
          <w:rFonts w:cs="Arial"/>
          <w:b/>
        </w:rPr>
        <w:sectPr w:rsidR="004B06CC" w:rsidRPr="004D0537" w:rsidSect="003A4AB5">
          <w:footerReference w:type="first" r:id="rId5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61797F" w14:textId="508587C6" w:rsidR="004B06CC" w:rsidRPr="004D0537" w:rsidRDefault="006C1F72" w:rsidP="006C1F72">
      <w:pPr>
        <w:pStyle w:val="ATHeading3"/>
      </w:pPr>
      <w:r w:rsidRPr="004D0537">
        <w:lastRenderedPageBreak/>
        <w:t xml:space="preserve">44. Europaparlamentets beslut av den 29 april 2026 </w:t>
      </w:r>
      <w:r w:rsidR="004B06CC" w:rsidRPr="004D0537">
        <w:t>om avslutande av räkenskaperna för Euratoms försörjningsbyrå för budgetåret 2024</w:t>
      </w:r>
      <w:r w:rsidR="006053B7" w:rsidRPr="004D0537">
        <w:t xml:space="preserve"> </w:t>
      </w:r>
      <w:r w:rsidR="004B06CC" w:rsidRPr="004D0537">
        <w:t>(2025/2156(DEC))</w:t>
      </w:r>
    </w:p>
    <w:p w14:paraId="727EE476" w14:textId="77777777" w:rsidR="004B06CC" w:rsidRPr="004D0537" w:rsidRDefault="004B06CC" w:rsidP="004B06CC">
      <w:pPr>
        <w:spacing w:before="480" w:after="240"/>
      </w:pPr>
      <w:r w:rsidRPr="004D0537">
        <w:rPr>
          <w:i/>
          <w:iCs/>
        </w:rPr>
        <w:t>Europaparlamentet fattar detta beslut</w:t>
      </w:r>
    </w:p>
    <w:p w14:paraId="090F6F4B" w14:textId="77777777" w:rsidR="004B06CC" w:rsidRPr="004D0537" w:rsidRDefault="004B06CC" w:rsidP="004B06CC">
      <w:pPr>
        <w:spacing w:after="240"/>
        <w:ind w:left="567" w:hanging="567"/>
      </w:pPr>
      <w:r w:rsidRPr="004D0537">
        <w:t>–</w:t>
      </w:r>
      <w:r w:rsidRPr="004D0537">
        <w:tab/>
        <w:t>med beaktande av den slutliga årsredovisningen för Euratoms försörjningsbyrå för budgetåret 2024,</w:t>
      </w:r>
    </w:p>
    <w:p w14:paraId="302D3D6E"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60"/>
      </w:r>
      <w:r w:rsidRPr="004D0537">
        <w:t>,</w:t>
      </w:r>
    </w:p>
    <w:p w14:paraId="529A6CBE"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61"/>
      </w:r>
      <w:r w:rsidRPr="004D0537">
        <w:t>, som avgetts av revisionsrätten för budgetåret 2024 i enlighet med artikel 287 i fördraget om Europeiska unionens funktionssätt,</w:t>
      </w:r>
    </w:p>
    <w:p w14:paraId="094A8F51"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0C68C52F"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2A615CBD" w14:textId="77777777" w:rsidR="004B06CC" w:rsidRPr="004D0537" w:rsidRDefault="004B06CC" w:rsidP="004B06CC">
      <w:pPr>
        <w:spacing w:after="240"/>
        <w:ind w:left="567" w:hanging="567"/>
      </w:pPr>
      <w:r w:rsidRPr="004D0537">
        <w:t>–</w:t>
      </w:r>
      <w:r w:rsidRPr="004D0537">
        <w:tab/>
        <w:t>med beaktande av artikel 106a i fördraget om upprättandet av Europeiska atomenergigemenskapen,</w:t>
      </w:r>
    </w:p>
    <w:p w14:paraId="742F8F21"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62"/>
      </w:r>
      <w:r w:rsidRPr="004D0537">
        <w:t>, särskilt artikel 68,</w:t>
      </w:r>
    </w:p>
    <w:p w14:paraId="5F92E856"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63"/>
      </w:r>
      <w:r w:rsidRPr="004D0537">
        <w:t>, särskilt artikel 68,</w:t>
      </w:r>
    </w:p>
    <w:p w14:paraId="21E8151E" w14:textId="77777777" w:rsidR="004B06CC" w:rsidRPr="004D0537" w:rsidRDefault="004B06CC" w:rsidP="004B06CC">
      <w:pPr>
        <w:spacing w:after="240"/>
        <w:ind w:left="567" w:hanging="567"/>
      </w:pPr>
      <w:r w:rsidRPr="004D0537">
        <w:t>–</w:t>
      </w:r>
      <w:r w:rsidRPr="004D0537">
        <w:tab/>
        <w:t>med beaktande av rådets beslut 2008/114/EG, Euratom av den 12 februari 2008 om stadgar för Euratoms försörjningsbyrå</w:t>
      </w:r>
      <w:r w:rsidRPr="004D0537">
        <w:rPr>
          <w:vertAlign w:val="superscript"/>
        </w:rPr>
        <w:footnoteReference w:id="264"/>
      </w:r>
      <w:r w:rsidRPr="004D0537">
        <w:t>, särskilt artikel 8 i bilagan,</w:t>
      </w:r>
    </w:p>
    <w:p w14:paraId="5F7EECA0" w14:textId="77777777" w:rsidR="004B06CC" w:rsidRPr="004D0537" w:rsidRDefault="004B06CC" w:rsidP="004B06CC">
      <w:pPr>
        <w:spacing w:after="240"/>
        <w:ind w:left="567" w:hanging="567"/>
      </w:pPr>
      <w:r w:rsidRPr="004D0537">
        <w:t>–</w:t>
      </w:r>
      <w:r w:rsidRPr="004D0537">
        <w:tab/>
        <w:t>med beaktande av artikel 102 och bilaga V i arbetsordningen,</w:t>
      </w:r>
    </w:p>
    <w:p w14:paraId="23488FF7"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31C7C867" w14:textId="77777777" w:rsidR="004B06CC" w:rsidRPr="004D0537" w:rsidRDefault="004B06CC" w:rsidP="004B06CC">
      <w:pPr>
        <w:spacing w:after="240"/>
        <w:ind w:left="567" w:hanging="567"/>
      </w:pPr>
      <w:r w:rsidRPr="004D0537">
        <w:lastRenderedPageBreak/>
        <w:t>–</w:t>
      </w:r>
      <w:r w:rsidRPr="004D0537">
        <w:tab/>
        <w:t>med beaktande av betänkandet från budgetkontrollutskottet (A10-0087/2026).</w:t>
      </w:r>
    </w:p>
    <w:p w14:paraId="585FF0CE" w14:textId="77777777" w:rsidR="004B06CC" w:rsidRPr="004D0537" w:rsidRDefault="004B06CC" w:rsidP="004B06CC">
      <w:pPr>
        <w:spacing w:after="240"/>
        <w:ind w:left="567" w:hanging="567"/>
      </w:pPr>
      <w:r w:rsidRPr="004D0537">
        <w:t>1.</w:t>
      </w:r>
      <w:r w:rsidRPr="004D0537">
        <w:tab/>
        <w:t>Europaparlamentet godkänner avslutandet av räkenskaperna för Euratoms försörjningsbyrå för budgetåret 2024.</w:t>
      </w:r>
    </w:p>
    <w:p w14:paraId="73A6036C"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generaldirektören för Euratoms försörjningsbyrå, rådet, kommissionen och revisionsrätten, och att se till att det offentliggörs i </w:t>
      </w:r>
      <w:r w:rsidRPr="004D0537">
        <w:rPr>
          <w:i/>
          <w:iCs/>
        </w:rPr>
        <w:t>Europeiska unionens officiella tidning</w:t>
      </w:r>
      <w:r w:rsidRPr="004D0537">
        <w:t xml:space="preserve"> (L-serien).</w:t>
      </w:r>
    </w:p>
    <w:p w14:paraId="42DE385A" w14:textId="77777777" w:rsidR="004B06CC" w:rsidRPr="004D0537" w:rsidRDefault="004B06CC" w:rsidP="004B06CC"/>
    <w:p w14:paraId="1C179F90" w14:textId="77777777" w:rsidR="004B06CC" w:rsidRPr="004D0537" w:rsidRDefault="004B06CC" w:rsidP="006053B7">
      <w:pPr>
        <w:spacing w:after="480"/>
        <w:rPr>
          <w:rFonts w:cs="Arial"/>
          <w:b/>
        </w:rPr>
        <w:sectPr w:rsidR="004B06CC" w:rsidRPr="004D0537" w:rsidSect="003A4AB5">
          <w:footerReference w:type="first" r:id="rId5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1C0F0E" w14:textId="5122DC22" w:rsidR="004B06CC" w:rsidRPr="004D0537" w:rsidRDefault="006C1F72" w:rsidP="006C1F72">
      <w:pPr>
        <w:pStyle w:val="ATHeading3"/>
      </w:pPr>
      <w:r w:rsidRPr="004D0537">
        <w:lastRenderedPageBreak/>
        <w:t xml:space="preserve">45. Europaparlamentets beslut av den 29 april 2026 </w:t>
      </w:r>
      <w:r w:rsidR="004B06CC" w:rsidRPr="004D0537">
        <w:t>om ansvarsfrihet för genomförandet av budgeten för Europeiska värdepappers- och marknadsmyndigheten för budgetåret 2024</w:t>
      </w:r>
      <w:r w:rsidR="005B4844" w:rsidRPr="004D0537">
        <w:t xml:space="preserve"> </w:t>
      </w:r>
      <w:r w:rsidR="004B06CC" w:rsidRPr="004D0537">
        <w:t>(2025/2156(DEC))</w:t>
      </w:r>
    </w:p>
    <w:p w14:paraId="717A4734" w14:textId="77777777" w:rsidR="004B06CC" w:rsidRPr="004D0537" w:rsidRDefault="004B06CC" w:rsidP="004B06CC">
      <w:pPr>
        <w:spacing w:before="480" w:after="240"/>
      </w:pPr>
      <w:r w:rsidRPr="004D0537">
        <w:rPr>
          <w:i/>
          <w:iCs/>
        </w:rPr>
        <w:t>Europaparlamentet fattar detta beslut</w:t>
      </w:r>
    </w:p>
    <w:p w14:paraId="7B0A7BCA" w14:textId="77777777" w:rsidR="004B06CC" w:rsidRPr="004D0537" w:rsidRDefault="004B06CC" w:rsidP="004B06CC">
      <w:pPr>
        <w:spacing w:after="240"/>
        <w:ind w:left="567" w:hanging="567"/>
      </w:pPr>
      <w:r w:rsidRPr="004D0537">
        <w:t>–</w:t>
      </w:r>
      <w:r w:rsidRPr="004D0537">
        <w:tab/>
        <w:t>med beaktande av den slutliga årsredovisningen för Europeiska värdepappers- och marknadsmyndigheten för budgetåret 2024,</w:t>
      </w:r>
    </w:p>
    <w:p w14:paraId="5C3BF5C8"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65"/>
      </w:r>
      <w:r w:rsidRPr="004D0537">
        <w:t>,</w:t>
      </w:r>
    </w:p>
    <w:p w14:paraId="0350EE2C"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66"/>
      </w:r>
      <w:r w:rsidRPr="004D0537">
        <w:t>, som avgetts av revisionsrätten för budgetåret 2024 i enlighet med artikel 287 i fördraget om Europeiska unionens funktionssätt,</w:t>
      </w:r>
    </w:p>
    <w:p w14:paraId="52CDD2C5"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3D1B9FAB"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67C93444"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67"/>
      </w:r>
      <w:r w:rsidRPr="004D0537">
        <w:t>, särskilt artikel 70,</w:t>
      </w:r>
    </w:p>
    <w:p w14:paraId="2CE70A0B"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68"/>
      </w:r>
      <w:r w:rsidRPr="004D0537">
        <w:t>, särskilt artikel 70,</w:t>
      </w:r>
    </w:p>
    <w:p w14:paraId="36790CB5" w14:textId="77777777" w:rsidR="004B06CC" w:rsidRPr="004D0537" w:rsidRDefault="004B06CC" w:rsidP="004B06CC">
      <w:pPr>
        <w:spacing w:after="240"/>
        <w:ind w:left="567" w:hanging="567"/>
      </w:pPr>
      <w:r w:rsidRPr="004D0537">
        <w:t>–</w:t>
      </w:r>
      <w:r w:rsidRPr="004D0537">
        <w:tab/>
        <w:t>med beaktande av Europaparlamentets och rådets förordning (EU) nr 1095/2010 av den 24 november 2010 om inrättande av en europeisk tillsynsmyndighet (Europeiska värdepappers- och marknadsmyndigheten), om ändring av beslut nr 716/2009/EG och om upphävande av kommissionens beslut 2009/77/EG</w:t>
      </w:r>
      <w:r w:rsidRPr="004D0537">
        <w:rPr>
          <w:vertAlign w:val="superscript"/>
        </w:rPr>
        <w:footnoteReference w:id="269"/>
      </w:r>
      <w:r w:rsidRPr="004D0537">
        <w:t>, särskilt artikel 64,</w:t>
      </w:r>
    </w:p>
    <w:p w14:paraId="5CE944E2"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70"/>
      </w:r>
      <w:r w:rsidRPr="004D0537">
        <w:t>, särskilt artikel 105,</w:t>
      </w:r>
    </w:p>
    <w:p w14:paraId="7C0476BA"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524BBB99"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3E68CA81"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552D7C3F" w14:textId="77777777" w:rsidR="004B06CC" w:rsidRPr="004D0537" w:rsidRDefault="004B06CC" w:rsidP="004B06CC">
      <w:pPr>
        <w:spacing w:after="240"/>
        <w:ind w:left="567" w:hanging="567"/>
      </w:pPr>
      <w:r w:rsidRPr="004D0537">
        <w:t>1.</w:t>
      </w:r>
      <w:r w:rsidRPr="004D0537">
        <w:tab/>
        <w:t>Europaparlamentet beviljar verkställande direktören för Europeiska värdepappers- och marknadsmyndigheten ansvarsfrihet för genomförandet av myndighetens budget för budgetåret 2024.</w:t>
      </w:r>
    </w:p>
    <w:p w14:paraId="4D045E5E"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3BA5220D"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värdepappers- och marknadsmyndigheten, rådet, kommissionen och revisionsrätten, och att se till att de offentliggörs i </w:t>
      </w:r>
      <w:r w:rsidRPr="004D0537">
        <w:rPr>
          <w:i/>
          <w:iCs/>
        </w:rPr>
        <w:t>Europeiska unionens officiella tidning</w:t>
      </w:r>
      <w:r w:rsidRPr="004D0537">
        <w:t xml:space="preserve"> (L-serien).</w:t>
      </w:r>
    </w:p>
    <w:p w14:paraId="491827C3" w14:textId="77777777" w:rsidR="004B06CC" w:rsidRPr="004D0537" w:rsidRDefault="004B06CC" w:rsidP="004B06CC"/>
    <w:p w14:paraId="3EBA31EA" w14:textId="77777777" w:rsidR="004B06CC" w:rsidRPr="004D0537" w:rsidRDefault="004B06CC" w:rsidP="004B06CC">
      <w:pPr>
        <w:spacing w:after="480"/>
        <w:jc w:val="center"/>
        <w:rPr>
          <w:rFonts w:cs="Arial"/>
          <w:b/>
        </w:rPr>
        <w:sectPr w:rsidR="004B06CC" w:rsidRPr="004D0537" w:rsidSect="003A4AB5">
          <w:footerReference w:type="first" r:id="rId5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9D302B" w14:textId="68D34443" w:rsidR="004B06CC" w:rsidRPr="004D0537" w:rsidRDefault="006C1F72" w:rsidP="006C1F72">
      <w:pPr>
        <w:pStyle w:val="ATHeading3"/>
      </w:pPr>
      <w:r w:rsidRPr="004D0537">
        <w:lastRenderedPageBreak/>
        <w:t xml:space="preserve">46. Europaparlamentets beslut av den 29 april 2026 </w:t>
      </w:r>
      <w:r w:rsidR="004B06CC" w:rsidRPr="004D0537">
        <w:t>om avslutande av räkenskaperna för Europeiska värdepappers- och marknadsmyndigheten för budgetåret 2024</w:t>
      </w:r>
      <w:r w:rsidR="005B4844" w:rsidRPr="004D0537">
        <w:t xml:space="preserve"> </w:t>
      </w:r>
      <w:r w:rsidR="004B06CC" w:rsidRPr="004D0537">
        <w:t>(2025/2156(DEC))</w:t>
      </w:r>
    </w:p>
    <w:p w14:paraId="114D96D3" w14:textId="77777777" w:rsidR="004B06CC" w:rsidRPr="004D0537" w:rsidRDefault="004B06CC" w:rsidP="004B06CC">
      <w:pPr>
        <w:spacing w:before="480" w:after="240"/>
      </w:pPr>
      <w:r w:rsidRPr="004D0537">
        <w:rPr>
          <w:i/>
          <w:iCs/>
        </w:rPr>
        <w:t>Europaparlamentet fattar detta beslut</w:t>
      </w:r>
    </w:p>
    <w:p w14:paraId="689FCEC7" w14:textId="77777777" w:rsidR="004B06CC" w:rsidRPr="004D0537" w:rsidRDefault="004B06CC" w:rsidP="004B06CC">
      <w:pPr>
        <w:spacing w:after="240"/>
        <w:ind w:left="567" w:hanging="567"/>
      </w:pPr>
      <w:r w:rsidRPr="004D0537">
        <w:t>–</w:t>
      </w:r>
      <w:r w:rsidRPr="004D0537">
        <w:tab/>
        <w:t>med beaktande av den slutliga årsredovisningen för Europeiska värdepappers- och marknadsmyndigheten för budgetåret 2024,</w:t>
      </w:r>
    </w:p>
    <w:p w14:paraId="55CC95FD"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71"/>
      </w:r>
      <w:r w:rsidRPr="004D0537">
        <w:t>,</w:t>
      </w:r>
    </w:p>
    <w:p w14:paraId="24A2E1C1"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72"/>
      </w:r>
      <w:r w:rsidRPr="004D0537">
        <w:t>, som avgetts av revisionsrätten för budgetåret 2024 i enlighet med artikel 287 i fördraget om Europeiska unionens funktionssätt,</w:t>
      </w:r>
    </w:p>
    <w:p w14:paraId="17BB7099" w14:textId="77777777" w:rsidR="004B06CC" w:rsidRPr="004D0537" w:rsidRDefault="004B06CC" w:rsidP="004B06CC">
      <w:pPr>
        <w:spacing w:after="240"/>
        <w:ind w:left="567" w:hanging="567"/>
      </w:pPr>
      <w:r w:rsidRPr="004D0537">
        <w:t>–</w:t>
      </w:r>
      <w:r w:rsidRPr="004D0537">
        <w:tab/>
        <w:t>med beaktande av rådets rekommendation av den 2 mars 2026 om att bevilja myndigheten ansvarsfrihet för genomförandet av budgeten för budgetåret 2024 (05750/2026 – C10</w:t>
      </w:r>
      <w:r w:rsidRPr="004D0537">
        <w:noBreakHyphen/>
        <w:t>0148/2026),</w:t>
      </w:r>
    </w:p>
    <w:p w14:paraId="0CDB5C00"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56652B3D"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73"/>
      </w:r>
      <w:r w:rsidRPr="004D0537">
        <w:t>, särskilt artikel 70,</w:t>
      </w:r>
    </w:p>
    <w:p w14:paraId="0238A8B1"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74"/>
      </w:r>
      <w:r w:rsidRPr="004D0537">
        <w:t>, särskilt artikel 70,</w:t>
      </w:r>
    </w:p>
    <w:p w14:paraId="52AC467F" w14:textId="77777777" w:rsidR="004B06CC" w:rsidRPr="004D0537" w:rsidRDefault="004B06CC" w:rsidP="004B06CC">
      <w:pPr>
        <w:spacing w:after="240"/>
        <w:ind w:left="567" w:hanging="567"/>
      </w:pPr>
      <w:r w:rsidRPr="004D0537">
        <w:t>–</w:t>
      </w:r>
      <w:r w:rsidRPr="004D0537">
        <w:tab/>
        <w:t>med beaktande av Europaparlamentets och rådets förordning (EU) nr 1095/2010 av den 24 november 2010 om inrättande av en europeisk tillsynsmyndighet (Europeiska värdepappers- och marknadsmyndigheten), om ändring av beslut nr 716/2009/EG och om upphävande av kommissionens beslut 2009/77/EG</w:t>
      </w:r>
      <w:r w:rsidRPr="004D0537">
        <w:rPr>
          <w:vertAlign w:val="superscript"/>
        </w:rPr>
        <w:footnoteReference w:id="275"/>
      </w:r>
      <w:r w:rsidRPr="004D0537">
        <w:t>, särskilt artikel 64,</w:t>
      </w:r>
    </w:p>
    <w:p w14:paraId="361958D2"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76"/>
      </w:r>
      <w:r w:rsidRPr="004D0537">
        <w:t>, särskilt artikel 105,</w:t>
      </w:r>
    </w:p>
    <w:p w14:paraId="0571433D" w14:textId="77777777" w:rsidR="004B06CC" w:rsidRPr="004D0537" w:rsidRDefault="004B06CC" w:rsidP="004B06CC">
      <w:pPr>
        <w:spacing w:after="240"/>
        <w:ind w:left="567" w:hanging="567"/>
      </w:pPr>
      <w:r w:rsidRPr="004D0537">
        <w:t>–</w:t>
      </w:r>
      <w:r w:rsidRPr="004D0537">
        <w:tab/>
        <w:t>med beaktande av artikel 102 och bilaga V i arbetsordningen,</w:t>
      </w:r>
    </w:p>
    <w:p w14:paraId="652D318E"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11D30FD9"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913A397" w14:textId="77777777" w:rsidR="004B06CC" w:rsidRPr="004D0537" w:rsidRDefault="004B06CC" w:rsidP="004B06CC">
      <w:pPr>
        <w:spacing w:after="240"/>
        <w:ind w:left="567" w:hanging="567"/>
      </w:pPr>
      <w:r w:rsidRPr="004D0537">
        <w:t>1.</w:t>
      </w:r>
      <w:r w:rsidRPr="004D0537">
        <w:tab/>
        <w:t>Europaparlamentet godkänner avslutandet av räkenskaperna för Europeiska värdepappers- och marknadsmyndigheten för budgetåret 2024.</w:t>
      </w:r>
    </w:p>
    <w:p w14:paraId="3177B4B1"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värdepappers- och marknadsmyndigheten, rådet, kommissionen och revisionsrätten, och att se till att det offentliggörs i </w:t>
      </w:r>
      <w:r w:rsidRPr="004D0537">
        <w:rPr>
          <w:i/>
          <w:iCs/>
        </w:rPr>
        <w:t>Europeiska unionens officiella tidning</w:t>
      </w:r>
      <w:r w:rsidRPr="004D0537">
        <w:t xml:space="preserve"> (L-serien).</w:t>
      </w:r>
    </w:p>
    <w:p w14:paraId="73ECA5C6" w14:textId="77777777" w:rsidR="004B06CC" w:rsidRPr="004D0537" w:rsidRDefault="004B06CC" w:rsidP="005B4844">
      <w:pPr>
        <w:spacing w:after="480"/>
        <w:rPr>
          <w:rFonts w:cs="Arial"/>
          <w:b/>
        </w:rPr>
        <w:sectPr w:rsidR="004B06CC" w:rsidRPr="004D0537" w:rsidSect="003A4AB5">
          <w:footerReference w:type="first" r:id="rId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E1073AC" w14:textId="24CFBFEA" w:rsidR="004B06CC" w:rsidRPr="004D0537" w:rsidRDefault="006C1F72" w:rsidP="006C1F72">
      <w:pPr>
        <w:pStyle w:val="ATHeading3"/>
      </w:pPr>
      <w:r w:rsidRPr="004D0537">
        <w:lastRenderedPageBreak/>
        <w:t xml:space="preserve">47. Europaparlamentets beslut av den 29 april 2026 </w:t>
      </w:r>
      <w:r w:rsidR="004B06CC" w:rsidRPr="004D0537">
        <w:t>om ansvarsfrihet för genomförandet av budgeten för Europeiska yrkesutbildningsstiftelsen för budgetåret 2024</w:t>
      </w:r>
      <w:r w:rsidR="005B4844" w:rsidRPr="004D0537">
        <w:t xml:space="preserve"> </w:t>
      </w:r>
      <w:r w:rsidR="004B06CC" w:rsidRPr="004D0537">
        <w:t>(2025/2156(DEC))</w:t>
      </w:r>
    </w:p>
    <w:p w14:paraId="08327111" w14:textId="77777777" w:rsidR="004B06CC" w:rsidRPr="004D0537" w:rsidRDefault="004B06CC" w:rsidP="004B06CC">
      <w:pPr>
        <w:spacing w:before="480" w:after="240"/>
      </w:pPr>
      <w:r w:rsidRPr="004D0537">
        <w:rPr>
          <w:i/>
          <w:iCs/>
        </w:rPr>
        <w:t>Europaparlamentet fattar detta beslut</w:t>
      </w:r>
    </w:p>
    <w:p w14:paraId="12285C17" w14:textId="77777777" w:rsidR="004B06CC" w:rsidRPr="004D0537" w:rsidRDefault="004B06CC" w:rsidP="004B06CC">
      <w:pPr>
        <w:spacing w:after="240"/>
        <w:ind w:left="567" w:hanging="567"/>
      </w:pPr>
      <w:r w:rsidRPr="004D0537">
        <w:t>–</w:t>
      </w:r>
      <w:r w:rsidRPr="004D0537">
        <w:tab/>
        <w:t>med beaktande av den slutliga årsredovisningen för Europeiska yrkesutbildningsstiftelsen för budgetåret 2024,</w:t>
      </w:r>
    </w:p>
    <w:p w14:paraId="316199B3"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77"/>
      </w:r>
      <w:r w:rsidRPr="004D0537">
        <w:t>,</w:t>
      </w:r>
    </w:p>
    <w:p w14:paraId="08523C7A"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78"/>
      </w:r>
      <w:r w:rsidRPr="004D0537">
        <w:t>, som avgetts av revisionsrätten för budgetåret 2024 i enlighet med artikel 287 i fördraget om Europeiska unionens funktionssätt,</w:t>
      </w:r>
    </w:p>
    <w:p w14:paraId="55E6BCA1" w14:textId="77777777" w:rsidR="004B06CC" w:rsidRPr="004D0537" w:rsidRDefault="004B06CC" w:rsidP="004B06CC">
      <w:pPr>
        <w:spacing w:after="240"/>
        <w:ind w:left="567" w:hanging="567"/>
      </w:pPr>
      <w:r w:rsidRPr="004D0537">
        <w:t>–</w:t>
      </w:r>
      <w:r w:rsidRPr="004D0537">
        <w:tab/>
        <w:t>med beaktande av rådets rekommendation av den 2 mars 2026 om att bevilja stiftelsen ansvarsfrihet för genomförandet av budgeten för budgetåret 2024 (05750/2026 – C10</w:t>
      </w:r>
      <w:r w:rsidRPr="004D0537">
        <w:noBreakHyphen/>
        <w:t>0148/2026),</w:t>
      </w:r>
    </w:p>
    <w:p w14:paraId="0FDF620E"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07C16657"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79"/>
      </w:r>
      <w:r w:rsidRPr="004D0537">
        <w:t>, särskilt artikel 70,</w:t>
      </w:r>
    </w:p>
    <w:p w14:paraId="217FD460"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80"/>
      </w:r>
      <w:r w:rsidRPr="004D0537">
        <w:t>, särskilt artikel 70,</w:t>
      </w:r>
    </w:p>
    <w:p w14:paraId="40032644" w14:textId="77777777" w:rsidR="004B06CC" w:rsidRPr="004D0537" w:rsidRDefault="004B06CC" w:rsidP="004B06CC">
      <w:pPr>
        <w:spacing w:after="240"/>
        <w:ind w:left="567" w:hanging="567"/>
      </w:pPr>
      <w:r w:rsidRPr="004D0537">
        <w:t>–</w:t>
      </w:r>
      <w:r w:rsidRPr="004D0537">
        <w:tab/>
        <w:t>med beaktande av Europaparlamentets och rådets förordning (EG) nr 1339/2008 av den 16 december 2008 om inrättande av Europeiska yrkesutbildningsstiftelsen</w:t>
      </w:r>
      <w:r w:rsidRPr="004D0537">
        <w:rPr>
          <w:vertAlign w:val="superscript"/>
        </w:rPr>
        <w:footnoteReference w:id="281"/>
      </w:r>
      <w:r w:rsidRPr="004D0537">
        <w:t>, särskilt artikel 17,</w:t>
      </w:r>
    </w:p>
    <w:p w14:paraId="53DFCBCE"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82"/>
      </w:r>
      <w:r w:rsidRPr="004D0537">
        <w:t>, särskilt artikel 105,</w:t>
      </w:r>
    </w:p>
    <w:p w14:paraId="4B9A7427" w14:textId="77777777" w:rsidR="004B06CC" w:rsidRPr="004D0537" w:rsidRDefault="004B06CC" w:rsidP="004B06CC">
      <w:pPr>
        <w:spacing w:after="240"/>
        <w:ind w:left="567" w:hanging="567"/>
      </w:pPr>
      <w:r w:rsidRPr="004D0537">
        <w:t>–</w:t>
      </w:r>
      <w:r w:rsidRPr="004D0537">
        <w:tab/>
        <w:t>med beaktande av artikel 102 och bilaga V i arbetsordningen,</w:t>
      </w:r>
    </w:p>
    <w:p w14:paraId="7F66DF98"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289CCBD9"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2245009A" w14:textId="77777777" w:rsidR="004B06CC" w:rsidRPr="004D0537" w:rsidRDefault="004B06CC" w:rsidP="004B06CC">
      <w:pPr>
        <w:spacing w:after="240"/>
        <w:ind w:left="567" w:hanging="567"/>
      </w:pPr>
      <w:r w:rsidRPr="004D0537">
        <w:t>1.</w:t>
      </w:r>
      <w:r w:rsidRPr="004D0537">
        <w:tab/>
        <w:t>Europaparlamentet beviljar direktören för Europeiska yrkesutbildningsstiftelsen ansvarsfrihet för genomförandet av stiftelsens budget för budgetåret 2024.</w:t>
      </w:r>
    </w:p>
    <w:p w14:paraId="4C34D356"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219C5758"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direktören för Europeiska yrkesutbildningsstiftelsen, rådet, kommissionen och revisionsrätten, och att se till att de offentliggörs i </w:t>
      </w:r>
      <w:r w:rsidRPr="004D0537">
        <w:rPr>
          <w:i/>
          <w:iCs/>
        </w:rPr>
        <w:t>Europeiska unionens officiella tidning</w:t>
      </w:r>
      <w:r w:rsidRPr="004D0537">
        <w:t xml:space="preserve"> (L-serien).</w:t>
      </w:r>
    </w:p>
    <w:p w14:paraId="05CFA14A" w14:textId="77777777" w:rsidR="004B06CC" w:rsidRPr="004D0537" w:rsidRDefault="004B06CC" w:rsidP="004B06CC"/>
    <w:p w14:paraId="096B50F4" w14:textId="77777777" w:rsidR="004B06CC" w:rsidRPr="004D0537" w:rsidRDefault="004B06CC" w:rsidP="004B06CC">
      <w:pPr>
        <w:spacing w:after="480"/>
        <w:jc w:val="center"/>
        <w:rPr>
          <w:rFonts w:cs="Arial"/>
          <w:b/>
        </w:rPr>
        <w:sectPr w:rsidR="004B06CC" w:rsidRPr="004D0537" w:rsidSect="003A4AB5">
          <w:footerReference w:type="first" r:id="rId6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019A6E" w14:textId="0699B927" w:rsidR="004B06CC" w:rsidRPr="004D0537" w:rsidRDefault="006C1F72" w:rsidP="006C1F72">
      <w:pPr>
        <w:pStyle w:val="ATHeading3"/>
      </w:pPr>
      <w:r w:rsidRPr="004D0537">
        <w:lastRenderedPageBreak/>
        <w:t xml:space="preserve">48. Europaparlamentets beslut av den 29 april 2026 </w:t>
      </w:r>
      <w:r w:rsidR="004B06CC" w:rsidRPr="004D0537">
        <w:t>om avslutande av räkenskaperna för Europeiska yrkesutbildningsstiftelsen för budgetåret 2024</w:t>
      </w:r>
      <w:r w:rsidR="005B4844" w:rsidRPr="004D0537">
        <w:t xml:space="preserve"> </w:t>
      </w:r>
      <w:r w:rsidR="004B06CC" w:rsidRPr="004D0537">
        <w:t>(2025/2156(DEC))</w:t>
      </w:r>
    </w:p>
    <w:p w14:paraId="048E23EA" w14:textId="77777777" w:rsidR="004B06CC" w:rsidRPr="004D0537" w:rsidRDefault="004B06CC" w:rsidP="004B06CC">
      <w:pPr>
        <w:spacing w:before="480" w:after="240"/>
      </w:pPr>
      <w:r w:rsidRPr="004D0537">
        <w:rPr>
          <w:i/>
          <w:iCs/>
        </w:rPr>
        <w:t>Europaparlamentet fattar detta beslut</w:t>
      </w:r>
    </w:p>
    <w:p w14:paraId="5C047317" w14:textId="77777777" w:rsidR="004B06CC" w:rsidRPr="004D0537" w:rsidRDefault="004B06CC" w:rsidP="004B06CC">
      <w:pPr>
        <w:spacing w:after="240"/>
        <w:ind w:left="567" w:hanging="567"/>
      </w:pPr>
      <w:r w:rsidRPr="004D0537">
        <w:t>–</w:t>
      </w:r>
      <w:r w:rsidRPr="004D0537">
        <w:tab/>
        <w:t>med beaktande av den slutliga årsredovisningen för Europeiska yrkesutbildningsstiftelsen för budgetåret 2024,</w:t>
      </w:r>
    </w:p>
    <w:p w14:paraId="31C02434"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83"/>
      </w:r>
      <w:r w:rsidRPr="004D0537">
        <w:t>,</w:t>
      </w:r>
    </w:p>
    <w:p w14:paraId="3339B97B"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84"/>
      </w:r>
      <w:r w:rsidRPr="004D0537">
        <w:t>, som avgetts av revisionsrätten för budgetåret 2024 i enlighet med artikel 287 i fördraget om Europeiska unionens funktionssätt,</w:t>
      </w:r>
    </w:p>
    <w:p w14:paraId="488D6E50" w14:textId="77777777" w:rsidR="004B06CC" w:rsidRPr="004D0537" w:rsidRDefault="004B06CC" w:rsidP="004B06CC">
      <w:pPr>
        <w:spacing w:after="240"/>
        <w:ind w:left="567" w:hanging="567"/>
      </w:pPr>
      <w:r w:rsidRPr="004D0537">
        <w:t>–</w:t>
      </w:r>
      <w:r w:rsidRPr="004D0537">
        <w:tab/>
        <w:t>med beaktande av rådets rekommendation av den 2 mars 2026 om att bevilja stiftelsen ansvarsfrihet för genomförandet av budgeten för budgetåret 2024 (05750/2026 – C10</w:t>
      </w:r>
      <w:r w:rsidRPr="004D0537">
        <w:noBreakHyphen/>
        <w:t>0148/2026),</w:t>
      </w:r>
    </w:p>
    <w:p w14:paraId="74CDC99A"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15BC1148"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85"/>
      </w:r>
      <w:r w:rsidRPr="004D0537">
        <w:t>, särskilt artikel 70,</w:t>
      </w:r>
    </w:p>
    <w:p w14:paraId="6AEFC634"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86"/>
      </w:r>
      <w:r w:rsidRPr="004D0537">
        <w:t>, särskilt artikel 70,</w:t>
      </w:r>
    </w:p>
    <w:p w14:paraId="0B93AAEF" w14:textId="77777777" w:rsidR="004B06CC" w:rsidRPr="004D0537" w:rsidRDefault="004B06CC" w:rsidP="004B06CC">
      <w:pPr>
        <w:spacing w:after="240"/>
        <w:ind w:left="567" w:hanging="567"/>
      </w:pPr>
      <w:r w:rsidRPr="004D0537">
        <w:t>–</w:t>
      </w:r>
      <w:r w:rsidRPr="004D0537">
        <w:tab/>
        <w:t>med beaktande av Europaparlamentets och rådets förordning (EG) nr 1339/2008 av den 16 december 2008 om inrättande av Europeiska yrkesutbildningsstiftelsen</w:t>
      </w:r>
      <w:r w:rsidRPr="004D0537">
        <w:rPr>
          <w:vertAlign w:val="superscript"/>
        </w:rPr>
        <w:footnoteReference w:id="287"/>
      </w:r>
      <w:r w:rsidRPr="004D0537">
        <w:t>, särskilt artikel 17,</w:t>
      </w:r>
    </w:p>
    <w:p w14:paraId="3B1157FC"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88"/>
      </w:r>
      <w:r w:rsidRPr="004D0537">
        <w:t>, särskilt artikel 105,</w:t>
      </w:r>
    </w:p>
    <w:p w14:paraId="23692B20" w14:textId="77777777" w:rsidR="004B06CC" w:rsidRPr="004D0537" w:rsidRDefault="004B06CC" w:rsidP="004B06CC">
      <w:pPr>
        <w:spacing w:after="240"/>
        <w:ind w:left="567" w:hanging="567"/>
      </w:pPr>
      <w:r w:rsidRPr="004D0537">
        <w:t>–</w:t>
      </w:r>
      <w:r w:rsidRPr="004D0537">
        <w:tab/>
        <w:t>med beaktande av artikel 102 och bilaga V i arbetsordningen,</w:t>
      </w:r>
    </w:p>
    <w:p w14:paraId="14A83688"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w:t>
      </w:r>
      <w:r w:rsidRPr="004D0537">
        <w:lastRenderedPageBreak/>
        <w:t>utskottet för transport och turism, fiskeriutskottet, utskottet för medborgerliga fri- och rättigheter samt rättsliga och inrikes frågor och utskottet för kvinnors rättigheter och jämställdhet,</w:t>
      </w:r>
    </w:p>
    <w:p w14:paraId="1440B2F6"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111E39A6" w14:textId="77777777" w:rsidR="004B06CC" w:rsidRPr="004D0537" w:rsidRDefault="004B06CC" w:rsidP="004B06CC">
      <w:pPr>
        <w:spacing w:after="240"/>
        <w:ind w:left="567" w:hanging="567"/>
      </w:pPr>
      <w:r w:rsidRPr="004D0537">
        <w:t>1.</w:t>
      </w:r>
      <w:r w:rsidRPr="004D0537">
        <w:tab/>
        <w:t>Europaparlamentet godkänner avslutandet av räkenskaperna för Europeiska yrkesutbildningsstiftelsen för budgetåret 2024.</w:t>
      </w:r>
    </w:p>
    <w:p w14:paraId="4F964436"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direktören för Europeiska yrkesutbildningsstiftelsen, rådet, kommissionen och revisionsrätten, och att se till att det offentliggörs i </w:t>
      </w:r>
      <w:r w:rsidRPr="004D0537">
        <w:rPr>
          <w:i/>
          <w:iCs/>
        </w:rPr>
        <w:t>Europeiska unionens officiella tidning</w:t>
      </w:r>
      <w:r w:rsidRPr="004D0537">
        <w:t xml:space="preserve"> (L-serien).</w:t>
      </w:r>
    </w:p>
    <w:p w14:paraId="39FAE079" w14:textId="77777777" w:rsidR="004B06CC" w:rsidRPr="004D0537" w:rsidRDefault="004B06CC" w:rsidP="005B4844">
      <w:pPr>
        <w:spacing w:after="480"/>
        <w:rPr>
          <w:rFonts w:cs="Arial"/>
          <w:b/>
        </w:rPr>
        <w:sectPr w:rsidR="004B06CC" w:rsidRPr="004D0537" w:rsidSect="003A4AB5">
          <w:footerReference w:type="first" r:id="rId6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AFDA981" w14:textId="2D15591F" w:rsidR="004B06CC" w:rsidRPr="004D0537" w:rsidRDefault="00610FF8" w:rsidP="006C1F72">
      <w:pPr>
        <w:pStyle w:val="ATHeading3"/>
      </w:pPr>
      <w:r w:rsidRPr="004D0537">
        <w:lastRenderedPageBreak/>
        <w:t xml:space="preserve">49. Europaparlamentets beslut av den 29 april </w:t>
      </w:r>
      <w:r w:rsidR="006C1F72" w:rsidRPr="004D0537">
        <w:t xml:space="preserve">2026 </w:t>
      </w:r>
      <w:r w:rsidR="004B06CC" w:rsidRPr="004D0537">
        <w:t>om ansvarsfrihet för genomförandet av budgeten för Europeiska unionens asylbyrå för budgetåret 2024</w:t>
      </w:r>
      <w:r w:rsidR="005B4844" w:rsidRPr="004D0537">
        <w:t xml:space="preserve"> </w:t>
      </w:r>
      <w:r w:rsidR="004B06CC" w:rsidRPr="004D0537">
        <w:t>(2025/2156(DEC))</w:t>
      </w:r>
    </w:p>
    <w:p w14:paraId="005C888B" w14:textId="77777777" w:rsidR="004B06CC" w:rsidRPr="004D0537" w:rsidRDefault="004B06CC" w:rsidP="004B06CC">
      <w:pPr>
        <w:spacing w:before="480" w:after="240"/>
      </w:pPr>
      <w:r w:rsidRPr="004D0537">
        <w:rPr>
          <w:i/>
          <w:iCs/>
        </w:rPr>
        <w:t>Europaparlamentet fattar detta beslut</w:t>
      </w:r>
    </w:p>
    <w:p w14:paraId="78EEE554" w14:textId="77777777" w:rsidR="004B06CC" w:rsidRPr="004D0537" w:rsidRDefault="004B06CC" w:rsidP="004B06CC">
      <w:pPr>
        <w:spacing w:after="240"/>
        <w:ind w:left="567" w:hanging="567"/>
      </w:pPr>
      <w:r w:rsidRPr="004D0537">
        <w:t>–</w:t>
      </w:r>
      <w:r w:rsidRPr="004D0537">
        <w:tab/>
        <w:t>med beaktande av den slutliga årsredovisningen för Europeiska unionens asylbyrå för budgetåret 2024,</w:t>
      </w:r>
    </w:p>
    <w:p w14:paraId="7FE0C77E"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89"/>
      </w:r>
      <w:r w:rsidRPr="004D0537">
        <w:t>,</w:t>
      </w:r>
    </w:p>
    <w:p w14:paraId="6D521E4A"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90"/>
      </w:r>
      <w:r w:rsidRPr="004D0537">
        <w:t>, som avgetts av revisionsrätten för budgetåret 2024 i enlighet med artikel 287 i fördraget om Europeiska unionens funktionssätt,</w:t>
      </w:r>
    </w:p>
    <w:p w14:paraId="0260DDEB"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592E3C8A"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5DD54E81"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91"/>
      </w:r>
      <w:r w:rsidRPr="004D0537">
        <w:t>, särskilt artikel 70,</w:t>
      </w:r>
    </w:p>
    <w:p w14:paraId="5B318992"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92"/>
      </w:r>
      <w:r w:rsidRPr="004D0537">
        <w:t>, särskilt artikel 70,</w:t>
      </w:r>
    </w:p>
    <w:p w14:paraId="167796A9" w14:textId="77777777" w:rsidR="004B06CC" w:rsidRPr="004D0537" w:rsidRDefault="004B06CC" w:rsidP="004B06CC">
      <w:pPr>
        <w:spacing w:after="240"/>
        <w:ind w:left="567" w:hanging="567"/>
      </w:pPr>
      <w:r w:rsidRPr="004D0537">
        <w:t>–</w:t>
      </w:r>
      <w:r w:rsidRPr="004D0537">
        <w:tab/>
        <w:t>med beaktande av Europaparlamentets och rådets förordning (EU) 2021/2303 av den 15 december 2021 om Europeiska unionens asylbyrå och om upphävande av förordning (EU) nr 439/2010</w:t>
      </w:r>
      <w:r w:rsidRPr="004D0537">
        <w:rPr>
          <w:vertAlign w:val="superscript"/>
        </w:rPr>
        <w:footnoteReference w:id="293"/>
      </w:r>
      <w:r w:rsidRPr="004D0537">
        <w:t>, särskilt artikel 55,</w:t>
      </w:r>
    </w:p>
    <w:p w14:paraId="04DB8519"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294"/>
      </w:r>
      <w:r w:rsidRPr="004D0537">
        <w:t>, särskilt artikel 105,</w:t>
      </w:r>
    </w:p>
    <w:p w14:paraId="748DD04B" w14:textId="77777777" w:rsidR="004B06CC" w:rsidRPr="004D0537" w:rsidRDefault="004B06CC" w:rsidP="004B06CC">
      <w:pPr>
        <w:spacing w:after="240"/>
        <w:ind w:left="567" w:hanging="567"/>
      </w:pPr>
      <w:r w:rsidRPr="004D0537">
        <w:t>–</w:t>
      </w:r>
      <w:r w:rsidRPr="004D0537">
        <w:tab/>
        <w:t>med beaktande av artikel 102 och bilaga V i arbetsordningen,</w:t>
      </w:r>
    </w:p>
    <w:p w14:paraId="7F7CC0A2"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6FF6FC90"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714407F0" w14:textId="77777777" w:rsidR="004B06CC" w:rsidRPr="004D0537" w:rsidRDefault="004B06CC" w:rsidP="004B06CC">
      <w:pPr>
        <w:spacing w:after="240"/>
        <w:ind w:left="567" w:hanging="567"/>
      </w:pPr>
      <w:r w:rsidRPr="004D0537">
        <w:t>1.</w:t>
      </w:r>
      <w:r w:rsidRPr="004D0537">
        <w:tab/>
        <w:t>Europaparlamentet beviljar verkställande direktören för Europeiska unionens asylbyrå ansvarsfrihet för genomförandet av byråns budget för budgetåret 2024.</w:t>
      </w:r>
    </w:p>
    <w:p w14:paraId="59F1641E"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1C9ABC53"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unionens asylbyrå, rådet, kommissionen och revisionsrätten, och att se till att de offentliggörs i </w:t>
      </w:r>
      <w:r w:rsidRPr="004D0537">
        <w:rPr>
          <w:i/>
          <w:iCs/>
        </w:rPr>
        <w:t>Europeiska unionens officiella tidning</w:t>
      </w:r>
      <w:r w:rsidRPr="004D0537">
        <w:t xml:space="preserve"> (L-serien).</w:t>
      </w:r>
    </w:p>
    <w:p w14:paraId="7737856E" w14:textId="77777777" w:rsidR="004B06CC" w:rsidRPr="004D0537" w:rsidRDefault="004B06CC" w:rsidP="004B06CC"/>
    <w:p w14:paraId="2806BF87" w14:textId="77777777" w:rsidR="004B06CC" w:rsidRPr="004D0537" w:rsidRDefault="004B06CC" w:rsidP="004B06CC">
      <w:pPr>
        <w:spacing w:after="480"/>
        <w:jc w:val="center"/>
        <w:rPr>
          <w:rFonts w:cs="Arial"/>
          <w:b/>
        </w:rPr>
        <w:sectPr w:rsidR="004B06CC" w:rsidRPr="004D0537" w:rsidSect="003A4AB5">
          <w:footerReference w:type="first" r:id="rId6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3B7269" w14:textId="0A196C3D" w:rsidR="004B06CC" w:rsidRPr="004D0537" w:rsidRDefault="00610FF8" w:rsidP="006C1F72">
      <w:pPr>
        <w:pStyle w:val="ATHeading3"/>
      </w:pPr>
      <w:r w:rsidRPr="004D0537">
        <w:lastRenderedPageBreak/>
        <w:t>50. Europaparlamentets beslut av den 29 april</w:t>
      </w:r>
      <w:r w:rsidR="006C1F72" w:rsidRPr="004D0537">
        <w:t xml:space="preserve"> 2026 </w:t>
      </w:r>
      <w:r w:rsidR="004B06CC" w:rsidRPr="004D0537">
        <w:t>om avslutande av räkenskaperna för Europeiska unionens asylbyrå för budgetåret 2024</w:t>
      </w:r>
      <w:r w:rsidR="005B4844" w:rsidRPr="004D0537">
        <w:t xml:space="preserve"> </w:t>
      </w:r>
      <w:r w:rsidR="004B06CC" w:rsidRPr="004D0537">
        <w:t>(2025/2156(DEC))</w:t>
      </w:r>
    </w:p>
    <w:p w14:paraId="01A0E709" w14:textId="77777777" w:rsidR="004B06CC" w:rsidRPr="004D0537" w:rsidRDefault="004B06CC" w:rsidP="004B06CC">
      <w:pPr>
        <w:spacing w:before="480" w:after="240"/>
      </w:pPr>
      <w:r w:rsidRPr="004D0537">
        <w:rPr>
          <w:i/>
          <w:iCs/>
        </w:rPr>
        <w:t>Europaparlamentet fattar detta beslut</w:t>
      </w:r>
    </w:p>
    <w:p w14:paraId="14CC034A" w14:textId="77777777" w:rsidR="004B06CC" w:rsidRPr="004D0537" w:rsidRDefault="004B06CC" w:rsidP="004B06CC">
      <w:pPr>
        <w:spacing w:after="240"/>
        <w:ind w:left="567" w:hanging="567"/>
      </w:pPr>
      <w:r w:rsidRPr="004D0537">
        <w:t>–</w:t>
      </w:r>
      <w:r w:rsidRPr="004D0537">
        <w:tab/>
        <w:t>med beaktande av den slutliga årsredovisningen för Europeiska unionens asylbyrå för budgetåret 2024,</w:t>
      </w:r>
    </w:p>
    <w:p w14:paraId="71A6D824"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295"/>
      </w:r>
      <w:r w:rsidRPr="004D0537">
        <w:t>,</w:t>
      </w:r>
    </w:p>
    <w:p w14:paraId="28BED381"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296"/>
      </w:r>
      <w:r w:rsidRPr="004D0537">
        <w:t>, som avgetts av revisionsrätten för budgetåret 2024 i enlighet med artikel 287 i fördraget om Europeiska unionens funktionssätt,</w:t>
      </w:r>
    </w:p>
    <w:p w14:paraId="3BC4C5D1"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06E5C77C"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8228A62"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297"/>
      </w:r>
      <w:r w:rsidRPr="004D0537">
        <w:t>, särskilt artikel 70,</w:t>
      </w:r>
    </w:p>
    <w:p w14:paraId="20239D22"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298"/>
      </w:r>
      <w:r w:rsidRPr="004D0537">
        <w:t>, särskilt artikel 70,</w:t>
      </w:r>
    </w:p>
    <w:p w14:paraId="114FD86D" w14:textId="77777777" w:rsidR="004B06CC" w:rsidRPr="004D0537" w:rsidRDefault="004B06CC" w:rsidP="004B06CC">
      <w:pPr>
        <w:spacing w:after="240"/>
        <w:ind w:left="567" w:hanging="567"/>
      </w:pPr>
      <w:r w:rsidRPr="004D0537">
        <w:t>–</w:t>
      </w:r>
      <w:r w:rsidRPr="004D0537">
        <w:tab/>
        <w:t>med beaktande av Europaparlamentets och rådets förordning (EU) 2021/2303 av den 15 december 2021 om Europeiska unionens asylbyrå och om upphävande av förordning (EU) nr 439/2010</w:t>
      </w:r>
      <w:r w:rsidRPr="004D0537">
        <w:rPr>
          <w:vertAlign w:val="superscript"/>
        </w:rPr>
        <w:footnoteReference w:id="299"/>
      </w:r>
      <w:r w:rsidRPr="004D0537">
        <w:t>, särskilt artikel 55,</w:t>
      </w:r>
    </w:p>
    <w:p w14:paraId="3F2E947B"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00"/>
      </w:r>
      <w:r w:rsidRPr="004D0537">
        <w:t>, särskilt artikel 105,</w:t>
      </w:r>
    </w:p>
    <w:p w14:paraId="79030613" w14:textId="77777777" w:rsidR="004B06CC" w:rsidRPr="004D0537" w:rsidRDefault="004B06CC" w:rsidP="004B06CC">
      <w:pPr>
        <w:spacing w:after="240"/>
        <w:ind w:left="567" w:hanging="567"/>
      </w:pPr>
      <w:r w:rsidRPr="004D0537">
        <w:t>–</w:t>
      </w:r>
      <w:r w:rsidRPr="004D0537">
        <w:tab/>
        <w:t>med beaktande av artikel 102 och bilaga V i arbetsordningen,</w:t>
      </w:r>
    </w:p>
    <w:p w14:paraId="040D0D7A"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w:t>
      </w:r>
      <w:r w:rsidRPr="004D0537">
        <w:lastRenderedPageBreak/>
        <w:t>utskottet för transport och turism, fiskeriutskottet, utskottet för medborgerliga fri- och rättigheter samt rättsliga och inrikes frågor och utskottet för kvinnors rättigheter och jämställdhet,</w:t>
      </w:r>
    </w:p>
    <w:p w14:paraId="03CABD7E"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13D438C8" w14:textId="77777777" w:rsidR="004B06CC" w:rsidRPr="004D0537" w:rsidRDefault="004B06CC" w:rsidP="004B06CC">
      <w:pPr>
        <w:spacing w:after="240"/>
        <w:ind w:left="567" w:hanging="567"/>
      </w:pPr>
      <w:r w:rsidRPr="004D0537">
        <w:t>1.</w:t>
      </w:r>
      <w:r w:rsidRPr="004D0537">
        <w:tab/>
        <w:t>Europaparlamentet godkänner avslutandet av räkenskaperna för Europeiska unionens asylbyrå för budgetåret 2024.</w:t>
      </w:r>
    </w:p>
    <w:p w14:paraId="4F93185D"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unionens asylbyrå, rådet, kommissionen och revisionsrätten, och att se till att det offentliggörs i </w:t>
      </w:r>
      <w:r w:rsidRPr="004D0537">
        <w:rPr>
          <w:i/>
          <w:iCs/>
        </w:rPr>
        <w:t>Europeiska unionens officiella tidning</w:t>
      </w:r>
      <w:r w:rsidRPr="004D0537">
        <w:t xml:space="preserve"> (L-serien).</w:t>
      </w:r>
    </w:p>
    <w:p w14:paraId="591A7B1B" w14:textId="77777777" w:rsidR="004B06CC" w:rsidRPr="004D0537" w:rsidRDefault="004B06CC" w:rsidP="004B06CC"/>
    <w:p w14:paraId="00E78217" w14:textId="77777777" w:rsidR="004B06CC" w:rsidRPr="004D0537" w:rsidRDefault="004B06CC" w:rsidP="005B4844">
      <w:pPr>
        <w:spacing w:after="480"/>
        <w:rPr>
          <w:rFonts w:cs="Arial"/>
          <w:b/>
        </w:rPr>
        <w:sectPr w:rsidR="004B06CC" w:rsidRPr="004D0537" w:rsidSect="003A4AB5">
          <w:footerReference w:type="first" r:id="rId6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CCE6EE5" w14:textId="3C250A18" w:rsidR="004B06CC" w:rsidRPr="004D0537" w:rsidRDefault="00610FF8" w:rsidP="006C1F72">
      <w:pPr>
        <w:pStyle w:val="ATHeading3"/>
      </w:pPr>
      <w:r w:rsidRPr="004D0537">
        <w:lastRenderedPageBreak/>
        <w:t xml:space="preserve">51. Europaparlamentets beslut av den 29 april </w:t>
      </w:r>
      <w:r w:rsidR="006C1F72" w:rsidRPr="004D0537">
        <w:t xml:space="preserve">2026 </w:t>
      </w:r>
      <w:r w:rsidR="004B06CC" w:rsidRPr="004D0537">
        <w:t xml:space="preserve">om ansvarsfrihet för genomförandet av budgeten för Europeiska unionens byrå för den operativa förvaltningen av stora </w:t>
      </w:r>
      <w:proofErr w:type="spellStart"/>
      <w:r w:rsidR="004B06CC" w:rsidRPr="004D0537">
        <w:t>it-system</w:t>
      </w:r>
      <w:proofErr w:type="spellEnd"/>
      <w:r w:rsidR="004B06CC" w:rsidRPr="004D0537">
        <w:t xml:space="preserve"> inom området frihet, säkerhet och rättvisa för budgetåret 2024</w:t>
      </w:r>
      <w:r w:rsidR="005B4844" w:rsidRPr="004D0537">
        <w:t xml:space="preserve"> </w:t>
      </w:r>
      <w:r w:rsidR="004B06CC" w:rsidRPr="004D0537">
        <w:t>(2025/2156(DEC))</w:t>
      </w:r>
    </w:p>
    <w:p w14:paraId="46813782" w14:textId="77777777" w:rsidR="004B06CC" w:rsidRPr="004D0537" w:rsidRDefault="004B06CC" w:rsidP="004B06CC">
      <w:pPr>
        <w:spacing w:before="480" w:after="240"/>
      </w:pPr>
      <w:r w:rsidRPr="004D0537">
        <w:rPr>
          <w:i/>
          <w:iCs/>
        </w:rPr>
        <w:t>Europaparlamentet fattar detta beslut</w:t>
      </w:r>
    </w:p>
    <w:p w14:paraId="663B5ADA" w14:textId="77777777" w:rsidR="004B06CC" w:rsidRPr="004D0537" w:rsidRDefault="004B06CC" w:rsidP="004B06CC">
      <w:pPr>
        <w:spacing w:after="240"/>
        <w:ind w:left="567" w:hanging="567"/>
      </w:pPr>
      <w:r w:rsidRPr="004D0537">
        <w:t>–</w:t>
      </w:r>
      <w:r w:rsidRPr="004D0537">
        <w:tab/>
        <w:t xml:space="preserve">med beaktande av den slutliga årsredovisningen för Europeiska unionens byrå för den operativa förvaltningen av stora </w:t>
      </w:r>
      <w:proofErr w:type="spellStart"/>
      <w:r w:rsidRPr="004D0537">
        <w:t>it-system</w:t>
      </w:r>
      <w:proofErr w:type="spellEnd"/>
      <w:r w:rsidRPr="004D0537">
        <w:t xml:space="preserve"> inom området frihet, säkerhet och rättvisa för budgetåret 2024,</w:t>
      </w:r>
    </w:p>
    <w:p w14:paraId="0E195B3A"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01"/>
      </w:r>
      <w:r w:rsidRPr="004D0537">
        <w:t>,</w:t>
      </w:r>
    </w:p>
    <w:p w14:paraId="7DCD8779"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02"/>
      </w:r>
      <w:r w:rsidRPr="004D0537">
        <w:t>, som avgetts av revisionsrätten för budgetåret 2024 i enlighet med artikel 287 i fördraget om Europeiska unionens funktionssätt,</w:t>
      </w:r>
    </w:p>
    <w:p w14:paraId="50D33121"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5110A8B6"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07253346"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03"/>
      </w:r>
      <w:r w:rsidRPr="004D0537">
        <w:t>, särskilt artikel 70,</w:t>
      </w:r>
    </w:p>
    <w:p w14:paraId="392CC026"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04"/>
      </w:r>
      <w:r w:rsidRPr="004D0537">
        <w:t>, särskilt artikel 70,</w:t>
      </w:r>
    </w:p>
    <w:p w14:paraId="04D442BB" w14:textId="72D3F374" w:rsidR="004B06CC" w:rsidRPr="004D0537" w:rsidRDefault="004B06CC" w:rsidP="004B06CC">
      <w:pPr>
        <w:spacing w:after="240"/>
        <w:ind w:left="567" w:hanging="567"/>
      </w:pPr>
      <w:r w:rsidRPr="004D0537">
        <w:t>–</w:t>
      </w:r>
      <w:r w:rsidRPr="004D0537">
        <w:tab/>
        <w:t xml:space="preserve">med beaktande av Europaparlamentets och rådets förordning (EU) 2018/1726 av den 14 november 2018 om Europeiska unionens byrå för den operativa förvaltningen av stora </w:t>
      </w:r>
      <w:proofErr w:type="spellStart"/>
      <w:r w:rsidRPr="004D0537">
        <w:t>it-system</w:t>
      </w:r>
      <w:proofErr w:type="spellEnd"/>
      <w:r w:rsidRPr="004D0537">
        <w:t xml:space="preserve"> inom området frihet, säkerhet och rättvisa (eu-LISA), om ändring av förordning (EG) nr 1987/2006 och rådets beslut 2007/533/RIF och om upphävande av förordning (EU) nr 1077/2011</w:t>
      </w:r>
      <w:r w:rsidRPr="004D0537">
        <w:rPr>
          <w:vertAlign w:val="superscript"/>
        </w:rPr>
        <w:footnoteReference w:id="305"/>
      </w:r>
      <w:r w:rsidRPr="004D0537">
        <w:t>, särskilt artikel 47,</w:t>
      </w:r>
    </w:p>
    <w:p w14:paraId="5E10BA00"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 xml:space="preserve">fördraget och Euratomfördraget och som avses i artikel 70 i Europaparlamentets </w:t>
      </w:r>
      <w:r w:rsidRPr="004D0537">
        <w:lastRenderedPageBreak/>
        <w:t>och rådets förordning (EU, Euratom) 2018/1046</w:t>
      </w:r>
      <w:r w:rsidRPr="004D0537">
        <w:rPr>
          <w:vertAlign w:val="superscript"/>
        </w:rPr>
        <w:footnoteReference w:id="306"/>
      </w:r>
      <w:r w:rsidRPr="004D0537">
        <w:t>, särskilt artikel 105,</w:t>
      </w:r>
    </w:p>
    <w:p w14:paraId="42BC8970" w14:textId="77777777" w:rsidR="004B06CC" w:rsidRPr="004D0537" w:rsidRDefault="004B06CC" w:rsidP="004B06CC">
      <w:pPr>
        <w:spacing w:after="240"/>
        <w:ind w:left="567" w:hanging="567"/>
      </w:pPr>
      <w:r w:rsidRPr="004D0537">
        <w:t>–</w:t>
      </w:r>
      <w:r w:rsidRPr="004D0537">
        <w:tab/>
        <w:t>med beaktande av artikel 102 och bilaga V i arbetsordningen,</w:t>
      </w:r>
    </w:p>
    <w:p w14:paraId="55F155B1"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2671567F"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5100EE4" w14:textId="77777777" w:rsidR="004B06CC" w:rsidRPr="004D0537" w:rsidRDefault="004B06CC" w:rsidP="004B06CC">
      <w:pPr>
        <w:spacing w:after="240"/>
        <w:ind w:left="567" w:hanging="567"/>
      </w:pPr>
      <w:r w:rsidRPr="004D0537">
        <w:t>1.</w:t>
      </w:r>
      <w:r w:rsidRPr="004D0537">
        <w:tab/>
        <w:t xml:space="preserve">Europaparlamentet beviljar verkställande direktören för Europeiska unionens byrå för den operativa förvaltningen av stora </w:t>
      </w:r>
      <w:proofErr w:type="spellStart"/>
      <w:r w:rsidRPr="004D0537">
        <w:t>it-system</w:t>
      </w:r>
      <w:proofErr w:type="spellEnd"/>
      <w:r w:rsidRPr="004D0537">
        <w:t xml:space="preserve"> inom området frihet, säkerhet och rättvisa ansvarsfrihet för genomförandet av byråns budget för budgetåret 2024.</w:t>
      </w:r>
    </w:p>
    <w:p w14:paraId="341828FB"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1DE8EB18"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unionens byrå för den operativa förvaltningen av stora </w:t>
      </w:r>
      <w:proofErr w:type="spellStart"/>
      <w:r w:rsidRPr="004D0537">
        <w:t>it-system</w:t>
      </w:r>
      <w:proofErr w:type="spellEnd"/>
      <w:r w:rsidRPr="004D0537">
        <w:t xml:space="preserve"> inom området frihet, säkerhet och rättvisa, rådet, kommissionen och revisionsrätten, och att se till att de offentliggörs i </w:t>
      </w:r>
      <w:r w:rsidRPr="004D0537">
        <w:rPr>
          <w:i/>
          <w:iCs/>
        </w:rPr>
        <w:t>Europeiska unionens officiella tidning</w:t>
      </w:r>
      <w:r w:rsidRPr="004D0537">
        <w:t xml:space="preserve"> (L-serien).</w:t>
      </w:r>
    </w:p>
    <w:p w14:paraId="0B8FBD41" w14:textId="77777777" w:rsidR="004B06CC" w:rsidRPr="004D0537" w:rsidRDefault="004B06CC" w:rsidP="004B06CC"/>
    <w:p w14:paraId="245C2FAC" w14:textId="77777777" w:rsidR="004B06CC" w:rsidRPr="004D0537" w:rsidRDefault="004B06CC" w:rsidP="004B06CC">
      <w:pPr>
        <w:spacing w:after="480"/>
        <w:jc w:val="center"/>
        <w:rPr>
          <w:rFonts w:cs="Arial"/>
          <w:b/>
        </w:rPr>
        <w:sectPr w:rsidR="004B06CC" w:rsidRPr="004D0537" w:rsidSect="003A4AB5">
          <w:footerReference w:type="first" r:id="rId6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2AF085" w14:textId="615248D0" w:rsidR="004B06CC" w:rsidRPr="004D0537" w:rsidRDefault="00862356" w:rsidP="006C1F72">
      <w:pPr>
        <w:pStyle w:val="ATHeading3"/>
      </w:pPr>
      <w:r w:rsidRPr="004D0537">
        <w:lastRenderedPageBreak/>
        <w:t xml:space="preserve">52. Europaparlamentets beslut av den 29 april </w:t>
      </w:r>
      <w:r w:rsidR="006C1F72" w:rsidRPr="004D0537">
        <w:t>2026 om</w:t>
      </w:r>
      <w:r w:rsidR="004B06CC" w:rsidRPr="004D0537">
        <w:t xml:space="preserve"> avslutandet av räkenskaperna för Europeiska unionens byrå för den operativa förvaltningen av stora </w:t>
      </w:r>
      <w:proofErr w:type="spellStart"/>
      <w:r w:rsidR="004B06CC" w:rsidRPr="004D0537">
        <w:t>it-system</w:t>
      </w:r>
      <w:proofErr w:type="spellEnd"/>
      <w:r w:rsidR="004B06CC" w:rsidRPr="004D0537">
        <w:t xml:space="preserve"> inom området frihet, säkerhet och rättvisa för budgetåret 2024</w:t>
      </w:r>
      <w:r w:rsidR="005B4844" w:rsidRPr="004D0537">
        <w:t xml:space="preserve"> </w:t>
      </w:r>
      <w:r w:rsidR="004B06CC" w:rsidRPr="004D0537">
        <w:t>(2025/2156(DEC))</w:t>
      </w:r>
    </w:p>
    <w:p w14:paraId="495A069E" w14:textId="77777777" w:rsidR="004B06CC" w:rsidRPr="004D0537" w:rsidRDefault="004B06CC" w:rsidP="004B06CC">
      <w:pPr>
        <w:spacing w:before="480" w:after="240"/>
      </w:pPr>
      <w:r w:rsidRPr="004D0537">
        <w:rPr>
          <w:i/>
          <w:iCs/>
        </w:rPr>
        <w:t>Europaparlamentet fattar detta beslut</w:t>
      </w:r>
    </w:p>
    <w:p w14:paraId="1DBCAF3F" w14:textId="77777777" w:rsidR="004B06CC" w:rsidRPr="004D0537" w:rsidRDefault="004B06CC" w:rsidP="004B06CC">
      <w:pPr>
        <w:spacing w:after="240"/>
        <w:ind w:left="567" w:hanging="567"/>
      </w:pPr>
      <w:r w:rsidRPr="004D0537">
        <w:t>–</w:t>
      </w:r>
      <w:r w:rsidRPr="004D0537">
        <w:tab/>
        <w:t xml:space="preserve">med beaktande av den slutliga årsredovisningen för Europeiska unionens byrå för den operativa förvaltningen av stora </w:t>
      </w:r>
      <w:proofErr w:type="spellStart"/>
      <w:r w:rsidRPr="004D0537">
        <w:t>it-system</w:t>
      </w:r>
      <w:proofErr w:type="spellEnd"/>
      <w:r w:rsidRPr="004D0537">
        <w:t xml:space="preserve"> inom området frihet, säkerhet och rättvisa för budgetåret 2024,</w:t>
      </w:r>
    </w:p>
    <w:p w14:paraId="6A9BC12D"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07"/>
      </w:r>
      <w:r w:rsidRPr="004D0537">
        <w:t>,</w:t>
      </w:r>
    </w:p>
    <w:p w14:paraId="744ECB83"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08"/>
      </w:r>
      <w:r w:rsidRPr="004D0537">
        <w:t>, som avgetts av revisionsrätten för budgetåret 2024 i enlighet med artikel 287 i fördraget om Europeiska unionens funktionssätt,</w:t>
      </w:r>
    </w:p>
    <w:p w14:paraId="0DE25D93"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402C82FB"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06A9A1F7"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09"/>
      </w:r>
      <w:r w:rsidRPr="004D0537">
        <w:t>, särskilt artikel 70,</w:t>
      </w:r>
    </w:p>
    <w:p w14:paraId="34B73ED9"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10"/>
      </w:r>
      <w:r w:rsidRPr="004D0537">
        <w:t>, särskilt artikel 70,</w:t>
      </w:r>
    </w:p>
    <w:p w14:paraId="74F2D48F" w14:textId="6D19333F" w:rsidR="004B06CC" w:rsidRPr="004D0537" w:rsidRDefault="004B06CC" w:rsidP="004B06CC">
      <w:pPr>
        <w:spacing w:after="240"/>
        <w:ind w:left="567" w:hanging="567"/>
      </w:pPr>
      <w:r w:rsidRPr="004D0537">
        <w:t>–</w:t>
      </w:r>
      <w:r w:rsidRPr="004D0537">
        <w:tab/>
        <w:t xml:space="preserve">med beaktande av Europaparlamentets och rådets förordning (EU) 2018/1726 av den 14 november 2018 om Europeiska unionens byrå för den operativa förvaltningen av stora </w:t>
      </w:r>
      <w:proofErr w:type="spellStart"/>
      <w:r w:rsidRPr="004D0537">
        <w:t>it-system</w:t>
      </w:r>
      <w:proofErr w:type="spellEnd"/>
      <w:r w:rsidRPr="004D0537">
        <w:t xml:space="preserve"> inom området frihet, säkerhet och rättvisa (eu-LISA), om ändring av förordning (EG) nr 1987/2006 och rådets beslut 2007/533/RIF och om upphävande av förordning (EU) nr 1077/2011</w:t>
      </w:r>
      <w:r w:rsidRPr="004D0537">
        <w:rPr>
          <w:vertAlign w:val="superscript"/>
        </w:rPr>
        <w:footnoteReference w:id="311"/>
      </w:r>
      <w:r w:rsidRPr="004D0537">
        <w:t>, särskilt artikel 47,</w:t>
      </w:r>
    </w:p>
    <w:p w14:paraId="22D167F7"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12"/>
      </w:r>
      <w:r w:rsidRPr="004D0537">
        <w:t>, särskilt artikel 105,</w:t>
      </w:r>
    </w:p>
    <w:p w14:paraId="568E2581"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2641973D"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3D53BCAD"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507A178E" w14:textId="77777777" w:rsidR="004B06CC" w:rsidRPr="004D0537" w:rsidRDefault="004B06CC" w:rsidP="004B06CC">
      <w:pPr>
        <w:spacing w:after="240"/>
        <w:ind w:left="567" w:hanging="567"/>
      </w:pPr>
      <w:r w:rsidRPr="004D0537">
        <w:t>1.</w:t>
      </w:r>
      <w:r w:rsidRPr="004D0537">
        <w:tab/>
        <w:t xml:space="preserve">Europaparlamentet godkänner avslutandet av räkenskaperna för Europeiska unionens byrå för den operativa förvaltningen av stora </w:t>
      </w:r>
      <w:proofErr w:type="spellStart"/>
      <w:r w:rsidRPr="004D0537">
        <w:t>it-system</w:t>
      </w:r>
      <w:proofErr w:type="spellEnd"/>
      <w:r w:rsidRPr="004D0537">
        <w:t xml:space="preserve"> inom området frihet, säkerhet och rättvisa för budgetåret 2024.</w:t>
      </w:r>
    </w:p>
    <w:p w14:paraId="76E69333"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unionens byrå för den operativa förvaltningen av stora </w:t>
      </w:r>
      <w:proofErr w:type="spellStart"/>
      <w:r w:rsidRPr="004D0537">
        <w:t>it</w:t>
      </w:r>
      <w:r w:rsidRPr="004D0537">
        <w:noBreakHyphen/>
        <w:t>system</w:t>
      </w:r>
      <w:proofErr w:type="spellEnd"/>
      <w:r w:rsidRPr="004D0537">
        <w:t xml:space="preserve"> inom området frihet, säkerhet och rättvisa, rådet, kommissionen och revisionsrätten, och att se till att det offentliggörs i </w:t>
      </w:r>
      <w:r w:rsidRPr="004D0537">
        <w:rPr>
          <w:i/>
          <w:iCs/>
        </w:rPr>
        <w:t>Europeiska unionens officiella tidning</w:t>
      </w:r>
      <w:r w:rsidRPr="004D0537">
        <w:t xml:space="preserve"> (L-serien).</w:t>
      </w:r>
    </w:p>
    <w:p w14:paraId="06AA0BF5" w14:textId="77777777" w:rsidR="004B06CC" w:rsidRPr="004D0537" w:rsidRDefault="004B06CC" w:rsidP="004B06CC"/>
    <w:p w14:paraId="4499765E" w14:textId="77777777" w:rsidR="004B06CC" w:rsidRPr="004D0537" w:rsidRDefault="004B06CC" w:rsidP="004B06CC"/>
    <w:p w14:paraId="263C52A5" w14:textId="77777777" w:rsidR="004B06CC" w:rsidRPr="004D0537" w:rsidRDefault="004B06CC" w:rsidP="004B06CC">
      <w:pPr>
        <w:spacing w:after="480"/>
        <w:jc w:val="center"/>
        <w:rPr>
          <w:rFonts w:cs="Arial"/>
          <w:b/>
        </w:rPr>
        <w:sectPr w:rsidR="004B06CC" w:rsidRPr="004D0537" w:rsidSect="003A4AB5">
          <w:footerReference w:type="first" r:id="rId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A27E3DC" w14:textId="510B0ED8" w:rsidR="004B06CC" w:rsidRPr="004D0537" w:rsidRDefault="00862356" w:rsidP="00862356">
      <w:pPr>
        <w:pStyle w:val="ATHeading3"/>
      </w:pPr>
      <w:r w:rsidRPr="004D0537">
        <w:lastRenderedPageBreak/>
        <w:t xml:space="preserve">53. Europaparlamentets beslut av den 29 april </w:t>
      </w:r>
      <w:r w:rsidR="006C1F72" w:rsidRPr="004D0537">
        <w:t xml:space="preserve">2026 </w:t>
      </w:r>
      <w:r w:rsidR="004B06CC" w:rsidRPr="004D0537">
        <w:t>om ansvarsfrihet för genomförandet av budgeten för Europeiska arbetsmiljöbyrån för budgetåret 2024</w:t>
      </w:r>
      <w:r w:rsidR="005B4844" w:rsidRPr="004D0537">
        <w:t xml:space="preserve"> </w:t>
      </w:r>
      <w:r w:rsidR="004B06CC" w:rsidRPr="004D0537">
        <w:t>(2025/2156(DEC))</w:t>
      </w:r>
    </w:p>
    <w:p w14:paraId="075D3FB3" w14:textId="77777777" w:rsidR="004B06CC" w:rsidRPr="004D0537" w:rsidRDefault="004B06CC" w:rsidP="004B06CC">
      <w:pPr>
        <w:spacing w:before="480" w:after="240"/>
      </w:pPr>
      <w:r w:rsidRPr="004D0537">
        <w:rPr>
          <w:i/>
          <w:iCs/>
        </w:rPr>
        <w:t>Europaparlamentet fattar detta beslut</w:t>
      </w:r>
    </w:p>
    <w:p w14:paraId="1F61622A" w14:textId="77777777" w:rsidR="004B06CC" w:rsidRPr="004D0537" w:rsidRDefault="004B06CC" w:rsidP="004B06CC">
      <w:pPr>
        <w:spacing w:after="240"/>
        <w:ind w:left="567" w:hanging="567"/>
      </w:pPr>
      <w:r w:rsidRPr="004D0537">
        <w:t>–</w:t>
      </w:r>
      <w:r w:rsidRPr="004D0537">
        <w:tab/>
        <w:t>med beaktande av den slutliga årsredovisningen för Europeiska arbetsmiljöbyrån för budgetåret 2024,</w:t>
      </w:r>
    </w:p>
    <w:p w14:paraId="75FF9835"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13"/>
      </w:r>
      <w:r w:rsidRPr="004D0537">
        <w:t>,</w:t>
      </w:r>
    </w:p>
    <w:p w14:paraId="697F16DF"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14"/>
      </w:r>
      <w:r w:rsidRPr="004D0537">
        <w:t>, som avgetts av revisionsrätten för budgetåret 2024 i enlighet med artikel 287 i fördraget om Europeiska unionens funktionssätt,</w:t>
      </w:r>
    </w:p>
    <w:p w14:paraId="4B9D5F53"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6F5EC5B9"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21D42A7E"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15"/>
      </w:r>
      <w:r w:rsidRPr="004D0537">
        <w:t>, särskilt artikel 70,</w:t>
      </w:r>
    </w:p>
    <w:p w14:paraId="636EE6FB"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16"/>
      </w:r>
      <w:r w:rsidRPr="004D0537">
        <w:t>, särskilt artikel 70,</w:t>
      </w:r>
    </w:p>
    <w:p w14:paraId="30A028C4" w14:textId="77777777" w:rsidR="004B06CC" w:rsidRPr="004D0537" w:rsidRDefault="004B06CC" w:rsidP="004B06CC">
      <w:pPr>
        <w:spacing w:after="240"/>
        <w:ind w:left="567" w:hanging="567"/>
      </w:pPr>
      <w:r w:rsidRPr="004D0537">
        <w:t>–</w:t>
      </w:r>
      <w:r w:rsidRPr="004D0537">
        <w:tab/>
        <w:t>med beaktande av Europaparlamentets och rådets förordning (EU) 2019/126 av den 16 januari 2019 om inrättande av Europeiska arbetsmiljöbyrån (EU-</w:t>
      </w:r>
      <w:proofErr w:type="spellStart"/>
      <w:r w:rsidRPr="004D0537">
        <w:t>Osha</w:t>
      </w:r>
      <w:proofErr w:type="spellEnd"/>
      <w:r w:rsidRPr="004D0537">
        <w:t>) och om upphävande av rådets förordning (EG) nr 2062/94</w:t>
      </w:r>
      <w:r w:rsidRPr="004D0537">
        <w:rPr>
          <w:vertAlign w:val="superscript"/>
        </w:rPr>
        <w:footnoteReference w:id="317"/>
      </w:r>
      <w:r w:rsidRPr="004D0537">
        <w:t>, särskilt artikel 16,</w:t>
      </w:r>
    </w:p>
    <w:p w14:paraId="0B48AB2B"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18"/>
      </w:r>
      <w:r w:rsidRPr="004D0537">
        <w:t>, särskilt artikel 105,</w:t>
      </w:r>
    </w:p>
    <w:p w14:paraId="7DDB3A6D" w14:textId="77777777" w:rsidR="004B06CC" w:rsidRPr="004D0537" w:rsidRDefault="004B06CC" w:rsidP="004B06CC">
      <w:pPr>
        <w:spacing w:after="240"/>
        <w:ind w:left="567" w:hanging="567"/>
      </w:pPr>
      <w:r w:rsidRPr="004D0537">
        <w:t>–</w:t>
      </w:r>
      <w:r w:rsidRPr="004D0537">
        <w:tab/>
        <w:t>med beaktande av artikel 102 och bilaga V i arbetsordningen,</w:t>
      </w:r>
    </w:p>
    <w:p w14:paraId="5E5D756F"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426F1DAF"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3BD28DCE" w14:textId="77777777" w:rsidR="004B06CC" w:rsidRPr="004D0537" w:rsidRDefault="004B06CC" w:rsidP="004B06CC">
      <w:pPr>
        <w:spacing w:after="240"/>
        <w:ind w:left="567" w:hanging="567"/>
      </w:pPr>
      <w:r w:rsidRPr="004D0537">
        <w:t>1.</w:t>
      </w:r>
      <w:r w:rsidRPr="004D0537">
        <w:tab/>
        <w:t>Europaparlamentet beviljar verkställande direktören för Europeiska arbetsmiljöbyrån ansvarsfrihet för genomförandet av byråns budget för budgetåret 2024.</w:t>
      </w:r>
    </w:p>
    <w:p w14:paraId="1796D967"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111EF56D"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arbetsmiljöbyrån, rådet, kommissionen och revisionsrätten, och att se till att de offentliggörs i </w:t>
      </w:r>
      <w:r w:rsidRPr="004D0537">
        <w:rPr>
          <w:i/>
          <w:iCs/>
        </w:rPr>
        <w:t>Europeiska unionens officiella tidning</w:t>
      </w:r>
      <w:r w:rsidRPr="004D0537">
        <w:t xml:space="preserve"> (L-serien).</w:t>
      </w:r>
    </w:p>
    <w:p w14:paraId="6BBA0221" w14:textId="77777777" w:rsidR="004B06CC" w:rsidRPr="004D0537" w:rsidRDefault="004B06CC" w:rsidP="004B06CC"/>
    <w:p w14:paraId="59F09A48" w14:textId="77777777" w:rsidR="004B06CC" w:rsidRPr="004D0537" w:rsidRDefault="004B06CC" w:rsidP="004B06CC">
      <w:pPr>
        <w:spacing w:after="480"/>
        <w:jc w:val="center"/>
        <w:rPr>
          <w:rFonts w:cs="Arial"/>
          <w:b/>
        </w:rPr>
        <w:sectPr w:rsidR="004B06CC" w:rsidRPr="004D0537" w:rsidSect="003A4AB5">
          <w:footerReference w:type="first" r:id="rId6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8B003F" w14:textId="12BBA5C7" w:rsidR="004B06CC" w:rsidRPr="004D0537" w:rsidRDefault="00862356" w:rsidP="00862356">
      <w:pPr>
        <w:pStyle w:val="ATHeading3"/>
      </w:pPr>
      <w:r w:rsidRPr="004D0537">
        <w:lastRenderedPageBreak/>
        <w:t xml:space="preserve">54. Europaparlamentets beslut av den 29 april </w:t>
      </w:r>
      <w:r w:rsidR="006C1F72" w:rsidRPr="004D0537">
        <w:t xml:space="preserve">2026 </w:t>
      </w:r>
      <w:r w:rsidR="004B06CC" w:rsidRPr="004D0537">
        <w:t>om avslutande av räkenskaperna för Europeiska arbetsmiljöbyrån för budgetåret 2024</w:t>
      </w:r>
      <w:r w:rsidRPr="004D0537">
        <w:t xml:space="preserve"> </w:t>
      </w:r>
      <w:r w:rsidR="004B06CC" w:rsidRPr="004D0537">
        <w:t>(2025/2156(DEC))</w:t>
      </w:r>
    </w:p>
    <w:p w14:paraId="69954840" w14:textId="77777777" w:rsidR="004B06CC" w:rsidRPr="004D0537" w:rsidRDefault="004B06CC" w:rsidP="004B06CC">
      <w:pPr>
        <w:spacing w:before="480" w:after="240"/>
      </w:pPr>
      <w:r w:rsidRPr="004D0537">
        <w:rPr>
          <w:i/>
          <w:iCs/>
        </w:rPr>
        <w:t>Europaparlamentet fattar detta beslut</w:t>
      </w:r>
    </w:p>
    <w:p w14:paraId="1F01B783" w14:textId="77777777" w:rsidR="004B06CC" w:rsidRPr="004D0537" w:rsidRDefault="004B06CC" w:rsidP="004B06CC">
      <w:pPr>
        <w:spacing w:after="240"/>
        <w:ind w:left="567" w:hanging="567"/>
      </w:pPr>
      <w:r w:rsidRPr="004D0537">
        <w:t>–</w:t>
      </w:r>
      <w:r w:rsidRPr="004D0537">
        <w:tab/>
        <w:t>med beaktande av den slutliga årsredovisningen för Europeiska arbetsmiljöbyrån för budgetåret 2024,</w:t>
      </w:r>
    </w:p>
    <w:p w14:paraId="1FE9E486"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19"/>
      </w:r>
      <w:r w:rsidRPr="004D0537">
        <w:t>,</w:t>
      </w:r>
    </w:p>
    <w:p w14:paraId="6AF0AA8A"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20"/>
      </w:r>
      <w:r w:rsidRPr="004D0537">
        <w:t>, som avgetts av revisionsrätten för budgetåret 2024 i enlighet med artikel 287 i fördraget om Europeiska unionens funktionssätt,</w:t>
      </w:r>
    </w:p>
    <w:p w14:paraId="2DCB6360"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6EB01B6F"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75196F0D"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21"/>
      </w:r>
      <w:r w:rsidRPr="004D0537">
        <w:t>, särskilt artikel 70,</w:t>
      </w:r>
    </w:p>
    <w:p w14:paraId="6BC63E21"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22"/>
      </w:r>
      <w:r w:rsidRPr="004D0537">
        <w:t>, särskilt artikel 70,</w:t>
      </w:r>
    </w:p>
    <w:p w14:paraId="2F4A744C" w14:textId="77777777" w:rsidR="004B06CC" w:rsidRPr="004D0537" w:rsidRDefault="004B06CC" w:rsidP="004B06CC">
      <w:pPr>
        <w:spacing w:after="240"/>
        <w:ind w:left="567" w:hanging="567"/>
      </w:pPr>
      <w:r w:rsidRPr="004D0537">
        <w:t>–</w:t>
      </w:r>
      <w:r w:rsidRPr="004D0537">
        <w:tab/>
        <w:t>med beaktande av Europaparlamentets och rådets förordning (EU) 2019/126 av den 16 januari 2019 om inrättande av Europeiska arbetsmiljöbyrån (EU-</w:t>
      </w:r>
      <w:proofErr w:type="spellStart"/>
      <w:r w:rsidRPr="004D0537">
        <w:t>Osha</w:t>
      </w:r>
      <w:proofErr w:type="spellEnd"/>
      <w:r w:rsidRPr="004D0537">
        <w:t>) och om upphävande av rådets förordning (EG) nr 2062/94</w:t>
      </w:r>
      <w:r w:rsidRPr="004D0537">
        <w:rPr>
          <w:vertAlign w:val="superscript"/>
        </w:rPr>
        <w:footnoteReference w:id="323"/>
      </w:r>
      <w:r w:rsidRPr="004D0537">
        <w:t>, särskilt artikel 16,</w:t>
      </w:r>
    </w:p>
    <w:p w14:paraId="565C4845"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24"/>
      </w:r>
      <w:r w:rsidRPr="004D0537">
        <w:t>, särskilt artikel 105,</w:t>
      </w:r>
    </w:p>
    <w:p w14:paraId="2D4D75E7" w14:textId="77777777" w:rsidR="004B06CC" w:rsidRPr="004D0537" w:rsidRDefault="004B06CC" w:rsidP="004B06CC">
      <w:pPr>
        <w:spacing w:after="240"/>
        <w:ind w:left="567" w:hanging="567"/>
      </w:pPr>
      <w:r w:rsidRPr="004D0537">
        <w:t>–</w:t>
      </w:r>
      <w:r w:rsidRPr="004D0537">
        <w:tab/>
        <w:t>med beaktande av artikel 102 och bilaga V i arbetsordningen,</w:t>
      </w:r>
    </w:p>
    <w:p w14:paraId="0FB0FBE8"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w:t>
      </w:r>
      <w:r w:rsidRPr="004D0537">
        <w:lastRenderedPageBreak/>
        <w:t>utskottet för transport och turism, fiskeriutskottet, utskottet för medborgerliga fri- och rättigheter samt rättsliga och inrikes frågor och utskottet för kvinnors rättigheter och jämställdhet,</w:t>
      </w:r>
    </w:p>
    <w:p w14:paraId="13BCB6B8"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49BA769A" w14:textId="77777777" w:rsidR="004B06CC" w:rsidRPr="004D0537" w:rsidRDefault="004B06CC" w:rsidP="004B06CC">
      <w:pPr>
        <w:spacing w:after="240"/>
        <w:ind w:left="567" w:hanging="567"/>
      </w:pPr>
      <w:r w:rsidRPr="004D0537">
        <w:t>1.</w:t>
      </w:r>
      <w:r w:rsidRPr="004D0537">
        <w:tab/>
        <w:t>Europaparlamentet godkänner avslutandet av räkenskaperna för Europeiska arbetsmiljöbyrån för budgetåret 2024.</w:t>
      </w:r>
    </w:p>
    <w:p w14:paraId="1164CFE9"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arbetsmiljöbyrån, rådet, kommissionen och revisionsrätten, och att se till att det offentliggörs i </w:t>
      </w:r>
      <w:r w:rsidRPr="004D0537">
        <w:rPr>
          <w:i/>
          <w:iCs/>
        </w:rPr>
        <w:t>Europeiska unionens officiella tidning</w:t>
      </w:r>
      <w:r w:rsidRPr="004D0537">
        <w:t xml:space="preserve"> (L-serien).</w:t>
      </w:r>
    </w:p>
    <w:p w14:paraId="6388C894" w14:textId="77777777" w:rsidR="004B06CC" w:rsidRPr="004D0537" w:rsidRDefault="004B06CC" w:rsidP="004B06CC"/>
    <w:p w14:paraId="03CAD218" w14:textId="77777777" w:rsidR="004B06CC" w:rsidRPr="004D0537" w:rsidRDefault="004B06CC" w:rsidP="00862356">
      <w:pPr>
        <w:spacing w:after="480"/>
        <w:rPr>
          <w:rFonts w:cs="Arial"/>
          <w:b/>
        </w:rPr>
        <w:sectPr w:rsidR="004B06CC" w:rsidRPr="004D0537" w:rsidSect="003A4AB5">
          <w:footerReference w:type="first" r:id="rId6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F612AB" w14:textId="03AD0FE0" w:rsidR="004B06CC" w:rsidRPr="004D0537" w:rsidRDefault="00862356" w:rsidP="00862356">
      <w:pPr>
        <w:pStyle w:val="ATHeading3"/>
      </w:pPr>
      <w:r w:rsidRPr="004D0537">
        <w:lastRenderedPageBreak/>
        <w:t xml:space="preserve">55. Europaparlamentets beslut av den 29 april </w:t>
      </w:r>
      <w:r w:rsidR="006C1F72" w:rsidRPr="004D0537">
        <w:t xml:space="preserve">2026 </w:t>
      </w:r>
      <w:r w:rsidR="004B06CC" w:rsidRPr="004D0537">
        <w:t>om ansvarsfrihet för genomförandet av budgeten för Europeiska fonden för förbättring av levnads- och arbetsvillkor för budgetåret 2024</w:t>
      </w:r>
      <w:r w:rsidRPr="004D0537">
        <w:t xml:space="preserve"> </w:t>
      </w:r>
      <w:r w:rsidR="004B06CC" w:rsidRPr="004D0537">
        <w:t>(2025/2156(DEC))</w:t>
      </w:r>
    </w:p>
    <w:p w14:paraId="5636E4B7" w14:textId="77777777" w:rsidR="004B06CC" w:rsidRPr="004D0537" w:rsidRDefault="004B06CC" w:rsidP="004B06CC">
      <w:pPr>
        <w:spacing w:before="480" w:after="240"/>
      </w:pPr>
      <w:r w:rsidRPr="004D0537">
        <w:rPr>
          <w:i/>
          <w:iCs/>
        </w:rPr>
        <w:t>Europaparlamentet fattar detta beslut</w:t>
      </w:r>
    </w:p>
    <w:p w14:paraId="12F11BF9" w14:textId="77777777" w:rsidR="004B06CC" w:rsidRPr="004D0537" w:rsidRDefault="004B06CC" w:rsidP="004B06CC">
      <w:pPr>
        <w:spacing w:after="240"/>
        <w:ind w:left="567" w:hanging="567"/>
      </w:pPr>
      <w:r w:rsidRPr="004D0537">
        <w:t>–</w:t>
      </w:r>
      <w:r w:rsidRPr="004D0537">
        <w:tab/>
        <w:t>med beaktande av den slutliga årsredovisningen för Europeiska fonden för förbättring av levnads- och arbetsvillkor (</w:t>
      </w:r>
      <w:proofErr w:type="spellStart"/>
      <w:r w:rsidRPr="004D0537">
        <w:t>Eurofound</w:t>
      </w:r>
      <w:proofErr w:type="spellEnd"/>
      <w:r w:rsidRPr="004D0537">
        <w:t>) för budgetåret 2024,</w:t>
      </w:r>
    </w:p>
    <w:p w14:paraId="46CACA9E"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25"/>
      </w:r>
      <w:r w:rsidRPr="004D0537">
        <w:t>,</w:t>
      </w:r>
    </w:p>
    <w:p w14:paraId="6CCBDAD9"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26"/>
      </w:r>
      <w:r w:rsidRPr="004D0537">
        <w:t>, som avgetts av revisionsrätten för budgetåret 2024 i enlighet med artikel 287 i fördraget om Europeiska unionens funktionssätt,</w:t>
      </w:r>
    </w:p>
    <w:p w14:paraId="6397B3A9" w14:textId="77777777" w:rsidR="004B06CC" w:rsidRPr="004D0537" w:rsidRDefault="004B06CC" w:rsidP="004B06CC">
      <w:pPr>
        <w:spacing w:after="240"/>
        <w:ind w:left="567" w:hanging="567"/>
      </w:pPr>
      <w:r w:rsidRPr="004D0537">
        <w:t>–</w:t>
      </w:r>
      <w:r w:rsidRPr="004D0537">
        <w:tab/>
        <w:t xml:space="preserve">med beaktande av rådets rekommendation av den 2 mars 2026 om att bevilja </w:t>
      </w:r>
      <w:proofErr w:type="spellStart"/>
      <w:r w:rsidRPr="004D0537">
        <w:t>Eurofound</w:t>
      </w:r>
      <w:proofErr w:type="spellEnd"/>
      <w:r w:rsidRPr="004D0537">
        <w:t xml:space="preserve"> ansvarsfrihet för genomförandet av budgeten för budgetåret 2024 (05750/2026 – C10</w:t>
      </w:r>
      <w:r w:rsidRPr="004D0537">
        <w:noBreakHyphen/>
        <w:t>0148/2026),</w:t>
      </w:r>
    </w:p>
    <w:p w14:paraId="4DD44BE9"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64710A9A"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27"/>
      </w:r>
      <w:r w:rsidRPr="004D0537">
        <w:t>, särskilt artikel 70,</w:t>
      </w:r>
    </w:p>
    <w:p w14:paraId="5FB0916E"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28"/>
      </w:r>
      <w:r w:rsidRPr="004D0537">
        <w:t>, särskilt artikel 70,</w:t>
      </w:r>
    </w:p>
    <w:p w14:paraId="13C820D9" w14:textId="77777777" w:rsidR="004B06CC" w:rsidRPr="004D0537" w:rsidRDefault="004B06CC" w:rsidP="004B06CC">
      <w:pPr>
        <w:spacing w:after="240"/>
        <w:ind w:left="567" w:hanging="567"/>
      </w:pPr>
      <w:r w:rsidRPr="004D0537">
        <w:t>–</w:t>
      </w:r>
      <w:r w:rsidRPr="004D0537">
        <w:tab/>
        <w:t>med beaktande av Europaparlamentets och rådets förordning (EU) 2019/127 av den 16 januari 2019 om inrättande av Europeiska fonden för förbättring av levnads- och arbetsvillkor (</w:t>
      </w:r>
      <w:proofErr w:type="spellStart"/>
      <w:r w:rsidRPr="004D0537">
        <w:t>Eurofound</w:t>
      </w:r>
      <w:proofErr w:type="spellEnd"/>
      <w:r w:rsidRPr="004D0537">
        <w:t>) och om upphävande av rådets förordning (EEG) nr 1365/75</w:t>
      </w:r>
      <w:r w:rsidRPr="004D0537">
        <w:rPr>
          <w:vertAlign w:val="superscript"/>
        </w:rPr>
        <w:footnoteReference w:id="329"/>
      </w:r>
      <w:r w:rsidRPr="004D0537">
        <w:t>, särskilt artikel 16,</w:t>
      </w:r>
    </w:p>
    <w:p w14:paraId="7FA0F048"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30"/>
      </w:r>
      <w:r w:rsidRPr="004D0537">
        <w:t>, särskilt artikel 105,</w:t>
      </w:r>
    </w:p>
    <w:p w14:paraId="5C2EF6FC"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10C61311"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19D62DC6"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48A6BA0E" w14:textId="77777777" w:rsidR="004B06CC" w:rsidRPr="004D0537" w:rsidRDefault="004B06CC" w:rsidP="004B06CC">
      <w:pPr>
        <w:spacing w:after="240"/>
        <w:ind w:left="567" w:hanging="567"/>
      </w:pPr>
      <w:r w:rsidRPr="004D0537">
        <w:t>1.</w:t>
      </w:r>
      <w:r w:rsidRPr="004D0537">
        <w:tab/>
        <w:t>Europaparlamentet beviljar verkställande direktören för Europeiska fonden för förbättring av levnads- och arbetsvillkor (</w:t>
      </w:r>
      <w:proofErr w:type="spellStart"/>
      <w:r w:rsidRPr="004D0537">
        <w:t>Eurofound</w:t>
      </w:r>
      <w:proofErr w:type="spellEnd"/>
      <w:r w:rsidRPr="004D0537">
        <w:t xml:space="preserve">) ansvarsfrihet för genomförandet av </w:t>
      </w:r>
      <w:proofErr w:type="spellStart"/>
      <w:r w:rsidRPr="004D0537">
        <w:t>Eurofounds</w:t>
      </w:r>
      <w:proofErr w:type="spellEnd"/>
      <w:r w:rsidRPr="004D0537">
        <w:t xml:space="preserve"> budget för budgetåret 2024.</w:t>
      </w:r>
    </w:p>
    <w:p w14:paraId="3F3C7C9C"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0E853821"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fonden för förbättring av levnads- och arbetsvillkor, rådet, kommissionen och revisionsrätten, och att se till att de offentliggörs i </w:t>
      </w:r>
      <w:r w:rsidRPr="004D0537">
        <w:rPr>
          <w:i/>
          <w:iCs/>
        </w:rPr>
        <w:t>Europeiska unionens officiella tidning</w:t>
      </w:r>
      <w:r w:rsidRPr="004D0537">
        <w:t xml:space="preserve"> (L-serien).</w:t>
      </w:r>
    </w:p>
    <w:p w14:paraId="27C6FA18" w14:textId="77777777" w:rsidR="004B06CC" w:rsidRPr="004D0537" w:rsidRDefault="004B06CC" w:rsidP="004B06CC"/>
    <w:p w14:paraId="177535BA" w14:textId="77777777" w:rsidR="004B06CC" w:rsidRPr="004D0537" w:rsidRDefault="004B06CC" w:rsidP="004B06CC">
      <w:pPr>
        <w:spacing w:after="480"/>
        <w:jc w:val="center"/>
        <w:rPr>
          <w:rFonts w:cs="Arial"/>
          <w:b/>
        </w:rPr>
        <w:sectPr w:rsidR="004B06CC" w:rsidRPr="004D0537" w:rsidSect="003A4AB5">
          <w:footerReference w:type="first" r:id="rId6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DE4240" w14:textId="71234A0C" w:rsidR="004B06CC" w:rsidRPr="004D0537" w:rsidRDefault="00862356" w:rsidP="00862356">
      <w:pPr>
        <w:pStyle w:val="ATHeading3"/>
      </w:pPr>
      <w:r w:rsidRPr="004D0537">
        <w:lastRenderedPageBreak/>
        <w:t xml:space="preserve">56. Europaparlamentets beslut av den 29 april </w:t>
      </w:r>
      <w:r w:rsidR="006C1F72" w:rsidRPr="004D0537">
        <w:t xml:space="preserve">2026 </w:t>
      </w:r>
      <w:r w:rsidR="004B06CC" w:rsidRPr="004D0537">
        <w:t>om avslutande av räkenskaperna för Europeiska fonden för förbättring av levnads- och arbetsvillkor för budgetåret 2024</w:t>
      </w:r>
      <w:r w:rsidRPr="004D0537">
        <w:t xml:space="preserve"> </w:t>
      </w:r>
      <w:r w:rsidR="004B06CC" w:rsidRPr="004D0537">
        <w:t>(2025/2156(DEC))</w:t>
      </w:r>
    </w:p>
    <w:p w14:paraId="16A03D89" w14:textId="77777777" w:rsidR="004B06CC" w:rsidRPr="004D0537" w:rsidRDefault="004B06CC" w:rsidP="004B06CC">
      <w:pPr>
        <w:spacing w:before="480" w:after="240"/>
      </w:pPr>
      <w:r w:rsidRPr="004D0537">
        <w:rPr>
          <w:i/>
          <w:iCs/>
        </w:rPr>
        <w:t>Europaparlamentet fattar detta beslut</w:t>
      </w:r>
    </w:p>
    <w:p w14:paraId="1C6571A9" w14:textId="77777777" w:rsidR="004B06CC" w:rsidRPr="004D0537" w:rsidRDefault="004B06CC" w:rsidP="004B06CC">
      <w:pPr>
        <w:spacing w:after="240"/>
        <w:ind w:left="567" w:hanging="567"/>
      </w:pPr>
      <w:r w:rsidRPr="004D0537">
        <w:t>–</w:t>
      </w:r>
      <w:r w:rsidRPr="004D0537">
        <w:tab/>
        <w:t>med beaktande av den slutliga årsredovisningen för Europeiska fonden för förbättring av levnads- och arbetsvillkor (</w:t>
      </w:r>
      <w:proofErr w:type="spellStart"/>
      <w:r w:rsidRPr="004D0537">
        <w:t>Eurofound</w:t>
      </w:r>
      <w:proofErr w:type="spellEnd"/>
      <w:r w:rsidRPr="004D0537">
        <w:t>) för budgetåret 2024,</w:t>
      </w:r>
    </w:p>
    <w:p w14:paraId="7AC61F68"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31"/>
      </w:r>
      <w:r w:rsidRPr="004D0537">
        <w:t>,</w:t>
      </w:r>
    </w:p>
    <w:p w14:paraId="1DAFCFC5"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32"/>
      </w:r>
      <w:r w:rsidRPr="004D0537">
        <w:t>, som avgetts av revisionsrätten för budgetåret 2024 i enlighet med artikel 287 i fördraget om Europeiska unionens funktionssätt,</w:t>
      </w:r>
    </w:p>
    <w:p w14:paraId="7CC27D1F" w14:textId="77777777" w:rsidR="004B06CC" w:rsidRPr="004D0537" w:rsidRDefault="004B06CC" w:rsidP="004B06CC">
      <w:pPr>
        <w:spacing w:after="240"/>
        <w:ind w:left="567" w:hanging="567"/>
      </w:pPr>
      <w:r w:rsidRPr="004D0537">
        <w:t>–</w:t>
      </w:r>
      <w:r w:rsidRPr="004D0537">
        <w:tab/>
        <w:t xml:space="preserve">med beaktande av rådets rekommendation av den 2 mars 2026 om att bevilja </w:t>
      </w:r>
      <w:proofErr w:type="spellStart"/>
      <w:r w:rsidRPr="004D0537">
        <w:t>Eurofound</w:t>
      </w:r>
      <w:proofErr w:type="spellEnd"/>
      <w:r w:rsidRPr="004D0537">
        <w:t xml:space="preserve"> ansvarsfrihet för genomförandet av budgeten för budgetåret 2024 (05750/2026 – C10</w:t>
      </w:r>
      <w:r w:rsidRPr="004D0537">
        <w:noBreakHyphen/>
        <w:t>0148/2026),</w:t>
      </w:r>
    </w:p>
    <w:p w14:paraId="4C47162E"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5E2ACFBB"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33"/>
      </w:r>
      <w:r w:rsidRPr="004D0537">
        <w:t>, särskilt artikel 70,</w:t>
      </w:r>
    </w:p>
    <w:p w14:paraId="2B701DCA"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34"/>
      </w:r>
      <w:r w:rsidRPr="004D0537">
        <w:t>, särskilt artikel 70,</w:t>
      </w:r>
    </w:p>
    <w:p w14:paraId="07339498" w14:textId="77777777" w:rsidR="004B06CC" w:rsidRPr="004D0537" w:rsidRDefault="004B06CC" w:rsidP="004B06CC">
      <w:pPr>
        <w:spacing w:after="240"/>
        <w:ind w:left="567" w:hanging="567"/>
      </w:pPr>
      <w:r w:rsidRPr="004D0537">
        <w:t>–</w:t>
      </w:r>
      <w:r w:rsidRPr="004D0537">
        <w:tab/>
        <w:t>med beaktande av Europaparlamentets och rådets förordning (EU) 2019/127 av den 16 januari 2019 om inrättande av Europeiska fonden för förbättring av levnads- och arbetsvillkor (</w:t>
      </w:r>
      <w:proofErr w:type="spellStart"/>
      <w:r w:rsidRPr="004D0537">
        <w:t>Eurofound</w:t>
      </w:r>
      <w:proofErr w:type="spellEnd"/>
      <w:r w:rsidRPr="004D0537">
        <w:t>) och om upphävande av rådets förordning (EEG) nr 1365/75</w:t>
      </w:r>
      <w:r w:rsidRPr="004D0537">
        <w:rPr>
          <w:vertAlign w:val="superscript"/>
        </w:rPr>
        <w:footnoteReference w:id="335"/>
      </w:r>
      <w:r w:rsidRPr="004D0537">
        <w:t>, särskilt artikel 16,</w:t>
      </w:r>
    </w:p>
    <w:p w14:paraId="60D84643"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36"/>
      </w:r>
      <w:r w:rsidRPr="004D0537">
        <w:t>, särskilt artikel 105,</w:t>
      </w:r>
    </w:p>
    <w:p w14:paraId="640C5746" w14:textId="77777777" w:rsidR="004B06CC" w:rsidRPr="004D0537" w:rsidRDefault="004B06CC" w:rsidP="004B06CC">
      <w:pPr>
        <w:spacing w:after="240"/>
        <w:ind w:left="567" w:hanging="567"/>
      </w:pPr>
      <w:r w:rsidRPr="004D0537">
        <w:t>–</w:t>
      </w:r>
      <w:r w:rsidRPr="004D0537">
        <w:tab/>
        <w:t>med beaktande av artikel 102 och bilaga V i arbetsordningen,</w:t>
      </w:r>
    </w:p>
    <w:p w14:paraId="487CF797"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7D33298D"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2ECE144A" w14:textId="77777777" w:rsidR="004B06CC" w:rsidRPr="004D0537" w:rsidRDefault="004B06CC" w:rsidP="004B06CC">
      <w:pPr>
        <w:spacing w:after="240"/>
        <w:ind w:left="567" w:hanging="567"/>
      </w:pPr>
      <w:r w:rsidRPr="004D0537">
        <w:t>1.</w:t>
      </w:r>
      <w:r w:rsidRPr="004D0537">
        <w:tab/>
        <w:t>Europaparlamentet godkänner avslutandet av räkenskaperna för Europeiska fonden för förbättring av levnads- och arbetsvillkor för budgetåret 2024.</w:t>
      </w:r>
    </w:p>
    <w:p w14:paraId="32ED1D58"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fonden för förbättring av levnads- och arbetsvillkor, rådet, kommissionen och revisionsrätten, och att se till att det offentliggörs i </w:t>
      </w:r>
      <w:r w:rsidRPr="004D0537">
        <w:rPr>
          <w:i/>
          <w:iCs/>
        </w:rPr>
        <w:t>Europeiska unionens officiella tidning</w:t>
      </w:r>
      <w:r w:rsidRPr="004D0537">
        <w:t xml:space="preserve"> (L-serien).</w:t>
      </w:r>
    </w:p>
    <w:p w14:paraId="4D8B973A" w14:textId="77777777" w:rsidR="004B06CC" w:rsidRPr="004D0537" w:rsidRDefault="004B06CC" w:rsidP="004B06CC"/>
    <w:p w14:paraId="5BCC4D9B" w14:textId="77777777" w:rsidR="004B06CC" w:rsidRPr="004D0537" w:rsidRDefault="004B06CC" w:rsidP="00862356">
      <w:pPr>
        <w:spacing w:after="480"/>
        <w:rPr>
          <w:rFonts w:cs="Arial"/>
          <w:b/>
        </w:rPr>
        <w:sectPr w:rsidR="004B06CC" w:rsidRPr="004D0537" w:rsidSect="003A4AB5">
          <w:footerReference w:type="first" r:id="rId6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0FD793" w14:textId="76DFED4F" w:rsidR="004B06CC" w:rsidRPr="004D0537" w:rsidRDefault="00862356" w:rsidP="00862356">
      <w:pPr>
        <w:pStyle w:val="ATHeading3"/>
      </w:pPr>
      <w:r w:rsidRPr="004D0537">
        <w:lastRenderedPageBreak/>
        <w:t>57. Europaparlamentets beslut av den 29 april</w:t>
      </w:r>
      <w:r w:rsidR="006C1F72" w:rsidRPr="004D0537">
        <w:t xml:space="preserve"> 2026 </w:t>
      </w:r>
      <w:r w:rsidR="004B06CC" w:rsidRPr="004D0537">
        <w:t>om ansvarsfrihet för genomförandet av budgeten för Europeiska unionens byrå för straffrättsligt samarbete för budgetåret 2024</w:t>
      </w:r>
      <w:r w:rsidRPr="004D0537">
        <w:t xml:space="preserve"> </w:t>
      </w:r>
      <w:r w:rsidR="004B06CC" w:rsidRPr="004D0537">
        <w:t>(2025/2156(DEC))</w:t>
      </w:r>
    </w:p>
    <w:p w14:paraId="23CDF3DA" w14:textId="77777777" w:rsidR="004B06CC" w:rsidRPr="004D0537" w:rsidRDefault="004B06CC" w:rsidP="004B06CC">
      <w:pPr>
        <w:spacing w:before="480" w:after="240"/>
      </w:pPr>
      <w:r w:rsidRPr="004D0537">
        <w:rPr>
          <w:i/>
          <w:iCs/>
        </w:rPr>
        <w:t>Europaparlamentet fattar detta beslut</w:t>
      </w:r>
    </w:p>
    <w:p w14:paraId="2F10B6AE" w14:textId="77777777" w:rsidR="004B06CC" w:rsidRPr="004D0537" w:rsidRDefault="004B06CC" w:rsidP="004B06CC">
      <w:pPr>
        <w:spacing w:after="240"/>
        <w:ind w:left="567" w:hanging="567"/>
      </w:pPr>
      <w:r w:rsidRPr="004D0537">
        <w:t>–</w:t>
      </w:r>
      <w:r w:rsidRPr="004D0537">
        <w:tab/>
        <w:t>med beaktande av den slutliga årsredovisningen för Europeiska unionens byrå för straffrättsligt samarbete för budgetåret 2024,</w:t>
      </w:r>
    </w:p>
    <w:p w14:paraId="2F3D0BCD"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37"/>
      </w:r>
      <w:r w:rsidRPr="004D0537">
        <w:t>,</w:t>
      </w:r>
    </w:p>
    <w:p w14:paraId="53FA821A"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38"/>
      </w:r>
      <w:r w:rsidRPr="004D0537">
        <w:t>, som avgetts av revisionsrätten för budgetåret 2024 i enlighet med artikel 287 i fördraget om Europeiska unionens funktionssätt,</w:t>
      </w:r>
    </w:p>
    <w:p w14:paraId="4C5DF5FD"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4BB2BCE2"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2304F901"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39"/>
      </w:r>
      <w:r w:rsidRPr="004D0537">
        <w:t>, särskilt artikel 70,</w:t>
      </w:r>
    </w:p>
    <w:p w14:paraId="10D1591B"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40"/>
      </w:r>
      <w:r w:rsidRPr="004D0537">
        <w:t>, särskilt artikel 70,</w:t>
      </w:r>
    </w:p>
    <w:p w14:paraId="4A542E0F" w14:textId="77777777" w:rsidR="004B06CC" w:rsidRPr="004D0537" w:rsidRDefault="004B06CC" w:rsidP="004B06CC">
      <w:pPr>
        <w:spacing w:after="240"/>
        <w:ind w:left="567" w:hanging="567"/>
      </w:pPr>
      <w:r w:rsidRPr="004D0537">
        <w:t>–</w:t>
      </w:r>
      <w:r w:rsidRPr="004D0537">
        <w:tab/>
        <w:t>med beaktande av Europaparlamentets och rådets förordning (EU) 2018/1727 av den 14 november 2018 om Europeiska unionens byrå för straffrättsligt samarbete (Eurojust), och om ersättning och upphävande av rådets beslut 2002/187/RIF</w:t>
      </w:r>
      <w:r w:rsidRPr="004D0537">
        <w:rPr>
          <w:vertAlign w:val="superscript"/>
        </w:rPr>
        <w:footnoteReference w:id="341"/>
      </w:r>
      <w:r w:rsidRPr="004D0537">
        <w:t>, särskilt artikel 63,</w:t>
      </w:r>
    </w:p>
    <w:p w14:paraId="1A77D9B5"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42"/>
      </w:r>
      <w:r w:rsidRPr="004D0537">
        <w:t>, särskilt artikel 105,</w:t>
      </w:r>
    </w:p>
    <w:p w14:paraId="02E7A995" w14:textId="77777777" w:rsidR="004B06CC" w:rsidRPr="004D0537" w:rsidRDefault="004B06CC" w:rsidP="004B06CC">
      <w:pPr>
        <w:spacing w:after="240"/>
        <w:ind w:left="567" w:hanging="567"/>
      </w:pPr>
      <w:r w:rsidRPr="004D0537">
        <w:t>–</w:t>
      </w:r>
      <w:r w:rsidRPr="004D0537">
        <w:tab/>
        <w:t>med beaktande av artikel 102 och bilaga V i arbetsordningen,</w:t>
      </w:r>
    </w:p>
    <w:p w14:paraId="0C616EC8"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10E3A43C"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08205766" w14:textId="77777777" w:rsidR="004B06CC" w:rsidRPr="004D0537" w:rsidRDefault="004B06CC" w:rsidP="004B06CC">
      <w:pPr>
        <w:spacing w:after="240"/>
        <w:ind w:left="567" w:hanging="567"/>
      </w:pPr>
      <w:r w:rsidRPr="004D0537">
        <w:t>1.</w:t>
      </w:r>
      <w:r w:rsidRPr="004D0537">
        <w:tab/>
        <w:t>Europaparlamentet beviljar den administrativa direktören för Europeiska unionens byrå för straffrättsligt samarbete ansvarsfrihet för genomförandet av byråns budget för budgetåret 2024.</w:t>
      </w:r>
    </w:p>
    <w:p w14:paraId="5BC5A4D4"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4851471F"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den administrativa direktören för Europeiska unionens byrå för straffrättsligt samarbete, rådet, kommissionen och revisionsrätten, och att se till att de offentliggörs i </w:t>
      </w:r>
      <w:r w:rsidRPr="004D0537">
        <w:rPr>
          <w:i/>
          <w:iCs/>
        </w:rPr>
        <w:t>Europeiska unionens officiella tidning</w:t>
      </w:r>
      <w:r w:rsidRPr="004D0537">
        <w:t xml:space="preserve"> (L-serien).</w:t>
      </w:r>
    </w:p>
    <w:p w14:paraId="71225A35" w14:textId="77777777" w:rsidR="004B06CC" w:rsidRPr="004D0537" w:rsidRDefault="004B06CC" w:rsidP="004B06CC"/>
    <w:p w14:paraId="4DEB9D50" w14:textId="77777777" w:rsidR="004B06CC" w:rsidRPr="004D0537" w:rsidRDefault="004B06CC" w:rsidP="004B06CC">
      <w:pPr>
        <w:spacing w:after="480"/>
        <w:jc w:val="center"/>
        <w:rPr>
          <w:rFonts w:cs="Arial"/>
          <w:b/>
        </w:rPr>
        <w:sectPr w:rsidR="004B06CC" w:rsidRPr="004D0537" w:rsidSect="003A4AB5">
          <w:footerReference w:type="first" r:id="rId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BE8E27" w14:textId="1EA383EC" w:rsidR="004B06CC" w:rsidRPr="004D0537" w:rsidRDefault="00D917A6" w:rsidP="00D917A6">
      <w:pPr>
        <w:pStyle w:val="ATHeading3"/>
      </w:pPr>
      <w:r w:rsidRPr="004D0537">
        <w:lastRenderedPageBreak/>
        <w:t xml:space="preserve">58. Europaparlamentets beslut av den 29 april </w:t>
      </w:r>
      <w:r w:rsidR="006C1F72" w:rsidRPr="004D0537">
        <w:t xml:space="preserve">2026 </w:t>
      </w:r>
      <w:r w:rsidR="004B06CC" w:rsidRPr="004D0537">
        <w:t>om avslutande av räkenskaperna för Europeiska unionens byrå för straffrättsligt samarbete för budgetåret 2024</w:t>
      </w:r>
      <w:r w:rsidRPr="004D0537">
        <w:t xml:space="preserve"> </w:t>
      </w:r>
      <w:r w:rsidR="004B06CC" w:rsidRPr="004D0537">
        <w:t>(2025/2156(DEC))</w:t>
      </w:r>
    </w:p>
    <w:p w14:paraId="1160282A" w14:textId="77777777" w:rsidR="004B06CC" w:rsidRPr="004D0537" w:rsidRDefault="004B06CC" w:rsidP="004B06CC">
      <w:pPr>
        <w:spacing w:before="480" w:after="240"/>
      </w:pPr>
      <w:r w:rsidRPr="004D0537">
        <w:rPr>
          <w:i/>
          <w:iCs/>
        </w:rPr>
        <w:t>Europaparlamentet fattar detta beslut</w:t>
      </w:r>
    </w:p>
    <w:p w14:paraId="30F19D5D" w14:textId="77777777" w:rsidR="004B06CC" w:rsidRPr="004D0537" w:rsidRDefault="004B06CC" w:rsidP="004B06CC">
      <w:pPr>
        <w:spacing w:after="240"/>
        <w:ind w:left="567" w:hanging="567"/>
      </w:pPr>
      <w:r w:rsidRPr="004D0537">
        <w:t>–</w:t>
      </w:r>
      <w:r w:rsidRPr="004D0537">
        <w:tab/>
        <w:t>med beaktande av den slutliga årsredovisningen för Europeiska unionens byrå för straffrättsligt samarbete för budgetåret 2024,</w:t>
      </w:r>
    </w:p>
    <w:p w14:paraId="402EC4EA"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43"/>
      </w:r>
      <w:r w:rsidRPr="004D0537">
        <w:t>,</w:t>
      </w:r>
    </w:p>
    <w:p w14:paraId="5D450D76"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44"/>
      </w:r>
      <w:r w:rsidRPr="004D0537">
        <w:t>, som avgetts av revisionsrätten för budgetåret 2024 i enlighet med artikel 287 i fördraget om Europeiska unionens funktionssätt,</w:t>
      </w:r>
    </w:p>
    <w:p w14:paraId="3D225A82"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69F7039E"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4452AECC"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45"/>
      </w:r>
      <w:r w:rsidRPr="004D0537">
        <w:t>, särskilt artikel 70,</w:t>
      </w:r>
    </w:p>
    <w:p w14:paraId="33089F41"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46"/>
      </w:r>
      <w:r w:rsidRPr="004D0537">
        <w:t>, särskilt artikel 70,</w:t>
      </w:r>
    </w:p>
    <w:p w14:paraId="6CD23D9A" w14:textId="77777777" w:rsidR="004B06CC" w:rsidRPr="004D0537" w:rsidRDefault="004B06CC" w:rsidP="004B06CC">
      <w:pPr>
        <w:spacing w:after="240"/>
        <w:ind w:left="567" w:hanging="567"/>
      </w:pPr>
      <w:r w:rsidRPr="004D0537">
        <w:t>–</w:t>
      </w:r>
      <w:r w:rsidRPr="004D0537">
        <w:tab/>
        <w:t>med beaktande av Europaparlamentets och rådets förordning (EU) 2018/1727 av den 14 november 2018 om Europeiska unionens byrå för straffrättsligt samarbete (Eurojust), och om ersättning och upphävande av rådets beslut 2002/187/RIF</w:t>
      </w:r>
      <w:r w:rsidRPr="004D0537">
        <w:rPr>
          <w:vertAlign w:val="superscript"/>
        </w:rPr>
        <w:footnoteReference w:id="347"/>
      </w:r>
      <w:r w:rsidRPr="004D0537">
        <w:t>, särskilt artikel 63,</w:t>
      </w:r>
    </w:p>
    <w:p w14:paraId="5892379A"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48"/>
      </w:r>
      <w:r w:rsidRPr="004D0537">
        <w:t>, särskilt artikel 105,</w:t>
      </w:r>
    </w:p>
    <w:p w14:paraId="7C6BF61E" w14:textId="77777777" w:rsidR="004B06CC" w:rsidRPr="004D0537" w:rsidRDefault="004B06CC" w:rsidP="004B06CC">
      <w:pPr>
        <w:spacing w:after="240"/>
        <w:ind w:left="567" w:hanging="567"/>
      </w:pPr>
      <w:r w:rsidRPr="004D0537">
        <w:t>–</w:t>
      </w:r>
      <w:r w:rsidRPr="004D0537">
        <w:tab/>
        <w:t>med beaktande av artikel 102 och bilaga V i arbetsordningen,</w:t>
      </w:r>
    </w:p>
    <w:p w14:paraId="54CDE1AC"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7957583A"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26E0939F" w14:textId="77777777" w:rsidR="004B06CC" w:rsidRPr="004D0537" w:rsidRDefault="004B06CC" w:rsidP="004B06CC">
      <w:pPr>
        <w:spacing w:after="240"/>
        <w:ind w:left="567" w:hanging="567"/>
      </w:pPr>
      <w:r w:rsidRPr="004D0537">
        <w:t>1.</w:t>
      </w:r>
      <w:r w:rsidRPr="004D0537">
        <w:tab/>
        <w:t>Europaparlamentet godkänner avslutandet av räkenskaperna för Europeiska unionens byrå för straffrättsligt samarbete för budgetåret 2024.</w:t>
      </w:r>
    </w:p>
    <w:p w14:paraId="108BF9A1"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den administrativa direktören för Europeiska unionens byrå för straffrättsligt samarbete, rådet, kommissionen och revisionsrätten, och att se till att det offentliggörs i </w:t>
      </w:r>
      <w:r w:rsidRPr="004D0537">
        <w:rPr>
          <w:i/>
          <w:iCs/>
        </w:rPr>
        <w:t>Europeiska unionens officiella tidning</w:t>
      </w:r>
      <w:r w:rsidRPr="004D0537">
        <w:t xml:space="preserve"> (L-serien).</w:t>
      </w:r>
    </w:p>
    <w:p w14:paraId="64F4582C" w14:textId="77777777" w:rsidR="004B06CC" w:rsidRPr="004D0537" w:rsidRDefault="004B06CC" w:rsidP="004B06CC"/>
    <w:p w14:paraId="7D0C3995" w14:textId="77777777" w:rsidR="004B06CC" w:rsidRPr="004D0537" w:rsidRDefault="004B06CC" w:rsidP="00D917A6">
      <w:pPr>
        <w:spacing w:after="480"/>
        <w:rPr>
          <w:rFonts w:cs="Arial"/>
          <w:b/>
        </w:rPr>
        <w:sectPr w:rsidR="004B06CC" w:rsidRPr="004D0537" w:rsidSect="003A4AB5">
          <w:footerReference w:type="first" r:id="rId7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8C3F776" w14:textId="75467CB3" w:rsidR="004B06CC" w:rsidRPr="004D0537" w:rsidRDefault="006C1F72" w:rsidP="006C1F72">
      <w:pPr>
        <w:pStyle w:val="ATHeading3"/>
      </w:pPr>
      <w:r w:rsidRPr="004D0537">
        <w:lastRenderedPageBreak/>
        <w:t xml:space="preserve">59. Europaparlamentets beslut av den 29 april 2026 </w:t>
      </w:r>
      <w:r w:rsidR="004B06CC" w:rsidRPr="004D0537">
        <w:t>om ansvarsfrihet för genomförandet av budgeten för Europeiska unionens byrå för samarbete inom brottsbekämpning för budgetåret 2024</w:t>
      </w:r>
      <w:r w:rsidR="00D917A6" w:rsidRPr="004D0537">
        <w:t xml:space="preserve"> </w:t>
      </w:r>
      <w:r w:rsidR="004B06CC" w:rsidRPr="004D0537">
        <w:t>(2025/2156(DEC))</w:t>
      </w:r>
    </w:p>
    <w:p w14:paraId="70F955FC" w14:textId="77777777" w:rsidR="004B06CC" w:rsidRPr="004D0537" w:rsidRDefault="004B06CC" w:rsidP="004B06CC">
      <w:pPr>
        <w:spacing w:before="480" w:after="240"/>
      </w:pPr>
      <w:r w:rsidRPr="004D0537">
        <w:rPr>
          <w:i/>
          <w:iCs/>
        </w:rPr>
        <w:t>Europaparlamentet fattar detta beslut</w:t>
      </w:r>
    </w:p>
    <w:p w14:paraId="2864A8DF" w14:textId="77777777" w:rsidR="004B06CC" w:rsidRPr="004D0537" w:rsidRDefault="004B06CC" w:rsidP="004B06CC">
      <w:pPr>
        <w:spacing w:after="240"/>
        <w:ind w:left="567" w:hanging="567"/>
      </w:pPr>
      <w:r w:rsidRPr="004D0537">
        <w:t>–</w:t>
      </w:r>
      <w:r w:rsidRPr="004D0537">
        <w:tab/>
        <w:t>med beaktande av den slutliga årsredovisningen för Europeiska unionens byrå för samarbete inom brottsbekämpning för budgetåret 2024,</w:t>
      </w:r>
    </w:p>
    <w:p w14:paraId="38AF4476"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49"/>
      </w:r>
      <w:r w:rsidRPr="004D0537">
        <w:t>,</w:t>
      </w:r>
    </w:p>
    <w:p w14:paraId="36E2275A"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50"/>
      </w:r>
      <w:r w:rsidRPr="004D0537">
        <w:t>, som avgetts av revisionsrätten för budgetåret 2024 i enlighet med artikel 287 i fördraget om Europeiska unionens funktionssätt,</w:t>
      </w:r>
    </w:p>
    <w:p w14:paraId="1D0C8249"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03EEF527"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013F895A"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51"/>
      </w:r>
      <w:r w:rsidRPr="004D0537">
        <w:t>, särskilt artikel 70,</w:t>
      </w:r>
    </w:p>
    <w:p w14:paraId="7D84ED4D"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52"/>
      </w:r>
      <w:r w:rsidRPr="004D0537">
        <w:t>, särskilt artikel 70,</w:t>
      </w:r>
    </w:p>
    <w:p w14:paraId="6F90983C" w14:textId="77777777" w:rsidR="004B06CC" w:rsidRPr="004D0537" w:rsidRDefault="004B06CC" w:rsidP="004B06CC">
      <w:pPr>
        <w:spacing w:after="240"/>
        <w:ind w:left="567" w:hanging="567"/>
      </w:pPr>
      <w:r w:rsidRPr="004D0537">
        <w:t>–</w:t>
      </w:r>
      <w:r w:rsidRPr="004D0537">
        <w:tab/>
        <w:t>med beaktande av Europaparlamentets och rådets förordning (EU) 2016/794 av den 11 maj 2016 om Europeiska unionens byrå för samarbete inom brottsbekämpning (Europol) och om ersättande och upphävande av rådets beslut 2009/371/RIF, 2009/934/RIF, 2009/935/RIF, 2009/936/RIF och 2009/968/RIF</w:t>
      </w:r>
      <w:r w:rsidRPr="004D0537">
        <w:rPr>
          <w:vertAlign w:val="superscript"/>
        </w:rPr>
        <w:footnoteReference w:id="353"/>
      </w:r>
      <w:r w:rsidRPr="004D0537">
        <w:t>, särskilt artikel 60,</w:t>
      </w:r>
    </w:p>
    <w:p w14:paraId="192D2585"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54"/>
      </w:r>
      <w:r w:rsidRPr="004D0537">
        <w:t>, särskilt artikel 105,</w:t>
      </w:r>
    </w:p>
    <w:p w14:paraId="74050C32"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00B1D2CE"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40F0C708"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70105F76" w14:textId="77777777" w:rsidR="004B06CC" w:rsidRPr="004D0537" w:rsidRDefault="004B06CC" w:rsidP="004B06CC">
      <w:pPr>
        <w:spacing w:after="240"/>
        <w:ind w:left="567" w:hanging="567"/>
      </w:pPr>
      <w:r w:rsidRPr="004D0537">
        <w:t>1.</w:t>
      </w:r>
      <w:r w:rsidRPr="004D0537">
        <w:tab/>
        <w:t>Europaparlamentet beviljar verkställande direktören för Europeiska unionens byrå för samarbete inom brottsbekämpning ansvarsfrihet för genomförandet av byråns budget för budgetåret 2024.</w:t>
      </w:r>
    </w:p>
    <w:p w14:paraId="3F2B2A34"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75FEDBF0"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unionens byrå för samarbete inom brottsbekämpning, rådet, kommissionen och revisionsrätten, och att se till att de offentliggörs i </w:t>
      </w:r>
      <w:r w:rsidRPr="004D0537">
        <w:rPr>
          <w:i/>
          <w:iCs/>
        </w:rPr>
        <w:t>Europeiska unionens officiella tidning</w:t>
      </w:r>
      <w:r w:rsidRPr="004D0537">
        <w:t xml:space="preserve"> (L-serien).</w:t>
      </w:r>
    </w:p>
    <w:p w14:paraId="4D48783A" w14:textId="77777777" w:rsidR="004B06CC" w:rsidRPr="004D0537" w:rsidRDefault="004B06CC" w:rsidP="004B06CC"/>
    <w:p w14:paraId="70393497" w14:textId="77777777" w:rsidR="004B06CC" w:rsidRPr="004D0537" w:rsidRDefault="004B06CC" w:rsidP="004B06CC">
      <w:pPr>
        <w:spacing w:after="480"/>
        <w:jc w:val="center"/>
        <w:rPr>
          <w:rFonts w:cs="Arial"/>
          <w:b/>
        </w:rPr>
        <w:sectPr w:rsidR="004B06CC" w:rsidRPr="004D0537" w:rsidSect="003A4AB5">
          <w:footerReference w:type="first" r:id="rId7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FBA1BE" w14:textId="7498C5C6" w:rsidR="004B06CC" w:rsidRPr="004D0537" w:rsidRDefault="006C1F72" w:rsidP="006C1F72">
      <w:pPr>
        <w:pStyle w:val="ATHeading3"/>
      </w:pPr>
      <w:r w:rsidRPr="004D0537">
        <w:lastRenderedPageBreak/>
        <w:t xml:space="preserve">60. Europaparlamentets beslut av den 29 april 2026 </w:t>
      </w:r>
      <w:r w:rsidR="004B06CC" w:rsidRPr="004D0537">
        <w:t>om avslutande av räkenskaperna för Europeiska unionens byrå för samarbete inom brottsbekämpning för budgetåret 2024</w:t>
      </w:r>
      <w:r w:rsidR="00D917A6" w:rsidRPr="004D0537">
        <w:t xml:space="preserve"> </w:t>
      </w:r>
      <w:r w:rsidR="004B06CC" w:rsidRPr="004D0537">
        <w:t>(2025/2156(DEC))</w:t>
      </w:r>
    </w:p>
    <w:p w14:paraId="5E78ECC9" w14:textId="77777777" w:rsidR="004B06CC" w:rsidRPr="004D0537" w:rsidRDefault="004B06CC" w:rsidP="004B06CC">
      <w:pPr>
        <w:spacing w:before="480" w:after="240"/>
      </w:pPr>
      <w:r w:rsidRPr="004D0537">
        <w:rPr>
          <w:i/>
          <w:iCs/>
        </w:rPr>
        <w:t>Europaparlamentet fattar detta beslut</w:t>
      </w:r>
    </w:p>
    <w:p w14:paraId="6020B109" w14:textId="77777777" w:rsidR="004B06CC" w:rsidRPr="004D0537" w:rsidRDefault="004B06CC" w:rsidP="004B06CC">
      <w:pPr>
        <w:spacing w:after="240"/>
        <w:ind w:left="567" w:hanging="567"/>
      </w:pPr>
      <w:r w:rsidRPr="004D0537">
        <w:t>–</w:t>
      </w:r>
      <w:r w:rsidRPr="004D0537">
        <w:tab/>
        <w:t>med beaktande av den slutliga årsredovisningen för Europeiska unionens byrå för samarbete inom brottsbekämpning för budgetåret 2024,</w:t>
      </w:r>
    </w:p>
    <w:p w14:paraId="61349430"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55"/>
      </w:r>
      <w:r w:rsidRPr="004D0537">
        <w:t>,</w:t>
      </w:r>
    </w:p>
    <w:p w14:paraId="3925E12F"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56"/>
      </w:r>
      <w:r w:rsidRPr="004D0537">
        <w:t>, som avgetts av revisionsrätten för budgetåret 2024 i enlighet med artikel 287 i fördraget om Europeiska unionens funktionssätt,</w:t>
      </w:r>
    </w:p>
    <w:p w14:paraId="7D3CA98D"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1B41927E"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D9DA073"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57"/>
      </w:r>
      <w:r w:rsidRPr="004D0537">
        <w:t>, särskilt artikel 70,</w:t>
      </w:r>
    </w:p>
    <w:p w14:paraId="632129DA"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58"/>
      </w:r>
      <w:r w:rsidRPr="004D0537">
        <w:t>, särskilt artikel 70,</w:t>
      </w:r>
    </w:p>
    <w:p w14:paraId="0A4F7461" w14:textId="77777777" w:rsidR="004B06CC" w:rsidRPr="004D0537" w:rsidRDefault="004B06CC" w:rsidP="004B06CC">
      <w:pPr>
        <w:spacing w:after="240"/>
        <w:ind w:left="567" w:hanging="567"/>
      </w:pPr>
      <w:r w:rsidRPr="004D0537">
        <w:t>–</w:t>
      </w:r>
      <w:r w:rsidRPr="004D0537">
        <w:tab/>
        <w:t>med beaktande av Europaparlamentets och rådets förordning (EU) 2016/794 av den 11 maj 2016 om Europeiska unionens byrå för samarbete inom brottsbekämpning (Europol) och om ersättande och upphävande av rådets beslut 2009/371/RIF, 2009/934/RIF, 2009/935/RIF, 2009/936/RIF och 2009/968/RIF</w:t>
      </w:r>
      <w:r w:rsidRPr="004D0537">
        <w:rPr>
          <w:vertAlign w:val="superscript"/>
        </w:rPr>
        <w:footnoteReference w:id="359"/>
      </w:r>
      <w:r w:rsidRPr="004D0537">
        <w:t>, särskilt artikel 60,</w:t>
      </w:r>
    </w:p>
    <w:p w14:paraId="25305B19"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60"/>
      </w:r>
      <w:r w:rsidRPr="004D0537">
        <w:t>, särskilt artikel 105,</w:t>
      </w:r>
    </w:p>
    <w:p w14:paraId="4B2387DA" w14:textId="77777777" w:rsidR="004B06CC" w:rsidRPr="004D0537" w:rsidRDefault="004B06CC" w:rsidP="004B06CC">
      <w:pPr>
        <w:spacing w:after="240"/>
        <w:ind w:left="567" w:hanging="567"/>
      </w:pPr>
      <w:r w:rsidRPr="004D0537">
        <w:t>–</w:t>
      </w:r>
      <w:r w:rsidRPr="004D0537">
        <w:tab/>
        <w:t>med beaktande av artikel 102 och bilaga V i arbetsordningen,</w:t>
      </w:r>
    </w:p>
    <w:p w14:paraId="2D1F91C2"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2F2797F8"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1CFDCC6E" w14:textId="77777777" w:rsidR="004B06CC" w:rsidRPr="004D0537" w:rsidRDefault="004B06CC" w:rsidP="004B06CC">
      <w:pPr>
        <w:spacing w:after="240"/>
        <w:ind w:left="567" w:hanging="567"/>
      </w:pPr>
      <w:r w:rsidRPr="004D0537">
        <w:t>1.</w:t>
      </w:r>
      <w:r w:rsidRPr="004D0537">
        <w:tab/>
        <w:t>Europaparlamentet godkänner avslutandet av räkenskaperna för Europeiska unionens byrå för samarbete inom brottsbekämpning för budgetåret 2024.</w:t>
      </w:r>
    </w:p>
    <w:p w14:paraId="4F984870"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unionens byrå för samarbete inom brottsbekämpning, rådet, kommissionen och revisionsrätten, och att se till att det offentliggörs i </w:t>
      </w:r>
      <w:r w:rsidRPr="004D0537">
        <w:rPr>
          <w:i/>
          <w:iCs/>
        </w:rPr>
        <w:t>Europeiska unionens officiella tidning</w:t>
      </w:r>
      <w:r w:rsidRPr="004D0537">
        <w:t xml:space="preserve"> (L-serien).</w:t>
      </w:r>
    </w:p>
    <w:p w14:paraId="201FDE89" w14:textId="77777777" w:rsidR="004B06CC" w:rsidRPr="004D0537" w:rsidRDefault="004B06CC" w:rsidP="004B06CC"/>
    <w:p w14:paraId="7EE24E60" w14:textId="77777777" w:rsidR="004B06CC" w:rsidRPr="004D0537" w:rsidRDefault="004B06CC" w:rsidP="00D917A6">
      <w:pPr>
        <w:spacing w:after="480"/>
        <w:rPr>
          <w:rFonts w:cs="Arial"/>
          <w:b/>
        </w:rPr>
        <w:sectPr w:rsidR="004B06CC" w:rsidRPr="004D0537" w:rsidSect="003A4AB5">
          <w:footerReference w:type="first" r:id="rId7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65B11D0" w14:textId="18D5C24A" w:rsidR="004B06CC" w:rsidRPr="004D0537" w:rsidRDefault="006C1F72" w:rsidP="006C1F72">
      <w:pPr>
        <w:pStyle w:val="ATHeading3"/>
      </w:pPr>
      <w:r w:rsidRPr="004D0537">
        <w:lastRenderedPageBreak/>
        <w:t xml:space="preserve">61. Europaparlamentets beslut av den 29 april 2026 </w:t>
      </w:r>
      <w:r w:rsidR="004B06CC" w:rsidRPr="004D0537">
        <w:t>om ansvarsfrihet för genomförandet av budgeten för Europeiska unionens rymdprogrambyrå för budgetåret 2024</w:t>
      </w:r>
      <w:r w:rsidR="00D917A6" w:rsidRPr="004D0537">
        <w:t xml:space="preserve"> </w:t>
      </w:r>
      <w:r w:rsidR="004B06CC" w:rsidRPr="004D0537">
        <w:t>(2025/2156(DEC))</w:t>
      </w:r>
    </w:p>
    <w:p w14:paraId="5EC726DC" w14:textId="77777777" w:rsidR="004B06CC" w:rsidRPr="004D0537" w:rsidRDefault="004B06CC" w:rsidP="004B06CC">
      <w:pPr>
        <w:spacing w:before="480" w:after="240"/>
      </w:pPr>
      <w:r w:rsidRPr="004D0537">
        <w:rPr>
          <w:i/>
          <w:iCs/>
        </w:rPr>
        <w:t>Europaparlamentet fattar detta beslut</w:t>
      </w:r>
    </w:p>
    <w:p w14:paraId="192ABF02" w14:textId="77777777" w:rsidR="004B06CC" w:rsidRPr="004D0537" w:rsidRDefault="004B06CC" w:rsidP="004B06CC">
      <w:pPr>
        <w:spacing w:after="240"/>
        <w:ind w:left="567" w:hanging="567"/>
      </w:pPr>
      <w:r w:rsidRPr="004D0537">
        <w:t>–</w:t>
      </w:r>
      <w:r w:rsidRPr="004D0537">
        <w:tab/>
        <w:t>med beaktande av den slutliga årsredovisningen för Europeiska unionens rymdprogrambyrå för budgetåret 2024,</w:t>
      </w:r>
    </w:p>
    <w:p w14:paraId="17EE7796"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61"/>
      </w:r>
      <w:r w:rsidRPr="004D0537">
        <w:t>,</w:t>
      </w:r>
    </w:p>
    <w:p w14:paraId="326E7063"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62"/>
      </w:r>
      <w:r w:rsidRPr="004D0537">
        <w:t>, som avgetts av revisionsrätten för budgetåret 2024 i enlighet med artikel 287 i fördraget om Europeiska unionens funktionssätt,</w:t>
      </w:r>
    </w:p>
    <w:p w14:paraId="51DA56F6"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404702C5"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7F420C84"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63"/>
      </w:r>
      <w:r w:rsidRPr="004D0537">
        <w:t>, särskilt artikel 70,</w:t>
      </w:r>
    </w:p>
    <w:p w14:paraId="23E712B3"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64"/>
      </w:r>
      <w:r w:rsidRPr="004D0537">
        <w:t>, särskilt artikel 70,</w:t>
      </w:r>
    </w:p>
    <w:p w14:paraId="72C5227C" w14:textId="77777777" w:rsidR="004B06CC" w:rsidRPr="004D0537" w:rsidRDefault="004B06CC" w:rsidP="004B06CC">
      <w:pPr>
        <w:spacing w:after="240"/>
        <w:ind w:left="567" w:hanging="567"/>
      </w:pPr>
      <w:r w:rsidRPr="004D0537">
        <w:t>–</w:t>
      </w:r>
      <w:r w:rsidRPr="004D0537">
        <w:tab/>
        <w:t>med beaktande av Europaparlamentets och rådets förordning (EU) 2021/696 av den 28 april 2021 om inrättande av unionens rymdprogram och Europeiska unionens rymdprogrambyrå och om upphävande av förordningarna (EU) nr 912/2010, (EU) nr 1285/2013 och (EU) nr 377/2014 och beslut nr 541/2014/EU</w:t>
      </w:r>
      <w:r w:rsidRPr="004D0537">
        <w:rPr>
          <w:vertAlign w:val="superscript"/>
        </w:rPr>
        <w:footnoteReference w:id="365"/>
      </w:r>
      <w:r w:rsidRPr="004D0537">
        <w:t>, särskilt artiklarna 85 och 86,</w:t>
      </w:r>
    </w:p>
    <w:p w14:paraId="0FC8D780"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66"/>
      </w:r>
      <w:r w:rsidRPr="004D0537">
        <w:t>, särskilt artikel 105,</w:t>
      </w:r>
    </w:p>
    <w:p w14:paraId="27000512" w14:textId="77777777" w:rsidR="004B06CC" w:rsidRPr="004D0537" w:rsidRDefault="004B06CC" w:rsidP="004B06CC">
      <w:pPr>
        <w:spacing w:after="240"/>
        <w:ind w:left="567" w:hanging="567"/>
      </w:pPr>
      <w:r w:rsidRPr="004D0537">
        <w:lastRenderedPageBreak/>
        <w:t>–</w:t>
      </w:r>
      <w:r w:rsidRPr="004D0537">
        <w:tab/>
        <w:t>med beaktande av artikel 102 och bilaga V i arbetsordningen,</w:t>
      </w:r>
    </w:p>
    <w:p w14:paraId="46CF4686"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18D16B5B"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35105262" w14:textId="77777777" w:rsidR="004B06CC" w:rsidRPr="004D0537" w:rsidRDefault="004B06CC" w:rsidP="004B06CC">
      <w:pPr>
        <w:spacing w:after="240"/>
        <w:ind w:left="567" w:hanging="567"/>
      </w:pPr>
      <w:r w:rsidRPr="004D0537">
        <w:t>1.</w:t>
      </w:r>
      <w:r w:rsidRPr="004D0537">
        <w:tab/>
        <w:t>Europaparlamentet beviljar verkställande direktören för Europeiska unionens rymdprogrambyrå ansvarsfrihet för genomförandet av byråns budget för budgetåret 2024.</w:t>
      </w:r>
    </w:p>
    <w:p w14:paraId="4E3548A6"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6D30FA58"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unionens rymdprogrambyrå, rådet, kommissionen och revisionsrätten, och att se till att de offentliggörs i </w:t>
      </w:r>
      <w:r w:rsidRPr="004D0537">
        <w:rPr>
          <w:i/>
          <w:iCs/>
        </w:rPr>
        <w:t>Europeiska unionens officiella tidning</w:t>
      </w:r>
      <w:r w:rsidRPr="004D0537">
        <w:t xml:space="preserve"> (L-serien).</w:t>
      </w:r>
    </w:p>
    <w:p w14:paraId="0B00ED58" w14:textId="77777777" w:rsidR="004B06CC" w:rsidRPr="004D0537" w:rsidRDefault="004B06CC" w:rsidP="004B06CC"/>
    <w:p w14:paraId="3D9E07AF" w14:textId="77777777" w:rsidR="004B06CC" w:rsidRPr="004D0537" w:rsidRDefault="004B06CC" w:rsidP="004B06CC">
      <w:pPr>
        <w:spacing w:after="480"/>
        <w:jc w:val="center"/>
        <w:rPr>
          <w:rFonts w:cs="Arial"/>
          <w:b/>
        </w:rPr>
        <w:sectPr w:rsidR="004B06CC" w:rsidRPr="004D0537" w:rsidSect="003A4AB5">
          <w:footerReference w:type="first" r:id="rId7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293851" w14:textId="5F5A53DE" w:rsidR="004B06CC" w:rsidRPr="004D0537" w:rsidRDefault="006C1F72" w:rsidP="006C1F72">
      <w:pPr>
        <w:pStyle w:val="ATHeading3"/>
      </w:pPr>
      <w:r w:rsidRPr="004D0537">
        <w:lastRenderedPageBreak/>
        <w:t xml:space="preserve">62. Europaparlamentets beslut av den 29 april 2026 </w:t>
      </w:r>
      <w:r w:rsidR="004B06CC" w:rsidRPr="004D0537">
        <w:t>om avslutande av räkenskaperna för Europeiska unionens rymdprogrambyrå för budgetåret 2024</w:t>
      </w:r>
      <w:r w:rsidR="00D917A6" w:rsidRPr="004D0537">
        <w:t xml:space="preserve"> </w:t>
      </w:r>
      <w:r w:rsidR="004B06CC" w:rsidRPr="004D0537">
        <w:t>(2025/2156(DEC))</w:t>
      </w:r>
    </w:p>
    <w:p w14:paraId="586256FD" w14:textId="77777777" w:rsidR="004B06CC" w:rsidRPr="004D0537" w:rsidRDefault="004B06CC" w:rsidP="004B06CC">
      <w:pPr>
        <w:spacing w:before="480" w:after="240"/>
      </w:pPr>
      <w:r w:rsidRPr="004D0537">
        <w:rPr>
          <w:i/>
          <w:iCs/>
        </w:rPr>
        <w:t>Europaparlamentet fattar detta beslut</w:t>
      </w:r>
    </w:p>
    <w:p w14:paraId="4FB00066" w14:textId="77777777" w:rsidR="004B06CC" w:rsidRPr="004D0537" w:rsidRDefault="004B06CC" w:rsidP="004B06CC">
      <w:pPr>
        <w:spacing w:after="240"/>
        <w:ind w:left="567" w:hanging="567"/>
      </w:pPr>
      <w:r w:rsidRPr="004D0537">
        <w:t>–</w:t>
      </w:r>
      <w:r w:rsidRPr="004D0537">
        <w:tab/>
        <w:t>med beaktande av den slutliga årsredovisningen för Europeiska unionens rymdprogrambyrå för budgetåret 2024,</w:t>
      </w:r>
    </w:p>
    <w:p w14:paraId="2E0C36C0"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67"/>
      </w:r>
      <w:r w:rsidRPr="004D0537">
        <w:t>,</w:t>
      </w:r>
    </w:p>
    <w:p w14:paraId="259D3A98"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68"/>
      </w:r>
      <w:r w:rsidRPr="004D0537">
        <w:t>, som avgetts av revisionsrätten för budgetåret 2024 i enlighet med artikel 287 i fördraget om Europeiska unionens funktionssätt,</w:t>
      </w:r>
    </w:p>
    <w:p w14:paraId="1BDDA0B4"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206AD7CF"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DE5DF70"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69"/>
      </w:r>
      <w:r w:rsidRPr="004D0537">
        <w:t>, särskilt artikel 70,</w:t>
      </w:r>
    </w:p>
    <w:p w14:paraId="36B9B137"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70"/>
      </w:r>
      <w:r w:rsidRPr="004D0537">
        <w:t>, särskilt artikel 70,</w:t>
      </w:r>
    </w:p>
    <w:p w14:paraId="0CD0698B" w14:textId="77777777" w:rsidR="004B06CC" w:rsidRPr="004D0537" w:rsidRDefault="004B06CC" w:rsidP="004B06CC">
      <w:pPr>
        <w:spacing w:after="240"/>
        <w:ind w:left="567" w:hanging="567"/>
      </w:pPr>
      <w:r w:rsidRPr="004D0537">
        <w:t>–</w:t>
      </w:r>
      <w:r w:rsidRPr="004D0537">
        <w:tab/>
        <w:t>med beaktande av Europaparlamentets och rådets förordning (EU) 2021/696 av den 28 april 2021 om inrättande av unionens rymdprogram och Europeiska unionens rymdprogrambyrå och om upphävande av förordningarna (EU) nr 912/2010, (EU) nr 1285/2013 och (EU) nr 377/2014 och beslut nr 541/2014/EU</w:t>
      </w:r>
      <w:r w:rsidRPr="004D0537">
        <w:rPr>
          <w:vertAlign w:val="superscript"/>
        </w:rPr>
        <w:footnoteReference w:id="371"/>
      </w:r>
      <w:r w:rsidRPr="004D0537">
        <w:t>, särskilt artiklarna 85 och 86,</w:t>
      </w:r>
    </w:p>
    <w:p w14:paraId="326DB5D1"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72"/>
      </w:r>
      <w:r w:rsidRPr="004D0537">
        <w:t>, särskilt artikel 105,</w:t>
      </w:r>
    </w:p>
    <w:p w14:paraId="35E4CEDF" w14:textId="77777777" w:rsidR="004B06CC" w:rsidRPr="004D0537" w:rsidRDefault="004B06CC" w:rsidP="004B06CC">
      <w:pPr>
        <w:spacing w:after="240"/>
        <w:ind w:left="567" w:hanging="567"/>
      </w:pPr>
      <w:r w:rsidRPr="004D0537">
        <w:t>–</w:t>
      </w:r>
      <w:r w:rsidRPr="004D0537">
        <w:tab/>
        <w:t>med beaktande av artikel 102 och bilaga V i arbetsordningen,</w:t>
      </w:r>
    </w:p>
    <w:p w14:paraId="25E1007A"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43DC1C64"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E39FA86" w14:textId="77777777" w:rsidR="004B06CC" w:rsidRPr="004D0537" w:rsidRDefault="004B06CC" w:rsidP="004B06CC">
      <w:pPr>
        <w:spacing w:after="240"/>
        <w:ind w:left="567" w:hanging="567"/>
      </w:pPr>
      <w:r w:rsidRPr="004D0537">
        <w:t>1.</w:t>
      </w:r>
      <w:r w:rsidRPr="004D0537">
        <w:tab/>
        <w:t>Europaparlamentet godkänner avslutandet av räkenskaperna för Europeiska unionens rymdprogrambyrå för budgetåret 2024.</w:t>
      </w:r>
    </w:p>
    <w:p w14:paraId="414CCA7C"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verkställande direktören för Europeiska unionens rymdprogrambyrå, rådet, kommissionen och revisionsrätten, och att se till att det offentliggörs i </w:t>
      </w:r>
      <w:r w:rsidRPr="004D0537">
        <w:rPr>
          <w:i/>
          <w:iCs/>
        </w:rPr>
        <w:t>Europeiska unionens officiella tidning</w:t>
      </w:r>
      <w:r w:rsidRPr="004D0537">
        <w:t xml:space="preserve"> (L-serien).</w:t>
      </w:r>
    </w:p>
    <w:p w14:paraId="0E22E25C" w14:textId="77777777" w:rsidR="004B06CC" w:rsidRPr="004D0537" w:rsidRDefault="004B06CC" w:rsidP="00D917A6">
      <w:pPr>
        <w:spacing w:after="480"/>
        <w:rPr>
          <w:rFonts w:cs="Arial"/>
          <w:b/>
        </w:rPr>
        <w:sectPr w:rsidR="004B06CC" w:rsidRPr="004D0537" w:rsidSect="003A4AB5">
          <w:footerReference w:type="first" r:id="rId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349DA3C" w14:textId="77A77F0F" w:rsidR="004B06CC" w:rsidRPr="004D0537" w:rsidRDefault="006C1F72" w:rsidP="006C1F72">
      <w:pPr>
        <w:pStyle w:val="ATHeading3"/>
      </w:pPr>
      <w:r w:rsidRPr="004D0537">
        <w:lastRenderedPageBreak/>
        <w:t xml:space="preserve">63. Europaparlamentets beslut av den 29 april 2026 </w:t>
      </w:r>
      <w:r w:rsidR="004B06CC" w:rsidRPr="004D0537">
        <w:t>om ansvarsfrihet för genomförandet av budgeten för Europeiska unionens byrå för grundläggande rättigheter för budgetåret 2024</w:t>
      </w:r>
      <w:r w:rsidR="00D917A6" w:rsidRPr="004D0537">
        <w:t xml:space="preserve"> </w:t>
      </w:r>
      <w:r w:rsidR="004B06CC" w:rsidRPr="004D0537">
        <w:t>(2025/2156(DEC))</w:t>
      </w:r>
    </w:p>
    <w:p w14:paraId="734632EB" w14:textId="77777777" w:rsidR="004B06CC" w:rsidRPr="004D0537" w:rsidRDefault="004B06CC" w:rsidP="004B06CC">
      <w:pPr>
        <w:spacing w:before="480" w:after="240"/>
      </w:pPr>
      <w:r w:rsidRPr="004D0537">
        <w:rPr>
          <w:i/>
          <w:iCs/>
        </w:rPr>
        <w:t>Europaparlamentet fattar detta beslut</w:t>
      </w:r>
    </w:p>
    <w:p w14:paraId="671C5CC7" w14:textId="77777777" w:rsidR="004B06CC" w:rsidRPr="004D0537" w:rsidRDefault="004B06CC" w:rsidP="004B06CC">
      <w:pPr>
        <w:spacing w:after="240"/>
        <w:ind w:left="567" w:hanging="567"/>
      </w:pPr>
      <w:r w:rsidRPr="004D0537">
        <w:t>–</w:t>
      </w:r>
      <w:r w:rsidRPr="004D0537">
        <w:tab/>
        <w:t>med beaktande av den slutliga årsredovisningen för Europeiska unionens byrå för grundläggande rättigheter för budgetåret 2024,</w:t>
      </w:r>
    </w:p>
    <w:p w14:paraId="46201E6D"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73"/>
      </w:r>
      <w:r w:rsidRPr="004D0537">
        <w:t>,</w:t>
      </w:r>
    </w:p>
    <w:p w14:paraId="593C1729"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74"/>
      </w:r>
      <w:r w:rsidRPr="004D0537">
        <w:t>, som avgetts av revisionsrätten för budgetåret 2024 i enlighet med artikel 287 i fördraget om Europeiska unionens funktionssätt,</w:t>
      </w:r>
    </w:p>
    <w:p w14:paraId="71515862"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58B8954C"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C445B74"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75"/>
      </w:r>
      <w:r w:rsidRPr="004D0537">
        <w:t>, särskilt artikel 70,</w:t>
      </w:r>
    </w:p>
    <w:p w14:paraId="257538A0"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76"/>
      </w:r>
      <w:r w:rsidRPr="004D0537">
        <w:t>, särskilt artikel 70,</w:t>
      </w:r>
    </w:p>
    <w:p w14:paraId="1D0A108B" w14:textId="77777777" w:rsidR="004B06CC" w:rsidRPr="004D0537" w:rsidRDefault="004B06CC" w:rsidP="004B06CC">
      <w:pPr>
        <w:spacing w:after="240"/>
        <w:ind w:left="567" w:hanging="567"/>
      </w:pPr>
      <w:r w:rsidRPr="004D0537">
        <w:t>–</w:t>
      </w:r>
      <w:r w:rsidRPr="004D0537">
        <w:tab/>
        <w:t>med beaktande av rådets förordning (EG) nr 168/2007 av den 15 februari 2007 om inrättande av Europeiska unionens byrå för grundläggande rättigheter</w:t>
      </w:r>
      <w:r w:rsidRPr="004D0537">
        <w:rPr>
          <w:vertAlign w:val="superscript"/>
        </w:rPr>
        <w:footnoteReference w:id="377"/>
      </w:r>
      <w:r w:rsidRPr="004D0537">
        <w:t>, särskilt artikel 21,</w:t>
      </w:r>
    </w:p>
    <w:p w14:paraId="262963BD"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78"/>
      </w:r>
      <w:r w:rsidRPr="004D0537">
        <w:t>, särskilt artikel 105,</w:t>
      </w:r>
    </w:p>
    <w:p w14:paraId="1CE408D4" w14:textId="77777777" w:rsidR="004B06CC" w:rsidRPr="004D0537" w:rsidRDefault="004B06CC" w:rsidP="004B06CC">
      <w:pPr>
        <w:spacing w:after="240"/>
        <w:ind w:left="567" w:hanging="567"/>
      </w:pPr>
      <w:r w:rsidRPr="004D0537">
        <w:t>–</w:t>
      </w:r>
      <w:r w:rsidRPr="004D0537">
        <w:tab/>
        <w:t>med beaktande av artikel 102 och bilaga V i arbetsordningen,</w:t>
      </w:r>
    </w:p>
    <w:p w14:paraId="73336536"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15BEAB4D"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4EBE64FD" w14:textId="77777777" w:rsidR="004B06CC" w:rsidRPr="004D0537" w:rsidRDefault="004B06CC" w:rsidP="004B06CC">
      <w:pPr>
        <w:spacing w:after="240"/>
        <w:ind w:left="567" w:hanging="567"/>
      </w:pPr>
      <w:r w:rsidRPr="004D0537">
        <w:t>1.</w:t>
      </w:r>
      <w:r w:rsidRPr="004D0537">
        <w:tab/>
        <w:t>Europaparlamentet beviljar direktören för Europeiska unionens byrå för grundläggande rättigheter ansvarsfrihet för genomförandet av byråns budget för budgetåret 2024.</w:t>
      </w:r>
    </w:p>
    <w:p w14:paraId="79352AB4"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07B431B5"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direktören för Europeiska unionens byrå för grundläggande rättigheter, rådet, kommissionen och revisionsrätten, och att se till att de offentliggörs i </w:t>
      </w:r>
      <w:r w:rsidRPr="004D0537">
        <w:rPr>
          <w:i/>
          <w:iCs/>
        </w:rPr>
        <w:t>Europeiska unionens officiella tidning</w:t>
      </w:r>
      <w:r w:rsidRPr="004D0537">
        <w:t xml:space="preserve"> (L-serien).</w:t>
      </w:r>
    </w:p>
    <w:p w14:paraId="26E3990A" w14:textId="77777777" w:rsidR="004B06CC" w:rsidRPr="004D0537" w:rsidRDefault="004B06CC" w:rsidP="004B06CC"/>
    <w:p w14:paraId="0472D586" w14:textId="77777777" w:rsidR="004B06CC" w:rsidRPr="004D0537" w:rsidRDefault="004B06CC" w:rsidP="004B06CC">
      <w:pPr>
        <w:spacing w:after="480"/>
        <w:jc w:val="center"/>
        <w:rPr>
          <w:rFonts w:cs="Arial"/>
          <w:b/>
        </w:rPr>
        <w:sectPr w:rsidR="004B06CC" w:rsidRPr="004D0537" w:rsidSect="003A4AB5">
          <w:footerReference w:type="first" r:id="rId7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311872" w14:textId="573E5BA0" w:rsidR="004B06CC" w:rsidRPr="004D0537" w:rsidRDefault="00D917A6" w:rsidP="00D917A6">
      <w:pPr>
        <w:pStyle w:val="ATHeading3"/>
      </w:pPr>
      <w:r w:rsidRPr="004D0537">
        <w:lastRenderedPageBreak/>
        <w:t xml:space="preserve">64. Europaparlamentets beslut av den 29 april </w:t>
      </w:r>
      <w:r w:rsidR="006C1F72" w:rsidRPr="004D0537">
        <w:t xml:space="preserve">2026 </w:t>
      </w:r>
      <w:r w:rsidR="004B06CC" w:rsidRPr="004D0537">
        <w:t>om avslutande av räkenskaperna för Europeiska unionens byrå för grundläggande rättigheter för budgetåret 2024(2025/2156(DEC))</w:t>
      </w:r>
    </w:p>
    <w:p w14:paraId="4483889C" w14:textId="77777777" w:rsidR="004B06CC" w:rsidRPr="004D0537" w:rsidRDefault="004B06CC" w:rsidP="004B06CC">
      <w:pPr>
        <w:spacing w:before="480" w:after="240"/>
      </w:pPr>
      <w:r w:rsidRPr="004D0537">
        <w:rPr>
          <w:i/>
          <w:iCs/>
        </w:rPr>
        <w:t>Europaparlamentet fattar detta beslut</w:t>
      </w:r>
    </w:p>
    <w:p w14:paraId="051C8F2F" w14:textId="77777777" w:rsidR="004B06CC" w:rsidRPr="004D0537" w:rsidRDefault="004B06CC" w:rsidP="004B06CC">
      <w:pPr>
        <w:spacing w:after="240"/>
        <w:ind w:left="567" w:hanging="567"/>
      </w:pPr>
      <w:r w:rsidRPr="004D0537">
        <w:t>–</w:t>
      </w:r>
      <w:r w:rsidRPr="004D0537">
        <w:tab/>
        <w:t>med beaktande av den slutliga årsredovisningen för Europeiska unionens byrå för grundläggande rättigheter för budgetåret 2024,</w:t>
      </w:r>
    </w:p>
    <w:p w14:paraId="33ADAEA1"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79"/>
      </w:r>
      <w:r w:rsidRPr="004D0537">
        <w:t>,</w:t>
      </w:r>
    </w:p>
    <w:p w14:paraId="291124F1"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80"/>
      </w:r>
      <w:r w:rsidRPr="004D0537">
        <w:t>, som avgetts av revisionsrätten för budgetåret 2024 i enlighet med artikel 287 i fördraget om Europeiska unionens funktionssätt,</w:t>
      </w:r>
    </w:p>
    <w:p w14:paraId="11C2EBD9"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7DDEA371"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61312E6B"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81"/>
      </w:r>
      <w:r w:rsidRPr="004D0537">
        <w:t>, särskilt artikel 70,</w:t>
      </w:r>
    </w:p>
    <w:p w14:paraId="36CEAF31"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82"/>
      </w:r>
      <w:r w:rsidRPr="004D0537">
        <w:t>, särskilt artikel 70,</w:t>
      </w:r>
    </w:p>
    <w:p w14:paraId="3223A8FE" w14:textId="77777777" w:rsidR="004B06CC" w:rsidRPr="004D0537" w:rsidRDefault="004B06CC" w:rsidP="004B06CC">
      <w:pPr>
        <w:spacing w:after="240"/>
        <w:ind w:left="567" w:hanging="567"/>
      </w:pPr>
      <w:r w:rsidRPr="004D0537">
        <w:t>–</w:t>
      </w:r>
      <w:r w:rsidRPr="004D0537">
        <w:tab/>
        <w:t>med beaktande av rådets förordning (EG) nr 168/2007 av den 15 februari 2007 om inrättande av Europeiska unionens byrå för grundläggande rättigheter</w:t>
      </w:r>
      <w:r w:rsidRPr="004D0537">
        <w:rPr>
          <w:vertAlign w:val="superscript"/>
        </w:rPr>
        <w:footnoteReference w:id="383"/>
      </w:r>
      <w:r w:rsidRPr="004D0537">
        <w:t>, särskilt artikel 21,</w:t>
      </w:r>
    </w:p>
    <w:p w14:paraId="1D16E8F9"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84"/>
      </w:r>
      <w:r w:rsidRPr="004D0537">
        <w:t>, särskilt artikel 105,</w:t>
      </w:r>
    </w:p>
    <w:p w14:paraId="12F463FD" w14:textId="77777777" w:rsidR="004B06CC" w:rsidRPr="004D0537" w:rsidRDefault="004B06CC" w:rsidP="004B06CC">
      <w:pPr>
        <w:spacing w:after="240"/>
        <w:ind w:left="567" w:hanging="567"/>
      </w:pPr>
      <w:r w:rsidRPr="004D0537">
        <w:t>–</w:t>
      </w:r>
      <w:r w:rsidRPr="004D0537">
        <w:tab/>
        <w:t>med beaktande av artikel 102 och bilaga V i arbetsordningen,</w:t>
      </w:r>
    </w:p>
    <w:p w14:paraId="44AC97FC"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w:t>
      </w:r>
      <w:r w:rsidRPr="004D0537">
        <w:lastRenderedPageBreak/>
        <w:t>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2C4F656E"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7CF3005A" w14:textId="77777777" w:rsidR="004B06CC" w:rsidRPr="004D0537" w:rsidRDefault="004B06CC" w:rsidP="004B06CC">
      <w:pPr>
        <w:spacing w:after="240"/>
        <w:ind w:left="567" w:hanging="567"/>
      </w:pPr>
      <w:r w:rsidRPr="004D0537">
        <w:t>1.</w:t>
      </w:r>
      <w:r w:rsidRPr="004D0537">
        <w:tab/>
        <w:t>Europaparlamentet godkänner avslutandet av räkenskaperna för Europeiska unionens byrå för grundläggande rättigheter för budgetåret 2024.</w:t>
      </w:r>
    </w:p>
    <w:p w14:paraId="11618345" w14:textId="77777777" w:rsidR="004B06CC" w:rsidRPr="004D0537" w:rsidRDefault="004B06CC" w:rsidP="004B06CC">
      <w:pPr>
        <w:spacing w:after="240"/>
        <w:ind w:left="567" w:hanging="567"/>
      </w:pPr>
      <w:r w:rsidRPr="004D0537">
        <w:t>2.</w:t>
      </w:r>
      <w:r w:rsidRPr="004D0537">
        <w:tab/>
        <w:t xml:space="preserve">Europaparlamentet uppdrar åt talmannen att översända detta beslut till direktören för Europeiska unionens byrå för grundläggande rättigheter, rådet, kommissionen och revisionsrätten, och att se till att det offentliggörs i </w:t>
      </w:r>
      <w:r w:rsidRPr="004D0537">
        <w:rPr>
          <w:i/>
          <w:iCs/>
        </w:rPr>
        <w:t>Europeiska unionens officiella tidning</w:t>
      </w:r>
      <w:r w:rsidRPr="004D0537">
        <w:t xml:space="preserve"> (L-serien).</w:t>
      </w:r>
    </w:p>
    <w:p w14:paraId="5D5352D6" w14:textId="77777777" w:rsidR="004B06CC" w:rsidRPr="004D0537" w:rsidRDefault="004B06CC" w:rsidP="004B06CC">
      <w:pPr>
        <w:spacing w:after="480"/>
        <w:jc w:val="center"/>
        <w:rPr>
          <w:rFonts w:cs="Arial"/>
          <w:b/>
        </w:rPr>
        <w:sectPr w:rsidR="004B06CC" w:rsidRPr="004D0537" w:rsidSect="003A4AB5">
          <w:footerReference w:type="first" r:id="rId7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AED0BD" w14:textId="764A08CC" w:rsidR="004B06CC" w:rsidRPr="004D0537" w:rsidRDefault="00D917A6" w:rsidP="006C1F72">
      <w:pPr>
        <w:pStyle w:val="ATHeading3"/>
      </w:pPr>
      <w:r w:rsidRPr="004D0537">
        <w:lastRenderedPageBreak/>
        <w:t xml:space="preserve">65. Europaparlamentets beslut av den 29 april </w:t>
      </w:r>
      <w:r w:rsidR="006C1F72" w:rsidRPr="004D0537">
        <w:t xml:space="preserve">2026 </w:t>
      </w:r>
      <w:r w:rsidR="004B06CC" w:rsidRPr="004D0537">
        <w:t>om ansvarsfrihet för genomförandet av budgeten för Europeiska gräns- och kustbevakningsbyrån för budgetåret 2024</w:t>
      </w:r>
      <w:r w:rsidRPr="004D0537">
        <w:t xml:space="preserve"> </w:t>
      </w:r>
      <w:r w:rsidR="004B06CC" w:rsidRPr="004D0537">
        <w:t>(2025/2156(DEC))</w:t>
      </w:r>
    </w:p>
    <w:p w14:paraId="7A8AADE3" w14:textId="77777777" w:rsidR="004B06CC" w:rsidRPr="004D0537" w:rsidRDefault="004B06CC" w:rsidP="004B06CC">
      <w:pPr>
        <w:spacing w:before="480" w:after="240"/>
      </w:pPr>
      <w:r w:rsidRPr="004D0537">
        <w:rPr>
          <w:i/>
          <w:iCs/>
        </w:rPr>
        <w:t>Europaparlamentet fattar detta beslut</w:t>
      </w:r>
    </w:p>
    <w:p w14:paraId="353DC564" w14:textId="77777777" w:rsidR="004B06CC" w:rsidRPr="004D0537" w:rsidRDefault="004B06CC" w:rsidP="004B06CC">
      <w:pPr>
        <w:spacing w:after="240"/>
        <w:ind w:left="567" w:hanging="567"/>
      </w:pPr>
      <w:r w:rsidRPr="004D0537">
        <w:t>–</w:t>
      </w:r>
      <w:r w:rsidRPr="004D0537">
        <w:tab/>
        <w:t>med beaktande av den slutliga årsredovisningen för Europeiska gräns- och kustbevakningsbyrån för budgetåret 2024,</w:t>
      </w:r>
    </w:p>
    <w:p w14:paraId="1DCA64C6"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85"/>
      </w:r>
      <w:r w:rsidRPr="004D0537">
        <w:t>,</w:t>
      </w:r>
    </w:p>
    <w:p w14:paraId="7888B26E"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86"/>
      </w:r>
      <w:r w:rsidRPr="004D0537">
        <w:t>, som avgetts av revisionsrätten för budgetåret 2024 i enlighet med artikel 287 i fördraget om Europeiska unionens funktionssätt,</w:t>
      </w:r>
    </w:p>
    <w:p w14:paraId="2F321023"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2EA1D107"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10DCC9DF"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87"/>
      </w:r>
      <w:r w:rsidRPr="004D0537">
        <w:t>, särskilt artikel 70,</w:t>
      </w:r>
    </w:p>
    <w:p w14:paraId="013918B4"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88"/>
      </w:r>
      <w:r w:rsidRPr="004D0537">
        <w:t>, särskilt artikel 70,</w:t>
      </w:r>
    </w:p>
    <w:p w14:paraId="067556B5" w14:textId="77777777" w:rsidR="004B06CC" w:rsidRPr="004D0537" w:rsidRDefault="004B06CC" w:rsidP="004B06CC">
      <w:pPr>
        <w:spacing w:after="240"/>
        <w:ind w:left="567" w:hanging="567"/>
      </w:pPr>
      <w:r w:rsidRPr="004D0537">
        <w:t>–</w:t>
      </w:r>
      <w:r w:rsidRPr="004D0537">
        <w:tab/>
        <w:t>med beaktande av Europaparlamentets och rådets förordning (EU) 2019/1896 av den 13 november 2019 om den europeiska gräns- och kustbevakningen och om upphävande av förordningarna (EU) nr 1052/2013 och (EU) 2016/1624</w:t>
      </w:r>
      <w:r w:rsidRPr="004D0537">
        <w:rPr>
          <w:vertAlign w:val="superscript"/>
        </w:rPr>
        <w:footnoteReference w:id="389"/>
      </w:r>
      <w:r w:rsidRPr="004D0537">
        <w:t>, särskilt artikel 116,</w:t>
      </w:r>
    </w:p>
    <w:p w14:paraId="5E8C22C3"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90"/>
      </w:r>
      <w:r w:rsidRPr="004D0537">
        <w:t>, särskilt artikel 105,</w:t>
      </w:r>
    </w:p>
    <w:p w14:paraId="411E8357" w14:textId="77777777" w:rsidR="004B06CC" w:rsidRPr="004D0537" w:rsidRDefault="004B06CC" w:rsidP="004B06CC">
      <w:pPr>
        <w:spacing w:after="240"/>
        <w:ind w:left="567" w:hanging="567"/>
      </w:pPr>
      <w:r w:rsidRPr="004D0537">
        <w:t>–</w:t>
      </w:r>
      <w:r w:rsidRPr="004D0537">
        <w:tab/>
        <w:t>med beaktande av artikel 102 och bilaga V i arbetsordningen,</w:t>
      </w:r>
    </w:p>
    <w:p w14:paraId="4AA17BCB" w14:textId="77777777" w:rsidR="004B06CC" w:rsidRPr="004D0537" w:rsidRDefault="004B06CC" w:rsidP="004B06CC">
      <w:pPr>
        <w:spacing w:after="240"/>
        <w:ind w:left="567" w:hanging="567"/>
      </w:pPr>
      <w:r w:rsidRPr="004D0537">
        <w:lastRenderedPageBreak/>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3016F6C2"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7C054C69" w14:textId="77777777" w:rsidR="004B06CC" w:rsidRPr="004D0537" w:rsidRDefault="004B06CC" w:rsidP="004B06CC">
      <w:pPr>
        <w:spacing w:after="240"/>
        <w:ind w:left="567" w:hanging="567"/>
      </w:pPr>
      <w:r w:rsidRPr="004D0537">
        <w:t>1.</w:t>
      </w:r>
      <w:r w:rsidRPr="004D0537">
        <w:tab/>
        <w:t>Europaparlamentet beviljar verkställande direktören för Europeiska gräns- och kustbevakningsbyrån ansvarsfrihet för genomförandet av byråns budget för budgetåret 2024.</w:t>
      </w:r>
    </w:p>
    <w:p w14:paraId="72515379" w14:textId="77777777" w:rsidR="004B06CC" w:rsidRPr="004D0537" w:rsidRDefault="004B06CC" w:rsidP="004B06CC">
      <w:pPr>
        <w:spacing w:after="240"/>
        <w:ind w:left="567" w:hanging="567"/>
      </w:pPr>
      <w:r w:rsidRPr="004D0537">
        <w:t>2.</w:t>
      </w:r>
      <w:r w:rsidRPr="004D0537">
        <w:tab/>
        <w:t>Europaparlamentet redovisar sina iakttagelser i resolutionen nedan.</w:t>
      </w:r>
    </w:p>
    <w:p w14:paraId="34FC4890" w14:textId="77777777" w:rsidR="004B06CC" w:rsidRPr="004D0537" w:rsidRDefault="004B06CC" w:rsidP="004B06CC">
      <w:pPr>
        <w:spacing w:after="240"/>
        <w:ind w:left="567" w:hanging="567"/>
      </w:pPr>
      <w:r w:rsidRPr="004D0537">
        <w:t>3.</w:t>
      </w:r>
      <w:r w:rsidRPr="004D0537">
        <w:tab/>
        <w:t xml:space="preserve">Europaparlamentet uppdrar åt talmannen att översända detta beslut och den resolution som utgör en del av beslutet till verkställande direktören för Europeiska gräns- och kustbevakningsbyrån, rådet, kommissionen och revisionsrätten, och att se till att de offentliggörs i </w:t>
      </w:r>
      <w:r w:rsidRPr="004D0537">
        <w:rPr>
          <w:i/>
          <w:iCs/>
        </w:rPr>
        <w:t>Europeiska unionens officiella tidning</w:t>
      </w:r>
      <w:r w:rsidRPr="004D0537">
        <w:t xml:space="preserve"> (L-serien).</w:t>
      </w:r>
    </w:p>
    <w:p w14:paraId="4D787CAD" w14:textId="77777777" w:rsidR="004B06CC" w:rsidRPr="004D0537" w:rsidRDefault="004B06CC" w:rsidP="004B06CC"/>
    <w:p w14:paraId="2253D3D0" w14:textId="77777777" w:rsidR="004B06CC" w:rsidRPr="004D0537" w:rsidRDefault="004B06CC" w:rsidP="00D917A6">
      <w:pPr>
        <w:spacing w:after="480"/>
        <w:rPr>
          <w:rFonts w:cs="Arial"/>
          <w:b/>
        </w:rPr>
        <w:sectPr w:rsidR="004B06CC" w:rsidRPr="004D0537" w:rsidSect="003A4AB5">
          <w:footerReference w:type="first" r:id="rId7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F28C15" w14:textId="710BDFD8" w:rsidR="004B06CC" w:rsidRPr="004D0537" w:rsidRDefault="006C1F72" w:rsidP="006C1F72">
      <w:pPr>
        <w:pStyle w:val="ATHeading3"/>
      </w:pPr>
      <w:r w:rsidRPr="004D0537">
        <w:lastRenderedPageBreak/>
        <w:t xml:space="preserve">66. Europaparlamentets beslut av den 29 april 2026 </w:t>
      </w:r>
      <w:r w:rsidR="004B06CC" w:rsidRPr="004D0537">
        <w:t>om avslutande av räkenskaperna för Europeiska gräns- och kustbevakningsbyrån för budgetåret 2024</w:t>
      </w:r>
      <w:r w:rsidR="00D917A6" w:rsidRPr="004D0537">
        <w:t xml:space="preserve"> </w:t>
      </w:r>
      <w:r w:rsidR="004B06CC" w:rsidRPr="004D0537">
        <w:t>(2025/2156(DEC))</w:t>
      </w:r>
    </w:p>
    <w:p w14:paraId="71F4BEEB" w14:textId="77777777" w:rsidR="004B06CC" w:rsidRPr="004D0537" w:rsidRDefault="004B06CC" w:rsidP="004B06CC">
      <w:pPr>
        <w:spacing w:before="480" w:after="240"/>
      </w:pPr>
      <w:r w:rsidRPr="004D0537">
        <w:rPr>
          <w:i/>
          <w:iCs/>
        </w:rPr>
        <w:t>Europaparlamentet fattar detta beslut</w:t>
      </w:r>
    </w:p>
    <w:p w14:paraId="554D2D8A" w14:textId="77777777" w:rsidR="004B06CC" w:rsidRPr="004D0537" w:rsidRDefault="004B06CC" w:rsidP="004B06CC">
      <w:pPr>
        <w:spacing w:after="240"/>
        <w:ind w:left="567" w:hanging="567"/>
      </w:pPr>
      <w:r w:rsidRPr="004D0537">
        <w:t>–</w:t>
      </w:r>
      <w:r w:rsidRPr="004D0537">
        <w:tab/>
        <w:t>med beaktande av den slutliga årsredovisningen för Europeiska gräns- och kustbevakningsbyrån för budgetåret 2024,</w:t>
      </w:r>
    </w:p>
    <w:p w14:paraId="0CD8DDD4" w14:textId="77777777" w:rsidR="004B06CC" w:rsidRPr="004D0537" w:rsidRDefault="004B06CC" w:rsidP="004B06CC">
      <w:pPr>
        <w:spacing w:after="240"/>
        <w:ind w:left="567" w:hanging="567"/>
      </w:pPr>
      <w:r w:rsidRPr="004D0537">
        <w:t>–</w:t>
      </w:r>
      <w:r w:rsidRPr="004D0537">
        <w:tab/>
        <w:t>med beaktande av revisionsrättens årsrapport om EU:s byråer för budgetåret 2024, med byråernas svar</w:t>
      </w:r>
      <w:r w:rsidRPr="004D0537">
        <w:rPr>
          <w:vertAlign w:val="superscript"/>
        </w:rPr>
        <w:footnoteReference w:id="391"/>
      </w:r>
      <w:r w:rsidRPr="004D0537">
        <w:t>,</w:t>
      </w:r>
    </w:p>
    <w:p w14:paraId="76C2C78F" w14:textId="77777777" w:rsidR="004B06CC" w:rsidRPr="004D0537" w:rsidRDefault="004B06CC" w:rsidP="004B06CC">
      <w:pPr>
        <w:spacing w:after="240"/>
        <w:ind w:left="567" w:hanging="567"/>
      </w:pPr>
      <w:r w:rsidRPr="004D0537">
        <w:t>–</w:t>
      </w:r>
      <w:r w:rsidRPr="004D0537">
        <w:tab/>
        <w:t>med beaktande av förklaringen om räkenskapernas tillförlitlighet och de underliggande transaktionernas laglighet och korrekthet</w:t>
      </w:r>
      <w:r w:rsidRPr="004D0537">
        <w:rPr>
          <w:vertAlign w:val="superscript"/>
        </w:rPr>
        <w:footnoteReference w:id="392"/>
      </w:r>
      <w:r w:rsidRPr="004D0537">
        <w:t>, som avgetts av revisionsrätten för budgetåret 2024 i enlighet med artikel 287 i fördraget om Europeiska unionens funktionssätt,</w:t>
      </w:r>
    </w:p>
    <w:p w14:paraId="296EA5F9" w14:textId="77777777" w:rsidR="004B06CC" w:rsidRPr="004D0537" w:rsidRDefault="004B06CC" w:rsidP="004B06CC">
      <w:pPr>
        <w:spacing w:after="240"/>
        <w:ind w:left="567" w:hanging="567"/>
      </w:pPr>
      <w:r w:rsidRPr="004D0537">
        <w:t>–</w:t>
      </w:r>
      <w:r w:rsidRPr="004D0537">
        <w:tab/>
        <w:t>med beaktande av rådets rekommendation av den 2 mars 2026 om att bevilja byrån ansvarsfrihet för genomförandet av budgeten för budgetåret 2024 (05750/2026 – C10</w:t>
      </w:r>
      <w:r w:rsidRPr="004D0537">
        <w:noBreakHyphen/>
        <w:t>0148/2026),</w:t>
      </w:r>
    </w:p>
    <w:p w14:paraId="14E20006" w14:textId="77777777" w:rsidR="004B06CC" w:rsidRPr="004D0537" w:rsidRDefault="004B06CC" w:rsidP="004B06CC">
      <w:pPr>
        <w:spacing w:after="240"/>
        <w:ind w:left="567" w:hanging="567"/>
      </w:pPr>
      <w:r w:rsidRPr="004D0537">
        <w:t>–</w:t>
      </w:r>
      <w:r w:rsidRPr="004D0537">
        <w:tab/>
        <w:t>med beaktande av artikel 319 i fördraget om Europeiska unionens funktionssätt,</w:t>
      </w:r>
    </w:p>
    <w:p w14:paraId="3D27B35B" w14:textId="77777777" w:rsidR="004B06CC" w:rsidRPr="004D0537" w:rsidRDefault="004B06CC" w:rsidP="004B06CC">
      <w:pPr>
        <w:spacing w:after="240"/>
        <w:ind w:left="567" w:hanging="567"/>
      </w:pPr>
      <w:r w:rsidRPr="004D0537">
        <w:t>–</w:t>
      </w:r>
      <w:r w:rsidRPr="004D0537">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0537">
        <w:rPr>
          <w:vertAlign w:val="superscript"/>
        </w:rPr>
        <w:footnoteReference w:id="393"/>
      </w:r>
      <w:r w:rsidRPr="004D0537">
        <w:t>, särskilt artikel 70,</w:t>
      </w:r>
    </w:p>
    <w:p w14:paraId="37188758" w14:textId="77777777" w:rsidR="004B06CC" w:rsidRPr="004D0537" w:rsidRDefault="004B06CC" w:rsidP="004B06CC">
      <w:pPr>
        <w:spacing w:after="240"/>
        <w:ind w:left="567" w:hanging="567"/>
      </w:pPr>
      <w:r w:rsidRPr="004D0537">
        <w:t>–</w:t>
      </w:r>
      <w:r w:rsidRPr="004D0537">
        <w:tab/>
        <w:t>med beaktande av Europaparlamentets och rådets förordning (EU, Euratom) 2024/2509 av den 23 september 2024 om finansiella regler för unionens allmänna budget</w:t>
      </w:r>
      <w:r w:rsidRPr="004D0537">
        <w:rPr>
          <w:vertAlign w:val="superscript"/>
        </w:rPr>
        <w:footnoteReference w:id="394"/>
      </w:r>
      <w:r w:rsidRPr="004D0537">
        <w:t>, särskilt artikel 70,</w:t>
      </w:r>
    </w:p>
    <w:p w14:paraId="430D1A47" w14:textId="77777777" w:rsidR="004B06CC" w:rsidRPr="004D0537" w:rsidRDefault="004B06CC" w:rsidP="004B06CC">
      <w:pPr>
        <w:spacing w:after="240"/>
        <w:ind w:left="567" w:hanging="567"/>
      </w:pPr>
      <w:r w:rsidRPr="004D0537">
        <w:t>–</w:t>
      </w:r>
      <w:r w:rsidRPr="004D0537">
        <w:tab/>
        <w:t>med beaktande av Europaparlamentets och rådets förordning (EU) 2019/1896 av den 13 november 2019 om den europeiska gräns- och kustbevakningen och om upphävande av förordningarna (EU) nr 1052/2013 och (EU) 2016/1624</w:t>
      </w:r>
      <w:r w:rsidRPr="004D0537">
        <w:rPr>
          <w:vertAlign w:val="superscript"/>
        </w:rPr>
        <w:footnoteReference w:id="395"/>
      </w:r>
      <w:r w:rsidRPr="004D0537">
        <w:t>, särskilt artikel 116,</w:t>
      </w:r>
    </w:p>
    <w:p w14:paraId="68B5F16E" w14:textId="77777777" w:rsidR="004B06CC" w:rsidRPr="004D0537" w:rsidRDefault="004B06CC" w:rsidP="004B06CC">
      <w:pPr>
        <w:spacing w:after="240"/>
        <w:ind w:left="567" w:hanging="567"/>
      </w:pPr>
      <w:r w:rsidRPr="004D0537">
        <w:t>–</w:t>
      </w:r>
      <w:r w:rsidRPr="004D0537">
        <w:tab/>
        <w:t>med beaktande av kommissionens delegerade förordning (EU) 2019/715 av den 18 december 2018 med rambudgetförordning för de organ som inrättats enligt EUF</w:t>
      </w:r>
      <w:r w:rsidRPr="004D0537">
        <w:noBreakHyphen/>
        <w:t>fördraget och Euratomfördraget och som avses i artikel 70 i Europaparlamentets och rådets förordning (EU, Euratom) 2018/1046</w:t>
      </w:r>
      <w:r w:rsidRPr="004D0537">
        <w:rPr>
          <w:vertAlign w:val="superscript"/>
        </w:rPr>
        <w:footnoteReference w:id="396"/>
      </w:r>
      <w:r w:rsidRPr="004D0537">
        <w:t>, särskilt artikel 105,</w:t>
      </w:r>
    </w:p>
    <w:p w14:paraId="26FBE86C" w14:textId="77777777" w:rsidR="004B06CC" w:rsidRPr="004D0537" w:rsidRDefault="004B06CC" w:rsidP="004B06CC">
      <w:pPr>
        <w:spacing w:after="240"/>
        <w:ind w:left="567" w:hanging="567"/>
      </w:pPr>
      <w:r w:rsidRPr="004D0537">
        <w:t>–</w:t>
      </w:r>
      <w:r w:rsidRPr="004D0537">
        <w:tab/>
        <w:t>med beaktande av artikel 102 och bilaga V i arbetsordningen,</w:t>
      </w:r>
    </w:p>
    <w:p w14:paraId="29103A72" w14:textId="77777777" w:rsidR="004B06CC" w:rsidRPr="004D0537" w:rsidRDefault="004B06CC" w:rsidP="004B06CC">
      <w:pPr>
        <w:spacing w:after="240"/>
        <w:ind w:left="567" w:hanging="567"/>
      </w:pPr>
      <w:r w:rsidRPr="004D0537">
        <w:t>–</w:t>
      </w:r>
      <w:r w:rsidRPr="004D0537">
        <w:tab/>
        <w:t xml:space="preserve">med beaktande av yttrandena från utskottet för sysselsättning och sociala frågor, utskottet för utskottet för miljö, klimat och livsmedelssäkerhet, utskottet för folkhälsa, </w:t>
      </w:r>
      <w:r w:rsidRPr="004D0537">
        <w:lastRenderedPageBreak/>
        <w:t>utskottet för transport och turism, fiskeriutskottet, utskottet för medborgerliga fri- och rättigheter samt rättsliga och inrikes frågor och utskottet för kvinnors rättigheter och jämställdhet,</w:t>
      </w:r>
    </w:p>
    <w:p w14:paraId="6E9EFEA1" w14:textId="77777777" w:rsidR="004B06CC" w:rsidRPr="004D0537" w:rsidRDefault="004B06CC" w:rsidP="004B06CC">
      <w:pPr>
        <w:spacing w:after="240"/>
        <w:ind w:left="567" w:hanging="567"/>
      </w:pPr>
      <w:r w:rsidRPr="004D0537">
        <w:t>–</w:t>
      </w:r>
      <w:r w:rsidRPr="004D0537">
        <w:tab/>
        <w:t>med beaktande av betänkandet från budgetkontrollutskottet (A10-0087/2026).</w:t>
      </w:r>
    </w:p>
    <w:p w14:paraId="649B50CF" w14:textId="77777777" w:rsidR="004B06CC" w:rsidRPr="004D0537" w:rsidRDefault="004B06CC" w:rsidP="004B06CC">
      <w:pPr>
        <w:spacing w:after="240"/>
        <w:ind w:left="567" w:hanging="567"/>
      </w:pPr>
      <w:r w:rsidRPr="004D0537">
        <w:t>1.</w:t>
      </w:r>
      <w:r w:rsidRPr="004D0537">
        <w:tab/>
        <w:t>Europaparlamentet godkänner avslutandet av räkenskaperna för Europeiska gräns- och kustbevakningsbyrån för budgetåret 2024.</w:t>
      </w:r>
    </w:p>
    <w:p w14:paraId="4FEE898E" w14:textId="5F7EAD92" w:rsidR="004B06CC" w:rsidRPr="004D0537" w:rsidRDefault="004B06CC" w:rsidP="00D917A6">
      <w:pPr>
        <w:spacing w:after="240"/>
        <w:ind w:left="567" w:hanging="567"/>
      </w:pPr>
      <w:r w:rsidRPr="004D0537">
        <w:t>2.</w:t>
      </w:r>
      <w:r w:rsidRPr="004D0537">
        <w:tab/>
        <w:t xml:space="preserve">Europaparlamentet uppdrar åt talmannen att översända detta beslut till verkställande direktören för Europeiska gräns- och kustbevakningsbyrån, rådet, kommissionen och revisionsrätten, och att se till att det offentliggörs i </w:t>
      </w:r>
      <w:r w:rsidRPr="004D0537">
        <w:rPr>
          <w:i/>
          <w:iCs/>
        </w:rPr>
        <w:t>Europeiska unionens officiella tidning</w:t>
      </w:r>
      <w:r w:rsidRPr="004D0537">
        <w:t xml:space="preserve"> (L-serien).</w:t>
      </w:r>
    </w:p>
    <w:p w14:paraId="1571691A" w14:textId="77777777" w:rsidR="001869B6" w:rsidRDefault="001869B6" w:rsidP="004B06CC">
      <w:pPr>
        <w:sectPr w:rsidR="001869B6" w:rsidSect="005B4844">
          <w:headerReference w:type="even" r:id="rId79"/>
          <w:headerReference w:type="default" r:id="rId80"/>
          <w:footerReference w:type="even" r:id="rId81"/>
          <w:footerReference w:type="default" r:id="rId82"/>
          <w:headerReference w:type="first" r:id="rId83"/>
          <w:footerReference w:type="first" r:id="rId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03CB332" w14:textId="2160958C" w:rsidR="004B06CC" w:rsidRPr="004D0537" w:rsidRDefault="005B4844" w:rsidP="005B4844">
      <w:pPr>
        <w:pStyle w:val="ATHeading3"/>
        <w:rPr>
          <w:rFonts w:ascii="Arial" w:hAnsi="Arial" w:cs="Arial"/>
        </w:rPr>
      </w:pPr>
      <w:r w:rsidRPr="004D0537">
        <w:lastRenderedPageBreak/>
        <w:t xml:space="preserve">67. Europaparlamentets resolution av den 29 april 2026 </w:t>
      </w:r>
      <w:r w:rsidR="004B06CC" w:rsidRPr="004D0537">
        <w:t>med de iakttagelser som utgör en del av besluten om ansvarsfrihet för genomförande av budgeten för Europeiska unionens byråer för budgetåret 2024</w:t>
      </w:r>
      <w:r w:rsidRPr="004D0537">
        <w:t xml:space="preserve"> </w:t>
      </w:r>
      <w:r w:rsidR="004B06CC" w:rsidRPr="004D0537">
        <w:t>(2025/2156(DEC))</w:t>
      </w:r>
    </w:p>
    <w:p w14:paraId="03B3362C" w14:textId="77777777" w:rsidR="004B06CC" w:rsidRPr="004D0537" w:rsidRDefault="004B06CC" w:rsidP="004B06CC">
      <w:pPr>
        <w:spacing w:before="480" w:after="240"/>
      </w:pPr>
      <w:r w:rsidRPr="004D0537">
        <w:rPr>
          <w:i/>
          <w:iCs/>
        </w:rPr>
        <w:t>Europaparlamentet utfärdar denna resolution</w:t>
      </w:r>
    </w:p>
    <w:p w14:paraId="0D31E185"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unionens byrå för samarbete mellan energitillsynsmyndigheter för budgetåret 2024,</w:t>
      </w:r>
    </w:p>
    <w:p w14:paraId="4DA5733F" w14:textId="77777777" w:rsidR="004B06CC" w:rsidRPr="004D0537" w:rsidRDefault="004B06CC" w:rsidP="004B06CC">
      <w:pPr>
        <w:spacing w:after="240"/>
        <w:ind w:left="567" w:hanging="567"/>
      </w:pPr>
      <w:r w:rsidRPr="004D0537">
        <w:t>–</w:t>
      </w:r>
      <w:r w:rsidRPr="004D0537">
        <w:tab/>
        <w:t xml:space="preserve">med beaktande av sitt beslut om ansvarsfrihet för genomförandet av budgeten för Byrån för stöd till </w:t>
      </w:r>
      <w:proofErr w:type="spellStart"/>
      <w:r w:rsidRPr="004D0537">
        <w:t>Berec</w:t>
      </w:r>
      <w:proofErr w:type="spellEnd"/>
      <w:r w:rsidRPr="004D0537">
        <w:t xml:space="preserve"> för budgetåret 2024,</w:t>
      </w:r>
    </w:p>
    <w:p w14:paraId="5F43201C"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Översättningscentrum för Europeiska unionens organ för budgetåret 2024,</w:t>
      </w:r>
    </w:p>
    <w:p w14:paraId="2D33C56A"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centrumet för utveckling av yrkesutbildning för budgetåret 2024,</w:t>
      </w:r>
    </w:p>
    <w:p w14:paraId="362934EC"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unionens byrå för utbildning av tjänstemän inom brottsbekämpning för budgetåret 2024,</w:t>
      </w:r>
    </w:p>
    <w:p w14:paraId="65E00B2A"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unionens byrå för luftfartssäkerhet för budgetåret 2024,</w:t>
      </w:r>
    </w:p>
    <w:p w14:paraId="5F192465"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bankmyndigheten för budgetåret 2024,</w:t>
      </w:r>
    </w:p>
    <w:p w14:paraId="6296243C"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centrumet för förebyggande och kontroll av sjukdomar för budgetåret 2024,</w:t>
      </w:r>
    </w:p>
    <w:p w14:paraId="34F90111"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kemikaliemyndigheten för budgetåret 2024,</w:t>
      </w:r>
    </w:p>
    <w:p w14:paraId="4FAAB8E6"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miljöbyrån för budgetåret 2024,</w:t>
      </w:r>
    </w:p>
    <w:p w14:paraId="63843395"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fiskerikontrollbyrån för budgetåret 2024,</w:t>
      </w:r>
    </w:p>
    <w:p w14:paraId="61BBC7C6"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myndigheten för livsmedelssäkerhet för budgetåret 2024,</w:t>
      </w:r>
    </w:p>
    <w:p w14:paraId="7BEBDF4D"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jämställdhetsinstitutet för budgetåret 2024,</w:t>
      </w:r>
    </w:p>
    <w:p w14:paraId="22E28E27"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försäkrings- och tjänstepensionsmyndigheten för budgetåret 2024,</w:t>
      </w:r>
    </w:p>
    <w:p w14:paraId="68742756"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institutet för innovation och teknik för budgetåret 2024,</w:t>
      </w:r>
    </w:p>
    <w:p w14:paraId="4B15FEC9" w14:textId="77777777" w:rsidR="004B06CC" w:rsidRPr="004D0537" w:rsidRDefault="004B06CC" w:rsidP="004B06CC">
      <w:pPr>
        <w:spacing w:after="240"/>
        <w:ind w:left="567" w:hanging="567"/>
      </w:pPr>
      <w:r w:rsidRPr="004D0537">
        <w:lastRenderedPageBreak/>
        <w:t>–</w:t>
      </w:r>
      <w:r w:rsidRPr="004D0537">
        <w:tab/>
        <w:t>med beaktande av sitt beslut om ansvarsfrihet för genomförandet av budgeten för Europeiska arbetsmyndigheten för budgetåret 2024,</w:t>
      </w:r>
    </w:p>
    <w:p w14:paraId="25DC381E"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läkemedelsmyndigheten för budgetåret 2024,</w:t>
      </w:r>
    </w:p>
    <w:p w14:paraId="0C619B3D"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unionens narkotikamyndighet för budgetåret 2024,</w:t>
      </w:r>
    </w:p>
    <w:p w14:paraId="178D1974"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sjösäkerhetsbyrån för budgetåret 2024,</w:t>
      </w:r>
    </w:p>
    <w:p w14:paraId="1B1623A7"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unionens cybersäkerhetsbyrå för budgetåret 2024,</w:t>
      </w:r>
    </w:p>
    <w:p w14:paraId="3B626D19"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unionens järnvägsbyrå för budgetåret 2024,</w:t>
      </w:r>
    </w:p>
    <w:p w14:paraId="4A003119"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Euratoms försörjningsbyrå för budgetåret 2024,</w:t>
      </w:r>
    </w:p>
    <w:p w14:paraId="04685DD5"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värdepappers- och marknadsmyndigheten för budgetåret 2024,</w:t>
      </w:r>
    </w:p>
    <w:p w14:paraId="32E46E60"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yrkesutbildningsstiftelsen för budgetåret 2024,</w:t>
      </w:r>
    </w:p>
    <w:p w14:paraId="006B22FC"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unionens asylbyrå för budgetåret 2024,</w:t>
      </w:r>
    </w:p>
    <w:p w14:paraId="2929C350" w14:textId="77777777" w:rsidR="004B06CC" w:rsidRPr="004D0537" w:rsidRDefault="004B06CC" w:rsidP="004B06CC">
      <w:pPr>
        <w:spacing w:after="240"/>
        <w:ind w:left="567" w:hanging="567"/>
      </w:pPr>
      <w:r w:rsidRPr="004D0537">
        <w:t>–</w:t>
      </w:r>
      <w:r w:rsidRPr="004D0537">
        <w:tab/>
        <w:t xml:space="preserve">med beaktande av sitt beslut om ansvarsfrihet för genomförandet av budgeten för Europeiska unionens byrå för den operativa förvaltningen av stora </w:t>
      </w:r>
      <w:proofErr w:type="spellStart"/>
      <w:r w:rsidRPr="004D0537">
        <w:t>it-system</w:t>
      </w:r>
      <w:proofErr w:type="spellEnd"/>
      <w:r w:rsidRPr="004D0537">
        <w:t xml:space="preserve"> inom området frihet, säkerhet och rättvisa för budgetåret 2024,</w:t>
      </w:r>
    </w:p>
    <w:p w14:paraId="42369C85"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arbetsmiljöbyrån för budgetåret 2024,</w:t>
      </w:r>
    </w:p>
    <w:p w14:paraId="441F7218"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fonden för förbättring av levnads- och arbetsvillkor för budgetåret 2024,</w:t>
      </w:r>
    </w:p>
    <w:p w14:paraId="0568E7BA"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unionens byrå för straffrättsligt samarbete för budgetåret 2024,</w:t>
      </w:r>
    </w:p>
    <w:p w14:paraId="248E785A"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unionens byrå för samarbete inom brottsbekämpning för budgetåret 2024,</w:t>
      </w:r>
    </w:p>
    <w:p w14:paraId="08ABEDDD"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unionens rymdprogrambyrå för budgetåret 2024,</w:t>
      </w:r>
    </w:p>
    <w:p w14:paraId="46D0F09B" w14:textId="77777777" w:rsidR="004B06CC" w:rsidRPr="004D0537" w:rsidRDefault="004B06CC" w:rsidP="004B06CC">
      <w:pPr>
        <w:spacing w:after="240"/>
        <w:ind w:left="567" w:hanging="567"/>
      </w:pPr>
      <w:r w:rsidRPr="004D0537">
        <w:t>–</w:t>
      </w:r>
      <w:r w:rsidRPr="004D0537">
        <w:tab/>
        <w:t>med beaktande av sitt beslut om ansvarsfrihet för genomförandet av budgeten för Europeiska unionens byrå för grundläggande rättigheter för budgetåret 2024,</w:t>
      </w:r>
    </w:p>
    <w:p w14:paraId="58AB426C" w14:textId="77777777" w:rsidR="004B06CC" w:rsidRPr="004D0537" w:rsidRDefault="004B06CC" w:rsidP="004B06CC">
      <w:pPr>
        <w:spacing w:after="240"/>
        <w:ind w:left="567" w:hanging="567"/>
      </w:pPr>
      <w:r w:rsidRPr="004D0537">
        <w:t>–</w:t>
      </w:r>
      <w:r w:rsidRPr="004D0537">
        <w:tab/>
        <w:t xml:space="preserve">med beaktande av sitt beslut om ansvarsfrihet för genomförandet av budgeten för </w:t>
      </w:r>
      <w:r w:rsidRPr="004D0537">
        <w:lastRenderedPageBreak/>
        <w:t>Europeiska gräns- och kustbevakningsbyrån för budgetåret 2024,</w:t>
      </w:r>
    </w:p>
    <w:p w14:paraId="3D201A74" w14:textId="77777777" w:rsidR="004B06CC" w:rsidRPr="004D0537" w:rsidRDefault="004B06CC" w:rsidP="004B06CC">
      <w:pPr>
        <w:spacing w:after="240"/>
        <w:ind w:left="567" w:hanging="567"/>
      </w:pPr>
      <w:r w:rsidRPr="004D0537">
        <w:t>–</w:t>
      </w:r>
      <w:r w:rsidRPr="004D0537">
        <w:tab/>
        <w:t>med beaktande av artikel 102 och bilaga V i arbetsordningen,</w:t>
      </w:r>
    </w:p>
    <w:p w14:paraId="13A3993A" w14:textId="77777777" w:rsidR="004B06CC" w:rsidRPr="004D0537" w:rsidRDefault="004B06CC" w:rsidP="004B06CC">
      <w:pPr>
        <w:spacing w:after="240"/>
        <w:ind w:left="567" w:hanging="567"/>
      </w:pPr>
      <w:r w:rsidRPr="004D0537">
        <w:t>–</w:t>
      </w:r>
      <w:r w:rsidRPr="004D0537">
        <w:tab/>
        <w:t>med beaktande av yttrandena från utskottet för sysselsättning och sociala frågor, utskottet för utskottet för miljö, klimat och livsmedelssäkerhet, utskottet för folkhälsa, utskottet för transport och turism, fiskeriutskottet, utskottet för medborgerliga fri- och rättigheter samt rättsliga och inrikes frågor och utskottet för kvinnors rättigheter och jämställdhet,</w:t>
      </w:r>
    </w:p>
    <w:p w14:paraId="063A0BAF" w14:textId="77777777" w:rsidR="004B06CC" w:rsidRPr="004D0537" w:rsidRDefault="004B06CC" w:rsidP="004B06CC">
      <w:pPr>
        <w:spacing w:after="240"/>
        <w:ind w:left="567" w:hanging="567"/>
      </w:pPr>
      <w:r w:rsidRPr="004D0537">
        <w:t>–</w:t>
      </w:r>
      <w:r w:rsidRPr="004D0537">
        <w:tab/>
        <w:t>med beaktande av betänkandet från budgetkontrollutskottet (A10-0087/2026), och av följande skäl:</w:t>
      </w:r>
    </w:p>
    <w:p w14:paraId="7BDEE23B" w14:textId="77777777" w:rsidR="004B06CC" w:rsidRPr="004D0537" w:rsidRDefault="004B06CC" w:rsidP="004B06CC">
      <w:pPr>
        <w:spacing w:after="240"/>
        <w:ind w:left="567" w:hanging="567"/>
      </w:pPr>
      <w:r w:rsidRPr="004D0537">
        <w:t>A.</w:t>
      </w:r>
      <w:r w:rsidRPr="004D0537">
        <w:tab/>
        <w:t>Unionens decentraliserade byråer, genomförandeorgan och andra organ är separata juridiska enheter som inrättats för att utföra specifika tekniska, vetenskapliga eller administrativa uppgifter och därigenom bistå unionens institutioner vid utformningen och genomförandet av politiken. De ligger i olika medlemsstater och har betydande inverkan på områden som är av grundläggande betydelse för unionsmedborgarnas dagliga liv, såsom hälsa, säkerhet, trygghet, frihet och rättvisa. Parlamentet påminner om att ansvarsfrihetsförfarandet inte bara handlar om teknisk redovisning, utan är ett centralt instrument för demokratisk ansvarsskyldighet genom vilket parlamentet bedömer om unionens organ agerar i linje med principerna om sund ekonomisk förvaltning.</w:t>
      </w:r>
    </w:p>
    <w:p w14:paraId="3099F156" w14:textId="77777777" w:rsidR="004B06CC" w:rsidRPr="004D0537" w:rsidRDefault="004B06CC" w:rsidP="004B06CC">
      <w:pPr>
        <w:spacing w:after="240"/>
        <w:ind w:left="567" w:hanging="567"/>
      </w:pPr>
      <w:r w:rsidRPr="004D0537">
        <w:t>B.</w:t>
      </w:r>
      <w:r w:rsidRPr="004D0537">
        <w:tab/>
        <w:t>Denna resolution innehåller, för varje organ som avses i artikel 70 i förordning (EU, Euratom) 2024/2509, och för Euratoms försörjningsbyrå, de övergripande iakttagelserna i besluten om ansvarsfrihet i enlighet med artikel 268 i förordning (EU, Euratom) 2024/2509 och artikel 3 i bilaga V till parlamentets arbetsordning.</w:t>
      </w:r>
    </w:p>
    <w:p w14:paraId="1CCC4C7B" w14:textId="77777777" w:rsidR="004B06CC" w:rsidRPr="004D0537" w:rsidRDefault="004B06CC" w:rsidP="004B06CC">
      <w:pPr>
        <w:spacing w:after="240"/>
        <w:ind w:left="567" w:hanging="567"/>
      </w:pPr>
      <w:r w:rsidRPr="004D0537">
        <w:t>C.</w:t>
      </w:r>
      <w:r w:rsidRPr="004D0537">
        <w:tab/>
        <w:t>Unionens decentraliserade byråer och Euratoms försörjningsbyrå bör fokusera på uppdrag med ett tydligt europeiskt mervärde och för EU-skattebetalarnas bästa bör organiseringen av sådana uppdrag optimeras för att undvika överlappningar.</w:t>
      </w:r>
    </w:p>
    <w:p w14:paraId="649ED529" w14:textId="77777777" w:rsidR="004B06CC" w:rsidRPr="004D0537" w:rsidRDefault="004B06CC" w:rsidP="004B06CC">
      <w:pPr>
        <w:spacing w:after="240"/>
        <w:ind w:left="567" w:hanging="567"/>
      </w:pPr>
      <w:r w:rsidRPr="004D0537">
        <w:t>D.</w:t>
      </w:r>
      <w:r w:rsidRPr="004D0537">
        <w:tab/>
        <w:t>Inom ramen för förfarandet för beviljande av ansvarsfrihet vill den ansvarsfrihetsbeviljande myndigheten betona att det är av stor vikt att stärka unionsinstitutionernas demokratiska legitimitet. Detta inbegriper ökad transparens och ansvarsskyldighet samt genomförande av prestationsbaserad budgetering och säkerställande av god förvaltning av personalresurser.</w:t>
      </w:r>
    </w:p>
    <w:p w14:paraId="3C6474DD" w14:textId="77777777" w:rsidR="004B06CC" w:rsidRPr="004D0537" w:rsidRDefault="004B06CC" w:rsidP="004B06CC">
      <w:pPr>
        <w:spacing w:after="240"/>
        <w:ind w:left="567" w:hanging="567"/>
      </w:pPr>
      <w:r w:rsidRPr="004D0537">
        <w:t>E.</w:t>
      </w:r>
      <w:r w:rsidRPr="004D0537">
        <w:tab/>
        <w:t>Unionens åtgärder på området för budgetkontroll bygger på två principer: dels att säkerställa att unionens budget används på rätt sätt och med transparens, dels att skydda unionens ekonomiska intressen och bekämpa bedrägerier.</w:t>
      </w:r>
    </w:p>
    <w:p w14:paraId="74E41C7F" w14:textId="77777777" w:rsidR="004B06CC" w:rsidRPr="004D0537" w:rsidRDefault="004B06CC" w:rsidP="004B06CC">
      <w:pPr>
        <w:spacing w:after="240"/>
        <w:ind w:left="567" w:hanging="567"/>
      </w:pPr>
      <w:r w:rsidRPr="004D0537">
        <w:t>F.</w:t>
      </w:r>
      <w:r w:rsidRPr="004D0537">
        <w:tab/>
        <w:t>Europaparlamentet, Europeiska unionens råd och Europeiska kommissionen antog 2012 ett gemensamt uttalande</w:t>
      </w:r>
      <w:r w:rsidRPr="004D0537">
        <w:rPr>
          <w:vertAlign w:val="superscript"/>
        </w:rPr>
        <w:footnoteReference w:id="397"/>
      </w:r>
      <w:r w:rsidRPr="004D0537">
        <w:t xml:space="preserve"> och en omfattande uppsättning vägledande principer – en gemensam ansats i dess bilaga – för att göra byråerna mer enhetliga, effektiva och ansvarsskyldiga. Kommissionen åtog sig att följa upp detta avtal, när så är relevant i </w:t>
      </w:r>
      <w:r w:rsidRPr="004D0537">
        <w:lastRenderedPageBreak/>
        <w:t>samarbete med byråerna.</w:t>
      </w:r>
    </w:p>
    <w:p w14:paraId="6E2628A6" w14:textId="77777777" w:rsidR="004B06CC" w:rsidRPr="004D0537" w:rsidRDefault="004B06CC" w:rsidP="004B06CC">
      <w:pPr>
        <w:spacing w:after="240"/>
        <w:ind w:left="567" w:hanging="567"/>
      </w:pPr>
      <w:r w:rsidRPr="004D0537">
        <w:t>G.</w:t>
      </w:r>
      <w:r w:rsidRPr="004D0537">
        <w:tab/>
        <w:t>Samtidigt som institutionerna erkänner den icke rättsligt bindande karaktären hos det gemensamma uttalandet och den gemensamma ansatsen i dess bilaga, och utan att det påverkar deras befogenheter i lagstiftningsförfaranden och årliga budgetförfaranden, kommer de att beakta den gemensamma ansatsen i samband med alla framtida beslut som rör unionens decentraliserade organ efter enskild analys av varje enskilt fall.</w:t>
      </w:r>
    </w:p>
    <w:p w14:paraId="48F25387" w14:textId="77777777" w:rsidR="004B06CC" w:rsidRPr="004D0537" w:rsidRDefault="004B06CC" w:rsidP="004B06CC">
      <w:pPr>
        <w:spacing w:after="240"/>
        <w:ind w:left="567" w:hanging="567"/>
      </w:pPr>
      <w:r w:rsidRPr="004D0537">
        <w:t>H.</w:t>
      </w:r>
      <w:r w:rsidRPr="004D0537">
        <w:tab/>
        <w:t>För budgetåret 2024 avgav revisionsrätten uttalanden utan reservation för nästan alla byråer. Höga standarder för sund ekonomisk förvaltning, effektiva interna kontrollsystem och budgetdisciplin är fortfarande avgörande för att säkerställa en korrekt och transparent användning av unionens medel och för att stärka medborgarnas förtroende för unionens institutioner.</w:t>
      </w:r>
    </w:p>
    <w:p w14:paraId="137B3930" w14:textId="77777777" w:rsidR="004B06CC" w:rsidRPr="004D0537" w:rsidRDefault="004B06CC" w:rsidP="004B06CC">
      <w:pPr>
        <w:spacing w:after="240"/>
        <w:ind w:left="567" w:hanging="567"/>
      </w:pPr>
      <w:r w:rsidRPr="004D0537">
        <w:t>I.</w:t>
      </w:r>
      <w:r w:rsidRPr="004D0537">
        <w:tab/>
        <w:t>EU-byråernas ansvarsområden har ökat under de senaste åren. Tillräckliga och förutsägbara resurser, i kombination med robusta styrningsstrukturer och tydliga mekanismer för ansvarsskyldighet, är nödvändiga för att de ska kunna fullgöra sina mandat på ett effektivt sätt och för att skydda unionens trovärdighet.</w:t>
      </w:r>
    </w:p>
    <w:p w14:paraId="794DA36D" w14:textId="77777777" w:rsidR="004B06CC" w:rsidRPr="004D0537" w:rsidRDefault="004B06CC" w:rsidP="004B06CC">
      <w:pPr>
        <w:spacing w:after="240"/>
        <w:ind w:left="567" w:hanging="567"/>
      </w:pPr>
      <w:r w:rsidRPr="004D0537">
        <w:t>J.</w:t>
      </w:r>
      <w:r w:rsidRPr="004D0537">
        <w:tab/>
        <w:t>Den cybersäkerhetsincident som drabbade en av byråerna 2024 visar på sårbarheten hos unionsorgan som hanterar känsliga uppgifter. Att stärka cybersäkerheten, driftskontinuitetsplaneringen och de interna kontrollsystemen bör vara en övergripande prioritering för alla byråer.</w:t>
      </w:r>
    </w:p>
    <w:p w14:paraId="32838742" w14:textId="77777777" w:rsidR="004B06CC" w:rsidRPr="004D0537" w:rsidRDefault="004B06CC" w:rsidP="004B06CC">
      <w:pPr>
        <w:spacing w:after="240"/>
        <w:ind w:left="567" w:hanging="567"/>
        <w:rPr>
          <w:b/>
          <w:i/>
        </w:rPr>
      </w:pPr>
      <w:r w:rsidRPr="004D0537">
        <w:rPr>
          <w:b/>
          <w:i/>
        </w:rPr>
        <w:t>Allmänt</w:t>
      </w:r>
    </w:p>
    <w:p w14:paraId="7AE8AFC9" w14:textId="77777777" w:rsidR="004B06CC" w:rsidRPr="004D0537" w:rsidRDefault="004B06CC" w:rsidP="004B06CC">
      <w:pPr>
        <w:spacing w:after="240"/>
        <w:ind w:left="567" w:hanging="567"/>
      </w:pPr>
      <w:r w:rsidRPr="004D0537">
        <w:t>1.</w:t>
      </w:r>
      <w:r w:rsidRPr="004D0537">
        <w:tab/>
        <w:t>Europaparlamentet noterar att det finns tre typer av EU-byråer: decentraliserade byråer, genomförandeorgan och andra organ. Parlamentet påminner om att denna resolution omfattar 31 av de 33 decentraliserade byråerna och två av de övriga fyra organen (Europeiska institutet för innovation och teknik (EIT) och Euratoms försörjningsbyrå (ESA)).</w:t>
      </w:r>
    </w:p>
    <w:p w14:paraId="4BACB6CB" w14:textId="77777777" w:rsidR="004B06CC" w:rsidRPr="004D0537" w:rsidRDefault="004B06CC" w:rsidP="004B06CC">
      <w:pPr>
        <w:spacing w:after="240"/>
        <w:ind w:left="567" w:hanging="567"/>
      </w:pPr>
      <w:r w:rsidRPr="004D0537">
        <w:t>2.</w:t>
      </w:r>
      <w:r w:rsidRPr="004D0537">
        <w:tab/>
        <w:t>Europaparlamentet påpekar att inrättandet eller utvidgningen av EU:s byråer visserligen syftar till att stärka unionens kapacitet, men att det är viktigt att se till att denna process vägleds av grundliga utvärderingar, rigorösa analyser, konsekvensbedömningar och ett tydligt påvisande av mervärde, så att lärdomar kan dras och man vid behov kan överväga att avsluta deras mandat. Parlamentet framhåller att detta tillvägagångssätt inte bara skulle säkerställa bättre lagstiftning utan också öka effektiviteten, ansvarsskyldigheten, transparensen och samstämmigheten i unionens institutionella landskap. Parlamentet understryker att alla överväganden om sammanslagningar, konsolidering eller avslutande av byråernas mandat måste baseras på en omfattande bedömning, som sålunda kompletterar budget- eller effektivitetshänsyn.</w:t>
      </w:r>
    </w:p>
    <w:p w14:paraId="3BED5E7E" w14:textId="77777777" w:rsidR="004B06CC" w:rsidRPr="004D0537" w:rsidRDefault="004B06CC" w:rsidP="004B06CC">
      <w:pPr>
        <w:spacing w:after="240"/>
        <w:ind w:left="567" w:hanging="567"/>
      </w:pPr>
      <w:r w:rsidRPr="004D0537">
        <w:t>3.</w:t>
      </w:r>
      <w:r w:rsidRPr="004D0537">
        <w:tab/>
        <w:t>Europaparlamentet uttrycker oro över unionens ökande skuldbörda. Parlamentet noterar att unionens utestående lån enligt Europeiska revisionsrättens årsrapport skulle kunna överstiga 900 miljarder euro 2027, vilket är nästan tio gånger högre än skuldnivån 2020. Parlamentet varnar för att stigande lånekostnader utgör en risk för framtida budgetar och minskar det finanspolitiska utrymmet för nya prioriteringar.</w:t>
      </w:r>
    </w:p>
    <w:p w14:paraId="1C4ECBF6" w14:textId="77777777" w:rsidR="004B06CC" w:rsidRPr="004D0537" w:rsidRDefault="004B06CC" w:rsidP="004B06CC">
      <w:pPr>
        <w:spacing w:after="240"/>
        <w:ind w:left="567" w:hanging="567"/>
      </w:pPr>
      <w:r w:rsidRPr="004D0537">
        <w:t>4.</w:t>
      </w:r>
      <w:r w:rsidRPr="004D0537">
        <w:tab/>
        <w:t xml:space="preserve">Europaparlamentet betonar att transparens inte bara är en efterlevnadsskyldighet utan en förutsättning för allmänhetens förtroende för byråer som utövar betydande tillsynsbefogenheter eller operativa befogenheter. Parlamentet uppmanar byråerna att </w:t>
      </w:r>
      <w:r w:rsidRPr="004D0537">
        <w:lastRenderedPageBreak/>
        <w:t>proaktivt offentliggöra viktiga handlingar med icke-konfidentiellt innehåll i god tid och på ett användarvänligt sätt, samtidigt som de efterlever proportionalitetsprincipen, följer dataskyddslagstiftningen, tar hänsyn till säkerhetsrelaterade, rättsliga, strategiska och andra relevanta frågor och respekterar respektive byrås förordning och mandat.</w:t>
      </w:r>
    </w:p>
    <w:p w14:paraId="15F35B16" w14:textId="77777777" w:rsidR="004B06CC" w:rsidRPr="004D0537" w:rsidRDefault="004B06CC" w:rsidP="004B06CC">
      <w:pPr>
        <w:spacing w:after="240"/>
        <w:ind w:left="567" w:hanging="567"/>
      </w:pPr>
      <w:r w:rsidRPr="004D0537">
        <w:t>5.</w:t>
      </w:r>
      <w:r w:rsidRPr="004D0537">
        <w:tab/>
        <w:t>Europaparlamentet påminner om att det i punkt 60 i den gemensamma ansatsen anges att varje byrå bör utvärderas vart femte år. Parlamentet uppmanar med kraft kommissionen att undersöka ytterligare synergier och konsolidering i verksamheten, och en eventuell sammanslagning av byråer med kompletterande verksamhet, i syfte att säkerställa kostnadseffektivitet och effektivisera byråernas funktioner, inbegripet eventuella översyner av mandat där ineffektivitet eller överlappningar förekommer. Parlamentet insisterar på att alla unionsbyråer, i enlighet med principerna om proportionalitet, effektivitet och finanspolitiskt ansvar, ska omfattas av regelbundna prestationsgranskning. Parlamentet uppmuntrar vid behov till tillämpning av tidsfrist-/översynsklausulen för att upprätthålla effektiviteten och säkerställa en optimal resursanvändning. Parlamentet anser att budgeteffektivitet är avgörande för att byråerna ska fungera. Parlamentet påminner i detta avseende om revisionsrättens rekommendation i den särskilda rapporten 22/2020, enligt vilken kommissionen rekommenderas att öka användningen av övergripande utvärderingar av byråer inom ramen för kommissionens kontroller av ändamålsenligheten av de olika politikområdena. Parlamentet noterar att revisionsrätten i sin särskilda rapport nr 22/2020 konstaterade att byråernas mätbara bidrag till unionens politiska mål inte alltid påvisas tydligt. Parlamentet understryker att de 33 decentraliserade byråerna förvaltar över 4,1 miljarder EUR och att parlamentet, utöver efterlevnadskontroller, ytterligare skulle kunna överväga hur deras inverkan ska bedömas. Parlamentet uppmuntrar till rapportering om en begränsad uppsättning resultat- och effektindikatorer, och uppmanar EU-byråernas nätverk att i samarbete med revisionsrätten undersöka och, när så är lämpligt, utveckla en gemensam prestationsram som ska läggas fram för den ansvarsfrihetsbeviljande myndigheten.</w:t>
      </w:r>
    </w:p>
    <w:p w14:paraId="33FA0FBE" w14:textId="77777777" w:rsidR="004B06CC" w:rsidRPr="004D0537" w:rsidRDefault="004B06CC" w:rsidP="004B06CC">
      <w:pPr>
        <w:spacing w:after="240"/>
        <w:ind w:left="567" w:hanging="567"/>
      </w:pPr>
      <w:r w:rsidRPr="004D0537">
        <w:t>6.</w:t>
      </w:r>
      <w:r w:rsidRPr="004D0537">
        <w:tab/>
        <w:t>Europaparlamentet betonar att respekten för de grundläggande rättigheterna och rättsstatens principer är en förutsättning för goda resultat och sund ekonomisk förvaltning. Parlamentet anser att endast de byråer som säkerställer full efterlevnad av sina skyldigheter i fråga om grundläggande rättigheter kan anses prestera tillfredsställande, oavsett budgetgenomförandegraden.</w:t>
      </w:r>
    </w:p>
    <w:p w14:paraId="1B3AC112" w14:textId="77777777" w:rsidR="004B06CC" w:rsidRPr="004D0537" w:rsidRDefault="004B06CC" w:rsidP="004B06CC">
      <w:pPr>
        <w:spacing w:after="240"/>
        <w:ind w:left="567" w:hanging="567"/>
      </w:pPr>
      <w:r w:rsidRPr="004D0537">
        <w:t>7.</w:t>
      </w:r>
      <w:r w:rsidRPr="004D0537">
        <w:tab/>
        <w:t>Europaparlamentet uppmanar alla byråer att fortsätta att säkerställa efterlevnad av grundläggande rättigheter och dataskydd i sina respektive verksamheter.</w:t>
      </w:r>
    </w:p>
    <w:p w14:paraId="380D893C" w14:textId="77777777" w:rsidR="004B06CC" w:rsidRPr="004D0537" w:rsidRDefault="004B06CC" w:rsidP="004B06CC">
      <w:pPr>
        <w:spacing w:after="240"/>
        <w:ind w:left="567" w:hanging="567"/>
      </w:pPr>
      <w:r w:rsidRPr="004D0537">
        <w:t>8.</w:t>
      </w:r>
      <w:r w:rsidRPr="004D0537">
        <w:tab/>
        <w:t xml:space="preserve">Europaparlamentet framhåller vikten av ansvarsfrihetsförfarandet, som inte bara är en fördragsbaserad skyldighet utan också främjar transparens, ansvarsskyldighet och en öppen dialog om unionens finanser. Parlamentet anser att praxisen att bevilja ansvarsfrihet genom styrningsarrangemang som fastställs i inrättandeakterna för byråer såsom Europeiska unionens immaterialrättsmyndighet (EUIPO), Gemenskapens </w:t>
      </w:r>
      <w:proofErr w:type="spellStart"/>
      <w:r w:rsidRPr="004D0537">
        <w:t>växtsortsmyndighet</w:t>
      </w:r>
      <w:proofErr w:type="spellEnd"/>
      <w:r w:rsidRPr="004D0537">
        <w:t xml:space="preserve"> (CPVO) och Gemensamma resolutionsnämnden (SRB), återspeglar deras specifika rättsliga och finansiella ramar och säkerställer lämplig utvärdering och granskning, samtidigt som den stöder transparensen och den offentliga ansvarsskyldigheten. Parlamentet påminner om den gemensamma ansatsen för helt självfinansierade byråer (punkt 58), där man efterlyser en undersökning av mekanismer för demokratisk ansvarsskyldighet, inbegripet årlig rapportering till parlamentet, rådet och kommissionen samt beaktande av deras rekommendationer i syfte att säkerställa offentlig granskning av byråer som genomför unionens politik utan att belasta unionens </w:t>
      </w:r>
      <w:r w:rsidRPr="004D0537">
        <w:lastRenderedPageBreak/>
        <w:t>allmänna budget. Parlamentet anser dock att det skulle vara önskvärt att helt självfinansierade byråer blev en del av förfarandet för beviljande av ansvarsfrihet för byråer som faller under budgetkontrollutskottets ansvar, eller åtminstone omfattades av utökade rapporteringsskyldigheter inför budgetkontrollutskottet.</w:t>
      </w:r>
    </w:p>
    <w:p w14:paraId="7A569763" w14:textId="77777777" w:rsidR="004B06CC" w:rsidRPr="004D0537" w:rsidRDefault="004B06CC" w:rsidP="004B06CC">
      <w:pPr>
        <w:spacing w:after="240"/>
        <w:ind w:left="567" w:hanging="567"/>
      </w:pPr>
      <w:r w:rsidRPr="004D0537">
        <w:t>9.</w:t>
      </w:r>
      <w:r w:rsidRPr="004D0537">
        <w:tab/>
        <w:t xml:space="preserve">Europaparlamentet noterar med oro att unionens decentraliserade byråer under årens lopp har anförtrotts ett ökande antal uppgifter genom reviderade förordningar, ny lagstiftning eller servicenivåavtal och överenskommelser om medverkan med kommissionen, ofta utan motsvarande strukturella resurser eller fasta tjänster. Parlamentet framhåller att detta återkommande mönster skapar ett operativt tryck som i sin tur kan bidra till svagheter i budgetförvaltningen och ett växande strukturellt beroende av externa entreprenörer, särskilt på området informations- och kommunikationsteknik (IKT), cybersäkerhet och andra operativa möjliggörande funktioner. Parlamentet varnar för att ett sådant långsiktigt beroende kan undergräva den institutionella kapaciteten, kontinuiteten och bevarandet av kunskap, och samtidigt även försvaga unionens digitala suveränitet och medborgarnas personliga integritet. Parlamentet begär därför att ett sådant långsiktigt beroende regelbundet utvärderas och att det strukturella beroendet av externa konsulter minskas, särskilt när det gäller kärnfunktioner. Parlamentet betonar att överdriven </w:t>
      </w:r>
      <w:proofErr w:type="spellStart"/>
      <w:r w:rsidRPr="004D0537">
        <w:t>utkontraktering</w:t>
      </w:r>
      <w:proofErr w:type="spellEnd"/>
      <w:r w:rsidRPr="004D0537">
        <w:t xml:space="preserve"> undergräver det institutionella minnet, ansvarsskyldigheten och valutan för pengarna. Parlamentet uppmanar kommissionen att se till att byråerna har tillräckligt med personal för att, när så är möjligt, kunna utföra sina uppdrag internt.</w:t>
      </w:r>
    </w:p>
    <w:p w14:paraId="66FAB3F0" w14:textId="77777777" w:rsidR="004B06CC" w:rsidRPr="004D0537" w:rsidRDefault="004B06CC" w:rsidP="004B06CC">
      <w:pPr>
        <w:spacing w:after="240"/>
        <w:ind w:left="567" w:hanging="567"/>
      </w:pPr>
      <w:r w:rsidRPr="004D0537">
        <w:t>10.</w:t>
      </w:r>
      <w:r w:rsidRPr="004D0537">
        <w:tab/>
        <w:t>Europaparlamentet noterar att brister i rättsstatsprincipen i vissa medlemsstater, inbegripet försvagat rättsligt oberoende och försvagad lagföringskapacitet, kan undergräva byråernas samarbetsramar, tillförlitligheten för deras uppgifter och deras operativa integritet. Parlamentet uppmanar kommissionen att bedöma och hantera dessa risker.</w:t>
      </w:r>
    </w:p>
    <w:p w14:paraId="3AD5EB82" w14:textId="77777777" w:rsidR="004B06CC" w:rsidRPr="004D0537" w:rsidRDefault="004B06CC" w:rsidP="004B06CC">
      <w:pPr>
        <w:spacing w:after="240"/>
        <w:ind w:left="567" w:hanging="567"/>
      </w:pPr>
      <w:r w:rsidRPr="004D0537">
        <w:t>11.</w:t>
      </w:r>
      <w:r w:rsidRPr="004D0537">
        <w:tab/>
        <w:t>Europaparlamentet betonar att transparens, robusta kontroller av intressekonflikter och tydliga regler för interaktion med berörda parter är viktiga skyddsåtgärder för unionens decentraliserade byråers oberoende, institutionella trovärdighet och ansvarsskyldighet samt allmänhetens förtroende för att deras verksamhet är stark och robust. Parlamentet understryker att många byråer är verksamma inom sektorer där ett nära samarbete med industrin, konsultfirmor, tekniska experter, icke-statliga organisationer eller externa partner är nödvändigt, men där riskerna för otillbörlig påverkan, obalanserade samråd eller bristande transparens kvarstår. Parlamentet framhåller att transparenta förfaranden, offentliggörande av möten, balanserat och transparent experturval och kontinuerlig kontroll med avseende på intressekonflikter är oumbärliga för att säkerställa att byråernas beslut enbart baseras på objektiva bevis och unionens allmänna intresse. Parlamentet uppmanar med kraft alla byråer att införa och verkställa sådana åtgärder och efterlyser transparenta skyddsåtgärder, inbegripet tydliga och lämpliga karensperioder, proaktiv övervakning och transparens i kontakterna med berörda parter. Parlamentet rekommenderar regelbundna oberoende översyner av ramarna för intressekonflikter, med respekt för proportionalitetsprincipen, och uppmanar kommissionen och EU-byråernas nätverk att främja ömsesidigt lärande för att förbättra standarderna för styrning och transparens.</w:t>
      </w:r>
    </w:p>
    <w:p w14:paraId="25D64F89" w14:textId="77777777" w:rsidR="007B6266" w:rsidRPr="004D0537" w:rsidRDefault="001725A4" w:rsidP="004B06CC">
      <w:pPr>
        <w:spacing w:after="240"/>
        <w:ind w:left="567" w:hanging="567"/>
        <w:rPr>
          <w:bCs/>
          <w:iCs/>
          <w:szCs w:val="24"/>
          <w:lang w:eastAsia="en-US"/>
        </w:rPr>
      </w:pPr>
      <w:r w:rsidRPr="004D0537">
        <w:rPr>
          <w:bCs/>
          <w:iCs/>
          <w:szCs w:val="24"/>
          <w:lang w:eastAsia="en-US"/>
        </w:rPr>
        <w:t>12</w:t>
      </w:r>
      <w:r w:rsidR="00F86C5B" w:rsidRPr="004D0537">
        <w:rPr>
          <w:bCs/>
          <w:iCs/>
          <w:szCs w:val="24"/>
          <w:lang w:eastAsia="en-US"/>
        </w:rPr>
        <w:t>.</w:t>
      </w:r>
      <w:r w:rsidR="00F86C5B" w:rsidRPr="004D0537">
        <w:rPr>
          <w:bCs/>
          <w:iCs/>
          <w:szCs w:val="24"/>
          <w:lang w:eastAsia="en-US"/>
        </w:rPr>
        <w:tab/>
      </w:r>
      <w:r w:rsidR="00F105EA" w:rsidRPr="004D0537">
        <w:rPr>
          <w:bCs/>
          <w:iCs/>
          <w:szCs w:val="24"/>
          <w:lang w:eastAsia="en-US"/>
        </w:rPr>
        <w:t>Parlamentet uppmanar kommissionen att avsevärt öka transparensen i expertutvärderingsprocessen och att överväga lämpliga sätt att öka experternas ansvarsskyldighet, samtidigt som deras oberoende respekteras fullt ut.</w:t>
      </w:r>
    </w:p>
    <w:p w14:paraId="3BB8B497" w14:textId="4C8434D2" w:rsidR="004B06CC" w:rsidRPr="004D0537" w:rsidRDefault="001725A4" w:rsidP="004B06CC">
      <w:pPr>
        <w:spacing w:after="240"/>
        <w:ind w:left="567" w:hanging="567"/>
      </w:pPr>
      <w:r w:rsidRPr="004D0537">
        <w:lastRenderedPageBreak/>
        <w:t>13</w:t>
      </w:r>
      <w:r w:rsidR="004B06CC" w:rsidRPr="004D0537">
        <w:t>.</w:t>
      </w:r>
      <w:r w:rsidR="004B06CC" w:rsidRPr="004D0537">
        <w:tab/>
        <w:t>Europaparlamentet konstaterar att de decentraliserade byråerna är olika utsatta för lobbyrisker beroende på deras mandat och operativa sammanhang. Parlamentet noterar att praxis i fråga om transparens varierar mellan byråerna. Parlamentet noterar till exempel att eu-Lisa har ett särskilt öppenhetsregister på sin webbplats som omfattar alla möten mellan byråns högsta ledning och ekonomiska aktörer, att Europeiska gräns- och kustbevakningsbyrån (</w:t>
      </w:r>
      <w:proofErr w:type="spellStart"/>
      <w:r w:rsidR="004B06CC" w:rsidRPr="004D0537">
        <w:t>Frontex</w:t>
      </w:r>
      <w:proofErr w:type="spellEnd"/>
      <w:r w:rsidR="004B06CC" w:rsidRPr="004D0537">
        <w:t xml:space="preserve">) på sin webbplats tillhandahåller ett register med information om möten som är specifikt kopplade till upphandlingsrelaterade frågor och att </w:t>
      </w:r>
      <w:proofErr w:type="spellStart"/>
      <w:r w:rsidR="004B06CC" w:rsidRPr="004D0537">
        <w:t>Echa</w:t>
      </w:r>
      <w:proofErr w:type="spellEnd"/>
      <w:r w:rsidR="004B06CC" w:rsidRPr="004D0537">
        <w:t xml:space="preserve"> offentliggör information om de möten som högre chefer håller med externa intressentorganisationer. Parlamentet anser att även om en modell som passar alla varken skulle vara proportionerlig eller operativt meningsfull, skulle fastställandet av gemensamma miniminormer öka samstämmigheten och förbättra ansvarsutkrävandet. Parlamentet noterar byråernas svar under den föregående ansvarsfrihetscykeln, inbegripet deras varierande användning av öppenhetsregistret och det faktum att flera byråer redan har infört interna öppenhetsregister eller system för intressekonflikter som är anpassade till deras mandat. Parlamentet uppmanar byråerna att anta minimistandarder såsom genomförandet av fyra ögon-principen, en tydlig strategi för uppförandekoden med tydliga regler för att undvika intressekonflikter och genomförandet av specifika interna öppenhetsregister med tydliga standarder som återspeglar deras respektive mandat och tillämpliga dataskyddsregler. Parlamentet framhåller att sådana öppenhetsregister bör vara tillgängliga för revisorer från fall till fall. Parlamentet anser att genomförandet bör vara progressivt och att man bör utnyttja nya digitala möjligheter för att undvika att skapa onödiga och/eller ytterligare administrativa bördor för byråerna.</w:t>
      </w:r>
    </w:p>
    <w:p w14:paraId="37F4E0F1" w14:textId="06EB33F5" w:rsidR="004B06CC" w:rsidRPr="004D0537" w:rsidRDefault="004B06CC" w:rsidP="004B06CC">
      <w:pPr>
        <w:spacing w:after="240"/>
        <w:ind w:left="567" w:hanging="567"/>
      </w:pPr>
      <w:r w:rsidRPr="004D0537">
        <w:t>1</w:t>
      </w:r>
      <w:r w:rsidR="007B6266" w:rsidRPr="004D0537">
        <w:t>4</w:t>
      </w:r>
      <w:r w:rsidRPr="004D0537">
        <w:t>.</w:t>
      </w:r>
      <w:r w:rsidRPr="004D0537">
        <w:tab/>
        <w:t xml:space="preserve">Europaparlamentet noterar att de 33 decentraliserade byråerna rapporterade att de 2024 hade totalt 11 491 anställda (jämfört med 10 580 under 2023), bestående av tjänstemän, tillfälligt anställda, kontraktsanställda och utstationerade nationella experter, vilket motsvarar en ökning med 8,61 % jämfört med 2023. Parlamentet noterar att även om könsfördelningen i unionens decentraliserade byråer håller på att förbättras kvarstår betydande skillnader. Parlamentet framhåller att vissa byråer, såsom Acer, </w:t>
      </w:r>
      <w:proofErr w:type="spellStart"/>
      <w:r w:rsidRPr="004D0537">
        <w:t>Easa</w:t>
      </w:r>
      <w:proofErr w:type="spellEnd"/>
      <w:r w:rsidRPr="004D0537">
        <w:t xml:space="preserve">, EIGE, ERA, eu-Lisa och Europol, har en högre andel manliga anställda, medan byråer som </w:t>
      </w:r>
      <w:proofErr w:type="spellStart"/>
      <w:r w:rsidRPr="004D0537">
        <w:t>CdT</w:t>
      </w:r>
      <w:proofErr w:type="spellEnd"/>
      <w:r w:rsidRPr="004D0537">
        <w:t xml:space="preserve">, </w:t>
      </w:r>
      <w:proofErr w:type="spellStart"/>
      <w:r w:rsidRPr="004D0537">
        <w:t>Efsa</w:t>
      </w:r>
      <w:proofErr w:type="spellEnd"/>
      <w:r w:rsidRPr="004D0537">
        <w:t>, EMA, ETF och Eurojust har fler kvinnliga anställda. Parlamentet noterar att procentandelen ofta är sektorsspecifik. Parlamentet uppmanar byråerna att anta korrigerande strategier, inbegripet transparenta befordringsförfaranden och riktad ledarskapsutveckling. Parlamentet påminner om att unionens åtagande att främja jämställdhet i ledande befattningar fortfarande inte har förverkligats fullt ut. Parlamentet betonar att kommissionens insatser i detta avseende bör förbättras. Parlamentet påminner om att det i förordning (EEG, Euratom, EKSG) nr 259/68 (tjänsteföreskrifterna</w:t>
      </w:r>
      <w:r w:rsidRPr="004D0537">
        <w:rPr>
          <w:vertAlign w:val="superscript"/>
        </w:rPr>
        <w:t>3</w:t>
      </w:r>
      <w:r w:rsidRPr="004D0537">
        <w:t xml:space="preserve">) anges att rekryteringen bör ske på grundval av objektiva, transparenta och meritbaserade kriterier och också bör baseras på bredast möjliga geografiska balans bland medlemsstaterna. Parlamentet noterar att det finns en naturlig tendens att anställa en högre andel personal från den medlemsstat där byrån är belägen. Parlamentet påminner om att byråerna i länder med relativt låg korrigeringskoefficient står inför ständiga utmaningar när det gäller att locka kvalificerad och geografiskt diversifierad personal. Parlamentet uppmuntrar byråerna att främja en jämn könsfördelning i personalstrategierna och urvalskommittéerna för chefstjänster. Parlamentet uppmanar kommissionen och EU-byråernas nätverk att tillhandahålla bästa praxis och </w:t>
      </w:r>
      <w:proofErr w:type="spellStart"/>
      <w:r w:rsidRPr="004D0537">
        <w:t>riktmärkningsverktyg</w:t>
      </w:r>
      <w:proofErr w:type="spellEnd"/>
      <w:r w:rsidRPr="004D0537">
        <w:t xml:space="preserve"> för att stödja ett könsbalanserat ledarskap.</w:t>
      </w:r>
    </w:p>
    <w:p w14:paraId="48666075" w14:textId="0835056A" w:rsidR="004B06CC" w:rsidRPr="004D0537" w:rsidRDefault="004B06CC" w:rsidP="004B06CC">
      <w:pPr>
        <w:spacing w:after="240"/>
        <w:ind w:left="567" w:hanging="567"/>
      </w:pPr>
      <w:r w:rsidRPr="004D0537">
        <w:t>1</w:t>
      </w:r>
      <w:r w:rsidR="007B6266" w:rsidRPr="004D0537">
        <w:t>5</w:t>
      </w:r>
      <w:r w:rsidRPr="004D0537">
        <w:t>.</w:t>
      </w:r>
      <w:r w:rsidRPr="004D0537">
        <w:tab/>
        <w:t xml:space="preserve">Europaparlamentet noterar att personalomsättningen 2024 översteg 5 % vid 16 av 33 byråer (närmare bestämt </w:t>
      </w:r>
      <w:proofErr w:type="spellStart"/>
      <w:r w:rsidRPr="004D0537">
        <w:t>Berecbyrån</w:t>
      </w:r>
      <w:proofErr w:type="spellEnd"/>
      <w:r w:rsidRPr="004D0537">
        <w:t xml:space="preserve">, </w:t>
      </w:r>
      <w:proofErr w:type="spellStart"/>
      <w:r w:rsidRPr="004D0537">
        <w:t>CdT</w:t>
      </w:r>
      <w:proofErr w:type="spellEnd"/>
      <w:r w:rsidRPr="004D0537">
        <w:t xml:space="preserve">, </w:t>
      </w:r>
      <w:proofErr w:type="spellStart"/>
      <w:r w:rsidRPr="004D0537">
        <w:t>Cedefop</w:t>
      </w:r>
      <w:proofErr w:type="spellEnd"/>
      <w:r w:rsidRPr="004D0537">
        <w:t xml:space="preserve">, </w:t>
      </w:r>
      <w:proofErr w:type="spellStart"/>
      <w:r w:rsidRPr="004D0537">
        <w:t>Cepol</w:t>
      </w:r>
      <w:proofErr w:type="spellEnd"/>
      <w:r w:rsidRPr="004D0537">
        <w:t>, ECDC, EEA, ELA, eu-Lisa, EU-</w:t>
      </w:r>
      <w:proofErr w:type="spellStart"/>
      <w:r w:rsidRPr="004D0537">
        <w:t>Osha</w:t>
      </w:r>
      <w:proofErr w:type="spellEnd"/>
      <w:r w:rsidRPr="004D0537">
        <w:t xml:space="preserve">, </w:t>
      </w:r>
      <w:proofErr w:type="spellStart"/>
      <w:r w:rsidRPr="004D0537">
        <w:t>Eurofound</w:t>
      </w:r>
      <w:proofErr w:type="spellEnd"/>
      <w:r w:rsidRPr="004D0537">
        <w:t xml:space="preserve">, Eurojust, Europol, FRA) och att två av dem överskred 10 % </w:t>
      </w:r>
      <w:r w:rsidRPr="004D0537">
        <w:lastRenderedPageBreak/>
        <w:t>(EIT och ETF). Parlamentet lovordar de byråer som har vidtagit riktade åtgärder för att förhindra en hög personalomsättning. Parlamentet uppmanar kommissionen och medlemsstaterna att tillåta dem att anställa fler kontraktsanställda under längre perioder eller tillåta ett större antal tillfälligt anställda för att garantera bättre kontinuitet och bevarande av kunskaper. Parlamentet anser att utbrändhet, personalomsättning och osäkra anställningar utgör en risk för den institutionella integriteten, interna kontroller och en sund ekonomisk förvaltning. Parlamentet betonar att styrelserna ansvarar för byråernas integritet och ansvarsskyldighet, och beklagar att åtgärder som vidtagits mot allvarliga iakttagelser varit otillräckliga samt efterlyser ökad transparens gentemot den ansvarsfrihetsbeviljande myndigheten.</w:t>
      </w:r>
    </w:p>
    <w:p w14:paraId="1A8F395B" w14:textId="751D6AF4" w:rsidR="004B06CC" w:rsidRPr="004D0537" w:rsidRDefault="004B06CC" w:rsidP="004B06CC">
      <w:pPr>
        <w:spacing w:after="240"/>
        <w:ind w:left="567" w:hanging="567"/>
      </w:pPr>
      <w:r w:rsidRPr="004D0537">
        <w:t>1</w:t>
      </w:r>
      <w:r w:rsidR="007B6266" w:rsidRPr="004D0537">
        <w:t>6</w:t>
      </w:r>
      <w:r w:rsidRPr="004D0537">
        <w:t>.</w:t>
      </w:r>
      <w:r w:rsidRPr="004D0537">
        <w:tab/>
        <w:t>Europaparlamentet välkomnar att de flesta byråer under 2024 antog och genomförde stadgan om mångfald och inkludering</w:t>
      </w:r>
      <w:r w:rsidRPr="004D0537">
        <w:rPr>
          <w:vertAlign w:val="superscript"/>
        </w:rPr>
        <w:footnoteReference w:id="398"/>
      </w:r>
      <w:r w:rsidRPr="004D0537">
        <w:t>, som främjar likabehandling, mångfald och inkludering på arbetsplatsen och i det sociala livet. Parlamentet uppmanar med kraft de byråer som ännu inte har gjort det att överväga att utan dröjsmål gå vidare med antagandet och genomförandet.</w:t>
      </w:r>
    </w:p>
    <w:p w14:paraId="03980B2A" w14:textId="049CFC5E" w:rsidR="004B06CC" w:rsidRPr="004D0537" w:rsidRDefault="004B06CC" w:rsidP="004B06CC">
      <w:pPr>
        <w:spacing w:after="240"/>
        <w:ind w:left="567" w:hanging="567"/>
      </w:pPr>
      <w:r w:rsidRPr="004D0537">
        <w:t>1</w:t>
      </w:r>
      <w:r w:rsidR="007B6266" w:rsidRPr="004D0537">
        <w:t>7</w:t>
      </w:r>
      <w:r w:rsidRPr="004D0537">
        <w:t>.</w:t>
      </w:r>
      <w:r w:rsidRPr="004D0537">
        <w:tab/>
        <w:t xml:space="preserve">Europaparlamentet framhåller att inrättandet av en effektiv klagomålsmekanism för personalen vid unionens decentraliserade byråer kräver en kombination av starka </w:t>
      </w:r>
      <w:proofErr w:type="spellStart"/>
      <w:r w:rsidRPr="004D0537">
        <w:t>konfidentialitetsgarantier</w:t>
      </w:r>
      <w:proofErr w:type="spellEnd"/>
      <w:r w:rsidRPr="004D0537">
        <w:t>, inbegripet anonyma rapporteringskanaler, med tydliga, harmoniserade förfaranden som är anpassade till tjänsteföreskrifterna och kommuniceras genom regelbunden personalutbildning. Parlamentet anser att byråerna bör utse oberoende och professionellt utbildade etik- eller klagomålsansvariga, eller använda gemensamma interinstitutionella strukturer för små byråer, för att säkerställa opartisk hantering av begäranden enligt artikel 90 i tjänsteföreskrifterna, rapporter om trakasserier, intressekonflikter och avslöjanden av missförhållanden. Parlamentet uppmanar byråerna att säkerställa att personalen har tillgång till ett externt upptrappningsförfarande samt ett starkt, oberoende och effektivt skydd mot repressalier genom systematiska uppföljningskontroller, medan transparensen bör förbättras genom anonymiserade årliga rapporter om klagomål och resultat och opartiskheten stärkas genom användning av myndighetsövergripande utredningsorgan för känsliga fall. Parlamentet efterlyser skyddsmekanismer mot falska anklagelser och anmälningar.</w:t>
      </w:r>
    </w:p>
    <w:p w14:paraId="7AF0F916" w14:textId="158A6104" w:rsidR="004B06CC" w:rsidRPr="004D0537" w:rsidRDefault="004B06CC" w:rsidP="004B06CC">
      <w:pPr>
        <w:spacing w:after="240"/>
        <w:ind w:left="567" w:hanging="567"/>
      </w:pPr>
      <w:r w:rsidRPr="004D0537">
        <w:t>1</w:t>
      </w:r>
      <w:r w:rsidR="007B6266" w:rsidRPr="004D0537">
        <w:t>8</w:t>
      </w:r>
      <w:r w:rsidRPr="004D0537">
        <w:t>.</w:t>
      </w:r>
      <w:r w:rsidRPr="004D0537">
        <w:tab/>
        <w:t>Europaparlamentet noterar den viktiga roll som EU-byråernas nätverk och särskilt dess rådgivande kommitté för IKT spelar när det gäller att stödja byråernas beredskap för genomförandet av cybersäkerhetsförordningen genom förbättrad samordning, kunskapsutbyte och samarbete med GD DIGIT, CERT-EU och den interinstitutionella kommittén för digital omställning. Parlamentet uppmanar EU-byråernas nätverk och den rådgivande kommittén för IKT att tillhandahålla omfattande och regelbunden information om läget i genomförandet i alla decentraliserade byråer, inbegripet gemensamma utmaningar, identifierade risker, resursbehov och planerade begränsningsåtgärder, för att möjliggöra effektiv tillsyn. Parlamentet betonar behovet av robust cybersäkerhet och försiktig AI-användning, och noterar möjligheter men även finansiella och operativa risker. Parlamentet uppmanar byråerna att bedöma AI-stödda processer i finansiella funktioner, upphandlingsfunktioner eller beslutsfunktioner, och att säkerställa transparens, dokumentation, granskningsbarhet och fullständig efterlevnad av unionens dataskydds- och cybersäkerhetsregler.</w:t>
      </w:r>
    </w:p>
    <w:p w14:paraId="0990AEFE" w14:textId="78B89923" w:rsidR="004B06CC" w:rsidRPr="004D0537" w:rsidRDefault="004B06CC" w:rsidP="004B06CC">
      <w:pPr>
        <w:spacing w:after="240"/>
        <w:ind w:left="567" w:hanging="567"/>
      </w:pPr>
      <w:r w:rsidRPr="004D0537">
        <w:t>1</w:t>
      </w:r>
      <w:r w:rsidR="007B6266" w:rsidRPr="004D0537">
        <w:t>9</w:t>
      </w:r>
      <w:r w:rsidRPr="004D0537">
        <w:t>.</w:t>
      </w:r>
      <w:r w:rsidRPr="004D0537">
        <w:tab/>
        <w:t xml:space="preserve">Europaparlamentet betonar vikten av att ta fram tydliga, robusta och meningsfulla </w:t>
      </w:r>
      <w:r w:rsidRPr="004D0537">
        <w:lastRenderedPageBreak/>
        <w:t>nyckelprestationsindikatorer i EU-byråernas årliga verksamhetsrapporter, eftersom dessa rapporter utgör en primär informationskälla för externa användare. Parlamentet noterar att vissa system för nyckelprestationsindikatorer ofta saknar kontinuitet, standardisering, operativt djup, dokumenterade metoder för urval, uppdatering och eliminering av nyckelprestationsindikatorer, transparens, jämförbarhet och flerårig spårning, vilket minskar jämförbarheten och de externa användarnas förmåga att objektivt bedöma prestationerna. Parlamentet understryker att nyckelprestationsindikatorer bör rationaliseras och utformas väl, bygga på specifika, mätbara, uppnåbara, relevanta och tidsbundna principer (SMART-principer) och tillämpas konsekvent under alla rapporteringscykler, vilket är avgörande för att utvärdera effektivitet, ändamålsenlighet och framsteg mot strategiska mål. Parlamentet betonar behovet av att öka användningen av resultat- och effektinriktad rapportering genom att fokusera på väsentlighet och proportionalitet för att minska den administrativa bördan. Parlamentet understryker att prestationsindikatorer uttryckligen måste härledas från målen för varje byrås ursprungliga mandat och fånga upp output, utfall och framför allt effekter. Parlamentet uppmanar byråerna att inkludera kostnads-nyttoanalyser och transparent budgetering i sina prestationsramar.</w:t>
      </w:r>
    </w:p>
    <w:p w14:paraId="0E95EC44" w14:textId="5CD7C6E1" w:rsidR="004B06CC" w:rsidRPr="004D0537" w:rsidRDefault="007B6266" w:rsidP="004B06CC">
      <w:pPr>
        <w:spacing w:after="240"/>
        <w:ind w:left="567" w:hanging="567"/>
      </w:pPr>
      <w:r w:rsidRPr="004D0537">
        <w:t>20</w:t>
      </w:r>
      <w:r w:rsidR="004B06CC" w:rsidRPr="004D0537">
        <w:t>.</w:t>
      </w:r>
      <w:r w:rsidR="004B06CC" w:rsidRPr="004D0537">
        <w:tab/>
        <w:t xml:space="preserve">Europaparlamentet erkänner samarbetet med externa partner såsom Organisationen för ekonomiskt samarbete och utveckling och FN:s nätverk för strategisk planering för att modernisera metoderna för nyckelprestationsindikatorer. Parlamentet framhåller att vissa byråer, såsom Acer, </w:t>
      </w:r>
      <w:proofErr w:type="spellStart"/>
      <w:r w:rsidR="004B06CC" w:rsidRPr="004D0537">
        <w:t>Easa</w:t>
      </w:r>
      <w:proofErr w:type="spellEnd"/>
      <w:r w:rsidR="004B06CC" w:rsidRPr="004D0537">
        <w:t xml:space="preserve"> och ECDC, har utvecklat mer robusta och operativt relevanta indikatorer. Parlamentet uppmanar byråer med otillräckliga eller omätbara system för nyckelprestationsindikatorer att utnyttja dessa starkare modeller och att systematiskt utbyta bästa praxis genom EU-byråernas nätverk, i syfte att förbättra jämförbarheten, öka de årliga verksamhetsrapporternas användbarhet för externa användare och stärka byråernas övergripande prestationsbedömning. Parlamentet uppmanar kommissionen att kräva att alla utvärderingar av byråerna enligt punkt 60 i den gemensamma ansatsen systematiskt bedömer varje byrås mätbara inverkan på sitt politikområde, och att program eller verksamheter som inte har visat sig vara effektiva inom en rimlig tidsram avslutas, så att medel omfördelas till effektivare åtgärder.</w:t>
      </w:r>
    </w:p>
    <w:p w14:paraId="2895A3B4" w14:textId="5CF5869E" w:rsidR="004B06CC" w:rsidRPr="004D0537" w:rsidRDefault="004B06CC" w:rsidP="004B06CC">
      <w:pPr>
        <w:spacing w:after="240"/>
        <w:ind w:left="567" w:hanging="567"/>
      </w:pPr>
      <w:r w:rsidRPr="004D0537">
        <w:t>2</w:t>
      </w:r>
      <w:r w:rsidR="007B6266" w:rsidRPr="004D0537">
        <w:t>1</w:t>
      </w:r>
      <w:r w:rsidRPr="004D0537">
        <w:t>.</w:t>
      </w:r>
      <w:r w:rsidRPr="004D0537">
        <w:tab/>
        <w:t xml:space="preserve">Europaparlamentet uppmärksammar Europeiska byrån för bedrägeribekämpnings (Olaf) utredningar som berör flera byråer: </w:t>
      </w:r>
      <w:proofErr w:type="spellStart"/>
      <w:r w:rsidRPr="004D0537">
        <w:t>Enisa</w:t>
      </w:r>
      <w:proofErr w:type="spellEnd"/>
      <w:r w:rsidRPr="004D0537">
        <w:t xml:space="preserve"> (två ärenden 2024, ett pågående, ett avskrivet och ett rekryteringsärende 2025), eu-Lisa (undersökningar om intressekonflikter och upphandlingar), EIT (tre ärenden som avsåg KI-grupper avslutades med återkrav på 15–20 miljoner EUR), </w:t>
      </w:r>
      <w:proofErr w:type="spellStart"/>
      <w:r w:rsidRPr="004D0537">
        <w:t>Frontex</w:t>
      </w:r>
      <w:proofErr w:type="spellEnd"/>
      <w:r w:rsidRPr="004D0537">
        <w:t xml:space="preserve"> (två pågående och åtta avslutade ärenden 2023–2024) och pågående utredningar vid Acer och EEA. Parlamentet uppmanar med kraft alla EU</w:t>
      </w:r>
      <w:r w:rsidRPr="004D0537">
        <w:noBreakHyphen/>
        <w:t>byråer att säkerställa ett fullständigt samarbete med Olaf, att stärka de interna kontrollerna och rekryterings- och upphandlingsgarantierna och att tillhandahålla ytterligare information till den ansvarsfrihetsbeviljande myndigheten så snart sekretessrestriktionerna har hävts.</w:t>
      </w:r>
    </w:p>
    <w:p w14:paraId="0FB5F04F" w14:textId="523A5648" w:rsidR="004B06CC" w:rsidRPr="004D0537" w:rsidRDefault="004B06CC" w:rsidP="004B06CC">
      <w:pPr>
        <w:spacing w:after="240"/>
        <w:ind w:left="567" w:hanging="567"/>
      </w:pPr>
      <w:r w:rsidRPr="004D0537">
        <w:t>2</w:t>
      </w:r>
      <w:r w:rsidR="007B6266" w:rsidRPr="004D0537">
        <w:t>2</w:t>
      </w:r>
      <w:r w:rsidRPr="004D0537">
        <w:t>.</w:t>
      </w:r>
      <w:r w:rsidRPr="004D0537">
        <w:tab/>
        <w:t xml:space="preserve">Europaparlamentet påminner om att </w:t>
      </w:r>
      <w:proofErr w:type="spellStart"/>
      <w:r w:rsidRPr="004D0537">
        <w:t>Frontex</w:t>
      </w:r>
      <w:proofErr w:type="spellEnd"/>
      <w:r w:rsidRPr="004D0537">
        <w:t xml:space="preserve"> mandat utökades avsevärt 2019, när en reviderad förordning ledde till att dess uppgifter utökades och en permanent kår med 10 000 gränsbevakningstjänstemän, med en motsvarande budgetökning, godkändes. Parlamentet understryker att budgetökningar, oavsett vilken byrå som berörs, alltid måste åtföljas av lämpliga bestämmelser om ansvarsskyldighet och transparens.</w:t>
      </w:r>
    </w:p>
    <w:p w14:paraId="51D0B7DA" w14:textId="230CDDCD" w:rsidR="004B06CC" w:rsidRPr="004D0537" w:rsidRDefault="004B06CC" w:rsidP="004B06CC">
      <w:pPr>
        <w:spacing w:after="240"/>
        <w:ind w:left="567" w:hanging="567"/>
      </w:pPr>
      <w:r w:rsidRPr="004D0537">
        <w:t>2</w:t>
      </w:r>
      <w:r w:rsidR="007B6266" w:rsidRPr="004D0537">
        <w:t>3</w:t>
      </w:r>
      <w:r w:rsidRPr="004D0537">
        <w:t>.</w:t>
      </w:r>
      <w:r w:rsidRPr="004D0537">
        <w:tab/>
        <w:t xml:space="preserve">Europaparlamentet noterar att avsaknaden av undantagsklausuler som gör det möjligt att säga upp hyresavtal i förtid fortsätter att utgöra en ekonomisk risk för EU:s byråer. Parlamentet påminner om att vikten av att inkludera sådana klausuler i hyresavtalen </w:t>
      </w:r>
      <w:r w:rsidRPr="004D0537">
        <w:lastRenderedPageBreak/>
        <w:t xml:space="preserve">belystes av den svåra situationen efter </w:t>
      </w:r>
      <w:proofErr w:type="spellStart"/>
      <w:r w:rsidRPr="004D0537">
        <w:t>brexit</w:t>
      </w:r>
      <w:proofErr w:type="spellEnd"/>
      <w:r w:rsidRPr="004D0537">
        <w:t xml:space="preserve"> för Europeiska läkemedelsmyndigheten (EMA), som inte kunde säga upp sitt långsiktiga hyresavtal i London och därför var tvungen att betala hyra i både London och Amsterdam. Parlamentet konstaterar att flera byråer har infört uppsägningsklausuler sedan 2019, men beklagar att detta inte är fallet för alla byråer och att nya eller förlängda hyresavtal i vissa fall har undertecknats. Parlamentet uppmanar med kraft byråerna och kommissionen att systematiskt införa uppsägningsklausuler när de förhandlar om eller förnyar hyresavtal, med beaktande av lärdomarna från tidigare erfarenheter, för att begränsa den finansiella exponeringen och säkerställa större budgetflexibilitet.</w:t>
      </w:r>
    </w:p>
    <w:p w14:paraId="4F2A0607" w14:textId="77777777" w:rsidR="004B06CC" w:rsidRPr="004D0537" w:rsidRDefault="004B06CC" w:rsidP="004B06CC">
      <w:pPr>
        <w:spacing w:after="240"/>
        <w:ind w:left="567" w:hanging="567"/>
        <w:rPr>
          <w:b/>
          <w:i/>
        </w:rPr>
      </w:pPr>
      <w:r w:rsidRPr="004D0537">
        <w:rPr>
          <w:b/>
          <w:i/>
        </w:rPr>
        <w:t>Budgetförvaltning och ekonomisk förvaltning</w:t>
      </w:r>
    </w:p>
    <w:p w14:paraId="1A362099" w14:textId="3FA5CC8D" w:rsidR="004B06CC" w:rsidRPr="004D0537" w:rsidRDefault="004B06CC" w:rsidP="004B06CC">
      <w:pPr>
        <w:spacing w:after="240"/>
        <w:ind w:left="567" w:hanging="567"/>
      </w:pPr>
      <w:r w:rsidRPr="004D0537">
        <w:t>2</w:t>
      </w:r>
      <w:r w:rsidR="007B6266" w:rsidRPr="004D0537">
        <w:t>4</w:t>
      </w:r>
      <w:r w:rsidRPr="004D0537">
        <w:t>.</w:t>
      </w:r>
      <w:r w:rsidRPr="004D0537">
        <w:tab/>
        <w:t>Europaparlamentet noterar att de totala slutliga inkomsterna för 2024 (efter ändringsbudgetar) och de jämförbara siffrorna för 2023 för de 33 EU-byråer som ingår i denna resolution fördelade sig på följande sätt</w:t>
      </w:r>
      <w:r w:rsidRPr="004D0537">
        <w:rPr>
          <w:bCs/>
          <w:iCs/>
          <w:vertAlign w:val="superscript"/>
        </w:rPr>
        <w:footnoteReference w:id="399"/>
      </w:r>
      <w:r w:rsidRPr="004D0537">
        <w:t>:</w:t>
      </w:r>
    </w:p>
    <w:p w14:paraId="298D5032" w14:textId="77777777" w:rsidR="004B06CC" w:rsidRPr="004D0537" w:rsidRDefault="004B06CC" w:rsidP="004B06CC">
      <w:pPr>
        <w:spacing w:after="240"/>
        <w:ind w:left="567" w:hanging="567"/>
        <w:rPr>
          <w:bCs/>
          <w:iCs/>
        </w:rPr>
      </w:pPr>
    </w:p>
    <w:tbl>
      <w:tblPr>
        <w:tblW w:w="8428" w:type="dxa"/>
        <w:tblLook w:val="04A0" w:firstRow="1" w:lastRow="0" w:firstColumn="1" w:lastColumn="0" w:noHBand="0" w:noVBand="1"/>
      </w:tblPr>
      <w:tblGrid>
        <w:gridCol w:w="2122"/>
        <w:gridCol w:w="2126"/>
        <w:gridCol w:w="2370"/>
        <w:gridCol w:w="2054"/>
      </w:tblGrid>
      <w:tr w:rsidR="004B06CC" w:rsidRPr="004D0537" w14:paraId="38CAFF11" w14:textId="77777777" w:rsidTr="00753AD2">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2D4A5400" w14:textId="77777777" w:rsidR="004B06CC" w:rsidRPr="004D0537" w:rsidRDefault="004B06CC" w:rsidP="00753AD2">
            <w:pPr>
              <w:spacing w:after="240"/>
              <w:ind w:left="567" w:hanging="567"/>
              <w:rPr>
                <w:b/>
                <w:bCs/>
              </w:rPr>
            </w:pPr>
            <w:r w:rsidRPr="004D0537">
              <w:rPr>
                <w:b/>
              </w:rPr>
              <w:t>Beteckning</w:t>
            </w:r>
          </w:p>
        </w:tc>
        <w:tc>
          <w:tcPr>
            <w:tcW w:w="2126" w:type="dxa"/>
            <w:tcBorders>
              <w:top w:val="single" w:sz="4" w:space="0" w:color="auto"/>
              <w:left w:val="nil"/>
              <w:bottom w:val="single" w:sz="4" w:space="0" w:color="auto"/>
              <w:right w:val="single" w:sz="4" w:space="0" w:color="auto"/>
            </w:tcBorders>
            <w:noWrap/>
            <w:vAlign w:val="bottom"/>
            <w:hideMark/>
          </w:tcPr>
          <w:p w14:paraId="17854291" w14:textId="77777777" w:rsidR="004B06CC" w:rsidRPr="004D0537" w:rsidRDefault="004B06CC" w:rsidP="00753AD2">
            <w:pPr>
              <w:spacing w:after="240"/>
              <w:ind w:left="567" w:hanging="567"/>
              <w:rPr>
                <w:b/>
                <w:bCs/>
              </w:rPr>
            </w:pPr>
            <w:r w:rsidRPr="004D0537">
              <w:rPr>
                <w:b/>
              </w:rPr>
              <w:t>Inkomster 2024</w:t>
            </w:r>
          </w:p>
        </w:tc>
        <w:tc>
          <w:tcPr>
            <w:tcW w:w="2126" w:type="dxa"/>
            <w:tcBorders>
              <w:top w:val="single" w:sz="4" w:space="0" w:color="auto"/>
              <w:left w:val="nil"/>
              <w:bottom w:val="single" w:sz="4" w:space="0" w:color="auto"/>
              <w:right w:val="single" w:sz="4" w:space="0" w:color="auto"/>
            </w:tcBorders>
            <w:noWrap/>
            <w:vAlign w:val="bottom"/>
            <w:hideMark/>
          </w:tcPr>
          <w:p w14:paraId="6E5781D9" w14:textId="77777777" w:rsidR="004B06CC" w:rsidRPr="004D0537" w:rsidRDefault="004B06CC" w:rsidP="00753AD2">
            <w:pPr>
              <w:spacing w:after="240"/>
              <w:ind w:left="567" w:hanging="567"/>
              <w:rPr>
                <w:b/>
                <w:bCs/>
              </w:rPr>
            </w:pPr>
            <w:r w:rsidRPr="004D0537">
              <w:rPr>
                <w:b/>
              </w:rPr>
              <w:t>Inkomster 2023</w:t>
            </w:r>
          </w:p>
        </w:tc>
        <w:tc>
          <w:tcPr>
            <w:tcW w:w="2054" w:type="dxa"/>
            <w:tcBorders>
              <w:top w:val="single" w:sz="4" w:space="0" w:color="auto"/>
              <w:left w:val="nil"/>
              <w:bottom w:val="single" w:sz="4" w:space="0" w:color="auto"/>
              <w:right w:val="single" w:sz="4" w:space="0" w:color="auto"/>
            </w:tcBorders>
            <w:noWrap/>
            <w:vAlign w:val="bottom"/>
            <w:hideMark/>
          </w:tcPr>
          <w:p w14:paraId="2E1D657C" w14:textId="77777777" w:rsidR="004B06CC" w:rsidRPr="004D0537" w:rsidRDefault="004B06CC" w:rsidP="00753AD2">
            <w:pPr>
              <w:spacing w:after="240"/>
              <w:ind w:left="567" w:hanging="567"/>
              <w:rPr>
                <w:b/>
                <w:bCs/>
              </w:rPr>
            </w:pPr>
            <w:r w:rsidRPr="004D0537">
              <w:rPr>
                <w:b/>
              </w:rPr>
              <w:t>∆</w:t>
            </w:r>
          </w:p>
        </w:tc>
      </w:tr>
      <w:tr w:rsidR="004B06CC" w:rsidRPr="004D0537" w14:paraId="0D2C74E1"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EA811C8" w14:textId="77777777" w:rsidR="004B06CC" w:rsidRPr="004D0537" w:rsidRDefault="004B06CC" w:rsidP="00753AD2">
            <w:pPr>
              <w:spacing w:after="240"/>
              <w:ind w:left="567" w:hanging="567"/>
              <w:rPr>
                <w:sz w:val="23"/>
                <w:szCs w:val="23"/>
              </w:rPr>
            </w:pPr>
            <w:r w:rsidRPr="004D0537">
              <w:rPr>
                <w:sz w:val="23"/>
                <w:szCs w:val="23"/>
              </w:rPr>
              <w:t>Acer</w:t>
            </w:r>
          </w:p>
        </w:tc>
        <w:tc>
          <w:tcPr>
            <w:tcW w:w="2126" w:type="dxa"/>
            <w:tcBorders>
              <w:top w:val="nil"/>
              <w:left w:val="nil"/>
              <w:bottom w:val="single" w:sz="4" w:space="0" w:color="auto"/>
              <w:right w:val="single" w:sz="4" w:space="0" w:color="auto"/>
            </w:tcBorders>
            <w:noWrap/>
            <w:vAlign w:val="bottom"/>
            <w:hideMark/>
          </w:tcPr>
          <w:p w14:paraId="70BF00FE" w14:textId="77777777" w:rsidR="004B06CC" w:rsidRPr="004D0537" w:rsidRDefault="004B06CC" w:rsidP="00753AD2">
            <w:pPr>
              <w:spacing w:after="240"/>
              <w:ind w:left="567" w:hanging="567"/>
              <w:rPr>
                <w:sz w:val="23"/>
                <w:szCs w:val="23"/>
              </w:rPr>
            </w:pPr>
            <w:r w:rsidRPr="004D0537">
              <w:rPr>
                <w:sz w:val="23"/>
                <w:szCs w:val="23"/>
              </w:rPr>
              <w:t>34 689 993,00 EUR</w:t>
            </w:r>
          </w:p>
        </w:tc>
        <w:tc>
          <w:tcPr>
            <w:tcW w:w="2126" w:type="dxa"/>
            <w:tcBorders>
              <w:top w:val="nil"/>
              <w:left w:val="nil"/>
              <w:bottom w:val="single" w:sz="4" w:space="0" w:color="auto"/>
              <w:right w:val="single" w:sz="4" w:space="0" w:color="auto"/>
            </w:tcBorders>
            <w:noWrap/>
            <w:vAlign w:val="bottom"/>
            <w:hideMark/>
          </w:tcPr>
          <w:p w14:paraId="6A95FA38" w14:textId="77777777" w:rsidR="004B06CC" w:rsidRPr="004D0537" w:rsidRDefault="004B06CC" w:rsidP="00753AD2">
            <w:pPr>
              <w:spacing w:after="240"/>
              <w:ind w:left="567" w:hanging="567"/>
              <w:rPr>
                <w:sz w:val="23"/>
                <w:szCs w:val="23"/>
              </w:rPr>
            </w:pPr>
            <w:r w:rsidRPr="004D0537">
              <w:rPr>
                <w:sz w:val="23"/>
                <w:szCs w:val="23"/>
              </w:rPr>
              <w:t>29 582 967,00 EUR</w:t>
            </w:r>
          </w:p>
        </w:tc>
        <w:tc>
          <w:tcPr>
            <w:tcW w:w="2054" w:type="dxa"/>
            <w:tcBorders>
              <w:top w:val="nil"/>
              <w:left w:val="nil"/>
              <w:bottom w:val="single" w:sz="4" w:space="0" w:color="auto"/>
              <w:right w:val="single" w:sz="4" w:space="0" w:color="auto"/>
            </w:tcBorders>
            <w:shd w:val="clear" w:color="auto" w:fill="FFFFFF"/>
            <w:noWrap/>
            <w:vAlign w:val="center"/>
            <w:hideMark/>
          </w:tcPr>
          <w:p w14:paraId="16AD308E" w14:textId="77777777" w:rsidR="004B06CC" w:rsidRPr="004D0537" w:rsidRDefault="004B06CC" w:rsidP="00753AD2">
            <w:pPr>
              <w:spacing w:after="240"/>
              <w:ind w:left="567" w:hanging="567"/>
              <w:rPr>
                <w:sz w:val="23"/>
                <w:szCs w:val="23"/>
              </w:rPr>
            </w:pPr>
            <w:r w:rsidRPr="004D0537">
              <w:rPr>
                <w:sz w:val="23"/>
                <w:szCs w:val="23"/>
              </w:rPr>
              <w:t>17,26 %</w:t>
            </w:r>
          </w:p>
        </w:tc>
      </w:tr>
      <w:tr w:rsidR="004B06CC" w:rsidRPr="004D0537" w14:paraId="0F4F0FB7"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D8CA58A" w14:textId="77777777" w:rsidR="004B06CC" w:rsidRPr="004D0537" w:rsidRDefault="004B06CC" w:rsidP="00753AD2">
            <w:pPr>
              <w:spacing w:after="240"/>
              <w:ind w:left="567" w:hanging="567"/>
              <w:rPr>
                <w:sz w:val="23"/>
                <w:szCs w:val="23"/>
              </w:rPr>
            </w:pPr>
            <w:proofErr w:type="spellStart"/>
            <w:r w:rsidRPr="004D0537">
              <w:rPr>
                <w:sz w:val="23"/>
                <w:szCs w:val="23"/>
              </w:rPr>
              <w:t>Berecbyrån</w:t>
            </w:r>
            <w:proofErr w:type="spellEnd"/>
          </w:p>
        </w:tc>
        <w:tc>
          <w:tcPr>
            <w:tcW w:w="2126" w:type="dxa"/>
            <w:tcBorders>
              <w:top w:val="nil"/>
              <w:left w:val="nil"/>
              <w:bottom w:val="single" w:sz="4" w:space="0" w:color="auto"/>
              <w:right w:val="single" w:sz="4" w:space="0" w:color="auto"/>
            </w:tcBorders>
            <w:noWrap/>
            <w:vAlign w:val="bottom"/>
            <w:hideMark/>
          </w:tcPr>
          <w:p w14:paraId="17B79C1E" w14:textId="77777777" w:rsidR="004B06CC" w:rsidRPr="004D0537" w:rsidRDefault="004B06CC" w:rsidP="00753AD2">
            <w:pPr>
              <w:spacing w:after="240"/>
              <w:ind w:left="567" w:hanging="567"/>
              <w:rPr>
                <w:sz w:val="23"/>
                <w:szCs w:val="23"/>
              </w:rPr>
            </w:pPr>
            <w:r w:rsidRPr="004D0537">
              <w:rPr>
                <w:sz w:val="23"/>
                <w:szCs w:val="23"/>
              </w:rPr>
              <w:t>7 932 805,00 EUR</w:t>
            </w:r>
          </w:p>
        </w:tc>
        <w:tc>
          <w:tcPr>
            <w:tcW w:w="2126" w:type="dxa"/>
            <w:tcBorders>
              <w:top w:val="nil"/>
              <w:left w:val="nil"/>
              <w:bottom w:val="single" w:sz="4" w:space="0" w:color="auto"/>
              <w:right w:val="single" w:sz="4" w:space="0" w:color="auto"/>
            </w:tcBorders>
            <w:noWrap/>
            <w:vAlign w:val="bottom"/>
            <w:hideMark/>
          </w:tcPr>
          <w:p w14:paraId="79ECDD79" w14:textId="77777777" w:rsidR="004B06CC" w:rsidRPr="004D0537" w:rsidRDefault="004B06CC" w:rsidP="00753AD2">
            <w:pPr>
              <w:spacing w:after="240"/>
              <w:ind w:left="567" w:hanging="567"/>
              <w:rPr>
                <w:sz w:val="23"/>
                <w:szCs w:val="23"/>
              </w:rPr>
            </w:pPr>
            <w:r w:rsidRPr="004D0537">
              <w:rPr>
                <w:sz w:val="23"/>
                <w:szCs w:val="23"/>
              </w:rPr>
              <w:t>7 697 264,87 EUR</w:t>
            </w:r>
          </w:p>
        </w:tc>
        <w:tc>
          <w:tcPr>
            <w:tcW w:w="2054" w:type="dxa"/>
            <w:tcBorders>
              <w:top w:val="nil"/>
              <w:left w:val="nil"/>
              <w:bottom w:val="single" w:sz="4" w:space="0" w:color="auto"/>
              <w:right w:val="single" w:sz="4" w:space="0" w:color="auto"/>
            </w:tcBorders>
            <w:shd w:val="clear" w:color="auto" w:fill="FFFFFF"/>
            <w:noWrap/>
            <w:vAlign w:val="center"/>
            <w:hideMark/>
          </w:tcPr>
          <w:p w14:paraId="0EF95C1A" w14:textId="77777777" w:rsidR="004B06CC" w:rsidRPr="004D0537" w:rsidRDefault="004B06CC" w:rsidP="00753AD2">
            <w:pPr>
              <w:spacing w:after="240"/>
              <w:ind w:left="567" w:hanging="567"/>
              <w:rPr>
                <w:sz w:val="23"/>
                <w:szCs w:val="23"/>
              </w:rPr>
            </w:pPr>
            <w:r w:rsidRPr="004D0537">
              <w:rPr>
                <w:sz w:val="23"/>
                <w:szCs w:val="23"/>
              </w:rPr>
              <w:t>3,06 %</w:t>
            </w:r>
          </w:p>
        </w:tc>
      </w:tr>
      <w:tr w:rsidR="004B06CC" w:rsidRPr="004D0537" w14:paraId="0F0E817C"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71A90C8" w14:textId="77777777" w:rsidR="004B06CC" w:rsidRPr="004D0537" w:rsidRDefault="004B06CC" w:rsidP="00753AD2">
            <w:pPr>
              <w:spacing w:after="240"/>
              <w:ind w:left="567" w:hanging="567"/>
              <w:rPr>
                <w:sz w:val="23"/>
                <w:szCs w:val="23"/>
              </w:rPr>
            </w:pPr>
            <w:r w:rsidRPr="004D0537">
              <w:rPr>
                <w:sz w:val="23"/>
                <w:szCs w:val="23"/>
              </w:rPr>
              <w:t>CDT</w:t>
            </w:r>
            <w:r w:rsidRPr="004D0537">
              <w:rPr>
                <w:sz w:val="23"/>
                <w:szCs w:val="23"/>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0131366E" w14:textId="77777777" w:rsidR="004B06CC" w:rsidRPr="004D0537" w:rsidRDefault="004B06CC" w:rsidP="00753AD2">
            <w:pPr>
              <w:spacing w:after="240"/>
              <w:ind w:left="567" w:hanging="567"/>
              <w:rPr>
                <w:sz w:val="23"/>
                <w:szCs w:val="23"/>
              </w:rPr>
            </w:pPr>
            <w:r w:rsidRPr="004D0537">
              <w:rPr>
                <w:sz w:val="23"/>
                <w:szCs w:val="23"/>
              </w:rPr>
              <w:t>45 346 300,00 EUR</w:t>
            </w:r>
          </w:p>
        </w:tc>
        <w:tc>
          <w:tcPr>
            <w:tcW w:w="2126" w:type="dxa"/>
            <w:tcBorders>
              <w:top w:val="nil"/>
              <w:left w:val="nil"/>
              <w:bottom w:val="single" w:sz="4" w:space="0" w:color="auto"/>
              <w:right w:val="single" w:sz="4" w:space="0" w:color="auto"/>
            </w:tcBorders>
            <w:noWrap/>
            <w:vAlign w:val="bottom"/>
            <w:hideMark/>
          </w:tcPr>
          <w:p w14:paraId="5801D168" w14:textId="77777777" w:rsidR="004B06CC" w:rsidRPr="004D0537" w:rsidRDefault="004B06CC" w:rsidP="00753AD2">
            <w:pPr>
              <w:spacing w:after="240"/>
              <w:ind w:left="567" w:hanging="567"/>
              <w:rPr>
                <w:sz w:val="23"/>
                <w:szCs w:val="23"/>
              </w:rPr>
            </w:pPr>
            <w:r w:rsidRPr="004D0537">
              <w:rPr>
                <w:sz w:val="23"/>
                <w:szCs w:val="23"/>
              </w:rPr>
              <w:t>47 140 900,00 EUR</w:t>
            </w:r>
          </w:p>
        </w:tc>
        <w:tc>
          <w:tcPr>
            <w:tcW w:w="2054" w:type="dxa"/>
            <w:tcBorders>
              <w:top w:val="nil"/>
              <w:left w:val="nil"/>
              <w:bottom w:val="single" w:sz="4" w:space="0" w:color="auto"/>
              <w:right w:val="single" w:sz="4" w:space="0" w:color="auto"/>
            </w:tcBorders>
            <w:shd w:val="clear" w:color="auto" w:fill="FFFFFF"/>
            <w:noWrap/>
            <w:vAlign w:val="center"/>
            <w:hideMark/>
          </w:tcPr>
          <w:p w14:paraId="58CB6C81" w14:textId="77777777" w:rsidR="004B06CC" w:rsidRPr="004D0537" w:rsidRDefault="004B06CC" w:rsidP="00753AD2">
            <w:pPr>
              <w:spacing w:after="240"/>
              <w:ind w:left="567" w:hanging="567"/>
              <w:rPr>
                <w:sz w:val="23"/>
                <w:szCs w:val="23"/>
              </w:rPr>
            </w:pPr>
            <w:r w:rsidRPr="004D0537">
              <w:rPr>
                <w:sz w:val="23"/>
                <w:szCs w:val="23"/>
              </w:rPr>
              <w:t>-3,81 %</w:t>
            </w:r>
          </w:p>
        </w:tc>
      </w:tr>
      <w:tr w:rsidR="004B06CC" w:rsidRPr="004D0537" w14:paraId="17D86135"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A8A25C0" w14:textId="77777777" w:rsidR="004B06CC" w:rsidRPr="004D0537" w:rsidRDefault="004B06CC" w:rsidP="00753AD2">
            <w:pPr>
              <w:spacing w:after="240"/>
              <w:ind w:left="567" w:hanging="567"/>
              <w:rPr>
                <w:sz w:val="23"/>
                <w:szCs w:val="23"/>
              </w:rPr>
            </w:pPr>
            <w:proofErr w:type="spellStart"/>
            <w:r w:rsidRPr="004D0537">
              <w:rPr>
                <w:sz w:val="23"/>
                <w:szCs w:val="23"/>
              </w:rPr>
              <w:t>Cedefop</w:t>
            </w:r>
            <w:proofErr w:type="spellEnd"/>
          </w:p>
        </w:tc>
        <w:tc>
          <w:tcPr>
            <w:tcW w:w="2126" w:type="dxa"/>
            <w:tcBorders>
              <w:top w:val="nil"/>
              <w:left w:val="nil"/>
              <w:bottom w:val="single" w:sz="4" w:space="0" w:color="auto"/>
              <w:right w:val="single" w:sz="4" w:space="0" w:color="auto"/>
            </w:tcBorders>
            <w:noWrap/>
            <w:vAlign w:val="bottom"/>
            <w:hideMark/>
          </w:tcPr>
          <w:p w14:paraId="60D6F6F6" w14:textId="77777777" w:rsidR="004B06CC" w:rsidRPr="004D0537" w:rsidRDefault="004B06CC" w:rsidP="00753AD2">
            <w:pPr>
              <w:spacing w:after="240"/>
              <w:ind w:left="567" w:hanging="567"/>
              <w:rPr>
                <w:sz w:val="23"/>
                <w:szCs w:val="23"/>
              </w:rPr>
            </w:pPr>
            <w:r w:rsidRPr="004D0537">
              <w:rPr>
                <w:sz w:val="23"/>
                <w:szCs w:val="23"/>
              </w:rPr>
              <w:t>21 422 022,00 EUR</w:t>
            </w:r>
          </w:p>
        </w:tc>
        <w:tc>
          <w:tcPr>
            <w:tcW w:w="2126" w:type="dxa"/>
            <w:tcBorders>
              <w:top w:val="nil"/>
              <w:left w:val="nil"/>
              <w:bottom w:val="single" w:sz="4" w:space="0" w:color="auto"/>
              <w:right w:val="single" w:sz="4" w:space="0" w:color="auto"/>
            </w:tcBorders>
            <w:noWrap/>
            <w:vAlign w:val="bottom"/>
            <w:hideMark/>
          </w:tcPr>
          <w:p w14:paraId="31CD2EC2" w14:textId="77777777" w:rsidR="004B06CC" w:rsidRPr="004D0537" w:rsidRDefault="004B06CC" w:rsidP="00753AD2">
            <w:pPr>
              <w:spacing w:after="240"/>
              <w:ind w:left="567" w:hanging="567"/>
              <w:rPr>
                <w:sz w:val="23"/>
                <w:szCs w:val="23"/>
              </w:rPr>
            </w:pPr>
            <w:r w:rsidRPr="004D0537">
              <w:rPr>
                <w:sz w:val="23"/>
                <w:szCs w:val="23"/>
              </w:rPr>
              <w:t>20 140 610,00 EUR</w:t>
            </w:r>
          </w:p>
        </w:tc>
        <w:tc>
          <w:tcPr>
            <w:tcW w:w="2054" w:type="dxa"/>
            <w:tcBorders>
              <w:top w:val="nil"/>
              <w:left w:val="nil"/>
              <w:bottom w:val="single" w:sz="4" w:space="0" w:color="auto"/>
              <w:right w:val="single" w:sz="4" w:space="0" w:color="auto"/>
            </w:tcBorders>
            <w:shd w:val="clear" w:color="auto" w:fill="FFFFFF"/>
            <w:noWrap/>
            <w:vAlign w:val="center"/>
            <w:hideMark/>
          </w:tcPr>
          <w:p w14:paraId="278797D4" w14:textId="77777777" w:rsidR="004B06CC" w:rsidRPr="004D0537" w:rsidRDefault="004B06CC" w:rsidP="00753AD2">
            <w:pPr>
              <w:spacing w:after="240"/>
              <w:ind w:left="567" w:hanging="567"/>
              <w:rPr>
                <w:sz w:val="23"/>
                <w:szCs w:val="23"/>
              </w:rPr>
            </w:pPr>
            <w:r w:rsidRPr="004D0537">
              <w:rPr>
                <w:sz w:val="23"/>
                <w:szCs w:val="23"/>
              </w:rPr>
              <w:t>6,36 %</w:t>
            </w:r>
          </w:p>
        </w:tc>
      </w:tr>
      <w:tr w:rsidR="004B06CC" w:rsidRPr="004D0537" w14:paraId="4CAF9C88"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315E2C7" w14:textId="77777777" w:rsidR="004B06CC" w:rsidRPr="004D0537" w:rsidRDefault="004B06CC" w:rsidP="00753AD2">
            <w:pPr>
              <w:spacing w:after="240"/>
              <w:ind w:left="567" w:hanging="567"/>
              <w:rPr>
                <w:sz w:val="23"/>
                <w:szCs w:val="23"/>
              </w:rPr>
            </w:pPr>
            <w:proofErr w:type="spellStart"/>
            <w:r w:rsidRPr="004D0537">
              <w:rPr>
                <w:sz w:val="23"/>
                <w:szCs w:val="23"/>
              </w:rPr>
              <w:t>Cepol</w:t>
            </w:r>
            <w:proofErr w:type="spellEnd"/>
          </w:p>
        </w:tc>
        <w:tc>
          <w:tcPr>
            <w:tcW w:w="2126" w:type="dxa"/>
            <w:tcBorders>
              <w:top w:val="nil"/>
              <w:left w:val="nil"/>
              <w:bottom w:val="single" w:sz="4" w:space="0" w:color="auto"/>
              <w:right w:val="single" w:sz="4" w:space="0" w:color="auto"/>
            </w:tcBorders>
            <w:noWrap/>
            <w:vAlign w:val="bottom"/>
            <w:hideMark/>
          </w:tcPr>
          <w:p w14:paraId="59A9D2CB" w14:textId="77777777" w:rsidR="004B06CC" w:rsidRPr="004D0537" w:rsidRDefault="004B06CC" w:rsidP="00753AD2">
            <w:pPr>
              <w:spacing w:after="240"/>
              <w:ind w:left="567" w:hanging="567"/>
              <w:rPr>
                <w:sz w:val="23"/>
                <w:szCs w:val="23"/>
              </w:rPr>
            </w:pPr>
            <w:r w:rsidRPr="004D0537">
              <w:rPr>
                <w:sz w:val="23"/>
                <w:szCs w:val="23"/>
              </w:rPr>
              <w:t>12 589 437,00 EUR</w:t>
            </w:r>
          </w:p>
        </w:tc>
        <w:tc>
          <w:tcPr>
            <w:tcW w:w="2126" w:type="dxa"/>
            <w:tcBorders>
              <w:top w:val="nil"/>
              <w:left w:val="nil"/>
              <w:bottom w:val="single" w:sz="4" w:space="0" w:color="auto"/>
              <w:right w:val="single" w:sz="4" w:space="0" w:color="auto"/>
            </w:tcBorders>
            <w:noWrap/>
            <w:vAlign w:val="bottom"/>
            <w:hideMark/>
          </w:tcPr>
          <w:p w14:paraId="6308A22A" w14:textId="77777777" w:rsidR="004B06CC" w:rsidRPr="004D0537" w:rsidRDefault="004B06CC" w:rsidP="00753AD2">
            <w:pPr>
              <w:spacing w:after="240"/>
              <w:ind w:left="567" w:hanging="567"/>
              <w:rPr>
                <w:sz w:val="23"/>
                <w:szCs w:val="23"/>
              </w:rPr>
            </w:pPr>
            <w:r w:rsidRPr="004D0537">
              <w:rPr>
                <w:sz w:val="23"/>
                <w:szCs w:val="23"/>
              </w:rPr>
              <w:t>14 211 723,00 EUR</w:t>
            </w:r>
          </w:p>
        </w:tc>
        <w:tc>
          <w:tcPr>
            <w:tcW w:w="2054" w:type="dxa"/>
            <w:tcBorders>
              <w:top w:val="nil"/>
              <w:left w:val="nil"/>
              <w:bottom w:val="single" w:sz="4" w:space="0" w:color="auto"/>
              <w:right w:val="single" w:sz="4" w:space="0" w:color="auto"/>
            </w:tcBorders>
            <w:shd w:val="clear" w:color="auto" w:fill="FFFFFF"/>
            <w:noWrap/>
            <w:vAlign w:val="center"/>
            <w:hideMark/>
          </w:tcPr>
          <w:p w14:paraId="5D421F17" w14:textId="77777777" w:rsidR="004B06CC" w:rsidRPr="004D0537" w:rsidRDefault="004B06CC" w:rsidP="00753AD2">
            <w:pPr>
              <w:spacing w:after="240"/>
              <w:ind w:left="567" w:hanging="567"/>
              <w:rPr>
                <w:sz w:val="23"/>
                <w:szCs w:val="23"/>
              </w:rPr>
            </w:pPr>
            <w:r w:rsidRPr="004D0537">
              <w:rPr>
                <w:sz w:val="23"/>
                <w:szCs w:val="23"/>
              </w:rPr>
              <w:t>-11,42 %</w:t>
            </w:r>
          </w:p>
        </w:tc>
      </w:tr>
      <w:tr w:rsidR="004B06CC" w:rsidRPr="004D0537" w14:paraId="2622C3A4"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814EBD2" w14:textId="77777777" w:rsidR="004B06CC" w:rsidRPr="004D0537" w:rsidRDefault="004B06CC" w:rsidP="00753AD2">
            <w:pPr>
              <w:spacing w:after="240"/>
              <w:ind w:left="567" w:hanging="567"/>
              <w:rPr>
                <w:sz w:val="23"/>
                <w:szCs w:val="23"/>
              </w:rPr>
            </w:pPr>
            <w:proofErr w:type="spellStart"/>
            <w:r w:rsidRPr="004D0537">
              <w:rPr>
                <w:sz w:val="23"/>
                <w:szCs w:val="23"/>
              </w:rPr>
              <w:t>Easa</w:t>
            </w:r>
            <w:proofErr w:type="spellEnd"/>
            <w:r w:rsidRPr="004D0537">
              <w:rPr>
                <w:sz w:val="23"/>
                <w:szCs w:val="23"/>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25A785AC" w14:textId="77777777" w:rsidR="004B06CC" w:rsidRPr="004D0537" w:rsidRDefault="004B06CC" w:rsidP="00753AD2">
            <w:pPr>
              <w:spacing w:after="240"/>
              <w:ind w:left="567" w:hanging="567"/>
              <w:rPr>
                <w:sz w:val="23"/>
                <w:szCs w:val="23"/>
              </w:rPr>
            </w:pPr>
            <w:r w:rsidRPr="004D0537">
              <w:rPr>
                <w:sz w:val="23"/>
                <w:szCs w:val="23"/>
              </w:rPr>
              <w:t>183 306 903,00 EUR</w:t>
            </w:r>
          </w:p>
        </w:tc>
        <w:tc>
          <w:tcPr>
            <w:tcW w:w="2126" w:type="dxa"/>
            <w:tcBorders>
              <w:top w:val="nil"/>
              <w:left w:val="nil"/>
              <w:bottom w:val="single" w:sz="4" w:space="0" w:color="auto"/>
              <w:right w:val="single" w:sz="4" w:space="0" w:color="auto"/>
            </w:tcBorders>
            <w:noWrap/>
            <w:vAlign w:val="bottom"/>
            <w:hideMark/>
          </w:tcPr>
          <w:p w14:paraId="26BFDBAC" w14:textId="77777777" w:rsidR="004B06CC" w:rsidRPr="004D0537" w:rsidRDefault="004B06CC" w:rsidP="00753AD2">
            <w:pPr>
              <w:spacing w:after="240"/>
              <w:ind w:left="567" w:hanging="567"/>
              <w:rPr>
                <w:sz w:val="23"/>
                <w:szCs w:val="23"/>
              </w:rPr>
            </w:pPr>
            <w:r w:rsidRPr="004D0537">
              <w:rPr>
                <w:sz w:val="23"/>
                <w:szCs w:val="23"/>
              </w:rPr>
              <w:t>169 665 375,00 EUR</w:t>
            </w:r>
          </w:p>
        </w:tc>
        <w:tc>
          <w:tcPr>
            <w:tcW w:w="2054" w:type="dxa"/>
            <w:tcBorders>
              <w:top w:val="nil"/>
              <w:left w:val="nil"/>
              <w:bottom w:val="single" w:sz="4" w:space="0" w:color="auto"/>
              <w:right w:val="single" w:sz="4" w:space="0" w:color="auto"/>
            </w:tcBorders>
            <w:shd w:val="clear" w:color="auto" w:fill="FFFFFF"/>
            <w:noWrap/>
            <w:vAlign w:val="center"/>
            <w:hideMark/>
          </w:tcPr>
          <w:p w14:paraId="295B1433" w14:textId="77777777" w:rsidR="004B06CC" w:rsidRPr="004D0537" w:rsidRDefault="004B06CC" w:rsidP="00753AD2">
            <w:pPr>
              <w:spacing w:after="240"/>
              <w:ind w:left="567" w:hanging="567"/>
              <w:rPr>
                <w:sz w:val="23"/>
                <w:szCs w:val="23"/>
              </w:rPr>
            </w:pPr>
            <w:r w:rsidRPr="004D0537">
              <w:rPr>
                <w:sz w:val="23"/>
                <w:szCs w:val="23"/>
              </w:rPr>
              <w:t>8,04 %</w:t>
            </w:r>
          </w:p>
        </w:tc>
      </w:tr>
      <w:tr w:rsidR="004B06CC" w:rsidRPr="004D0537" w14:paraId="7AF55F6F"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1EB83FA0" w14:textId="77777777" w:rsidR="004B06CC" w:rsidRPr="004D0537" w:rsidRDefault="004B06CC" w:rsidP="00753AD2">
            <w:pPr>
              <w:spacing w:after="240"/>
              <w:ind w:left="567" w:hanging="567"/>
              <w:rPr>
                <w:sz w:val="23"/>
                <w:szCs w:val="23"/>
              </w:rPr>
            </w:pPr>
            <w:r w:rsidRPr="004D0537">
              <w:rPr>
                <w:sz w:val="23"/>
                <w:szCs w:val="23"/>
              </w:rPr>
              <w:t>EBA</w:t>
            </w:r>
          </w:p>
        </w:tc>
        <w:tc>
          <w:tcPr>
            <w:tcW w:w="2126" w:type="dxa"/>
            <w:tcBorders>
              <w:top w:val="nil"/>
              <w:left w:val="nil"/>
              <w:bottom w:val="single" w:sz="4" w:space="0" w:color="auto"/>
              <w:right w:val="single" w:sz="4" w:space="0" w:color="auto"/>
            </w:tcBorders>
            <w:noWrap/>
            <w:vAlign w:val="bottom"/>
            <w:hideMark/>
          </w:tcPr>
          <w:p w14:paraId="1D6D96D2" w14:textId="77777777" w:rsidR="004B06CC" w:rsidRPr="004D0537" w:rsidRDefault="004B06CC" w:rsidP="00753AD2">
            <w:pPr>
              <w:spacing w:after="240"/>
              <w:ind w:left="567" w:hanging="567"/>
              <w:rPr>
                <w:sz w:val="23"/>
                <w:szCs w:val="23"/>
              </w:rPr>
            </w:pPr>
            <w:r w:rsidRPr="004D0537">
              <w:rPr>
                <w:sz w:val="23"/>
                <w:szCs w:val="23"/>
              </w:rPr>
              <w:t>56 906 201,00 EUR</w:t>
            </w:r>
          </w:p>
        </w:tc>
        <w:tc>
          <w:tcPr>
            <w:tcW w:w="2126" w:type="dxa"/>
            <w:tcBorders>
              <w:top w:val="nil"/>
              <w:left w:val="nil"/>
              <w:bottom w:val="single" w:sz="4" w:space="0" w:color="auto"/>
              <w:right w:val="single" w:sz="4" w:space="0" w:color="auto"/>
            </w:tcBorders>
            <w:noWrap/>
            <w:vAlign w:val="bottom"/>
            <w:hideMark/>
          </w:tcPr>
          <w:p w14:paraId="103FCAE3" w14:textId="77777777" w:rsidR="004B06CC" w:rsidRPr="004D0537" w:rsidRDefault="004B06CC" w:rsidP="00753AD2">
            <w:pPr>
              <w:spacing w:after="240"/>
              <w:ind w:left="567" w:hanging="567"/>
              <w:rPr>
                <w:sz w:val="23"/>
                <w:szCs w:val="23"/>
              </w:rPr>
            </w:pPr>
            <w:r w:rsidRPr="004D0537">
              <w:rPr>
                <w:sz w:val="23"/>
                <w:szCs w:val="23"/>
              </w:rPr>
              <w:t>52 672 001,66 EUR</w:t>
            </w:r>
          </w:p>
        </w:tc>
        <w:tc>
          <w:tcPr>
            <w:tcW w:w="2054" w:type="dxa"/>
            <w:tcBorders>
              <w:top w:val="nil"/>
              <w:left w:val="nil"/>
              <w:bottom w:val="single" w:sz="4" w:space="0" w:color="auto"/>
              <w:right w:val="single" w:sz="4" w:space="0" w:color="auto"/>
            </w:tcBorders>
            <w:shd w:val="clear" w:color="auto" w:fill="FFFFFF"/>
            <w:noWrap/>
            <w:vAlign w:val="center"/>
            <w:hideMark/>
          </w:tcPr>
          <w:p w14:paraId="7A571CB6" w14:textId="77777777" w:rsidR="004B06CC" w:rsidRPr="004D0537" w:rsidRDefault="004B06CC" w:rsidP="00753AD2">
            <w:pPr>
              <w:spacing w:after="240"/>
              <w:ind w:left="567" w:hanging="567"/>
              <w:rPr>
                <w:sz w:val="23"/>
                <w:szCs w:val="23"/>
              </w:rPr>
            </w:pPr>
            <w:r w:rsidRPr="004D0537">
              <w:rPr>
                <w:sz w:val="23"/>
                <w:szCs w:val="23"/>
              </w:rPr>
              <w:t>8,04 %</w:t>
            </w:r>
          </w:p>
        </w:tc>
      </w:tr>
      <w:tr w:rsidR="004B06CC" w:rsidRPr="004D0537" w14:paraId="3D900DCF"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25B2621" w14:textId="77777777" w:rsidR="004B06CC" w:rsidRPr="004D0537" w:rsidRDefault="004B06CC" w:rsidP="00753AD2">
            <w:pPr>
              <w:spacing w:after="240"/>
              <w:ind w:left="567" w:hanging="567"/>
              <w:rPr>
                <w:sz w:val="23"/>
                <w:szCs w:val="23"/>
              </w:rPr>
            </w:pPr>
            <w:r w:rsidRPr="004D0537">
              <w:rPr>
                <w:sz w:val="23"/>
                <w:szCs w:val="23"/>
              </w:rPr>
              <w:t>ECDC</w:t>
            </w:r>
          </w:p>
        </w:tc>
        <w:tc>
          <w:tcPr>
            <w:tcW w:w="2126" w:type="dxa"/>
            <w:tcBorders>
              <w:top w:val="nil"/>
              <w:left w:val="nil"/>
              <w:bottom w:val="single" w:sz="4" w:space="0" w:color="auto"/>
              <w:right w:val="single" w:sz="4" w:space="0" w:color="auto"/>
            </w:tcBorders>
            <w:noWrap/>
            <w:vAlign w:val="bottom"/>
            <w:hideMark/>
          </w:tcPr>
          <w:p w14:paraId="6DD27CC1" w14:textId="77777777" w:rsidR="004B06CC" w:rsidRPr="004D0537" w:rsidRDefault="004B06CC" w:rsidP="00753AD2">
            <w:pPr>
              <w:spacing w:after="240"/>
              <w:ind w:left="567" w:hanging="567"/>
              <w:rPr>
                <w:sz w:val="23"/>
                <w:szCs w:val="23"/>
              </w:rPr>
            </w:pPr>
            <w:r w:rsidRPr="004D0537">
              <w:rPr>
                <w:sz w:val="23"/>
                <w:szCs w:val="23"/>
              </w:rPr>
              <w:t>111 257 449,00 EUR</w:t>
            </w:r>
          </w:p>
        </w:tc>
        <w:tc>
          <w:tcPr>
            <w:tcW w:w="2126" w:type="dxa"/>
            <w:tcBorders>
              <w:top w:val="nil"/>
              <w:left w:val="nil"/>
              <w:bottom w:val="single" w:sz="4" w:space="0" w:color="auto"/>
              <w:right w:val="single" w:sz="4" w:space="0" w:color="auto"/>
            </w:tcBorders>
            <w:noWrap/>
            <w:vAlign w:val="bottom"/>
            <w:hideMark/>
          </w:tcPr>
          <w:p w14:paraId="3F08DDDE" w14:textId="77777777" w:rsidR="004B06CC" w:rsidRPr="004D0537" w:rsidRDefault="004B06CC" w:rsidP="00753AD2">
            <w:pPr>
              <w:spacing w:after="240"/>
              <w:ind w:left="567" w:hanging="567"/>
              <w:rPr>
                <w:sz w:val="23"/>
                <w:szCs w:val="23"/>
              </w:rPr>
            </w:pPr>
            <w:r w:rsidRPr="004D0537">
              <w:rPr>
                <w:sz w:val="23"/>
                <w:szCs w:val="23"/>
              </w:rPr>
              <w:t>102 526 724,00 EUR</w:t>
            </w:r>
          </w:p>
        </w:tc>
        <w:tc>
          <w:tcPr>
            <w:tcW w:w="2054" w:type="dxa"/>
            <w:tcBorders>
              <w:top w:val="nil"/>
              <w:left w:val="nil"/>
              <w:bottom w:val="single" w:sz="4" w:space="0" w:color="auto"/>
              <w:right w:val="single" w:sz="4" w:space="0" w:color="auto"/>
            </w:tcBorders>
            <w:shd w:val="clear" w:color="auto" w:fill="FFFFFF"/>
            <w:noWrap/>
            <w:vAlign w:val="center"/>
            <w:hideMark/>
          </w:tcPr>
          <w:p w14:paraId="52345AE6" w14:textId="77777777" w:rsidR="004B06CC" w:rsidRPr="004D0537" w:rsidRDefault="004B06CC" w:rsidP="00753AD2">
            <w:pPr>
              <w:spacing w:after="240"/>
              <w:ind w:left="567" w:hanging="567"/>
              <w:rPr>
                <w:sz w:val="23"/>
                <w:szCs w:val="23"/>
              </w:rPr>
            </w:pPr>
            <w:r w:rsidRPr="004D0537">
              <w:rPr>
                <w:sz w:val="23"/>
                <w:szCs w:val="23"/>
              </w:rPr>
              <w:t>8,52 %</w:t>
            </w:r>
          </w:p>
        </w:tc>
      </w:tr>
      <w:tr w:rsidR="004B06CC" w:rsidRPr="004D0537" w14:paraId="61599981"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A6E9963" w14:textId="77777777" w:rsidR="004B06CC" w:rsidRPr="004D0537" w:rsidRDefault="004B06CC" w:rsidP="00753AD2">
            <w:pPr>
              <w:spacing w:after="240"/>
              <w:ind w:left="567" w:hanging="567"/>
              <w:rPr>
                <w:sz w:val="23"/>
                <w:szCs w:val="23"/>
              </w:rPr>
            </w:pPr>
            <w:proofErr w:type="spellStart"/>
            <w:r w:rsidRPr="004D0537">
              <w:rPr>
                <w:sz w:val="23"/>
                <w:szCs w:val="23"/>
              </w:rPr>
              <w:t>Echa</w:t>
            </w:r>
            <w:proofErr w:type="spellEnd"/>
            <w:r w:rsidRPr="004D0537">
              <w:rPr>
                <w:sz w:val="23"/>
                <w:szCs w:val="23"/>
              </w:rPr>
              <w:t xml:space="preserve"> </w:t>
            </w:r>
          </w:p>
        </w:tc>
        <w:tc>
          <w:tcPr>
            <w:tcW w:w="2126" w:type="dxa"/>
            <w:tcBorders>
              <w:top w:val="nil"/>
              <w:left w:val="nil"/>
              <w:bottom w:val="single" w:sz="4" w:space="0" w:color="auto"/>
              <w:right w:val="single" w:sz="4" w:space="0" w:color="auto"/>
            </w:tcBorders>
            <w:noWrap/>
            <w:vAlign w:val="bottom"/>
            <w:hideMark/>
          </w:tcPr>
          <w:p w14:paraId="5FFF46FA" w14:textId="77777777" w:rsidR="004B06CC" w:rsidRPr="004D0537" w:rsidRDefault="004B06CC" w:rsidP="00753AD2">
            <w:pPr>
              <w:spacing w:after="240"/>
              <w:ind w:left="567" w:hanging="567"/>
              <w:rPr>
                <w:sz w:val="23"/>
                <w:szCs w:val="23"/>
              </w:rPr>
            </w:pPr>
            <w:r w:rsidRPr="004D0537">
              <w:rPr>
                <w:sz w:val="23"/>
                <w:szCs w:val="23"/>
              </w:rPr>
              <w:t>128 712 666,00 EUR</w:t>
            </w:r>
          </w:p>
        </w:tc>
        <w:tc>
          <w:tcPr>
            <w:tcW w:w="2126" w:type="dxa"/>
            <w:tcBorders>
              <w:top w:val="nil"/>
              <w:left w:val="nil"/>
              <w:bottom w:val="single" w:sz="4" w:space="0" w:color="auto"/>
              <w:right w:val="single" w:sz="4" w:space="0" w:color="auto"/>
            </w:tcBorders>
            <w:noWrap/>
            <w:vAlign w:val="bottom"/>
            <w:hideMark/>
          </w:tcPr>
          <w:p w14:paraId="5F52C0C1" w14:textId="77777777" w:rsidR="004B06CC" w:rsidRPr="004D0537" w:rsidRDefault="004B06CC" w:rsidP="00753AD2">
            <w:pPr>
              <w:spacing w:after="240"/>
              <w:ind w:left="567" w:hanging="567"/>
              <w:rPr>
                <w:sz w:val="23"/>
                <w:szCs w:val="23"/>
              </w:rPr>
            </w:pPr>
            <w:r w:rsidRPr="004D0537">
              <w:rPr>
                <w:sz w:val="23"/>
                <w:szCs w:val="23"/>
              </w:rPr>
              <w:t>123 280 140,00 EUR</w:t>
            </w:r>
          </w:p>
        </w:tc>
        <w:tc>
          <w:tcPr>
            <w:tcW w:w="2054" w:type="dxa"/>
            <w:tcBorders>
              <w:top w:val="nil"/>
              <w:left w:val="nil"/>
              <w:bottom w:val="single" w:sz="4" w:space="0" w:color="auto"/>
              <w:right w:val="single" w:sz="4" w:space="0" w:color="auto"/>
            </w:tcBorders>
            <w:shd w:val="clear" w:color="auto" w:fill="FFFFFF"/>
            <w:noWrap/>
            <w:vAlign w:val="center"/>
            <w:hideMark/>
          </w:tcPr>
          <w:p w14:paraId="04B9A773" w14:textId="77777777" w:rsidR="004B06CC" w:rsidRPr="004D0537" w:rsidRDefault="004B06CC" w:rsidP="00753AD2">
            <w:pPr>
              <w:spacing w:after="240"/>
              <w:ind w:left="567" w:hanging="567"/>
              <w:rPr>
                <w:sz w:val="23"/>
                <w:szCs w:val="23"/>
              </w:rPr>
            </w:pPr>
            <w:r w:rsidRPr="004D0537">
              <w:rPr>
                <w:sz w:val="23"/>
                <w:szCs w:val="23"/>
              </w:rPr>
              <w:t>4,41 %</w:t>
            </w:r>
          </w:p>
        </w:tc>
      </w:tr>
      <w:tr w:rsidR="004B06CC" w:rsidRPr="004D0537" w14:paraId="4FCCA1DB"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4562C294" w14:textId="77777777" w:rsidR="004B06CC" w:rsidRPr="004D0537" w:rsidRDefault="004B06CC" w:rsidP="00753AD2">
            <w:pPr>
              <w:spacing w:after="240"/>
              <w:ind w:left="567" w:hanging="567"/>
              <w:rPr>
                <w:sz w:val="23"/>
                <w:szCs w:val="23"/>
              </w:rPr>
            </w:pPr>
            <w:r w:rsidRPr="004D0537">
              <w:rPr>
                <w:sz w:val="23"/>
                <w:szCs w:val="23"/>
              </w:rPr>
              <w:t>EES</w:t>
            </w:r>
            <w:r w:rsidRPr="004D0537">
              <w:rPr>
                <w:sz w:val="23"/>
                <w:szCs w:val="23"/>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78CF8400" w14:textId="77777777" w:rsidR="004B06CC" w:rsidRPr="004D0537" w:rsidRDefault="004B06CC" w:rsidP="00753AD2">
            <w:pPr>
              <w:spacing w:after="240"/>
              <w:ind w:left="567" w:hanging="567"/>
              <w:rPr>
                <w:sz w:val="23"/>
                <w:szCs w:val="23"/>
              </w:rPr>
            </w:pPr>
            <w:r w:rsidRPr="004D0537">
              <w:rPr>
                <w:sz w:val="23"/>
                <w:szCs w:val="23"/>
              </w:rPr>
              <w:t>101 655 603,00 EUR</w:t>
            </w:r>
          </w:p>
        </w:tc>
        <w:tc>
          <w:tcPr>
            <w:tcW w:w="2126" w:type="dxa"/>
            <w:tcBorders>
              <w:top w:val="nil"/>
              <w:left w:val="nil"/>
              <w:bottom w:val="single" w:sz="4" w:space="0" w:color="auto"/>
              <w:right w:val="single" w:sz="4" w:space="0" w:color="auto"/>
            </w:tcBorders>
            <w:noWrap/>
            <w:vAlign w:val="bottom"/>
            <w:hideMark/>
          </w:tcPr>
          <w:p w14:paraId="4C07E4D7" w14:textId="77777777" w:rsidR="004B06CC" w:rsidRPr="004D0537" w:rsidRDefault="004B06CC" w:rsidP="00753AD2">
            <w:pPr>
              <w:spacing w:after="240"/>
              <w:ind w:left="567" w:hanging="567"/>
              <w:rPr>
                <w:sz w:val="23"/>
                <w:szCs w:val="23"/>
              </w:rPr>
            </w:pPr>
            <w:r w:rsidRPr="004D0537">
              <w:rPr>
                <w:sz w:val="23"/>
                <w:szCs w:val="23"/>
              </w:rPr>
              <w:t>76 114 130,00 EUR</w:t>
            </w:r>
          </w:p>
        </w:tc>
        <w:tc>
          <w:tcPr>
            <w:tcW w:w="2054" w:type="dxa"/>
            <w:tcBorders>
              <w:top w:val="nil"/>
              <w:left w:val="nil"/>
              <w:bottom w:val="single" w:sz="4" w:space="0" w:color="auto"/>
              <w:right w:val="single" w:sz="4" w:space="0" w:color="auto"/>
            </w:tcBorders>
            <w:shd w:val="clear" w:color="auto" w:fill="FFFFFF"/>
            <w:noWrap/>
            <w:vAlign w:val="center"/>
            <w:hideMark/>
          </w:tcPr>
          <w:p w14:paraId="65E2FB39" w14:textId="77777777" w:rsidR="004B06CC" w:rsidRPr="004D0537" w:rsidRDefault="004B06CC" w:rsidP="00753AD2">
            <w:pPr>
              <w:spacing w:after="240"/>
              <w:ind w:left="567" w:hanging="567"/>
              <w:rPr>
                <w:sz w:val="23"/>
                <w:szCs w:val="23"/>
              </w:rPr>
            </w:pPr>
            <w:r w:rsidRPr="004D0537">
              <w:rPr>
                <w:sz w:val="23"/>
                <w:szCs w:val="23"/>
              </w:rPr>
              <w:t>33,56 %</w:t>
            </w:r>
          </w:p>
        </w:tc>
      </w:tr>
      <w:tr w:rsidR="004B06CC" w:rsidRPr="004D0537" w14:paraId="538F48BE"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86A3AD4" w14:textId="77777777" w:rsidR="004B06CC" w:rsidRPr="004D0537" w:rsidRDefault="004B06CC" w:rsidP="00753AD2">
            <w:pPr>
              <w:spacing w:after="240"/>
              <w:ind w:left="567" w:hanging="567"/>
              <w:rPr>
                <w:sz w:val="23"/>
                <w:szCs w:val="23"/>
              </w:rPr>
            </w:pPr>
            <w:r w:rsidRPr="004D0537">
              <w:rPr>
                <w:sz w:val="23"/>
                <w:szCs w:val="23"/>
              </w:rPr>
              <w:t>EFCA</w:t>
            </w:r>
          </w:p>
        </w:tc>
        <w:tc>
          <w:tcPr>
            <w:tcW w:w="2126" w:type="dxa"/>
            <w:tcBorders>
              <w:top w:val="nil"/>
              <w:left w:val="nil"/>
              <w:bottom w:val="single" w:sz="4" w:space="0" w:color="auto"/>
              <w:right w:val="single" w:sz="4" w:space="0" w:color="auto"/>
            </w:tcBorders>
            <w:noWrap/>
            <w:vAlign w:val="bottom"/>
            <w:hideMark/>
          </w:tcPr>
          <w:p w14:paraId="1E5FC2EA" w14:textId="77777777" w:rsidR="004B06CC" w:rsidRPr="004D0537" w:rsidRDefault="004B06CC" w:rsidP="00753AD2">
            <w:pPr>
              <w:spacing w:after="240"/>
              <w:ind w:left="567" w:hanging="567"/>
              <w:rPr>
                <w:sz w:val="23"/>
                <w:szCs w:val="23"/>
              </w:rPr>
            </w:pPr>
            <w:r w:rsidRPr="004D0537">
              <w:rPr>
                <w:sz w:val="23"/>
                <w:szCs w:val="23"/>
              </w:rPr>
              <w:t>30 793 032,00 EUR</w:t>
            </w:r>
          </w:p>
        </w:tc>
        <w:tc>
          <w:tcPr>
            <w:tcW w:w="2126" w:type="dxa"/>
            <w:tcBorders>
              <w:top w:val="nil"/>
              <w:left w:val="nil"/>
              <w:bottom w:val="single" w:sz="4" w:space="0" w:color="auto"/>
              <w:right w:val="single" w:sz="4" w:space="0" w:color="auto"/>
            </w:tcBorders>
            <w:noWrap/>
            <w:vAlign w:val="bottom"/>
            <w:hideMark/>
          </w:tcPr>
          <w:p w14:paraId="5AC55410" w14:textId="77777777" w:rsidR="004B06CC" w:rsidRPr="004D0537" w:rsidRDefault="004B06CC" w:rsidP="00753AD2">
            <w:pPr>
              <w:spacing w:after="240"/>
              <w:ind w:left="567" w:hanging="567"/>
              <w:rPr>
                <w:sz w:val="23"/>
                <w:szCs w:val="23"/>
              </w:rPr>
            </w:pPr>
            <w:r w:rsidRPr="004D0537">
              <w:rPr>
                <w:sz w:val="23"/>
                <w:szCs w:val="23"/>
              </w:rPr>
              <w:t>30 862 554,00 EUR</w:t>
            </w:r>
          </w:p>
        </w:tc>
        <w:tc>
          <w:tcPr>
            <w:tcW w:w="2054" w:type="dxa"/>
            <w:tcBorders>
              <w:top w:val="nil"/>
              <w:left w:val="nil"/>
              <w:bottom w:val="single" w:sz="4" w:space="0" w:color="auto"/>
              <w:right w:val="single" w:sz="4" w:space="0" w:color="auto"/>
            </w:tcBorders>
            <w:shd w:val="clear" w:color="auto" w:fill="FFFFFF"/>
            <w:noWrap/>
            <w:vAlign w:val="center"/>
            <w:hideMark/>
          </w:tcPr>
          <w:p w14:paraId="5F36C779" w14:textId="77777777" w:rsidR="004B06CC" w:rsidRPr="004D0537" w:rsidRDefault="004B06CC" w:rsidP="00753AD2">
            <w:pPr>
              <w:spacing w:after="240"/>
              <w:ind w:left="567" w:hanging="567"/>
              <w:rPr>
                <w:sz w:val="23"/>
                <w:szCs w:val="23"/>
              </w:rPr>
            </w:pPr>
            <w:r w:rsidRPr="004D0537">
              <w:rPr>
                <w:sz w:val="23"/>
                <w:szCs w:val="23"/>
              </w:rPr>
              <w:t>-0,23 %</w:t>
            </w:r>
          </w:p>
        </w:tc>
      </w:tr>
      <w:tr w:rsidR="004B06CC" w:rsidRPr="004D0537" w14:paraId="36091B6F"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AE68E6B" w14:textId="77777777" w:rsidR="004B06CC" w:rsidRPr="004D0537" w:rsidRDefault="004B06CC" w:rsidP="00753AD2">
            <w:pPr>
              <w:spacing w:after="240"/>
              <w:ind w:left="567" w:hanging="567"/>
              <w:rPr>
                <w:sz w:val="23"/>
                <w:szCs w:val="23"/>
              </w:rPr>
            </w:pPr>
            <w:proofErr w:type="spellStart"/>
            <w:r w:rsidRPr="004D0537">
              <w:rPr>
                <w:sz w:val="23"/>
                <w:szCs w:val="23"/>
              </w:rPr>
              <w:lastRenderedPageBreak/>
              <w:t>Efsa</w:t>
            </w:r>
            <w:proofErr w:type="spellEnd"/>
          </w:p>
        </w:tc>
        <w:tc>
          <w:tcPr>
            <w:tcW w:w="2126" w:type="dxa"/>
            <w:tcBorders>
              <w:top w:val="nil"/>
              <w:left w:val="nil"/>
              <w:bottom w:val="single" w:sz="4" w:space="0" w:color="auto"/>
              <w:right w:val="single" w:sz="4" w:space="0" w:color="auto"/>
            </w:tcBorders>
            <w:noWrap/>
            <w:vAlign w:val="bottom"/>
            <w:hideMark/>
          </w:tcPr>
          <w:p w14:paraId="39F28034" w14:textId="77777777" w:rsidR="004B06CC" w:rsidRPr="004D0537" w:rsidRDefault="004B06CC" w:rsidP="00753AD2">
            <w:pPr>
              <w:spacing w:after="240"/>
              <w:ind w:left="567" w:hanging="567"/>
              <w:rPr>
                <w:sz w:val="23"/>
                <w:szCs w:val="23"/>
              </w:rPr>
            </w:pPr>
            <w:r w:rsidRPr="004D0537">
              <w:rPr>
                <w:sz w:val="23"/>
                <w:szCs w:val="23"/>
              </w:rPr>
              <w:t>154 939 697,00 EUR</w:t>
            </w:r>
          </w:p>
        </w:tc>
        <w:tc>
          <w:tcPr>
            <w:tcW w:w="2126" w:type="dxa"/>
            <w:tcBorders>
              <w:top w:val="nil"/>
              <w:left w:val="nil"/>
              <w:bottom w:val="single" w:sz="4" w:space="0" w:color="auto"/>
              <w:right w:val="single" w:sz="4" w:space="0" w:color="auto"/>
            </w:tcBorders>
            <w:noWrap/>
            <w:vAlign w:val="bottom"/>
            <w:hideMark/>
          </w:tcPr>
          <w:p w14:paraId="272D22DC" w14:textId="77777777" w:rsidR="004B06CC" w:rsidRPr="004D0537" w:rsidRDefault="004B06CC" w:rsidP="00753AD2">
            <w:pPr>
              <w:spacing w:after="240"/>
              <w:ind w:left="567" w:hanging="567"/>
              <w:rPr>
                <w:sz w:val="23"/>
                <w:szCs w:val="23"/>
              </w:rPr>
            </w:pPr>
            <w:r w:rsidRPr="004D0537">
              <w:rPr>
                <w:sz w:val="23"/>
                <w:szCs w:val="23"/>
              </w:rPr>
              <w:t>148 954 729,00 EUR</w:t>
            </w:r>
          </w:p>
        </w:tc>
        <w:tc>
          <w:tcPr>
            <w:tcW w:w="2054" w:type="dxa"/>
            <w:tcBorders>
              <w:top w:val="nil"/>
              <w:left w:val="nil"/>
              <w:bottom w:val="single" w:sz="4" w:space="0" w:color="auto"/>
              <w:right w:val="single" w:sz="4" w:space="0" w:color="auto"/>
            </w:tcBorders>
            <w:shd w:val="clear" w:color="auto" w:fill="FFFFFF"/>
            <w:noWrap/>
            <w:vAlign w:val="center"/>
            <w:hideMark/>
          </w:tcPr>
          <w:p w14:paraId="099F0ED8" w14:textId="77777777" w:rsidR="004B06CC" w:rsidRPr="004D0537" w:rsidRDefault="004B06CC" w:rsidP="00753AD2">
            <w:pPr>
              <w:spacing w:after="240"/>
              <w:ind w:left="567" w:hanging="567"/>
              <w:rPr>
                <w:sz w:val="23"/>
                <w:szCs w:val="23"/>
              </w:rPr>
            </w:pPr>
            <w:r w:rsidRPr="004D0537">
              <w:rPr>
                <w:sz w:val="23"/>
                <w:szCs w:val="23"/>
              </w:rPr>
              <w:t>4,02 %</w:t>
            </w:r>
          </w:p>
        </w:tc>
      </w:tr>
      <w:tr w:rsidR="004B06CC" w:rsidRPr="004D0537" w14:paraId="7AF202AA"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166E3630" w14:textId="77777777" w:rsidR="004B06CC" w:rsidRPr="004D0537" w:rsidRDefault="004B06CC" w:rsidP="00753AD2">
            <w:pPr>
              <w:spacing w:after="240"/>
              <w:ind w:left="567" w:hanging="567"/>
              <w:rPr>
                <w:sz w:val="23"/>
                <w:szCs w:val="23"/>
              </w:rPr>
            </w:pPr>
            <w:r w:rsidRPr="004D0537">
              <w:rPr>
                <w:sz w:val="23"/>
                <w:szCs w:val="23"/>
              </w:rPr>
              <w:t>EIGE</w:t>
            </w:r>
          </w:p>
        </w:tc>
        <w:tc>
          <w:tcPr>
            <w:tcW w:w="2126" w:type="dxa"/>
            <w:tcBorders>
              <w:top w:val="nil"/>
              <w:left w:val="nil"/>
              <w:bottom w:val="single" w:sz="4" w:space="0" w:color="auto"/>
              <w:right w:val="single" w:sz="4" w:space="0" w:color="auto"/>
            </w:tcBorders>
            <w:noWrap/>
            <w:vAlign w:val="bottom"/>
            <w:hideMark/>
          </w:tcPr>
          <w:p w14:paraId="1D218025" w14:textId="77777777" w:rsidR="004B06CC" w:rsidRPr="004D0537" w:rsidRDefault="004B06CC" w:rsidP="00753AD2">
            <w:pPr>
              <w:spacing w:after="240"/>
              <w:ind w:left="567" w:hanging="567"/>
              <w:rPr>
                <w:sz w:val="23"/>
                <w:szCs w:val="23"/>
              </w:rPr>
            </w:pPr>
            <w:r w:rsidRPr="004D0537">
              <w:rPr>
                <w:sz w:val="23"/>
                <w:szCs w:val="23"/>
              </w:rPr>
              <w:t>9 432 057,00 EUR</w:t>
            </w:r>
          </w:p>
        </w:tc>
        <w:tc>
          <w:tcPr>
            <w:tcW w:w="2126" w:type="dxa"/>
            <w:tcBorders>
              <w:top w:val="nil"/>
              <w:left w:val="nil"/>
              <w:bottom w:val="single" w:sz="4" w:space="0" w:color="auto"/>
              <w:right w:val="single" w:sz="4" w:space="0" w:color="auto"/>
            </w:tcBorders>
            <w:noWrap/>
            <w:vAlign w:val="bottom"/>
            <w:hideMark/>
          </w:tcPr>
          <w:p w14:paraId="293DC177" w14:textId="77777777" w:rsidR="004B06CC" w:rsidRPr="004D0537" w:rsidRDefault="004B06CC" w:rsidP="00753AD2">
            <w:pPr>
              <w:spacing w:after="240"/>
              <w:ind w:left="567" w:hanging="567"/>
              <w:rPr>
                <w:sz w:val="23"/>
                <w:szCs w:val="23"/>
              </w:rPr>
            </w:pPr>
            <w:r w:rsidRPr="004D0537">
              <w:rPr>
                <w:sz w:val="23"/>
                <w:szCs w:val="23"/>
              </w:rPr>
              <w:t>9 358 919,46 EUR</w:t>
            </w:r>
          </w:p>
        </w:tc>
        <w:tc>
          <w:tcPr>
            <w:tcW w:w="2054" w:type="dxa"/>
            <w:tcBorders>
              <w:top w:val="nil"/>
              <w:left w:val="nil"/>
              <w:bottom w:val="single" w:sz="4" w:space="0" w:color="auto"/>
              <w:right w:val="single" w:sz="4" w:space="0" w:color="auto"/>
            </w:tcBorders>
            <w:shd w:val="clear" w:color="auto" w:fill="FFFFFF"/>
            <w:noWrap/>
            <w:vAlign w:val="center"/>
            <w:hideMark/>
          </w:tcPr>
          <w:p w14:paraId="4133CAA5" w14:textId="77777777" w:rsidR="004B06CC" w:rsidRPr="004D0537" w:rsidRDefault="004B06CC" w:rsidP="00753AD2">
            <w:pPr>
              <w:spacing w:after="240"/>
              <w:ind w:left="567" w:hanging="567"/>
              <w:rPr>
                <w:sz w:val="23"/>
                <w:szCs w:val="23"/>
              </w:rPr>
            </w:pPr>
            <w:r w:rsidRPr="004D0537">
              <w:rPr>
                <w:sz w:val="23"/>
                <w:szCs w:val="23"/>
              </w:rPr>
              <w:t>0,78 %</w:t>
            </w:r>
          </w:p>
        </w:tc>
      </w:tr>
      <w:tr w:rsidR="004B06CC" w:rsidRPr="004D0537" w14:paraId="6118F38C"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15D3516" w14:textId="77777777" w:rsidR="004B06CC" w:rsidRPr="004D0537" w:rsidRDefault="004B06CC" w:rsidP="00753AD2">
            <w:pPr>
              <w:spacing w:after="240"/>
              <w:ind w:left="567" w:hanging="567"/>
              <w:rPr>
                <w:sz w:val="23"/>
                <w:szCs w:val="23"/>
              </w:rPr>
            </w:pPr>
            <w:proofErr w:type="spellStart"/>
            <w:r w:rsidRPr="004D0537">
              <w:rPr>
                <w:sz w:val="23"/>
                <w:szCs w:val="23"/>
              </w:rPr>
              <w:t>Eiopa</w:t>
            </w:r>
            <w:proofErr w:type="spellEnd"/>
            <w:r w:rsidRPr="004D0537">
              <w:rPr>
                <w:sz w:val="23"/>
                <w:szCs w:val="23"/>
              </w:rPr>
              <w:t xml:space="preserve"> </w:t>
            </w:r>
          </w:p>
        </w:tc>
        <w:tc>
          <w:tcPr>
            <w:tcW w:w="2126" w:type="dxa"/>
            <w:tcBorders>
              <w:top w:val="nil"/>
              <w:left w:val="nil"/>
              <w:bottom w:val="single" w:sz="4" w:space="0" w:color="auto"/>
              <w:right w:val="single" w:sz="4" w:space="0" w:color="auto"/>
            </w:tcBorders>
            <w:noWrap/>
            <w:vAlign w:val="bottom"/>
            <w:hideMark/>
          </w:tcPr>
          <w:p w14:paraId="5FCA543F" w14:textId="77777777" w:rsidR="004B06CC" w:rsidRPr="004D0537" w:rsidRDefault="004B06CC" w:rsidP="00753AD2">
            <w:pPr>
              <w:spacing w:after="240"/>
              <w:ind w:left="567" w:hanging="567"/>
              <w:rPr>
                <w:sz w:val="23"/>
                <w:szCs w:val="23"/>
              </w:rPr>
            </w:pPr>
            <w:r w:rsidRPr="004D0537">
              <w:rPr>
                <w:sz w:val="23"/>
                <w:szCs w:val="23"/>
              </w:rPr>
              <w:t>37 561 192,00 EUR</w:t>
            </w:r>
          </w:p>
        </w:tc>
        <w:tc>
          <w:tcPr>
            <w:tcW w:w="2126" w:type="dxa"/>
            <w:tcBorders>
              <w:top w:val="nil"/>
              <w:left w:val="nil"/>
              <w:bottom w:val="single" w:sz="4" w:space="0" w:color="auto"/>
              <w:right w:val="single" w:sz="4" w:space="0" w:color="auto"/>
            </w:tcBorders>
            <w:noWrap/>
            <w:vAlign w:val="bottom"/>
            <w:hideMark/>
          </w:tcPr>
          <w:p w14:paraId="700EEB1F" w14:textId="77777777" w:rsidR="004B06CC" w:rsidRPr="004D0537" w:rsidRDefault="004B06CC" w:rsidP="00753AD2">
            <w:pPr>
              <w:spacing w:after="240"/>
              <w:ind w:left="567" w:hanging="567"/>
              <w:rPr>
                <w:sz w:val="23"/>
                <w:szCs w:val="23"/>
              </w:rPr>
            </w:pPr>
            <w:r w:rsidRPr="004D0537">
              <w:rPr>
                <w:sz w:val="23"/>
                <w:szCs w:val="23"/>
              </w:rPr>
              <w:t>36 714 492,00 EUR</w:t>
            </w:r>
          </w:p>
        </w:tc>
        <w:tc>
          <w:tcPr>
            <w:tcW w:w="2054" w:type="dxa"/>
            <w:tcBorders>
              <w:top w:val="nil"/>
              <w:left w:val="nil"/>
              <w:bottom w:val="single" w:sz="4" w:space="0" w:color="auto"/>
              <w:right w:val="single" w:sz="4" w:space="0" w:color="auto"/>
            </w:tcBorders>
            <w:shd w:val="clear" w:color="auto" w:fill="FFFFFF"/>
            <w:noWrap/>
            <w:vAlign w:val="center"/>
            <w:hideMark/>
          </w:tcPr>
          <w:p w14:paraId="075EF63B" w14:textId="77777777" w:rsidR="004B06CC" w:rsidRPr="004D0537" w:rsidRDefault="004B06CC" w:rsidP="00753AD2">
            <w:pPr>
              <w:spacing w:after="240"/>
              <w:ind w:left="567" w:hanging="567"/>
              <w:rPr>
                <w:sz w:val="23"/>
                <w:szCs w:val="23"/>
              </w:rPr>
            </w:pPr>
            <w:r w:rsidRPr="004D0537">
              <w:rPr>
                <w:sz w:val="23"/>
                <w:szCs w:val="23"/>
              </w:rPr>
              <w:t>2,31 %</w:t>
            </w:r>
          </w:p>
        </w:tc>
      </w:tr>
      <w:tr w:rsidR="004B06CC" w:rsidRPr="004D0537" w14:paraId="2C938D2B"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154431F4" w14:textId="77777777" w:rsidR="004B06CC" w:rsidRPr="004D0537" w:rsidRDefault="004B06CC" w:rsidP="00753AD2">
            <w:pPr>
              <w:spacing w:after="240"/>
              <w:ind w:left="567" w:hanging="567"/>
              <w:rPr>
                <w:sz w:val="23"/>
                <w:szCs w:val="23"/>
              </w:rPr>
            </w:pPr>
            <w:r w:rsidRPr="004D0537">
              <w:rPr>
                <w:sz w:val="23"/>
                <w:szCs w:val="23"/>
              </w:rPr>
              <w:t>EIT</w:t>
            </w:r>
          </w:p>
        </w:tc>
        <w:tc>
          <w:tcPr>
            <w:tcW w:w="2126" w:type="dxa"/>
            <w:tcBorders>
              <w:top w:val="nil"/>
              <w:left w:val="nil"/>
              <w:bottom w:val="single" w:sz="4" w:space="0" w:color="auto"/>
              <w:right w:val="single" w:sz="4" w:space="0" w:color="auto"/>
            </w:tcBorders>
            <w:noWrap/>
            <w:vAlign w:val="bottom"/>
            <w:hideMark/>
          </w:tcPr>
          <w:p w14:paraId="743D2D49" w14:textId="77777777" w:rsidR="004B06CC" w:rsidRPr="004D0537" w:rsidRDefault="004B06CC" w:rsidP="00753AD2">
            <w:pPr>
              <w:spacing w:after="240"/>
              <w:ind w:left="567" w:hanging="567"/>
              <w:rPr>
                <w:sz w:val="23"/>
                <w:szCs w:val="23"/>
              </w:rPr>
            </w:pPr>
            <w:r w:rsidRPr="004D0537">
              <w:rPr>
                <w:sz w:val="23"/>
                <w:szCs w:val="23"/>
              </w:rPr>
              <w:t>463 576 047,00 EUR</w:t>
            </w:r>
          </w:p>
        </w:tc>
        <w:tc>
          <w:tcPr>
            <w:tcW w:w="2126" w:type="dxa"/>
            <w:tcBorders>
              <w:top w:val="nil"/>
              <w:left w:val="nil"/>
              <w:bottom w:val="single" w:sz="4" w:space="0" w:color="auto"/>
              <w:right w:val="single" w:sz="4" w:space="0" w:color="auto"/>
            </w:tcBorders>
            <w:noWrap/>
            <w:vAlign w:val="bottom"/>
            <w:hideMark/>
          </w:tcPr>
          <w:p w14:paraId="69FF4CF1" w14:textId="77777777" w:rsidR="004B06CC" w:rsidRPr="004D0537" w:rsidRDefault="004B06CC" w:rsidP="00753AD2">
            <w:pPr>
              <w:spacing w:after="240"/>
              <w:ind w:left="567" w:hanging="567"/>
              <w:rPr>
                <w:sz w:val="23"/>
                <w:szCs w:val="23"/>
              </w:rPr>
            </w:pPr>
            <w:r w:rsidRPr="004D0537">
              <w:rPr>
                <w:sz w:val="23"/>
                <w:szCs w:val="23"/>
              </w:rPr>
              <w:t>367 607 241,00 EUR</w:t>
            </w:r>
          </w:p>
        </w:tc>
        <w:tc>
          <w:tcPr>
            <w:tcW w:w="2054" w:type="dxa"/>
            <w:tcBorders>
              <w:top w:val="nil"/>
              <w:left w:val="nil"/>
              <w:bottom w:val="single" w:sz="4" w:space="0" w:color="auto"/>
              <w:right w:val="single" w:sz="4" w:space="0" w:color="auto"/>
            </w:tcBorders>
            <w:shd w:val="clear" w:color="auto" w:fill="FFFFFF"/>
            <w:noWrap/>
            <w:vAlign w:val="center"/>
            <w:hideMark/>
          </w:tcPr>
          <w:p w14:paraId="0237AA79" w14:textId="77777777" w:rsidR="004B06CC" w:rsidRPr="004D0537" w:rsidRDefault="004B06CC" w:rsidP="00753AD2">
            <w:pPr>
              <w:spacing w:after="240"/>
              <w:ind w:left="567" w:hanging="567"/>
              <w:rPr>
                <w:sz w:val="23"/>
                <w:szCs w:val="23"/>
              </w:rPr>
            </w:pPr>
            <w:r w:rsidRPr="004D0537">
              <w:rPr>
                <w:sz w:val="23"/>
                <w:szCs w:val="23"/>
              </w:rPr>
              <w:t>26,11 %</w:t>
            </w:r>
          </w:p>
        </w:tc>
      </w:tr>
      <w:tr w:rsidR="004B06CC" w:rsidRPr="004D0537" w14:paraId="5776CA93"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39B80B8" w14:textId="77777777" w:rsidR="004B06CC" w:rsidRPr="004D0537" w:rsidRDefault="004B06CC" w:rsidP="00753AD2">
            <w:pPr>
              <w:spacing w:after="240"/>
              <w:ind w:left="567" w:hanging="567"/>
              <w:rPr>
                <w:sz w:val="23"/>
                <w:szCs w:val="23"/>
              </w:rPr>
            </w:pPr>
            <w:r w:rsidRPr="004D0537">
              <w:rPr>
                <w:sz w:val="23"/>
                <w:szCs w:val="23"/>
              </w:rPr>
              <w:t>ELA</w:t>
            </w:r>
          </w:p>
        </w:tc>
        <w:tc>
          <w:tcPr>
            <w:tcW w:w="2126" w:type="dxa"/>
            <w:tcBorders>
              <w:top w:val="nil"/>
              <w:left w:val="nil"/>
              <w:bottom w:val="single" w:sz="4" w:space="0" w:color="auto"/>
              <w:right w:val="single" w:sz="4" w:space="0" w:color="auto"/>
            </w:tcBorders>
            <w:noWrap/>
            <w:vAlign w:val="bottom"/>
            <w:hideMark/>
          </w:tcPr>
          <w:p w14:paraId="6FA5D201" w14:textId="77777777" w:rsidR="004B06CC" w:rsidRPr="004D0537" w:rsidRDefault="004B06CC" w:rsidP="00753AD2">
            <w:pPr>
              <w:spacing w:after="240"/>
              <w:ind w:left="567" w:hanging="567"/>
              <w:rPr>
                <w:sz w:val="23"/>
                <w:szCs w:val="23"/>
              </w:rPr>
            </w:pPr>
            <w:r w:rsidRPr="004D0537">
              <w:rPr>
                <w:sz w:val="23"/>
                <w:szCs w:val="23"/>
              </w:rPr>
              <w:t>48 693 555,00 EUR</w:t>
            </w:r>
          </w:p>
        </w:tc>
        <w:tc>
          <w:tcPr>
            <w:tcW w:w="2126" w:type="dxa"/>
            <w:tcBorders>
              <w:top w:val="nil"/>
              <w:left w:val="nil"/>
              <w:bottom w:val="single" w:sz="4" w:space="0" w:color="auto"/>
              <w:right w:val="single" w:sz="4" w:space="0" w:color="auto"/>
            </w:tcBorders>
            <w:noWrap/>
            <w:vAlign w:val="bottom"/>
            <w:hideMark/>
          </w:tcPr>
          <w:p w14:paraId="47767549" w14:textId="77777777" w:rsidR="004B06CC" w:rsidRPr="004D0537" w:rsidRDefault="004B06CC" w:rsidP="00753AD2">
            <w:pPr>
              <w:spacing w:after="240"/>
              <w:ind w:left="567" w:hanging="567"/>
              <w:rPr>
                <w:sz w:val="23"/>
                <w:szCs w:val="23"/>
              </w:rPr>
            </w:pPr>
            <w:r w:rsidRPr="004D0537">
              <w:rPr>
                <w:sz w:val="23"/>
                <w:szCs w:val="23"/>
              </w:rPr>
              <w:t>39 973 330,00 EUR</w:t>
            </w:r>
          </w:p>
        </w:tc>
        <w:tc>
          <w:tcPr>
            <w:tcW w:w="2054" w:type="dxa"/>
            <w:tcBorders>
              <w:top w:val="nil"/>
              <w:left w:val="nil"/>
              <w:bottom w:val="single" w:sz="4" w:space="0" w:color="auto"/>
              <w:right w:val="single" w:sz="4" w:space="0" w:color="auto"/>
            </w:tcBorders>
            <w:shd w:val="clear" w:color="auto" w:fill="FFFFFF"/>
            <w:noWrap/>
            <w:vAlign w:val="center"/>
            <w:hideMark/>
          </w:tcPr>
          <w:p w14:paraId="267E545A" w14:textId="77777777" w:rsidR="004B06CC" w:rsidRPr="004D0537" w:rsidRDefault="004B06CC" w:rsidP="00753AD2">
            <w:pPr>
              <w:spacing w:after="240"/>
              <w:ind w:left="567" w:hanging="567"/>
              <w:rPr>
                <w:sz w:val="23"/>
                <w:szCs w:val="23"/>
              </w:rPr>
            </w:pPr>
            <w:r w:rsidRPr="004D0537">
              <w:rPr>
                <w:sz w:val="23"/>
                <w:szCs w:val="23"/>
              </w:rPr>
              <w:t>21,82 %</w:t>
            </w:r>
          </w:p>
        </w:tc>
      </w:tr>
      <w:tr w:rsidR="004B06CC" w:rsidRPr="004D0537" w14:paraId="375BAF10"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34646FE" w14:textId="77777777" w:rsidR="004B06CC" w:rsidRPr="004D0537" w:rsidRDefault="004B06CC" w:rsidP="00753AD2">
            <w:pPr>
              <w:spacing w:after="240"/>
              <w:ind w:left="567" w:hanging="567"/>
              <w:rPr>
                <w:sz w:val="23"/>
                <w:szCs w:val="23"/>
              </w:rPr>
            </w:pPr>
            <w:r w:rsidRPr="004D0537">
              <w:rPr>
                <w:sz w:val="23"/>
                <w:szCs w:val="23"/>
              </w:rPr>
              <w:t xml:space="preserve">EMA </w:t>
            </w:r>
          </w:p>
        </w:tc>
        <w:tc>
          <w:tcPr>
            <w:tcW w:w="2126" w:type="dxa"/>
            <w:tcBorders>
              <w:top w:val="nil"/>
              <w:left w:val="nil"/>
              <w:bottom w:val="single" w:sz="4" w:space="0" w:color="auto"/>
              <w:right w:val="single" w:sz="4" w:space="0" w:color="auto"/>
            </w:tcBorders>
            <w:noWrap/>
            <w:vAlign w:val="bottom"/>
            <w:hideMark/>
          </w:tcPr>
          <w:p w14:paraId="3A1E2CBB" w14:textId="77777777" w:rsidR="004B06CC" w:rsidRPr="004D0537" w:rsidRDefault="004B06CC" w:rsidP="00753AD2">
            <w:pPr>
              <w:spacing w:after="240"/>
              <w:ind w:left="567" w:hanging="567"/>
              <w:rPr>
                <w:sz w:val="23"/>
                <w:szCs w:val="23"/>
              </w:rPr>
            </w:pPr>
            <w:r w:rsidRPr="004D0537">
              <w:rPr>
                <w:sz w:val="23"/>
                <w:szCs w:val="23"/>
              </w:rPr>
              <w:t>491 862 000,00 EUR</w:t>
            </w:r>
          </w:p>
        </w:tc>
        <w:tc>
          <w:tcPr>
            <w:tcW w:w="2126" w:type="dxa"/>
            <w:tcBorders>
              <w:top w:val="nil"/>
              <w:left w:val="nil"/>
              <w:bottom w:val="single" w:sz="4" w:space="0" w:color="auto"/>
              <w:right w:val="single" w:sz="4" w:space="0" w:color="auto"/>
            </w:tcBorders>
            <w:noWrap/>
            <w:vAlign w:val="bottom"/>
            <w:hideMark/>
          </w:tcPr>
          <w:p w14:paraId="32A6CD17" w14:textId="77777777" w:rsidR="004B06CC" w:rsidRPr="004D0537" w:rsidRDefault="004B06CC" w:rsidP="00753AD2">
            <w:pPr>
              <w:spacing w:after="240"/>
              <w:ind w:left="567" w:hanging="567"/>
              <w:rPr>
                <w:sz w:val="23"/>
                <w:szCs w:val="23"/>
              </w:rPr>
            </w:pPr>
            <w:r w:rsidRPr="004D0537">
              <w:rPr>
                <w:sz w:val="23"/>
                <w:szCs w:val="23"/>
              </w:rPr>
              <w:t>448 603 000,00 EUR</w:t>
            </w:r>
          </w:p>
        </w:tc>
        <w:tc>
          <w:tcPr>
            <w:tcW w:w="2054" w:type="dxa"/>
            <w:tcBorders>
              <w:top w:val="nil"/>
              <w:left w:val="nil"/>
              <w:bottom w:val="single" w:sz="4" w:space="0" w:color="auto"/>
              <w:right w:val="single" w:sz="4" w:space="0" w:color="auto"/>
            </w:tcBorders>
            <w:shd w:val="clear" w:color="auto" w:fill="FFFFFF"/>
            <w:noWrap/>
            <w:vAlign w:val="center"/>
            <w:hideMark/>
          </w:tcPr>
          <w:p w14:paraId="4416BCF4" w14:textId="77777777" w:rsidR="004B06CC" w:rsidRPr="004D0537" w:rsidRDefault="004B06CC" w:rsidP="00753AD2">
            <w:pPr>
              <w:spacing w:after="240"/>
              <w:ind w:left="567" w:hanging="567"/>
              <w:rPr>
                <w:sz w:val="23"/>
                <w:szCs w:val="23"/>
              </w:rPr>
            </w:pPr>
            <w:r w:rsidRPr="004D0537">
              <w:rPr>
                <w:sz w:val="23"/>
                <w:szCs w:val="23"/>
              </w:rPr>
              <w:t>9,64 %</w:t>
            </w:r>
          </w:p>
        </w:tc>
      </w:tr>
      <w:tr w:rsidR="004B06CC" w:rsidRPr="004D0537" w14:paraId="3A545924"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357CB28" w14:textId="77777777" w:rsidR="004B06CC" w:rsidRPr="004D0537" w:rsidRDefault="004B06CC" w:rsidP="00753AD2">
            <w:pPr>
              <w:spacing w:after="240"/>
              <w:ind w:left="567" w:hanging="567"/>
              <w:rPr>
                <w:sz w:val="23"/>
                <w:szCs w:val="23"/>
              </w:rPr>
            </w:pPr>
            <w:proofErr w:type="spellStart"/>
            <w:r w:rsidRPr="004D0537">
              <w:rPr>
                <w:sz w:val="23"/>
                <w:szCs w:val="23"/>
              </w:rPr>
              <w:t>Emsa</w:t>
            </w:r>
            <w:proofErr w:type="spellEnd"/>
          </w:p>
        </w:tc>
        <w:tc>
          <w:tcPr>
            <w:tcW w:w="2126" w:type="dxa"/>
            <w:tcBorders>
              <w:top w:val="nil"/>
              <w:left w:val="nil"/>
              <w:bottom w:val="single" w:sz="4" w:space="0" w:color="auto"/>
              <w:right w:val="single" w:sz="4" w:space="0" w:color="auto"/>
            </w:tcBorders>
            <w:noWrap/>
            <w:vAlign w:val="bottom"/>
            <w:hideMark/>
          </w:tcPr>
          <w:p w14:paraId="6A19AF45" w14:textId="77777777" w:rsidR="004B06CC" w:rsidRPr="004D0537" w:rsidRDefault="004B06CC" w:rsidP="00753AD2">
            <w:pPr>
              <w:spacing w:after="240"/>
              <w:ind w:left="567" w:hanging="567"/>
              <w:rPr>
                <w:sz w:val="23"/>
                <w:szCs w:val="23"/>
              </w:rPr>
            </w:pPr>
            <w:r w:rsidRPr="004D0537">
              <w:rPr>
                <w:sz w:val="23"/>
                <w:szCs w:val="23"/>
              </w:rPr>
              <w:t>121 648 764,00 EUR</w:t>
            </w:r>
          </w:p>
        </w:tc>
        <w:tc>
          <w:tcPr>
            <w:tcW w:w="2126" w:type="dxa"/>
            <w:tcBorders>
              <w:top w:val="nil"/>
              <w:left w:val="nil"/>
              <w:bottom w:val="single" w:sz="4" w:space="0" w:color="auto"/>
              <w:right w:val="single" w:sz="4" w:space="0" w:color="auto"/>
            </w:tcBorders>
            <w:noWrap/>
            <w:vAlign w:val="bottom"/>
            <w:hideMark/>
          </w:tcPr>
          <w:p w14:paraId="7665DFED" w14:textId="77777777" w:rsidR="004B06CC" w:rsidRPr="004D0537" w:rsidRDefault="004B06CC" w:rsidP="00753AD2">
            <w:pPr>
              <w:spacing w:after="240"/>
              <w:ind w:left="567" w:hanging="567"/>
              <w:rPr>
                <w:sz w:val="23"/>
                <w:szCs w:val="23"/>
              </w:rPr>
            </w:pPr>
            <w:r w:rsidRPr="004D0537">
              <w:rPr>
                <w:sz w:val="23"/>
                <w:szCs w:val="23"/>
              </w:rPr>
              <w:t>111 954 231,00 EUR</w:t>
            </w:r>
          </w:p>
        </w:tc>
        <w:tc>
          <w:tcPr>
            <w:tcW w:w="2054" w:type="dxa"/>
            <w:tcBorders>
              <w:top w:val="nil"/>
              <w:left w:val="nil"/>
              <w:bottom w:val="single" w:sz="4" w:space="0" w:color="auto"/>
              <w:right w:val="single" w:sz="4" w:space="0" w:color="auto"/>
            </w:tcBorders>
            <w:shd w:val="clear" w:color="auto" w:fill="FFFFFF"/>
            <w:noWrap/>
            <w:vAlign w:val="center"/>
            <w:hideMark/>
          </w:tcPr>
          <w:p w14:paraId="3D4C7C96" w14:textId="77777777" w:rsidR="004B06CC" w:rsidRPr="004D0537" w:rsidRDefault="004B06CC" w:rsidP="00753AD2">
            <w:pPr>
              <w:spacing w:after="240"/>
              <w:ind w:left="567" w:hanging="567"/>
              <w:rPr>
                <w:sz w:val="23"/>
                <w:szCs w:val="23"/>
              </w:rPr>
            </w:pPr>
            <w:r w:rsidRPr="004D0537">
              <w:rPr>
                <w:sz w:val="23"/>
                <w:szCs w:val="23"/>
              </w:rPr>
              <w:t>8,66 %</w:t>
            </w:r>
          </w:p>
        </w:tc>
      </w:tr>
      <w:tr w:rsidR="004B06CC" w:rsidRPr="004D0537" w14:paraId="3CA478AE"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0EC7AF7" w14:textId="77777777" w:rsidR="004B06CC" w:rsidRPr="004D0537" w:rsidRDefault="004B06CC" w:rsidP="00753AD2">
            <w:pPr>
              <w:spacing w:after="240"/>
              <w:ind w:left="567" w:hanging="567"/>
              <w:rPr>
                <w:sz w:val="23"/>
                <w:szCs w:val="23"/>
              </w:rPr>
            </w:pPr>
            <w:proofErr w:type="spellStart"/>
            <w:r w:rsidRPr="004D0537">
              <w:rPr>
                <w:sz w:val="23"/>
                <w:szCs w:val="23"/>
              </w:rPr>
              <w:t>Enisa</w:t>
            </w:r>
            <w:proofErr w:type="spellEnd"/>
            <w:r w:rsidRPr="004D0537">
              <w:rPr>
                <w:sz w:val="23"/>
                <w:szCs w:val="23"/>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1B363B1C" w14:textId="77777777" w:rsidR="004B06CC" w:rsidRPr="004D0537" w:rsidRDefault="004B06CC" w:rsidP="00753AD2">
            <w:pPr>
              <w:spacing w:after="240"/>
              <w:ind w:left="567" w:hanging="567"/>
              <w:rPr>
                <w:sz w:val="23"/>
                <w:szCs w:val="23"/>
              </w:rPr>
            </w:pPr>
            <w:r w:rsidRPr="004D0537">
              <w:rPr>
                <w:sz w:val="23"/>
                <w:szCs w:val="23"/>
              </w:rPr>
              <w:t>42 219 801,00 EUR</w:t>
            </w:r>
          </w:p>
        </w:tc>
        <w:tc>
          <w:tcPr>
            <w:tcW w:w="2126" w:type="dxa"/>
            <w:tcBorders>
              <w:top w:val="nil"/>
              <w:left w:val="nil"/>
              <w:bottom w:val="single" w:sz="4" w:space="0" w:color="auto"/>
              <w:right w:val="single" w:sz="4" w:space="0" w:color="auto"/>
            </w:tcBorders>
            <w:noWrap/>
            <w:vAlign w:val="bottom"/>
            <w:hideMark/>
          </w:tcPr>
          <w:p w14:paraId="0A8671CC" w14:textId="77777777" w:rsidR="004B06CC" w:rsidRPr="004D0537" w:rsidRDefault="004B06CC" w:rsidP="00753AD2">
            <w:pPr>
              <w:spacing w:after="240"/>
              <w:ind w:left="567" w:hanging="567"/>
              <w:rPr>
                <w:sz w:val="23"/>
                <w:szCs w:val="23"/>
              </w:rPr>
            </w:pPr>
            <w:r w:rsidRPr="004D0537">
              <w:rPr>
                <w:sz w:val="23"/>
                <w:szCs w:val="23"/>
              </w:rPr>
              <w:t>25 183 495,00 EUR</w:t>
            </w:r>
          </w:p>
        </w:tc>
        <w:tc>
          <w:tcPr>
            <w:tcW w:w="2054" w:type="dxa"/>
            <w:tcBorders>
              <w:top w:val="nil"/>
              <w:left w:val="nil"/>
              <w:bottom w:val="single" w:sz="4" w:space="0" w:color="auto"/>
              <w:right w:val="single" w:sz="4" w:space="0" w:color="auto"/>
            </w:tcBorders>
            <w:shd w:val="clear" w:color="auto" w:fill="FFFFFF"/>
            <w:noWrap/>
            <w:vAlign w:val="center"/>
            <w:hideMark/>
          </w:tcPr>
          <w:p w14:paraId="62C863AB" w14:textId="77777777" w:rsidR="004B06CC" w:rsidRPr="004D0537" w:rsidRDefault="004B06CC" w:rsidP="00753AD2">
            <w:pPr>
              <w:spacing w:after="240"/>
              <w:ind w:left="567" w:hanging="567"/>
              <w:rPr>
                <w:sz w:val="23"/>
                <w:szCs w:val="23"/>
              </w:rPr>
            </w:pPr>
            <w:r w:rsidRPr="004D0537">
              <w:rPr>
                <w:sz w:val="23"/>
                <w:szCs w:val="23"/>
              </w:rPr>
              <w:t>67,65 %</w:t>
            </w:r>
          </w:p>
        </w:tc>
      </w:tr>
      <w:tr w:rsidR="004B06CC" w:rsidRPr="004D0537" w14:paraId="22E61C43"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CB671B9" w14:textId="77777777" w:rsidR="004B06CC" w:rsidRPr="004D0537" w:rsidRDefault="004B06CC" w:rsidP="00753AD2">
            <w:pPr>
              <w:spacing w:after="240"/>
              <w:ind w:left="567" w:hanging="567"/>
              <w:rPr>
                <w:sz w:val="23"/>
                <w:szCs w:val="23"/>
              </w:rPr>
            </w:pPr>
            <w:r w:rsidRPr="004D0537">
              <w:rPr>
                <w:sz w:val="23"/>
                <w:szCs w:val="23"/>
              </w:rPr>
              <w:t>ERA</w:t>
            </w:r>
          </w:p>
        </w:tc>
        <w:tc>
          <w:tcPr>
            <w:tcW w:w="2126" w:type="dxa"/>
            <w:tcBorders>
              <w:top w:val="nil"/>
              <w:left w:val="nil"/>
              <w:bottom w:val="single" w:sz="4" w:space="0" w:color="auto"/>
              <w:right w:val="single" w:sz="4" w:space="0" w:color="auto"/>
            </w:tcBorders>
            <w:noWrap/>
            <w:vAlign w:val="bottom"/>
            <w:hideMark/>
          </w:tcPr>
          <w:p w14:paraId="4E3576C3" w14:textId="77777777" w:rsidR="004B06CC" w:rsidRPr="004D0537" w:rsidRDefault="004B06CC" w:rsidP="00753AD2">
            <w:pPr>
              <w:spacing w:after="240"/>
              <w:ind w:left="567" w:hanging="567"/>
              <w:rPr>
                <w:sz w:val="23"/>
                <w:szCs w:val="23"/>
              </w:rPr>
            </w:pPr>
            <w:r w:rsidRPr="004D0537">
              <w:rPr>
                <w:sz w:val="23"/>
                <w:szCs w:val="23"/>
              </w:rPr>
              <w:t>41 936 376,00 EUR</w:t>
            </w:r>
          </w:p>
        </w:tc>
        <w:tc>
          <w:tcPr>
            <w:tcW w:w="2126" w:type="dxa"/>
            <w:tcBorders>
              <w:top w:val="nil"/>
              <w:left w:val="nil"/>
              <w:bottom w:val="single" w:sz="4" w:space="0" w:color="auto"/>
              <w:right w:val="single" w:sz="4" w:space="0" w:color="auto"/>
            </w:tcBorders>
            <w:noWrap/>
            <w:vAlign w:val="bottom"/>
            <w:hideMark/>
          </w:tcPr>
          <w:p w14:paraId="7419E549" w14:textId="77777777" w:rsidR="004B06CC" w:rsidRPr="004D0537" w:rsidRDefault="004B06CC" w:rsidP="00753AD2">
            <w:pPr>
              <w:spacing w:after="240"/>
              <w:ind w:left="567" w:hanging="567"/>
              <w:rPr>
                <w:sz w:val="23"/>
                <w:szCs w:val="23"/>
              </w:rPr>
            </w:pPr>
            <w:r w:rsidRPr="004D0537">
              <w:rPr>
                <w:sz w:val="23"/>
                <w:szCs w:val="23"/>
              </w:rPr>
              <w:t>38 532 447,00 EUR</w:t>
            </w:r>
          </w:p>
        </w:tc>
        <w:tc>
          <w:tcPr>
            <w:tcW w:w="2054" w:type="dxa"/>
            <w:tcBorders>
              <w:top w:val="nil"/>
              <w:left w:val="nil"/>
              <w:bottom w:val="single" w:sz="4" w:space="0" w:color="auto"/>
              <w:right w:val="single" w:sz="4" w:space="0" w:color="auto"/>
            </w:tcBorders>
            <w:shd w:val="clear" w:color="auto" w:fill="FFFFFF"/>
            <w:noWrap/>
            <w:vAlign w:val="center"/>
            <w:hideMark/>
          </w:tcPr>
          <w:p w14:paraId="207E288B" w14:textId="77777777" w:rsidR="004B06CC" w:rsidRPr="004D0537" w:rsidRDefault="004B06CC" w:rsidP="00753AD2">
            <w:pPr>
              <w:spacing w:after="240"/>
              <w:ind w:left="567" w:hanging="567"/>
              <w:rPr>
                <w:sz w:val="23"/>
                <w:szCs w:val="23"/>
              </w:rPr>
            </w:pPr>
            <w:r w:rsidRPr="004D0537">
              <w:rPr>
                <w:sz w:val="23"/>
                <w:szCs w:val="23"/>
              </w:rPr>
              <w:t>8,83 %</w:t>
            </w:r>
          </w:p>
        </w:tc>
      </w:tr>
      <w:tr w:rsidR="004B06CC" w:rsidRPr="004D0537" w14:paraId="041AF814"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0D6FFEB" w14:textId="77777777" w:rsidR="004B06CC" w:rsidRPr="004D0537" w:rsidRDefault="004B06CC" w:rsidP="00753AD2">
            <w:pPr>
              <w:spacing w:after="240"/>
              <w:ind w:left="567" w:hanging="567"/>
              <w:rPr>
                <w:sz w:val="23"/>
                <w:szCs w:val="23"/>
              </w:rPr>
            </w:pPr>
            <w:r w:rsidRPr="004D0537">
              <w:rPr>
                <w:sz w:val="23"/>
                <w:szCs w:val="23"/>
              </w:rPr>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0324C273" w14:textId="77777777" w:rsidR="004B06CC" w:rsidRPr="004D0537" w:rsidRDefault="004B06CC" w:rsidP="00753AD2">
            <w:pPr>
              <w:spacing w:after="240"/>
              <w:ind w:left="567" w:hanging="567"/>
              <w:rPr>
                <w:sz w:val="23"/>
                <w:szCs w:val="23"/>
              </w:rPr>
            </w:pPr>
            <w:r w:rsidRPr="004D0537">
              <w:rPr>
                <w:sz w:val="23"/>
                <w:szCs w:val="23"/>
              </w:rPr>
              <w:t>270 000,00 EUR</w:t>
            </w:r>
          </w:p>
        </w:tc>
        <w:tc>
          <w:tcPr>
            <w:tcW w:w="2126" w:type="dxa"/>
            <w:tcBorders>
              <w:top w:val="nil"/>
              <w:left w:val="nil"/>
              <w:bottom w:val="single" w:sz="4" w:space="0" w:color="auto"/>
              <w:right w:val="single" w:sz="4" w:space="0" w:color="auto"/>
            </w:tcBorders>
            <w:noWrap/>
            <w:vAlign w:val="bottom"/>
            <w:hideMark/>
          </w:tcPr>
          <w:p w14:paraId="344474CB" w14:textId="77777777" w:rsidR="004B06CC" w:rsidRPr="004D0537" w:rsidRDefault="004B06CC" w:rsidP="00753AD2">
            <w:pPr>
              <w:spacing w:after="240"/>
              <w:ind w:left="567" w:hanging="567"/>
              <w:rPr>
                <w:sz w:val="23"/>
                <w:szCs w:val="23"/>
              </w:rPr>
            </w:pPr>
            <w:r w:rsidRPr="004D0537">
              <w:rPr>
                <w:sz w:val="23"/>
                <w:szCs w:val="23"/>
              </w:rPr>
              <w:t>258 160,00 EUR</w:t>
            </w:r>
          </w:p>
        </w:tc>
        <w:tc>
          <w:tcPr>
            <w:tcW w:w="2054" w:type="dxa"/>
            <w:tcBorders>
              <w:top w:val="nil"/>
              <w:left w:val="nil"/>
              <w:bottom w:val="single" w:sz="4" w:space="0" w:color="auto"/>
              <w:right w:val="single" w:sz="4" w:space="0" w:color="auto"/>
            </w:tcBorders>
            <w:shd w:val="clear" w:color="auto" w:fill="FFFFFF"/>
            <w:noWrap/>
            <w:vAlign w:val="center"/>
            <w:hideMark/>
          </w:tcPr>
          <w:p w14:paraId="4141605F" w14:textId="77777777" w:rsidR="004B06CC" w:rsidRPr="004D0537" w:rsidRDefault="004B06CC" w:rsidP="00753AD2">
            <w:pPr>
              <w:spacing w:after="240"/>
              <w:ind w:left="567" w:hanging="567"/>
              <w:rPr>
                <w:sz w:val="23"/>
                <w:szCs w:val="23"/>
              </w:rPr>
            </w:pPr>
            <w:r w:rsidRPr="004D0537">
              <w:rPr>
                <w:sz w:val="23"/>
                <w:szCs w:val="23"/>
              </w:rPr>
              <w:t>4,59 %</w:t>
            </w:r>
          </w:p>
        </w:tc>
      </w:tr>
      <w:tr w:rsidR="004B06CC" w:rsidRPr="004D0537" w14:paraId="439B010B"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19ABC965" w14:textId="77777777" w:rsidR="004B06CC" w:rsidRPr="004D0537" w:rsidRDefault="004B06CC" w:rsidP="00753AD2">
            <w:pPr>
              <w:spacing w:after="240"/>
              <w:ind w:left="567" w:hanging="567"/>
              <w:rPr>
                <w:sz w:val="23"/>
                <w:szCs w:val="23"/>
              </w:rPr>
            </w:pPr>
            <w:proofErr w:type="spellStart"/>
            <w:r w:rsidRPr="004D0537">
              <w:rPr>
                <w:sz w:val="23"/>
                <w:szCs w:val="23"/>
              </w:rPr>
              <w:t>Esma</w:t>
            </w:r>
            <w:proofErr w:type="spellEnd"/>
          </w:p>
        </w:tc>
        <w:tc>
          <w:tcPr>
            <w:tcW w:w="2126" w:type="dxa"/>
            <w:tcBorders>
              <w:top w:val="nil"/>
              <w:left w:val="nil"/>
              <w:bottom w:val="single" w:sz="4" w:space="0" w:color="auto"/>
              <w:right w:val="single" w:sz="4" w:space="0" w:color="auto"/>
            </w:tcBorders>
            <w:noWrap/>
            <w:vAlign w:val="bottom"/>
            <w:hideMark/>
          </w:tcPr>
          <w:p w14:paraId="6E59EF05" w14:textId="77777777" w:rsidR="004B06CC" w:rsidRPr="004D0537" w:rsidRDefault="004B06CC" w:rsidP="00753AD2">
            <w:pPr>
              <w:spacing w:after="240"/>
              <w:ind w:left="567" w:hanging="567"/>
              <w:rPr>
                <w:sz w:val="23"/>
                <w:szCs w:val="23"/>
              </w:rPr>
            </w:pPr>
            <w:r w:rsidRPr="004D0537">
              <w:rPr>
                <w:sz w:val="23"/>
                <w:szCs w:val="23"/>
              </w:rPr>
              <w:t>76 055 579,00 EUR</w:t>
            </w:r>
          </w:p>
        </w:tc>
        <w:tc>
          <w:tcPr>
            <w:tcW w:w="2126" w:type="dxa"/>
            <w:tcBorders>
              <w:top w:val="nil"/>
              <w:left w:val="nil"/>
              <w:bottom w:val="single" w:sz="4" w:space="0" w:color="auto"/>
              <w:right w:val="single" w:sz="4" w:space="0" w:color="auto"/>
            </w:tcBorders>
            <w:noWrap/>
            <w:vAlign w:val="bottom"/>
            <w:hideMark/>
          </w:tcPr>
          <w:p w14:paraId="0B339006" w14:textId="77777777" w:rsidR="004B06CC" w:rsidRPr="004D0537" w:rsidRDefault="004B06CC" w:rsidP="00753AD2">
            <w:pPr>
              <w:spacing w:after="240"/>
              <w:ind w:left="567" w:hanging="567"/>
              <w:rPr>
                <w:sz w:val="23"/>
                <w:szCs w:val="23"/>
              </w:rPr>
            </w:pPr>
            <w:r w:rsidRPr="004D0537">
              <w:rPr>
                <w:sz w:val="23"/>
                <w:szCs w:val="23"/>
              </w:rPr>
              <w:t>72 509 657,00 EUR</w:t>
            </w:r>
          </w:p>
        </w:tc>
        <w:tc>
          <w:tcPr>
            <w:tcW w:w="2054" w:type="dxa"/>
            <w:tcBorders>
              <w:top w:val="nil"/>
              <w:left w:val="nil"/>
              <w:bottom w:val="single" w:sz="4" w:space="0" w:color="auto"/>
              <w:right w:val="single" w:sz="4" w:space="0" w:color="auto"/>
            </w:tcBorders>
            <w:shd w:val="clear" w:color="auto" w:fill="FFFFFF"/>
            <w:noWrap/>
            <w:vAlign w:val="center"/>
            <w:hideMark/>
          </w:tcPr>
          <w:p w14:paraId="5428FDBC" w14:textId="77777777" w:rsidR="004B06CC" w:rsidRPr="004D0537" w:rsidRDefault="004B06CC" w:rsidP="00753AD2">
            <w:pPr>
              <w:spacing w:after="240"/>
              <w:ind w:left="567" w:hanging="567"/>
              <w:rPr>
                <w:sz w:val="23"/>
                <w:szCs w:val="23"/>
              </w:rPr>
            </w:pPr>
            <w:r w:rsidRPr="004D0537">
              <w:rPr>
                <w:sz w:val="23"/>
                <w:szCs w:val="23"/>
              </w:rPr>
              <w:t>4,89 %</w:t>
            </w:r>
          </w:p>
        </w:tc>
      </w:tr>
      <w:tr w:rsidR="004B06CC" w:rsidRPr="004D0537" w14:paraId="3FAB830C"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2C83E47B" w14:textId="77777777" w:rsidR="004B06CC" w:rsidRPr="004D0537" w:rsidRDefault="004B06CC" w:rsidP="00753AD2">
            <w:pPr>
              <w:spacing w:after="240"/>
              <w:ind w:left="567" w:hanging="567"/>
              <w:rPr>
                <w:sz w:val="23"/>
                <w:szCs w:val="23"/>
              </w:rPr>
            </w:pPr>
            <w:r w:rsidRPr="004D0537">
              <w:rPr>
                <w:sz w:val="23"/>
                <w:szCs w:val="23"/>
              </w:rPr>
              <w:t xml:space="preserve">ETF </w:t>
            </w:r>
          </w:p>
        </w:tc>
        <w:tc>
          <w:tcPr>
            <w:tcW w:w="2126" w:type="dxa"/>
            <w:tcBorders>
              <w:top w:val="nil"/>
              <w:left w:val="nil"/>
              <w:bottom w:val="single" w:sz="4" w:space="0" w:color="auto"/>
              <w:right w:val="single" w:sz="4" w:space="0" w:color="auto"/>
            </w:tcBorders>
            <w:noWrap/>
            <w:vAlign w:val="bottom"/>
            <w:hideMark/>
          </w:tcPr>
          <w:p w14:paraId="5AE10239" w14:textId="77777777" w:rsidR="004B06CC" w:rsidRPr="004D0537" w:rsidRDefault="004B06CC" w:rsidP="00753AD2">
            <w:pPr>
              <w:spacing w:after="240"/>
              <w:ind w:left="567" w:hanging="567"/>
              <w:rPr>
                <w:sz w:val="23"/>
                <w:szCs w:val="23"/>
              </w:rPr>
            </w:pPr>
            <w:r w:rsidRPr="004D0537">
              <w:rPr>
                <w:sz w:val="23"/>
                <w:szCs w:val="23"/>
              </w:rPr>
              <w:t>28 330 702,00 EUR</w:t>
            </w:r>
          </w:p>
        </w:tc>
        <w:tc>
          <w:tcPr>
            <w:tcW w:w="2126" w:type="dxa"/>
            <w:tcBorders>
              <w:top w:val="nil"/>
              <w:left w:val="nil"/>
              <w:bottom w:val="single" w:sz="4" w:space="0" w:color="auto"/>
              <w:right w:val="single" w:sz="4" w:space="0" w:color="auto"/>
            </w:tcBorders>
            <w:noWrap/>
            <w:vAlign w:val="bottom"/>
            <w:hideMark/>
          </w:tcPr>
          <w:p w14:paraId="051F1FC0" w14:textId="77777777" w:rsidR="004B06CC" w:rsidRPr="004D0537" w:rsidRDefault="004B06CC" w:rsidP="00753AD2">
            <w:pPr>
              <w:spacing w:after="240"/>
              <w:ind w:left="567" w:hanging="567"/>
              <w:rPr>
                <w:sz w:val="23"/>
                <w:szCs w:val="23"/>
              </w:rPr>
            </w:pPr>
            <w:r w:rsidRPr="004D0537">
              <w:rPr>
                <w:sz w:val="23"/>
                <w:szCs w:val="23"/>
              </w:rPr>
              <w:t>28 542 956,00 EUR</w:t>
            </w:r>
          </w:p>
        </w:tc>
        <w:tc>
          <w:tcPr>
            <w:tcW w:w="2054" w:type="dxa"/>
            <w:tcBorders>
              <w:top w:val="nil"/>
              <w:left w:val="nil"/>
              <w:bottom w:val="single" w:sz="4" w:space="0" w:color="auto"/>
              <w:right w:val="single" w:sz="4" w:space="0" w:color="auto"/>
            </w:tcBorders>
            <w:shd w:val="clear" w:color="auto" w:fill="FFFFFF"/>
            <w:noWrap/>
            <w:vAlign w:val="center"/>
            <w:hideMark/>
          </w:tcPr>
          <w:p w14:paraId="1611B077" w14:textId="77777777" w:rsidR="004B06CC" w:rsidRPr="004D0537" w:rsidRDefault="004B06CC" w:rsidP="00753AD2">
            <w:pPr>
              <w:spacing w:after="240"/>
              <w:ind w:left="567" w:hanging="567"/>
              <w:rPr>
                <w:sz w:val="23"/>
                <w:szCs w:val="23"/>
              </w:rPr>
            </w:pPr>
            <w:r w:rsidRPr="004D0537">
              <w:rPr>
                <w:sz w:val="23"/>
                <w:szCs w:val="23"/>
              </w:rPr>
              <w:t>-0,74 %</w:t>
            </w:r>
          </w:p>
        </w:tc>
      </w:tr>
      <w:tr w:rsidR="004B06CC" w:rsidRPr="004D0537" w14:paraId="42EB7167"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1CF3794" w14:textId="77777777" w:rsidR="004B06CC" w:rsidRPr="004D0537" w:rsidRDefault="004B06CC" w:rsidP="00753AD2">
            <w:pPr>
              <w:spacing w:after="240"/>
              <w:ind w:left="567" w:hanging="567"/>
              <w:rPr>
                <w:sz w:val="23"/>
                <w:szCs w:val="23"/>
              </w:rPr>
            </w:pPr>
            <w:r w:rsidRPr="004D0537">
              <w:rPr>
                <w:sz w:val="23"/>
                <w:szCs w:val="23"/>
              </w:rPr>
              <w:t>EUAA</w:t>
            </w:r>
          </w:p>
        </w:tc>
        <w:tc>
          <w:tcPr>
            <w:tcW w:w="2126" w:type="dxa"/>
            <w:tcBorders>
              <w:top w:val="nil"/>
              <w:left w:val="nil"/>
              <w:bottom w:val="single" w:sz="4" w:space="0" w:color="auto"/>
              <w:right w:val="single" w:sz="4" w:space="0" w:color="auto"/>
            </w:tcBorders>
            <w:noWrap/>
            <w:vAlign w:val="bottom"/>
            <w:hideMark/>
          </w:tcPr>
          <w:p w14:paraId="759408E5" w14:textId="77777777" w:rsidR="004B06CC" w:rsidRPr="004D0537" w:rsidRDefault="004B06CC" w:rsidP="00753AD2">
            <w:pPr>
              <w:spacing w:after="240"/>
              <w:ind w:left="567" w:hanging="567"/>
              <w:rPr>
                <w:sz w:val="23"/>
                <w:szCs w:val="23"/>
              </w:rPr>
            </w:pPr>
            <w:r w:rsidRPr="004D0537">
              <w:rPr>
                <w:sz w:val="23"/>
                <w:szCs w:val="23"/>
              </w:rPr>
              <w:t>181 443 839,00 EUR</w:t>
            </w:r>
          </w:p>
        </w:tc>
        <w:tc>
          <w:tcPr>
            <w:tcW w:w="2126" w:type="dxa"/>
            <w:tcBorders>
              <w:top w:val="nil"/>
              <w:left w:val="nil"/>
              <w:bottom w:val="single" w:sz="4" w:space="0" w:color="auto"/>
              <w:right w:val="single" w:sz="4" w:space="0" w:color="auto"/>
            </w:tcBorders>
            <w:noWrap/>
            <w:vAlign w:val="bottom"/>
            <w:hideMark/>
          </w:tcPr>
          <w:p w14:paraId="4B263B1E" w14:textId="77777777" w:rsidR="004B06CC" w:rsidRPr="004D0537" w:rsidRDefault="004B06CC" w:rsidP="00753AD2">
            <w:pPr>
              <w:spacing w:after="240"/>
              <w:ind w:left="567" w:hanging="567"/>
              <w:rPr>
                <w:sz w:val="23"/>
                <w:szCs w:val="23"/>
              </w:rPr>
            </w:pPr>
            <w:r w:rsidRPr="004D0537">
              <w:rPr>
                <w:sz w:val="23"/>
                <w:szCs w:val="23"/>
              </w:rPr>
              <w:t>170 135 127,00 EUR</w:t>
            </w:r>
          </w:p>
        </w:tc>
        <w:tc>
          <w:tcPr>
            <w:tcW w:w="2054" w:type="dxa"/>
            <w:tcBorders>
              <w:top w:val="nil"/>
              <w:left w:val="nil"/>
              <w:bottom w:val="single" w:sz="4" w:space="0" w:color="auto"/>
              <w:right w:val="single" w:sz="4" w:space="0" w:color="auto"/>
            </w:tcBorders>
            <w:shd w:val="clear" w:color="auto" w:fill="FFFFFF"/>
            <w:noWrap/>
            <w:vAlign w:val="center"/>
            <w:hideMark/>
          </w:tcPr>
          <w:p w14:paraId="14B6C68B" w14:textId="77777777" w:rsidR="004B06CC" w:rsidRPr="004D0537" w:rsidRDefault="004B06CC" w:rsidP="00753AD2">
            <w:pPr>
              <w:spacing w:after="240"/>
              <w:ind w:left="567" w:hanging="567"/>
              <w:rPr>
                <w:sz w:val="23"/>
                <w:szCs w:val="23"/>
              </w:rPr>
            </w:pPr>
            <w:r w:rsidRPr="004D0537">
              <w:rPr>
                <w:sz w:val="23"/>
                <w:szCs w:val="23"/>
              </w:rPr>
              <w:t>6,65 %</w:t>
            </w:r>
          </w:p>
        </w:tc>
      </w:tr>
      <w:tr w:rsidR="004B06CC" w:rsidRPr="004D0537" w14:paraId="63DB173B"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D6A4B04" w14:textId="77777777" w:rsidR="004B06CC" w:rsidRPr="004D0537" w:rsidRDefault="004B06CC" w:rsidP="00753AD2">
            <w:pPr>
              <w:spacing w:after="240"/>
              <w:ind w:left="567" w:hanging="567"/>
              <w:rPr>
                <w:sz w:val="23"/>
                <w:szCs w:val="23"/>
              </w:rPr>
            </w:pPr>
            <w:r w:rsidRPr="004D0537">
              <w:rPr>
                <w:sz w:val="23"/>
                <w:szCs w:val="23"/>
              </w:rPr>
              <w:t>EUDA (EMCDDA)</w:t>
            </w:r>
          </w:p>
        </w:tc>
        <w:tc>
          <w:tcPr>
            <w:tcW w:w="2126" w:type="dxa"/>
            <w:tcBorders>
              <w:top w:val="nil"/>
              <w:left w:val="nil"/>
              <w:bottom w:val="single" w:sz="4" w:space="0" w:color="auto"/>
              <w:right w:val="single" w:sz="4" w:space="0" w:color="auto"/>
            </w:tcBorders>
            <w:noWrap/>
            <w:vAlign w:val="bottom"/>
            <w:hideMark/>
          </w:tcPr>
          <w:p w14:paraId="51CCC70C" w14:textId="77777777" w:rsidR="004B06CC" w:rsidRPr="004D0537" w:rsidRDefault="004B06CC" w:rsidP="00753AD2">
            <w:pPr>
              <w:spacing w:after="240"/>
              <w:ind w:left="567" w:hanging="567"/>
              <w:rPr>
                <w:sz w:val="23"/>
                <w:szCs w:val="23"/>
              </w:rPr>
            </w:pPr>
            <w:r w:rsidRPr="004D0537">
              <w:rPr>
                <w:sz w:val="23"/>
                <w:szCs w:val="23"/>
              </w:rPr>
              <w:t>32 723 728,00 EUR</w:t>
            </w:r>
          </w:p>
        </w:tc>
        <w:tc>
          <w:tcPr>
            <w:tcW w:w="2126" w:type="dxa"/>
            <w:tcBorders>
              <w:top w:val="nil"/>
              <w:left w:val="nil"/>
              <w:bottom w:val="single" w:sz="4" w:space="0" w:color="auto"/>
              <w:right w:val="single" w:sz="4" w:space="0" w:color="auto"/>
            </w:tcBorders>
            <w:noWrap/>
            <w:vAlign w:val="bottom"/>
            <w:hideMark/>
          </w:tcPr>
          <w:p w14:paraId="37FCF518" w14:textId="77777777" w:rsidR="004B06CC" w:rsidRPr="004D0537" w:rsidRDefault="004B06CC" w:rsidP="00753AD2">
            <w:pPr>
              <w:spacing w:after="240"/>
              <w:ind w:left="567" w:hanging="567"/>
              <w:rPr>
                <w:sz w:val="23"/>
                <w:szCs w:val="23"/>
              </w:rPr>
            </w:pPr>
            <w:r w:rsidRPr="004D0537">
              <w:rPr>
                <w:sz w:val="23"/>
                <w:szCs w:val="23"/>
              </w:rPr>
              <w:t>22 082 074,00 EUR</w:t>
            </w:r>
          </w:p>
        </w:tc>
        <w:tc>
          <w:tcPr>
            <w:tcW w:w="2054" w:type="dxa"/>
            <w:tcBorders>
              <w:top w:val="nil"/>
              <w:left w:val="nil"/>
              <w:bottom w:val="single" w:sz="4" w:space="0" w:color="auto"/>
              <w:right w:val="single" w:sz="4" w:space="0" w:color="auto"/>
            </w:tcBorders>
            <w:shd w:val="clear" w:color="auto" w:fill="FFFFFF"/>
            <w:noWrap/>
            <w:vAlign w:val="center"/>
            <w:hideMark/>
          </w:tcPr>
          <w:p w14:paraId="7E537C79" w14:textId="77777777" w:rsidR="004B06CC" w:rsidRPr="004D0537" w:rsidRDefault="004B06CC" w:rsidP="00753AD2">
            <w:pPr>
              <w:spacing w:after="240"/>
              <w:ind w:left="567" w:hanging="567"/>
              <w:rPr>
                <w:sz w:val="23"/>
                <w:szCs w:val="23"/>
              </w:rPr>
            </w:pPr>
            <w:r w:rsidRPr="004D0537">
              <w:rPr>
                <w:sz w:val="23"/>
                <w:szCs w:val="23"/>
              </w:rPr>
              <w:t>48,19 %</w:t>
            </w:r>
          </w:p>
        </w:tc>
      </w:tr>
      <w:tr w:rsidR="004B06CC" w:rsidRPr="004D0537" w14:paraId="0A718AE9"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7171437" w14:textId="77777777" w:rsidR="004B06CC" w:rsidRPr="004D0537" w:rsidRDefault="004B06CC" w:rsidP="00753AD2">
            <w:pPr>
              <w:spacing w:after="240"/>
              <w:ind w:left="567" w:hanging="567"/>
              <w:rPr>
                <w:sz w:val="23"/>
                <w:szCs w:val="23"/>
              </w:rPr>
            </w:pPr>
            <w:r w:rsidRPr="004D0537">
              <w:rPr>
                <w:sz w:val="23"/>
                <w:szCs w:val="23"/>
              </w:rPr>
              <w:t xml:space="preserve">eu-Lisa </w:t>
            </w:r>
          </w:p>
        </w:tc>
        <w:tc>
          <w:tcPr>
            <w:tcW w:w="2126" w:type="dxa"/>
            <w:tcBorders>
              <w:top w:val="nil"/>
              <w:left w:val="nil"/>
              <w:bottom w:val="single" w:sz="4" w:space="0" w:color="auto"/>
              <w:right w:val="single" w:sz="4" w:space="0" w:color="auto"/>
            </w:tcBorders>
            <w:noWrap/>
            <w:vAlign w:val="bottom"/>
            <w:hideMark/>
          </w:tcPr>
          <w:p w14:paraId="7B6F5D64" w14:textId="77777777" w:rsidR="004B06CC" w:rsidRPr="004D0537" w:rsidRDefault="004B06CC" w:rsidP="00753AD2">
            <w:pPr>
              <w:spacing w:after="240"/>
              <w:ind w:left="567" w:hanging="567"/>
              <w:rPr>
                <w:sz w:val="23"/>
                <w:szCs w:val="23"/>
              </w:rPr>
            </w:pPr>
            <w:r w:rsidRPr="004D0537">
              <w:rPr>
                <w:sz w:val="23"/>
                <w:szCs w:val="23"/>
              </w:rPr>
              <w:t>273 679 741,00 EUR</w:t>
            </w:r>
          </w:p>
        </w:tc>
        <w:tc>
          <w:tcPr>
            <w:tcW w:w="2126" w:type="dxa"/>
            <w:tcBorders>
              <w:top w:val="nil"/>
              <w:left w:val="nil"/>
              <w:bottom w:val="single" w:sz="4" w:space="0" w:color="auto"/>
              <w:right w:val="single" w:sz="4" w:space="0" w:color="auto"/>
            </w:tcBorders>
            <w:noWrap/>
            <w:vAlign w:val="bottom"/>
            <w:hideMark/>
          </w:tcPr>
          <w:p w14:paraId="7A5EB63E" w14:textId="77777777" w:rsidR="004B06CC" w:rsidRPr="004D0537" w:rsidRDefault="004B06CC" w:rsidP="00753AD2">
            <w:pPr>
              <w:spacing w:after="240"/>
              <w:ind w:left="567" w:hanging="567"/>
              <w:rPr>
                <w:sz w:val="23"/>
                <w:szCs w:val="23"/>
              </w:rPr>
            </w:pPr>
            <w:r w:rsidRPr="004D0537">
              <w:rPr>
                <w:sz w:val="23"/>
                <w:szCs w:val="23"/>
              </w:rPr>
              <w:t>300 524 142,00 EUR</w:t>
            </w:r>
          </w:p>
        </w:tc>
        <w:tc>
          <w:tcPr>
            <w:tcW w:w="2054" w:type="dxa"/>
            <w:tcBorders>
              <w:top w:val="nil"/>
              <w:left w:val="nil"/>
              <w:bottom w:val="single" w:sz="4" w:space="0" w:color="auto"/>
              <w:right w:val="single" w:sz="4" w:space="0" w:color="auto"/>
            </w:tcBorders>
            <w:shd w:val="clear" w:color="auto" w:fill="FFFFFF"/>
            <w:noWrap/>
            <w:vAlign w:val="center"/>
            <w:hideMark/>
          </w:tcPr>
          <w:p w14:paraId="1E825E8A" w14:textId="77777777" w:rsidR="004B06CC" w:rsidRPr="004D0537" w:rsidRDefault="004B06CC" w:rsidP="00753AD2">
            <w:pPr>
              <w:spacing w:after="240"/>
              <w:ind w:left="567" w:hanging="567"/>
              <w:rPr>
                <w:sz w:val="23"/>
                <w:szCs w:val="23"/>
              </w:rPr>
            </w:pPr>
            <w:r w:rsidRPr="004D0537">
              <w:rPr>
                <w:sz w:val="23"/>
                <w:szCs w:val="23"/>
              </w:rPr>
              <w:t>-8,93 %</w:t>
            </w:r>
          </w:p>
        </w:tc>
      </w:tr>
      <w:tr w:rsidR="004B06CC" w:rsidRPr="004D0537" w14:paraId="21A89050"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40EAB7A7" w14:textId="77777777" w:rsidR="004B06CC" w:rsidRPr="004D0537" w:rsidRDefault="004B06CC" w:rsidP="00753AD2">
            <w:pPr>
              <w:spacing w:after="240"/>
              <w:ind w:left="567" w:hanging="567"/>
              <w:rPr>
                <w:sz w:val="23"/>
                <w:szCs w:val="23"/>
              </w:rPr>
            </w:pPr>
            <w:r w:rsidRPr="004D0537">
              <w:rPr>
                <w:sz w:val="23"/>
                <w:szCs w:val="23"/>
              </w:rPr>
              <w:t>EU-</w:t>
            </w:r>
            <w:proofErr w:type="spellStart"/>
            <w:r w:rsidRPr="004D0537">
              <w:rPr>
                <w:sz w:val="23"/>
                <w:szCs w:val="23"/>
              </w:rPr>
              <w:t>Osha</w:t>
            </w:r>
            <w:proofErr w:type="spellEnd"/>
          </w:p>
        </w:tc>
        <w:tc>
          <w:tcPr>
            <w:tcW w:w="2126" w:type="dxa"/>
            <w:tcBorders>
              <w:top w:val="nil"/>
              <w:left w:val="nil"/>
              <w:bottom w:val="single" w:sz="4" w:space="0" w:color="auto"/>
              <w:right w:val="single" w:sz="4" w:space="0" w:color="auto"/>
            </w:tcBorders>
            <w:noWrap/>
            <w:vAlign w:val="bottom"/>
            <w:hideMark/>
          </w:tcPr>
          <w:p w14:paraId="0794658D" w14:textId="77777777" w:rsidR="004B06CC" w:rsidRPr="004D0537" w:rsidRDefault="004B06CC" w:rsidP="00753AD2">
            <w:pPr>
              <w:spacing w:after="240"/>
              <w:ind w:left="567" w:hanging="567"/>
              <w:rPr>
                <w:sz w:val="23"/>
                <w:szCs w:val="23"/>
              </w:rPr>
            </w:pPr>
            <w:r w:rsidRPr="004D0537">
              <w:rPr>
                <w:sz w:val="23"/>
                <w:szCs w:val="23"/>
              </w:rPr>
              <w:t>17 618 795,00 EUR</w:t>
            </w:r>
          </w:p>
        </w:tc>
        <w:tc>
          <w:tcPr>
            <w:tcW w:w="2126" w:type="dxa"/>
            <w:tcBorders>
              <w:top w:val="nil"/>
              <w:left w:val="nil"/>
              <w:bottom w:val="single" w:sz="4" w:space="0" w:color="auto"/>
              <w:right w:val="single" w:sz="4" w:space="0" w:color="auto"/>
            </w:tcBorders>
            <w:noWrap/>
            <w:vAlign w:val="bottom"/>
            <w:hideMark/>
          </w:tcPr>
          <w:p w14:paraId="63088A91" w14:textId="77777777" w:rsidR="004B06CC" w:rsidRPr="004D0537" w:rsidRDefault="004B06CC" w:rsidP="00753AD2">
            <w:pPr>
              <w:spacing w:after="240"/>
              <w:ind w:left="567" w:hanging="567"/>
              <w:rPr>
                <w:sz w:val="23"/>
                <w:szCs w:val="23"/>
              </w:rPr>
            </w:pPr>
            <w:r w:rsidRPr="004D0537">
              <w:rPr>
                <w:sz w:val="23"/>
                <w:szCs w:val="23"/>
              </w:rPr>
              <w:t>17 038 950,00 EUR</w:t>
            </w:r>
          </w:p>
        </w:tc>
        <w:tc>
          <w:tcPr>
            <w:tcW w:w="2054" w:type="dxa"/>
            <w:tcBorders>
              <w:top w:val="nil"/>
              <w:left w:val="nil"/>
              <w:bottom w:val="single" w:sz="4" w:space="0" w:color="auto"/>
              <w:right w:val="single" w:sz="4" w:space="0" w:color="auto"/>
            </w:tcBorders>
            <w:shd w:val="clear" w:color="auto" w:fill="FFFFFF"/>
            <w:noWrap/>
            <w:vAlign w:val="center"/>
            <w:hideMark/>
          </w:tcPr>
          <w:p w14:paraId="59B8CD4B" w14:textId="77777777" w:rsidR="004B06CC" w:rsidRPr="004D0537" w:rsidRDefault="004B06CC" w:rsidP="00753AD2">
            <w:pPr>
              <w:spacing w:after="240"/>
              <w:ind w:left="567" w:hanging="567"/>
              <w:rPr>
                <w:sz w:val="23"/>
                <w:szCs w:val="23"/>
              </w:rPr>
            </w:pPr>
            <w:r w:rsidRPr="004D0537">
              <w:rPr>
                <w:sz w:val="23"/>
                <w:szCs w:val="23"/>
              </w:rPr>
              <w:t>3,40 %</w:t>
            </w:r>
          </w:p>
        </w:tc>
      </w:tr>
      <w:tr w:rsidR="004B06CC" w:rsidRPr="004D0537" w14:paraId="2E6329F7"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AB50D46" w14:textId="77777777" w:rsidR="004B06CC" w:rsidRPr="004D0537" w:rsidRDefault="004B06CC" w:rsidP="00753AD2">
            <w:pPr>
              <w:spacing w:after="240"/>
              <w:ind w:left="567" w:hanging="567"/>
              <w:rPr>
                <w:sz w:val="23"/>
                <w:szCs w:val="23"/>
              </w:rPr>
            </w:pPr>
            <w:proofErr w:type="spellStart"/>
            <w:r w:rsidRPr="004D0537">
              <w:rPr>
                <w:sz w:val="23"/>
                <w:szCs w:val="23"/>
              </w:rPr>
              <w:t>Eurofound</w:t>
            </w:r>
            <w:proofErr w:type="spellEnd"/>
          </w:p>
        </w:tc>
        <w:tc>
          <w:tcPr>
            <w:tcW w:w="2126" w:type="dxa"/>
            <w:tcBorders>
              <w:top w:val="nil"/>
              <w:left w:val="nil"/>
              <w:bottom w:val="single" w:sz="4" w:space="0" w:color="auto"/>
              <w:right w:val="single" w:sz="4" w:space="0" w:color="auto"/>
            </w:tcBorders>
            <w:noWrap/>
            <w:vAlign w:val="bottom"/>
            <w:hideMark/>
          </w:tcPr>
          <w:p w14:paraId="6ECB29D1" w14:textId="77777777" w:rsidR="004B06CC" w:rsidRPr="004D0537" w:rsidRDefault="004B06CC" w:rsidP="00753AD2">
            <w:pPr>
              <w:spacing w:after="240"/>
              <w:ind w:left="567" w:hanging="567"/>
              <w:rPr>
                <w:sz w:val="23"/>
                <w:szCs w:val="23"/>
              </w:rPr>
            </w:pPr>
            <w:r w:rsidRPr="004D0537">
              <w:rPr>
                <w:sz w:val="23"/>
                <w:szCs w:val="23"/>
              </w:rPr>
              <w:t>24 965 993,00 EUR</w:t>
            </w:r>
          </w:p>
        </w:tc>
        <w:tc>
          <w:tcPr>
            <w:tcW w:w="2126" w:type="dxa"/>
            <w:tcBorders>
              <w:top w:val="nil"/>
              <w:left w:val="nil"/>
              <w:bottom w:val="single" w:sz="4" w:space="0" w:color="auto"/>
              <w:right w:val="single" w:sz="4" w:space="0" w:color="auto"/>
            </w:tcBorders>
            <w:noWrap/>
            <w:vAlign w:val="bottom"/>
            <w:hideMark/>
          </w:tcPr>
          <w:p w14:paraId="03102CA4" w14:textId="77777777" w:rsidR="004B06CC" w:rsidRPr="004D0537" w:rsidRDefault="004B06CC" w:rsidP="00753AD2">
            <w:pPr>
              <w:spacing w:after="240"/>
              <w:ind w:left="567" w:hanging="567"/>
              <w:rPr>
                <w:sz w:val="23"/>
                <w:szCs w:val="23"/>
              </w:rPr>
            </w:pPr>
            <w:r w:rsidRPr="004D0537">
              <w:rPr>
                <w:sz w:val="23"/>
                <w:szCs w:val="23"/>
              </w:rPr>
              <w:t>25 369 931,00 EUR</w:t>
            </w:r>
          </w:p>
        </w:tc>
        <w:tc>
          <w:tcPr>
            <w:tcW w:w="2054" w:type="dxa"/>
            <w:tcBorders>
              <w:top w:val="nil"/>
              <w:left w:val="nil"/>
              <w:bottom w:val="single" w:sz="4" w:space="0" w:color="auto"/>
              <w:right w:val="single" w:sz="4" w:space="0" w:color="auto"/>
            </w:tcBorders>
            <w:shd w:val="clear" w:color="auto" w:fill="FFFFFF"/>
            <w:noWrap/>
            <w:vAlign w:val="center"/>
            <w:hideMark/>
          </w:tcPr>
          <w:p w14:paraId="1E8D50D8" w14:textId="77777777" w:rsidR="004B06CC" w:rsidRPr="004D0537" w:rsidRDefault="004B06CC" w:rsidP="00753AD2">
            <w:pPr>
              <w:spacing w:after="240"/>
              <w:ind w:left="567" w:hanging="567"/>
              <w:rPr>
                <w:sz w:val="23"/>
                <w:szCs w:val="23"/>
              </w:rPr>
            </w:pPr>
            <w:r w:rsidRPr="004D0537">
              <w:rPr>
                <w:sz w:val="23"/>
                <w:szCs w:val="23"/>
              </w:rPr>
              <w:t>-1,59 %</w:t>
            </w:r>
          </w:p>
        </w:tc>
      </w:tr>
      <w:tr w:rsidR="004B06CC" w:rsidRPr="004D0537" w14:paraId="562C5750"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2D4DBBC1" w14:textId="77777777" w:rsidR="004B06CC" w:rsidRPr="004D0537" w:rsidRDefault="004B06CC" w:rsidP="00753AD2">
            <w:pPr>
              <w:spacing w:after="240"/>
              <w:ind w:left="567" w:hanging="567"/>
              <w:rPr>
                <w:sz w:val="23"/>
                <w:szCs w:val="23"/>
              </w:rPr>
            </w:pPr>
            <w:r w:rsidRPr="004D0537">
              <w:rPr>
                <w:sz w:val="23"/>
                <w:szCs w:val="23"/>
              </w:rPr>
              <w:t xml:space="preserve">Eurojust </w:t>
            </w:r>
          </w:p>
        </w:tc>
        <w:tc>
          <w:tcPr>
            <w:tcW w:w="2126" w:type="dxa"/>
            <w:tcBorders>
              <w:top w:val="nil"/>
              <w:left w:val="nil"/>
              <w:bottom w:val="single" w:sz="4" w:space="0" w:color="auto"/>
              <w:right w:val="single" w:sz="4" w:space="0" w:color="auto"/>
            </w:tcBorders>
            <w:noWrap/>
            <w:vAlign w:val="bottom"/>
            <w:hideMark/>
          </w:tcPr>
          <w:p w14:paraId="1A28987B" w14:textId="77777777" w:rsidR="004B06CC" w:rsidRPr="004D0537" w:rsidRDefault="004B06CC" w:rsidP="00753AD2">
            <w:pPr>
              <w:spacing w:after="240"/>
              <w:ind w:left="567" w:hanging="567"/>
              <w:rPr>
                <w:sz w:val="23"/>
                <w:szCs w:val="23"/>
              </w:rPr>
            </w:pPr>
            <w:r w:rsidRPr="004D0537">
              <w:rPr>
                <w:sz w:val="23"/>
                <w:szCs w:val="23"/>
              </w:rPr>
              <w:t>65 355 970,00 EUR</w:t>
            </w:r>
          </w:p>
        </w:tc>
        <w:tc>
          <w:tcPr>
            <w:tcW w:w="2126" w:type="dxa"/>
            <w:tcBorders>
              <w:top w:val="nil"/>
              <w:left w:val="nil"/>
              <w:bottom w:val="single" w:sz="4" w:space="0" w:color="auto"/>
              <w:right w:val="single" w:sz="4" w:space="0" w:color="auto"/>
            </w:tcBorders>
            <w:noWrap/>
            <w:vAlign w:val="bottom"/>
            <w:hideMark/>
          </w:tcPr>
          <w:p w14:paraId="226E7775" w14:textId="77777777" w:rsidR="004B06CC" w:rsidRPr="004D0537" w:rsidRDefault="004B06CC" w:rsidP="00753AD2">
            <w:pPr>
              <w:spacing w:after="240"/>
              <w:ind w:left="567" w:hanging="567"/>
              <w:rPr>
                <w:sz w:val="23"/>
                <w:szCs w:val="23"/>
              </w:rPr>
            </w:pPr>
            <w:r w:rsidRPr="004D0537">
              <w:rPr>
                <w:sz w:val="23"/>
                <w:szCs w:val="23"/>
              </w:rPr>
              <w:t>59 324 460,00 EUR</w:t>
            </w:r>
          </w:p>
        </w:tc>
        <w:tc>
          <w:tcPr>
            <w:tcW w:w="2054" w:type="dxa"/>
            <w:tcBorders>
              <w:top w:val="nil"/>
              <w:left w:val="nil"/>
              <w:bottom w:val="single" w:sz="4" w:space="0" w:color="auto"/>
              <w:right w:val="single" w:sz="4" w:space="0" w:color="auto"/>
            </w:tcBorders>
            <w:shd w:val="clear" w:color="auto" w:fill="FFFFFF"/>
            <w:noWrap/>
            <w:vAlign w:val="center"/>
            <w:hideMark/>
          </w:tcPr>
          <w:p w14:paraId="02E99601" w14:textId="77777777" w:rsidR="004B06CC" w:rsidRPr="004D0537" w:rsidRDefault="004B06CC" w:rsidP="00753AD2">
            <w:pPr>
              <w:spacing w:after="240"/>
              <w:ind w:left="567" w:hanging="567"/>
              <w:rPr>
                <w:sz w:val="23"/>
                <w:szCs w:val="23"/>
              </w:rPr>
            </w:pPr>
            <w:r w:rsidRPr="004D0537">
              <w:rPr>
                <w:sz w:val="23"/>
                <w:szCs w:val="23"/>
              </w:rPr>
              <w:t>10,17 %</w:t>
            </w:r>
          </w:p>
        </w:tc>
      </w:tr>
      <w:tr w:rsidR="004B06CC" w:rsidRPr="004D0537" w14:paraId="680ECEB6"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E1E85AE" w14:textId="77777777" w:rsidR="004B06CC" w:rsidRPr="004D0537" w:rsidRDefault="004B06CC" w:rsidP="00753AD2">
            <w:pPr>
              <w:spacing w:after="240"/>
              <w:ind w:left="567" w:hanging="567"/>
              <w:rPr>
                <w:sz w:val="23"/>
                <w:szCs w:val="23"/>
              </w:rPr>
            </w:pPr>
            <w:r w:rsidRPr="004D0537">
              <w:rPr>
                <w:sz w:val="23"/>
                <w:szCs w:val="23"/>
              </w:rPr>
              <w:t>Europol</w:t>
            </w:r>
          </w:p>
        </w:tc>
        <w:tc>
          <w:tcPr>
            <w:tcW w:w="2126" w:type="dxa"/>
            <w:tcBorders>
              <w:top w:val="nil"/>
              <w:left w:val="nil"/>
              <w:bottom w:val="single" w:sz="4" w:space="0" w:color="auto"/>
              <w:right w:val="single" w:sz="4" w:space="0" w:color="auto"/>
            </w:tcBorders>
            <w:noWrap/>
            <w:vAlign w:val="bottom"/>
            <w:hideMark/>
          </w:tcPr>
          <w:p w14:paraId="73FB7173" w14:textId="77777777" w:rsidR="004B06CC" w:rsidRPr="004D0537" w:rsidRDefault="004B06CC" w:rsidP="00753AD2">
            <w:pPr>
              <w:spacing w:after="240"/>
              <w:ind w:left="567" w:hanging="567"/>
              <w:rPr>
                <w:sz w:val="23"/>
                <w:szCs w:val="23"/>
              </w:rPr>
            </w:pPr>
            <w:r w:rsidRPr="004D0537">
              <w:rPr>
                <w:sz w:val="23"/>
                <w:szCs w:val="23"/>
              </w:rPr>
              <w:t>225 228 057,00 EUR</w:t>
            </w:r>
          </w:p>
        </w:tc>
        <w:tc>
          <w:tcPr>
            <w:tcW w:w="2126" w:type="dxa"/>
            <w:tcBorders>
              <w:top w:val="nil"/>
              <w:left w:val="nil"/>
              <w:bottom w:val="single" w:sz="4" w:space="0" w:color="auto"/>
              <w:right w:val="single" w:sz="4" w:space="0" w:color="auto"/>
            </w:tcBorders>
            <w:noWrap/>
            <w:vAlign w:val="bottom"/>
            <w:hideMark/>
          </w:tcPr>
          <w:p w14:paraId="103C31C1" w14:textId="77777777" w:rsidR="004B06CC" w:rsidRPr="004D0537" w:rsidRDefault="004B06CC" w:rsidP="00753AD2">
            <w:pPr>
              <w:spacing w:after="240"/>
              <w:ind w:left="567" w:hanging="567"/>
              <w:rPr>
                <w:sz w:val="23"/>
                <w:szCs w:val="23"/>
              </w:rPr>
            </w:pPr>
            <w:r w:rsidRPr="004D0537">
              <w:rPr>
                <w:sz w:val="23"/>
                <w:szCs w:val="23"/>
              </w:rPr>
              <w:t>212 925 809,00 EUR</w:t>
            </w:r>
          </w:p>
        </w:tc>
        <w:tc>
          <w:tcPr>
            <w:tcW w:w="2054" w:type="dxa"/>
            <w:tcBorders>
              <w:top w:val="nil"/>
              <w:left w:val="nil"/>
              <w:bottom w:val="single" w:sz="4" w:space="0" w:color="auto"/>
              <w:right w:val="single" w:sz="4" w:space="0" w:color="auto"/>
            </w:tcBorders>
            <w:shd w:val="clear" w:color="auto" w:fill="FFFFFF"/>
            <w:noWrap/>
            <w:vAlign w:val="center"/>
            <w:hideMark/>
          </w:tcPr>
          <w:p w14:paraId="704D7F05" w14:textId="77777777" w:rsidR="004B06CC" w:rsidRPr="004D0537" w:rsidRDefault="004B06CC" w:rsidP="00753AD2">
            <w:pPr>
              <w:spacing w:after="240"/>
              <w:ind w:left="567" w:hanging="567"/>
              <w:rPr>
                <w:sz w:val="23"/>
                <w:szCs w:val="23"/>
              </w:rPr>
            </w:pPr>
            <w:r w:rsidRPr="004D0537">
              <w:rPr>
                <w:sz w:val="23"/>
                <w:szCs w:val="23"/>
              </w:rPr>
              <w:t>5,78 %</w:t>
            </w:r>
          </w:p>
        </w:tc>
      </w:tr>
      <w:tr w:rsidR="004B06CC" w:rsidRPr="004D0537" w14:paraId="1000F8FE"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1B1D0B8A" w14:textId="77777777" w:rsidR="004B06CC" w:rsidRPr="004D0537" w:rsidRDefault="004B06CC" w:rsidP="00753AD2">
            <w:pPr>
              <w:spacing w:after="240"/>
              <w:ind w:left="567" w:hanging="567"/>
              <w:rPr>
                <w:sz w:val="23"/>
                <w:szCs w:val="23"/>
              </w:rPr>
            </w:pPr>
            <w:r w:rsidRPr="004D0537">
              <w:rPr>
                <w:sz w:val="23"/>
                <w:szCs w:val="23"/>
              </w:rPr>
              <w:t>EUSPA</w:t>
            </w:r>
          </w:p>
        </w:tc>
        <w:tc>
          <w:tcPr>
            <w:tcW w:w="2126" w:type="dxa"/>
            <w:tcBorders>
              <w:top w:val="nil"/>
              <w:left w:val="nil"/>
              <w:bottom w:val="single" w:sz="4" w:space="0" w:color="auto"/>
              <w:right w:val="single" w:sz="4" w:space="0" w:color="auto"/>
            </w:tcBorders>
            <w:noWrap/>
            <w:vAlign w:val="bottom"/>
            <w:hideMark/>
          </w:tcPr>
          <w:p w14:paraId="4450646E" w14:textId="77777777" w:rsidR="004B06CC" w:rsidRPr="004D0537" w:rsidRDefault="004B06CC" w:rsidP="00753AD2">
            <w:pPr>
              <w:spacing w:after="240"/>
              <w:ind w:left="567" w:hanging="567"/>
              <w:rPr>
                <w:sz w:val="23"/>
                <w:szCs w:val="23"/>
              </w:rPr>
            </w:pPr>
            <w:r w:rsidRPr="004D0537">
              <w:rPr>
                <w:sz w:val="23"/>
                <w:szCs w:val="23"/>
              </w:rPr>
              <w:t>85 410 390,00 EUR</w:t>
            </w:r>
          </w:p>
        </w:tc>
        <w:tc>
          <w:tcPr>
            <w:tcW w:w="2126" w:type="dxa"/>
            <w:tcBorders>
              <w:top w:val="nil"/>
              <w:left w:val="nil"/>
              <w:bottom w:val="single" w:sz="4" w:space="0" w:color="auto"/>
              <w:right w:val="single" w:sz="4" w:space="0" w:color="auto"/>
            </w:tcBorders>
            <w:noWrap/>
            <w:vAlign w:val="bottom"/>
            <w:hideMark/>
          </w:tcPr>
          <w:p w14:paraId="5B29ABBF" w14:textId="77777777" w:rsidR="004B06CC" w:rsidRPr="004D0537" w:rsidRDefault="004B06CC" w:rsidP="00753AD2">
            <w:pPr>
              <w:spacing w:after="240"/>
              <w:ind w:left="567" w:hanging="567"/>
              <w:rPr>
                <w:sz w:val="23"/>
                <w:szCs w:val="23"/>
              </w:rPr>
            </w:pPr>
            <w:r w:rsidRPr="004D0537">
              <w:rPr>
                <w:sz w:val="23"/>
                <w:szCs w:val="23"/>
              </w:rPr>
              <w:t>76 922 866,00 EUR</w:t>
            </w:r>
          </w:p>
        </w:tc>
        <w:tc>
          <w:tcPr>
            <w:tcW w:w="2054" w:type="dxa"/>
            <w:tcBorders>
              <w:top w:val="nil"/>
              <w:left w:val="nil"/>
              <w:bottom w:val="single" w:sz="4" w:space="0" w:color="auto"/>
              <w:right w:val="single" w:sz="4" w:space="0" w:color="auto"/>
            </w:tcBorders>
            <w:shd w:val="clear" w:color="auto" w:fill="FFFFFF"/>
            <w:noWrap/>
            <w:vAlign w:val="center"/>
            <w:hideMark/>
          </w:tcPr>
          <w:p w14:paraId="68AEABC8" w14:textId="77777777" w:rsidR="004B06CC" w:rsidRPr="004D0537" w:rsidRDefault="004B06CC" w:rsidP="00753AD2">
            <w:pPr>
              <w:spacing w:after="240"/>
              <w:ind w:left="567" w:hanging="567"/>
              <w:rPr>
                <w:sz w:val="23"/>
                <w:szCs w:val="23"/>
              </w:rPr>
            </w:pPr>
            <w:r w:rsidRPr="004D0537">
              <w:rPr>
                <w:sz w:val="23"/>
                <w:szCs w:val="23"/>
              </w:rPr>
              <w:t>11,03 %</w:t>
            </w:r>
          </w:p>
        </w:tc>
      </w:tr>
      <w:tr w:rsidR="004B06CC" w:rsidRPr="004D0537" w14:paraId="0AD8EE3A"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105CD9E1" w14:textId="77777777" w:rsidR="004B06CC" w:rsidRPr="004D0537" w:rsidRDefault="004B06CC" w:rsidP="00753AD2">
            <w:pPr>
              <w:spacing w:after="240"/>
              <w:ind w:left="567" w:hanging="567"/>
              <w:rPr>
                <w:sz w:val="23"/>
                <w:szCs w:val="23"/>
              </w:rPr>
            </w:pPr>
            <w:r w:rsidRPr="004D0537">
              <w:rPr>
                <w:sz w:val="23"/>
                <w:szCs w:val="23"/>
              </w:rPr>
              <w:lastRenderedPageBreak/>
              <w:t>FRA</w:t>
            </w:r>
          </w:p>
        </w:tc>
        <w:tc>
          <w:tcPr>
            <w:tcW w:w="2126" w:type="dxa"/>
            <w:tcBorders>
              <w:top w:val="nil"/>
              <w:left w:val="nil"/>
              <w:bottom w:val="single" w:sz="4" w:space="0" w:color="auto"/>
              <w:right w:val="single" w:sz="4" w:space="0" w:color="auto"/>
            </w:tcBorders>
            <w:noWrap/>
            <w:vAlign w:val="bottom"/>
            <w:hideMark/>
          </w:tcPr>
          <w:p w14:paraId="551F49A7" w14:textId="77777777" w:rsidR="004B06CC" w:rsidRPr="004D0537" w:rsidRDefault="004B06CC" w:rsidP="00753AD2">
            <w:pPr>
              <w:spacing w:after="240"/>
              <w:ind w:left="567" w:hanging="567"/>
              <w:rPr>
                <w:sz w:val="23"/>
                <w:szCs w:val="23"/>
              </w:rPr>
            </w:pPr>
            <w:r w:rsidRPr="004D0537">
              <w:rPr>
                <w:sz w:val="23"/>
                <w:szCs w:val="23"/>
              </w:rPr>
              <w:t>28 052 521,00 EUR</w:t>
            </w:r>
          </w:p>
        </w:tc>
        <w:tc>
          <w:tcPr>
            <w:tcW w:w="2126" w:type="dxa"/>
            <w:tcBorders>
              <w:top w:val="nil"/>
              <w:left w:val="nil"/>
              <w:bottom w:val="single" w:sz="4" w:space="0" w:color="auto"/>
              <w:right w:val="single" w:sz="4" w:space="0" w:color="auto"/>
            </w:tcBorders>
            <w:noWrap/>
            <w:vAlign w:val="bottom"/>
            <w:hideMark/>
          </w:tcPr>
          <w:p w14:paraId="2C597F5C" w14:textId="77777777" w:rsidR="004B06CC" w:rsidRPr="004D0537" w:rsidRDefault="004B06CC" w:rsidP="00753AD2">
            <w:pPr>
              <w:spacing w:after="240"/>
              <w:ind w:left="567" w:hanging="567"/>
              <w:rPr>
                <w:sz w:val="23"/>
                <w:szCs w:val="23"/>
              </w:rPr>
            </w:pPr>
            <w:r w:rsidRPr="004D0537">
              <w:rPr>
                <w:sz w:val="23"/>
                <w:szCs w:val="23"/>
              </w:rPr>
              <w:t>26 191 030,72 EUR</w:t>
            </w:r>
          </w:p>
        </w:tc>
        <w:tc>
          <w:tcPr>
            <w:tcW w:w="2054" w:type="dxa"/>
            <w:tcBorders>
              <w:top w:val="nil"/>
              <w:left w:val="nil"/>
              <w:bottom w:val="single" w:sz="4" w:space="0" w:color="auto"/>
              <w:right w:val="single" w:sz="4" w:space="0" w:color="auto"/>
            </w:tcBorders>
            <w:shd w:val="clear" w:color="auto" w:fill="FFFFFF"/>
            <w:noWrap/>
            <w:vAlign w:val="center"/>
            <w:hideMark/>
          </w:tcPr>
          <w:p w14:paraId="0077B149" w14:textId="77777777" w:rsidR="004B06CC" w:rsidRPr="004D0537" w:rsidRDefault="004B06CC" w:rsidP="00753AD2">
            <w:pPr>
              <w:spacing w:after="240"/>
              <w:ind w:left="567" w:hanging="567"/>
              <w:rPr>
                <w:sz w:val="23"/>
                <w:szCs w:val="23"/>
              </w:rPr>
            </w:pPr>
            <w:r w:rsidRPr="004D0537">
              <w:rPr>
                <w:sz w:val="23"/>
                <w:szCs w:val="23"/>
              </w:rPr>
              <w:t>7,11 %</w:t>
            </w:r>
          </w:p>
        </w:tc>
      </w:tr>
      <w:tr w:rsidR="004B06CC" w:rsidRPr="004D0537" w14:paraId="51D78BB8"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F37DD18" w14:textId="77777777" w:rsidR="004B06CC" w:rsidRPr="004D0537" w:rsidRDefault="004B06CC" w:rsidP="00753AD2">
            <w:pPr>
              <w:spacing w:after="240"/>
              <w:ind w:left="567" w:hanging="567"/>
              <w:rPr>
                <w:sz w:val="23"/>
                <w:szCs w:val="23"/>
              </w:rPr>
            </w:pPr>
            <w:proofErr w:type="spellStart"/>
            <w:r w:rsidRPr="004D0537">
              <w:rPr>
                <w:sz w:val="23"/>
                <w:szCs w:val="23"/>
              </w:rPr>
              <w:t>Frontex</w:t>
            </w:r>
            <w:proofErr w:type="spellEnd"/>
          </w:p>
        </w:tc>
        <w:tc>
          <w:tcPr>
            <w:tcW w:w="2126" w:type="dxa"/>
            <w:tcBorders>
              <w:top w:val="nil"/>
              <w:left w:val="nil"/>
              <w:bottom w:val="single" w:sz="4" w:space="0" w:color="auto"/>
              <w:right w:val="single" w:sz="4" w:space="0" w:color="auto"/>
            </w:tcBorders>
            <w:noWrap/>
            <w:vAlign w:val="bottom"/>
            <w:hideMark/>
          </w:tcPr>
          <w:p w14:paraId="5D29C5A2" w14:textId="77777777" w:rsidR="004B06CC" w:rsidRPr="004D0537" w:rsidRDefault="004B06CC" w:rsidP="00753AD2">
            <w:pPr>
              <w:spacing w:after="240"/>
              <w:ind w:left="567" w:hanging="567"/>
              <w:rPr>
                <w:sz w:val="23"/>
                <w:szCs w:val="23"/>
              </w:rPr>
            </w:pPr>
            <w:r w:rsidRPr="004D0537">
              <w:rPr>
                <w:sz w:val="23"/>
                <w:szCs w:val="23"/>
              </w:rPr>
              <w:t>922 074 136,00 EUR</w:t>
            </w:r>
          </w:p>
        </w:tc>
        <w:tc>
          <w:tcPr>
            <w:tcW w:w="2126" w:type="dxa"/>
            <w:tcBorders>
              <w:top w:val="nil"/>
              <w:left w:val="nil"/>
              <w:bottom w:val="single" w:sz="4" w:space="0" w:color="auto"/>
              <w:right w:val="single" w:sz="4" w:space="0" w:color="auto"/>
            </w:tcBorders>
            <w:noWrap/>
            <w:vAlign w:val="bottom"/>
            <w:hideMark/>
          </w:tcPr>
          <w:p w14:paraId="268FCD31" w14:textId="77777777" w:rsidR="004B06CC" w:rsidRPr="004D0537" w:rsidRDefault="004B06CC" w:rsidP="00753AD2">
            <w:pPr>
              <w:spacing w:after="240"/>
              <w:ind w:left="567" w:hanging="567"/>
              <w:rPr>
                <w:sz w:val="23"/>
                <w:szCs w:val="23"/>
              </w:rPr>
            </w:pPr>
            <w:r w:rsidRPr="004D0537">
              <w:rPr>
                <w:sz w:val="23"/>
                <w:szCs w:val="23"/>
              </w:rPr>
              <w:t>829 352 752,00 EUR</w:t>
            </w:r>
          </w:p>
        </w:tc>
        <w:tc>
          <w:tcPr>
            <w:tcW w:w="2054" w:type="dxa"/>
            <w:tcBorders>
              <w:top w:val="nil"/>
              <w:left w:val="nil"/>
              <w:bottom w:val="single" w:sz="4" w:space="0" w:color="auto"/>
              <w:right w:val="single" w:sz="4" w:space="0" w:color="auto"/>
            </w:tcBorders>
            <w:shd w:val="clear" w:color="auto" w:fill="FFFFFF"/>
            <w:noWrap/>
            <w:vAlign w:val="center"/>
            <w:hideMark/>
          </w:tcPr>
          <w:p w14:paraId="75BF9582" w14:textId="77777777" w:rsidR="004B06CC" w:rsidRPr="004D0537" w:rsidRDefault="004B06CC" w:rsidP="00753AD2">
            <w:pPr>
              <w:spacing w:after="240"/>
              <w:ind w:left="567" w:hanging="567"/>
              <w:rPr>
                <w:sz w:val="23"/>
                <w:szCs w:val="23"/>
              </w:rPr>
            </w:pPr>
            <w:r w:rsidRPr="004D0537">
              <w:rPr>
                <w:sz w:val="23"/>
                <w:szCs w:val="23"/>
              </w:rPr>
              <w:t>11,18 %</w:t>
            </w:r>
          </w:p>
        </w:tc>
      </w:tr>
      <w:tr w:rsidR="004B06CC" w:rsidRPr="004D0537" w14:paraId="288846B5" w14:textId="77777777" w:rsidTr="00753AD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517F679" w14:textId="77777777" w:rsidR="004B06CC" w:rsidRPr="004D0537" w:rsidRDefault="004B06CC" w:rsidP="00753AD2">
            <w:pPr>
              <w:spacing w:after="240"/>
              <w:ind w:left="567" w:hanging="567"/>
              <w:rPr>
                <w:b/>
                <w:bCs/>
                <w:sz w:val="23"/>
                <w:szCs w:val="23"/>
              </w:rPr>
            </w:pPr>
            <w:r w:rsidRPr="004D0537">
              <w:rPr>
                <w:b/>
                <w:sz w:val="23"/>
                <w:szCs w:val="23"/>
              </w:rPr>
              <w:t>TOTALT</w:t>
            </w:r>
          </w:p>
        </w:tc>
        <w:tc>
          <w:tcPr>
            <w:tcW w:w="2126" w:type="dxa"/>
            <w:tcBorders>
              <w:top w:val="nil"/>
              <w:left w:val="nil"/>
              <w:bottom w:val="single" w:sz="4" w:space="0" w:color="auto"/>
              <w:right w:val="single" w:sz="4" w:space="0" w:color="auto"/>
            </w:tcBorders>
            <w:noWrap/>
            <w:vAlign w:val="bottom"/>
            <w:hideMark/>
          </w:tcPr>
          <w:p w14:paraId="135757A0" w14:textId="77777777" w:rsidR="004B06CC" w:rsidRPr="004D0537" w:rsidRDefault="004B06CC" w:rsidP="00753AD2">
            <w:pPr>
              <w:spacing w:after="240"/>
              <w:ind w:left="567" w:hanging="567"/>
              <w:rPr>
                <w:b/>
                <w:bCs/>
                <w:sz w:val="23"/>
                <w:szCs w:val="23"/>
              </w:rPr>
            </w:pPr>
            <w:r w:rsidRPr="004D0537">
              <w:rPr>
                <w:b/>
                <w:sz w:val="23"/>
                <w:szCs w:val="23"/>
              </w:rPr>
              <w:t>4 112 799 136,00 EUR</w:t>
            </w:r>
          </w:p>
        </w:tc>
        <w:tc>
          <w:tcPr>
            <w:tcW w:w="2126" w:type="dxa"/>
            <w:tcBorders>
              <w:top w:val="nil"/>
              <w:left w:val="nil"/>
              <w:bottom w:val="single" w:sz="4" w:space="0" w:color="auto"/>
              <w:right w:val="single" w:sz="4" w:space="0" w:color="auto"/>
            </w:tcBorders>
            <w:noWrap/>
            <w:vAlign w:val="bottom"/>
            <w:hideMark/>
          </w:tcPr>
          <w:p w14:paraId="18C95C89" w14:textId="77777777" w:rsidR="004B06CC" w:rsidRPr="004D0537" w:rsidRDefault="004B06CC" w:rsidP="00753AD2">
            <w:pPr>
              <w:spacing w:after="240"/>
              <w:ind w:left="567" w:hanging="567"/>
              <w:rPr>
                <w:b/>
                <w:bCs/>
                <w:sz w:val="23"/>
                <w:szCs w:val="23"/>
              </w:rPr>
            </w:pPr>
            <w:r w:rsidRPr="004D0537">
              <w:rPr>
                <w:b/>
                <w:sz w:val="23"/>
                <w:szCs w:val="23"/>
              </w:rPr>
              <w:t>3 741 954 188,71 EUR</w:t>
            </w:r>
          </w:p>
        </w:tc>
        <w:tc>
          <w:tcPr>
            <w:tcW w:w="2054" w:type="dxa"/>
            <w:tcBorders>
              <w:top w:val="nil"/>
              <w:left w:val="nil"/>
              <w:bottom w:val="single" w:sz="4" w:space="0" w:color="auto"/>
              <w:right w:val="single" w:sz="4" w:space="0" w:color="auto"/>
            </w:tcBorders>
            <w:shd w:val="clear" w:color="auto" w:fill="FFFFFF"/>
            <w:noWrap/>
            <w:vAlign w:val="center"/>
            <w:hideMark/>
          </w:tcPr>
          <w:p w14:paraId="7FEFAB37" w14:textId="77777777" w:rsidR="004B06CC" w:rsidRPr="004D0537" w:rsidRDefault="004B06CC" w:rsidP="00753AD2">
            <w:pPr>
              <w:spacing w:after="240"/>
              <w:ind w:left="567" w:hanging="567"/>
              <w:rPr>
                <w:b/>
                <w:bCs/>
                <w:sz w:val="23"/>
                <w:szCs w:val="23"/>
              </w:rPr>
            </w:pPr>
            <w:r w:rsidRPr="004D0537">
              <w:rPr>
                <w:b/>
                <w:sz w:val="23"/>
                <w:szCs w:val="23"/>
              </w:rPr>
              <w:t>9,91 %</w:t>
            </w:r>
          </w:p>
        </w:tc>
      </w:tr>
    </w:tbl>
    <w:p w14:paraId="0F0D4C9F" w14:textId="77777777" w:rsidR="004B06CC" w:rsidRPr="004D0537" w:rsidRDefault="004B06CC" w:rsidP="004B06CC">
      <w:pPr>
        <w:spacing w:after="240"/>
        <w:ind w:left="567" w:hanging="567"/>
      </w:pPr>
    </w:p>
    <w:p w14:paraId="0C413274" w14:textId="56A51736" w:rsidR="004B06CC" w:rsidRPr="004D0537" w:rsidRDefault="004B06CC" w:rsidP="004B06CC">
      <w:pPr>
        <w:spacing w:after="240"/>
        <w:ind w:left="567" w:hanging="567"/>
      </w:pPr>
      <w:r w:rsidRPr="004D0537">
        <w:t>2</w:t>
      </w:r>
      <w:r w:rsidR="001725A4" w:rsidRPr="004D0537">
        <w:t>5</w:t>
      </w:r>
      <w:r w:rsidRPr="004D0537">
        <w:t>.</w:t>
      </w:r>
      <w:r w:rsidRPr="004D0537">
        <w:tab/>
      </w:r>
      <w:r w:rsidR="00F86C5B" w:rsidRPr="004D0537">
        <w:rPr>
          <w:szCs w:val="24"/>
          <w:lang w:eastAsia="en-US"/>
        </w:rPr>
        <w:t xml:space="preserve">Europaparlamentet noterar att budgeten för 33 EU-byråer ökade från 3,6 miljarder EUR 2023 till 4,1 miljarder EUR 2024. Parlamentet uppmanar kommissionen att analysera de kumulativa kostnaderna under fem år, så att åtskillnad görs mellan vad som beror på nya uppdrag och vad som är ren administrativ tillväx, och att motivera ytterligare ökningar med påvisbart mervärde. Parlamentet betonar att budgettillväxten måste åtföljas av starkare styrning, interna kontroller, planering av personalresurser och utnyttjandegrader för att undvika oriktigheter, överföringar och ineffektiva utgifter. </w:t>
      </w:r>
      <w:r w:rsidR="00F86C5B" w:rsidRPr="004D0537">
        <w:rPr>
          <w:bCs/>
          <w:iCs/>
          <w:szCs w:val="24"/>
          <w:lang w:eastAsia="en-US"/>
        </w:rPr>
        <w:t>Parlamentet betonar att alla ytterligare resurser för byråer måste åtföljas av mätbara prestationsmål och regelbunden rapportering om de konkreta resultat som uppnåtts, så att den ansvarsfrihetsbeviljande myndigheten kan bedöma valuta för pengarna. Parlamentet insisterar på att byråerna, innan ytterligare finansiering godkänns, först måste visa att befintliga resurser används effektivt.</w:t>
      </w:r>
    </w:p>
    <w:p w14:paraId="3C393294" w14:textId="1678523B" w:rsidR="004B06CC" w:rsidRPr="004D0537" w:rsidRDefault="001725A4" w:rsidP="004B06CC">
      <w:pPr>
        <w:spacing w:after="240"/>
        <w:ind w:left="567" w:hanging="567"/>
      </w:pPr>
      <w:r w:rsidRPr="004D0537">
        <w:t>26</w:t>
      </w:r>
      <w:r w:rsidR="004B06CC" w:rsidRPr="004D0537">
        <w:t>.</w:t>
      </w:r>
      <w:r w:rsidR="004B06CC" w:rsidRPr="004D0537">
        <w:tab/>
        <w:t>Europaparlamentet noterar att Europeiska unionens byrå för grundläggande rättigheter (FRA) och andra EU-byråer hjälper till med att stödja unionens institutioner när det gäller genomförandet av unionsrätten i på området grundläggande rättigheter. Parlamentet uppmanar kommissionen och budgetmyndigheten att förse alla EU-byråer med tillräckliga och förutsägbara resurser.</w:t>
      </w:r>
    </w:p>
    <w:p w14:paraId="79563892" w14:textId="20F74C38" w:rsidR="004B06CC" w:rsidRPr="004D0537" w:rsidRDefault="004B06CC" w:rsidP="004B06CC">
      <w:pPr>
        <w:spacing w:after="240"/>
        <w:ind w:left="567" w:hanging="567"/>
      </w:pPr>
      <w:r w:rsidRPr="004D0537">
        <w:t>2</w:t>
      </w:r>
      <w:r w:rsidR="007B6266" w:rsidRPr="004D0537">
        <w:t>7</w:t>
      </w:r>
      <w:r w:rsidRPr="004D0537">
        <w:t>.</w:t>
      </w:r>
      <w:r w:rsidRPr="004D0537">
        <w:tab/>
        <w:t xml:space="preserve">Europaparlamentet framhåller att ökningen av intäkterna från 2023 till 2024 har varit betydande i vissa byråer, däribland EEA, EIT, Europeiska arbetsmyndigheten, </w:t>
      </w:r>
      <w:proofErr w:type="spellStart"/>
      <w:r w:rsidRPr="004D0537">
        <w:t>Enisa</w:t>
      </w:r>
      <w:proofErr w:type="spellEnd"/>
      <w:r w:rsidRPr="004D0537">
        <w:t xml:space="preserve"> och EUDA, med budgetökningar på över 21 %.</w:t>
      </w:r>
    </w:p>
    <w:p w14:paraId="7BC52CF3" w14:textId="4A33CF51" w:rsidR="004B06CC" w:rsidRPr="004D0537" w:rsidRDefault="004B06CC" w:rsidP="004B06CC">
      <w:pPr>
        <w:spacing w:after="240"/>
        <w:ind w:left="567" w:hanging="567"/>
      </w:pPr>
      <w:r w:rsidRPr="004D0537">
        <w:t>2</w:t>
      </w:r>
      <w:r w:rsidR="007B6266" w:rsidRPr="004D0537">
        <w:t>8</w:t>
      </w:r>
      <w:r w:rsidRPr="004D0537">
        <w:t>.</w:t>
      </w:r>
      <w:r w:rsidRPr="004D0537">
        <w:tab/>
        <w:t>Europaparlamentet noterar att EEA:s budgetökning för 2024 återspeglar utökningen av dess lagstiftningsmandat och operativa ansvarsområden, som härrör från genomförandet av politiken i den europeiska gröna given, såsom förordningen om restaurering av natur (som antogs i slutet av 2024), en omarbetning av förordningen om ett europeiskt register över utsläpp och överföringar av föroreningar, EU:s certifiering av koldioxidupptag och kolinlagrande jordbruk och ett initiativ för utökad övervakning av utsläpp från tunga fordon stöddes genom rekrytering av personal. Parlamentet noterar vidare att byrån också genomförde uppgifter inom ramen för den reviderade förordningen om markanvändning, förändrad markanvändning och skogsbruk (2023). Parlamentet är också medvetet om att nya servicenivåavtal med GD MARE, GD SANTE och GD RTD har utökat byråns roll när det gäller återställande av hav och vatten, hälsohot och integrering av miljödata, och därigenom bidragit med data och analyser till stöd för unionens miljöpolitik.</w:t>
      </w:r>
    </w:p>
    <w:p w14:paraId="565A667B" w14:textId="40A54180" w:rsidR="004B06CC" w:rsidRPr="004D0537" w:rsidRDefault="007B6266" w:rsidP="004B06CC">
      <w:pPr>
        <w:spacing w:after="240"/>
        <w:ind w:left="567" w:hanging="567"/>
      </w:pPr>
      <w:r w:rsidRPr="004D0537">
        <w:t>29</w:t>
      </w:r>
      <w:r w:rsidR="004B06CC" w:rsidRPr="004D0537">
        <w:t>.</w:t>
      </w:r>
      <w:r w:rsidR="004B06CC" w:rsidRPr="004D0537">
        <w:tab/>
        <w:t xml:space="preserve">Europaparlamentet konstaterar att </w:t>
      </w:r>
      <w:proofErr w:type="spellStart"/>
      <w:r w:rsidR="004B06CC" w:rsidRPr="004D0537">
        <w:t>EIT:s</w:t>
      </w:r>
      <w:proofErr w:type="spellEnd"/>
      <w:r w:rsidR="004B06CC" w:rsidRPr="004D0537">
        <w:t xml:space="preserve"> budgetökning förklaras av flera faktorer, bland annat högre anslag till Horisont Europa (+10,25 %), 24,6 miljoner EUR i ny finansiering till initiativet för högre utbildningsanstalter och 16,7 miljoner EUR från nya bidragsöverenskommelser med kommissionens generaldirektorat.</w:t>
      </w:r>
    </w:p>
    <w:p w14:paraId="651A4E6E" w14:textId="1ECE94A2" w:rsidR="004B06CC" w:rsidRPr="004D0537" w:rsidRDefault="007B6266" w:rsidP="004B06CC">
      <w:pPr>
        <w:spacing w:after="240"/>
        <w:ind w:left="567" w:hanging="567"/>
      </w:pPr>
      <w:r w:rsidRPr="004D0537">
        <w:t>30</w:t>
      </w:r>
      <w:r w:rsidR="004B06CC" w:rsidRPr="004D0537">
        <w:t>.</w:t>
      </w:r>
      <w:r w:rsidR="004B06CC" w:rsidRPr="004D0537">
        <w:tab/>
        <w:t xml:space="preserve">Europaparlamentet noterar att Europeiska arbetsmyndighetens budgetökning 2024 </w:t>
      </w:r>
      <w:r w:rsidR="004B06CC" w:rsidRPr="004D0537">
        <w:lastRenderedPageBreak/>
        <w:t>främst förklaras av byråns övergång till full operativ kapacitet, vilket kräver en betydande förstärkning av personalresurserna och den operativa kapaciteten. Parlamentet framhåller att detta inbegriper personaljusteringar (9,5 miljoner EUR, 44 %), såsom omvandlingen av 15 utstationerade nationella experter till tillfälligt anställda och lönejusteringar, följt av ett utökat mandat (7 miljoner EUR, 33 %) för uppgraderingar och inspektionsverksamhet inom den europeiska portalen för rörlighet i arbetslivet samt inflationsrelaterade kostnader (1,2 miljoner EUR, 15 %) för IKT/cybersäkerhet och inflationstryck.</w:t>
      </w:r>
    </w:p>
    <w:p w14:paraId="3D3FB252" w14:textId="7628C91D" w:rsidR="004B06CC" w:rsidRPr="004D0537" w:rsidRDefault="007B6266" w:rsidP="004B06CC">
      <w:pPr>
        <w:spacing w:after="240"/>
        <w:ind w:left="567" w:hanging="567"/>
        <w:rPr>
          <w:iCs/>
        </w:rPr>
      </w:pPr>
      <w:r w:rsidRPr="004D0537">
        <w:t>31</w:t>
      </w:r>
      <w:r w:rsidR="004B06CC" w:rsidRPr="004D0537">
        <w:t>.</w:t>
      </w:r>
      <w:r w:rsidR="004B06CC" w:rsidRPr="004D0537">
        <w:tab/>
        <w:t xml:space="preserve">Europaparlamentet noterar att ökningen av </w:t>
      </w:r>
      <w:proofErr w:type="spellStart"/>
      <w:r w:rsidR="004B06CC" w:rsidRPr="004D0537">
        <w:t>Enisas</w:t>
      </w:r>
      <w:proofErr w:type="spellEnd"/>
      <w:r w:rsidR="004B06CC" w:rsidRPr="004D0537">
        <w:t xml:space="preserve"> budget beror på den första delbetalning som mottogs i februari 2024 på 16 miljoner EUR från en bidragsöverenskommelse som undertecknades i slutet av december 2023 mellan CNECT och </w:t>
      </w:r>
      <w:proofErr w:type="spellStart"/>
      <w:r w:rsidR="004B06CC" w:rsidRPr="004D0537">
        <w:t>Enisa</w:t>
      </w:r>
      <w:proofErr w:type="spellEnd"/>
      <w:r w:rsidR="004B06CC" w:rsidRPr="004D0537">
        <w:t xml:space="preserve">, som beviljar totalt 20 miljoner EUR för genomförandet av verksamhet vid </w:t>
      </w:r>
      <w:proofErr w:type="spellStart"/>
      <w:r w:rsidR="004B06CC" w:rsidRPr="004D0537">
        <w:t>cyberstöds</w:t>
      </w:r>
      <w:proofErr w:type="spellEnd"/>
      <w:r w:rsidR="004B06CC" w:rsidRPr="004D0537">
        <w:t>- och situationscentrumet under 2024–2026. Parlamentet är medvetet om att byrån för 2024 hade en budget på 26,2 miljoner EUR, jämfört med 2023 års budget på 25,2 miljoner EUR.</w:t>
      </w:r>
    </w:p>
    <w:p w14:paraId="4FA8BDE4" w14:textId="15B85B91" w:rsidR="004B06CC" w:rsidRPr="004D0537" w:rsidRDefault="007B6266" w:rsidP="004B06CC">
      <w:pPr>
        <w:spacing w:after="240"/>
        <w:ind w:left="567" w:hanging="567"/>
        <w:rPr>
          <w:iCs/>
        </w:rPr>
      </w:pPr>
      <w:r w:rsidRPr="004D0537">
        <w:t>32</w:t>
      </w:r>
      <w:r w:rsidR="004B06CC" w:rsidRPr="004D0537">
        <w:t>.</w:t>
      </w:r>
      <w:r w:rsidR="004B06CC" w:rsidRPr="004D0537">
        <w:tab/>
        <w:t xml:space="preserve">Europaparlamentet uttrycker oro över att </w:t>
      </w:r>
      <w:proofErr w:type="spellStart"/>
      <w:r w:rsidR="004B06CC" w:rsidRPr="004D0537">
        <w:t>Enisa</w:t>
      </w:r>
      <w:proofErr w:type="spellEnd"/>
      <w:r w:rsidR="004B06CC" w:rsidRPr="004D0537">
        <w:t xml:space="preserve"> befinner sig i en kritisk position på grund av den ökande komplexiteten i unionens cybersäkerhetsbehov, den fortsatta upptrappningen av cyberhot och bristen på proportionerlig finansiering och tillräcklig personal. Parlamentet upprepar rådets slutsatser om </w:t>
      </w:r>
      <w:proofErr w:type="spellStart"/>
      <w:r w:rsidR="004B06CC" w:rsidRPr="004D0537">
        <w:t>Enisa</w:t>
      </w:r>
      <w:proofErr w:type="spellEnd"/>
      <w:r w:rsidR="004B06CC" w:rsidRPr="004D0537">
        <w:t xml:space="preserve"> från december 2024, där man framhåller </w:t>
      </w:r>
      <w:proofErr w:type="spellStart"/>
      <w:r w:rsidR="004B06CC" w:rsidRPr="004D0537">
        <w:t>Enisas</w:t>
      </w:r>
      <w:proofErr w:type="spellEnd"/>
      <w:r w:rsidR="004B06CC" w:rsidRPr="004D0537">
        <w:t xml:space="preserve"> centrala roll i unionens cybersäkerhetsekosystem och behovet av att anpassa finansiering och resurser till dess utvidgade mandat. Parlamentet betonar att ytterligare resurser måste åtföljas av mätbara prestationsmål och regelbunden rapportering om de konkreta resultat som uppnåtts.</w:t>
      </w:r>
    </w:p>
    <w:p w14:paraId="1789C652" w14:textId="5C9D913B" w:rsidR="004B06CC" w:rsidRPr="004D0537" w:rsidRDefault="007B6266" w:rsidP="004B06CC">
      <w:pPr>
        <w:spacing w:after="240"/>
        <w:ind w:left="567" w:hanging="567"/>
        <w:rPr>
          <w:iCs/>
        </w:rPr>
      </w:pPr>
      <w:r w:rsidRPr="004D0537">
        <w:t>33</w:t>
      </w:r>
      <w:r w:rsidR="004B06CC" w:rsidRPr="004D0537">
        <w:t>.</w:t>
      </w:r>
      <w:r w:rsidR="004B06CC" w:rsidRPr="004D0537">
        <w:tab/>
        <w:t>Europaparlamentet noterar att när det gäller EUDA beror ökningen främst på ikraftträdandet av förordning (EU) 2023/1322, som föreskriver en riktad översyn av byråns mandat för att den ska spela en viktigare roll när det gäller att identifiera och ta itu med nuvarande och framtida utmaningar i samband med olaglig narkotika i unionen. Parlamentet noterar att detta kommer att innebära en fördjupning av den nuvarande byråns mandat, nya uppgifter och en ökning av de resurser som anslås för det nödvändiga genomförandet från och med 2024.</w:t>
      </w:r>
    </w:p>
    <w:p w14:paraId="1B8A003F" w14:textId="23D9702F" w:rsidR="004B06CC" w:rsidRPr="004D0537" w:rsidRDefault="007B6266" w:rsidP="004B06CC">
      <w:pPr>
        <w:spacing w:after="240"/>
        <w:ind w:left="567" w:hanging="567"/>
      </w:pPr>
      <w:r w:rsidRPr="004D0537">
        <w:t>34</w:t>
      </w:r>
      <w:r w:rsidR="004B06CC" w:rsidRPr="004D0537">
        <w:t>.</w:t>
      </w:r>
      <w:r w:rsidR="004B06CC" w:rsidRPr="004D0537">
        <w:tab/>
        <w:t xml:space="preserve">Europaparlamentet noterar den gradvisa utvidgningen av Europols mandat, inbegripet nyligen antagna och föreslagna åtgärder som ger ökad kapacitet att bekämpa grov och organiserad brottslighet, såsom smuggling av migranter, människohandel, cyberbrottslighet och terrorism. Parlamentet påminner om att denna utveckling bland annat omfattar stärkt samarbete med privata aktörer genom direkt datautbyte, förstärkt kapacitet för storskalig dataanalys och uppgraderat operativt stöd till medlemsstaterna via specialiserade stödgrupper. Parlamentet betonar att ett effektivt genomförande av dessa ytterligare uppgifter kräver en motsvarande ökning av Europols personalresurser, men även robusta interna skyddsåtgärder, tillräcklig efterlevnadskapacitet och stärkta tillsynsmekanismer. Parlamentet konstaterar dock att Europols budget 2024 endast ökade med 5,78 % jämfört med 2023. Parlamentet begär därför med eftertryck att Europols budget förstärks ytterligare för att hantera den ihållande personalbristen och säkerställa att dess ekonomiska resurser står i proportion till dess utökade ansvar. Parlamentet betonar Europols roll i kampen mot smuggling av migranter, människohandel, gränsöverskridande brottslighet och terrorism. Parlamentet betonar att </w:t>
      </w:r>
      <w:proofErr w:type="spellStart"/>
      <w:r w:rsidR="004B06CC" w:rsidRPr="004D0537">
        <w:t>Frontex</w:t>
      </w:r>
      <w:proofErr w:type="spellEnd"/>
      <w:r w:rsidR="004B06CC" w:rsidRPr="004D0537">
        <w:t xml:space="preserve"> måste fokusera på sin kärnverksamhet, och välkomnar </w:t>
      </w:r>
      <w:proofErr w:type="spellStart"/>
      <w:r w:rsidR="004B06CC" w:rsidRPr="004D0537">
        <w:t>Frontex</w:t>
      </w:r>
      <w:proofErr w:type="spellEnd"/>
      <w:r w:rsidR="004B06CC" w:rsidRPr="004D0537">
        <w:t xml:space="preserve"> pågående insatser för att stärka sitt ombud för grundläggande rättigheter.</w:t>
      </w:r>
    </w:p>
    <w:p w14:paraId="18383D2B" w14:textId="67B17631" w:rsidR="004B06CC" w:rsidRPr="004D0537" w:rsidRDefault="007B6266" w:rsidP="004B06CC">
      <w:pPr>
        <w:spacing w:after="240"/>
        <w:ind w:left="567" w:hanging="567"/>
      </w:pPr>
      <w:r w:rsidRPr="004D0537">
        <w:lastRenderedPageBreak/>
        <w:t>35</w:t>
      </w:r>
      <w:r w:rsidR="004B06CC" w:rsidRPr="004D0537">
        <w:t>.</w:t>
      </w:r>
      <w:r w:rsidR="004B06CC" w:rsidRPr="004D0537">
        <w:tab/>
        <w:t>Europaparlamentet efterlyser en ökning av Eurojusts personal med tanke på utvidgningen av byråns mandat till tredjeländer, särskilt efter Rysslands anfallskrig mot Ukraina 2022, vilket kommer att göra det möjligt för Eurojust att samla in, lagra och analysera bevis för centrala internationella brott (krigsförbrytelser, folkmord, brott mot mänskligheten), utbyta dessa bevis med nationella myndigheter och internationella organ, inbegripet Internationella brottmålsdomstolen, och inrätta en särskild databas med bevis om centrala internationella brott, som går utöver enbart stöd i utredningar och aktivt säkrar viktiga bevis för framtida utredningar, samtidigt som parlamentet noterar att den procentuella ökningen av budgeten för 2024 var blygsam jämfört med 2023 års budget, och uppmanar med kraft till att personalanslagen, tillsammans med den totala budgeten, ökas i enlighet med detta med tanke på det förväntade framtida mandatet.</w:t>
      </w:r>
    </w:p>
    <w:p w14:paraId="408F4AA7" w14:textId="1E101BB5" w:rsidR="004B06CC" w:rsidRPr="004D0537" w:rsidRDefault="007B6266" w:rsidP="004B06CC">
      <w:pPr>
        <w:spacing w:after="240"/>
        <w:ind w:left="567" w:hanging="567"/>
      </w:pPr>
      <w:r w:rsidRPr="004D0537">
        <w:t>36</w:t>
      </w:r>
      <w:r w:rsidR="004B06CC" w:rsidRPr="004D0537">
        <w:t>.</w:t>
      </w:r>
      <w:r w:rsidR="004B06CC" w:rsidRPr="004D0537">
        <w:tab/>
        <w:t>Europaparlamentet påminner om att majoriteten av EU-byråerna får sin finansiering helt och hållet genom bidrag från unionens budget. Parlamentet noterar dock att vissa byråer helt eller delvis finansieras genom alternativa inkomstkällor, däribland intyg, tillstånd, registrering av ämnen, bidrag, datainsamling, marknadskontroll, tillsyn och andra tjänster såsom översättning och terminologi som tillhandahålls av Översättningscentrum för Europeiska unionens organ (</w:t>
      </w:r>
      <w:proofErr w:type="spellStart"/>
      <w:r w:rsidR="004B06CC" w:rsidRPr="004D0537">
        <w:t>CdT</w:t>
      </w:r>
      <w:proofErr w:type="spellEnd"/>
      <w:r w:rsidR="004B06CC" w:rsidRPr="004D0537">
        <w:t>).</w:t>
      </w:r>
    </w:p>
    <w:p w14:paraId="542FACB4" w14:textId="6B03A36D" w:rsidR="004B06CC" w:rsidRPr="004D0537" w:rsidRDefault="007B6266" w:rsidP="004B06CC">
      <w:pPr>
        <w:spacing w:after="240"/>
        <w:ind w:left="567" w:hanging="567"/>
      </w:pPr>
      <w:r w:rsidRPr="004D0537">
        <w:t>37</w:t>
      </w:r>
      <w:r w:rsidR="004B06CC" w:rsidRPr="004D0537">
        <w:t>.</w:t>
      </w:r>
      <w:r w:rsidR="004B06CC" w:rsidRPr="004D0537">
        <w:tab/>
        <w:t>Europaparlamentet konstaterar särskilt följande:</w:t>
      </w:r>
    </w:p>
    <w:p w14:paraId="44014C88" w14:textId="77777777" w:rsidR="004B06CC" w:rsidRPr="004D0537" w:rsidRDefault="004B06CC" w:rsidP="004B06CC">
      <w:pPr>
        <w:spacing w:after="240"/>
        <w:ind w:left="1134" w:hanging="567"/>
      </w:pPr>
      <w:r w:rsidRPr="004D0537">
        <w:t>–</w:t>
      </w:r>
      <w:r w:rsidRPr="004D0537">
        <w:tab/>
        <w:t>Delvis självfinansierade byråer är bland annat Byrån för samarbete mellan energitillsynsmyndigheter (Acer), Europeiska byrån för luftfartssäkerhet (</w:t>
      </w:r>
      <w:proofErr w:type="spellStart"/>
      <w:r w:rsidRPr="004D0537">
        <w:t>Easa</w:t>
      </w:r>
      <w:proofErr w:type="spellEnd"/>
      <w:r w:rsidRPr="004D0537">
        <w:t>), Europeiska kemikaliemyndigheten (</w:t>
      </w:r>
      <w:proofErr w:type="spellStart"/>
      <w:r w:rsidRPr="004D0537">
        <w:t>Echa</w:t>
      </w:r>
      <w:proofErr w:type="spellEnd"/>
      <w:r w:rsidRPr="004D0537">
        <w:t>), Europeiska läkemedelsmyndigheten (EMA) och Europeiska unionens järnvägsbyrå (ERA).</w:t>
      </w:r>
    </w:p>
    <w:p w14:paraId="00E1E0C4" w14:textId="77777777" w:rsidR="004B06CC" w:rsidRPr="004D0537" w:rsidRDefault="004B06CC" w:rsidP="004B06CC">
      <w:pPr>
        <w:spacing w:after="240"/>
        <w:ind w:left="1134" w:hanging="567"/>
      </w:pPr>
      <w:r w:rsidRPr="004D0537">
        <w:t>–</w:t>
      </w:r>
      <w:r w:rsidRPr="004D0537">
        <w:tab/>
        <w:t xml:space="preserve">Bland de organ som är helt självfinansierade ingår </w:t>
      </w:r>
      <w:proofErr w:type="spellStart"/>
      <w:r w:rsidRPr="004D0537">
        <w:t>CdT</w:t>
      </w:r>
      <w:proofErr w:type="spellEnd"/>
      <w:r w:rsidRPr="004D0537">
        <w:t>.</w:t>
      </w:r>
    </w:p>
    <w:p w14:paraId="74786D22" w14:textId="77777777" w:rsidR="004B06CC" w:rsidRPr="004D0537" w:rsidRDefault="004B06CC" w:rsidP="004B06CC">
      <w:pPr>
        <w:spacing w:after="240"/>
        <w:ind w:left="1134" w:hanging="567"/>
      </w:pPr>
      <w:r w:rsidRPr="004D0537">
        <w:t>–</w:t>
      </w:r>
      <w:r w:rsidRPr="004D0537">
        <w:tab/>
        <w:t>Organ som delvis medfinansieras av nationella offentliga myndigheter är Europeiska bankmyndigheten (EBA), Europeiska försäkrings- och tjänstepensionsmyndigheten (</w:t>
      </w:r>
      <w:proofErr w:type="spellStart"/>
      <w:r w:rsidRPr="004D0537">
        <w:t>Eiopa</w:t>
      </w:r>
      <w:proofErr w:type="spellEnd"/>
      <w:r w:rsidRPr="004D0537">
        <w:t>) och Europeiska värdepappers- och marknadsmyndigheten (</w:t>
      </w:r>
      <w:proofErr w:type="spellStart"/>
      <w:r w:rsidRPr="004D0537">
        <w:t>Esma</w:t>
      </w:r>
      <w:proofErr w:type="spellEnd"/>
      <w:r w:rsidRPr="004D0537">
        <w:t>).</w:t>
      </w:r>
    </w:p>
    <w:p w14:paraId="4AFF9874" w14:textId="05A1810A" w:rsidR="004B06CC" w:rsidRPr="004D0537" w:rsidRDefault="007B6266" w:rsidP="004B06CC">
      <w:pPr>
        <w:spacing w:after="240"/>
        <w:ind w:left="567" w:hanging="567"/>
      </w:pPr>
      <w:r w:rsidRPr="004D0537">
        <w:t>38</w:t>
      </w:r>
      <w:r w:rsidR="004B06CC" w:rsidRPr="004D0537">
        <w:t>.</w:t>
      </w:r>
      <w:r w:rsidR="004B06CC" w:rsidRPr="004D0537">
        <w:tab/>
        <w:t>Europaparlamentet noterar att finansieringskällan för självfinansierade byråer som ingår i denna resolution för 2024 var uppdelad på följande sätt:</w:t>
      </w:r>
    </w:p>
    <w:tbl>
      <w:tblPr>
        <w:tblStyle w:val="TableGrid"/>
        <w:tblW w:w="9433" w:type="dxa"/>
        <w:tblLook w:val="04A0" w:firstRow="1" w:lastRow="0" w:firstColumn="1" w:lastColumn="0" w:noHBand="0" w:noVBand="1"/>
      </w:tblPr>
      <w:tblGrid>
        <w:gridCol w:w="1271"/>
        <w:gridCol w:w="1797"/>
        <w:gridCol w:w="1957"/>
        <w:gridCol w:w="640"/>
        <w:gridCol w:w="1903"/>
        <w:gridCol w:w="640"/>
        <w:gridCol w:w="1348"/>
      </w:tblGrid>
      <w:tr w:rsidR="004B06CC" w:rsidRPr="004D0537" w14:paraId="0F8565FD" w14:textId="77777777" w:rsidTr="00753AD2">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4A887D1F" w14:textId="77777777" w:rsidR="004B06CC" w:rsidRPr="004D0537" w:rsidRDefault="004B06CC" w:rsidP="00753AD2">
            <w:pPr>
              <w:spacing w:after="240"/>
              <w:ind w:left="567" w:hanging="567"/>
            </w:pPr>
          </w:p>
        </w:tc>
        <w:tc>
          <w:tcPr>
            <w:tcW w:w="1797" w:type="dxa"/>
            <w:tcBorders>
              <w:top w:val="single" w:sz="4" w:space="0" w:color="auto"/>
              <w:left w:val="single" w:sz="4" w:space="0" w:color="auto"/>
              <w:bottom w:val="single" w:sz="4" w:space="0" w:color="auto"/>
              <w:right w:val="single" w:sz="4" w:space="0" w:color="auto"/>
            </w:tcBorders>
            <w:noWrap/>
            <w:hideMark/>
          </w:tcPr>
          <w:p w14:paraId="7134E613" w14:textId="77777777" w:rsidR="004B06CC" w:rsidRPr="004D0537" w:rsidRDefault="004B06CC" w:rsidP="00753AD2">
            <w:pPr>
              <w:spacing w:after="240"/>
              <w:ind w:left="567" w:hanging="567"/>
              <w:rPr>
                <w:b/>
                <w:bCs/>
              </w:rPr>
            </w:pPr>
            <w:r w:rsidRPr="004D0537">
              <w:rPr>
                <w:b/>
              </w:rPr>
              <w:t>Inkomster 2024</w:t>
            </w:r>
          </w:p>
        </w:tc>
        <w:tc>
          <w:tcPr>
            <w:tcW w:w="1957" w:type="dxa"/>
            <w:tcBorders>
              <w:top w:val="single" w:sz="4" w:space="0" w:color="auto"/>
              <w:left w:val="single" w:sz="4" w:space="0" w:color="auto"/>
              <w:bottom w:val="single" w:sz="4" w:space="0" w:color="auto"/>
              <w:right w:val="single" w:sz="4" w:space="0" w:color="auto"/>
            </w:tcBorders>
            <w:noWrap/>
            <w:hideMark/>
          </w:tcPr>
          <w:p w14:paraId="156B629D" w14:textId="77777777" w:rsidR="004B06CC" w:rsidRPr="004D0537" w:rsidRDefault="004B06CC" w:rsidP="00753AD2">
            <w:pPr>
              <w:spacing w:after="240"/>
              <w:ind w:left="567" w:hanging="567"/>
              <w:rPr>
                <w:b/>
                <w:bCs/>
              </w:rPr>
            </w:pPr>
            <w:r w:rsidRPr="004D0537">
              <w:rPr>
                <w:b/>
              </w:rPr>
              <w:t xml:space="preserve">EU-bidrag </w:t>
            </w:r>
          </w:p>
        </w:tc>
        <w:tc>
          <w:tcPr>
            <w:tcW w:w="640" w:type="dxa"/>
            <w:tcBorders>
              <w:top w:val="single" w:sz="4" w:space="0" w:color="auto"/>
              <w:left w:val="single" w:sz="4" w:space="0" w:color="auto"/>
              <w:bottom w:val="single" w:sz="4" w:space="0" w:color="auto"/>
              <w:right w:val="single" w:sz="4" w:space="0" w:color="auto"/>
            </w:tcBorders>
            <w:noWrap/>
            <w:hideMark/>
          </w:tcPr>
          <w:p w14:paraId="53B2D050" w14:textId="77777777" w:rsidR="004B06CC" w:rsidRPr="004D0537" w:rsidRDefault="004B06CC" w:rsidP="00753AD2">
            <w:pPr>
              <w:spacing w:after="240"/>
              <w:ind w:left="567" w:hanging="567"/>
              <w:rPr>
                <w:b/>
                <w:bCs/>
              </w:rPr>
            </w:pPr>
            <w:r w:rsidRPr="004D0537">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0DEE7E82" w14:textId="77777777" w:rsidR="004B06CC" w:rsidRPr="004D0537" w:rsidRDefault="004B06CC" w:rsidP="00753AD2">
            <w:pPr>
              <w:spacing w:after="240"/>
              <w:ind w:left="567" w:hanging="567"/>
              <w:rPr>
                <w:b/>
                <w:bCs/>
              </w:rPr>
            </w:pPr>
            <w:r w:rsidRPr="004D0537">
              <w:rPr>
                <w:b/>
              </w:rPr>
              <w:t>Egna inkomster:</w:t>
            </w:r>
            <w:r w:rsidRPr="004D0537">
              <w:rPr>
                <w:vertAlign w:val="superscript"/>
              </w:rPr>
              <w:t xml:space="preserve"> </w:t>
            </w:r>
            <w:r w:rsidRPr="004D0537">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1177F4DB" w14:textId="77777777" w:rsidR="004B06CC" w:rsidRPr="004D0537" w:rsidRDefault="004B06CC" w:rsidP="00753AD2">
            <w:pPr>
              <w:spacing w:after="240"/>
              <w:ind w:left="567" w:hanging="567"/>
              <w:rPr>
                <w:b/>
                <w:bCs/>
              </w:rPr>
            </w:pPr>
            <w:r w:rsidRPr="004D0537">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41F92ECE" w14:textId="77777777" w:rsidR="004B06CC" w:rsidRPr="004D0537" w:rsidRDefault="004B06CC" w:rsidP="00753AD2">
            <w:pPr>
              <w:spacing w:after="240"/>
              <w:ind w:left="567" w:hanging="567"/>
              <w:rPr>
                <w:b/>
                <w:bCs/>
              </w:rPr>
            </w:pPr>
            <w:r w:rsidRPr="004D0537">
              <w:rPr>
                <w:b/>
              </w:rPr>
              <w:t>Övriga</w:t>
            </w:r>
          </w:p>
        </w:tc>
      </w:tr>
      <w:tr w:rsidR="004B06CC" w:rsidRPr="004D0537" w14:paraId="296436AE" w14:textId="77777777" w:rsidTr="00753AD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BA64386" w14:textId="77777777" w:rsidR="004B06CC" w:rsidRPr="004D0537" w:rsidRDefault="004B06CC" w:rsidP="00753AD2">
            <w:pPr>
              <w:spacing w:after="240"/>
              <w:ind w:left="567" w:hanging="567"/>
              <w:rPr>
                <w:sz w:val="18"/>
                <w:szCs w:val="18"/>
              </w:rPr>
            </w:pPr>
            <w:r w:rsidRPr="004D0537">
              <w:rPr>
                <w:sz w:val="18"/>
                <w:szCs w:val="18"/>
              </w:rPr>
              <w:t>Acer</w:t>
            </w:r>
          </w:p>
        </w:tc>
        <w:tc>
          <w:tcPr>
            <w:tcW w:w="1797" w:type="dxa"/>
            <w:tcBorders>
              <w:top w:val="single" w:sz="4" w:space="0" w:color="auto"/>
              <w:left w:val="single" w:sz="4" w:space="0" w:color="auto"/>
              <w:bottom w:val="single" w:sz="4" w:space="0" w:color="auto"/>
              <w:right w:val="single" w:sz="4" w:space="0" w:color="auto"/>
            </w:tcBorders>
            <w:noWrap/>
            <w:hideMark/>
          </w:tcPr>
          <w:p w14:paraId="04793065" w14:textId="77777777" w:rsidR="004B06CC" w:rsidRPr="004D0537" w:rsidRDefault="004B06CC" w:rsidP="00753AD2">
            <w:pPr>
              <w:spacing w:after="240"/>
              <w:ind w:left="567" w:hanging="567"/>
              <w:rPr>
                <w:sz w:val="18"/>
                <w:szCs w:val="18"/>
              </w:rPr>
            </w:pPr>
            <w:r w:rsidRPr="004D0537">
              <w:rPr>
                <w:sz w:val="18"/>
                <w:szCs w:val="18"/>
              </w:rPr>
              <w:t>34 679 976 EUR</w:t>
            </w:r>
          </w:p>
        </w:tc>
        <w:tc>
          <w:tcPr>
            <w:tcW w:w="1957" w:type="dxa"/>
            <w:tcBorders>
              <w:top w:val="single" w:sz="4" w:space="0" w:color="auto"/>
              <w:left w:val="single" w:sz="4" w:space="0" w:color="auto"/>
              <w:bottom w:val="single" w:sz="4" w:space="0" w:color="auto"/>
              <w:right w:val="single" w:sz="4" w:space="0" w:color="auto"/>
            </w:tcBorders>
            <w:noWrap/>
            <w:hideMark/>
          </w:tcPr>
          <w:p w14:paraId="38423575" w14:textId="77777777" w:rsidR="004B06CC" w:rsidRPr="004D0537" w:rsidRDefault="004B06CC" w:rsidP="00753AD2">
            <w:pPr>
              <w:spacing w:after="240"/>
              <w:ind w:left="567" w:hanging="567"/>
              <w:rPr>
                <w:sz w:val="18"/>
                <w:szCs w:val="18"/>
              </w:rPr>
            </w:pPr>
            <w:r w:rsidRPr="004D0537">
              <w:rPr>
                <w:sz w:val="18"/>
                <w:szCs w:val="18"/>
              </w:rPr>
              <w:t>23 012 293 EUR</w:t>
            </w:r>
          </w:p>
        </w:tc>
        <w:tc>
          <w:tcPr>
            <w:tcW w:w="640" w:type="dxa"/>
            <w:tcBorders>
              <w:top w:val="single" w:sz="4" w:space="0" w:color="auto"/>
              <w:left w:val="single" w:sz="4" w:space="0" w:color="auto"/>
              <w:bottom w:val="single" w:sz="4" w:space="0" w:color="auto"/>
              <w:right w:val="single" w:sz="4" w:space="0" w:color="auto"/>
            </w:tcBorders>
            <w:noWrap/>
            <w:hideMark/>
          </w:tcPr>
          <w:p w14:paraId="5F09AE22" w14:textId="77777777" w:rsidR="004B06CC" w:rsidRPr="004D0537" w:rsidRDefault="004B06CC" w:rsidP="00753AD2">
            <w:pPr>
              <w:spacing w:after="240"/>
              <w:ind w:left="567" w:hanging="567"/>
              <w:rPr>
                <w:sz w:val="18"/>
                <w:szCs w:val="18"/>
              </w:rPr>
            </w:pPr>
            <w:r w:rsidRPr="004D0537">
              <w:rPr>
                <w:sz w:val="18"/>
                <w:szCs w:val="18"/>
              </w:rPr>
              <w:t>66 %</w:t>
            </w:r>
          </w:p>
        </w:tc>
        <w:tc>
          <w:tcPr>
            <w:tcW w:w="1780" w:type="dxa"/>
            <w:tcBorders>
              <w:top w:val="single" w:sz="4" w:space="0" w:color="auto"/>
              <w:left w:val="single" w:sz="4" w:space="0" w:color="auto"/>
              <w:bottom w:val="single" w:sz="4" w:space="0" w:color="auto"/>
              <w:right w:val="single" w:sz="4" w:space="0" w:color="auto"/>
            </w:tcBorders>
            <w:noWrap/>
            <w:hideMark/>
          </w:tcPr>
          <w:p w14:paraId="116A2605" w14:textId="77777777" w:rsidR="004B06CC" w:rsidRPr="004D0537" w:rsidRDefault="004B06CC" w:rsidP="00753AD2">
            <w:pPr>
              <w:spacing w:after="240"/>
              <w:ind w:left="567" w:hanging="567"/>
              <w:rPr>
                <w:sz w:val="18"/>
                <w:szCs w:val="18"/>
              </w:rPr>
            </w:pPr>
            <w:r w:rsidRPr="004D0537">
              <w:rPr>
                <w:sz w:val="18"/>
                <w:szCs w:val="18"/>
              </w:rPr>
              <w:t>11 667 683 EUR</w:t>
            </w:r>
          </w:p>
        </w:tc>
        <w:tc>
          <w:tcPr>
            <w:tcW w:w="640" w:type="dxa"/>
            <w:tcBorders>
              <w:top w:val="single" w:sz="4" w:space="0" w:color="auto"/>
              <w:left w:val="single" w:sz="4" w:space="0" w:color="auto"/>
              <w:bottom w:val="single" w:sz="4" w:space="0" w:color="auto"/>
              <w:right w:val="single" w:sz="4" w:space="0" w:color="auto"/>
            </w:tcBorders>
            <w:noWrap/>
            <w:hideMark/>
          </w:tcPr>
          <w:p w14:paraId="30415539" w14:textId="77777777" w:rsidR="004B06CC" w:rsidRPr="004D0537" w:rsidRDefault="004B06CC" w:rsidP="00753AD2">
            <w:pPr>
              <w:spacing w:after="240"/>
              <w:ind w:left="567" w:hanging="567"/>
              <w:rPr>
                <w:sz w:val="18"/>
                <w:szCs w:val="18"/>
              </w:rPr>
            </w:pPr>
            <w:r w:rsidRPr="004D0537">
              <w:rPr>
                <w:sz w:val="18"/>
                <w:szCs w:val="18"/>
              </w:rPr>
              <w:t>34 %</w:t>
            </w:r>
          </w:p>
        </w:tc>
        <w:tc>
          <w:tcPr>
            <w:tcW w:w="1348" w:type="dxa"/>
            <w:tcBorders>
              <w:top w:val="single" w:sz="4" w:space="0" w:color="auto"/>
              <w:left w:val="single" w:sz="4" w:space="0" w:color="auto"/>
              <w:bottom w:val="single" w:sz="4" w:space="0" w:color="auto"/>
              <w:right w:val="single" w:sz="4" w:space="0" w:color="auto"/>
            </w:tcBorders>
            <w:noWrap/>
            <w:hideMark/>
          </w:tcPr>
          <w:p w14:paraId="556F4984" w14:textId="77777777" w:rsidR="004B06CC" w:rsidRPr="004D0537" w:rsidRDefault="004B06CC" w:rsidP="00753AD2">
            <w:pPr>
              <w:spacing w:after="240"/>
              <w:ind w:left="567" w:hanging="567"/>
              <w:rPr>
                <w:sz w:val="18"/>
                <w:szCs w:val="18"/>
              </w:rPr>
            </w:pPr>
            <w:r w:rsidRPr="004D0537">
              <w:rPr>
                <w:sz w:val="18"/>
                <w:szCs w:val="18"/>
              </w:rPr>
              <w:t>0 EUR</w:t>
            </w:r>
          </w:p>
        </w:tc>
      </w:tr>
      <w:tr w:rsidR="004B06CC" w:rsidRPr="004D0537" w14:paraId="26A90B4E" w14:textId="77777777" w:rsidTr="00753AD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4927001" w14:textId="77777777" w:rsidR="004B06CC" w:rsidRPr="004D0537" w:rsidRDefault="004B06CC" w:rsidP="00753AD2">
            <w:pPr>
              <w:spacing w:after="240"/>
              <w:ind w:left="567" w:hanging="567"/>
              <w:rPr>
                <w:sz w:val="18"/>
                <w:szCs w:val="18"/>
              </w:rPr>
            </w:pPr>
            <w:r w:rsidRPr="004D0537">
              <w:rPr>
                <w:sz w:val="18"/>
                <w:szCs w:val="18"/>
              </w:rPr>
              <w:t xml:space="preserve">CDT </w:t>
            </w:r>
          </w:p>
        </w:tc>
        <w:tc>
          <w:tcPr>
            <w:tcW w:w="1797" w:type="dxa"/>
            <w:tcBorders>
              <w:top w:val="single" w:sz="4" w:space="0" w:color="auto"/>
              <w:left w:val="single" w:sz="4" w:space="0" w:color="auto"/>
              <w:bottom w:val="single" w:sz="4" w:space="0" w:color="auto"/>
              <w:right w:val="single" w:sz="4" w:space="0" w:color="auto"/>
            </w:tcBorders>
            <w:noWrap/>
            <w:hideMark/>
          </w:tcPr>
          <w:p w14:paraId="00DF9216" w14:textId="77777777" w:rsidR="004B06CC" w:rsidRPr="004D0537" w:rsidRDefault="004B06CC" w:rsidP="00753AD2">
            <w:pPr>
              <w:spacing w:after="240"/>
              <w:ind w:left="567" w:hanging="567"/>
              <w:rPr>
                <w:sz w:val="18"/>
                <w:szCs w:val="18"/>
              </w:rPr>
            </w:pPr>
            <w:r w:rsidRPr="004D0537">
              <w:rPr>
                <w:sz w:val="18"/>
                <w:szCs w:val="18"/>
              </w:rPr>
              <w:t>45 346 300 EUR</w:t>
            </w:r>
          </w:p>
        </w:tc>
        <w:tc>
          <w:tcPr>
            <w:tcW w:w="1957" w:type="dxa"/>
            <w:tcBorders>
              <w:top w:val="single" w:sz="4" w:space="0" w:color="auto"/>
              <w:left w:val="single" w:sz="4" w:space="0" w:color="auto"/>
              <w:bottom w:val="single" w:sz="4" w:space="0" w:color="auto"/>
              <w:right w:val="single" w:sz="4" w:space="0" w:color="auto"/>
            </w:tcBorders>
            <w:noWrap/>
            <w:hideMark/>
          </w:tcPr>
          <w:p w14:paraId="1BF4008E" w14:textId="77777777" w:rsidR="004B06CC" w:rsidRPr="004D0537" w:rsidRDefault="004B06CC" w:rsidP="00753AD2">
            <w:pPr>
              <w:spacing w:after="240"/>
              <w:ind w:left="567" w:hanging="567"/>
              <w:rPr>
                <w:sz w:val="18"/>
                <w:szCs w:val="18"/>
              </w:rPr>
            </w:pPr>
            <w:r w:rsidRPr="004D0537">
              <w:rPr>
                <w:sz w:val="18"/>
                <w:szCs w:val="18"/>
              </w:rPr>
              <w:t>0 EUR</w:t>
            </w:r>
          </w:p>
        </w:tc>
        <w:tc>
          <w:tcPr>
            <w:tcW w:w="640" w:type="dxa"/>
            <w:tcBorders>
              <w:top w:val="single" w:sz="4" w:space="0" w:color="auto"/>
              <w:left w:val="single" w:sz="4" w:space="0" w:color="auto"/>
              <w:bottom w:val="single" w:sz="4" w:space="0" w:color="auto"/>
              <w:right w:val="single" w:sz="4" w:space="0" w:color="auto"/>
            </w:tcBorders>
            <w:noWrap/>
            <w:hideMark/>
          </w:tcPr>
          <w:p w14:paraId="7AC601A7" w14:textId="77777777" w:rsidR="004B06CC" w:rsidRPr="004D0537" w:rsidRDefault="004B06CC" w:rsidP="00753AD2">
            <w:pPr>
              <w:spacing w:after="240"/>
              <w:ind w:left="567" w:hanging="567"/>
              <w:rPr>
                <w:sz w:val="18"/>
                <w:szCs w:val="18"/>
              </w:rPr>
            </w:pPr>
            <w:r w:rsidRPr="004D0537">
              <w:rPr>
                <w:sz w:val="18"/>
                <w:szCs w:val="18"/>
              </w:rPr>
              <w:t>0 %</w:t>
            </w:r>
          </w:p>
        </w:tc>
        <w:tc>
          <w:tcPr>
            <w:tcW w:w="1780" w:type="dxa"/>
            <w:tcBorders>
              <w:top w:val="single" w:sz="4" w:space="0" w:color="auto"/>
              <w:left w:val="single" w:sz="4" w:space="0" w:color="auto"/>
              <w:bottom w:val="single" w:sz="4" w:space="0" w:color="auto"/>
              <w:right w:val="single" w:sz="4" w:space="0" w:color="auto"/>
            </w:tcBorders>
            <w:noWrap/>
            <w:hideMark/>
          </w:tcPr>
          <w:p w14:paraId="193A669C" w14:textId="77777777" w:rsidR="004B06CC" w:rsidRPr="004D0537" w:rsidRDefault="004B06CC" w:rsidP="00753AD2">
            <w:pPr>
              <w:spacing w:after="240"/>
              <w:ind w:left="567" w:hanging="567"/>
              <w:rPr>
                <w:sz w:val="18"/>
                <w:szCs w:val="18"/>
              </w:rPr>
            </w:pPr>
            <w:r w:rsidRPr="004D0537">
              <w:rPr>
                <w:sz w:val="18"/>
                <w:szCs w:val="18"/>
              </w:rPr>
              <w:t>44 411 200 EUR</w:t>
            </w:r>
          </w:p>
        </w:tc>
        <w:tc>
          <w:tcPr>
            <w:tcW w:w="640" w:type="dxa"/>
            <w:tcBorders>
              <w:top w:val="single" w:sz="4" w:space="0" w:color="auto"/>
              <w:left w:val="single" w:sz="4" w:space="0" w:color="auto"/>
              <w:bottom w:val="single" w:sz="4" w:space="0" w:color="auto"/>
              <w:right w:val="single" w:sz="4" w:space="0" w:color="auto"/>
            </w:tcBorders>
            <w:noWrap/>
            <w:hideMark/>
          </w:tcPr>
          <w:p w14:paraId="707F1EFF" w14:textId="77777777" w:rsidR="004B06CC" w:rsidRPr="004D0537" w:rsidRDefault="004B06CC" w:rsidP="00753AD2">
            <w:pPr>
              <w:spacing w:after="240"/>
              <w:ind w:left="567" w:hanging="567"/>
              <w:rPr>
                <w:sz w:val="18"/>
                <w:szCs w:val="18"/>
              </w:rPr>
            </w:pPr>
            <w:r w:rsidRPr="004D0537">
              <w:rPr>
                <w:sz w:val="18"/>
                <w:szCs w:val="18"/>
              </w:rPr>
              <w:t>98 %</w:t>
            </w:r>
          </w:p>
        </w:tc>
        <w:tc>
          <w:tcPr>
            <w:tcW w:w="1348" w:type="dxa"/>
            <w:tcBorders>
              <w:top w:val="single" w:sz="4" w:space="0" w:color="auto"/>
              <w:left w:val="single" w:sz="4" w:space="0" w:color="auto"/>
              <w:bottom w:val="single" w:sz="4" w:space="0" w:color="auto"/>
              <w:right w:val="single" w:sz="4" w:space="0" w:color="auto"/>
            </w:tcBorders>
            <w:noWrap/>
            <w:hideMark/>
          </w:tcPr>
          <w:p w14:paraId="57D522E8" w14:textId="77777777" w:rsidR="004B06CC" w:rsidRPr="004D0537" w:rsidRDefault="004B06CC" w:rsidP="00753AD2">
            <w:pPr>
              <w:spacing w:after="240"/>
              <w:ind w:left="567" w:hanging="567"/>
              <w:rPr>
                <w:sz w:val="18"/>
                <w:szCs w:val="18"/>
              </w:rPr>
            </w:pPr>
            <w:r w:rsidRPr="004D0537">
              <w:rPr>
                <w:sz w:val="18"/>
                <w:szCs w:val="18"/>
              </w:rPr>
              <w:t>935 100 EUR</w:t>
            </w:r>
          </w:p>
        </w:tc>
      </w:tr>
      <w:tr w:rsidR="004B06CC" w:rsidRPr="004D0537" w14:paraId="3055C42A" w14:textId="77777777" w:rsidTr="00753AD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E236DD4" w14:textId="77777777" w:rsidR="004B06CC" w:rsidRPr="004D0537" w:rsidRDefault="004B06CC" w:rsidP="00753AD2">
            <w:pPr>
              <w:spacing w:after="240"/>
              <w:ind w:left="567" w:hanging="567"/>
              <w:rPr>
                <w:sz w:val="18"/>
                <w:szCs w:val="18"/>
              </w:rPr>
            </w:pPr>
            <w:proofErr w:type="spellStart"/>
            <w:r w:rsidRPr="004D0537">
              <w:rPr>
                <w:sz w:val="18"/>
                <w:szCs w:val="18"/>
              </w:rPr>
              <w:t>Easa</w:t>
            </w:r>
            <w:proofErr w:type="spellEnd"/>
            <w:r w:rsidRPr="004D0537">
              <w:rPr>
                <w:sz w:val="18"/>
                <w:szCs w:val="18"/>
              </w:rPr>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70392439" w14:textId="77777777" w:rsidR="004B06CC" w:rsidRPr="004D0537" w:rsidRDefault="004B06CC" w:rsidP="00753AD2">
            <w:pPr>
              <w:spacing w:after="240"/>
              <w:ind w:left="567" w:hanging="567"/>
              <w:rPr>
                <w:sz w:val="18"/>
                <w:szCs w:val="18"/>
              </w:rPr>
            </w:pPr>
            <w:r w:rsidRPr="004D0537">
              <w:rPr>
                <w:sz w:val="18"/>
                <w:szCs w:val="18"/>
              </w:rPr>
              <w:t>183 306 903,00 EUR</w:t>
            </w:r>
          </w:p>
        </w:tc>
        <w:tc>
          <w:tcPr>
            <w:tcW w:w="1957" w:type="dxa"/>
            <w:tcBorders>
              <w:top w:val="single" w:sz="4" w:space="0" w:color="auto"/>
              <w:left w:val="single" w:sz="4" w:space="0" w:color="auto"/>
              <w:bottom w:val="single" w:sz="4" w:space="0" w:color="auto"/>
              <w:right w:val="single" w:sz="4" w:space="0" w:color="auto"/>
            </w:tcBorders>
            <w:noWrap/>
            <w:hideMark/>
          </w:tcPr>
          <w:p w14:paraId="5B2F801D" w14:textId="77777777" w:rsidR="004B06CC" w:rsidRPr="004D0537" w:rsidRDefault="004B06CC" w:rsidP="00753AD2">
            <w:pPr>
              <w:spacing w:after="240"/>
              <w:ind w:left="567" w:hanging="567"/>
              <w:rPr>
                <w:sz w:val="18"/>
                <w:szCs w:val="18"/>
              </w:rPr>
            </w:pPr>
            <w:r w:rsidRPr="004D0537">
              <w:rPr>
                <w:sz w:val="18"/>
                <w:szCs w:val="18"/>
              </w:rPr>
              <w:t>44 984 486 EUR</w:t>
            </w:r>
          </w:p>
        </w:tc>
        <w:tc>
          <w:tcPr>
            <w:tcW w:w="640" w:type="dxa"/>
            <w:tcBorders>
              <w:top w:val="single" w:sz="4" w:space="0" w:color="auto"/>
              <w:left w:val="single" w:sz="4" w:space="0" w:color="auto"/>
              <w:bottom w:val="single" w:sz="4" w:space="0" w:color="auto"/>
              <w:right w:val="single" w:sz="4" w:space="0" w:color="auto"/>
            </w:tcBorders>
            <w:noWrap/>
            <w:hideMark/>
          </w:tcPr>
          <w:p w14:paraId="4852B778" w14:textId="77777777" w:rsidR="004B06CC" w:rsidRPr="004D0537" w:rsidRDefault="004B06CC" w:rsidP="00753AD2">
            <w:pPr>
              <w:spacing w:after="240"/>
              <w:ind w:left="567" w:hanging="567"/>
              <w:rPr>
                <w:sz w:val="18"/>
                <w:szCs w:val="18"/>
              </w:rPr>
            </w:pPr>
            <w:r w:rsidRPr="004D0537">
              <w:rPr>
                <w:sz w:val="18"/>
                <w:szCs w:val="18"/>
              </w:rPr>
              <w:t>25 %</w:t>
            </w:r>
          </w:p>
        </w:tc>
        <w:tc>
          <w:tcPr>
            <w:tcW w:w="1780" w:type="dxa"/>
            <w:tcBorders>
              <w:top w:val="single" w:sz="4" w:space="0" w:color="auto"/>
              <w:left w:val="single" w:sz="4" w:space="0" w:color="auto"/>
              <w:bottom w:val="single" w:sz="4" w:space="0" w:color="auto"/>
              <w:right w:val="single" w:sz="4" w:space="0" w:color="auto"/>
            </w:tcBorders>
            <w:noWrap/>
            <w:hideMark/>
          </w:tcPr>
          <w:p w14:paraId="285555C1" w14:textId="77777777" w:rsidR="004B06CC" w:rsidRPr="004D0537" w:rsidRDefault="004B06CC" w:rsidP="00753AD2">
            <w:pPr>
              <w:spacing w:after="240"/>
              <w:ind w:left="567" w:hanging="567"/>
              <w:rPr>
                <w:sz w:val="18"/>
                <w:szCs w:val="18"/>
              </w:rPr>
            </w:pPr>
            <w:r w:rsidRPr="004D0537">
              <w:rPr>
                <w:sz w:val="18"/>
                <w:szCs w:val="18"/>
              </w:rPr>
              <w:t>135 687 417 EUR</w:t>
            </w:r>
          </w:p>
        </w:tc>
        <w:tc>
          <w:tcPr>
            <w:tcW w:w="640" w:type="dxa"/>
            <w:tcBorders>
              <w:top w:val="single" w:sz="4" w:space="0" w:color="auto"/>
              <w:left w:val="single" w:sz="4" w:space="0" w:color="auto"/>
              <w:bottom w:val="single" w:sz="4" w:space="0" w:color="auto"/>
              <w:right w:val="single" w:sz="4" w:space="0" w:color="auto"/>
            </w:tcBorders>
            <w:noWrap/>
            <w:hideMark/>
          </w:tcPr>
          <w:p w14:paraId="6CC79AD0" w14:textId="77777777" w:rsidR="004B06CC" w:rsidRPr="004D0537" w:rsidRDefault="004B06CC" w:rsidP="00753AD2">
            <w:pPr>
              <w:spacing w:after="240"/>
              <w:ind w:left="567" w:hanging="567"/>
              <w:rPr>
                <w:sz w:val="18"/>
                <w:szCs w:val="18"/>
              </w:rPr>
            </w:pPr>
            <w:r w:rsidRPr="004D0537">
              <w:rPr>
                <w:sz w:val="18"/>
                <w:szCs w:val="18"/>
              </w:rPr>
              <w:t>74 %</w:t>
            </w:r>
          </w:p>
        </w:tc>
        <w:tc>
          <w:tcPr>
            <w:tcW w:w="1348" w:type="dxa"/>
            <w:tcBorders>
              <w:top w:val="single" w:sz="4" w:space="0" w:color="auto"/>
              <w:left w:val="single" w:sz="4" w:space="0" w:color="auto"/>
              <w:bottom w:val="single" w:sz="4" w:space="0" w:color="auto"/>
              <w:right w:val="single" w:sz="4" w:space="0" w:color="auto"/>
            </w:tcBorders>
            <w:noWrap/>
            <w:hideMark/>
          </w:tcPr>
          <w:p w14:paraId="408B0543" w14:textId="77777777" w:rsidR="004B06CC" w:rsidRPr="004D0537" w:rsidRDefault="004B06CC" w:rsidP="00753AD2">
            <w:pPr>
              <w:spacing w:after="240"/>
              <w:ind w:left="567" w:hanging="567"/>
              <w:rPr>
                <w:sz w:val="18"/>
                <w:szCs w:val="18"/>
              </w:rPr>
            </w:pPr>
            <w:r w:rsidRPr="004D0537">
              <w:rPr>
                <w:sz w:val="18"/>
                <w:szCs w:val="18"/>
              </w:rPr>
              <w:t>2 635 000 EUR</w:t>
            </w:r>
          </w:p>
        </w:tc>
      </w:tr>
      <w:tr w:rsidR="004B06CC" w:rsidRPr="004D0537" w14:paraId="3C64EDDE" w14:textId="77777777" w:rsidTr="00753AD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5535D84" w14:textId="77777777" w:rsidR="004B06CC" w:rsidRPr="004D0537" w:rsidRDefault="004B06CC" w:rsidP="00753AD2">
            <w:pPr>
              <w:spacing w:after="240"/>
              <w:ind w:left="567" w:hanging="567"/>
              <w:rPr>
                <w:sz w:val="18"/>
                <w:szCs w:val="18"/>
              </w:rPr>
            </w:pPr>
            <w:r w:rsidRPr="004D0537">
              <w:rPr>
                <w:sz w:val="18"/>
                <w:szCs w:val="18"/>
              </w:rPr>
              <w:t xml:space="preserve">EBA </w:t>
            </w:r>
            <w:r w:rsidRPr="004D0537">
              <w:rPr>
                <w:sz w:val="18"/>
                <w:szCs w:val="18"/>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4A377E20" w14:textId="77777777" w:rsidR="004B06CC" w:rsidRPr="004D0537" w:rsidRDefault="004B06CC" w:rsidP="00753AD2">
            <w:pPr>
              <w:spacing w:after="240"/>
              <w:ind w:left="567" w:hanging="567"/>
              <w:rPr>
                <w:sz w:val="18"/>
                <w:szCs w:val="18"/>
              </w:rPr>
            </w:pPr>
            <w:r w:rsidRPr="004D0537">
              <w:rPr>
                <w:sz w:val="18"/>
                <w:szCs w:val="18"/>
              </w:rPr>
              <w:t>56 906 201 EUR</w:t>
            </w:r>
          </w:p>
        </w:tc>
        <w:tc>
          <w:tcPr>
            <w:tcW w:w="1957" w:type="dxa"/>
            <w:tcBorders>
              <w:top w:val="single" w:sz="4" w:space="0" w:color="auto"/>
              <w:left w:val="single" w:sz="4" w:space="0" w:color="auto"/>
              <w:bottom w:val="single" w:sz="4" w:space="0" w:color="auto"/>
              <w:right w:val="single" w:sz="4" w:space="0" w:color="auto"/>
            </w:tcBorders>
            <w:noWrap/>
            <w:hideMark/>
          </w:tcPr>
          <w:p w14:paraId="4DEE5E0D" w14:textId="77777777" w:rsidR="004B06CC" w:rsidRPr="004D0537" w:rsidRDefault="004B06CC" w:rsidP="00753AD2">
            <w:pPr>
              <w:spacing w:after="240"/>
              <w:ind w:left="567" w:hanging="567"/>
              <w:rPr>
                <w:sz w:val="18"/>
                <w:szCs w:val="18"/>
              </w:rPr>
            </w:pPr>
            <w:r w:rsidRPr="004D0537">
              <w:rPr>
                <w:sz w:val="18"/>
                <w:szCs w:val="18"/>
              </w:rPr>
              <w:t>20 857 871 EUR</w:t>
            </w:r>
          </w:p>
        </w:tc>
        <w:tc>
          <w:tcPr>
            <w:tcW w:w="640" w:type="dxa"/>
            <w:tcBorders>
              <w:top w:val="single" w:sz="4" w:space="0" w:color="auto"/>
              <w:left w:val="single" w:sz="4" w:space="0" w:color="auto"/>
              <w:bottom w:val="single" w:sz="4" w:space="0" w:color="auto"/>
              <w:right w:val="single" w:sz="4" w:space="0" w:color="auto"/>
            </w:tcBorders>
            <w:noWrap/>
            <w:hideMark/>
          </w:tcPr>
          <w:p w14:paraId="4C9AFD0D" w14:textId="77777777" w:rsidR="004B06CC" w:rsidRPr="004D0537" w:rsidRDefault="004B06CC" w:rsidP="00753AD2">
            <w:pPr>
              <w:spacing w:after="240"/>
              <w:ind w:left="567" w:hanging="567"/>
              <w:rPr>
                <w:sz w:val="18"/>
                <w:szCs w:val="18"/>
              </w:rPr>
            </w:pPr>
            <w:r w:rsidRPr="004D0537">
              <w:rPr>
                <w:sz w:val="18"/>
                <w:szCs w:val="18"/>
              </w:rPr>
              <w:t>37 %</w:t>
            </w:r>
          </w:p>
        </w:tc>
        <w:tc>
          <w:tcPr>
            <w:tcW w:w="1780" w:type="dxa"/>
            <w:tcBorders>
              <w:top w:val="single" w:sz="4" w:space="0" w:color="auto"/>
              <w:left w:val="single" w:sz="4" w:space="0" w:color="auto"/>
              <w:bottom w:val="single" w:sz="4" w:space="0" w:color="auto"/>
              <w:right w:val="single" w:sz="4" w:space="0" w:color="auto"/>
            </w:tcBorders>
            <w:noWrap/>
            <w:hideMark/>
          </w:tcPr>
          <w:p w14:paraId="70EABDE0" w14:textId="77777777" w:rsidR="004B06CC" w:rsidRPr="004D0537" w:rsidRDefault="004B06CC" w:rsidP="00753AD2">
            <w:pPr>
              <w:spacing w:after="240"/>
              <w:ind w:left="567" w:hanging="567"/>
              <w:rPr>
                <w:sz w:val="18"/>
                <w:szCs w:val="18"/>
              </w:rPr>
            </w:pPr>
            <w:r w:rsidRPr="004D0537">
              <w:rPr>
                <w:sz w:val="18"/>
                <w:szCs w:val="18"/>
              </w:rPr>
              <w:t>34 062 640 EUR</w:t>
            </w:r>
          </w:p>
        </w:tc>
        <w:tc>
          <w:tcPr>
            <w:tcW w:w="640" w:type="dxa"/>
            <w:tcBorders>
              <w:top w:val="single" w:sz="4" w:space="0" w:color="auto"/>
              <w:left w:val="single" w:sz="4" w:space="0" w:color="auto"/>
              <w:bottom w:val="single" w:sz="4" w:space="0" w:color="auto"/>
              <w:right w:val="single" w:sz="4" w:space="0" w:color="auto"/>
            </w:tcBorders>
            <w:noWrap/>
            <w:hideMark/>
          </w:tcPr>
          <w:p w14:paraId="788338A0" w14:textId="77777777" w:rsidR="004B06CC" w:rsidRPr="004D0537" w:rsidRDefault="004B06CC" w:rsidP="00753AD2">
            <w:pPr>
              <w:spacing w:after="240"/>
              <w:ind w:left="567" w:hanging="567"/>
              <w:rPr>
                <w:sz w:val="18"/>
                <w:szCs w:val="18"/>
              </w:rPr>
            </w:pPr>
            <w:r w:rsidRPr="004D0537">
              <w:rPr>
                <w:sz w:val="18"/>
                <w:szCs w:val="18"/>
              </w:rPr>
              <w:t>60 %</w:t>
            </w:r>
          </w:p>
        </w:tc>
        <w:tc>
          <w:tcPr>
            <w:tcW w:w="1348" w:type="dxa"/>
            <w:tcBorders>
              <w:top w:val="single" w:sz="4" w:space="0" w:color="auto"/>
              <w:left w:val="single" w:sz="4" w:space="0" w:color="auto"/>
              <w:bottom w:val="single" w:sz="4" w:space="0" w:color="auto"/>
              <w:right w:val="single" w:sz="4" w:space="0" w:color="auto"/>
            </w:tcBorders>
            <w:noWrap/>
            <w:hideMark/>
          </w:tcPr>
          <w:p w14:paraId="5D2054E0" w14:textId="77777777" w:rsidR="004B06CC" w:rsidRPr="004D0537" w:rsidRDefault="004B06CC" w:rsidP="00753AD2">
            <w:pPr>
              <w:spacing w:after="240"/>
              <w:ind w:left="567" w:hanging="567"/>
              <w:rPr>
                <w:sz w:val="18"/>
                <w:szCs w:val="18"/>
              </w:rPr>
            </w:pPr>
            <w:r w:rsidRPr="004D0537">
              <w:rPr>
                <w:sz w:val="18"/>
                <w:szCs w:val="18"/>
              </w:rPr>
              <w:t>1 985 690 EUR</w:t>
            </w:r>
          </w:p>
        </w:tc>
      </w:tr>
      <w:tr w:rsidR="004B06CC" w:rsidRPr="004D0537" w14:paraId="2FF275A8" w14:textId="77777777" w:rsidTr="00753AD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70624FC" w14:textId="77777777" w:rsidR="004B06CC" w:rsidRPr="004D0537" w:rsidRDefault="004B06CC" w:rsidP="00753AD2">
            <w:pPr>
              <w:spacing w:after="240"/>
              <w:ind w:left="567" w:hanging="567"/>
              <w:rPr>
                <w:sz w:val="18"/>
                <w:szCs w:val="18"/>
              </w:rPr>
            </w:pPr>
            <w:proofErr w:type="spellStart"/>
            <w:r w:rsidRPr="004D0537">
              <w:rPr>
                <w:sz w:val="18"/>
                <w:szCs w:val="18"/>
              </w:rPr>
              <w:lastRenderedPageBreak/>
              <w:t>Echa</w:t>
            </w:r>
            <w:proofErr w:type="spellEnd"/>
            <w:r w:rsidRPr="004D0537">
              <w:rPr>
                <w:sz w:val="18"/>
                <w:szCs w:val="18"/>
              </w:rPr>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11C58807" w14:textId="77777777" w:rsidR="004B06CC" w:rsidRPr="004D0537" w:rsidRDefault="004B06CC" w:rsidP="00753AD2">
            <w:pPr>
              <w:spacing w:after="240"/>
              <w:ind w:left="567" w:hanging="567"/>
              <w:rPr>
                <w:sz w:val="18"/>
                <w:szCs w:val="18"/>
              </w:rPr>
            </w:pPr>
            <w:r w:rsidRPr="004D0537">
              <w:rPr>
                <w:sz w:val="18"/>
                <w:szCs w:val="18"/>
              </w:rPr>
              <w:t>128 712 666 EUR</w:t>
            </w:r>
          </w:p>
        </w:tc>
        <w:tc>
          <w:tcPr>
            <w:tcW w:w="1957" w:type="dxa"/>
            <w:tcBorders>
              <w:top w:val="single" w:sz="4" w:space="0" w:color="auto"/>
              <w:left w:val="single" w:sz="4" w:space="0" w:color="auto"/>
              <w:bottom w:val="single" w:sz="4" w:space="0" w:color="auto"/>
              <w:right w:val="single" w:sz="4" w:space="0" w:color="auto"/>
            </w:tcBorders>
            <w:noWrap/>
            <w:hideMark/>
          </w:tcPr>
          <w:p w14:paraId="62003C06" w14:textId="77777777" w:rsidR="004B06CC" w:rsidRPr="004D0537" w:rsidRDefault="004B06CC" w:rsidP="00753AD2">
            <w:pPr>
              <w:spacing w:after="240"/>
              <w:ind w:left="567" w:hanging="567"/>
              <w:rPr>
                <w:sz w:val="18"/>
                <w:szCs w:val="18"/>
              </w:rPr>
            </w:pPr>
            <w:r w:rsidRPr="004D0537">
              <w:rPr>
                <w:sz w:val="18"/>
                <w:szCs w:val="18"/>
              </w:rPr>
              <w:t>88 028 813 EUR</w:t>
            </w:r>
          </w:p>
        </w:tc>
        <w:tc>
          <w:tcPr>
            <w:tcW w:w="640" w:type="dxa"/>
            <w:tcBorders>
              <w:top w:val="single" w:sz="4" w:space="0" w:color="auto"/>
              <w:left w:val="single" w:sz="4" w:space="0" w:color="auto"/>
              <w:bottom w:val="single" w:sz="4" w:space="0" w:color="auto"/>
              <w:right w:val="single" w:sz="4" w:space="0" w:color="auto"/>
            </w:tcBorders>
            <w:noWrap/>
            <w:hideMark/>
          </w:tcPr>
          <w:p w14:paraId="3E0B96F5" w14:textId="77777777" w:rsidR="004B06CC" w:rsidRPr="004D0537" w:rsidRDefault="004B06CC" w:rsidP="00753AD2">
            <w:pPr>
              <w:spacing w:after="240"/>
              <w:ind w:left="567" w:hanging="567"/>
              <w:rPr>
                <w:sz w:val="18"/>
                <w:szCs w:val="18"/>
              </w:rPr>
            </w:pPr>
            <w:r w:rsidRPr="004D0537">
              <w:rPr>
                <w:sz w:val="18"/>
                <w:szCs w:val="18"/>
              </w:rPr>
              <w:t>68 %</w:t>
            </w:r>
          </w:p>
        </w:tc>
        <w:tc>
          <w:tcPr>
            <w:tcW w:w="1780" w:type="dxa"/>
            <w:tcBorders>
              <w:top w:val="single" w:sz="4" w:space="0" w:color="auto"/>
              <w:left w:val="single" w:sz="4" w:space="0" w:color="auto"/>
              <w:bottom w:val="single" w:sz="4" w:space="0" w:color="auto"/>
              <w:right w:val="single" w:sz="4" w:space="0" w:color="auto"/>
            </w:tcBorders>
            <w:noWrap/>
            <w:hideMark/>
          </w:tcPr>
          <w:p w14:paraId="5DAB1A9B" w14:textId="77777777" w:rsidR="004B06CC" w:rsidRPr="004D0537" w:rsidRDefault="004B06CC" w:rsidP="00753AD2">
            <w:pPr>
              <w:spacing w:after="240"/>
              <w:ind w:left="567" w:hanging="567"/>
              <w:rPr>
                <w:sz w:val="18"/>
                <w:szCs w:val="18"/>
              </w:rPr>
            </w:pPr>
            <w:r w:rsidRPr="004D0537">
              <w:rPr>
                <w:sz w:val="18"/>
                <w:szCs w:val="18"/>
              </w:rPr>
              <w:t>34 117 052 EUR</w:t>
            </w:r>
          </w:p>
        </w:tc>
        <w:tc>
          <w:tcPr>
            <w:tcW w:w="640" w:type="dxa"/>
            <w:tcBorders>
              <w:top w:val="single" w:sz="4" w:space="0" w:color="auto"/>
              <w:left w:val="single" w:sz="4" w:space="0" w:color="auto"/>
              <w:bottom w:val="single" w:sz="4" w:space="0" w:color="auto"/>
              <w:right w:val="single" w:sz="4" w:space="0" w:color="auto"/>
            </w:tcBorders>
            <w:noWrap/>
            <w:hideMark/>
          </w:tcPr>
          <w:p w14:paraId="082891D7" w14:textId="77777777" w:rsidR="004B06CC" w:rsidRPr="004D0537" w:rsidRDefault="004B06CC" w:rsidP="00753AD2">
            <w:pPr>
              <w:spacing w:after="240"/>
              <w:ind w:left="567" w:hanging="567"/>
              <w:rPr>
                <w:sz w:val="18"/>
                <w:szCs w:val="18"/>
              </w:rPr>
            </w:pPr>
            <w:r w:rsidRPr="004D0537">
              <w:rPr>
                <w:sz w:val="18"/>
                <w:szCs w:val="18"/>
              </w:rPr>
              <w:t>27 %</w:t>
            </w:r>
          </w:p>
        </w:tc>
        <w:tc>
          <w:tcPr>
            <w:tcW w:w="1348" w:type="dxa"/>
            <w:tcBorders>
              <w:top w:val="single" w:sz="4" w:space="0" w:color="auto"/>
              <w:left w:val="single" w:sz="4" w:space="0" w:color="auto"/>
              <w:bottom w:val="single" w:sz="4" w:space="0" w:color="auto"/>
              <w:right w:val="single" w:sz="4" w:space="0" w:color="auto"/>
            </w:tcBorders>
            <w:noWrap/>
            <w:hideMark/>
          </w:tcPr>
          <w:p w14:paraId="176F9D4E" w14:textId="77777777" w:rsidR="004B06CC" w:rsidRPr="004D0537" w:rsidRDefault="004B06CC" w:rsidP="00753AD2">
            <w:pPr>
              <w:spacing w:after="240"/>
              <w:ind w:left="567" w:hanging="567"/>
              <w:rPr>
                <w:sz w:val="18"/>
                <w:szCs w:val="18"/>
              </w:rPr>
            </w:pPr>
            <w:r w:rsidRPr="004D0537">
              <w:rPr>
                <w:sz w:val="18"/>
                <w:szCs w:val="18"/>
              </w:rPr>
              <w:t>6 566 801 EUR</w:t>
            </w:r>
          </w:p>
        </w:tc>
      </w:tr>
      <w:tr w:rsidR="004B06CC" w:rsidRPr="004D0537" w14:paraId="60757F40" w14:textId="77777777" w:rsidTr="00753AD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39869FA" w14:textId="77777777" w:rsidR="004B06CC" w:rsidRPr="004D0537" w:rsidRDefault="004B06CC" w:rsidP="00753AD2">
            <w:pPr>
              <w:spacing w:after="240"/>
              <w:ind w:left="567" w:hanging="567"/>
              <w:rPr>
                <w:sz w:val="18"/>
                <w:szCs w:val="18"/>
              </w:rPr>
            </w:pPr>
            <w:proofErr w:type="spellStart"/>
            <w:r w:rsidRPr="004D0537">
              <w:rPr>
                <w:sz w:val="18"/>
                <w:szCs w:val="18"/>
              </w:rPr>
              <w:t>Eiopa</w:t>
            </w:r>
            <w:proofErr w:type="spellEnd"/>
            <w:r w:rsidRPr="004D0537">
              <w:rPr>
                <w:sz w:val="18"/>
                <w:szCs w:val="18"/>
              </w:rPr>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09265B4A" w14:textId="77777777" w:rsidR="004B06CC" w:rsidRPr="004D0537" w:rsidRDefault="004B06CC" w:rsidP="00753AD2">
            <w:pPr>
              <w:spacing w:after="240"/>
              <w:ind w:left="567" w:hanging="567"/>
              <w:rPr>
                <w:sz w:val="18"/>
                <w:szCs w:val="18"/>
              </w:rPr>
            </w:pPr>
            <w:r w:rsidRPr="004D0537">
              <w:rPr>
                <w:sz w:val="18"/>
                <w:szCs w:val="18"/>
              </w:rPr>
              <w:t>37 561 192 EUR</w:t>
            </w:r>
          </w:p>
        </w:tc>
        <w:tc>
          <w:tcPr>
            <w:tcW w:w="1957" w:type="dxa"/>
            <w:tcBorders>
              <w:top w:val="single" w:sz="4" w:space="0" w:color="auto"/>
              <w:left w:val="single" w:sz="4" w:space="0" w:color="auto"/>
              <w:bottom w:val="single" w:sz="4" w:space="0" w:color="auto"/>
              <w:right w:val="single" w:sz="4" w:space="0" w:color="auto"/>
            </w:tcBorders>
            <w:noWrap/>
            <w:hideMark/>
          </w:tcPr>
          <w:p w14:paraId="1F88D397" w14:textId="77777777" w:rsidR="004B06CC" w:rsidRPr="004D0537" w:rsidRDefault="004B06CC" w:rsidP="00753AD2">
            <w:pPr>
              <w:spacing w:after="240"/>
              <w:ind w:left="567" w:hanging="567"/>
              <w:rPr>
                <w:sz w:val="18"/>
                <w:szCs w:val="18"/>
              </w:rPr>
            </w:pPr>
            <w:r w:rsidRPr="004D0537">
              <w:rPr>
                <w:sz w:val="18"/>
                <w:szCs w:val="18"/>
              </w:rPr>
              <w:t>13 886 130 EUR</w:t>
            </w:r>
          </w:p>
        </w:tc>
        <w:tc>
          <w:tcPr>
            <w:tcW w:w="640" w:type="dxa"/>
            <w:tcBorders>
              <w:top w:val="single" w:sz="4" w:space="0" w:color="auto"/>
              <w:left w:val="single" w:sz="4" w:space="0" w:color="auto"/>
              <w:bottom w:val="single" w:sz="4" w:space="0" w:color="auto"/>
              <w:right w:val="single" w:sz="4" w:space="0" w:color="auto"/>
            </w:tcBorders>
            <w:noWrap/>
            <w:hideMark/>
          </w:tcPr>
          <w:p w14:paraId="5F2A1A0D" w14:textId="77777777" w:rsidR="004B06CC" w:rsidRPr="004D0537" w:rsidRDefault="004B06CC" w:rsidP="00753AD2">
            <w:pPr>
              <w:spacing w:after="240"/>
              <w:ind w:left="567" w:hanging="567"/>
              <w:rPr>
                <w:sz w:val="18"/>
                <w:szCs w:val="18"/>
              </w:rPr>
            </w:pPr>
            <w:r w:rsidRPr="004D0537">
              <w:rPr>
                <w:sz w:val="18"/>
                <w:szCs w:val="18"/>
              </w:rPr>
              <w:t>37 %</w:t>
            </w:r>
          </w:p>
        </w:tc>
        <w:tc>
          <w:tcPr>
            <w:tcW w:w="1780" w:type="dxa"/>
            <w:tcBorders>
              <w:top w:val="single" w:sz="4" w:space="0" w:color="auto"/>
              <w:left w:val="single" w:sz="4" w:space="0" w:color="auto"/>
              <w:bottom w:val="single" w:sz="4" w:space="0" w:color="auto"/>
              <w:right w:val="single" w:sz="4" w:space="0" w:color="auto"/>
            </w:tcBorders>
            <w:noWrap/>
            <w:hideMark/>
          </w:tcPr>
          <w:p w14:paraId="6D364886" w14:textId="77777777" w:rsidR="004B06CC" w:rsidRPr="004D0537" w:rsidRDefault="004B06CC" w:rsidP="00753AD2">
            <w:pPr>
              <w:spacing w:after="240"/>
              <w:ind w:left="567" w:hanging="567"/>
              <w:rPr>
                <w:sz w:val="18"/>
                <w:szCs w:val="18"/>
              </w:rPr>
            </w:pPr>
            <w:r w:rsidRPr="004D0537">
              <w:rPr>
                <w:sz w:val="18"/>
                <w:szCs w:val="18"/>
              </w:rPr>
              <w:t>23 035 010 EUR</w:t>
            </w:r>
          </w:p>
        </w:tc>
        <w:tc>
          <w:tcPr>
            <w:tcW w:w="640" w:type="dxa"/>
            <w:tcBorders>
              <w:top w:val="single" w:sz="4" w:space="0" w:color="auto"/>
              <w:left w:val="single" w:sz="4" w:space="0" w:color="auto"/>
              <w:bottom w:val="single" w:sz="4" w:space="0" w:color="auto"/>
              <w:right w:val="single" w:sz="4" w:space="0" w:color="auto"/>
            </w:tcBorders>
            <w:noWrap/>
            <w:hideMark/>
          </w:tcPr>
          <w:p w14:paraId="56893AC8" w14:textId="77777777" w:rsidR="004B06CC" w:rsidRPr="004D0537" w:rsidRDefault="004B06CC" w:rsidP="00753AD2">
            <w:pPr>
              <w:spacing w:after="240"/>
              <w:ind w:left="567" w:hanging="567"/>
              <w:rPr>
                <w:sz w:val="18"/>
                <w:szCs w:val="18"/>
              </w:rPr>
            </w:pPr>
            <w:r w:rsidRPr="004D0537">
              <w:rPr>
                <w:sz w:val="18"/>
                <w:szCs w:val="18"/>
              </w:rPr>
              <w:t>61 %</w:t>
            </w:r>
          </w:p>
        </w:tc>
        <w:tc>
          <w:tcPr>
            <w:tcW w:w="1348" w:type="dxa"/>
            <w:tcBorders>
              <w:top w:val="single" w:sz="4" w:space="0" w:color="auto"/>
              <w:left w:val="single" w:sz="4" w:space="0" w:color="auto"/>
              <w:bottom w:val="single" w:sz="4" w:space="0" w:color="auto"/>
              <w:right w:val="single" w:sz="4" w:space="0" w:color="auto"/>
            </w:tcBorders>
            <w:noWrap/>
            <w:hideMark/>
          </w:tcPr>
          <w:p w14:paraId="69A0FF78" w14:textId="77777777" w:rsidR="004B06CC" w:rsidRPr="004D0537" w:rsidRDefault="004B06CC" w:rsidP="00753AD2">
            <w:pPr>
              <w:spacing w:after="240"/>
              <w:ind w:left="567" w:hanging="567"/>
              <w:rPr>
                <w:sz w:val="18"/>
                <w:szCs w:val="18"/>
              </w:rPr>
            </w:pPr>
            <w:r w:rsidRPr="004D0537">
              <w:rPr>
                <w:sz w:val="18"/>
                <w:szCs w:val="18"/>
              </w:rPr>
              <w:t>640 052 EUR</w:t>
            </w:r>
          </w:p>
        </w:tc>
      </w:tr>
      <w:tr w:rsidR="004B06CC" w:rsidRPr="004D0537" w14:paraId="2E25D9D6" w14:textId="77777777" w:rsidTr="00753AD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69FA03B" w14:textId="77777777" w:rsidR="004B06CC" w:rsidRPr="004D0537" w:rsidRDefault="004B06CC" w:rsidP="00753AD2">
            <w:pPr>
              <w:spacing w:after="240"/>
              <w:ind w:left="567" w:hanging="567"/>
              <w:rPr>
                <w:sz w:val="18"/>
                <w:szCs w:val="18"/>
              </w:rPr>
            </w:pPr>
            <w:r w:rsidRPr="004D0537">
              <w:rPr>
                <w:sz w:val="18"/>
                <w:szCs w:val="18"/>
              </w:rPr>
              <w:t>EMA</w:t>
            </w:r>
            <w:r w:rsidRPr="004D0537">
              <w:rPr>
                <w:sz w:val="18"/>
                <w:szCs w:val="18"/>
                <w:vertAlign w:val="superscript"/>
              </w:rPr>
              <w:footnoteReference w:id="406"/>
            </w:r>
            <w:r w:rsidRPr="004D0537">
              <w:rPr>
                <w:sz w:val="18"/>
                <w:szCs w:val="18"/>
              </w:rPr>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04D2B315" w14:textId="77777777" w:rsidR="004B06CC" w:rsidRPr="004D0537" w:rsidRDefault="004B06CC" w:rsidP="00753AD2">
            <w:pPr>
              <w:spacing w:after="240"/>
              <w:ind w:left="567" w:hanging="567"/>
              <w:rPr>
                <w:sz w:val="18"/>
                <w:szCs w:val="18"/>
              </w:rPr>
            </w:pPr>
            <w:r w:rsidRPr="004D0537">
              <w:rPr>
                <w:sz w:val="18"/>
                <w:szCs w:val="18"/>
              </w:rPr>
              <w:t>491 862 000 EUR</w:t>
            </w:r>
          </w:p>
        </w:tc>
        <w:tc>
          <w:tcPr>
            <w:tcW w:w="1957" w:type="dxa"/>
            <w:tcBorders>
              <w:top w:val="single" w:sz="4" w:space="0" w:color="auto"/>
              <w:left w:val="single" w:sz="4" w:space="0" w:color="auto"/>
              <w:bottom w:val="single" w:sz="4" w:space="0" w:color="auto"/>
              <w:right w:val="single" w:sz="4" w:space="0" w:color="auto"/>
            </w:tcBorders>
            <w:noWrap/>
            <w:hideMark/>
          </w:tcPr>
          <w:p w14:paraId="222CD039" w14:textId="77777777" w:rsidR="004B06CC" w:rsidRPr="004D0537" w:rsidRDefault="004B06CC" w:rsidP="00753AD2">
            <w:pPr>
              <w:spacing w:after="240"/>
              <w:ind w:left="567" w:hanging="567"/>
              <w:rPr>
                <w:sz w:val="18"/>
                <w:szCs w:val="18"/>
              </w:rPr>
            </w:pPr>
            <w:r w:rsidRPr="004D0537">
              <w:rPr>
                <w:sz w:val="18"/>
                <w:szCs w:val="18"/>
              </w:rPr>
              <w:t>35 826 000 EUR</w:t>
            </w:r>
          </w:p>
        </w:tc>
        <w:tc>
          <w:tcPr>
            <w:tcW w:w="640" w:type="dxa"/>
            <w:tcBorders>
              <w:top w:val="single" w:sz="4" w:space="0" w:color="auto"/>
              <w:left w:val="single" w:sz="4" w:space="0" w:color="auto"/>
              <w:bottom w:val="single" w:sz="4" w:space="0" w:color="auto"/>
              <w:right w:val="single" w:sz="4" w:space="0" w:color="auto"/>
            </w:tcBorders>
            <w:noWrap/>
            <w:hideMark/>
          </w:tcPr>
          <w:p w14:paraId="2C3CD8E6" w14:textId="77777777" w:rsidR="004B06CC" w:rsidRPr="004D0537" w:rsidRDefault="004B06CC" w:rsidP="00753AD2">
            <w:pPr>
              <w:spacing w:after="240"/>
              <w:ind w:left="567" w:hanging="567"/>
              <w:rPr>
                <w:sz w:val="18"/>
                <w:szCs w:val="18"/>
              </w:rPr>
            </w:pPr>
            <w:r w:rsidRPr="004D0537">
              <w:rPr>
                <w:sz w:val="18"/>
                <w:szCs w:val="18"/>
              </w:rPr>
              <w:t>7 %</w:t>
            </w:r>
          </w:p>
        </w:tc>
        <w:tc>
          <w:tcPr>
            <w:tcW w:w="1780" w:type="dxa"/>
            <w:tcBorders>
              <w:top w:val="single" w:sz="4" w:space="0" w:color="auto"/>
              <w:left w:val="single" w:sz="4" w:space="0" w:color="auto"/>
              <w:bottom w:val="single" w:sz="4" w:space="0" w:color="auto"/>
              <w:right w:val="single" w:sz="4" w:space="0" w:color="auto"/>
            </w:tcBorders>
            <w:noWrap/>
            <w:hideMark/>
          </w:tcPr>
          <w:p w14:paraId="3559C041" w14:textId="77777777" w:rsidR="004B06CC" w:rsidRPr="004D0537" w:rsidRDefault="004B06CC" w:rsidP="00753AD2">
            <w:pPr>
              <w:spacing w:after="240"/>
              <w:ind w:left="567" w:hanging="567"/>
              <w:rPr>
                <w:sz w:val="18"/>
                <w:szCs w:val="18"/>
              </w:rPr>
            </w:pPr>
            <w:r w:rsidRPr="004D0537">
              <w:rPr>
                <w:sz w:val="18"/>
                <w:szCs w:val="18"/>
              </w:rPr>
              <w:t>441 910 000 EUR</w:t>
            </w:r>
          </w:p>
        </w:tc>
        <w:tc>
          <w:tcPr>
            <w:tcW w:w="640" w:type="dxa"/>
            <w:tcBorders>
              <w:top w:val="single" w:sz="4" w:space="0" w:color="auto"/>
              <w:left w:val="single" w:sz="4" w:space="0" w:color="auto"/>
              <w:bottom w:val="single" w:sz="4" w:space="0" w:color="auto"/>
              <w:right w:val="single" w:sz="4" w:space="0" w:color="auto"/>
            </w:tcBorders>
            <w:noWrap/>
            <w:hideMark/>
          </w:tcPr>
          <w:p w14:paraId="4F314924" w14:textId="77777777" w:rsidR="004B06CC" w:rsidRPr="004D0537" w:rsidRDefault="004B06CC" w:rsidP="00753AD2">
            <w:pPr>
              <w:spacing w:after="240"/>
              <w:ind w:left="567" w:hanging="567"/>
              <w:rPr>
                <w:sz w:val="18"/>
                <w:szCs w:val="18"/>
              </w:rPr>
            </w:pPr>
            <w:r w:rsidRPr="004D0537">
              <w:rPr>
                <w:sz w:val="18"/>
                <w:szCs w:val="18"/>
              </w:rPr>
              <w:t>90 %</w:t>
            </w:r>
          </w:p>
        </w:tc>
        <w:tc>
          <w:tcPr>
            <w:tcW w:w="1348" w:type="dxa"/>
            <w:tcBorders>
              <w:top w:val="single" w:sz="4" w:space="0" w:color="auto"/>
              <w:left w:val="single" w:sz="4" w:space="0" w:color="auto"/>
              <w:bottom w:val="single" w:sz="4" w:space="0" w:color="auto"/>
              <w:right w:val="single" w:sz="4" w:space="0" w:color="auto"/>
            </w:tcBorders>
            <w:noWrap/>
            <w:hideMark/>
          </w:tcPr>
          <w:p w14:paraId="30CFC784" w14:textId="77777777" w:rsidR="004B06CC" w:rsidRPr="004D0537" w:rsidRDefault="004B06CC" w:rsidP="00753AD2">
            <w:pPr>
              <w:spacing w:after="240"/>
              <w:ind w:left="567" w:hanging="567"/>
              <w:rPr>
                <w:sz w:val="18"/>
                <w:szCs w:val="18"/>
              </w:rPr>
            </w:pPr>
            <w:r w:rsidRPr="004D0537">
              <w:rPr>
                <w:sz w:val="18"/>
                <w:szCs w:val="18"/>
              </w:rPr>
              <w:t>14 126 000 EUR</w:t>
            </w:r>
          </w:p>
        </w:tc>
      </w:tr>
      <w:tr w:rsidR="004B06CC" w:rsidRPr="004D0537" w14:paraId="4773DD3E" w14:textId="77777777" w:rsidTr="00753AD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D22BA22" w14:textId="77777777" w:rsidR="004B06CC" w:rsidRPr="004D0537" w:rsidRDefault="004B06CC" w:rsidP="00753AD2">
            <w:pPr>
              <w:spacing w:after="240"/>
              <w:ind w:left="567" w:hanging="567"/>
              <w:rPr>
                <w:sz w:val="18"/>
                <w:szCs w:val="18"/>
              </w:rPr>
            </w:pPr>
            <w:r w:rsidRPr="004D0537">
              <w:rPr>
                <w:sz w:val="18"/>
                <w:szCs w:val="18"/>
              </w:rPr>
              <w:t>ERA</w:t>
            </w:r>
          </w:p>
        </w:tc>
        <w:tc>
          <w:tcPr>
            <w:tcW w:w="1797" w:type="dxa"/>
            <w:tcBorders>
              <w:top w:val="single" w:sz="4" w:space="0" w:color="auto"/>
              <w:left w:val="single" w:sz="4" w:space="0" w:color="auto"/>
              <w:bottom w:val="single" w:sz="4" w:space="0" w:color="auto"/>
              <w:right w:val="single" w:sz="4" w:space="0" w:color="auto"/>
            </w:tcBorders>
            <w:noWrap/>
            <w:hideMark/>
          </w:tcPr>
          <w:p w14:paraId="384BB0EC" w14:textId="77777777" w:rsidR="004B06CC" w:rsidRPr="004D0537" w:rsidRDefault="004B06CC" w:rsidP="00753AD2">
            <w:pPr>
              <w:spacing w:after="240"/>
              <w:ind w:left="567" w:hanging="567"/>
              <w:rPr>
                <w:sz w:val="18"/>
                <w:szCs w:val="18"/>
              </w:rPr>
            </w:pPr>
            <w:r w:rsidRPr="004D0537">
              <w:rPr>
                <w:sz w:val="18"/>
                <w:szCs w:val="18"/>
              </w:rPr>
              <w:t>41 936 376 EUR</w:t>
            </w:r>
          </w:p>
        </w:tc>
        <w:tc>
          <w:tcPr>
            <w:tcW w:w="1957" w:type="dxa"/>
            <w:tcBorders>
              <w:top w:val="single" w:sz="4" w:space="0" w:color="auto"/>
              <w:left w:val="single" w:sz="4" w:space="0" w:color="auto"/>
              <w:bottom w:val="single" w:sz="4" w:space="0" w:color="auto"/>
              <w:right w:val="single" w:sz="4" w:space="0" w:color="auto"/>
            </w:tcBorders>
            <w:noWrap/>
            <w:hideMark/>
          </w:tcPr>
          <w:p w14:paraId="4ACF3044" w14:textId="77777777" w:rsidR="004B06CC" w:rsidRPr="004D0537" w:rsidRDefault="004B06CC" w:rsidP="00753AD2">
            <w:pPr>
              <w:spacing w:after="240"/>
              <w:ind w:left="567" w:hanging="567"/>
              <w:rPr>
                <w:sz w:val="18"/>
                <w:szCs w:val="18"/>
              </w:rPr>
            </w:pPr>
            <w:r w:rsidRPr="004D0537">
              <w:rPr>
                <w:sz w:val="18"/>
                <w:szCs w:val="18"/>
              </w:rPr>
              <w:t>29 000 626 EUR</w:t>
            </w:r>
          </w:p>
        </w:tc>
        <w:tc>
          <w:tcPr>
            <w:tcW w:w="640" w:type="dxa"/>
            <w:tcBorders>
              <w:top w:val="single" w:sz="4" w:space="0" w:color="auto"/>
              <w:left w:val="single" w:sz="4" w:space="0" w:color="auto"/>
              <w:bottom w:val="single" w:sz="4" w:space="0" w:color="auto"/>
              <w:right w:val="single" w:sz="4" w:space="0" w:color="auto"/>
            </w:tcBorders>
            <w:noWrap/>
            <w:hideMark/>
          </w:tcPr>
          <w:p w14:paraId="097B7513" w14:textId="77777777" w:rsidR="004B06CC" w:rsidRPr="004D0537" w:rsidRDefault="004B06CC" w:rsidP="00753AD2">
            <w:pPr>
              <w:spacing w:after="240"/>
              <w:ind w:left="567" w:hanging="567"/>
              <w:rPr>
                <w:sz w:val="18"/>
                <w:szCs w:val="18"/>
              </w:rPr>
            </w:pPr>
            <w:r w:rsidRPr="004D0537">
              <w:rPr>
                <w:sz w:val="18"/>
                <w:szCs w:val="18"/>
              </w:rPr>
              <w:t>69 %</w:t>
            </w:r>
          </w:p>
        </w:tc>
        <w:tc>
          <w:tcPr>
            <w:tcW w:w="1780" w:type="dxa"/>
            <w:tcBorders>
              <w:top w:val="single" w:sz="4" w:space="0" w:color="auto"/>
              <w:left w:val="single" w:sz="4" w:space="0" w:color="auto"/>
              <w:bottom w:val="single" w:sz="4" w:space="0" w:color="auto"/>
              <w:right w:val="single" w:sz="4" w:space="0" w:color="auto"/>
            </w:tcBorders>
            <w:noWrap/>
            <w:hideMark/>
          </w:tcPr>
          <w:p w14:paraId="6047219B" w14:textId="77777777" w:rsidR="004B06CC" w:rsidRPr="004D0537" w:rsidRDefault="004B06CC" w:rsidP="00753AD2">
            <w:pPr>
              <w:spacing w:after="240"/>
              <w:ind w:left="567" w:hanging="567"/>
              <w:rPr>
                <w:sz w:val="18"/>
                <w:szCs w:val="18"/>
              </w:rPr>
            </w:pPr>
            <w:r w:rsidRPr="004D0537">
              <w:rPr>
                <w:sz w:val="18"/>
                <w:szCs w:val="18"/>
              </w:rPr>
              <w:t>11 913 156 EUR</w:t>
            </w:r>
          </w:p>
        </w:tc>
        <w:tc>
          <w:tcPr>
            <w:tcW w:w="640" w:type="dxa"/>
            <w:tcBorders>
              <w:top w:val="single" w:sz="4" w:space="0" w:color="auto"/>
              <w:left w:val="single" w:sz="4" w:space="0" w:color="auto"/>
              <w:bottom w:val="single" w:sz="4" w:space="0" w:color="auto"/>
              <w:right w:val="single" w:sz="4" w:space="0" w:color="auto"/>
            </w:tcBorders>
            <w:noWrap/>
            <w:hideMark/>
          </w:tcPr>
          <w:p w14:paraId="23E130FF" w14:textId="77777777" w:rsidR="004B06CC" w:rsidRPr="004D0537" w:rsidRDefault="004B06CC" w:rsidP="00753AD2">
            <w:pPr>
              <w:spacing w:after="240"/>
              <w:ind w:left="567" w:hanging="567"/>
              <w:rPr>
                <w:sz w:val="18"/>
                <w:szCs w:val="18"/>
              </w:rPr>
            </w:pPr>
            <w:r w:rsidRPr="004D0537">
              <w:rPr>
                <w:sz w:val="18"/>
                <w:szCs w:val="18"/>
              </w:rPr>
              <w:t>28 %</w:t>
            </w:r>
          </w:p>
        </w:tc>
        <w:tc>
          <w:tcPr>
            <w:tcW w:w="1348" w:type="dxa"/>
            <w:tcBorders>
              <w:top w:val="single" w:sz="4" w:space="0" w:color="auto"/>
              <w:left w:val="single" w:sz="4" w:space="0" w:color="auto"/>
              <w:bottom w:val="single" w:sz="4" w:space="0" w:color="auto"/>
              <w:right w:val="single" w:sz="4" w:space="0" w:color="auto"/>
            </w:tcBorders>
            <w:noWrap/>
            <w:hideMark/>
          </w:tcPr>
          <w:p w14:paraId="11215984" w14:textId="77777777" w:rsidR="004B06CC" w:rsidRPr="004D0537" w:rsidRDefault="004B06CC" w:rsidP="00753AD2">
            <w:pPr>
              <w:spacing w:after="240"/>
              <w:ind w:left="567" w:hanging="567"/>
              <w:rPr>
                <w:sz w:val="18"/>
                <w:szCs w:val="18"/>
              </w:rPr>
            </w:pPr>
            <w:r w:rsidRPr="004D0537">
              <w:rPr>
                <w:sz w:val="18"/>
                <w:szCs w:val="18"/>
              </w:rPr>
              <w:t>1 022 594 EUR</w:t>
            </w:r>
          </w:p>
        </w:tc>
      </w:tr>
      <w:tr w:rsidR="004B06CC" w:rsidRPr="004D0537" w14:paraId="24092909" w14:textId="77777777" w:rsidTr="00753AD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2FB6785" w14:textId="77777777" w:rsidR="004B06CC" w:rsidRPr="004D0537" w:rsidRDefault="004B06CC" w:rsidP="00753AD2">
            <w:pPr>
              <w:spacing w:after="240"/>
              <w:ind w:left="567" w:hanging="567"/>
              <w:rPr>
                <w:sz w:val="18"/>
                <w:szCs w:val="18"/>
              </w:rPr>
            </w:pPr>
            <w:proofErr w:type="spellStart"/>
            <w:r w:rsidRPr="004D0537">
              <w:rPr>
                <w:sz w:val="18"/>
                <w:szCs w:val="18"/>
              </w:rPr>
              <w:t>Esma</w:t>
            </w:r>
            <w:proofErr w:type="spellEnd"/>
            <w:r w:rsidRPr="004D0537">
              <w:rPr>
                <w:sz w:val="18"/>
                <w:szCs w:val="18"/>
                <w:vertAlign w:val="superscript"/>
              </w:rPr>
              <w:footnoteReference w:id="407"/>
            </w:r>
            <w:r w:rsidRPr="004D0537">
              <w:rPr>
                <w:sz w:val="18"/>
                <w:szCs w:val="18"/>
              </w:rPr>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41BF248B" w14:textId="77777777" w:rsidR="004B06CC" w:rsidRPr="004D0537" w:rsidRDefault="004B06CC" w:rsidP="00753AD2">
            <w:pPr>
              <w:spacing w:after="240"/>
              <w:ind w:left="567" w:hanging="567"/>
              <w:rPr>
                <w:sz w:val="18"/>
                <w:szCs w:val="18"/>
              </w:rPr>
            </w:pPr>
            <w:r w:rsidRPr="004D0537">
              <w:rPr>
                <w:sz w:val="18"/>
                <w:szCs w:val="18"/>
              </w:rPr>
              <w:t>76 055 579 EUR</w:t>
            </w:r>
          </w:p>
        </w:tc>
        <w:tc>
          <w:tcPr>
            <w:tcW w:w="1957" w:type="dxa"/>
            <w:tcBorders>
              <w:top w:val="single" w:sz="4" w:space="0" w:color="auto"/>
              <w:left w:val="single" w:sz="4" w:space="0" w:color="auto"/>
              <w:bottom w:val="single" w:sz="4" w:space="0" w:color="auto"/>
              <w:right w:val="single" w:sz="4" w:space="0" w:color="auto"/>
            </w:tcBorders>
            <w:noWrap/>
            <w:hideMark/>
          </w:tcPr>
          <w:p w14:paraId="5CE9D06C" w14:textId="77777777" w:rsidR="004B06CC" w:rsidRPr="004D0537" w:rsidRDefault="004B06CC" w:rsidP="00753AD2">
            <w:pPr>
              <w:spacing w:after="240"/>
              <w:ind w:left="567" w:hanging="567"/>
              <w:rPr>
                <w:sz w:val="18"/>
                <w:szCs w:val="18"/>
              </w:rPr>
            </w:pPr>
            <w:r w:rsidRPr="004D0537">
              <w:rPr>
                <w:sz w:val="18"/>
                <w:szCs w:val="18"/>
              </w:rPr>
              <w:t>19 938 075 EUR</w:t>
            </w:r>
          </w:p>
        </w:tc>
        <w:tc>
          <w:tcPr>
            <w:tcW w:w="640" w:type="dxa"/>
            <w:tcBorders>
              <w:top w:val="single" w:sz="4" w:space="0" w:color="auto"/>
              <w:left w:val="single" w:sz="4" w:space="0" w:color="auto"/>
              <w:bottom w:val="single" w:sz="4" w:space="0" w:color="auto"/>
              <w:right w:val="single" w:sz="4" w:space="0" w:color="auto"/>
            </w:tcBorders>
            <w:noWrap/>
            <w:hideMark/>
          </w:tcPr>
          <w:p w14:paraId="10ED969B" w14:textId="77777777" w:rsidR="004B06CC" w:rsidRPr="004D0537" w:rsidRDefault="004B06CC" w:rsidP="00753AD2">
            <w:pPr>
              <w:spacing w:after="240"/>
              <w:ind w:left="567" w:hanging="567"/>
              <w:rPr>
                <w:sz w:val="18"/>
                <w:szCs w:val="18"/>
              </w:rPr>
            </w:pPr>
            <w:r w:rsidRPr="004D0537">
              <w:rPr>
                <w:sz w:val="18"/>
                <w:szCs w:val="18"/>
              </w:rPr>
              <w:t>26 %</w:t>
            </w:r>
          </w:p>
        </w:tc>
        <w:tc>
          <w:tcPr>
            <w:tcW w:w="1780" w:type="dxa"/>
            <w:tcBorders>
              <w:top w:val="single" w:sz="4" w:space="0" w:color="auto"/>
              <w:left w:val="single" w:sz="4" w:space="0" w:color="auto"/>
              <w:bottom w:val="single" w:sz="4" w:space="0" w:color="auto"/>
              <w:right w:val="single" w:sz="4" w:space="0" w:color="auto"/>
            </w:tcBorders>
            <w:noWrap/>
            <w:hideMark/>
          </w:tcPr>
          <w:p w14:paraId="05B763D9" w14:textId="77777777" w:rsidR="004B06CC" w:rsidRPr="004D0537" w:rsidRDefault="004B06CC" w:rsidP="00753AD2">
            <w:pPr>
              <w:spacing w:after="240"/>
              <w:ind w:left="567" w:hanging="567"/>
              <w:rPr>
                <w:sz w:val="18"/>
                <w:szCs w:val="18"/>
              </w:rPr>
            </w:pPr>
            <w:r w:rsidRPr="004D0537">
              <w:rPr>
                <w:sz w:val="18"/>
                <w:szCs w:val="18"/>
              </w:rPr>
              <w:t>54 015 802 EUR</w:t>
            </w:r>
          </w:p>
        </w:tc>
        <w:tc>
          <w:tcPr>
            <w:tcW w:w="640" w:type="dxa"/>
            <w:tcBorders>
              <w:top w:val="single" w:sz="4" w:space="0" w:color="auto"/>
              <w:left w:val="single" w:sz="4" w:space="0" w:color="auto"/>
              <w:bottom w:val="single" w:sz="4" w:space="0" w:color="auto"/>
              <w:right w:val="single" w:sz="4" w:space="0" w:color="auto"/>
            </w:tcBorders>
            <w:noWrap/>
            <w:hideMark/>
          </w:tcPr>
          <w:p w14:paraId="677E1D66" w14:textId="77777777" w:rsidR="004B06CC" w:rsidRPr="004D0537" w:rsidRDefault="004B06CC" w:rsidP="00753AD2">
            <w:pPr>
              <w:spacing w:after="240"/>
              <w:ind w:left="567" w:hanging="567"/>
              <w:rPr>
                <w:sz w:val="18"/>
                <w:szCs w:val="18"/>
              </w:rPr>
            </w:pPr>
            <w:r w:rsidRPr="004D0537">
              <w:rPr>
                <w:sz w:val="18"/>
                <w:szCs w:val="18"/>
              </w:rPr>
              <w:t>71 %</w:t>
            </w:r>
          </w:p>
        </w:tc>
        <w:tc>
          <w:tcPr>
            <w:tcW w:w="1348" w:type="dxa"/>
            <w:tcBorders>
              <w:top w:val="single" w:sz="4" w:space="0" w:color="auto"/>
              <w:left w:val="single" w:sz="4" w:space="0" w:color="auto"/>
              <w:bottom w:val="single" w:sz="4" w:space="0" w:color="auto"/>
              <w:right w:val="single" w:sz="4" w:space="0" w:color="auto"/>
            </w:tcBorders>
            <w:noWrap/>
            <w:hideMark/>
          </w:tcPr>
          <w:p w14:paraId="6C3ABA47" w14:textId="77777777" w:rsidR="004B06CC" w:rsidRPr="004D0537" w:rsidRDefault="004B06CC" w:rsidP="00753AD2">
            <w:pPr>
              <w:spacing w:after="240"/>
              <w:ind w:left="567" w:hanging="567"/>
              <w:rPr>
                <w:sz w:val="18"/>
                <w:szCs w:val="18"/>
              </w:rPr>
            </w:pPr>
            <w:r w:rsidRPr="004D0537">
              <w:rPr>
                <w:sz w:val="18"/>
                <w:szCs w:val="18"/>
              </w:rPr>
              <w:t>2 101 702 EUR</w:t>
            </w:r>
          </w:p>
        </w:tc>
      </w:tr>
      <w:tr w:rsidR="004B06CC" w:rsidRPr="004D0537" w14:paraId="11AA5A83" w14:textId="77777777" w:rsidTr="00753AD2">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E77FFD6" w14:textId="77777777" w:rsidR="004B06CC" w:rsidRPr="004D0537" w:rsidRDefault="004B06CC" w:rsidP="00753AD2">
            <w:pPr>
              <w:spacing w:after="240"/>
              <w:ind w:left="567" w:hanging="567"/>
              <w:rPr>
                <w:sz w:val="18"/>
                <w:szCs w:val="18"/>
              </w:rPr>
            </w:pPr>
            <w:r w:rsidRPr="004D0537">
              <w:rPr>
                <w:sz w:val="18"/>
                <w:szCs w:val="18"/>
              </w:rPr>
              <w:t>TOTALT</w:t>
            </w:r>
          </w:p>
        </w:tc>
        <w:tc>
          <w:tcPr>
            <w:tcW w:w="1797" w:type="dxa"/>
            <w:tcBorders>
              <w:top w:val="single" w:sz="4" w:space="0" w:color="auto"/>
              <w:left w:val="single" w:sz="4" w:space="0" w:color="auto"/>
              <w:bottom w:val="single" w:sz="4" w:space="0" w:color="auto"/>
              <w:right w:val="single" w:sz="4" w:space="0" w:color="auto"/>
            </w:tcBorders>
            <w:noWrap/>
            <w:hideMark/>
          </w:tcPr>
          <w:p w14:paraId="2C9E65BF" w14:textId="77777777" w:rsidR="004B06CC" w:rsidRPr="004D0537" w:rsidRDefault="004B06CC" w:rsidP="00753AD2">
            <w:pPr>
              <w:spacing w:after="240"/>
              <w:ind w:left="567" w:hanging="567"/>
              <w:rPr>
                <w:sz w:val="18"/>
                <w:szCs w:val="18"/>
              </w:rPr>
            </w:pPr>
            <w:r w:rsidRPr="004D0537">
              <w:rPr>
                <w:sz w:val="18"/>
                <w:szCs w:val="18"/>
              </w:rPr>
              <w:t>1 096 367 193 EUR</w:t>
            </w:r>
          </w:p>
        </w:tc>
        <w:tc>
          <w:tcPr>
            <w:tcW w:w="1957" w:type="dxa"/>
            <w:tcBorders>
              <w:top w:val="single" w:sz="4" w:space="0" w:color="auto"/>
              <w:left w:val="single" w:sz="4" w:space="0" w:color="auto"/>
              <w:bottom w:val="single" w:sz="4" w:space="0" w:color="auto"/>
              <w:right w:val="single" w:sz="4" w:space="0" w:color="auto"/>
            </w:tcBorders>
            <w:noWrap/>
            <w:hideMark/>
          </w:tcPr>
          <w:p w14:paraId="53B22248" w14:textId="77777777" w:rsidR="004B06CC" w:rsidRPr="004D0537" w:rsidRDefault="004B06CC" w:rsidP="00753AD2">
            <w:pPr>
              <w:spacing w:after="240"/>
              <w:ind w:left="567" w:hanging="567"/>
              <w:rPr>
                <w:sz w:val="18"/>
                <w:szCs w:val="18"/>
              </w:rPr>
            </w:pPr>
            <w:r w:rsidRPr="004D0537">
              <w:rPr>
                <w:sz w:val="18"/>
                <w:szCs w:val="18"/>
              </w:rPr>
              <w:t>275 534 294 EUR</w:t>
            </w:r>
          </w:p>
        </w:tc>
        <w:tc>
          <w:tcPr>
            <w:tcW w:w="640" w:type="dxa"/>
            <w:tcBorders>
              <w:top w:val="single" w:sz="4" w:space="0" w:color="auto"/>
              <w:left w:val="single" w:sz="4" w:space="0" w:color="auto"/>
              <w:bottom w:val="single" w:sz="4" w:space="0" w:color="auto"/>
              <w:right w:val="single" w:sz="4" w:space="0" w:color="auto"/>
            </w:tcBorders>
            <w:noWrap/>
            <w:hideMark/>
          </w:tcPr>
          <w:p w14:paraId="73DA1273" w14:textId="77777777" w:rsidR="004B06CC" w:rsidRPr="004D0537" w:rsidRDefault="004B06CC" w:rsidP="00753AD2">
            <w:pPr>
              <w:spacing w:after="240"/>
              <w:ind w:left="567" w:hanging="567"/>
              <w:rPr>
                <w:sz w:val="18"/>
                <w:szCs w:val="18"/>
              </w:rPr>
            </w:pPr>
            <w:r w:rsidRPr="004D0537">
              <w:rPr>
                <w:sz w:val="18"/>
                <w:szCs w:val="18"/>
              </w:rPr>
              <w:t> </w:t>
            </w:r>
          </w:p>
        </w:tc>
        <w:tc>
          <w:tcPr>
            <w:tcW w:w="1780" w:type="dxa"/>
            <w:tcBorders>
              <w:top w:val="single" w:sz="4" w:space="0" w:color="auto"/>
              <w:left w:val="single" w:sz="4" w:space="0" w:color="auto"/>
              <w:bottom w:val="single" w:sz="4" w:space="0" w:color="auto"/>
              <w:right w:val="single" w:sz="4" w:space="0" w:color="auto"/>
            </w:tcBorders>
            <w:noWrap/>
            <w:hideMark/>
          </w:tcPr>
          <w:p w14:paraId="1002AE01" w14:textId="77777777" w:rsidR="004B06CC" w:rsidRPr="004D0537" w:rsidRDefault="004B06CC" w:rsidP="00753AD2">
            <w:pPr>
              <w:spacing w:after="240"/>
              <w:ind w:left="567" w:hanging="567"/>
              <w:rPr>
                <w:sz w:val="18"/>
                <w:szCs w:val="18"/>
              </w:rPr>
            </w:pPr>
            <w:r w:rsidRPr="004D0537">
              <w:rPr>
                <w:sz w:val="18"/>
                <w:szCs w:val="18"/>
              </w:rPr>
              <w:t>790 819 960 EUR</w:t>
            </w:r>
          </w:p>
        </w:tc>
        <w:tc>
          <w:tcPr>
            <w:tcW w:w="640" w:type="dxa"/>
            <w:tcBorders>
              <w:top w:val="single" w:sz="4" w:space="0" w:color="auto"/>
              <w:left w:val="single" w:sz="4" w:space="0" w:color="auto"/>
              <w:bottom w:val="single" w:sz="4" w:space="0" w:color="auto"/>
              <w:right w:val="single" w:sz="4" w:space="0" w:color="auto"/>
            </w:tcBorders>
            <w:noWrap/>
            <w:hideMark/>
          </w:tcPr>
          <w:p w14:paraId="51DA2950" w14:textId="77777777" w:rsidR="004B06CC" w:rsidRPr="004D0537" w:rsidRDefault="004B06CC" w:rsidP="00753AD2">
            <w:pPr>
              <w:spacing w:after="240"/>
              <w:ind w:left="567" w:hanging="567"/>
              <w:rPr>
                <w:sz w:val="18"/>
                <w:szCs w:val="18"/>
              </w:rPr>
            </w:pPr>
            <w:r w:rsidRPr="004D0537">
              <w:rPr>
                <w:sz w:val="18"/>
                <w:szCs w:val="18"/>
              </w:rPr>
              <w:t> </w:t>
            </w:r>
          </w:p>
        </w:tc>
        <w:tc>
          <w:tcPr>
            <w:tcW w:w="1348" w:type="dxa"/>
            <w:tcBorders>
              <w:top w:val="single" w:sz="4" w:space="0" w:color="auto"/>
              <w:left w:val="single" w:sz="4" w:space="0" w:color="auto"/>
              <w:bottom w:val="single" w:sz="4" w:space="0" w:color="auto"/>
              <w:right w:val="single" w:sz="4" w:space="0" w:color="auto"/>
            </w:tcBorders>
            <w:noWrap/>
            <w:hideMark/>
          </w:tcPr>
          <w:p w14:paraId="396FD0CF" w14:textId="77777777" w:rsidR="004B06CC" w:rsidRPr="004D0537" w:rsidRDefault="004B06CC" w:rsidP="00753AD2">
            <w:pPr>
              <w:spacing w:after="240"/>
              <w:ind w:left="567" w:hanging="567"/>
              <w:rPr>
                <w:sz w:val="18"/>
                <w:szCs w:val="18"/>
              </w:rPr>
            </w:pPr>
            <w:r w:rsidRPr="004D0537">
              <w:rPr>
                <w:sz w:val="18"/>
                <w:szCs w:val="18"/>
              </w:rPr>
              <w:t>30 012 939 EUR</w:t>
            </w:r>
          </w:p>
        </w:tc>
      </w:tr>
    </w:tbl>
    <w:p w14:paraId="4F5F07BD" w14:textId="77777777" w:rsidR="004B06CC" w:rsidRPr="004D0537" w:rsidRDefault="004B06CC" w:rsidP="004B06CC">
      <w:pPr>
        <w:spacing w:after="240"/>
        <w:ind w:left="567" w:hanging="567"/>
      </w:pPr>
    </w:p>
    <w:p w14:paraId="0BB8C7B0" w14:textId="77777777" w:rsidR="004B06CC" w:rsidRPr="004D0537" w:rsidRDefault="004B06CC" w:rsidP="004B06CC">
      <w:r w:rsidRPr="004D0537">
        <w:br w:type="page"/>
      </w:r>
    </w:p>
    <w:p w14:paraId="4AD15F3D" w14:textId="1FE01A9A" w:rsidR="004B06CC" w:rsidRPr="004D0537" w:rsidRDefault="007B6266" w:rsidP="004B06CC">
      <w:pPr>
        <w:spacing w:after="240"/>
        <w:ind w:left="567" w:hanging="567"/>
      </w:pPr>
      <w:r w:rsidRPr="004D0537">
        <w:rPr>
          <w:rFonts w:eastAsia="Aptos"/>
        </w:rPr>
        <w:lastRenderedPageBreak/>
        <w:t>39</w:t>
      </w:r>
      <w:r w:rsidR="004B06CC" w:rsidRPr="004D0537">
        <w:rPr>
          <w:rFonts w:eastAsia="Aptos"/>
        </w:rPr>
        <w:t>.</w:t>
      </w:r>
      <w:r w:rsidR="004B06CC" w:rsidRPr="004D0537">
        <w:rPr>
          <w:rFonts w:eastAsia="Aptos"/>
        </w:rPr>
        <w:tab/>
        <w:t xml:space="preserve">Europaparlamentet påminner om att man redan i resolutionen om ansvarsfrihet för 2023 noterade vikten av att stärka de europeiska tillsynsmyndigheterna (EBA, </w:t>
      </w:r>
      <w:proofErr w:type="spellStart"/>
      <w:r w:rsidR="004B06CC" w:rsidRPr="004D0537">
        <w:rPr>
          <w:rFonts w:eastAsia="Aptos"/>
        </w:rPr>
        <w:t>Eiopa</w:t>
      </w:r>
      <w:proofErr w:type="spellEnd"/>
      <w:r w:rsidR="004B06CC" w:rsidRPr="004D0537">
        <w:rPr>
          <w:rFonts w:eastAsia="Aptos"/>
        </w:rPr>
        <w:t xml:space="preserve"> och </w:t>
      </w:r>
      <w:proofErr w:type="spellStart"/>
      <w:r w:rsidR="004B06CC" w:rsidRPr="004D0537">
        <w:rPr>
          <w:rFonts w:eastAsia="Aptos"/>
        </w:rPr>
        <w:t>Esma</w:t>
      </w:r>
      <w:proofErr w:type="spellEnd"/>
      <w:r w:rsidR="004B06CC" w:rsidRPr="004D0537">
        <w:rPr>
          <w:rFonts w:eastAsia="Aptos"/>
        </w:rPr>
        <w:t>). Parlamentet är medvetet om att deras inrättandeförordningar inte föreskriver en åtskillnad mellan verksamhet som finansieras med unionsbidrag och nationella bidrag, och att den övergripande kostnadsdelningsmekanismen inte kräver någon differentiering på nivån för enskilda verksamheter, vilket leder till att dessa myndigheter ingen gör någon åtskillnad mellan kostnader som täcks av unionens budget och de som finansieras av medlemsstaterna, vilket revisionsrätten betonade i sin årsrapport 2023.</w:t>
      </w:r>
    </w:p>
    <w:p w14:paraId="5D3F78C1" w14:textId="736941BC" w:rsidR="004B06CC" w:rsidRPr="004D0537" w:rsidRDefault="007B6266" w:rsidP="004B06CC">
      <w:pPr>
        <w:spacing w:after="240"/>
        <w:ind w:left="567" w:hanging="567"/>
      </w:pPr>
      <w:r w:rsidRPr="004D0537">
        <w:rPr>
          <w:rFonts w:eastAsia="Aptos"/>
        </w:rPr>
        <w:t>40</w:t>
      </w:r>
      <w:r w:rsidR="004B06CC" w:rsidRPr="004D0537">
        <w:rPr>
          <w:rFonts w:eastAsia="Aptos"/>
        </w:rPr>
        <w:t>.</w:t>
      </w:r>
      <w:r w:rsidR="004B06CC" w:rsidRPr="004D0537">
        <w:rPr>
          <w:rFonts w:eastAsia="Aptos"/>
        </w:rPr>
        <w:tab/>
        <w:t>Europaparlamentet anser att ökad transparens i budgeteringen och verksamhetsbaserad rapportering skulle bidra till förbättrad tillsyn och ansvarsskyldighet, särskilt för byråer som finansieras genom flera inkomstflöden, och göra det möjligt för berörda parter, inbegripet medlemsstater, finansinstitut och skattebetalare, att bättre bedöma effektivitet och rättvisa. Parlamentet betonar att tydlighet när det gäller kopplingen mellan inkomstkällor och verksamhet stärker förtroendet för en sund användning av unionens medel, samtidigt som den rättsliga ram som fastställs i byråernas inrättandeförordningar respekteras.</w:t>
      </w:r>
    </w:p>
    <w:p w14:paraId="67087CE5" w14:textId="280BC78E" w:rsidR="004B06CC" w:rsidRPr="004D0537" w:rsidRDefault="007B6266" w:rsidP="004B06CC">
      <w:pPr>
        <w:spacing w:after="240"/>
        <w:ind w:left="567" w:hanging="567"/>
      </w:pPr>
      <w:r w:rsidRPr="004D0537">
        <w:rPr>
          <w:rFonts w:eastAsia="Aptos"/>
        </w:rPr>
        <w:t>41</w:t>
      </w:r>
      <w:r w:rsidR="004B06CC" w:rsidRPr="004D0537">
        <w:rPr>
          <w:rFonts w:eastAsia="Aptos"/>
        </w:rPr>
        <w:t>.</w:t>
      </w:r>
      <w:r w:rsidR="004B06CC" w:rsidRPr="004D0537">
        <w:rPr>
          <w:rFonts w:eastAsia="Aptos"/>
        </w:rPr>
        <w:tab/>
        <w:t>Europaparlamentet noterar kommissionens förslag till förordning om Europeiska kemikaliemyndigheten, som inför åtgärder som syftar till att stärka myndighetens finansiella hållbarhet, inbegripet möjligheten att skapa en begränsad reserv som är utformad för att absorbera volatiliteten i avgiftsbaserade inkomster och minska beroendet av upprepade budgetändringar. Parlamentet betonar dock att inrättandet av en sådan reserv kräver kraftfulla skyddsåtgärder, eftersom det medför risker såsom risken för strukturell övertäckning av avgifter och möjligheten att använda ackumulerade medel för andra ändamål än kortsiktig stabilisering. Parlamentet anser att detta gör transparensen när det gäller kostnaderna och kopplingen mellan avgifter och verksamhet avgörande, bland annat genom verksamhetsbaserad rapportering som skiljer mellan avgiftsfinansierade och unionsfinansierade uppgifter. Parlamentet rekommenderar att eventuella reservsaldon över taket återförs till unionens budget, antingen genom återbetalning eller genom minskning av det påföljande årets unionsbidrag, för att undvika ackumulering och upprätthålla centrala budgetprinciper.</w:t>
      </w:r>
    </w:p>
    <w:p w14:paraId="4BAC55E7" w14:textId="66F3489B" w:rsidR="004B06CC" w:rsidRPr="004D0537" w:rsidRDefault="007B6266" w:rsidP="004B06CC">
      <w:pPr>
        <w:spacing w:after="240"/>
        <w:ind w:left="567" w:hanging="567"/>
      </w:pPr>
      <w:r w:rsidRPr="004D0537">
        <w:rPr>
          <w:rFonts w:eastAsia="Aptos"/>
        </w:rPr>
        <w:t>42</w:t>
      </w:r>
      <w:r w:rsidR="004B06CC" w:rsidRPr="004D0537">
        <w:rPr>
          <w:rFonts w:eastAsia="Aptos"/>
        </w:rPr>
        <w:t>.</w:t>
      </w:r>
      <w:r w:rsidR="004B06CC" w:rsidRPr="004D0537">
        <w:rPr>
          <w:rFonts w:eastAsia="Aptos"/>
        </w:rPr>
        <w:tab/>
        <w:t xml:space="preserve">Europaparlamentet är bekymrat över </w:t>
      </w:r>
      <w:proofErr w:type="spellStart"/>
      <w:r w:rsidR="004B06CC" w:rsidRPr="004D0537">
        <w:rPr>
          <w:rFonts w:eastAsia="Aptos"/>
        </w:rPr>
        <w:t>CdT:s</w:t>
      </w:r>
      <w:proofErr w:type="spellEnd"/>
      <w:r w:rsidR="004B06CC" w:rsidRPr="004D0537">
        <w:rPr>
          <w:rFonts w:eastAsia="Aptos"/>
        </w:rPr>
        <w:t xml:space="preserve"> negativa ekonomiska resultat på 5,7 miljoner EUR och den kontinuerliga minskningen av rörelseintäkterna, främst kopplad till minskningen av antalet fakturerade sidor med 11,4 % 2024 och med 17,6 % 2023. Parlamentet noterar att reserven för prisstabilitet, som skapades 2011 för att kompensera för fluktuationer i affärsvolymen från kunder och för att hjälpa </w:t>
      </w:r>
      <w:proofErr w:type="spellStart"/>
      <w:r w:rsidR="004B06CC" w:rsidRPr="004D0537">
        <w:rPr>
          <w:rFonts w:eastAsia="Aptos"/>
        </w:rPr>
        <w:t>CdT</w:t>
      </w:r>
      <w:proofErr w:type="spellEnd"/>
      <w:r w:rsidR="004B06CC" w:rsidRPr="004D0537">
        <w:rPr>
          <w:rFonts w:eastAsia="Aptos"/>
        </w:rPr>
        <w:t xml:space="preserve"> att säkerställa budget- och prisstabilitet, nådde en topp på 15,6 miljoner EUR 2014 och minskade till 8,9 miljoner EUR 2024 (en minskning med 42,9 % sedan 2014). Parlamentet är medvetet om att när reserven väl är helt uttömd skulle eventuella ytterligare underskott behöva täckas av subventioner från unionens budget, i enlighet med </w:t>
      </w:r>
      <w:proofErr w:type="spellStart"/>
      <w:r w:rsidR="004B06CC" w:rsidRPr="004D0537">
        <w:rPr>
          <w:rFonts w:eastAsia="Aptos"/>
        </w:rPr>
        <w:t>CdT:s</w:t>
      </w:r>
      <w:proofErr w:type="spellEnd"/>
      <w:r w:rsidR="004B06CC" w:rsidRPr="004D0537">
        <w:rPr>
          <w:rFonts w:eastAsia="Aptos"/>
        </w:rPr>
        <w:t xml:space="preserve"> inrättandeförordning. Parlamentet noterar </w:t>
      </w:r>
      <w:proofErr w:type="spellStart"/>
      <w:r w:rsidR="004B06CC" w:rsidRPr="004D0537">
        <w:rPr>
          <w:rFonts w:eastAsia="Aptos"/>
        </w:rPr>
        <w:t>CdT:s</w:t>
      </w:r>
      <w:proofErr w:type="spellEnd"/>
      <w:r w:rsidR="004B06CC" w:rsidRPr="004D0537">
        <w:rPr>
          <w:rFonts w:eastAsia="Aptos"/>
        </w:rPr>
        <w:t xml:space="preserve"> uppföljande svar på ansvarsfrihetsförfarandet för 2023 och uppmanar styrelsen att fortsätta att rapportera om utvecklingen av dessa planer till den ansvarsfrihetsbeviljande myndigheten, med tanke på den fortsatta minskningen av intäkterna. Parlamentet uppmuntrar </w:t>
      </w:r>
      <w:proofErr w:type="spellStart"/>
      <w:r w:rsidR="004B06CC" w:rsidRPr="004D0537">
        <w:rPr>
          <w:rFonts w:eastAsia="Aptos"/>
        </w:rPr>
        <w:t>CdT</w:t>
      </w:r>
      <w:proofErr w:type="spellEnd"/>
      <w:r w:rsidR="004B06CC" w:rsidRPr="004D0537">
        <w:rPr>
          <w:rFonts w:eastAsia="Aptos"/>
        </w:rPr>
        <w:t xml:space="preserve"> att identifiera nya tjänster som centrumet skulle kunna tillhandahålla och nya inkomstkällor, med tanke på förekomsten av ny kostnadsfri </w:t>
      </w:r>
      <w:proofErr w:type="spellStart"/>
      <w:r w:rsidR="004B06CC" w:rsidRPr="004D0537">
        <w:rPr>
          <w:rFonts w:eastAsia="Aptos"/>
        </w:rPr>
        <w:t>översättningsteknik</w:t>
      </w:r>
      <w:proofErr w:type="spellEnd"/>
      <w:r w:rsidR="004B06CC" w:rsidRPr="004D0537">
        <w:rPr>
          <w:rFonts w:eastAsia="Aptos"/>
        </w:rPr>
        <w:t xml:space="preserve"> som skulle kunna påverka antalet översättningsbeställningar.</w:t>
      </w:r>
    </w:p>
    <w:p w14:paraId="2D684A4C" w14:textId="1E356117" w:rsidR="004B06CC" w:rsidRPr="004D0537" w:rsidRDefault="007B6266" w:rsidP="004B06CC">
      <w:pPr>
        <w:spacing w:after="240"/>
        <w:ind w:left="567" w:hanging="567"/>
      </w:pPr>
      <w:r w:rsidRPr="004D0537">
        <w:rPr>
          <w:rFonts w:eastAsia="Aptos"/>
        </w:rPr>
        <w:t>43</w:t>
      </w:r>
      <w:r w:rsidR="004B06CC" w:rsidRPr="004D0537">
        <w:rPr>
          <w:rFonts w:eastAsia="Aptos"/>
        </w:rPr>
        <w:t>.</w:t>
      </w:r>
      <w:r w:rsidR="004B06CC" w:rsidRPr="004D0537">
        <w:rPr>
          <w:rFonts w:eastAsia="Aptos"/>
        </w:rPr>
        <w:tab/>
        <w:t xml:space="preserve">Europaparlamentet insisterar på att även om det i budgetförordningen inte fastställs några tak för överföringar, undergräver återkommande och alltför stora överföringar </w:t>
      </w:r>
      <w:bookmarkStart w:id="5" w:name="_Hlk215651058"/>
      <w:r w:rsidR="004B06CC" w:rsidRPr="004D0537">
        <w:rPr>
          <w:rFonts w:eastAsia="Aptos"/>
        </w:rPr>
        <w:lastRenderedPageBreak/>
        <w:t xml:space="preserve">principen om budgetens </w:t>
      </w:r>
      <w:proofErr w:type="spellStart"/>
      <w:r w:rsidR="004B06CC" w:rsidRPr="004D0537">
        <w:rPr>
          <w:rFonts w:eastAsia="Aptos"/>
        </w:rPr>
        <w:t>ettårighet</w:t>
      </w:r>
      <w:bookmarkEnd w:id="5"/>
      <w:proofErr w:type="spellEnd"/>
      <w:r w:rsidR="004B06CC" w:rsidRPr="004D0537">
        <w:rPr>
          <w:rFonts w:eastAsia="Aptos"/>
        </w:rPr>
        <w:t xml:space="preserve"> och kan tyda på strukturella problem i budgetprocessen och budgetens genomförandecykel.</w:t>
      </w:r>
    </w:p>
    <w:p w14:paraId="14F7151C" w14:textId="00DA6FB9" w:rsidR="004B06CC" w:rsidRPr="004D0537" w:rsidRDefault="007B6266" w:rsidP="004B06CC">
      <w:pPr>
        <w:spacing w:after="240"/>
        <w:ind w:left="567" w:hanging="567"/>
      </w:pPr>
      <w:r w:rsidRPr="004D0537">
        <w:rPr>
          <w:rFonts w:eastAsia="Aptos"/>
        </w:rPr>
        <w:t>44</w:t>
      </w:r>
      <w:r w:rsidR="004B06CC" w:rsidRPr="004D0537">
        <w:rPr>
          <w:rFonts w:eastAsia="Aptos"/>
        </w:rPr>
        <w:t>.</w:t>
      </w:r>
      <w:r w:rsidR="004B06CC" w:rsidRPr="004D0537">
        <w:rPr>
          <w:rFonts w:eastAsia="Aptos"/>
        </w:rPr>
        <w:tab/>
        <w:t xml:space="preserve">Europaparlamentet noterar att 11 byråer (Acer, ECDC, EEA, EFCA, EIGE, </w:t>
      </w:r>
      <w:proofErr w:type="spellStart"/>
      <w:r w:rsidR="004B06CC" w:rsidRPr="004D0537">
        <w:rPr>
          <w:rFonts w:eastAsia="Aptos"/>
        </w:rPr>
        <w:t>Enisa</w:t>
      </w:r>
      <w:proofErr w:type="spellEnd"/>
      <w:r w:rsidR="004B06CC" w:rsidRPr="004D0537">
        <w:rPr>
          <w:rFonts w:eastAsia="Aptos"/>
        </w:rPr>
        <w:t>, EU</w:t>
      </w:r>
      <w:r w:rsidR="004B06CC" w:rsidRPr="004D0537">
        <w:rPr>
          <w:rFonts w:eastAsia="Aptos"/>
        </w:rPr>
        <w:noBreakHyphen/>
      </w:r>
      <w:proofErr w:type="spellStart"/>
      <w:r w:rsidR="004B06CC" w:rsidRPr="004D0537">
        <w:rPr>
          <w:rFonts w:eastAsia="Aptos"/>
        </w:rPr>
        <w:t>Osha</w:t>
      </w:r>
      <w:proofErr w:type="spellEnd"/>
      <w:r w:rsidR="004B06CC" w:rsidRPr="004D0537">
        <w:rPr>
          <w:rFonts w:eastAsia="Aptos"/>
        </w:rPr>
        <w:t xml:space="preserve">, </w:t>
      </w:r>
      <w:proofErr w:type="spellStart"/>
      <w:r w:rsidR="004B06CC" w:rsidRPr="004D0537">
        <w:rPr>
          <w:rFonts w:eastAsia="Aptos"/>
        </w:rPr>
        <w:t>Eurofound</w:t>
      </w:r>
      <w:proofErr w:type="spellEnd"/>
      <w:r w:rsidR="004B06CC" w:rsidRPr="004D0537">
        <w:rPr>
          <w:rFonts w:eastAsia="Aptos"/>
        </w:rPr>
        <w:t xml:space="preserve">, EUSPA, FRA och </w:t>
      </w:r>
      <w:proofErr w:type="spellStart"/>
      <w:r w:rsidR="004B06CC" w:rsidRPr="004D0537">
        <w:rPr>
          <w:rFonts w:eastAsia="Aptos"/>
        </w:rPr>
        <w:t>Frontex</w:t>
      </w:r>
      <w:proofErr w:type="spellEnd"/>
      <w:r w:rsidR="004B06CC" w:rsidRPr="004D0537">
        <w:rPr>
          <w:rFonts w:eastAsia="Aptos"/>
        </w:rPr>
        <w:t xml:space="preserve">) under 2024 hade överföringsnivåer på över 15 % för alla budgetavdelningar i kombination, med återkommande mönster. Parlamentet noterar att överföringarna för </w:t>
      </w:r>
      <w:proofErr w:type="spellStart"/>
      <w:r w:rsidR="004B06CC" w:rsidRPr="004D0537">
        <w:rPr>
          <w:rFonts w:eastAsia="Aptos"/>
        </w:rPr>
        <w:t>Frontex</w:t>
      </w:r>
      <w:proofErr w:type="spellEnd"/>
      <w:r w:rsidR="004B06CC" w:rsidRPr="004D0537">
        <w:rPr>
          <w:rFonts w:eastAsia="Aptos"/>
        </w:rPr>
        <w:t xml:space="preserve"> och ESA uppgick till mer än 40 % respektive 30 %. Parlamentet uppmanar byråerna att förbättra den fleråriga planeringen, planeringen av upphandlingar och åtagandeprognoserna för att stödja ett bättre genomförande av anslagen inom det budgetår för vilket de har godkänts. Parlamentet uppmanar kommissionen att kräva att byråer med återkommande överföringar lämnar in planer för korrigerande åtgärder. Parlamentet påminner om att revisionsrätten i sin årsrapport om EU:s byråer för budgetåret 2024 betonade att en återkommande hög andel överföringar undergräver principen om budgetens </w:t>
      </w:r>
      <w:proofErr w:type="spellStart"/>
      <w:r w:rsidR="004B06CC" w:rsidRPr="004D0537">
        <w:rPr>
          <w:rFonts w:eastAsia="Aptos"/>
        </w:rPr>
        <w:t>ettårighet</w:t>
      </w:r>
      <w:proofErr w:type="spellEnd"/>
      <w:r w:rsidR="004B06CC" w:rsidRPr="004D0537">
        <w:rPr>
          <w:rFonts w:eastAsia="Aptos"/>
        </w:rPr>
        <w:t>.</w:t>
      </w:r>
    </w:p>
    <w:p w14:paraId="65F1A24B" w14:textId="56FCC0CE" w:rsidR="004B06CC" w:rsidRPr="004D0537" w:rsidRDefault="007B6266" w:rsidP="004B06CC">
      <w:pPr>
        <w:spacing w:after="240"/>
        <w:ind w:left="567" w:hanging="567"/>
      </w:pPr>
      <w:r w:rsidRPr="004D0537">
        <w:rPr>
          <w:rFonts w:eastAsia="Aptos"/>
        </w:rPr>
        <w:t>45</w:t>
      </w:r>
      <w:r w:rsidR="004B06CC" w:rsidRPr="004D0537">
        <w:rPr>
          <w:rFonts w:eastAsia="Aptos"/>
        </w:rPr>
        <w:t>.</w:t>
      </w:r>
      <w:r w:rsidR="004B06CC" w:rsidRPr="004D0537">
        <w:rPr>
          <w:rFonts w:eastAsia="Aptos"/>
        </w:rPr>
        <w:tab/>
        <w:t>Europaparlamentet anser att överföringar i vissa fall kan motiveras av verksamhetens fleråriga karaktär eller orsakas av faktorer utanför de berörda byråernas kontroll. Parlamentet noterar revisionsrättens uttalande vid utfrågningen den 1 december 2025 om att den enligt sin nya revisionsmetod kommer att sträva efter att ge en tydligare övergripande översikt över typen av överföringar i framtida rapporter, och erkänner samtidigt revisionsrättens förtydligande att en differentierad uppdelning av orsakerna till överföringar mellan byråer inte är genomförbar på grund av metod- och resursbegränsningar. Parlamentet välkomnar revisionsrättens beredvillighet att lyfta fram återkommande mönster och systemfaktorer som bidrar till alltför stora överföringar. Parlamentet betonar dock att ihållande höga och återkommande nivåer av överföringar kan tyda på underliggande strukturella utmaningar i planeringen, genomförandet eller resurstilldelningen. Parlamentet uppmanar byråerna att förbättra sina budgetprognoser och sin projektplanering för att minimera oplanerade överföringar och säkerställa att anslagen används effektivt under budgetåret.</w:t>
      </w:r>
    </w:p>
    <w:p w14:paraId="01EC1042" w14:textId="397D8C4F" w:rsidR="004B06CC" w:rsidRPr="004D0537" w:rsidRDefault="007B6266" w:rsidP="004B06CC">
      <w:pPr>
        <w:spacing w:after="240"/>
        <w:ind w:left="567" w:hanging="567"/>
      </w:pPr>
      <w:r w:rsidRPr="004D0537">
        <w:rPr>
          <w:rFonts w:eastAsia="Aptos"/>
        </w:rPr>
        <w:t>46</w:t>
      </w:r>
      <w:r w:rsidR="004B06CC" w:rsidRPr="004D0537">
        <w:rPr>
          <w:rFonts w:eastAsia="Aptos"/>
        </w:rPr>
        <w:t>.</w:t>
      </w:r>
      <w:r w:rsidR="004B06CC" w:rsidRPr="004D0537">
        <w:rPr>
          <w:rFonts w:eastAsia="Aptos"/>
        </w:rPr>
        <w:tab/>
        <w:t xml:space="preserve">Europaparlamentet påminner om att det i regelverket föreskrivs att byråerna ska göra betalningar inom särskilda tidsfrister. Parlamentet noterar att om dessa tidsfrister inte respekteras kan det medföra ytterligare kostnader såsom dröjsmålsränta. Parlamentet konstaterar att revisionsrätten för 2024 rapporterar att för 11 byråer (Acer, </w:t>
      </w:r>
      <w:proofErr w:type="spellStart"/>
      <w:r w:rsidR="004B06CC" w:rsidRPr="004D0537">
        <w:rPr>
          <w:rFonts w:eastAsia="Aptos"/>
        </w:rPr>
        <w:t>Cedefop</w:t>
      </w:r>
      <w:proofErr w:type="spellEnd"/>
      <w:r w:rsidR="004B06CC" w:rsidRPr="004D0537">
        <w:rPr>
          <w:rFonts w:eastAsia="Aptos"/>
        </w:rPr>
        <w:t xml:space="preserve">, </w:t>
      </w:r>
      <w:proofErr w:type="spellStart"/>
      <w:r w:rsidR="004B06CC" w:rsidRPr="004D0537">
        <w:rPr>
          <w:rFonts w:eastAsia="Aptos"/>
        </w:rPr>
        <w:t>Cepol</w:t>
      </w:r>
      <w:proofErr w:type="spellEnd"/>
      <w:r w:rsidR="004B06CC" w:rsidRPr="004D0537">
        <w:rPr>
          <w:rFonts w:eastAsia="Aptos"/>
        </w:rPr>
        <w:t xml:space="preserve">, EEA, Europeiska arbetsmyndigheten, </w:t>
      </w:r>
      <w:proofErr w:type="spellStart"/>
      <w:r w:rsidR="004B06CC" w:rsidRPr="004D0537">
        <w:rPr>
          <w:rFonts w:eastAsia="Aptos"/>
        </w:rPr>
        <w:t>Enisa</w:t>
      </w:r>
      <w:proofErr w:type="spellEnd"/>
      <w:r w:rsidR="004B06CC" w:rsidRPr="004D0537">
        <w:rPr>
          <w:rFonts w:eastAsia="Aptos"/>
        </w:rPr>
        <w:t xml:space="preserve">, ETF, EUDA, Eurojust, FRA och </w:t>
      </w:r>
      <w:proofErr w:type="spellStart"/>
      <w:r w:rsidR="004B06CC" w:rsidRPr="004D0537">
        <w:rPr>
          <w:rFonts w:eastAsia="Aptos"/>
        </w:rPr>
        <w:t>Frontex</w:t>
      </w:r>
      <w:proofErr w:type="spellEnd"/>
      <w:r w:rsidR="004B06CC" w:rsidRPr="004D0537">
        <w:rPr>
          <w:rFonts w:eastAsia="Aptos"/>
        </w:rPr>
        <w:t>) gjordes mer än 5 % av betalningarna efter den tillämpliga tidsfristen. Parlamentet är bekymrat över ökningen av sena betalningar sedan 2022, vilket är en ökning jämfört med 2023 (nio byråer) och 2022 (fem byråer).</w:t>
      </w:r>
    </w:p>
    <w:p w14:paraId="583874DD" w14:textId="77777777" w:rsidR="004B06CC" w:rsidRPr="004D0537" w:rsidRDefault="004B06CC" w:rsidP="004B06CC">
      <w:pPr>
        <w:spacing w:after="240"/>
        <w:ind w:left="567" w:hanging="567"/>
        <w:rPr>
          <w:i/>
          <w:iCs/>
        </w:rPr>
      </w:pPr>
      <w:r w:rsidRPr="004D0537">
        <w:rPr>
          <w:rFonts w:eastAsia="Aptos"/>
          <w:i/>
        </w:rPr>
        <w:t>Rekommendationer</w:t>
      </w:r>
    </w:p>
    <w:p w14:paraId="08E827AB" w14:textId="207C801A" w:rsidR="004B06CC" w:rsidRPr="004D0537" w:rsidRDefault="007B6266" w:rsidP="004B06CC">
      <w:pPr>
        <w:spacing w:after="240"/>
        <w:ind w:left="567" w:hanging="567"/>
      </w:pPr>
      <w:r w:rsidRPr="004D0537">
        <w:rPr>
          <w:rFonts w:eastAsia="Aptos"/>
        </w:rPr>
        <w:t>47</w:t>
      </w:r>
      <w:r w:rsidR="004B06CC" w:rsidRPr="004D0537">
        <w:rPr>
          <w:rFonts w:eastAsia="Aptos"/>
        </w:rPr>
        <w:t>.</w:t>
      </w:r>
      <w:r w:rsidR="004B06CC" w:rsidRPr="004D0537">
        <w:rPr>
          <w:rFonts w:eastAsia="Aptos"/>
        </w:rPr>
        <w:tab/>
        <w:t>Europaparlamentet insisterar på behovet av att säkerställa efterlevnad av lagstadgade tidsfrister för betalningar och noterar att en hög frekvens av försenade betalningar kan inverka negativt på byråernas anseende. Parlamentet uppmanar de berörda byråerna att vidta åtgärder för att undvika framtida betalningsförseningar och dröjsmålsränta och säkerställa att skyldigheterna fullgörs i tid. Parlamentet påminner om att iakttagande av betalningsfrister enligt budgetförordningen utgör en rättslig skyldighet och en central del av den ekonomiska förvaltningen. Parlamentet uppmanar byråer där sena betalningar kvarstår under flera år att genomföra korrigerande åtgärder som säkerställer systematisk respekt för föreskrivna tidsfrister.</w:t>
      </w:r>
    </w:p>
    <w:p w14:paraId="4D468C62" w14:textId="634B3145" w:rsidR="004B06CC" w:rsidRPr="004D0537" w:rsidRDefault="007B6266" w:rsidP="004B06CC">
      <w:pPr>
        <w:spacing w:after="240"/>
        <w:ind w:left="567" w:hanging="567"/>
        <w:rPr>
          <w:u w:val="single"/>
        </w:rPr>
      </w:pPr>
      <w:r w:rsidRPr="004D0537">
        <w:rPr>
          <w:rFonts w:eastAsia="Aptos"/>
        </w:rPr>
        <w:t>48</w:t>
      </w:r>
      <w:r w:rsidR="004B06CC" w:rsidRPr="004D0537">
        <w:rPr>
          <w:rFonts w:eastAsia="Aptos"/>
        </w:rPr>
        <w:t>.</w:t>
      </w:r>
      <w:r w:rsidR="004B06CC" w:rsidRPr="004D0537">
        <w:rPr>
          <w:rFonts w:eastAsia="Aptos"/>
        </w:rPr>
        <w:tab/>
        <w:t xml:space="preserve">Europaparlamentet uppmanar de europeiska tillsynsmyndigheterna (EBA, </w:t>
      </w:r>
      <w:proofErr w:type="spellStart"/>
      <w:r w:rsidR="004B06CC" w:rsidRPr="004D0537">
        <w:rPr>
          <w:rFonts w:eastAsia="Aptos"/>
        </w:rPr>
        <w:t>Eiopa</w:t>
      </w:r>
      <w:proofErr w:type="spellEnd"/>
      <w:r w:rsidR="004B06CC" w:rsidRPr="004D0537">
        <w:rPr>
          <w:rFonts w:eastAsia="Aptos"/>
        </w:rPr>
        <w:t xml:space="preserve"> och </w:t>
      </w:r>
      <w:proofErr w:type="spellStart"/>
      <w:r w:rsidR="004B06CC" w:rsidRPr="004D0537">
        <w:rPr>
          <w:rFonts w:eastAsia="Aptos"/>
        </w:rPr>
        <w:lastRenderedPageBreak/>
        <w:t>Esma</w:t>
      </w:r>
      <w:proofErr w:type="spellEnd"/>
      <w:r w:rsidR="004B06CC" w:rsidRPr="004D0537">
        <w:rPr>
          <w:rFonts w:eastAsia="Aptos"/>
        </w:rPr>
        <w:t>) att stärka transparensen i sin verksamhet som finansieras genom olika intäktsflöden, i syfte att förbättra redovisningstillsynen, i enlighet med revisionsrättens rekommendationer när det gäller inkomstförvaltning och finansieringsstrukturer.</w:t>
      </w:r>
    </w:p>
    <w:p w14:paraId="26846D76" w14:textId="77777777" w:rsidR="004B06CC" w:rsidRPr="004D0537" w:rsidRDefault="004B06CC" w:rsidP="004B06CC">
      <w:pPr>
        <w:spacing w:after="240"/>
        <w:ind w:left="567" w:hanging="567"/>
        <w:rPr>
          <w:b/>
          <w:i/>
        </w:rPr>
      </w:pPr>
      <w:r w:rsidRPr="004D0537">
        <w:rPr>
          <w:rFonts w:eastAsia="Aptos"/>
          <w:b/>
          <w:i/>
        </w:rPr>
        <w:t>De huvudsakliga risker som identifierats av revisionsrätten och översikt över granskningsresultaten</w:t>
      </w:r>
    </w:p>
    <w:p w14:paraId="416803E3" w14:textId="56AE1D60" w:rsidR="004B06CC" w:rsidRPr="004D0537" w:rsidRDefault="007B6266" w:rsidP="004B06CC">
      <w:pPr>
        <w:spacing w:after="240"/>
        <w:ind w:left="567" w:hanging="567"/>
      </w:pPr>
      <w:bookmarkStart w:id="6" w:name="_Hlk225770236"/>
      <w:r w:rsidRPr="004D0537">
        <w:rPr>
          <w:rFonts w:eastAsia="Aptos"/>
        </w:rPr>
        <w:t>49</w:t>
      </w:r>
      <w:r w:rsidR="004B06CC" w:rsidRPr="004D0537">
        <w:rPr>
          <w:rFonts w:eastAsia="Aptos"/>
        </w:rPr>
        <w:t>.</w:t>
      </w:r>
      <w:r w:rsidR="004B06CC" w:rsidRPr="004D0537">
        <w:rPr>
          <w:rFonts w:eastAsia="Aptos"/>
        </w:rPr>
        <w:tab/>
      </w:r>
      <w:bookmarkStart w:id="7" w:name="_Hlk214996918"/>
      <w:r w:rsidR="004B06CC" w:rsidRPr="004D0537">
        <w:rPr>
          <w:rFonts w:eastAsia="Aptos"/>
        </w:rPr>
        <w:t>Europaparlamentet noterar att revisionsrätten i sin årsrapport om EU:s byråer för budgetåret 2024 konstaterar att revisionsrättens granskning visade liknande resultat som föregående år, och att brister i förfarandena för offentlig upphandling var den främsta källan till oriktiga betalningar. Parlamentet uppmanar de berörda byråerna att stärka sina förhandskontroller, förbättra dokumentationen av tilldelningskriterierna och säkerställa en strikt motivering av förhandlade förfaranden utan offentliggörande. Parlamentet uppmanar kommissionen att tillhandahålla riktad vägledning och utbildning till byråer med återkommande upphandlingsbrister. Parlamentet uppmanar byråerna att säkerställa fullständig spårbarhet, konkurrensutsatta förfaranden och korrekt dokumentation i all upphandlingsverksamhet, och uppmanar byråernas internrevisionstjänster att prioritera upphandlingsöversyner.</w:t>
      </w:r>
    </w:p>
    <w:bookmarkEnd w:id="6"/>
    <w:bookmarkEnd w:id="7"/>
    <w:p w14:paraId="4E69E1E6" w14:textId="571CC6FC" w:rsidR="004B06CC" w:rsidRPr="004D0537" w:rsidRDefault="007B6266" w:rsidP="004B06CC">
      <w:pPr>
        <w:spacing w:after="240"/>
        <w:ind w:left="567" w:hanging="567"/>
      </w:pPr>
      <w:r w:rsidRPr="004D0537">
        <w:rPr>
          <w:rFonts w:eastAsia="Aptos"/>
        </w:rPr>
        <w:t>50</w:t>
      </w:r>
      <w:r w:rsidR="004B06CC" w:rsidRPr="004D0537">
        <w:rPr>
          <w:rFonts w:eastAsia="Aptos"/>
        </w:rPr>
        <w:t>.</w:t>
      </w:r>
      <w:r w:rsidR="004B06CC" w:rsidRPr="004D0537">
        <w:rPr>
          <w:rFonts w:eastAsia="Aptos"/>
        </w:rPr>
        <w:tab/>
        <w:t>Europaparlamentet noterar utifrån revisionsrättens rapport att den övergripande risken när det gäller tillförlitligheten i byråernas räkenskaper i allmänhet fortfarande är låg, och att risken när det gäller lagligheten och korrektheten avseende intäkterna i byråernas räkenskaper också är låg för de flesta byråer. Parlamentet noterar vidare att denna risk bedöms vara medelhög för delvis självfinansierade byråer på grund av de särskilda bestämmelserna om uppbörd av avgifter och andra inkomstbidrag, en situation som också har observerats under tidigare år.</w:t>
      </w:r>
    </w:p>
    <w:p w14:paraId="4F0C0481" w14:textId="060A9F65" w:rsidR="004B06CC" w:rsidRPr="004D0537" w:rsidRDefault="007B6266" w:rsidP="004B06CC">
      <w:pPr>
        <w:spacing w:after="240"/>
        <w:ind w:left="567" w:hanging="567"/>
      </w:pPr>
      <w:r w:rsidRPr="004D0537">
        <w:rPr>
          <w:rFonts w:eastAsia="Aptos"/>
        </w:rPr>
        <w:t>51</w:t>
      </w:r>
      <w:r w:rsidR="004B06CC" w:rsidRPr="004D0537">
        <w:rPr>
          <w:rFonts w:eastAsia="Aptos"/>
        </w:rPr>
        <w:t>.</w:t>
      </w:r>
      <w:r w:rsidR="004B06CC" w:rsidRPr="004D0537">
        <w:rPr>
          <w:rFonts w:eastAsia="Aptos"/>
        </w:rPr>
        <w:tab/>
        <w:t>Europaparlamentet noterar att revisionsrätten anser att risken för lagligheten och korrektheten för de betalningar som ligger till grund för byråernas räkenskaper totalt sett är medelhög, och varierar från låg till hög för specifika budgetavdelningar. Parlamentet noterar att revisionsrätten anser att risken för avdelning I (personalutgifter) i allmänhet är låg, för avdelning II (administrativa utgifter) medelhög och för avdelning III (driftsutgifter) låg till hög, beroende på byrån i fråga och arten av dess driftsutgifter. Parlamentet påpekar att revisionsrätten anser att risken när det gäller avdelning III liknar risken för avdelning II, men eftersom det rör sig om mycket högre belopp i avdelning III anses inverkan vara större.</w:t>
      </w:r>
    </w:p>
    <w:p w14:paraId="1B159B70" w14:textId="6091A41B" w:rsidR="004B06CC" w:rsidRPr="004D0537" w:rsidRDefault="007B6266" w:rsidP="004B06CC">
      <w:pPr>
        <w:spacing w:after="240"/>
        <w:ind w:left="567" w:hanging="567"/>
      </w:pPr>
      <w:r w:rsidRPr="004D0537">
        <w:rPr>
          <w:rFonts w:eastAsia="Aptos"/>
        </w:rPr>
        <w:t>52</w:t>
      </w:r>
      <w:r w:rsidR="004B06CC" w:rsidRPr="004D0537">
        <w:rPr>
          <w:rFonts w:eastAsia="Aptos"/>
        </w:rPr>
        <w:t>.</w:t>
      </w:r>
      <w:r w:rsidR="004B06CC" w:rsidRPr="004D0537">
        <w:rPr>
          <w:rFonts w:eastAsia="Aptos"/>
        </w:rPr>
        <w:tab/>
        <w:t>Europaparlamentet noterar att revisionsrätten, liksom tidigare år, anser att risken avseende sund ekonomisk förvaltning är medelhög och främst förknippad med förfaranden för offentlig upphandling.</w:t>
      </w:r>
    </w:p>
    <w:p w14:paraId="26F8D19C" w14:textId="4E518569" w:rsidR="004B06CC" w:rsidRPr="004D0537" w:rsidRDefault="007B6266" w:rsidP="004B06CC">
      <w:pPr>
        <w:spacing w:after="240"/>
        <w:ind w:left="567" w:hanging="567"/>
      </w:pPr>
      <w:r w:rsidRPr="004D0537">
        <w:rPr>
          <w:rFonts w:eastAsia="Aptos"/>
        </w:rPr>
        <w:t>53</w:t>
      </w:r>
      <w:r w:rsidR="004B06CC" w:rsidRPr="004D0537">
        <w:rPr>
          <w:rFonts w:eastAsia="Aptos"/>
        </w:rPr>
        <w:t>.</w:t>
      </w:r>
      <w:r w:rsidR="004B06CC" w:rsidRPr="004D0537">
        <w:rPr>
          <w:rFonts w:eastAsia="Aptos"/>
        </w:rPr>
        <w:tab/>
        <w:t xml:space="preserve">Europaparlamentet noterar att revisionsrätten anser att risken för budgetförvaltningen är låg, och att revisionsrättens granskning avslöjade brister som främst gällde den automatiska överföringen av outnyttjade anslag till påföljande budgetår och sena betalningar. Parlamentet framhåller att brister i förvaltnings- och kontrollsystemen rör förhållanden som till exempel avsaknad av lämpliga förhands- eller efterhandskontroller, upphandlingar för operativa ändamål som inleds utan korrekta finansieringsbeslut, utgifter som genomförs utan korrekt delegering av befogenheter av en utanordnare, brister i förvaltningen av bidrag och förseningar i kommissionens bedömning av en byrå. Parlamentet betonar att dessa brister, som förtecknats av revisionsrätten, undergräver en sund ekonomisk förvaltning och utsätter byråerna för finansiella risker och anseenderisker. Parlamentet uppmanar de berörda byråerna att </w:t>
      </w:r>
      <w:r w:rsidR="004B06CC" w:rsidRPr="004D0537">
        <w:rPr>
          <w:rFonts w:eastAsia="Aptos"/>
        </w:rPr>
        <w:lastRenderedPageBreak/>
        <w:t>säkerställa fullständig efterlevnad av budgetförordningen och att vidta nödvändiga korrigerande åtgärder, och uppmanar kommissionen att noga övervaka genomförandet av dem.</w:t>
      </w:r>
    </w:p>
    <w:p w14:paraId="328E10CF" w14:textId="2877F2AD" w:rsidR="004B06CC" w:rsidRPr="004D0537" w:rsidRDefault="007B6266" w:rsidP="004B06CC">
      <w:pPr>
        <w:spacing w:after="240"/>
        <w:ind w:left="567" w:hanging="567"/>
      </w:pPr>
      <w:r w:rsidRPr="004D0537">
        <w:rPr>
          <w:rFonts w:eastAsia="Aptos"/>
        </w:rPr>
        <w:t>54</w:t>
      </w:r>
      <w:r w:rsidR="004B06CC" w:rsidRPr="004D0537">
        <w:rPr>
          <w:rFonts w:eastAsia="Aptos"/>
        </w:rPr>
        <w:t>.</w:t>
      </w:r>
      <w:r w:rsidR="004B06CC" w:rsidRPr="004D0537">
        <w:rPr>
          <w:rFonts w:eastAsia="Aptos"/>
        </w:rPr>
        <w:tab/>
        <w:t>Europaparlamentet noterar att revisionsrätten under 2024 gjorde totalt 72 iakttagelser som gällde olika problem på områdena upphandling (34 iakttagelser), förvaltnings- och kontrollsystem (11 iakttagelser) (andra än upphandlings- och personalfrågor) och budgetförvaltning (27 iakttagelser).</w:t>
      </w:r>
    </w:p>
    <w:p w14:paraId="0F27A573" w14:textId="1CA58F0C" w:rsidR="004B06CC" w:rsidRPr="004D0537" w:rsidRDefault="007B6266" w:rsidP="004B06CC">
      <w:pPr>
        <w:spacing w:after="240"/>
        <w:ind w:left="567" w:hanging="567"/>
      </w:pPr>
      <w:r w:rsidRPr="004D0537">
        <w:rPr>
          <w:rFonts w:eastAsia="Aptos"/>
        </w:rPr>
        <w:t>55</w:t>
      </w:r>
      <w:r w:rsidR="004B06CC" w:rsidRPr="004D0537">
        <w:rPr>
          <w:rFonts w:eastAsia="Aptos"/>
        </w:rPr>
        <w:t>.</w:t>
      </w:r>
      <w:r w:rsidR="004B06CC" w:rsidRPr="004D0537">
        <w:rPr>
          <w:rFonts w:eastAsia="Aptos"/>
        </w:rPr>
        <w:tab/>
        <w:t>Europaparlamentet noterar att revisionsrätten lämnade ett revisionsuttalande utan reservation om tillförlitligheten för alla byråers räkenskaper. Parlamentet noterar att revisionsrätten lämnade ett uttalande utan reservation om lagligheten och korrektheten i de inkomster som låg till grund för samtliga byråers räkenskaper.</w:t>
      </w:r>
    </w:p>
    <w:p w14:paraId="7F02F4DB" w14:textId="166D7BAE" w:rsidR="004B06CC" w:rsidRPr="004D0537" w:rsidRDefault="007B6266" w:rsidP="004B06CC">
      <w:pPr>
        <w:spacing w:after="240"/>
        <w:ind w:left="567" w:hanging="567"/>
      </w:pPr>
      <w:r w:rsidRPr="004D0537">
        <w:rPr>
          <w:rFonts w:eastAsia="Aptos"/>
        </w:rPr>
        <w:t>56</w:t>
      </w:r>
      <w:r w:rsidR="004B06CC" w:rsidRPr="004D0537">
        <w:rPr>
          <w:rFonts w:eastAsia="Aptos"/>
        </w:rPr>
        <w:t>.</w:t>
      </w:r>
      <w:r w:rsidR="004B06CC" w:rsidRPr="004D0537">
        <w:rPr>
          <w:rFonts w:eastAsia="Aptos"/>
        </w:rPr>
        <w:tab/>
        <w:t xml:space="preserve">Europaparlamentet konstaterar att ett uttalande utan reservation om lagligheten och korrektheten i de betalningar som ligger till grund för räkenskaperna utfärdades för alla byråer med undantag för Europeiska arbetsmyndigheten. </w:t>
      </w:r>
    </w:p>
    <w:p w14:paraId="2F786BB9" w14:textId="012E7E28" w:rsidR="004B06CC" w:rsidRPr="004D0537" w:rsidRDefault="007B6266" w:rsidP="004B06CC">
      <w:pPr>
        <w:spacing w:after="240"/>
        <w:ind w:left="567" w:hanging="567"/>
      </w:pPr>
      <w:r w:rsidRPr="004D0537">
        <w:rPr>
          <w:rFonts w:eastAsia="Aptos"/>
        </w:rPr>
        <w:t>57</w:t>
      </w:r>
      <w:r w:rsidR="004B06CC" w:rsidRPr="004D0537">
        <w:rPr>
          <w:rFonts w:eastAsia="Aptos"/>
        </w:rPr>
        <w:t>.</w:t>
      </w:r>
      <w:r w:rsidR="004B06CC" w:rsidRPr="004D0537">
        <w:rPr>
          <w:rFonts w:eastAsia="Aptos"/>
        </w:rPr>
        <w:tab/>
        <w:t>Europaparlamentet noterar att när det gäller Europeiska arbetsmyndigheten avser reservationen betalningar på 2,6 miljoner EUR 2024, vilket motsvarar 5,7 % av samtliga tillgängliga betalningsbemyndiganden. Parlamentet noterar att detta belopp inkluderar 2,2 miljoner EUR för ett kontrakt som ansågs vara oriktigt i 2022 års revisionsrapport på grund av att det tilldelade värdet överskred den fastställda högsta kontraktsgränsen, i strid med punkt 12.3 a i bilaga I till budgetförordningen, och 0,4 miljoner EUR i samband med brister i förhandskontrollerna när det gäller kontraktsgenomförandet. Parlamentet noterar Europeiska arbetsmyndighetens svar under utfrågningen den 1 december 2025 att de faktiska betalningarna inom ramen för kontraktet, trots den oriktiga tilldelningen, höll sig inom det tak på 6 miljoner EUR som fastställs i kravspecifikationerna, och att kontraktet var avgörande för att säkerställa myndighetens kontinuitet i verksamheten under dess inledande etableringsfas. Parlamentet noterar vidare att det oriktiga kontraktet löpte ut i februari 2024 och inte förnyades. Parlamentet välkomnar myndighetens försäkringar om att korrigerande åtgärder har vidtagits, inbegripet reviderade anbudsunderlag, stärkta upphandlingsförfaranden och uppdaterade interna checklistor för att förhindra liknande oriktigheter. Parlamentet uppmanar eftertryckligen Europeiska arbetsmyndigheten att stärka planerings- och prioriteringsmekanismerna för att säkerställa en effektiv användning av anslag och ett genomförande i tid av operativ verksamhet i framtiden.</w:t>
      </w:r>
    </w:p>
    <w:p w14:paraId="39C95CEB" w14:textId="6FAA83FE" w:rsidR="004B06CC" w:rsidRPr="004D0537" w:rsidRDefault="007B6266" w:rsidP="004B06CC">
      <w:pPr>
        <w:spacing w:after="240"/>
        <w:ind w:left="567" w:hanging="567"/>
      </w:pPr>
      <w:r w:rsidRPr="004D0537">
        <w:rPr>
          <w:rFonts w:eastAsia="Aptos"/>
        </w:rPr>
        <w:t>58</w:t>
      </w:r>
      <w:r w:rsidR="004B06CC" w:rsidRPr="004D0537">
        <w:rPr>
          <w:rFonts w:eastAsia="Aptos"/>
        </w:rPr>
        <w:t>.</w:t>
      </w:r>
      <w:r w:rsidR="004B06CC" w:rsidRPr="004D0537">
        <w:rPr>
          <w:rFonts w:eastAsia="Aptos"/>
        </w:rPr>
        <w:tab/>
        <w:t xml:space="preserve">Europaparlamentet framhåller att revisionsrätten lämnade upplysningar av särskild betydelse för att understryka ett förhållande som har presenterats eller som det har lämnats upplysningar om i räkenskaperna och som är så viktigt att det är grundläggande för förståelsen av räkenskaperna eller de underliggande inkomsterna eller betalningarna. Parlamentet noterar vidare att revisionsrätten för budgetåret 2024 lämnade upplysningar av särskild betydelse för följande byråer som ingår i denna resolution: </w:t>
      </w:r>
      <w:proofErr w:type="spellStart"/>
      <w:r w:rsidR="004B06CC" w:rsidRPr="004D0537">
        <w:rPr>
          <w:rFonts w:eastAsia="Aptos"/>
        </w:rPr>
        <w:t>CdT</w:t>
      </w:r>
      <w:proofErr w:type="spellEnd"/>
      <w:r w:rsidR="004B06CC" w:rsidRPr="004D0537">
        <w:rPr>
          <w:rFonts w:eastAsia="Aptos"/>
        </w:rPr>
        <w:t xml:space="preserve">, </w:t>
      </w:r>
      <w:proofErr w:type="spellStart"/>
      <w:r w:rsidR="004B06CC" w:rsidRPr="004D0537">
        <w:rPr>
          <w:rFonts w:eastAsia="Aptos"/>
        </w:rPr>
        <w:t>Cepol</w:t>
      </w:r>
      <w:proofErr w:type="spellEnd"/>
      <w:r w:rsidR="004B06CC" w:rsidRPr="004D0537">
        <w:rPr>
          <w:rFonts w:eastAsia="Aptos"/>
        </w:rPr>
        <w:t xml:space="preserve">, EBA, EIT, EMA och </w:t>
      </w:r>
      <w:proofErr w:type="spellStart"/>
      <w:r w:rsidR="004B06CC" w:rsidRPr="004D0537">
        <w:rPr>
          <w:rFonts w:eastAsia="Aptos"/>
        </w:rPr>
        <w:t>Esma</w:t>
      </w:r>
      <w:proofErr w:type="spellEnd"/>
      <w:r w:rsidR="004B06CC" w:rsidRPr="004D0537">
        <w:rPr>
          <w:rFonts w:eastAsia="Aptos"/>
        </w:rPr>
        <w:t>.</w:t>
      </w:r>
    </w:p>
    <w:p w14:paraId="7CFE6C7F" w14:textId="7B96A1B4" w:rsidR="004B06CC" w:rsidRPr="004D0537" w:rsidRDefault="007B6266" w:rsidP="004B06CC">
      <w:pPr>
        <w:spacing w:after="240"/>
        <w:ind w:left="567" w:hanging="567"/>
        <w:rPr>
          <w:bCs/>
          <w:iCs/>
        </w:rPr>
      </w:pPr>
      <w:r w:rsidRPr="004D0537">
        <w:rPr>
          <w:rFonts w:eastAsia="Aptos"/>
        </w:rPr>
        <w:t>59</w:t>
      </w:r>
      <w:r w:rsidR="004B06CC" w:rsidRPr="004D0537">
        <w:rPr>
          <w:rFonts w:eastAsia="Aptos"/>
        </w:rPr>
        <w:t>.</w:t>
      </w:r>
      <w:r w:rsidR="004B06CC" w:rsidRPr="004D0537">
        <w:rPr>
          <w:rFonts w:eastAsia="Aptos"/>
        </w:rPr>
        <w:tab/>
        <w:t>Europaparlamentet noterar att ”iakttagelser” i byråernas särskilda årsrapporter i själva verket är icke tidsbundna rekommendationer från revisionsrätten. Parlamentet noterar att revisionsrätten årligen följer upp dessa iakttagelser genom att bedöma deras status som ”pågår” eller ”har genomförts”. Parlamentet anser dock att långvariga pågående iakttagelser bör kräva snabba och konkreta korrigerande åtgärder, åtföljda av förstärkt tillsyn från respektive styrelses sida för att förhindra återkommande brister.</w:t>
      </w:r>
    </w:p>
    <w:p w14:paraId="47954F21" w14:textId="5CC67A7D" w:rsidR="004B06CC" w:rsidRPr="004D0537" w:rsidRDefault="007B6266" w:rsidP="004B06CC">
      <w:pPr>
        <w:spacing w:after="240"/>
        <w:ind w:left="567" w:hanging="567"/>
      </w:pPr>
      <w:r w:rsidRPr="004D0537">
        <w:rPr>
          <w:rFonts w:eastAsia="Aptos"/>
        </w:rPr>
        <w:lastRenderedPageBreak/>
        <w:t>60</w:t>
      </w:r>
      <w:r w:rsidR="004B06CC" w:rsidRPr="004D0537">
        <w:rPr>
          <w:rFonts w:eastAsia="Aptos"/>
        </w:rPr>
        <w:t>.</w:t>
      </w:r>
      <w:r w:rsidR="004B06CC" w:rsidRPr="004D0537">
        <w:rPr>
          <w:rFonts w:eastAsia="Aptos"/>
        </w:rPr>
        <w:tab/>
        <w:t xml:space="preserve">Europaparlamentet noterar att av totalt 109 iakttagelser som revisionsrätten gjort avseende tidigare år för de byråer som ingår i denna resolution genomfördes totalt 66 under 2024, totalt 39 pågår fortfarande och två har delvis genomförts. Parlamentet konstaterar att antalet pågående iakttagelser varierar mellan byråerna, och att vissa inte har några pågående iakttagelser alls, vilket är fallet för </w:t>
      </w:r>
      <w:proofErr w:type="spellStart"/>
      <w:r w:rsidR="004B06CC" w:rsidRPr="004D0537">
        <w:rPr>
          <w:rFonts w:eastAsia="Aptos"/>
        </w:rPr>
        <w:t>Berecbyrån</w:t>
      </w:r>
      <w:proofErr w:type="spellEnd"/>
      <w:r w:rsidR="004B06CC" w:rsidRPr="004D0537">
        <w:rPr>
          <w:rFonts w:eastAsia="Aptos"/>
        </w:rPr>
        <w:t xml:space="preserve">, </w:t>
      </w:r>
      <w:proofErr w:type="spellStart"/>
      <w:r w:rsidR="004B06CC" w:rsidRPr="004D0537">
        <w:rPr>
          <w:rFonts w:eastAsia="Aptos"/>
        </w:rPr>
        <w:t>CdT</w:t>
      </w:r>
      <w:proofErr w:type="spellEnd"/>
      <w:r w:rsidR="004B06CC" w:rsidRPr="004D0537">
        <w:rPr>
          <w:rFonts w:eastAsia="Aptos"/>
        </w:rPr>
        <w:t xml:space="preserve">, </w:t>
      </w:r>
      <w:proofErr w:type="spellStart"/>
      <w:r w:rsidR="004B06CC" w:rsidRPr="004D0537">
        <w:rPr>
          <w:rFonts w:eastAsia="Aptos"/>
        </w:rPr>
        <w:t>Cepol</w:t>
      </w:r>
      <w:proofErr w:type="spellEnd"/>
      <w:r w:rsidR="004B06CC" w:rsidRPr="004D0537">
        <w:rPr>
          <w:rFonts w:eastAsia="Aptos"/>
        </w:rPr>
        <w:t xml:space="preserve">, </w:t>
      </w:r>
      <w:proofErr w:type="spellStart"/>
      <w:r w:rsidR="004B06CC" w:rsidRPr="004D0537">
        <w:rPr>
          <w:rFonts w:eastAsia="Aptos"/>
        </w:rPr>
        <w:t>Easa</w:t>
      </w:r>
      <w:proofErr w:type="spellEnd"/>
      <w:r w:rsidR="004B06CC" w:rsidRPr="004D0537">
        <w:rPr>
          <w:rFonts w:eastAsia="Aptos"/>
        </w:rPr>
        <w:t xml:space="preserve">, EBA, </w:t>
      </w:r>
      <w:proofErr w:type="spellStart"/>
      <w:r w:rsidR="004B06CC" w:rsidRPr="004D0537">
        <w:rPr>
          <w:rFonts w:eastAsia="Aptos"/>
        </w:rPr>
        <w:t>Echa</w:t>
      </w:r>
      <w:proofErr w:type="spellEnd"/>
      <w:r w:rsidR="004B06CC" w:rsidRPr="004D0537">
        <w:rPr>
          <w:rFonts w:eastAsia="Aptos"/>
        </w:rPr>
        <w:t xml:space="preserve">, </w:t>
      </w:r>
      <w:proofErr w:type="spellStart"/>
      <w:r w:rsidR="004B06CC" w:rsidRPr="004D0537">
        <w:rPr>
          <w:rFonts w:eastAsia="Aptos"/>
        </w:rPr>
        <w:t>Efsa</w:t>
      </w:r>
      <w:proofErr w:type="spellEnd"/>
      <w:r w:rsidR="004B06CC" w:rsidRPr="004D0537">
        <w:rPr>
          <w:rFonts w:eastAsia="Aptos"/>
        </w:rPr>
        <w:t xml:space="preserve">, EMA, </w:t>
      </w:r>
      <w:proofErr w:type="spellStart"/>
      <w:r w:rsidR="004B06CC" w:rsidRPr="004D0537">
        <w:rPr>
          <w:rFonts w:eastAsia="Aptos"/>
        </w:rPr>
        <w:t>Emsa</w:t>
      </w:r>
      <w:proofErr w:type="spellEnd"/>
      <w:r w:rsidR="004B06CC" w:rsidRPr="004D0537">
        <w:rPr>
          <w:rFonts w:eastAsia="Aptos"/>
        </w:rPr>
        <w:t xml:space="preserve">, ERA, de europeiska tillsynsmyndigheterna och </w:t>
      </w:r>
      <w:proofErr w:type="spellStart"/>
      <w:r w:rsidR="004B06CC" w:rsidRPr="004D0537">
        <w:rPr>
          <w:rFonts w:eastAsia="Aptos"/>
        </w:rPr>
        <w:t>Esma</w:t>
      </w:r>
      <w:proofErr w:type="spellEnd"/>
      <w:r w:rsidR="004B06CC" w:rsidRPr="004D0537">
        <w:rPr>
          <w:rFonts w:eastAsia="Aptos"/>
        </w:rPr>
        <w:t>, och att det största antalet pågående iakttagelser fortfarande avser Acer (fyra), Europeiska arbetsmyndigheten (fem), eu</w:t>
      </w:r>
      <w:r w:rsidR="004B06CC" w:rsidRPr="004D0537">
        <w:rPr>
          <w:rFonts w:eastAsia="Aptos"/>
        </w:rPr>
        <w:noBreakHyphen/>
        <w:t xml:space="preserve">Lisa (fem) och </w:t>
      </w:r>
      <w:proofErr w:type="spellStart"/>
      <w:r w:rsidR="004B06CC" w:rsidRPr="004D0537">
        <w:rPr>
          <w:rFonts w:eastAsia="Aptos"/>
        </w:rPr>
        <w:t>Frontex</w:t>
      </w:r>
      <w:proofErr w:type="spellEnd"/>
      <w:r w:rsidR="004B06CC" w:rsidRPr="004D0537">
        <w:rPr>
          <w:rFonts w:eastAsia="Aptos"/>
        </w:rPr>
        <w:t xml:space="preserve"> (fyra), jämfört med Acer (tre), Europeiska arbetsmyndigheten (fem), eu-Lisa (åtta) och </w:t>
      </w:r>
      <w:proofErr w:type="spellStart"/>
      <w:r w:rsidR="004B06CC" w:rsidRPr="004D0537">
        <w:rPr>
          <w:rFonts w:eastAsia="Aptos"/>
        </w:rPr>
        <w:t>Frontex</w:t>
      </w:r>
      <w:proofErr w:type="spellEnd"/>
      <w:r w:rsidR="004B06CC" w:rsidRPr="004D0537">
        <w:rPr>
          <w:rFonts w:eastAsia="Aptos"/>
        </w:rPr>
        <w:t xml:space="preserve"> (sju) under 2023. Parlamentet erkänner förbättringarna och uppmuntrar byråerna att fortsätta att arbeta för att avsluta de pågående iakttagelserna.</w:t>
      </w:r>
    </w:p>
    <w:p w14:paraId="46097CBB" w14:textId="4555F03E" w:rsidR="004B06CC" w:rsidRPr="004D0537" w:rsidRDefault="007B6266" w:rsidP="004B06CC">
      <w:pPr>
        <w:spacing w:after="240"/>
        <w:ind w:left="567" w:hanging="567"/>
        <w:rPr>
          <w:u w:val="single"/>
        </w:rPr>
      </w:pPr>
      <w:r w:rsidRPr="004D0537">
        <w:rPr>
          <w:rFonts w:eastAsia="Aptos"/>
        </w:rPr>
        <w:t>61</w:t>
      </w:r>
      <w:r w:rsidR="004B06CC" w:rsidRPr="004D0537">
        <w:rPr>
          <w:rFonts w:eastAsia="Aptos"/>
        </w:rPr>
        <w:t>.</w:t>
      </w:r>
      <w:r w:rsidR="004B06CC" w:rsidRPr="004D0537">
        <w:rPr>
          <w:rFonts w:eastAsia="Aptos"/>
        </w:rPr>
        <w:tab/>
        <w:t xml:space="preserve">Europaparlamentet noterar att sju av de 39 pågående iakttagelserna (53 under 2023) avser en hög nivå av överföringar (Acer, ECDC, EFCA, EIGE, </w:t>
      </w:r>
      <w:proofErr w:type="spellStart"/>
      <w:r w:rsidR="004B06CC" w:rsidRPr="004D0537">
        <w:rPr>
          <w:rFonts w:eastAsia="Aptos"/>
        </w:rPr>
        <w:t>Eurofound</w:t>
      </w:r>
      <w:proofErr w:type="spellEnd"/>
      <w:r w:rsidR="004B06CC" w:rsidRPr="004D0537">
        <w:rPr>
          <w:rFonts w:eastAsia="Aptos"/>
        </w:rPr>
        <w:t xml:space="preserve"> och </w:t>
      </w:r>
      <w:proofErr w:type="spellStart"/>
      <w:r w:rsidR="004B06CC" w:rsidRPr="004D0537">
        <w:rPr>
          <w:rFonts w:eastAsia="Aptos"/>
        </w:rPr>
        <w:t>Frontex</w:t>
      </w:r>
      <w:proofErr w:type="spellEnd"/>
      <w:r w:rsidR="004B06CC" w:rsidRPr="004D0537">
        <w:rPr>
          <w:rFonts w:eastAsia="Aptos"/>
        </w:rPr>
        <w:t>). Parlamentet konstaterar att Europeiska arbetsmyndigheten och eu</w:t>
      </w:r>
      <w:r w:rsidR="004B06CC" w:rsidRPr="004D0537">
        <w:rPr>
          <w:rFonts w:eastAsia="Aptos"/>
        </w:rPr>
        <w:noBreakHyphen/>
        <w:t>Lisa har minskat överföringsgraden till 15 %, vilket är revisionsrättens tröskelvärde för rapportering.</w:t>
      </w:r>
    </w:p>
    <w:p w14:paraId="7502E04E" w14:textId="77777777" w:rsidR="004B06CC" w:rsidRPr="004D0537" w:rsidRDefault="004B06CC" w:rsidP="004B06CC">
      <w:pPr>
        <w:spacing w:after="240"/>
        <w:ind w:left="567" w:hanging="567"/>
        <w:rPr>
          <w:i/>
          <w:iCs/>
        </w:rPr>
      </w:pPr>
      <w:r w:rsidRPr="004D0537">
        <w:rPr>
          <w:rFonts w:eastAsia="Aptos"/>
          <w:b/>
          <w:i/>
        </w:rPr>
        <w:t>Byråer på området ekonomiska och finansiella frågor</w:t>
      </w:r>
      <w:r w:rsidRPr="004D0537">
        <w:rPr>
          <w:b/>
          <w:bCs/>
          <w:i/>
          <w:iCs/>
          <w:vertAlign w:val="superscript"/>
        </w:rPr>
        <w:footnoteReference w:id="408"/>
      </w:r>
    </w:p>
    <w:p w14:paraId="0A641064" w14:textId="0CEE4468" w:rsidR="004B06CC" w:rsidRPr="004D0537" w:rsidRDefault="007B6266" w:rsidP="004B06CC">
      <w:pPr>
        <w:spacing w:after="240"/>
        <w:ind w:left="567" w:hanging="567"/>
      </w:pPr>
      <w:r w:rsidRPr="004D0537">
        <w:rPr>
          <w:rFonts w:eastAsia="Aptos"/>
        </w:rPr>
        <w:t>62</w:t>
      </w:r>
      <w:r w:rsidR="004B06CC" w:rsidRPr="004D0537">
        <w:rPr>
          <w:rFonts w:eastAsia="Aptos"/>
        </w:rPr>
        <w:t>.</w:t>
      </w:r>
      <w:r w:rsidR="004B06CC" w:rsidRPr="004D0537">
        <w:rPr>
          <w:rFonts w:eastAsia="Aptos"/>
        </w:rPr>
        <w:tab/>
        <w:t xml:space="preserve">Europaparlamentet noterar revisionsrättens iakttagelser om </w:t>
      </w:r>
      <w:proofErr w:type="spellStart"/>
      <w:r w:rsidR="004B06CC" w:rsidRPr="004D0537">
        <w:rPr>
          <w:rFonts w:eastAsia="Aptos"/>
        </w:rPr>
        <w:t>Esmas</w:t>
      </w:r>
      <w:proofErr w:type="spellEnd"/>
      <w:r w:rsidR="004B06CC" w:rsidRPr="004D0537">
        <w:rPr>
          <w:rFonts w:eastAsia="Aptos"/>
        </w:rPr>
        <w:t xml:space="preserve"> avtalsförvaltning, särskilt sex incidenter under 2024 där tjänster tillhandahölls innan avtalet undertecknades, i strid med artikel 172.1 i budgetförordningen. Parlamentet konstaterar att förskottsbetalningar på 30 556 EUR var oriktiga, även om </w:t>
      </w:r>
      <w:proofErr w:type="spellStart"/>
      <w:r w:rsidR="004B06CC" w:rsidRPr="004D0537">
        <w:rPr>
          <w:rFonts w:eastAsia="Aptos"/>
        </w:rPr>
        <w:t>Esma</w:t>
      </w:r>
      <w:proofErr w:type="spellEnd"/>
      <w:r w:rsidR="004B06CC" w:rsidRPr="004D0537">
        <w:rPr>
          <w:rFonts w:eastAsia="Aptos"/>
        </w:rPr>
        <w:t xml:space="preserve"> framhåller en låg väsentlighet (0,04 % av de totala betalningarna) och noterar att fallen upptäcktes internt. Parlamentet noterar att alla betalningar (30 606 EUR) gjordes inom ramen för befintliga ramavtal, vilket minskade den rättsliga risken.</w:t>
      </w:r>
    </w:p>
    <w:p w14:paraId="3BD59024" w14:textId="2BC30101" w:rsidR="004B06CC" w:rsidRPr="004D0537" w:rsidRDefault="007B6266" w:rsidP="004B06CC">
      <w:pPr>
        <w:spacing w:after="240"/>
        <w:ind w:left="567" w:hanging="567"/>
      </w:pPr>
      <w:r w:rsidRPr="004D0537">
        <w:rPr>
          <w:rFonts w:eastAsia="Aptos"/>
        </w:rPr>
        <w:t>63</w:t>
      </w:r>
      <w:r w:rsidR="004B06CC" w:rsidRPr="004D0537">
        <w:rPr>
          <w:rFonts w:eastAsia="Aptos"/>
        </w:rPr>
        <w:t>.</w:t>
      </w:r>
      <w:r w:rsidR="004B06CC" w:rsidRPr="004D0537">
        <w:rPr>
          <w:rFonts w:eastAsia="Aptos"/>
        </w:rPr>
        <w:tab/>
        <w:t>Europaparlamentet uppmärksammar den betydande inverkan som rättsakten om digital operativ motståndskraft (DORA) och förordningen om marknader för kryptotillgångar (</w:t>
      </w:r>
      <w:proofErr w:type="spellStart"/>
      <w:r w:rsidR="004B06CC" w:rsidRPr="004D0537">
        <w:rPr>
          <w:rFonts w:eastAsia="Aptos"/>
        </w:rPr>
        <w:t>MiCAR</w:t>
      </w:r>
      <w:proofErr w:type="spellEnd"/>
      <w:r w:rsidR="004B06CC" w:rsidRPr="004D0537">
        <w:rPr>
          <w:rFonts w:eastAsia="Aptos"/>
        </w:rPr>
        <w:t>) har på Europeiska bankmyndighetens (EBA) operativa mandat och uppgifter. Parlamentet noterar med oro att de ursprungliga bestämmelserna inte på ett tillfredsställande sätt tog itu med de ekonomiska resurser som behövdes för att inrätta dessa funktioner eller för förberedelse- och genomförandefaserna för den relevanta politiken. Parlamentet stöder till fullo myndighetens åsikt att framtida finansieringsöversikter för rättsakter måste föregripa och tillhandahålla tillräckliga resurser för ett snabbt och effektivt inrättande av sådana komplexa mandat. Parlamentet kräver att lämplig finansiering anslås för att hantera utvidgningen av detta mandat.</w:t>
      </w:r>
    </w:p>
    <w:p w14:paraId="0B077751" w14:textId="730A582E" w:rsidR="004B06CC" w:rsidRPr="004D0537" w:rsidRDefault="007B6266" w:rsidP="004B06CC">
      <w:pPr>
        <w:spacing w:after="240"/>
        <w:ind w:left="567" w:hanging="567"/>
      </w:pPr>
      <w:r w:rsidRPr="004D0537">
        <w:rPr>
          <w:rFonts w:eastAsia="Aptos"/>
        </w:rPr>
        <w:t>64</w:t>
      </w:r>
      <w:r w:rsidR="004B06CC" w:rsidRPr="004D0537">
        <w:rPr>
          <w:rFonts w:eastAsia="Aptos"/>
        </w:rPr>
        <w:t>.</w:t>
      </w:r>
      <w:r w:rsidR="004B06CC" w:rsidRPr="004D0537">
        <w:rPr>
          <w:rFonts w:eastAsia="Aptos"/>
        </w:rPr>
        <w:tab/>
        <w:t xml:space="preserve">Europaparlamentet noterar att det upphandlingsförfarande som leddes av </w:t>
      </w:r>
      <w:proofErr w:type="spellStart"/>
      <w:r w:rsidR="004B06CC" w:rsidRPr="004D0537">
        <w:rPr>
          <w:rFonts w:eastAsia="Aptos"/>
        </w:rPr>
        <w:t>Esma</w:t>
      </w:r>
      <w:proofErr w:type="spellEnd"/>
      <w:r w:rsidR="004B06CC" w:rsidRPr="004D0537">
        <w:rPr>
          <w:rFonts w:eastAsia="Aptos"/>
        </w:rPr>
        <w:t>, i vilket EBA deltog som upphandlande myndighet, resulterade i tilldelningen av ett ramavtal med ett tak på 40,2 miljoner EUR i december 2022. Parlamentet noterar att en rättslig ansökan om resultatet av förfarandet lämnades in i januari 2023, med en begäran om ogiltigförklaring av tilldelningsbeslutet och en ersättning. Parlamentet välkomnar att Europeiska unionens domstols dom av den 29 oktober 2025 innebar att sökandens begäranden om ogiltigförklaring och skadestånd avslogs i sin helhet.</w:t>
      </w:r>
    </w:p>
    <w:p w14:paraId="387927C8" w14:textId="77777777" w:rsidR="004B06CC" w:rsidRPr="004D0537" w:rsidRDefault="004B06CC" w:rsidP="004B06CC">
      <w:pPr>
        <w:spacing w:after="240"/>
        <w:ind w:left="567" w:hanging="567"/>
        <w:rPr>
          <w:i/>
          <w:iCs/>
        </w:rPr>
      </w:pPr>
      <w:r w:rsidRPr="004D0537">
        <w:rPr>
          <w:rFonts w:eastAsia="Aptos"/>
          <w:i/>
        </w:rPr>
        <w:t>Rekommendationer</w:t>
      </w:r>
    </w:p>
    <w:p w14:paraId="1AF7F6D4" w14:textId="6EE5CE3A" w:rsidR="004B06CC" w:rsidRPr="004D0537" w:rsidRDefault="007B6266" w:rsidP="004B06CC">
      <w:pPr>
        <w:spacing w:after="240"/>
        <w:ind w:left="567" w:hanging="567"/>
      </w:pPr>
      <w:r w:rsidRPr="004D0537">
        <w:rPr>
          <w:rFonts w:eastAsia="Aptos"/>
        </w:rPr>
        <w:t>65</w:t>
      </w:r>
      <w:r w:rsidR="004B06CC" w:rsidRPr="004D0537">
        <w:rPr>
          <w:rFonts w:eastAsia="Aptos"/>
        </w:rPr>
        <w:t>.</w:t>
      </w:r>
      <w:r w:rsidR="004B06CC" w:rsidRPr="004D0537">
        <w:rPr>
          <w:rFonts w:eastAsia="Aptos"/>
        </w:rPr>
        <w:tab/>
        <w:t>Europaparlamentet uppmanar byråerna, särskilt</w:t>
      </w:r>
    </w:p>
    <w:p w14:paraId="35C4EE52" w14:textId="77777777" w:rsidR="004B06CC" w:rsidRPr="004D0537" w:rsidRDefault="004B06CC" w:rsidP="004B06CC">
      <w:pPr>
        <w:spacing w:after="240"/>
        <w:ind w:left="1134" w:hanging="567"/>
      </w:pPr>
      <w:r w:rsidRPr="004D0537">
        <w:rPr>
          <w:rFonts w:eastAsia="Aptos"/>
        </w:rPr>
        <w:lastRenderedPageBreak/>
        <w:t>–</w:t>
      </w:r>
      <w:r w:rsidRPr="004D0537">
        <w:rPr>
          <w:rFonts w:eastAsia="Aptos"/>
        </w:rPr>
        <w:tab/>
        <w:t xml:space="preserve">när det gäller </w:t>
      </w:r>
      <w:proofErr w:type="spellStart"/>
      <w:r w:rsidRPr="004D0537">
        <w:rPr>
          <w:rFonts w:eastAsia="Aptos"/>
        </w:rPr>
        <w:t>Esma</w:t>
      </w:r>
      <w:proofErr w:type="spellEnd"/>
      <w:r w:rsidRPr="004D0537">
        <w:rPr>
          <w:rFonts w:eastAsia="Aptos"/>
        </w:rPr>
        <w:t>, att stärka förhandskontrollerna, förbättra övervakningsverktygen och tillhandahålla utbildning för att förhindra framtida upprepningar.</w:t>
      </w:r>
    </w:p>
    <w:p w14:paraId="5EF78851" w14:textId="77777777" w:rsidR="004B06CC" w:rsidRPr="004D0537" w:rsidRDefault="004B06CC" w:rsidP="004B06CC">
      <w:pPr>
        <w:spacing w:after="240"/>
        <w:ind w:left="567" w:hanging="567"/>
        <w:rPr>
          <w:b/>
          <w:bCs/>
          <w:i/>
          <w:iCs/>
        </w:rPr>
      </w:pPr>
      <w:r w:rsidRPr="004D0537">
        <w:rPr>
          <w:rFonts w:eastAsia="Aptos"/>
          <w:b/>
          <w:i/>
        </w:rPr>
        <w:t>Byråer inom området rättsliga och inrikes frågor</w:t>
      </w:r>
      <w:r w:rsidRPr="004D0537">
        <w:rPr>
          <w:b/>
          <w:bCs/>
          <w:i/>
          <w:iCs/>
          <w:vertAlign w:val="superscript"/>
        </w:rPr>
        <w:footnoteReference w:id="409"/>
      </w:r>
    </w:p>
    <w:p w14:paraId="59358508" w14:textId="0125681B" w:rsidR="004B06CC" w:rsidRPr="004D0537" w:rsidRDefault="007B6266" w:rsidP="004B06CC">
      <w:pPr>
        <w:spacing w:after="240"/>
        <w:ind w:left="567" w:hanging="567"/>
      </w:pPr>
      <w:r w:rsidRPr="004D0537">
        <w:rPr>
          <w:rFonts w:eastAsia="Aptos"/>
        </w:rPr>
        <w:t>66</w:t>
      </w:r>
      <w:r w:rsidR="004B06CC" w:rsidRPr="004D0537">
        <w:rPr>
          <w:rFonts w:eastAsia="Aptos"/>
        </w:rPr>
        <w:t>.</w:t>
      </w:r>
      <w:r w:rsidR="004B06CC" w:rsidRPr="004D0537">
        <w:rPr>
          <w:rFonts w:eastAsia="Aptos"/>
        </w:rPr>
        <w:tab/>
        <w:t xml:space="preserve">Europaparlamentet noterar att </w:t>
      </w:r>
      <w:proofErr w:type="spellStart"/>
      <w:r w:rsidR="004B06CC" w:rsidRPr="004D0537">
        <w:rPr>
          <w:rFonts w:eastAsia="Aptos"/>
        </w:rPr>
        <w:t>Cepol</w:t>
      </w:r>
      <w:proofErr w:type="spellEnd"/>
      <w:r w:rsidR="004B06CC" w:rsidRPr="004D0537">
        <w:rPr>
          <w:rFonts w:eastAsia="Aptos"/>
        </w:rPr>
        <w:t xml:space="preserve"> i juni 2024 upplevde en betydande cyberattack som påverkade alla affärsområden, vilket ledde till att tio utbildningsaktiviteter på plats ställdes in och att all </w:t>
      </w:r>
      <w:proofErr w:type="spellStart"/>
      <w:r w:rsidR="004B06CC" w:rsidRPr="004D0537">
        <w:rPr>
          <w:rFonts w:eastAsia="Aptos"/>
        </w:rPr>
        <w:t>onlineutbildning</w:t>
      </w:r>
      <w:proofErr w:type="spellEnd"/>
      <w:r w:rsidR="004B06CC" w:rsidRPr="004D0537">
        <w:rPr>
          <w:rFonts w:eastAsia="Aptos"/>
        </w:rPr>
        <w:t xml:space="preserve"> avbröts under återstoden av året. Parlamentet noterar vidare att händelsen inte bara störde </w:t>
      </w:r>
      <w:proofErr w:type="spellStart"/>
      <w:r w:rsidR="004B06CC" w:rsidRPr="004D0537">
        <w:rPr>
          <w:rFonts w:eastAsia="Aptos"/>
        </w:rPr>
        <w:t>Cepols</w:t>
      </w:r>
      <w:proofErr w:type="spellEnd"/>
      <w:r w:rsidR="004B06CC" w:rsidRPr="004D0537">
        <w:rPr>
          <w:rFonts w:eastAsia="Aptos"/>
        </w:rPr>
        <w:t xml:space="preserve"> operativa verksamhet, utan också ledde till ytterligare oplanerade utgifter i samband med incidenthantering, systemåterställning och förbättrade cybersäkerhetsåtgärder. Parlamentet noterar att säkerhetsöverträdelsen var ett direkt resultat av en sofistikerad cyberattack som riktade sig mot </w:t>
      </w:r>
      <w:proofErr w:type="spellStart"/>
      <w:r w:rsidR="004B06CC" w:rsidRPr="004D0537">
        <w:rPr>
          <w:rFonts w:eastAsia="Aptos"/>
        </w:rPr>
        <w:t>Cepols</w:t>
      </w:r>
      <w:proofErr w:type="spellEnd"/>
      <w:r w:rsidR="004B06CC" w:rsidRPr="004D0537">
        <w:rPr>
          <w:rFonts w:eastAsia="Aptos"/>
        </w:rPr>
        <w:t xml:space="preserve"> digitala infrastruktur, och att obehöriga aktörer fick tillgång till en betydande mängd personuppgifter, vilket äventyrade deras </w:t>
      </w:r>
      <w:proofErr w:type="spellStart"/>
      <w:r w:rsidR="004B06CC" w:rsidRPr="004D0537">
        <w:rPr>
          <w:rFonts w:eastAsia="Aptos"/>
        </w:rPr>
        <w:t>konfidentialitet</w:t>
      </w:r>
      <w:proofErr w:type="spellEnd"/>
      <w:r w:rsidR="004B06CC" w:rsidRPr="004D0537">
        <w:rPr>
          <w:rFonts w:eastAsia="Aptos"/>
        </w:rPr>
        <w:t>, integritet och tillgänglighet. Parlamentet betonar att på grund av cyberincidenten var omkring 99 000 personer tvungna att underrättas direkt om att deras personuppgifter hade kränkts, och att attacken föranledde en brottsutredning som stöddes av CERT-EU och Europol. Parlamentet är bekymrat över att den fientliga aktören, trots vissa indicier, inte har identifierats slutgiltigt. Parlamentet uppmärksammar att CERT</w:t>
      </w:r>
      <w:r w:rsidR="004B06CC" w:rsidRPr="004D0537">
        <w:rPr>
          <w:rFonts w:eastAsia="Aptos"/>
        </w:rPr>
        <w:noBreakHyphen/>
        <w:t xml:space="preserve">EU rekommenderade att infrastrukturen skulle byggas om, vilket ledde till att GD DIGIT inom tre veckor inrättade en fullständigt molnbaserad </w:t>
      </w:r>
      <w:proofErr w:type="spellStart"/>
      <w:r w:rsidR="004B06CC" w:rsidRPr="004D0537">
        <w:rPr>
          <w:rFonts w:eastAsia="Aptos"/>
        </w:rPr>
        <w:t>it-miljö</w:t>
      </w:r>
      <w:proofErr w:type="spellEnd"/>
      <w:r w:rsidR="004B06CC" w:rsidRPr="004D0537">
        <w:rPr>
          <w:rFonts w:eastAsia="Aptos"/>
        </w:rPr>
        <w:t xml:space="preserve">, baserad på en nolltillitsstrategi och med ny utrustning. Parlamentet noterar att </w:t>
      </w:r>
      <w:proofErr w:type="spellStart"/>
      <w:r w:rsidR="004B06CC" w:rsidRPr="004D0537">
        <w:rPr>
          <w:rFonts w:eastAsia="Aptos"/>
        </w:rPr>
        <w:t>Cepol</w:t>
      </w:r>
      <w:proofErr w:type="spellEnd"/>
      <w:r w:rsidR="004B06CC" w:rsidRPr="004D0537">
        <w:rPr>
          <w:rFonts w:eastAsia="Aptos"/>
        </w:rPr>
        <w:t xml:space="preserve"> för närvarande genomför 42 cybersäkerhetsuppgifter och cybersäkerhetsprojekt som en del av sin cybersäkerhetsplan. Parlamentet framhåller att informations- och utbildningstillfällen om IKT</w:t>
      </w:r>
      <w:r w:rsidR="004B06CC" w:rsidRPr="004D0537">
        <w:rPr>
          <w:rFonts w:eastAsia="Aptos"/>
        </w:rPr>
        <w:noBreakHyphen/>
        <w:t>säkerhet har genomförts för all personal, kompletterat med regelbundna meddelanden och uppdateringar på intranätet, som en del av standardpraxisen. Parlamentet betonar att brister i cybersäkerheten inte bara utgör operativa risker utan även anseenderisker samt finansiella och rättsliga risker för byråerna. Parlamentet efterlyser bindande minimistandarder för cybersäkerhet och tillräcklig och stabil finansiering för att säkerställa ett effektivt genomförande av dem.</w:t>
      </w:r>
    </w:p>
    <w:p w14:paraId="753D7C8A" w14:textId="13178FFB" w:rsidR="004B06CC" w:rsidRPr="004D0537" w:rsidRDefault="007B6266" w:rsidP="004B06CC">
      <w:pPr>
        <w:spacing w:after="240"/>
        <w:ind w:left="567" w:hanging="567"/>
      </w:pPr>
      <w:r w:rsidRPr="004D0537">
        <w:rPr>
          <w:rFonts w:eastAsia="Aptos"/>
        </w:rPr>
        <w:t>67</w:t>
      </w:r>
      <w:r w:rsidR="004B06CC" w:rsidRPr="004D0537">
        <w:rPr>
          <w:rFonts w:eastAsia="Aptos"/>
        </w:rPr>
        <w:t>.</w:t>
      </w:r>
      <w:r w:rsidR="004B06CC" w:rsidRPr="004D0537">
        <w:rPr>
          <w:rFonts w:eastAsia="Aptos"/>
        </w:rPr>
        <w:tab/>
        <w:t>Europaparlamentet betonar att när byråer är verksamma utanför unionens territorium eller samarbetar med myndigheter i tredjeländer är de fortfarande fullt bundna av unionsrätten. Parlamentet uppmanar kommissionen att säkerställa att samarbetsavtal, operativa arrangemang och ramar för datadelning innehåller verkställbara skyddsåtgärder, övervakningsmekanismer och tydliga skyldigheter att rapportera till den ansvarsfrihetsbeviljande myndigheten.</w:t>
      </w:r>
    </w:p>
    <w:p w14:paraId="52DFA4E8" w14:textId="27AF4033" w:rsidR="004B06CC" w:rsidRPr="004D0537" w:rsidRDefault="007B6266" w:rsidP="004B06CC">
      <w:pPr>
        <w:spacing w:after="240"/>
        <w:ind w:left="567" w:hanging="567"/>
        <w:rPr>
          <w:i/>
          <w:iCs/>
        </w:rPr>
      </w:pPr>
      <w:r w:rsidRPr="004D0537">
        <w:rPr>
          <w:rFonts w:eastAsia="Aptos"/>
        </w:rPr>
        <w:t>68</w:t>
      </w:r>
      <w:r w:rsidR="004B06CC" w:rsidRPr="004D0537">
        <w:rPr>
          <w:rFonts w:eastAsia="Aptos"/>
        </w:rPr>
        <w:t>.</w:t>
      </w:r>
      <w:r w:rsidR="004B06CC" w:rsidRPr="004D0537">
        <w:rPr>
          <w:rFonts w:eastAsia="Aptos"/>
        </w:rPr>
        <w:tab/>
        <w:t>Europaparlamentet påminner om att förordning (EU, Euratom) 2023/284</w:t>
      </w:r>
      <w:r w:rsidR="00612F74">
        <w:rPr>
          <w:rFonts w:eastAsia="Aptos"/>
        </w:rPr>
        <w:t>1</w:t>
      </w:r>
      <w:r w:rsidR="004B06CC" w:rsidRPr="004D0537">
        <w:rPr>
          <w:vertAlign w:val="superscript"/>
        </w:rPr>
        <w:footnoteReference w:id="410"/>
      </w:r>
      <w:r w:rsidR="004B06CC" w:rsidRPr="004D0537">
        <w:rPr>
          <w:rFonts w:eastAsia="Aptos"/>
        </w:rPr>
        <w:t xml:space="preserve"> fastställer en bindande och ambitiös cybersäkerhetsram för alla decentraliserade byråer, som omfattar finansiella mekanismer, operativa plattformar och känsliga uppgifter, samt genomförandet av robusta tekniska och organisatoriska åtgärder i alla IKT-miljöer, den gradvisa övergången till en nolltillitsarkitektur, stärkt samarbete med CERT-EU, GD DIGIT och andra relevanta interinstitutionella organ samt strikta incidentrapporteringsskyldigheter. Parlamentet noterar att flera av dessa centrala krav </w:t>
      </w:r>
      <w:r w:rsidR="004B06CC" w:rsidRPr="004D0537">
        <w:rPr>
          <w:rFonts w:eastAsia="Aptos"/>
        </w:rPr>
        <w:lastRenderedPageBreak/>
        <w:t xml:space="preserve">fortfarande är utmanande med tanke på de nuvarande ojämna beredskapsnivåerna bland byråerna. Parlamentet betonar att den cybersäkerhetsincident som påverkade </w:t>
      </w:r>
      <w:proofErr w:type="spellStart"/>
      <w:r w:rsidR="004B06CC" w:rsidRPr="004D0537">
        <w:rPr>
          <w:rFonts w:eastAsia="Aptos"/>
        </w:rPr>
        <w:t>Cepol</w:t>
      </w:r>
      <w:proofErr w:type="spellEnd"/>
      <w:r w:rsidR="004B06CC" w:rsidRPr="004D0537">
        <w:rPr>
          <w:rFonts w:eastAsia="Aptos"/>
        </w:rPr>
        <w:t xml:space="preserve"> visar på de dagliga cyberhot som byråerna utsätts för och sårbarheten hos de byråer som hanterar känsliga uppgifter. Parlamentet efterlyser ett påskyndat genomförande i alla byråer av cybersäkerhetsbestämmelserna i förordning (EU, Euratom) 2023/284</w:t>
      </w:r>
      <w:r w:rsidR="00612F74">
        <w:rPr>
          <w:rFonts w:eastAsia="Aptos"/>
        </w:rPr>
        <w:t>1</w:t>
      </w:r>
      <w:r w:rsidR="004B06CC" w:rsidRPr="004D0537">
        <w:rPr>
          <w:rFonts w:eastAsia="Aptos"/>
        </w:rPr>
        <w:t xml:space="preserve"> och regelbundna stresstester av byråernas </w:t>
      </w:r>
      <w:proofErr w:type="spellStart"/>
      <w:r w:rsidR="004B06CC" w:rsidRPr="004D0537">
        <w:rPr>
          <w:rFonts w:eastAsia="Aptos"/>
        </w:rPr>
        <w:t>it-system</w:t>
      </w:r>
      <w:proofErr w:type="spellEnd"/>
      <w:r w:rsidR="004B06CC" w:rsidRPr="004D0537">
        <w:rPr>
          <w:rFonts w:eastAsia="Aptos"/>
        </w:rPr>
        <w:t>. Parlamentet uppmanar med kraft byråerna att förbättra realtidsövervakningen av hot, insatskapaciteten och utbildningen i cybersäkerhet för personalen.</w:t>
      </w:r>
    </w:p>
    <w:p w14:paraId="68C62BF9" w14:textId="068DB103" w:rsidR="004B06CC" w:rsidRPr="004D0537" w:rsidRDefault="007B6266" w:rsidP="004B06CC">
      <w:pPr>
        <w:spacing w:after="240"/>
        <w:ind w:left="567" w:hanging="567"/>
      </w:pPr>
      <w:r w:rsidRPr="004D0537">
        <w:rPr>
          <w:rFonts w:eastAsia="Aptos"/>
        </w:rPr>
        <w:t>69</w:t>
      </w:r>
      <w:r w:rsidR="004B06CC" w:rsidRPr="004D0537">
        <w:rPr>
          <w:rFonts w:eastAsia="Aptos"/>
        </w:rPr>
        <w:t>.</w:t>
      </w:r>
      <w:r w:rsidR="004B06CC" w:rsidRPr="004D0537">
        <w:rPr>
          <w:rFonts w:eastAsia="Aptos"/>
        </w:rPr>
        <w:tab/>
        <w:t xml:space="preserve">Europaparlamentet noterar att män är underrepresenterade bland </w:t>
      </w:r>
      <w:proofErr w:type="spellStart"/>
      <w:r w:rsidR="004B06CC" w:rsidRPr="004D0537">
        <w:rPr>
          <w:rFonts w:eastAsia="Aptos"/>
        </w:rPr>
        <w:t>EIGE:s</w:t>
      </w:r>
      <w:proofErr w:type="spellEnd"/>
      <w:r w:rsidR="004B06CC" w:rsidRPr="004D0537">
        <w:rPr>
          <w:rFonts w:eastAsia="Aptos"/>
        </w:rPr>
        <w:t xml:space="preserve"> personal och endast utgör 29 % av personalstyrkan och 21 % av styrelsen (åtta män), och uppmuntrar EIGE att uppnå en jämnare könsfördelning vid framtida rekrytering av personal.</w:t>
      </w:r>
    </w:p>
    <w:p w14:paraId="1591EB8B" w14:textId="04CC7BB3" w:rsidR="004B06CC" w:rsidRPr="004D0537" w:rsidRDefault="007B6266" w:rsidP="004B06CC">
      <w:pPr>
        <w:spacing w:after="240"/>
        <w:ind w:left="567" w:hanging="567"/>
      </w:pPr>
      <w:r w:rsidRPr="004D0537">
        <w:rPr>
          <w:rFonts w:eastAsia="Aptos"/>
        </w:rPr>
        <w:t>70</w:t>
      </w:r>
      <w:r w:rsidR="004B06CC" w:rsidRPr="004D0537">
        <w:rPr>
          <w:rFonts w:eastAsia="Aptos"/>
        </w:rPr>
        <w:t>.</w:t>
      </w:r>
      <w:r w:rsidR="004B06CC" w:rsidRPr="004D0537">
        <w:rPr>
          <w:rFonts w:eastAsia="Aptos"/>
        </w:rPr>
        <w:tab/>
        <w:t xml:space="preserve">Europaparlamentet noterar revisionsrättens iakttagelser om </w:t>
      </w:r>
      <w:proofErr w:type="spellStart"/>
      <w:r w:rsidR="004B06CC" w:rsidRPr="004D0537">
        <w:rPr>
          <w:rFonts w:eastAsia="Aptos"/>
        </w:rPr>
        <w:t>EIGE:s</w:t>
      </w:r>
      <w:proofErr w:type="spellEnd"/>
      <w:r w:rsidR="004B06CC" w:rsidRPr="004D0537">
        <w:rPr>
          <w:rFonts w:eastAsia="Aptos"/>
        </w:rPr>
        <w:t xml:space="preserve"> förvaltnings- och kontrollsystem, bland annat följande:</w:t>
      </w:r>
    </w:p>
    <w:p w14:paraId="1A05DF2F" w14:textId="77777777" w:rsidR="004B06CC" w:rsidRPr="004D0537" w:rsidRDefault="004B06CC" w:rsidP="004B06CC">
      <w:pPr>
        <w:spacing w:after="240"/>
        <w:ind w:left="1134" w:hanging="567"/>
      </w:pPr>
      <w:r w:rsidRPr="004D0537">
        <w:rPr>
          <w:rFonts w:eastAsia="Aptos"/>
        </w:rPr>
        <w:t>–</w:t>
      </w:r>
      <w:r w:rsidRPr="004D0537">
        <w:rPr>
          <w:rFonts w:eastAsia="Aptos"/>
        </w:rPr>
        <w:tab/>
        <w:t>Oriktigheter vid upphandling: Parlamentet påpekar att EIGE under 2024 tillämpade överdrivna krav på ekonomisk kapacitet och restriktiva urvalskriterier i ett anbudsförfarande för städtjänster som, enligt revisionsrätten, kan ha avskräckt eller till och med hindrat potentiella anbudsgivare från att delta. Parlamentet konstaterar att EIGE betonar att de restriktiva kriterierna begärdes av medupphandlande myndigheter (kommissionen och parlamentet) och att inga potentiella anbudsgivare klagade över urvalskriterierna.</w:t>
      </w:r>
    </w:p>
    <w:p w14:paraId="6E4FBD94" w14:textId="77777777" w:rsidR="004B06CC" w:rsidRPr="004D0537" w:rsidRDefault="004B06CC" w:rsidP="004B06CC">
      <w:pPr>
        <w:spacing w:after="240"/>
        <w:ind w:left="1134" w:hanging="567"/>
      </w:pPr>
      <w:r w:rsidRPr="004D0537">
        <w:rPr>
          <w:rFonts w:eastAsia="Aptos"/>
        </w:rPr>
        <w:t>–</w:t>
      </w:r>
      <w:r w:rsidRPr="004D0537">
        <w:rPr>
          <w:rFonts w:eastAsia="Aptos"/>
        </w:rPr>
        <w:tab/>
        <w:t xml:space="preserve">Otillräcklig utvärdering av anbud: Parlamentet noterar att </w:t>
      </w:r>
      <w:proofErr w:type="spellStart"/>
      <w:r w:rsidRPr="004D0537">
        <w:rPr>
          <w:rFonts w:eastAsia="Aptos"/>
        </w:rPr>
        <w:t>EIGE:s</w:t>
      </w:r>
      <w:proofErr w:type="spellEnd"/>
      <w:r w:rsidRPr="004D0537">
        <w:rPr>
          <w:rFonts w:eastAsia="Aptos"/>
        </w:rPr>
        <w:t xml:space="preserve"> utvärderingskommittéer i två upphandlingar (220 000 EUR och 193 175 EUR) inte gjorde en korrekt bedömning av anbudsgivarnas förmåga att leda expertgrupper, eftersom EIGE i kravspecifikationerna inte hade krävt att anbudsgivarna skulle tillhandahålla lämpliga bevis i detta avseende, vilket riskerade att leda till bristfälligt tillhandahållande av tjänster.</w:t>
      </w:r>
    </w:p>
    <w:p w14:paraId="0428B6C1" w14:textId="77777777" w:rsidR="004B06CC" w:rsidRPr="004D0537" w:rsidRDefault="004B06CC" w:rsidP="004B06CC">
      <w:pPr>
        <w:spacing w:after="240"/>
        <w:ind w:left="1134" w:hanging="567"/>
      </w:pPr>
      <w:r w:rsidRPr="004D0537">
        <w:rPr>
          <w:rFonts w:eastAsia="Aptos"/>
        </w:rPr>
        <w:t>–</w:t>
      </w:r>
      <w:r w:rsidRPr="004D0537">
        <w:rPr>
          <w:rFonts w:eastAsia="Aptos"/>
        </w:rPr>
        <w:tab/>
        <w:t>Bristfällig kontraktstillsyn: Parlamentet konstaterar att EIGE betalade fakturor inom ramen för tre tids- och materialbaserade avtal utan att kontrollera de faktiska arbetsdagar som utförts, vilket strider mot artikel 45.5 i dess budgetförordning och utsätter institutet för risker för alltför stora betalningar. Parlamentet noterar att EIGE kommer att stärka förhandskontrollerna i enlighet med detta.</w:t>
      </w:r>
    </w:p>
    <w:p w14:paraId="28F7B174" w14:textId="33B23551" w:rsidR="004B06CC" w:rsidRPr="004D0537" w:rsidRDefault="007B6266" w:rsidP="004B06CC">
      <w:pPr>
        <w:spacing w:after="240"/>
        <w:ind w:left="567" w:hanging="567"/>
      </w:pPr>
      <w:r w:rsidRPr="004D0537">
        <w:rPr>
          <w:rFonts w:eastAsia="Aptos"/>
        </w:rPr>
        <w:t>71</w:t>
      </w:r>
      <w:r w:rsidR="004B06CC" w:rsidRPr="004D0537">
        <w:rPr>
          <w:rFonts w:eastAsia="Aptos"/>
        </w:rPr>
        <w:t>.</w:t>
      </w:r>
      <w:r w:rsidR="004B06CC" w:rsidRPr="004D0537">
        <w:rPr>
          <w:rFonts w:eastAsia="Aptos"/>
        </w:rPr>
        <w:tab/>
        <w:t>Europaparlamentet noterar revisionsrättens iakttagelser avseende eu-Lisa, varav de flesta rör oriktigheter i samband med upphandling som inletts under tidigare år och som ledde till oriktiga betalningar under 2024, bland annat följande:</w:t>
      </w:r>
    </w:p>
    <w:p w14:paraId="415F707A" w14:textId="77777777" w:rsidR="004B06CC" w:rsidRPr="004D0537" w:rsidRDefault="004B06CC" w:rsidP="004B06CC">
      <w:pPr>
        <w:spacing w:after="240"/>
        <w:ind w:left="1134" w:hanging="567"/>
      </w:pPr>
      <w:r w:rsidRPr="004D0537">
        <w:rPr>
          <w:rFonts w:eastAsia="Aptos"/>
        </w:rPr>
        <w:t>–</w:t>
      </w:r>
      <w:r w:rsidRPr="004D0537">
        <w:rPr>
          <w:rFonts w:eastAsia="Aptos"/>
        </w:rPr>
        <w:tab/>
        <w:t>Oriktigheter i ett förhandlat förfarande för hyra av lokaler i Strasbourg, som inleddes 2019 och avslutades 2020, där lokalernas yta och antalet arbetsplatser var lägre än de behov som angavs i kravspecifikationerna, och anbudet avvisades inte trots att dess kvalitet bedömdes vara mycket låg. Parlamentet noterar vidare att tilldelningskriterierna därefter också förhandlades fram med anbudsgivaren, i strid med artikel 167.3 och punkt 6.5 i bilaga I till budgetförordningen. Parlamentet framhåller att det förhandlade förfarandet och det resulterande hyreskontraktet är oriktiga, liksom alla tillhörande betalningar, som 2024 uppgick till 850 000 EUR.</w:t>
      </w:r>
    </w:p>
    <w:p w14:paraId="056AE126" w14:textId="77777777" w:rsidR="004B06CC" w:rsidRPr="004D0537" w:rsidRDefault="004B06CC" w:rsidP="004B06CC">
      <w:pPr>
        <w:spacing w:after="240"/>
        <w:ind w:left="1134" w:hanging="567"/>
      </w:pPr>
      <w:r w:rsidRPr="004D0537">
        <w:rPr>
          <w:rFonts w:eastAsia="Aptos"/>
        </w:rPr>
        <w:t>–</w:t>
      </w:r>
      <w:r w:rsidRPr="004D0537">
        <w:rPr>
          <w:rFonts w:eastAsia="Aptos"/>
        </w:rPr>
        <w:tab/>
        <w:t xml:space="preserve">Ändringar av anbudsgivarnas ekonomiska anbud under ett upphandlingsförfarande för el- samt bygg- och anläggningsprojekt i Strasbourg, </w:t>
      </w:r>
      <w:r w:rsidRPr="004D0537">
        <w:rPr>
          <w:rFonts w:eastAsia="Aptos"/>
        </w:rPr>
        <w:lastRenderedPageBreak/>
        <w:t>som påverkade resultatet av förfarandet och ledde till ett oriktigt kontrakt och tillhörande betalningar på 150 000 EUR under 2024.</w:t>
      </w:r>
    </w:p>
    <w:p w14:paraId="704C26B3" w14:textId="77777777" w:rsidR="004B06CC" w:rsidRPr="004D0537" w:rsidRDefault="004B06CC" w:rsidP="004B06CC">
      <w:pPr>
        <w:spacing w:after="240"/>
        <w:ind w:left="1134" w:hanging="567"/>
      </w:pPr>
      <w:r w:rsidRPr="004D0537">
        <w:rPr>
          <w:rFonts w:eastAsia="Aptos"/>
        </w:rPr>
        <w:t>–</w:t>
      </w:r>
      <w:r w:rsidRPr="004D0537">
        <w:rPr>
          <w:rFonts w:eastAsia="Aptos"/>
        </w:rPr>
        <w:tab/>
        <w:t>Ändringar av prissättningsaspekterna i finansiella anbud utöver de korrigeringar som tillåts enligt artikel 151 i budgetförordningen, som på ett avgörande sätt påverkade resultatet av ett anbudsförfarande och ledde till oriktiga kontrakt och tillhörande betalningar på totalt 1,4 miljoner EUR under 2024.</w:t>
      </w:r>
    </w:p>
    <w:p w14:paraId="34758E33" w14:textId="77777777" w:rsidR="004B06CC" w:rsidRPr="004D0537" w:rsidRDefault="004B06CC" w:rsidP="004B06CC">
      <w:pPr>
        <w:spacing w:after="240"/>
        <w:ind w:left="1134" w:hanging="567"/>
      </w:pPr>
      <w:r w:rsidRPr="004D0537">
        <w:rPr>
          <w:rFonts w:eastAsia="Aptos"/>
        </w:rPr>
        <w:t>–</w:t>
      </w:r>
      <w:r w:rsidRPr="004D0537">
        <w:rPr>
          <w:rFonts w:eastAsia="Aptos"/>
        </w:rPr>
        <w:tab/>
        <w:t>Förnyad konkurrensutsättning för övervaknings- och underhållstjänster i samband med Informationssystemet för viseringar. Parlamentet är bekymrat över att den utvalda anbudsgivaren (47,8 miljoner EUR) var fem gånger lägre än den näst billigaste (243,4 miljoner EUR) och 50 gånger lägre än den högsta (2,4 miljarder EUR), vilket väcker farhågor om dess giltighet. Parlamentet uppmärksammar att eu</w:t>
      </w:r>
      <w:r w:rsidRPr="004D0537">
        <w:rPr>
          <w:rFonts w:eastAsia="Aptos"/>
        </w:rPr>
        <w:noBreakHyphen/>
        <w:t>Lisa inrättade en arbetsgrupp för att se över denna förnyade konkurrensutsättning som bekräftade de finansansvarigas bedömning, men rapporterade operativa och avtalsmässiga risker kopplade till att byrån skulle behöva betala merparten av kontraktspriset i förskott. Parlamentet framhåller att revisionsrätten har ansett att denna risk är betydande.</w:t>
      </w:r>
    </w:p>
    <w:p w14:paraId="1CDD0708" w14:textId="77777777" w:rsidR="004B06CC" w:rsidRPr="004D0537" w:rsidRDefault="004B06CC" w:rsidP="004B06CC">
      <w:pPr>
        <w:spacing w:after="240"/>
        <w:ind w:left="1134" w:hanging="567"/>
      </w:pPr>
      <w:r w:rsidRPr="004D0537">
        <w:rPr>
          <w:rFonts w:eastAsia="Aptos"/>
        </w:rPr>
        <w:t>–</w:t>
      </w:r>
      <w:r w:rsidRPr="004D0537">
        <w:rPr>
          <w:rFonts w:eastAsia="Aptos"/>
        </w:rPr>
        <w:tab/>
        <w:t xml:space="preserve">Parlamentet påminner om att det till följd av förseningar i genomförandet av in- och utresesystemet uppstod en tvist där entreprenören vägrade att täcka ytterligare underhållskostnader för vissa </w:t>
      </w:r>
      <w:proofErr w:type="spellStart"/>
      <w:r w:rsidRPr="004D0537">
        <w:rPr>
          <w:rFonts w:eastAsia="Aptos"/>
        </w:rPr>
        <w:t>it-produkter</w:t>
      </w:r>
      <w:proofErr w:type="spellEnd"/>
      <w:r w:rsidRPr="004D0537">
        <w:rPr>
          <w:rFonts w:eastAsia="Aptos"/>
        </w:rPr>
        <w:t>, vilket ledde till att underhållstäckningen upphörde mellan november 2022 och april 2023 och utsatte eu-Lisa för operativa risker. Parlamentet påminner om att eu-Lisa ändrade det övergripande ramavtalet för drift 2023 för att hantera den omedelbara risken för driftskontinuiteten, så att det inbegrep avgifter för återställande, straffavgifter som tillämpas när underhållet inte förnyas i tid, och därefter betalade 5,3 miljoner EUR 2023 och 1,3 miljoner EUR 2024 för förnyelse av programvaruunderhåll och tillhörande kostnader för återställande, som enligt byråns tolkning borde ha burits av entreprenören för in- och utresesystemet. Parlamentet påminner vidare om att eu-Lisa, trots de omtvistade beloppens storlek och den fortsatta öppna statusen för revisionsrättens iakttagelse, inte hade inlett någon rättstvist mot entreprenören för in- och utresesystemet i slutet av 2024.</w:t>
      </w:r>
    </w:p>
    <w:p w14:paraId="666382D7" w14:textId="56B437DB" w:rsidR="004B06CC" w:rsidRPr="004D0537" w:rsidRDefault="007B6266" w:rsidP="004B06CC">
      <w:pPr>
        <w:spacing w:after="240"/>
        <w:ind w:left="567" w:hanging="567"/>
      </w:pPr>
      <w:r w:rsidRPr="004D0537">
        <w:rPr>
          <w:rFonts w:eastAsia="Aptos"/>
        </w:rPr>
        <w:t>72</w:t>
      </w:r>
      <w:r w:rsidR="004B06CC" w:rsidRPr="004D0537">
        <w:rPr>
          <w:rFonts w:eastAsia="Aptos"/>
        </w:rPr>
        <w:t>.</w:t>
      </w:r>
      <w:r w:rsidR="004B06CC" w:rsidRPr="004D0537">
        <w:rPr>
          <w:rFonts w:eastAsia="Aptos"/>
        </w:rPr>
        <w:tab/>
        <w:t>Europaparlamentet är bekymrat över att ihållande oriktigheter som identifierats i eu</w:t>
      </w:r>
      <w:r w:rsidR="004B06CC" w:rsidRPr="004D0537">
        <w:rPr>
          <w:rFonts w:eastAsia="Aptos"/>
        </w:rPr>
        <w:noBreakHyphen/>
        <w:t>Lisas upphandlingsförfaranden visar på systembrister i byråns upphandlingsram. Parlamentet noterar eu</w:t>
      </w:r>
      <w:r w:rsidR="004B06CC" w:rsidRPr="004D0537">
        <w:rPr>
          <w:rFonts w:eastAsia="Aptos"/>
        </w:rPr>
        <w:noBreakHyphen/>
        <w:t>Lisas erkännande av dessa frågor och insatser för att stärka sin praxis, uppmuntrar eu-Lisa att utarbeta en strategi för att förbättra sin upphandlingsram som ska presenteras vid utfrågningarna om ansvarsfrihet nästa år, och uppmuntrar eu</w:t>
      </w:r>
      <w:r w:rsidR="004B06CC" w:rsidRPr="004D0537">
        <w:rPr>
          <w:rFonts w:eastAsia="Aptos"/>
        </w:rPr>
        <w:noBreakHyphen/>
        <w:t>Lisa att tillhandahålla klarhet och transparens om de villkor enligt vilka förnyad upphandling inte kan anses vara lämplig. Parlamentet uppmuntrar eu</w:t>
      </w:r>
      <w:r w:rsidR="004B06CC" w:rsidRPr="004D0537">
        <w:rPr>
          <w:rFonts w:eastAsia="Aptos"/>
        </w:rPr>
        <w:noBreakHyphen/>
        <w:t>Lisa att söka expertråd vid utarbetandet av denna nya strategi och att samråda med andra byråer om bästa praxis.</w:t>
      </w:r>
    </w:p>
    <w:p w14:paraId="129F5025" w14:textId="5ACFC36E" w:rsidR="004B06CC" w:rsidRPr="004D0537" w:rsidRDefault="007B6266" w:rsidP="004B06CC">
      <w:pPr>
        <w:spacing w:after="240"/>
        <w:ind w:left="567" w:hanging="567"/>
      </w:pPr>
      <w:r w:rsidRPr="004D0537">
        <w:rPr>
          <w:rFonts w:eastAsia="Aptos"/>
        </w:rPr>
        <w:t>73</w:t>
      </w:r>
      <w:r w:rsidR="004B06CC" w:rsidRPr="004D0537">
        <w:rPr>
          <w:rFonts w:eastAsia="Aptos"/>
        </w:rPr>
        <w:t>.</w:t>
      </w:r>
      <w:r w:rsidR="004B06CC" w:rsidRPr="004D0537">
        <w:rPr>
          <w:rFonts w:eastAsia="Aptos"/>
        </w:rPr>
        <w:tab/>
        <w:t>Europaparlamentet erkänner att eu</w:t>
      </w:r>
      <w:r w:rsidR="004B06CC" w:rsidRPr="004D0537">
        <w:rPr>
          <w:rFonts w:eastAsia="Aptos"/>
        </w:rPr>
        <w:noBreakHyphen/>
        <w:t>Lisa ställs inför betydande utmaningar och betonar att byrån måste öka sin personal för att effektivt ta itu med dessa utmaningar och säkerställa kontinuiteten i sin verksamhet, och att detta följaktligen bör finansieras.</w:t>
      </w:r>
    </w:p>
    <w:p w14:paraId="04D24D59" w14:textId="6F8946A6" w:rsidR="004B06CC" w:rsidRPr="004D0537" w:rsidRDefault="007B6266" w:rsidP="004B06CC">
      <w:pPr>
        <w:spacing w:after="240"/>
        <w:ind w:left="567" w:hanging="567"/>
      </w:pPr>
      <w:r w:rsidRPr="004D0537">
        <w:rPr>
          <w:rFonts w:eastAsia="Aptos"/>
        </w:rPr>
        <w:t>74</w:t>
      </w:r>
      <w:r w:rsidR="004B06CC" w:rsidRPr="004D0537">
        <w:rPr>
          <w:rFonts w:eastAsia="Aptos"/>
        </w:rPr>
        <w:t>.</w:t>
      </w:r>
      <w:r w:rsidR="004B06CC" w:rsidRPr="004D0537">
        <w:rPr>
          <w:rFonts w:eastAsia="Aptos"/>
        </w:rPr>
        <w:tab/>
        <w:t xml:space="preserve">Europaparlamentet noterar revisionsrättens iakttagelse gällande upphandling att Eurojust under 2020 ingick ett ramavtal för fordonsleasing med en enda ekonomisk aktör, vilket inte var lämpligt för den typ av tjänster som efterfrågades. Parlamentet konstaterar att det specifika kontrakt som tilldelats och alla tillhörande betalningar </w:t>
      </w:r>
      <w:r w:rsidR="004B06CC" w:rsidRPr="004D0537">
        <w:rPr>
          <w:rFonts w:eastAsia="Aptos"/>
        </w:rPr>
        <w:lastRenderedPageBreak/>
        <w:t>(64 000 EUR 2024) därför var oriktiga. Parlamentet noterar Eurojusts svar att det ramavtal som revisionsrätten hänvisar till i sin rapport för 2020 löpte ut den 10 maj 2024 och att ett nytt ramavtal för fordonsleasing är i kraft sedan den 25 november 2024.</w:t>
      </w:r>
    </w:p>
    <w:p w14:paraId="12EE01C3" w14:textId="00683988" w:rsidR="004B06CC" w:rsidRPr="004D0537" w:rsidRDefault="007B6266" w:rsidP="004B06CC">
      <w:pPr>
        <w:spacing w:after="240"/>
        <w:ind w:left="567" w:hanging="567"/>
      </w:pPr>
      <w:r w:rsidRPr="004D0537">
        <w:rPr>
          <w:rFonts w:eastAsia="Aptos"/>
        </w:rPr>
        <w:t>75</w:t>
      </w:r>
      <w:r w:rsidR="004B06CC" w:rsidRPr="004D0537">
        <w:rPr>
          <w:rFonts w:eastAsia="Aptos"/>
        </w:rPr>
        <w:t>.</w:t>
      </w:r>
      <w:r w:rsidR="004B06CC" w:rsidRPr="004D0537">
        <w:rPr>
          <w:rFonts w:eastAsia="Aptos"/>
        </w:rPr>
        <w:tab/>
        <w:t xml:space="preserve">Europaparlamentet är bekymrat över revisionsrättens iakttagelser att Eurojust inte har uppdaterat sina kontinuitetsplaner sedan 2021, trots att ett antal viktiga förändringar har ägt rum som påverkar resurser och personal avseende viktiga processer, bland annat införandet av Summa som nytt budget-, redovisnings- och ekonomisystem. Eurojust har heller inte följt testfrekvensen i byråns senaste kontinuitetsplan och har för närvarande ingen samordnad och överenskommen katastrofplan för sina </w:t>
      </w:r>
      <w:proofErr w:type="spellStart"/>
      <w:r w:rsidR="004B06CC" w:rsidRPr="004D0537">
        <w:rPr>
          <w:rFonts w:eastAsia="Aptos"/>
        </w:rPr>
        <w:t>it-system</w:t>
      </w:r>
      <w:proofErr w:type="spellEnd"/>
      <w:r w:rsidR="004B06CC" w:rsidRPr="004D0537">
        <w:rPr>
          <w:rFonts w:eastAsia="Aptos"/>
        </w:rPr>
        <w:t>.</w:t>
      </w:r>
      <w:bookmarkStart w:id="8" w:name="_Hlk219798619"/>
    </w:p>
    <w:p w14:paraId="4FC652AE" w14:textId="3973C72F" w:rsidR="004B06CC" w:rsidRPr="004D0537" w:rsidRDefault="007B6266" w:rsidP="004B06CC">
      <w:pPr>
        <w:spacing w:after="240"/>
        <w:ind w:left="567" w:hanging="567"/>
      </w:pPr>
      <w:r w:rsidRPr="004D0537">
        <w:rPr>
          <w:rFonts w:eastAsia="Aptos"/>
        </w:rPr>
        <w:t>76</w:t>
      </w:r>
      <w:r w:rsidR="004B06CC" w:rsidRPr="004D0537">
        <w:rPr>
          <w:rFonts w:eastAsia="Aptos"/>
        </w:rPr>
        <w:t>.</w:t>
      </w:r>
      <w:r w:rsidR="004B06CC" w:rsidRPr="004D0537">
        <w:rPr>
          <w:rFonts w:eastAsia="Aptos"/>
        </w:rPr>
        <w:tab/>
        <w:t>Europaparlamentet noterar att Eurojusts mandat kommer att utvidgas i framtiden, även till en tredjestat, och att byrån hanterar ett ökande antal brottmål årligen. Parlamentet konstaterar att Eurojust mot bakgrund av denna utveckling måste öka sin personalstyrka för att säkerställa en omfattande täckning av mål och en oavbruten kontinuitet i sin verksamhet, och att motsvarande finansiering bör göras tillgänglig.</w:t>
      </w:r>
      <w:bookmarkEnd w:id="8"/>
    </w:p>
    <w:p w14:paraId="065EC9F0" w14:textId="1E76709B" w:rsidR="004B06CC" w:rsidRPr="004D0537" w:rsidRDefault="007B6266" w:rsidP="004B06CC">
      <w:pPr>
        <w:spacing w:after="240"/>
        <w:ind w:left="567" w:hanging="567"/>
      </w:pPr>
      <w:r w:rsidRPr="004D0537">
        <w:rPr>
          <w:rFonts w:eastAsia="Aptos"/>
        </w:rPr>
        <w:t>77</w:t>
      </w:r>
      <w:r w:rsidR="004B06CC" w:rsidRPr="004D0537">
        <w:rPr>
          <w:rFonts w:eastAsia="Aptos"/>
        </w:rPr>
        <w:t>.</w:t>
      </w:r>
      <w:r w:rsidR="004B06CC" w:rsidRPr="004D0537">
        <w:rPr>
          <w:rFonts w:eastAsia="Aptos"/>
        </w:rPr>
        <w:tab/>
        <w:t>Europaparlamentet noterar dessutom revisionsrättens iakttagelse att Eurojust inte antog ett korrekt finansieringsbeslut innan upphandlingsförfaranden som avsåg operativa utgifter inleddes, vilket försvårar en ändamålsenlig planering och tillsyn och strider mot artiklarna 32.1 och 72.3 b i Eurojusts finansiella regler. Parlamentet välkomnar Eurojusts åtagande att från och med 2026 på sin webbplats offentliggöra en godkänd årlig upphandlingsplan för alla förfaranden, vilken omfattar både operativa och administrativa utgifter.</w:t>
      </w:r>
    </w:p>
    <w:p w14:paraId="7D759ECD" w14:textId="40CAAEDE" w:rsidR="004B06CC" w:rsidRPr="004D0537" w:rsidRDefault="007B6266" w:rsidP="004B06CC">
      <w:pPr>
        <w:spacing w:after="240"/>
        <w:ind w:left="567" w:hanging="567"/>
      </w:pPr>
      <w:r w:rsidRPr="004D0537">
        <w:rPr>
          <w:rFonts w:eastAsia="Aptos"/>
        </w:rPr>
        <w:t>78</w:t>
      </w:r>
      <w:r w:rsidR="004B06CC" w:rsidRPr="004D0537">
        <w:rPr>
          <w:rFonts w:eastAsia="Aptos"/>
        </w:rPr>
        <w:t>.</w:t>
      </w:r>
      <w:r w:rsidR="004B06CC" w:rsidRPr="004D0537">
        <w:rPr>
          <w:rFonts w:eastAsia="Aptos"/>
        </w:rPr>
        <w:tab/>
        <w:t>Europaparlamentet noterar att Europeiska unionens tribunal</w:t>
      </w:r>
      <w:r w:rsidR="004B06CC" w:rsidRPr="004D0537">
        <w:rPr>
          <w:vertAlign w:val="superscript"/>
        </w:rPr>
        <w:footnoteReference w:id="411"/>
      </w:r>
      <w:r w:rsidR="004B06CC" w:rsidRPr="004D0537">
        <w:rPr>
          <w:rFonts w:eastAsia="Aptos"/>
        </w:rPr>
        <w:t xml:space="preserve"> (</w:t>
      </w:r>
      <w:r w:rsidR="004B06CC" w:rsidRPr="004D0537">
        <w:rPr>
          <w:rFonts w:eastAsia="Aptos"/>
          <w:i/>
          <w:iCs/>
        </w:rPr>
        <w:t>tribunalen</w:t>
      </w:r>
      <w:r w:rsidR="004B06CC" w:rsidRPr="004D0537">
        <w:rPr>
          <w:rFonts w:eastAsia="Aptos"/>
        </w:rPr>
        <w:t>) i oktober 2025 ogiltigförklarade två beslut som Eurojust fattat om att avslå en tillfälligt anställds begäran om bistånd på grund av påstådd mobbning från tio kollegor, däribland hans administrativa direktör. Tribunalen slog fast att Eurojust bröt mot sin omsorgsplikt enligt artikel 24 i tjänsteföreskrifterna genom att dela upp den anställdas begäran i två separata administrativa förfaranden och därmed underlät att genomföra en helhetsorienterad, kontextuell utredning av sammanhängande påstådda trakasserier. Parlamentet noterar att tribunalen visserligen ogiltigförklarade besluten för att möjliggöra en ordentlig omprövning, men avvisade ersättningskraven.</w:t>
      </w:r>
    </w:p>
    <w:p w14:paraId="245A1B88" w14:textId="3AA35C35" w:rsidR="004B06CC" w:rsidRPr="004D0537" w:rsidRDefault="001725A4" w:rsidP="004B06CC">
      <w:pPr>
        <w:spacing w:after="240"/>
        <w:ind w:left="567" w:hanging="567"/>
        <w:rPr>
          <w:bCs/>
        </w:rPr>
      </w:pPr>
      <w:r w:rsidRPr="004D0537">
        <w:rPr>
          <w:rFonts w:eastAsia="Aptos"/>
        </w:rPr>
        <w:t>79</w:t>
      </w:r>
      <w:r w:rsidR="004B06CC" w:rsidRPr="004D0537">
        <w:rPr>
          <w:rFonts w:eastAsia="Aptos"/>
        </w:rPr>
        <w:t>.</w:t>
      </w:r>
      <w:r w:rsidR="004B06CC" w:rsidRPr="004D0537">
        <w:rPr>
          <w:rFonts w:eastAsia="Aptos"/>
        </w:rPr>
        <w:tab/>
      </w:r>
      <w:r w:rsidR="00F86C5B" w:rsidRPr="004D0537">
        <w:rPr>
          <w:szCs w:val="24"/>
          <w:lang w:eastAsia="en-US"/>
        </w:rPr>
        <w:t>Europaparlamentet betonar att interna mekanismer bör utvecklas inom byråerna för att säkerställa både korrekt intern hantering av klagomål och förebyggande av incidenter, inbegripet fall av mobbning och sexuella trakasserier, särskilt när flera parter är inblandade.</w:t>
      </w:r>
    </w:p>
    <w:p w14:paraId="2FDEEA07" w14:textId="281523C3" w:rsidR="004B06CC" w:rsidRPr="004D0537" w:rsidRDefault="007B6266" w:rsidP="004B06CC">
      <w:pPr>
        <w:spacing w:after="240"/>
        <w:ind w:left="567" w:hanging="567"/>
      </w:pPr>
      <w:r w:rsidRPr="004D0537">
        <w:rPr>
          <w:rFonts w:eastAsia="Aptos"/>
        </w:rPr>
        <w:t>80</w:t>
      </w:r>
      <w:r w:rsidR="004B06CC" w:rsidRPr="004D0537">
        <w:rPr>
          <w:rFonts w:eastAsia="Aptos"/>
        </w:rPr>
        <w:t>.</w:t>
      </w:r>
      <w:r w:rsidR="004B06CC" w:rsidRPr="004D0537">
        <w:rPr>
          <w:rFonts w:eastAsia="Aptos"/>
        </w:rPr>
        <w:tab/>
        <w:t>Europaparlamentet noterar revisionsrättens iakttagelse att Europol felaktigt återbetalat moms under driftsbidrag, om stödmottagarna (t.ex. nationella polisstyrkor) var offentligrättsliga myndigheter, i strid med artikel 186.4 c i budgetförordningen, som inte tillåter återbetalning av moms till offentligrättsliga myndigheter som agerar i denna egenskap. Parlamentet noterar Europols förklaring att byrån följde kommissionens riktlinjer vid den tidpunkten, enligt vilka moms kunde anses vara stödberättigande under driftsbidrag, och välkomnar beslutet att undanta moms från alla nya bidragsöverenskommelser som initierades i slutet av 2024.</w:t>
      </w:r>
    </w:p>
    <w:p w14:paraId="15C4DC2C" w14:textId="4E09C6C2" w:rsidR="004B06CC" w:rsidRPr="004D0537" w:rsidRDefault="007B6266" w:rsidP="004B06CC">
      <w:pPr>
        <w:spacing w:after="240"/>
        <w:ind w:left="567" w:hanging="567"/>
      </w:pPr>
      <w:r w:rsidRPr="004D0537">
        <w:rPr>
          <w:rFonts w:eastAsia="Aptos"/>
        </w:rPr>
        <w:lastRenderedPageBreak/>
        <w:t>81</w:t>
      </w:r>
      <w:r w:rsidR="004B06CC" w:rsidRPr="004D0537">
        <w:rPr>
          <w:rFonts w:eastAsia="Aptos"/>
        </w:rPr>
        <w:t>.</w:t>
      </w:r>
      <w:r w:rsidR="004B06CC" w:rsidRPr="004D0537">
        <w:rPr>
          <w:rFonts w:eastAsia="Aptos"/>
        </w:rPr>
        <w:tab/>
        <w:t>Europaparlamentet välkomnar att Europols operativa specialgrupper och gemensamma utredningsgrupper spelade en avgörande roll för att knäcka den krypterade kommunikationsplattformen Matrix, vilket visar på deras kompletterande men olika roller i kampen mot gränsöverskridande organiserad brottslighet. Operationen inleddes som en operativ arbetsgrupp i juni 2024 mellan Nederländerna, Frankrike, Litauen, Italien och Spanien, med underlättat underrättelseutbyte och övervakning av brottslig verksamhet. Parlamentet betonar att övergången till en gemensam utredningsgrupp inom ramen för Eurojust möjliggjorde formell utredningssamordning, vilket ledde till gripanden, beslag och dekryptering av 2,3 miljoner meddelanden på 33 språk. Parlamentet konstaterar att de tyska myndigheterna tillhandahöll tekniskt stöd, medan den spanska, franska och nederländska polisen samarbetade under hela utredningen. Parlamentet anser att detta fall understryker det gränsöverskridande samarbetets effektivitet när det gäller att spränga olagliga nätverk och behovet av fortsatta investeringar i brottsbekämpningskapacitet för att angripa nya brottsliga strategier.</w:t>
      </w:r>
    </w:p>
    <w:p w14:paraId="3C3F3E5B" w14:textId="681ACEED" w:rsidR="004B06CC" w:rsidRPr="004D0537" w:rsidRDefault="007B6266" w:rsidP="004B06CC">
      <w:pPr>
        <w:spacing w:after="240"/>
        <w:ind w:left="567" w:hanging="567"/>
      </w:pPr>
      <w:r w:rsidRPr="004D0537">
        <w:rPr>
          <w:rFonts w:eastAsia="Aptos"/>
        </w:rPr>
        <w:t>82</w:t>
      </w:r>
      <w:r w:rsidR="004B06CC" w:rsidRPr="004D0537">
        <w:rPr>
          <w:rFonts w:eastAsia="Aptos"/>
        </w:rPr>
        <w:t>.</w:t>
      </w:r>
      <w:r w:rsidR="004B06CC" w:rsidRPr="004D0537">
        <w:rPr>
          <w:rFonts w:eastAsia="Aptos"/>
        </w:rPr>
        <w:tab/>
        <w:t xml:space="preserve">Europaparlamentet noterar att beviljandet av ansvarsfrihet för Europeiska unionens asylbyrå (EUAA) sköts upp i maj 2025 på grund av Olafs slutsatser när det gäller styrning och stabilitet. Parlamentet noterar att Olaf i en konfidentiell utredning upptäckte att </w:t>
      </w:r>
      <w:proofErr w:type="spellStart"/>
      <w:r w:rsidR="004B06CC" w:rsidRPr="004D0537">
        <w:rPr>
          <w:rFonts w:eastAsia="Aptos"/>
        </w:rPr>
        <w:t>EUAA:s</w:t>
      </w:r>
      <w:proofErr w:type="spellEnd"/>
      <w:r w:rsidR="004B06CC" w:rsidRPr="004D0537">
        <w:rPr>
          <w:rFonts w:eastAsia="Aptos"/>
        </w:rPr>
        <w:t xml:space="preserve"> högsta ledning kringgått tjänsteföreskrifterna och att Olafs utredare noterat att sådana anställningsmetoder strider mot unionens tjänsteföreskrifter.</w:t>
      </w:r>
    </w:p>
    <w:p w14:paraId="6147EFA4" w14:textId="67813AC1" w:rsidR="004B06CC" w:rsidRPr="004D0537" w:rsidRDefault="007B6266" w:rsidP="004B06CC">
      <w:pPr>
        <w:spacing w:after="240"/>
        <w:ind w:left="567" w:hanging="567"/>
      </w:pPr>
      <w:r w:rsidRPr="004D0537">
        <w:rPr>
          <w:rFonts w:eastAsia="Aptos"/>
        </w:rPr>
        <w:t>83</w:t>
      </w:r>
      <w:r w:rsidR="004B06CC" w:rsidRPr="004D0537">
        <w:rPr>
          <w:rFonts w:eastAsia="Aptos"/>
        </w:rPr>
        <w:t>.</w:t>
      </w:r>
      <w:r w:rsidR="004B06CC" w:rsidRPr="004D0537">
        <w:rPr>
          <w:rFonts w:eastAsia="Aptos"/>
        </w:rPr>
        <w:tab/>
        <w:t xml:space="preserve">Europaparlamentet noterar </w:t>
      </w:r>
      <w:proofErr w:type="spellStart"/>
      <w:r w:rsidR="004B06CC" w:rsidRPr="004D0537">
        <w:rPr>
          <w:rFonts w:eastAsia="Aptos"/>
        </w:rPr>
        <w:t>EUAA:s</w:t>
      </w:r>
      <w:proofErr w:type="spellEnd"/>
      <w:r w:rsidR="004B06CC" w:rsidRPr="004D0537">
        <w:rPr>
          <w:rFonts w:eastAsia="Aptos"/>
        </w:rPr>
        <w:t xml:space="preserve"> lägesrapport av den 31 oktober 2025 om genomförandet av korrigerande åtgärder, enligt överenskommelsen mellan den verkställande direktören och styrelsen, som en uppföljning av parlamentets resolution. Parlamentet noterar att styrelsen tar itu med parlamentets iakttagelser i linje med sina förfaranden och kommer att se över framstegen med kvarstående åtgärder vid sitt möte i november 2025. Parlamentet uppmanar med kraft byrån att fullt ut klargöra alla olösta frågor, att genomföra Olafs rekommendationer på ett trovärdigt och transparent sätt och att inrätta robusta mekanismer för intern kontroll, etisk tillsyn och ansvarsskyldighet. Parlamentet uppmanar byrån att utan onödigt dröjsmål informera den ansvarsfrihetsbeviljande myndigheten om eventuella korrigerande åtgärder som vidtagits. Parlamentet betonar att avslutandet av Olafs utredningar inte i sig undanröjer bristerna i styrningen. Parlamentet upprepar att den ansvarsfrihetsbeviljande myndigheten behåller fullständiga tillsynsrättigheter till dess att strukturella svagheter i förvaltningen, transparensen och hanteringen av intressekonflikter har åtgärdats och verifierats fullt ut.</w:t>
      </w:r>
    </w:p>
    <w:p w14:paraId="1FC14477" w14:textId="63B7E417" w:rsidR="004B06CC" w:rsidRPr="004D0537" w:rsidRDefault="007B6266" w:rsidP="004B06CC">
      <w:pPr>
        <w:spacing w:after="240"/>
        <w:ind w:left="567" w:hanging="567"/>
      </w:pPr>
      <w:r w:rsidRPr="004D0537">
        <w:rPr>
          <w:rFonts w:eastAsia="Aptos"/>
        </w:rPr>
        <w:t>84</w:t>
      </w:r>
      <w:r w:rsidR="004B06CC" w:rsidRPr="004D0537">
        <w:rPr>
          <w:rFonts w:eastAsia="Aptos"/>
        </w:rPr>
        <w:t>.</w:t>
      </w:r>
      <w:r w:rsidR="004B06CC" w:rsidRPr="004D0537">
        <w:rPr>
          <w:rFonts w:eastAsia="Aptos"/>
        </w:rPr>
        <w:tab/>
        <w:t>Europaparlamentet noterar att förbättringar gjordes under 2024 för att stärka byråns etiska ram, personalens medvetenhet och interna förfaranden för intressekonflikter, men att den strukturella intressekonflikt som Olaf identifierat när det gäller klagomål mot den verkställande direktören ännu inte hade åtgärdats, eftersom den rättsliga enhet som ansvarar för att förbereda sådana ärenden fortsatte att arbeta under den verkställande direktörens direkta tillsyn, vilket undergräver klagomålsprocessens oberoende. Parlamentet noterar att de flesta korrigerande åtgärder planeras för 2025 och 2026, inbegripet organisatoriska förändringar, ett optimeringsprogram, utbildning för personal och chefer, förbättringar av styrdokument, ökad transparens i rapporteringen av oriktigheter, en översyn av den interna vägledningen om begäranden och klagomål enligt artikel 90 i tjänsteföreskrifterna, stärkt samarbete med GD HR för hantering av klagomål och en översyn av förfarandena för begäranden om bistånd enligt artikel 24 i tjänsteföreskrifterna.</w:t>
      </w:r>
    </w:p>
    <w:p w14:paraId="546C538F" w14:textId="20B6285D" w:rsidR="004B06CC" w:rsidRPr="004D0537" w:rsidRDefault="007B6266" w:rsidP="004B06CC">
      <w:pPr>
        <w:spacing w:after="240"/>
        <w:ind w:left="567" w:hanging="567"/>
      </w:pPr>
      <w:r w:rsidRPr="004D0537">
        <w:rPr>
          <w:rFonts w:eastAsia="Aptos"/>
        </w:rPr>
        <w:t>85</w:t>
      </w:r>
      <w:r w:rsidR="004B06CC" w:rsidRPr="004D0537">
        <w:rPr>
          <w:rFonts w:eastAsia="Aptos"/>
        </w:rPr>
        <w:t>.</w:t>
      </w:r>
      <w:r w:rsidR="004B06CC" w:rsidRPr="004D0537">
        <w:rPr>
          <w:rFonts w:eastAsia="Aptos"/>
        </w:rPr>
        <w:tab/>
        <w:t xml:space="preserve">Europaparlamentet betonar vidare behovet av fortsatt vaksamhet när det gäller </w:t>
      </w:r>
      <w:proofErr w:type="spellStart"/>
      <w:r w:rsidR="004B06CC" w:rsidRPr="004D0537">
        <w:rPr>
          <w:rFonts w:eastAsia="Aptos"/>
        </w:rPr>
        <w:t>EUAA:s</w:t>
      </w:r>
      <w:proofErr w:type="spellEnd"/>
      <w:r w:rsidR="004B06CC" w:rsidRPr="004D0537">
        <w:rPr>
          <w:rFonts w:eastAsia="Aptos"/>
        </w:rPr>
        <w:t xml:space="preserve"> </w:t>
      </w:r>
      <w:r w:rsidR="004B06CC" w:rsidRPr="004D0537">
        <w:rPr>
          <w:rFonts w:eastAsia="Aptos"/>
        </w:rPr>
        <w:lastRenderedPageBreak/>
        <w:t>personalomsättning och personalnöjdhet, strikt förebyggande av nepotism eller favorisering samt full transparens och meritbaserade förfaranden när det gäller rekrytering och karriärutveckling.</w:t>
      </w:r>
    </w:p>
    <w:p w14:paraId="5ACE75FB" w14:textId="073741BE" w:rsidR="004B06CC" w:rsidRPr="004D0537" w:rsidRDefault="007B6266" w:rsidP="004B06CC">
      <w:pPr>
        <w:spacing w:after="240"/>
        <w:ind w:left="567" w:hanging="567"/>
      </w:pPr>
      <w:r w:rsidRPr="004D0537">
        <w:rPr>
          <w:rFonts w:eastAsia="Aptos"/>
        </w:rPr>
        <w:t>86</w:t>
      </w:r>
      <w:r w:rsidR="004B06CC" w:rsidRPr="004D0537">
        <w:rPr>
          <w:rFonts w:eastAsia="Aptos"/>
        </w:rPr>
        <w:t>.</w:t>
      </w:r>
      <w:r w:rsidR="004B06CC" w:rsidRPr="004D0537">
        <w:rPr>
          <w:rFonts w:eastAsia="Aptos"/>
        </w:rPr>
        <w:tab/>
        <w:t>Europaparlamentet förbehåller sig rätten att villkora eller skjuta upp framtida beslut om ansvarsfrihet om byråerna inte genomför fullständiga och verifierbara strukturreformer till följd av allvarliga iakttagelser.</w:t>
      </w:r>
    </w:p>
    <w:p w14:paraId="3D9100A4" w14:textId="77777777" w:rsidR="004B06CC" w:rsidRPr="004D0537" w:rsidRDefault="004B06CC" w:rsidP="004B06CC">
      <w:pPr>
        <w:spacing w:after="240"/>
        <w:ind w:left="567" w:hanging="567"/>
        <w:rPr>
          <w:i/>
          <w:iCs/>
        </w:rPr>
      </w:pPr>
      <w:r w:rsidRPr="004D0537">
        <w:rPr>
          <w:rFonts w:eastAsia="Aptos"/>
          <w:i/>
        </w:rPr>
        <w:t>Rekommendationer</w:t>
      </w:r>
    </w:p>
    <w:p w14:paraId="7ED260FA" w14:textId="6DE1D436" w:rsidR="004B06CC" w:rsidRPr="004D0537" w:rsidRDefault="007B6266" w:rsidP="004B06CC">
      <w:pPr>
        <w:spacing w:after="240"/>
        <w:ind w:left="567" w:hanging="567"/>
      </w:pPr>
      <w:r w:rsidRPr="004D0537">
        <w:rPr>
          <w:rFonts w:eastAsia="Aptos"/>
        </w:rPr>
        <w:t>87</w:t>
      </w:r>
      <w:r w:rsidR="004B06CC" w:rsidRPr="004D0537">
        <w:rPr>
          <w:rFonts w:eastAsia="Aptos"/>
        </w:rPr>
        <w:t>.</w:t>
      </w:r>
      <w:r w:rsidR="004B06CC" w:rsidRPr="004D0537">
        <w:rPr>
          <w:rFonts w:eastAsia="Aptos"/>
        </w:rPr>
        <w:tab/>
        <w:t>Europaparlamentet uppmanar EU-byråerna att vidta åtgärder med anledning av revisionsrättens iakttagelser, särskilt när det gäller följande:</w:t>
      </w:r>
    </w:p>
    <w:p w14:paraId="67DF4902" w14:textId="77777777" w:rsidR="004B06CC" w:rsidRPr="004D0537" w:rsidRDefault="004B06CC" w:rsidP="004B06CC">
      <w:pPr>
        <w:spacing w:after="240"/>
        <w:ind w:left="1134" w:hanging="567"/>
      </w:pPr>
      <w:r w:rsidRPr="004D0537">
        <w:rPr>
          <w:rFonts w:eastAsia="Aptos"/>
        </w:rPr>
        <w:t>i)</w:t>
      </w:r>
      <w:r w:rsidRPr="004D0537">
        <w:rPr>
          <w:rFonts w:eastAsia="Aptos"/>
        </w:rPr>
        <w:tab/>
        <w:t>EIGE ska förbättra upphandlingsmetoderna genom att se över alltför restriktiva anbudskriterier, stärka utvärderingsprocesserna för att bedöma anbudsgivarnas teamledningsförmåga och genomföra strikt kontroll av kontrakt baserade på tids- och materialåtgång för att förhindra för höga utbetalningar.</w:t>
      </w:r>
    </w:p>
    <w:p w14:paraId="7C00CB08" w14:textId="77777777" w:rsidR="004B06CC" w:rsidRPr="004D0537" w:rsidRDefault="004B06CC" w:rsidP="004B06CC">
      <w:pPr>
        <w:spacing w:after="240"/>
        <w:ind w:left="1134" w:hanging="567"/>
      </w:pPr>
      <w:r w:rsidRPr="004D0537">
        <w:rPr>
          <w:rFonts w:eastAsia="Aptos"/>
        </w:rPr>
        <w:t>ii)</w:t>
      </w:r>
      <w:r w:rsidRPr="004D0537">
        <w:rPr>
          <w:rFonts w:eastAsia="Aptos"/>
        </w:rPr>
        <w:tab/>
        <w:t>eu-LISA ska ta itu med systematiska brister i upphandlingen, inbegripet oriktiga hyreskontrakt och otillbörliga ändringar av ekonomiska anbud, och samtidigt öka transparensen och riskreduceringen i anbudsutvärderingarna. Parlamentet uppmanar eu-Lisa att tillhandahålla detaljerad information om tvisten till följd av förseningarna i genomförandet av in- och utresesystemet, särskilt om den interna bedömning som ledde till att byrån tog på sig kostnader för återställning och förnyelse av underhåll på 6,6 miljoner EUR under 2023–2024 i samband med ramavtalet om övergripande verksamhet, trots att dessa kostnader enligt avtalet kan hänföras till in- och utresesystemets entreprenör. Parlamentet begär ett förtydligande av varför inga rättsliga förfaranden inleddes före utgången av 2024 och om huruvida alternativa tvistlösnings- eller återkravsåtgärder undersöktes. Parlamentet rekommenderar att eu-Lisa stärker sina mekanismer för avtalsefterlevnad och tvistlösning, inrättar tydliga eskaleringsförfaranden och säkerställer att liknande tvister hanteras snabbt och transparent för att skydda byråns ekonomiska intressen och operativa kontinuitet. Parlamentet uppmuntrar eu-LISA att avge ett yttrande om de villkor enligt vilka förnyad upphandling inte kan anses vara lämplig och i vilka situationer det är rimligt att behålla samma leverantör(er) för att säkerställa kontinuitet i verksamheten.</w:t>
      </w:r>
    </w:p>
    <w:p w14:paraId="4579F508" w14:textId="77777777" w:rsidR="004B06CC" w:rsidRPr="004D0537" w:rsidRDefault="004B06CC" w:rsidP="004B06CC">
      <w:pPr>
        <w:spacing w:after="240"/>
        <w:ind w:left="1134" w:hanging="567"/>
      </w:pPr>
      <w:r w:rsidRPr="004D0537">
        <w:rPr>
          <w:rFonts w:eastAsia="Aptos"/>
        </w:rPr>
        <w:t>iii)</w:t>
      </w:r>
      <w:r w:rsidRPr="004D0537">
        <w:rPr>
          <w:rFonts w:eastAsia="Aptos"/>
        </w:rPr>
        <w:tab/>
        <w:t>Eurojust ska uppdatera sina kontinuitetsplaner inom sex månader för att återspegla nuvarande verksamhet, inbegripet genomförandet av Summa, genomföra regelbundna testning av katastrofhantering och fastställa lämpliga finansieringsbeslut före upphandlingsförfaranden. Parlamentet uppmanar Eurojust att lägga fram sina nya kontinuitetsplaner i uppföljningsrapporten om ansvarsfrihet</w:t>
      </w:r>
      <w:bookmarkStart w:id="9" w:name="_Hlk219798582"/>
      <w:r w:rsidRPr="004D0537">
        <w:rPr>
          <w:rFonts w:ascii="Aptos" w:eastAsia="Aptos" w:hAnsi="Aptos"/>
        </w:rPr>
        <w:t>.</w:t>
      </w:r>
      <w:bookmarkEnd w:id="9"/>
    </w:p>
    <w:p w14:paraId="72BA08F2" w14:textId="0B9712AF" w:rsidR="004B06CC" w:rsidRPr="004D0537" w:rsidRDefault="007B6266" w:rsidP="004B06CC">
      <w:pPr>
        <w:spacing w:after="240"/>
        <w:ind w:left="567" w:hanging="567"/>
      </w:pPr>
      <w:r w:rsidRPr="004D0537">
        <w:rPr>
          <w:rFonts w:eastAsia="Aptos"/>
        </w:rPr>
        <w:t>88</w:t>
      </w:r>
      <w:r w:rsidR="004B06CC" w:rsidRPr="004D0537">
        <w:rPr>
          <w:rFonts w:eastAsia="Aptos"/>
        </w:rPr>
        <w:t>.</w:t>
      </w:r>
      <w:r w:rsidR="004B06CC" w:rsidRPr="004D0537">
        <w:rPr>
          <w:rFonts w:eastAsia="Aptos"/>
        </w:rPr>
        <w:tab/>
        <w:t>Europaparlamentet uppmanar dessutom</w:t>
      </w:r>
    </w:p>
    <w:p w14:paraId="65F63255" w14:textId="77777777" w:rsidR="004B06CC" w:rsidRPr="004D0537" w:rsidRDefault="004B06CC" w:rsidP="004B06CC">
      <w:pPr>
        <w:spacing w:after="240"/>
        <w:ind w:left="1134" w:hanging="567"/>
      </w:pPr>
      <w:r w:rsidRPr="004D0537">
        <w:rPr>
          <w:rFonts w:eastAsia="Aptos"/>
        </w:rPr>
        <w:t>i)</w:t>
      </w:r>
      <w:r w:rsidRPr="004D0537">
        <w:rPr>
          <w:rFonts w:eastAsia="Aptos"/>
        </w:rPr>
        <w:tab/>
      </w:r>
      <w:proofErr w:type="spellStart"/>
      <w:r w:rsidRPr="004D0537">
        <w:rPr>
          <w:rFonts w:eastAsia="Aptos"/>
        </w:rPr>
        <w:t>Cepol</w:t>
      </w:r>
      <w:proofErr w:type="spellEnd"/>
      <w:r w:rsidRPr="004D0537">
        <w:rPr>
          <w:rFonts w:eastAsia="Aptos"/>
        </w:rPr>
        <w:t xml:space="preserve"> och alla EU:s byråer att skyndsamt stärka sin interna cybersäkerhetshantering, anslå tillräckliga och stabila medel, förbättra upptäckts- och insatskapaciteten och vidta konkreta åtgärder för en nolltillitsarkitektur för att minska sårbarheterna och säkerställa motståndskraft mot alltmer sofistikerade cyberhot.</w:t>
      </w:r>
    </w:p>
    <w:p w14:paraId="30F5E1FD" w14:textId="77777777" w:rsidR="004B06CC" w:rsidRPr="004D0537" w:rsidRDefault="004B06CC" w:rsidP="004B06CC">
      <w:pPr>
        <w:spacing w:after="240"/>
        <w:ind w:left="1134" w:hanging="567"/>
      </w:pPr>
      <w:r w:rsidRPr="004D0537">
        <w:rPr>
          <w:rFonts w:eastAsia="Aptos"/>
        </w:rPr>
        <w:lastRenderedPageBreak/>
        <w:t>ii)</w:t>
      </w:r>
      <w:r w:rsidRPr="004D0537">
        <w:rPr>
          <w:rFonts w:eastAsia="Aptos"/>
        </w:rPr>
        <w:tab/>
        <w:t>Europol att upprätthålla vaksamhet när det gäller efterlevnad av regler för stödberättigande i framtida finansieringscykler, efter sina snabba korrigerande åtgärder för momsåterbetalningar. Parlamentet uppmanar med kraft kommissionen att utfärda tydliga riktlinjer för genomförandet av artikel 186.4 c i budgetförordningen, med tanke på att frågor om stödberättigande moms också tidigare år har uppstått i andra fall, vilket visar på tvetydigheter.</w:t>
      </w:r>
    </w:p>
    <w:p w14:paraId="63EB6B18" w14:textId="77777777" w:rsidR="004B06CC" w:rsidRPr="004D0537" w:rsidRDefault="004B06CC" w:rsidP="004B06CC">
      <w:pPr>
        <w:spacing w:after="240"/>
        <w:ind w:left="1134" w:hanging="567"/>
      </w:pPr>
      <w:r w:rsidRPr="004D0537">
        <w:rPr>
          <w:rFonts w:eastAsia="Aptos"/>
        </w:rPr>
        <w:t>iii)</w:t>
      </w:r>
      <w:r w:rsidRPr="004D0537">
        <w:rPr>
          <w:rFonts w:eastAsia="Aptos"/>
        </w:rPr>
        <w:tab/>
        <w:t>EUAA att säkerställa en strikt övervakning av delmål, särskilt de som planeras för 2026 och som utgör kärnan i reformarbetet, och rapportera tillbaka till den ansvarsfrihetsbeviljande myndigheten om genomförandet av korrigerande åtgärder.</w:t>
      </w:r>
    </w:p>
    <w:p w14:paraId="59785CCC" w14:textId="77777777" w:rsidR="004B06CC" w:rsidRPr="004D0537" w:rsidRDefault="004B06CC" w:rsidP="004B06CC">
      <w:pPr>
        <w:spacing w:after="240"/>
        <w:ind w:left="1134" w:hanging="567"/>
      </w:pPr>
      <w:r w:rsidRPr="004D0537">
        <w:rPr>
          <w:rFonts w:eastAsia="Aptos"/>
        </w:rPr>
        <w:t>iv)</w:t>
      </w:r>
      <w:r w:rsidRPr="004D0537">
        <w:rPr>
          <w:rFonts w:eastAsia="Aptos"/>
        </w:rPr>
        <w:tab/>
        <w:t>EU:s byråer och i synnerhet Eurojust att fastställa tydliga riktlinjer för hantering av komplexa fall av trakasserier och säkerställa en konsekvent tillämpning av artikel 24 i tjänsteföreskrifterna.</w:t>
      </w:r>
    </w:p>
    <w:p w14:paraId="798CD938" w14:textId="77777777" w:rsidR="004B06CC" w:rsidRPr="004D0537" w:rsidRDefault="004B06CC" w:rsidP="004B06CC">
      <w:pPr>
        <w:spacing w:after="240"/>
        <w:ind w:left="1134" w:hanging="567"/>
      </w:pPr>
      <w:r w:rsidRPr="004D0537">
        <w:rPr>
          <w:rFonts w:eastAsia="Aptos"/>
        </w:rPr>
        <w:t>v)</w:t>
      </w:r>
      <w:r w:rsidRPr="004D0537">
        <w:rPr>
          <w:rFonts w:eastAsia="Aptos"/>
        </w:rPr>
        <w:tab/>
        <w:t>EUAA att införa en effektiv mekanism för hantering av klagomål som säkerställer fullständig opartiskhet och återställer förtroendet för dess styrning.</w:t>
      </w:r>
    </w:p>
    <w:p w14:paraId="2B7634C1" w14:textId="77777777" w:rsidR="004B06CC" w:rsidRPr="004D0537" w:rsidRDefault="004B06CC" w:rsidP="004B06CC">
      <w:pPr>
        <w:spacing w:after="240"/>
        <w:ind w:left="1134" w:hanging="567"/>
      </w:pPr>
      <w:r w:rsidRPr="004D0537">
        <w:rPr>
          <w:rFonts w:eastAsia="Aptos"/>
        </w:rPr>
        <w:t>vi)</w:t>
      </w:r>
      <w:r w:rsidRPr="004D0537">
        <w:rPr>
          <w:rFonts w:eastAsia="Aptos"/>
        </w:rPr>
        <w:tab/>
      </w:r>
      <w:proofErr w:type="spellStart"/>
      <w:r w:rsidRPr="004D0537">
        <w:rPr>
          <w:rFonts w:eastAsia="Aptos"/>
        </w:rPr>
        <w:t>Frontex</w:t>
      </w:r>
      <w:proofErr w:type="spellEnd"/>
      <w:r w:rsidRPr="004D0537">
        <w:rPr>
          <w:rFonts w:eastAsia="Aptos"/>
        </w:rPr>
        <w:t xml:space="preserve"> att stärka budgetplaneringen och budgetgenomförandet för att säkerställa efterlevnad av principen om </w:t>
      </w:r>
      <w:proofErr w:type="spellStart"/>
      <w:r w:rsidRPr="004D0537">
        <w:rPr>
          <w:rFonts w:eastAsia="Aptos"/>
        </w:rPr>
        <w:t>ettårighet</w:t>
      </w:r>
      <w:proofErr w:type="spellEnd"/>
      <w:r w:rsidRPr="004D0537">
        <w:rPr>
          <w:rFonts w:eastAsia="Aptos"/>
        </w:rPr>
        <w:t xml:space="preserve">. Parlamentet betonar att omfattningen av och komplexiteten i byråns mandat kräver robusta interna mekanismer och uppmanar byrån att stärka tillsynen över upphandlings- och kontraktsförvaltningsförfarandena. Parlamentet uppmuntrar </w:t>
      </w:r>
      <w:proofErr w:type="spellStart"/>
      <w:r w:rsidRPr="004D0537">
        <w:rPr>
          <w:rFonts w:eastAsia="Aptos"/>
        </w:rPr>
        <w:t>Frontex</w:t>
      </w:r>
      <w:proofErr w:type="spellEnd"/>
      <w:r w:rsidRPr="004D0537">
        <w:rPr>
          <w:rFonts w:eastAsia="Aptos"/>
        </w:rPr>
        <w:t xml:space="preserve"> att stärka uppföljningsförfarandena för revisionsresultat och att rapportera mätbara framsteg till den ansvarsfrihetsbeviljande myndigheten.</w:t>
      </w:r>
    </w:p>
    <w:p w14:paraId="70D289E1" w14:textId="77777777" w:rsidR="004B06CC" w:rsidRPr="004D0537" w:rsidRDefault="004B06CC" w:rsidP="004B06CC">
      <w:pPr>
        <w:spacing w:after="240"/>
        <w:ind w:left="1134" w:hanging="567"/>
      </w:pPr>
      <w:r w:rsidRPr="004D0537">
        <w:rPr>
          <w:rFonts w:eastAsia="Aptos"/>
        </w:rPr>
        <w:t>vii)</w:t>
      </w:r>
      <w:r w:rsidRPr="004D0537">
        <w:rPr>
          <w:rFonts w:eastAsia="Aptos"/>
        </w:rPr>
        <w:tab/>
        <w:t>Eurojust att dela framtida budgetbehov med kommissionen när det gäller den framtida utvidgningen av mandatet och efterlyser med kraft tillräcklig finansiering och personal för att ta itu med denna utvidgning av mandatet.</w:t>
      </w:r>
    </w:p>
    <w:p w14:paraId="58007EAA" w14:textId="77777777" w:rsidR="004B06CC" w:rsidRPr="004D0537" w:rsidRDefault="004B06CC" w:rsidP="004B06CC">
      <w:pPr>
        <w:spacing w:after="240"/>
        <w:ind w:left="567" w:hanging="567"/>
        <w:rPr>
          <w:b/>
          <w:bCs/>
          <w:i/>
          <w:iCs/>
        </w:rPr>
      </w:pPr>
      <w:r w:rsidRPr="004D0537">
        <w:rPr>
          <w:rFonts w:eastAsia="Aptos"/>
          <w:b/>
          <w:i/>
        </w:rPr>
        <w:t>Byråer på området sysselsättning, utbildning och sociala frågor</w:t>
      </w:r>
      <w:r w:rsidRPr="004D0537">
        <w:rPr>
          <w:b/>
          <w:bCs/>
          <w:i/>
          <w:iCs/>
          <w:vertAlign w:val="superscript"/>
        </w:rPr>
        <w:footnoteReference w:id="412"/>
      </w:r>
    </w:p>
    <w:p w14:paraId="26081866" w14:textId="3DB468D0" w:rsidR="004B06CC" w:rsidRPr="004D0537" w:rsidRDefault="007B6266" w:rsidP="004B06CC">
      <w:pPr>
        <w:spacing w:after="240"/>
        <w:ind w:left="567" w:hanging="567"/>
      </w:pPr>
      <w:r w:rsidRPr="004D0537">
        <w:rPr>
          <w:rFonts w:eastAsia="Aptos"/>
        </w:rPr>
        <w:t>89</w:t>
      </w:r>
      <w:r w:rsidR="004B06CC" w:rsidRPr="004D0537">
        <w:rPr>
          <w:rFonts w:eastAsia="Aptos"/>
        </w:rPr>
        <w:t>.</w:t>
      </w:r>
      <w:r w:rsidR="004B06CC" w:rsidRPr="004D0537">
        <w:rPr>
          <w:rFonts w:eastAsia="Aptos"/>
        </w:rPr>
        <w:tab/>
        <w:t>Europaparlamentet framhåller Europeiska arbetsmyndighetens felaktiga klassificering av en ändringsbudget som externa inkomster avsatta för särskilda ändamål, i strid med artiklarna 6, 12, 20, 21 och 34 i de finansiella bestämmelserna. Parlamentet noterar att myndigheten i sitt svar förklarar att medlen kom in sent och att myndigheten därför tillfälligt omfördelade sin budget för att undvika förseningar i utbetalningarna, och därefter bokförde unionsmedlen som externa inkomster för att säkerställa att de endast användes för löner.</w:t>
      </w:r>
    </w:p>
    <w:p w14:paraId="1F9CD653" w14:textId="4D25D7F7" w:rsidR="004B06CC" w:rsidRPr="004D0537" w:rsidRDefault="007B6266" w:rsidP="004B06CC">
      <w:pPr>
        <w:spacing w:after="240"/>
        <w:ind w:left="567" w:hanging="567"/>
        <w:rPr>
          <w:bCs/>
        </w:rPr>
      </w:pPr>
      <w:r w:rsidRPr="004D0537">
        <w:rPr>
          <w:rFonts w:eastAsia="Aptos"/>
        </w:rPr>
        <w:t>90</w:t>
      </w:r>
      <w:r w:rsidR="004B06CC" w:rsidRPr="004D0537">
        <w:rPr>
          <w:rFonts w:eastAsia="Aptos"/>
        </w:rPr>
        <w:t>.</w:t>
      </w:r>
      <w:r w:rsidR="004B06CC" w:rsidRPr="004D0537">
        <w:rPr>
          <w:rFonts w:eastAsia="Aptos"/>
        </w:rPr>
        <w:tab/>
        <w:t>Europaparlamentet noterar slutsatserna från utvärderingen</w:t>
      </w:r>
      <w:r w:rsidR="004B06CC" w:rsidRPr="004D0537">
        <w:rPr>
          <w:bCs/>
          <w:vertAlign w:val="superscript"/>
        </w:rPr>
        <w:footnoteReference w:id="413"/>
      </w:r>
      <w:r w:rsidR="004B06CC" w:rsidRPr="004D0537">
        <w:rPr>
          <w:rFonts w:eastAsia="Aptos"/>
        </w:rPr>
        <w:t xml:space="preserve"> av Europeiska arbetsmyndigheten, där det betonas att myndigheten behöver förbättra sitt övervakningssystem med hjälp av specifika, mätbara, uppnåeliga, relevanta och tidsbegränsade mål (s.k. SMART-mål) och nyckelprestationsindikator. Parlamentet noterar med oro att frånvaron av sådana utgör ett hinder för bedömningen av kostnadseffektiviteten i myndighetens verksamhet och undergräver kvaliteten på prestationsövervakningen. Parlamentet erkänner att myndigheten kan stärka sitt </w:t>
      </w:r>
      <w:r w:rsidR="004B06CC" w:rsidRPr="004D0537">
        <w:rPr>
          <w:rFonts w:eastAsia="Aptos"/>
        </w:rPr>
        <w:lastRenderedPageBreak/>
        <w:t>övervakningssystem genom att genomföra strukturerade strategier.</w:t>
      </w:r>
    </w:p>
    <w:p w14:paraId="5ED6FCC0" w14:textId="3FDB07DB" w:rsidR="004B06CC" w:rsidRPr="004D0537" w:rsidRDefault="007B6266" w:rsidP="004B06CC">
      <w:pPr>
        <w:spacing w:after="240"/>
        <w:ind w:left="567" w:hanging="567"/>
        <w:rPr>
          <w:bCs/>
        </w:rPr>
      </w:pPr>
      <w:r w:rsidRPr="004D0537">
        <w:rPr>
          <w:rFonts w:eastAsia="Aptos"/>
        </w:rPr>
        <w:t>91</w:t>
      </w:r>
      <w:r w:rsidR="004B06CC" w:rsidRPr="004D0537">
        <w:rPr>
          <w:rFonts w:eastAsia="Aptos"/>
        </w:rPr>
        <w:t>.</w:t>
      </w:r>
      <w:r w:rsidR="004B06CC" w:rsidRPr="004D0537">
        <w:rPr>
          <w:rFonts w:eastAsia="Aptos"/>
        </w:rPr>
        <w:tab/>
        <w:t>Europaparlamentet noterar med oro att Europeiska arbetsmyndigheten fortfarande i alltför hög grad förlitar sig på tillfälligt anställda, utstationerade nationella experter och inhyrd personal för centrala operativa och finansiella funktioner. Parlamentet konstaterar att i slutet av 2022 utgjorde tillfälligt anställda 58 % av myndighetens personal, och trots en liten minskning förblev andelen mycket hög, 47 % i slutet av både 2023 och 2024. Parlamentet noterar vidare att myndigheten, i strid med artikel 41.1 i myndighetens finansiella bestämmelser, använde sig av en tillfällig arbetstagare och en praktikant för att utföra central finansiell verksamhet i samband med budgetgenomförandet mellan november 2022 och mars 2023, en praxis som fortsatte under 2023 och höll i sig under 2024 då en tillfällig arbetstagare fortsatte att användas för viktiga finansiella arbetsuppgifter.</w:t>
      </w:r>
    </w:p>
    <w:p w14:paraId="78AB4057" w14:textId="50C93054" w:rsidR="004B06CC" w:rsidRPr="004D0537" w:rsidRDefault="007B6266" w:rsidP="004B06CC">
      <w:pPr>
        <w:spacing w:after="240"/>
        <w:ind w:left="567" w:hanging="567"/>
        <w:rPr>
          <w:bCs/>
        </w:rPr>
      </w:pPr>
      <w:r w:rsidRPr="004D0537">
        <w:rPr>
          <w:rFonts w:eastAsia="Aptos"/>
        </w:rPr>
        <w:t>92</w:t>
      </w:r>
      <w:r w:rsidR="004B06CC" w:rsidRPr="004D0537">
        <w:rPr>
          <w:rFonts w:eastAsia="Aptos"/>
        </w:rPr>
        <w:t>.</w:t>
      </w:r>
      <w:r w:rsidR="004B06CC" w:rsidRPr="004D0537">
        <w:rPr>
          <w:rFonts w:eastAsia="Aptos"/>
        </w:rPr>
        <w:tab/>
        <w:t>Europaparlamentet noterar den förklaring som Europeiska arbetsmyndighetens verkställande direktör lämnade vid utfrågningen den 1 december 2025 om den strukturellt höga andelen tillfälligt anställda, särskilt utstationerade nationella experter, som för närvarande utgör omkring 42–50 % av myndighetens operativa personal och som är rättsligt förhindrade att utföra kärnfunktioner, vilket skapar en koncentration av ansvarsområden och en högre risk för fel. Parlamentet stöder en justering av tjänsteförteckningen för att ersätta resurser baserade på utstationerade nationella experter med ytterligare tjänster för tillfälligt anställda som tillsätts genom öppna och konkurrensutsatta förfaranden inom det befintliga budgettaket. Arbetsmyndigheten bör vara en förebild när det gäller arbetsrättsliga normer och sträva efter att erbjuda längre kontrakt, vilket skulle vara fördelaktigt för personalen, kontinuiteten i verksamheten och bevarandet av kunskap. Parlamentet uppmanar myndigheten att ytterligare stärka samarbetet med nationella arbetsmarknadsmyndigheter för att undvika dubbelarbete och förbättra informationsutbytet.</w:t>
      </w:r>
    </w:p>
    <w:p w14:paraId="5CD04DB4" w14:textId="514FE334" w:rsidR="004B06CC" w:rsidRPr="004D0537" w:rsidRDefault="007B6266" w:rsidP="004B06CC">
      <w:pPr>
        <w:spacing w:after="240"/>
        <w:ind w:left="567" w:hanging="567"/>
        <w:rPr>
          <w:bCs/>
        </w:rPr>
      </w:pPr>
      <w:r w:rsidRPr="004D0537">
        <w:rPr>
          <w:rFonts w:eastAsia="Aptos"/>
        </w:rPr>
        <w:t>93</w:t>
      </w:r>
      <w:r w:rsidR="004B06CC" w:rsidRPr="004D0537">
        <w:rPr>
          <w:rFonts w:eastAsia="Aptos"/>
        </w:rPr>
        <w:t>.</w:t>
      </w:r>
      <w:r w:rsidR="004B06CC" w:rsidRPr="004D0537">
        <w:rPr>
          <w:rFonts w:eastAsia="Aptos"/>
        </w:rPr>
        <w:tab/>
        <w:t xml:space="preserve">Europaparlamentet uppmärksammar slutsatserna från utvärderingen av EU-byråerna </w:t>
      </w:r>
      <w:proofErr w:type="spellStart"/>
      <w:r w:rsidR="004B06CC" w:rsidRPr="004D0537">
        <w:rPr>
          <w:rFonts w:eastAsia="Aptos"/>
        </w:rPr>
        <w:t>Cedefop</w:t>
      </w:r>
      <w:proofErr w:type="spellEnd"/>
      <w:r w:rsidR="004B06CC" w:rsidRPr="004D0537">
        <w:rPr>
          <w:rFonts w:eastAsia="Aptos"/>
        </w:rPr>
        <w:t>, EU</w:t>
      </w:r>
      <w:r w:rsidR="004B06CC" w:rsidRPr="004D0537">
        <w:rPr>
          <w:rFonts w:eastAsia="Aptos"/>
        </w:rPr>
        <w:noBreakHyphen/>
      </w:r>
      <w:proofErr w:type="spellStart"/>
      <w:r w:rsidR="004B06CC" w:rsidRPr="004D0537">
        <w:rPr>
          <w:rFonts w:eastAsia="Aptos"/>
        </w:rPr>
        <w:t>Osha</w:t>
      </w:r>
      <w:proofErr w:type="spellEnd"/>
      <w:r w:rsidR="004B06CC" w:rsidRPr="004D0537">
        <w:rPr>
          <w:rFonts w:eastAsia="Aptos"/>
        </w:rPr>
        <w:t xml:space="preserve">, </w:t>
      </w:r>
      <w:proofErr w:type="spellStart"/>
      <w:r w:rsidR="004B06CC" w:rsidRPr="004D0537">
        <w:rPr>
          <w:rFonts w:eastAsia="Aptos"/>
        </w:rPr>
        <w:t>Eurofound</w:t>
      </w:r>
      <w:proofErr w:type="spellEnd"/>
      <w:r w:rsidR="004B06CC" w:rsidRPr="004D0537">
        <w:rPr>
          <w:rFonts w:eastAsia="Aptos"/>
        </w:rPr>
        <w:t xml:space="preserve"> och ETF. Det konstaterades vid utvärderingen att det inte fanns någon anledning att ändra slutsatserna från den tidigare utvärderingen från 2019, och att koncentrationsalternativ innebär utmaningar när det gäller att balansera fördelar och nackdelar, samtidigt som effektivitetsförbättringar kan uppnås genom bättre samarbete. Parlamentet betonar behovet av ökat samarbete med kommissionen om gemensamt utbyte med högt värde, såsom </w:t>
      </w:r>
      <w:proofErr w:type="spellStart"/>
      <w:r w:rsidR="004B06CC" w:rsidRPr="004D0537">
        <w:rPr>
          <w:rFonts w:eastAsia="Aptos"/>
        </w:rPr>
        <w:t>Eurofound</w:t>
      </w:r>
      <w:proofErr w:type="spellEnd"/>
      <w:r w:rsidR="004B06CC" w:rsidRPr="004D0537">
        <w:rPr>
          <w:rFonts w:eastAsia="Aptos"/>
        </w:rPr>
        <w:t xml:space="preserve"> och </w:t>
      </w:r>
      <w:proofErr w:type="spellStart"/>
      <w:r w:rsidR="004B06CC" w:rsidRPr="004D0537">
        <w:rPr>
          <w:rFonts w:eastAsia="Aptos"/>
        </w:rPr>
        <w:t>Cedefops</w:t>
      </w:r>
      <w:proofErr w:type="spellEnd"/>
      <w:r w:rsidR="004B06CC" w:rsidRPr="004D0537">
        <w:rPr>
          <w:rFonts w:eastAsia="Aptos"/>
        </w:rPr>
        <w:t xml:space="preserve"> samarbete om Europeiska företagsundersökningen och </w:t>
      </w:r>
      <w:proofErr w:type="spellStart"/>
      <w:r w:rsidR="004B06CC" w:rsidRPr="004D0537">
        <w:rPr>
          <w:rFonts w:eastAsia="Aptos"/>
        </w:rPr>
        <w:t>Cedefop</w:t>
      </w:r>
      <w:proofErr w:type="spellEnd"/>
      <w:r w:rsidR="004B06CC" w:rsidRPr="004D0537">
        <w:rPr>
          <w:rFonts w:eastAsia="Aptos"/>
        </w:rPr>
        <w:t xml:space="preserve"> och ETF:s samstämmighet kring övervakningen av yrkesutbildningspolitiken. Parlamentet konstaterar att det behövs bättre samordning mellan </w:t>
      </w:r>
      <w:proofErr w:type="spellStart"/>
      <w:r w:rsidR="004B06CC" w:rsidRPr="004D0537">
        <w:rPr>
          <w:rFonts w:eastAsia="Aptos"/>
        </w:rPr>
        <w:t>Cedefop</w:t>
      </w:r>
      <w:proofErr w:type="spellEnd"/>
      <w:r w:rsidR="004B06CC" w:rsidRPr="004D0537">
        <w:rPr>
          <w:rFonts w:eastAsia="Aptos"/>
        </w:rPr>
        <w:t xml:space="preserve">, Europeiska arbetsmyndigheten och </w:t>
      </w:r>
      <w:proofErr w:type="spellStart"/>
      <w:r w:rsidR="004B06CC" w:rsidRPr="004D0537">
        <w:rPr>
          <w:rFonts w:eastAsia="Aptos"/>
        </w:rPr>
        <w:t>Eurofound</w:t>
      </w:r>
      <w:proofErr w:type="spellEnd"/>
      <w:r w:rsidR="004B06CC" w:rsidRPr="004D0537">
        <w:rPr>
          <w:rFonts w:eastAsia="Aptos"/>
        </w:rPr>
        <w:t xml:space="preserve"> för att undvika dubbelarbete när det gäller kompetensprognoser och arbetsmarknadsanalyser.</w:t>
      </w:r>
    </w:p>
    <w:p w14:paraId="3E41D539" w14:textId="00CC0FD2" w:rsidR="004B06CC" w:rsidRPr="004D0537" w:rsidRDefault="007B6266" w:rsidP="004B06CC">
      <w:pPr>
        <w:spacing w:after="240"/>
        <w:ind w:left="567" w:hanging="567"/>
        <w:rPr>
          <w:bCs/>
        </w:rPr>
      </w:pPr>
      <w:r w:rsidRPr="004D0537">
        <w:rPr>
          <w:rFonts w:eastAsia="Aptos"/>
        </w:rPr>
        <w:t>94</w:t>
      </w:r>
      <w:r w:rsidR="004B06CC" w:rsidRPr="004D0537">
        <w:rPr>
          <w:rFonts w:eastAsia="Aptos"/>
        </w:rPr>
        <w:t>.</w:t>
      </w:r>
      <w:r w:rsidR="004B06CC" w:rsidRPr="004D0537">
        <w:rPr>
          <w:rFonts w:eastAsia="Aptos"/>
        </w:rPr>
        <w:tab/>
        <w:t>Europaparlamentet konstaterar att övervakningssystemen vid alla byråer, inbegripet SMART-mål och nyckelprestationsindikatorer, bör stärkas för att förbättra prestationsbedömningen och berörda parters deltagande. Parlamentet betonar att dataluckor (särskilt hos ETF), uteblivna prestationsmål och avsaknaden av indikatorer på nationell nivå undergräver ändamålsenligheten. Parlamentet konstaterar att dessa utmaningar kräver fullständigare data, rättsligt tydlig måluppsättning och förbättrade övervakningsramar för att säkerställa omfattande prestationsbedömningar och anpassning till berörda parters behov. Parlamentet betonar vikten av transparenta styrningsstrukturer och skyddsåtgärder för intressekonflikter för att stödja berörda parters förtroende för byråernas arbete.</w:t>
      </w:r>
    </w:p>
    <w:p w14:paraId="7E9DB595" w14:textId="2F879B2B" w:rsidR="004B06CC" w:rsidRPr="004D0537" w:rsidRDefault="007B6266" w:rsidP="004B06CC">
      <w:pPr>
        <w:spacing w:after="240"/>
        <w:ind w:left="567" w:hanging="567"/>
        <w:rPr>
          <w:bCs/>
        </w:rPr>
      </w:pPr>
      <w:r w:rsidRPr="004D0537">
        <w:rPr>
          <w:rFonts w:eastAsia="Aptos"/>
        </w:rPr>
        <w:lastRenderedPageBreak/>
        <w:t>95</w:t>
      </w:r>
      <w:r w:rsidR="004B06CC" w:rsidRPr="004D0537">
        <w:rPr>
          <w:rFonts w:eastAsia="Aptos"/>
        </w:rPr>
        <w:t>.</w:t>
      </w:r>
      <w:r w:rsidR="004B06CC" w:rsidRPr="004D0537">
        <w:rPr>
          <w:rFonts w:eastAsia="Aptos"/>
        </w:rPr>
        <w:tab/>
        <w:t>Europaparlamentet noterar att de fyra byråerna (</w:t>
      </w:r>
      <w:proofErr w:type="spellStart"/>
      <w:r w:rsidR="004B06CC" w:rsidRPr="004D0537">
        <w:rPr>
          <w:rFonts w:eastAsia="Aptos"/>
        </w:rPr>
        <w:t>Cedefop</w:t>
      </w:r>
      <w:proofErr w:type="spellEnd"/>
      <w:r w:rsidR="004B06CC" w:rsidRPr="004D0537">
        <w:rPr>
          <w:rFonts w:eastAsia="Aptos"/>
        </w:rPr>
        <w:t>, EU</w:t>
      </w:r>
      <w:r w:rsidR="004B06CC" w:rsidRPr="004D0537">
        <w:rPr>
          <w:rFonts w:eastAsia="Aptos"/>
        </w:rPr>
        <w:noBreakHyphen/>
      </w:r>
      <w:proofErr w:type="spellStart"/>
      <w:r w:rsidR="004B06CC" w:rsidRPr="004D0537">
        <w:rPr>
          <w:rFonts w:eastAsia="Aptos"/>
        </w:rPr>
        <w:t>Osha</w:t>
      </w:r>
      <w:proofErr w:type="spellEnd"/>
      <w:r w:rsidR="004B06CC" w:rsidRPr="004D0537">
        <w:rPr>
          <w:rFonts w:eastAsia="Aptos"/>
        </w:rPr>
        <w:t xml:space="preserve">, </w:t>
      </w:r>
      <w:proofErr w:type="spellStart"/>
      <w:r w:rsidR="004B06CC" w:rsidRPr="004D0537">
        <w:rPr>
          <w:rFonts w:eastAsia="Aptos"/>
        </w:rPr>
        <w:t>Eurofound</w:t>
      </w:r>
      <w:proofErr w:type="spellEnd"/>
      <w:r w:rsidR="004B06CC" w:rsidRPr="004D0537">
        <w:rPr>
          <w:rFonts w:eastAsia="Aptos"/>
        </w:rPr>
        <w:t xml:space="preserve"> och ETF) har potential att minska den administrativa bördan och förbättra effektiviteten genom delade tjänster</w:t>
      </w:r>
      <w:r w:rsidR="004B06CC" w:rsidRPr="004D0537">
        <w:rPr>
          <w:rFonts w:eastAsia="Aptos"/>
          <w:vertAlign w:val="superscript"/>
        </w:rPr>
        <w:t>20</w:t>
      </w:r>
      <w:r w:rsidR="004B06CC" w:rsidRPr="004D0537">
        <w:rPr>
          <w:rFonts w:eastAsia="Aptos"/>
        </w:rPr>
        <w:t>. Parlamentet betonar att byråerna bör minska de administrativa bördorna för personalen och upprätthålla en hållbar arbetsbörda genom att dela gemensamma tjänster för personalfunktioner, rättsliga funktioner, it-funktioner och tekniska funktioner. Parlamentet påpekar att detta skulle göra det möjligt för byråerna att minska den personal som arbetar med administrativa frågor och öka fokuseringen på kärnverksamheten. Parlamentet uppmanar dessa byråer att i nära samordning med revisionsrätten utarbeta en strukturerad genomförandeplan för delade tjänster med konkreta delmål, för att underlätta ömsesidigt utbyte av bästa praxis och rekommendationer mellan de berörda byråerna och inom hela EUAN, med utgångspunkt i revisionsrättens revisionsresultat och övergripande utvärderingar. Parlamentet uppmanar kommissionen att årligen rapportera till myndigheten som beviljar ansvarsfrihet om de framsteg som gjorts inom ramen för denna plan.</w:t>
      </w:r>
    </w:p>
    <w:p w14:paraId="7076FFAC" w14:textId="00589D17" w:rsidR="007B6266" w:rsidRPr="004D0537" w:rsidRDefault="004B06CC" w:rsidP="004B06CC">
      <w:pPr>
        <w:spacing w:after="240"/>
        <w:ind w:left="567" w:hanging="567"/>
      </w:pPr>
      <w:r w:rsidRPr="004D0537">
        <w:t>9</w:t>
      </w:r>
      <w:r w:rsidR="001725A4" w:rsidRPr="004D0537">
        <w:t>6</w:t>
      </w:r>
      <w:bookmarkStart w:id="10" w:name="_Hlk219817761"/>
      <w:bookmarkStart w:id="11" w:name="_Hlk219801757"/>
      <w:r w:rsidRPr="004D0537">
        <w:t>.</w:t>
      </w:r>
      <w:r w:rsidRPr="004D0537">
        <w:tab/>
      </w:r>
      <w:r w:rsidR="00F86C5B" w:rsidRPr="004D0537">
        <w:rPr>
          <w:szCs w:val="24"/>
          <w:lang w:eastAsia="en-US"/>
        </w:rPr>
        <w:t xml:space="preserve">Europaparlamentet noterar att </w:t>
      </w:r>
      <w:proofErr w:type="spellStart"/>
      <w:r w:rsidR="00F86C5B" w:rsidRPr="004D0537">
        <w:rPr>
          <w:szCs w:val="24"/>
          <w:lang w:eastAsia="en-US"/>
        </w:rPr>
        <w:t>Cedefop</w:t>
      </w:r>
      <w:proofErr w:type="spellEnd"/>
      <w:r w:rsidR="00F86C5B" w:rsidRPr="004D0537">
        <w:rPr>
          <w:szCs w:val="24"/>
          <w:lang w:eastAsia="en-US"/>
        </w:rPr>
        <w:t xml:space="preserve"> har varit inblandat i en rättstvist med en tidigare anställd vars kontrakt inte förlängdes 2017. Parlamentet påminner om att Europeiska unionens tribunal 2020 ogiltigförklarade </w:t>
      </w:r>
      <w:proofErr w:type="spellStart"/>
      <w:r w:rsidR="00F86C5B" w:rsidRPr="004D0537">
        <w:rPr>
          <w:szCs w:val="24"/>
          <w:lang w:eastAsia="en-US"/>
        </w:rPr>
        <w:t>Cedefops</w:t>
      </w:r>
      <w:proofErr w:type="spellEnd"/>
      <w:r w:rsidR="00F86C5B" w:rsidRPr="004D0537">
        <w:rPr>
          <w:szCs w:val="24"/>
          <w:lang w:eastAsia="en-US"/>
        </w:rPr>
        <w:t xml:space="preserve"> beslut och beordrade utbetalning av ekonomisk ersättning, vilket </w:t>
      </w:r>
      <w:proofErr w:type="spellStart"/>
      <w:r w:rsidR="00F86C5B" w:rsidRPr="004D0537">
        <w:rPr>
          <w:szCs w:val="24"/>
          <w:lang w:eastAsia="en-US"/>
        </w:rPr>
        <w:t>Cedefop</w:t>
      </w:r>
      <w:proofErr w:type="spellEnd"/>
      <w:r w:rsidR="00F86C5B" w:rsidRPr="004D0537">
        <w:rPr>
          <w:szCs w:val="24"/>
          <w:lang w:eastAsia="en-US"/>
        </w:rPr>
        <w:t xml:space="preserve"> gjorde. Parlamentet noterar att en efterföljande talan som väckts av den tidigare anställda om verkställandet av domen ogillades av Europeiska unionens tribunal i februari 2024. Parlamentet konstaterar att den tidigare anställda har överklagat domen till Europeiska unionens domstol (mål C-209/24 P) och att den slutliga domen från Europeiska unionens domstol har upphävt domen från Europeiska unionens tribunal av den 7 februari 2024 (T-563/22), ogiltigförklarat beslutet av </w:t>
      </w:r>
      <w:proofErr w:type="spellStart"/>
      <w:r w:rsidR="00F86C5B" w:rsidRPr="004D0537">
        <w:rPr>
          <w:szCs w:val="24"/>
          <w:lang w:eastAsia="en-US"/>
        </w:rPr>
        <w:t>Cedefops</w:t>
      </w:r>
      <w:proofErr w:type="spellEnd"/>
      <w:r w:rsidR="00F86C5B" w:rsidRPr="004D0537">
        <w:rPr>
          <w:szCs w:val="24"/>
          <w:lang w:eastAsia="en-US"/>
        </w:rPr>
        <w:t xml:space="preserve"> verkställande direktör av den 17 december 2021 och beslutet av dess överklagandenämnd av den 17 juni 2022, förpliktat </w:t>
      </w:r>
      <w:proofErr w:type="spellStart"/>
      <w:r w:rsidR="00F86C5B" w:rsidRPr="004D0537">
        <w:rPr>
          <w:szCs w:val="24"/>
          <w:lang w:eastAsia="en-US"/>
        </w:rPr>
        <w:t>Cedefop</w:t>
      </w:r>
      <w:proofErr w:type="spellEnd"/>
      <w:r w:rsidR="00F86C5B" w:rsidRPr="004D0537">
        <w:rPr>
          <w:szCs w:val="24"/>
          <w:lang w:eastAsia="en-US"/>
        </w:rPr>
        <w:t xml:space="preserve"> att betala 15 000 EUR till sökanden som ersättning för ideell skada och att bära alla sökandens kostnader både i första instans och i samband med överklagandet. Parlamentet </w:t>
      </w:r>
      <w:r w:rsidR="00F105EA" w:rsidRPr="004D0537">
        <w:rPr>
          <w:szCs w:val="24"/>
          <w:lang w:eastAsia="en-US"/>
        </w:rPr>
        <w:t>erinrar</w:t>
      </w:r>
      <w:r w:rsidR="00F86C5B" w:rsidRPr="004D0537">
        <w:rPr>
          <w:szCs w:val="24"/>
          <w:lang w:eastAsia="en-US"/>
        </w:rPr>
        <w:t xml:space="preserve"> om att den ursprungliga domen från Europeiska unionens tribunal fann överträdelser av grundläggande förfarandegarantier, inbegripet rätten att bli hörd, rätten till försvar, aktsamhetskravet och principen om god förvaltning. Parlamentet noterar med oro att inget disciplinärt förfarande mot den tidigare verkställande direktören eller andra ansvariga anställda verkar ha inletts till följd av dessa slutsatser. Parlamentet kritiserar den alltför långa beslutsprocessen, även på grund av ett fel från tribunalens sida baserat på information från byrån. Parlamentet betonar att den ideella skadan är direkt hänförlig till </w:t>
      </w:r>
      <w:proofErr w:type="spellStart"/>
      <w:r w:rsidR="00F86C5B" w:rsidRPr="004D0537">
        <w:rPr>
          <w:szCs w:val="24"/>
          <w:lang w:eastAsia="en-US"/>
        </w:rPr>
        <w:t>Cedefops</w:t>
      </w:r>
      <w:proofErr w:type="spellEnd"/>
      <w:r w:rsidR="00F86C5B" w:rsidRPr="004D0537">
        <w:rPr>
          <w:szCs w:val="24"/>
          <w:lang w:eastAsia="en-US"/>
        </w:rPr>
        <w:t xml:space="preserve"> underlåtenhet att på ett korrekt sätt följa domen om ogiltigförklaring utöver enbart utbetalning av ersättning, och att det därför har fastställts att det finns ett orsakssamband mellan </w:t>
      </w:r>
      <w:proofErr w:type="spellStart"/>
      <w:r w:rsidR="00F86C5B" w:rsidRPr="004D0537">
        <w:rPr>
          <w:szCs w:val="24"/>
          <w:lang w:eastAsia="en-US"/>
        </w:rPr>
        <w:t>Cedefops</w:t>
      </w:r>
      <w:proofErr w:type="spellEnd"/>
      <w:r w:rsidR="00F86C5B" w:rsidRPr="004D0537">
        <w:rPr>
          <w:szCs w:val="24"/>
          <w:lang w:eastAsia="en-US"/>
        </w:rPr>
        <w:t xml:space="preserve"> rättsstridiga handlande och skadan. Parlamentet betonar att </w:t>
      </w:r>
      <w:proofErr w:type="spellStart"/>
      <w:r w:rsidR="00F86C5B" w:rsidRPr="004D0537">
        <w:rPr>
          <w:szCs w:val="24"/>
          <w:lang w:eastAsia="en-US"/>
        </w:rPr>
        <w:t>Cedefop</w:t>
      </w:r>
      <w:proofErr w:type="spellEnd"/>
      <w:r w:rsidR="00F86C5B" w:rsidRPr="004D0537">
        <w:rPr>
          <w:szCs w:val="24"/>
          <w:lang w:eastAsia="en-US"/>
        </w:rPr>
        <w:t xml:space="preserve"> nu måste ompröva begäran om förlängning av kontraktet, genomföra förfarandet på nytt utgående från den situation som rådde 2017 och anta ett beslut som ersätter det ogiltigförklarade beslutet. Denna omprövning bör göras i enlighet med det relevanta förfarande som fastställs i tjänsteföreskrifterna och </w:t>
      </w:r>
      <w:proofErr w:type="spellStart"/>
      <w:r w:rsidR="00F86C5B" w:rsidRPr="004D0537">
        <w:rPr>
          <w:szCs w:val="24"/>
          <w:lang w:eastAsia="en-US"/>
        </w:rPr>
        <w:t>Cedefops</w:t>
      </w:r>
      <w:proofErr w:type="spellEnd"/>
      <w:r w:rsidR="00F86C5B" w:rsidRPr="004D0537">
        <w:rPr>
          <w:szCs w:val="24"/>
          <w:lang w:eastAsia="en-US"/>
        </w:rPr>
        <w:t xml:space="preserve"> interna anställningsregler, inbegripet eventuell nödvändig ersättning. Parlamentet kräver att personalrelaterade beslut måste fattas på ett transparent och spårbart sätt, i god tid och på grundval av alla bestämmelser i tjänsteföreskrifterna.</w:t>
      </w:r>
      <w:bookmarkEnd w:id="10"/>
      <w:bookmarkEnd w:id="11"/>
    </w:p>
    <w:p w14:paraId="196AE929" w14:textId="7BFAA682" w:rsidR="004B06CC" w:rsidRPr="004D0537" w:rsidRDefault="007B6266" w:rsidP="004B06CC">
      <w:pPr>
        <w:spacing w:after="240"/>
        <w:ind w:left="567" w:hanging="567"/>
      </w:pPr>
      <w:r w:rsidRPr="004D0537">
        <w:t>97</w:t>
      </w:r>
      <w:r w:rsidR="004B06CC" w:rsidRPr="004D0537">
        <w:t>.</w:t>
      </w:r>
      <w:r w:rsidR="004B06CC" w:rsidRPr="004D0537">
        <w:tab/>
        <w:t>Europaparlamentet noterar revisionsrättens iakttagelse att EU</w:t>
      </w:r>
      <w:r w:rsidR="004B06CC" w:rsidRPr="004D0537">
        <w:noBreakHyphen/>
      </w:r>
      <w:proofErr w:type="spellStart"/>
      <w:r w:rsidR="004B06CC" w:rsidRPr="004D0537">
        <w:t>Osha</w:t>
      </w:r>
      <w:proofErr w:type="spellEnd"/>
      <w:r w:rsidR="004B06CC" w:rsidRPr="004D0537">
        <w:t xml:space="preserve"> betalade för onlinekurser utan tillräcklig kontroll av att de fakturerade timmarna motsvarade utförda tjänster, i strid med artikel 73 i byråns budgetförordning. Parlamentet noterar byråns förtydligande att förhandskontroller utförs rutinmässigt och att detta fall återspeglade ett dokumentationsfel snarare än en kontrollbrist. Parlamentet välkomnar de ytterligare åtgärder som vidtagits för att säkerställa fullständig dokumentation av tillhandahållandet </w:t>
      </w:r>
      <w:r w:rsidR="004B06CC" w:rsidRPr="004D0537">
        <w:lastRenderedPageBreak/>
        <w:t>av tjänster, och betonar vikten av att upprätthålla säkra verifieringskedjor för alla betalningar för att garantera deras laglighet och korrekthet.</w:t>
      </w:r>
    </w:p>
    <w:p w14:paraId="357F9C05" w14:textId="59D2CC46" w:rsidR="004B06CC" w:rsidRPr="004D0537" w:rsidRDefault="007B6266" w:rsidP="004B06CC">
      <w:pPr>
        <w:spacing w:after="240"/>
        <w:ind w:left="567" w:hanging="567"/>
      </w:pPr>
      <w:r w:rsidRPr="004D0537">
        <w:t>98</w:t>
      </w:r>
      <w:r w:rsidR="004B06CC" w:rsidRPr="004D0537">
        <w:t>.</w:t>
      </w:r>
      <w:r w:rsidR="004B06CC" w:rsidRPr="004D0537">
        <w:tab/>
        <w:t>Europaparlamentet konstaterar att 75 % av de arbetsrelaterade cancerfallen är kopplade till asbestexponering och uppmärksammar EU</w:t>
      </w:r>
      <w:r w:rsidR="004B06CC" w:rsidRPr="004D0537">
        <w:noBreakHyphen/>
      </w:r>
      <w:proofErr w:type="spellStart"/>
      <w:r w:rsidR="004B06CC" w:rsidRPr="004D0537">
        <w:t>Oshas</w:t>
      </w:r>
      <w:proofErr w:type="spellEnd"/>
      <w:r w:rsidR="004B06CC" w:rsidRPr="004D0537">
        <w:t xml:space="preserve"> bidrag under 2024 till kommissionens nya riktlinjer om asbest, och uppmuntrar EU</w:t>
      </w:r>
      <w:r w:rsidR="004B06CC" w:rsidRPr="004D0537">
        <w:noBreakHyphen/>
      </w:r>
      <w:proofErr w:type="spellStart"/>
      <w:r w:rsidR="004B06CC" w:rsidRPr="004D0537">
        <w:t>Osha</w:t>
      </w:r>
      <w:proofErr w:type="spellEnd"/>
      <w:r w:rsidR="004B06CC" w:rsidRPr="004D0537">
        <w:t xml:space="preserve"> att fortsätta att anslå personal- och budgetresurser för att bidra till medvetenhet om asbest och metoder för att råda bot på det utbredda asbestproblemet i hela Europa.</w:t>
      </w:r>
    </w:p>
    <w:p w14:paraId="7B91394A" w14:textId="06F38DCC" w:rsidR="004B06CC" w:rsidRPr="004D0537" w:rsidRDefault="007B6266" w:rsidP="004B06CC">
      <w:pPr>
        <w:spacing w:after="240"/>
        <w:ind w:left="567" w:hanging="567"/>
      </w:pPr>
      <w:r w:rsidRPr="004D0537">
        <w:t>99</w:t>
      </w:r>
      <w:r w:rsidR="004B06CC" w:rsidRPr="004D0537">
        <w:t>.</w:t>
      </w:r>
      <w:r w:rsidR="004B06CC" w:rsidRPr="004D0537">
        <w:tab/>
        <w:t>Europaparlamentet påminner om två av ETF:s oriktigheter i samband med upphandling, som revisionsrätten framhöll 2022 och som ledde till oriktiga betalningar 2024. Parlamentet noterar att ETF i ett fall hade tilldelat ett kontrakt på 1 miljon EUR för innehållsstödtjänster till en anbudsgivare som inte hade uppnått tröskelvärdet för ekonomisk omsättning, vilket gjorde kontraktet och tillhörande betalningar (186 175 EUR 2024) oriktiga. Parlamentet noterar att den vinnande anbudsgivaren i ett annat fall, under en öppen upphandling på 4 miljoner EUR för stödtjänster inom landet, inte kunde visa tillräcklig ekonomisk och finansiell kapacitet, vilket ledde till ytterligare felaktiga betalningar (252 714 EUR 2024). Parlamentet noterar vidare att ETF i ett anbudsförfarande 2023 för LAN-infrastruktur i sina lokaler införde överdrivna krav på finansiell kapacitet utan ordentlig motivering, vilket kan ha verkat hindrande på konkurrens. Parlamentet noterar att ETF har medgett dessa problem och sett över sin metod, men insisterar på att ETF måste införa striktare efterlevnadsmekanismer för att förhindra överträdelser av upphandlingsreglerna i framtiden.</w:t>
      </w:r>
    </w:p>
    <w:p w14:paraId="0D4FC50C" w14:textId="489381F5" w:rsidR="004B06CC" w:rsidRPr="004D0537" w:rsidRDefault="007B6266" w:rsidP="004B06CC">
      <w:pPr>
        <w:spacing w:after="240"/>
        <w:ind w:left="567" w:hanging="567"/>
      </w:pPr>
      <w:r w:rsidRPr="004D0537">
        <w:t>100</w:t>
      </w:r>
      <w:r w:rsidR="004B06CC" w:rsidRPr="004D0537">
        <w:t>.</w:t>
      </w:r>
      <w:r w:rsidR="004B06CC" w:rsidRPr="004D0537">
        <w:tab/>
        <w:t>Europaparlamentet är bekymrat över att flera upphandlingsrelaterade iakttagelser från tidigare år kvarstår för både Europeiska arbetsmyndigheten (orsak till uttalandet med reservation 2023 och 2024) och ETF.</w:t>
      </w:r>
    </w:p>
    <w:p w14:paraId="484705E5" w14:textId="77777777" w:rsidR="004B06CC" w:rsidRPr="004D0537" w:rsidRDefault="004B06CC" w:rsidP="004B06CC">
      <w:pPr>
        <w:keepNext/>
        <w:spacing w:after="240"/>
        <w:ind w:left="567" w:hanging="567"/>
        <w:rPr>
          <w:bCs/>
          <w:i/>
          <w:iCs/>
        </w:rPr>
      </w:pPr>
      <w:r w:rsidRPr="004D0537">
        <w:rPr>
          <w:i/>
        </w:rPr>
        <w:t>Rekommendationer</w:t>
      </w:r>
    </w:p>
    <w:p w14:paraId="67BA064B" w14:textId="5DED6C58" w:rsidR="004B06CC" w:rsidRPr="004D0537" w:rsidRDefault="007B6266" w:rsidP="004B06CC">
      <w:pPr>
        <w:spacing w:after="240"/>
        <w:ind w:left="567" w:hanging="567"/>
        <w:rPr>
          <w:bCs/>
        </w:rPr>
      </w:pPr>
      <w:r w:rsidRPr="004D0537">
        <w:t>101</w:t>
      </w:r>
      <w:r w:rsidR="004B06CC" w:rsidRPr="004D0537">
        <w:t>.</w:t>
      </w:r>
      <w:r w:rsidR="004B06CC" w:rsidRPr="004D0537">
        <w:tab/>
        <w:t>Europaparlamentet uppmanar byråerna att vidta åtgärder med anledning av revisionsrättens iakttagelser, särskilt när det gäller följande:</w:t>
      </w:r>
    </w:p>
    <w:p w14:paraId="66905EDC" w14:textId="77777777" w:rsidR="004B06CC" w:rsidRPr="004D0537" w:rsidRDefault="004B06CC" w:rsidP="004B06CC">
      <w:pPr>
        <w:spacing w:after="240"/>
        <w:ind w:left="1134" w:hanging="567"/>
        <w:rPr>
          <w:bCs/>
        </w:rPr>
      </w:pPr>
      <w:r w:rsidRPr="004D0537">
        <w:t>i)</w:t>
      </w:r>
      <w:r w:rsidRPr="004D0537">
        <w:tab/>
        <w:t>Europeiska arbetsmyndigheten ska förbättra sin budgetförvaltning och formalisera en beredskapsplan för lönejusteringar, inbegripet tidig samordning av unionsfinansiering.</w:t>
      </w:r>
    </w:p>
    <w:p w14:paraId="4B94022D" w14:textId="77777777" w:rsidR="004B06CC" w:rsidRPr="004D0537" w:rsidRDefault="004B06CC" w:rsidP="004B06CC">
      <w:pPr>
        <w:spacing w:after="240"/>
        <w:ind w:left="1134" w:hanging="567"/>
        <w:rPr>
          <w:bCs/>
        </w:rPr>
      </w:pPr>
      <w:r w:rsidRPr="004D0537">
        <w:t>ii)</w:t>
      </w:r>
      <w:r w:rsidRPr="004D0537">
        <w:tab/>
        <w:t>Europeiska arbetsmyndigheten, ETF och EU</w:t>
      </w:r>
      <w:r w:rsidRPr="004D0537">
        <w:noBreakHyphen/>
      </w:r>
      <w:proofErr w:type="spellStart"/>
      <w:r w:rsidRPr="004D0537">
        <w:t>Osha</w:t>
      </w:r>
      <w:proofErr w:type="spellEnd"/>
      <w:r w:rsidRPr="004D0537">
        <w:t xml:space="preserve"> ska ytterligare stärka sina system för upphandling och intern kontroll genom att säkerställa att alla betalningar stöds av fullständiga och verifierbara bevis, att kraven på ekonomisk och teknisk kapacitet tillämpas konsekvent och proportionerligt och att förhands- och efterhandskontroller systematiskt dokumenteras.</w:t>
      </w:r>
    </w:p>
    <w:p w14:paraId="0824538A" w14:textId="78624BB9" w:rsidR="004B06CC" w:rsidRPr="004D0537" w:rsidRDefault="004B06CC" w:rsidP="004B06CC">
      <w:pPr>
        <w:spacing w:after="240"/>
        <w:ind w:left="567" w:hanging="567"/>
        <w:rPr>
          <w:bCs/>
        </w:rPr>
      </w:pPr>
      <w:r w:rsidRPr="004D0537">
        <w:t>10</w:t>
      </w:r>
      <w:r w:rsidR="007B6266" w:rsidRPr="004D0537">
        <w:t>2</w:t>
      </w:r>
      <w:r w:rsidRPr="004D0537">
        <w:t>.</w:t>
      </w:r>
      <w:r w:rsidRPr="004D0537">
        <w:tab/>
        <w:t xml:space="preserve">Europaparlamentet uppmanar dessutom </w:t>
      </w:r>
      <w:proofErr w:type="spellStart"/>
      <w:r w:rsidRPr="004D0537">
        <w:t>Cedefop</w:t>
      </w:r>
      <w:proofErr w:type="spellEnd"/>
      <w:r w:rsidRPr="004D0537">
        <w:t>, Europeiska arbetsmyndigheten, ETF, EU-</w:t>
      </w:r>
      <w:proofErr w:type="spellStart"/>
      <w:r w:rsidRPr="004D0537">
        <w:t>Osha</w:t>
      </w:r>
      <w:proofErr w:type="spellEnd"/>
      <w:r w:rsidRPr="004D0537">
        <w:t xml:space="preserve"> och </w:t>
      </w:r>
      <w:proofErr w:type="spellStart"/>
      <w:r w:rsidRPr="004D0537">
        <w:t>Eurofound</w:t>
      </w:r>
      <w:proofErr w:type="spellEnd"/>
      <w:r w:rsidRPr="004D0537">
        <w:t xml:space="preserve"> att</w:t>
      </w:r>
    </w:p>
    <w:p w14:paraId="74A58AC7" w14:textId="77777777" w:rsidR="004B06CC" w:rsidRPr="004D0537" w:rsidRDefault="004B06CC" w:rsidP="004B06CC">
      <w:pPr>
        <w:spacing w:after="240"/>
        <w:ind w:left="1134" w:hanging="567"/>
        <w:rPr>
          <w:bCs/>
        </w:rPr>
      </w:pPr>
      <w:r w:rsidRPr="004D0537">
        <w:t>i)</w:t>
      </w:r>
      <w:r w:rsidRPr="004D0537">
        <w:tab/>
        <w:t>avsevärt stärka sina system för övervakning och prestationsmätning genom att fullt ut integrera SMART-mål och solida, resultatinriktade nyckelprestationsindikatorer, åtgärda dataluckor och anpassa parametrarna till operativa prioriteringar för att öka kostnadseffektiviteten och berörda parters ansvarsskyldighet,</w:t>
      </w:r>
    </w:p>
    <w:p w14:paraId="0DC9F699" w14:textId="77777777" w:rsidR="004B06CC" w:rsidRPr="004D0537" w:rsidRDefault="004B06CC" w:rsidP="004B06CC">
      <w:pPr>
        <w:spacing w:after="240"/>
        <w:ind w:left="1134" w:hanging="567"/>
      </w:pPr>
      <w:r w:rsidRPr="004D0537">
        <w:t>ii)</w:t>
      </w:r>
      <w:r w:rsidRPr="004D0537">
        <w:tab/>
        <w:t xml:space="preserve"> införa strukturerade och enhetliga övervakningsstrategier, säkerställa </w:t>
      </w:r>
      <w:r w:rsidRPr="004D0537">
        <w:lastRenderedPageBreak/>
        <w:t>uppgifternas fullständighet och jämförbarhet mellan rapporteringscyklerna, vid behov fastställa enhetliga indikatorer på nationell nivå och förbättra praxis när det gäller fastställandet av mål, samtidigt som samarbetet mellan byråerna stärks för att undvika dubbelarbete och för ökat evidensbaserat politiskt stöd,</w:t>
      </w:r>
    </w:p>
    <w:p w14:paraId="1805FA44" w14:textId="77777777" w:rsidR="004B06CC" w:rsidRPr="004D0537" w:rsidRDefault="004B06CC" w:rsidP="004B06CC">
      <w:pPr>
        <w:spacing w:after="240"/>
        <w:ind w:left="1134" w:hanging="567"/>
      </w:pPr>
      <w:r w:rsidRPr="004D0537">
        <w:t>iii)</w:t>
      </w:r>
      <w:r w:rsidRPr="004D0537">
        <w:tab/>
        <w:t>intensifiera insatserna för en strukturerad modell med delade tjänster som omfattar personaladministrativt, rättsligt, IKT-relaterat, administrativt och tekniskt stöd för att öka synergieffekterna, minska de administrativa bördorna, säkerställa hållbar arbetsbelastning och frigöra personal för kärnverksamhet. Parlamentet inser att detta kommer att kräva en noggrann strategi eftersom byråerna är belägna i olika regioner, nämligen städerna Thessaloniki, Bratislava, Turin, Bilbao respektive Dublin.</w:t>
      </w:r>
    </w:p>
    <w:p w14:paraId="72A3710E" w14:textId="6DFFFDA7" w:rsidR="00F86C5B" w:rsidRPr="004D0537" w:rsidRDefault="001725A4" w:rsidP="004B06CC">
      <w:pPr>
        <w:spacing w:after="240"/>
        <w:ind w:left="1134" w:hanging="567"/>
        <w:rPr>
          <w:bCs/>
          <w:iCs/>
          <w:szCs w:val="24"/>
          <w:lang w:eastAsia="en-US"/>
        </w:rPr>
      </w:pPr>
      <w:r w:rsidRPr="004D0537">
        <w:rPr>
          <w:bCs/>
          <w:iCs/>
          <w:szCs w:val="24"/>
          <w:lang w:eastAsia="en-US"/>
        </w:rPr>
        <w:t>iv</w:t>
      </w:r>
      <w:r w:rsidR="00F86C5B" w:rsidRPr="004D0537">
        <w:rPr>
          <w:bCs/>
          <w:iCs/>
          <w:szCs w:val="24"/>
          <w:lang w:eastAsia="en-US"/>
        </w:rPr>
        <w:t>)</w:t>
      </w:r>
      <w:r w:rsidR="00F86C5B" w:rsidRPr="004D0537">
        <w:rPr>
          <w:bCs/>
          <w:iCs/>
          <w:szCs w:val="24"/>
          <w:lang w:eastAsia="en-US"/>
        </w:rPr>
        <w:tab/>
        <w:t xml:space="preserve">Europaparlamentet uppmanar med kraft </w:t>
      </w:r>
      <w:proofErr w:type="spellStart"/>
      <w:r w:rsidR="00F86C5B" w:rsidRPr="004D0537">
        <w:rPr>
          <w:bCs/>
          <w:iCs/>
          <w:szCs w:val="24"/>
          <w:lang w:eastAsia="en-US"/>
        </w:rPr>
        <w:t>Cedefop</w:t>
      </w:r>
      <w:proofErr w:type="spellEnd"/>
      <w:r w:rsidR="00F86C5B" w:rsidRPr="004D0537">
        <w:rPr>
          <w:bCs/>
          <w:iCs/>
          <w:szCs w:val="24"/>
          <w:lang w:eastAsia="en-US"/>
        </w:rPr>
        <w:t xml:space="preserve"> att anta ett ersättningsbeslut som fullt ut genomför Europeiska unionens domstols dom av den 12 mars 2026, i enlighet med tjänsteföreskrifterna, relevanta interna förfaranden och regler samt rättigheterna för anställda som ansöker om förlängning av sitt kontrakt. Parlamentet betonar det akuta behovet av att undvika ytterligare förfaranden och ytterligare finansiella kostnader för byrån. Parlamentet uppmanar </w:t>
      </w:r>
      <w:proofErr w:type="spellStart"/>
      <w:r w:rsidR="00F86C5B" w:rsidRPr="004D0537">
        <w:rPr>
          <w:bCs/>
          <w:iCs/>
          <w:szCs w:val="24"/>
          <w:lang w:eastAsia="en-US"/>
        </w:rPr>
        <w:t>Cedefop</w:t>
      </w:r>
      <w:proofErr w:type="spellEnd"/>
      <w:r w:rsidR="00F86C5B" w:rsidRPr="004D0537">
        <w:rPr>
          <w:bCs/>
          <w:iCs/>
          <w:szCs w:val="24"/>
          <w:lang w:eastAsia="en-US"/>
        </w:rPr>
        <w:t xml:space="preserve"> att lägga fram en handlingsplan som skulle omfatta i) hur beslutsförfarandet enligt den situation som rådde 2017 kommer att genomföras, inklusive en tidslinje, ii) hur </w:t>
      </w:r>
      <w:proofErr w:type="spellStart"/>
      <w:r w:rsidR="00F86C5B" w:rsidRPr="004D0537">
        <w:rPr>
          <w:bCs/>
          <w:iCs/>
          <w:szCs w:val="24"/>
          <w:lang w:eastAsia="en-US"/>
        </w:rPr>
        <w:t>Cedefop</w:t>
      </w:r>
      <w:proofErr w:type="spellEnd"/>
      <w:r w:rsidR="00F86C5B" w:rsidRPr="004D0537">
        <w:rPr>
          <w:bCs/>
          <w:iCs/>
          <w:szCs w:val="24"/>
          <w:lang w:eastAsia="en-US"/>
        </w:rPr>
        <w:t xml:space="preserve"> avser att </w:t>
      </w:r>
      <w:r w:rsidR="00BD1F8B" w:rsidRPr="004D0537">
        <w:rPr>
          <w:bCs/>
          <w:iCs/>
          <w:szCs w:val="24"/>
          <w:lang w:eastAsia="en-US"/>
        </w:rPr>
        <w:t>säkerställa</w:t>
      </w:r>
      <w:r w:rsidR="00F86C5B" w:rsidRPr="004D0537">
        <w:rPr>
          <w:bCs/>
          <w:iCs/>
          <w:szCs w:val="24"/>
          <w:lang w:eastAsia="en-US"/>
        </w:rPr>
        <w:t xml:space="preserve"> att bestämmelserna i tjänsteföreskrifterna, interna förfaranden och alla rättigheter för en anställd efterlevs, iii) vilken typ av ersättning som kommer att betalas och av vilka skäl, iv) vilken typ av ändringar </w:t>
      </w:r>
      <w:proofErr w:type="spellStart"/>
      <w:r w:rsidR="00F86C5B" w:rsidRPr="004D0537">
        <w:rPr>
          <w:bCs/>
          <w:iCs/>
          <w:szCs w:val="24"/>
          <w:lang w:eastAsia="en-US"/>
        </w:rPr>
        <w:t>Cedefop</w:t>
      </w:r>
      <w:proofErr w:type="spellEnd"/>
      <w:r w:rsidR="00F86C5B" w:rsidRPr="004D0537">
        <w:rPr>
          <w:bCs/>
          <w:iCs/>
          <w:szCs w:val="24"/>
          <w:lang w:eastAsia="en-US"/>
        </w:rPr>
        <w:t xml:space="preserve"> har genomfört eller planerar för att förbättra förfarandena vid anställning eller förlängning av anställningskontrakt, v) att beskriva alla typer av kostnader som uppkommit under hela rättstvisten sedan 2017 och att rapportera tillbaka till den ansvarsfrihetsbeviljande myndigheten om framstegen i genomförandet senast i början av september.</w:t>
      </w:r>
    </w:p>
    <w:p w14:paraId="09A34A81" w14:textId="1BCBD882" w:rsidR="00F86C5B" w:rsidRPr="004D0537" w:rsidRDefault="001725A4" w:rsidP="004B06CC">
      <w:pPr>
        <w:spacing w:after="240"/>
        <w:ind w:left="1134" w:hanging="567"/>
        <w:rPr>
          <w:bCs/>
          <w:iCs/>
        </w:rPr>
      </w:pPr>
      <w:r w:rsidRPr="004D0537">
        <w:rPr>
          <w:bCs/>
          <w:iCs/>
        </w:rPr>
        <w:t>v</w:t>
      </w:r>
      <w:r w:rsidR="00F86C5B" w:rsidRPr="004D0537">
        <w:rPr>
          <w:bCs/>
          <w:iCs/>
        </w:rPr>
        <w:t>)</w:t>
      </w:r>
      <w:r w:rsidR="00F86C5B" w:rsidRPr="004D0537">
        <w:rPr>
          <w:bCs/>
          <w:iCs/>
        </w:rPr>
        <w:tab/>
        <w:t>stärka sin personalpolitik för att minska det alltför stora beroendet av tillfällig personal, tillfälligt anställda och praktikanter, särskilt för kärnfunktioner och kontinuerliga funktioner. Parlamentet betonar att strukturellt osäker anställning kan leda till ökad arbetsbelastning, sämre handledning och utbildning och bidrar inte till hälsosamma, säkra och stabila arbetsvillkor. Parlamentet uppmanar byråerna att säkerställa att permanenta behov i första hand tillgodoses genom adekvat utbildad ordinarie personal, att tillhandahålla mer långsiktiga och stabila sysselsättningsutsikter när så är lämpligt och att säkerställa att praktikanter inte används för att kompensera för strukturell personalbrist eller för att utföra kärnfunktioner.</w:t>
      </w:r>
    </w:p>
    <w:p w14:paraId="385EBC66" w14:textId="77777777" w:rsidR="004B06CC" w:rsidRPr="004D0537" w:rsidRDefault="004B06CC" w:rsidP="004B06CC">
      <w:pPr>
        <w:spacing w:after="240"/>
        <w:ind w:left="567" w:hanging="567"/>
        <w:rPr>
          <w:b/>
          <w:bCs/>
          <w:i/>
          <w:iCs/>
        </w:rPr>
      </w:pPr>
      <w:r w:rsidRPr="004D0537">
        <w:rPr>
          <w:b/>
          <w:i/>
        </w:rPr>
        <w:t>Byråer inom området hälsa och livsmedelssäkerhet</w:t>
      </w:r>
      <w:r w:rsidRPr="004D0537">
        <w:rPr>
          <w:b/>
          <w:bCs/>
          <w:i/>
          <w:iCs/>
          <w:vertAlign w:val="superscript"/>
        </w:rPr>
        <w:footnoteReference w:id="414"/>
      </w:r>
    </w:p>
    <w:p w14:paraId="256E69A7" w14:textId="10B2DCD7" w:rsidR="004B06CC" w:rsidRPr="004D0537" w:rsidRDefault="001725A4" w:rsidP="004B06CC">
      <w:pPr>
        <w:spacing w:after="240"/>
        <w:ind w:left="567" w:hanging="567"/>
      </w:pPr>
      <w:r w:rsidRPr="004D0537">
        <w:t>103</w:t>
      </w:r>
      <w:r w:rsidR="004B06CC" w:rsidRPr="004D0537">
        <w:t>.</w:t>
      </w:r>
      <w:r w:rsidR="004B06CC" w:rsidRPr="004D0537">
        <w:tab/>
        <w:t xml:space="preserve">Europaparlamentet noterar med oro att frågan om EMA:s tidigare lokaler i London kvarstår, med betydande finansiella och operativa utmaningar. Parlamentet är medvetet om att myndigheten, trots omlokaliseringen på grund av </w:t>
      </w:r>
      <w:proofErr w:type="spellStart"/>
      <w:r w:rsidR="004B06CC" w:rsidRPr="004D0537">
        <w:t>brexit</w:t>
      </w:r>
      <w:proofErr w:type="spellEnd"/>
      <w:r w:rsidR="004B06CC" w:rsidRPr="004D0537">
        <w:t xml:space="preserve">, fortfarande är ekonomiskt ansvarig för dessa lokaler, en situation som förvärrats av andrahandshyresgästens osäkra finansiella ställning efter att </w:t>
      </w:r>
      <w:proofErr w:type="spellStart"/>
      <w:r w:rsidR="004B06CC" w:rsidRPr="004D0537">
        <w:t>WeWorks</w:t>
      </w:r>
      <w:proofErr w:type="spellEnd"/>
      <w:r w:rsidR="004B06CC" w:rsidRPr="004D0537">
        <w:t xml:space="preserve"> moderbolag gick i konkurs i november 2023. Den maximala exponeringen, inklusive den kommunala skatt som EMA skulle behöva betala om lokalerna står tomma för återstoden av </w:t>
      </w:r>
      <w:r w:rsidR="004B06CC" w:rsidRPr="004D0537">
        <w:lastRenderedPageBreak/>
        <w:t>hyresavtalet, uppgår till 543 miljoner EUR.</w:t>
      </w:r>
    </w:p>
    <w:p w14:paraId="17D7E1EB" w14:textId="2493E4BD" w:rsidR="004B06CC" w:rsidRPr="004D0537" w:rsidRDefault="004B06CC" w:rsidP="004B06CC">
      <w:pPr>
        <w:spacing w:after="240"/>
        <w:ind w:left="567" w:hanging="567"/>
      </w:pPr>
      <w:r w:rsidRPr="004D0537">
        <w:t>10</w:t>
      </w:r>
      <w:r w:rsidR="007B6266" w:rsidRPr="004D0537">
        <w:t>4</w:t>
      </w:r>
      <w:r w:rsidRPr="004D0537">
        <w:t>.</w:t>
      </w:r>
      <w:r w:rsidRPr="004D0537">
        <w:tab/>
        <w:t xml:space="preserve">Europaparlamentet noterar att EMA </w:t>
      </w:r>
      <w:r w:rsidR="00F27777">
        <w:t>i</w:t>
      </w:r>
      <w:r w:rsidRPr="004D0537">
        <w:t> oktober 2024, i enlighet med de diskussioner som förts med unionens budgetmyndigheter och med den egna hyresvärdens medgivande, samtyckte till en ändring av det befintliga andrahandskontraktet med andrahandshyresgästen i form av en hyresnedsättning, men där serviceavgifter och hyresvärdens försäkring fortfarande skulle betalas i sin helhet. Ändringen innehöll bestämmelser om att antingen EMA eller andrahandshyresgästen kunde säga upp andrahandsuthyrningen i förtid, dvs. före kontraktets planerade utgångsdatum i juni 2039, på vissa villkor. I detta avseende gjorde EMA en avsättning för ett förlustavtal till ett redovisat värde om 122,1 miljoner EUR per den 31 december 2024. Under 2024 fick EMA en ersättning från kommissionen på 11,2 miljoner EUR som har redovisats som intäkter. Parlamentet lovordar EMA:s proaktiva åtgärder och försiktighetsåtgärder för att minska en del av den ekonomiska bördan till följd av denna sak.</w:t>
      </w:r>
    </w:p>
    <w:p w14:paraId="5002BB54" w14:textId="75F1559A" w:rsidR="004B06CC" w:rsidRPr="004D0537" w:rsidRDefault="004B06CC" w:rsidP="004B06CC">
      <w:pPr>
        <w:spacing w:after="240"/>
        <w:ind w:left="567" w:hanging="567"/>
      </w:pPr>
      <w:r w:rsidRPr="004D0537">
        <w:t>10</w:t>
      </w:r>
      <w:r w:rsidR="007B6266" w:rsidRPr="004D0537">
        <w:t>5</w:t>
      </w:r>
      <w:r w:rsidRPr="004D0537">
        <w:t>.</w:t>
      </w:r>
      <w:r w:rsidRPr="004D0537">
        <w:tab/>
        <w:t>Europaparlamentet framhåller att när EMA utfärdade sina räkenskaper hade andrahandshyresgästen uppfyllt sina avtalsenliga skyldigheter, och betalat hyra och serviceavgifter för perioden fram till den 30 juni 2025.</w:t>
      </w:r>
    </w:p>
    <w:p w14:paraId="13D95FE2" w14:textId="466DF958" w:rsidR="004B06CC" w:rsidRPr="004D0537" w:rsidRDefault="004B06CC" w:rsidP="004B06CC">
      <w:pPr>
        <w:spacing w:after="240"/>
        <w:ind w:left="567" w:hanging="567"/>
      </w:pPr>
      <w:r w:rsidRPr="004D0537">
        <w:t>10</w:t>
      </w:r>
      <w:r w:rsidR="007B6266" w:rsidRPr="004D0537">
        <w:t>6</w:t>
      </w:r>
      <w:r w:rsidRPr="004D0537">
        <w:t>.</w:t>
      </w:r>
      <w:r w:rsidRPr="004D0537">
        <w:tab/>
        <w:t>Europaparlamentet uttrycker sitt stöd för EMA:s styrelses begäran om att lösa denna fråga på högsta politiska nivå, så att EMA kan koncentrera sina resurser på sitt formella mandat och ta itu med folkhälsoprioriteringar i hela unionen.</w:t>
      </w:r>
    </w:p>
    <w:p w14:paraId="154016D4" w14:textId="04037D50" w:rsidR="004B06CC" w:rsidRPr="004D0537" w:rsidRDefault="004B06CC" w:rsidP="004B06CC">
      <w:pPr>
        <w:spacing w:after="240"/>
        <w:ind w:left="567" w:hanging="567"/>
      </w:pPr>
      <w:r w:rsidRPr="004D0537">
        <w:t>10</w:t>
      </w:r>
      <w:r w:rsidR="007B6266" w:rsidRPr="004D0537">
        <w:t>7</w:t>
      </w:r>
      <w:r w:rsidRPr="004D0537">
        <w:t>.</w:t>
      </w:r>
      <w:r w:rsidRPr="004D0537">
        <w:tab/>
        <w:t>Europaparlamentet påminner om två av EMA:s oriktigheter i samband med upphandling, som revisionsrätten lyfte fram 2020 och som ledde till oriktiga betalningar 2024. Parlamentet noterar att EMA överskred budgettaken för flera it-ramavtal, med ökningar på mellan 77 % och 124 %, i strid med artikel 172.3 a iii i budgetförordningen, vilket ledde till oriktiga betalningar på 3,1 miljoner EUR 2024. Parlamentet noterar EMA:s svar att ökningarna var nödvändiga för att tillgodose exceptionella operativa behov till följd av oförutsedd utveckling avseende lagstiftning och folkhälsa, och att alla avtalsändringar införts i registret över avvikelser.</w:t>
      </w:r>
    </w:p>
    <w:p w14:paraId="56B87F8E" w14:textId="14EB1F76" w:rsidR="004B06CC" w:rsidRPr="004D0537" w:rsidRDefault="004B06CC" w:rsidP="004B06CC">
      <w:pPr>
        <w:spacing w:after="240"/>
        <w:ind w:left="567" w:hanging="567"/>
      </w:pPr>
      <w:r w:rsidRPr="004D0537">
        <w:t>10</w:t>
      </w:r>
      <w:r w:rsidR="007B6266" w:rsidRPr="004D0537">
        <w:t>8</w:t>
      </w:r>
      <w:r w:rsidRPr="004D0537">
        <w:t>.</w:t>
      </w:r>
      <w:r w:rsidRPr="004D0537">
        <w:tab/>
        <w:t xml:space="preserve">Europaparlamentet uppmärksammar kommissionens genomförandebeslut av den 28 juni 2024 om återkallande av kommissionens beslut C(2018)4831 om att i enlighet med förordning (EG) nr 726/2004 avslå ansökan om godkännande för försäljning av humanläkemedlet </w:t>
      </w:r>
      <w:proofErr w:type="spellStart"/>
      <w:r w:rsidRPr="004D0537">
        <w:t>Aplidin</w:t>
      </w:r>
      <w:proofErr w:type="spellEnd"/>
      <w:r w:rsidRPr="004D0537">
        <w:t xml:space="preserve"> (</w:t>
      </w:r>
      <w:proofErr w:type="spellStart"/>
      <w:r w:rsidRPr="004D0537">
        <w:t>plitidepsin</w:t>
      </w:r>
      <w:proofErr w:type="spellEnd"/>
      <w:r w:rsidRPr="004D0537">
        <w:t>). Återkallandet grundades på att en intressekonflikt konstaterats, dvs. att en av de vetenskapliga rådgivare som deltog i den rådgivande gruppen spelat en aktiv roll i utvecklingen av ett konkurrerande läkemedel, en omständighet som borde ha uteslutit vederbörandes deltagande enligt principen om objektiv opartiskhet. Parlamentet betonar att EMA avsevärt har stärkt sin policy för hantering av konkurrerande intressen för ledamöter i vetenskapliga kommittéer och experter, och att den antogs av EMA:s styrelse i december 2024 och trädde i kraft den 1 maj 2025.</w:t>
      </w:r>
    </w:p>
    <w:p w14:paraId="7F0261CB" w14:textId="1B22AA97" w:rsidR="004B06CC" w:rsidRPr="004D0537" w:rsidRDefault="004B06CC" w:rsidP="004B06CC">
      <w:pPr>
        <w:spacing w:after="240"/>
        <w:ind w:left="567" w:hanging="567"/>
      </w:pPr>
      <w:r w:rsidRPr="004D0537">
        <w:t>10</w:t>
      </w:r>
      <w:r w:rsidR="007B6266" w:rsidRPr="004D0537">
        <w:t>9</w:t>
      </w:r>
      <w:r w:rsidRPr="004D0537">
        <w:t>.</w:t>
      </w:r>
      <w:r w:rsidRPr="004D0537">
        <w:tab/>
        <w:t xml:space="preserve">Europaparlamentet lovordar EMA:s arbete med att åtgärda läkemedelsbristen när det gäller antibiotikumet </w:t>
      </w:r>
      <w:proofErr w:type="spellStart"/>
      <w:r w:rsidRPr="004D0537">
        <w:t>amoxicillin</w:t>
      </w:r>
      <w:proofErr w:type="spellEnd"/>
      <w:r w:rsidRPr="004D0537">
        <w:t xml:space="preserve"> i Europa och samarbetet med den nationella läkemedelsmyndigheten för att lösa bristen, vilket ledde till att </w:t>
      </w:r>
      <w:proofErr w:type="spellStart"/>
      <w:r w:rsidRPr="004D0537">
        <w:t>amoxicillin</w:t>
      </w:r>
      <w:proofErr w:type="spellEnd"/>
      <w:r w:rsidRPr="004D0537">
        <w:t xml:space="preserve"> ströks från förteckningen över restnoterade läkemedel 2024. Parlamentet uppmuntrar EMA att fortsätta att använda personal- och budgetresurser för liknande mål.</w:t>
      </w:r>
    </w:p>
    <w:p w14:paraId="196EA894" w14:textId="1BF72997" w:rsidR="004B06CC" w:rsidRPr="004D0537" w:rsidRDefault="004B06CC" w:rsidP="004B06CC">
      <w:pPr>
        <w:spacing w:after="240"/>
        <w:ind w:left="567" w:hanging="567"/>
      </w:pPr>
      <w:r w:rsidRPr="004D0537">
        <w:t>1</w:t>
      </w:r>
      <w:r w:rsidR="007B6266" w:rsidRPr="004D0537">
        <w:t>10</w:t>
      </w:r>
      <w:r w:rsidRPr="004D0537">
        <w:t>.</w:t>
      </w:r>
      <w:r w:rsidRPr="004D0537">
        <w:tab/>
        <w:t xml:space="preserve">Europaparlamentet noterar att revisionsrätten i sin särskilda rapport 12/2024 </w:t>
      </w:r>
      <w:r w:rsidRPr="004D0537">
        <w:lastRenderedPageBreak/>
        <w:t>rekommenderade EMA att fortsätta att arbeta för att göra sin kommunikation lättillgänglig för allmänheten, så att allmänheten får en bättre inblick i hur denna myndighet använder unionens medel.</w:t>
      </w:r>
    </w:p>
    <w:p w14:paraId="4545E4BF" w14:textId="74034B50" w:rsidR="004B06CC" w:rsidRPr="004D0537" w:rsidRDefault="004B06CC" w:rsidP="004B06CC">
      <w:pPr>
        <w:spacing w:after="240"/>
        <w:ind w:left="567" w:hanging="567"/>
      </w:pPr>
      <w:r w:rsidRPr="004D0537">
        <w:t>11</w:t>
      </w:r>
      <w:r w:rsidR="007B6266" w:rsidRPr="004D0537">
        <w:t>1</w:t>
      </w:r>
      <w:r w:rsidRPr="004D0537">
        <w:t>.</w:t>
      </w:r>
      <w:r w:rsidRPr="004D0537">
        <w:tab/>
        <w:t>Europaparlamentet noterar att revisionsrätten i sin särskilda rapport från december 2024 rekommenderade EMA att samordna med ECDC och Hera för att förbättra pandemiberedskapen genom tydligare roller, effektivare användning av unionsmedel och översyn av de verktyg, förfaranden och riktlinjer som utvecklats under pandemin för att fastställa vilka som bör behållas eller anpassas i linje med den vetenskapliga och tekniska utvecklingen, och efterlyser tillräckliga resurser för att stödja denna insats.</w:t>
      </w:r>
    </w:p>
    <w:p w14:paraId="256548F5" w14:textId="3D6D2483" w:rsidR="004B06CC" w:rsidRPr="004D0537" w:rsidRDefault="004B06CC" w:rsidP="004B06CC">
      <w:pPr>
        <w:spacing w:after="240"/>
        <w:ind w:left="567" w:hanging="567"/>
      </w:pPr>
      <w:r w:rsidRPr="004D0537">
        <w:t>11</w:t>
      </w:r>
      <w:r w:rsidR="007B6266" w:rsidRPr="004D0537">
        <w:t>2</w:t>
      </w:r>
      <w:r w:rsidRPr="004D0537">
        <w:t>.</w:t>
      </w:r>
      <w:r w:rsidRPr="004D0537">
        <w:tab/>
        <w:t>Europaparlamentet betonar att EMA bland annat har uppmärksammat den pågående bristen på kritiska läkemedel i medlemsstaterna i Europeiska unionen och EES, inbegripet viktiga cancerläkemedel (</w:t>
      </w:r>
      <w:proofErr w:type="spellStart"/>
      <w:r w:rsidRPr="004D0537">
        <w:t>fludarabin</w:t>
      </w:r>
      <w:proofErr w:type="spellEnd"/>
      <w:r w:rsidRPr="004D0537">
        <w:t xml:space="preserve">, </w:t>
      </w:r>
      <w:proofErr w:type="spellStart"/>
      <w:r w:rsidRPr="004D0537">
        <w:t>vindesin</w:t>
      </w:r>
      <w:proofErr w:type="spellEnd"/>
      <w:r w:rsidRPr="004D0537">
        <w:t xml:space="preserve">, </w:t>
      </w:r>
      <w:proofErr w:type="spellStart"/>
      <w:r w:rsidRPr="004D0537">
        <w:t>fluorouracil</w:t>
      </w:r>
      <w:proofErr w:type="spellEnd"/>
      <w:r w:rsidRPr="004D0537">
        <w:t xml:space="preserve">, </w:t>
      </w:r>
      <w:proofErr w:type="spellStart"/>
      <w:r w:rsidRPr="004D0537">
        <w:t>cisplatin</w:t>
      </w:r>
      <w:proofErr w:type="spellEnd"/>
      <w:r w:rsidRPr="004D0537">
        <w:t xml:space="preserve">, </w:t>
      </w:r>
      <w:proofErr w:type="spellStart"/>
      <w:r w:rsidRPr="004D0537">
        <w:t>topotekan</w:t>
      </w:r>
      <w:proofErr w:type="spellEnd"/>
      <w:r w:rsidRPr="004D0537">
        <w:t xml:space="preserve">, </w:t>
      </w:r>
      <w:proofErr w:type="spellStart"/>
      <w:r w:rsidRPr="004D0537">
        <w:t>metotrexat</w:t>
      </w:r>
      <w:proofErr w:type="spellEnd"/>
      <w:r w:rsidRPr="004D0537">
        <w:t xml:space="preserve">) för leukemi, lymfom, äggstockscancer och småcellscancer i lungorna, samt nödvändiga diabetesbehandlingar (olika former av insulin, </w:t>
      </w:r>
      <w:proofErr w:type="spellStart"/>
      <w:r w:rsidRPr="004D0537">
        <w:t>liraglutid</w:t>
      </w:r>
      <w:proofErr w:type="spellEnd"/>
      <w:r w:rsidRPr="004D0537">
        <w:t xml:space="preserve">, </w:t>
      </w:r>
      <w:proofErr w:type="spellStart"/>
      <w:r w:rsidRPr="004D0537">
        <w:t>dulaglutid</w:t>
      </w:r>
      <w:proofErr w:type="spellEnd"/>
      <w:r w:rsidRPr="004D0537">
        <w:t>) som behövs för hanteringen av typ 1- och typ 2-diabetes.</w:t>
      </w:r>
    </w:p>
    <w:p w14:paraId="39ACA31D" w14:textId="1F1E9786" w:rsidR="004B06CC" w:rsidRPr="004D0537" w:rsidRDefault="004B06CC" w:rsidP="004B06CC">
      <w:pPr>
        <w:spacing w:after="240"/>
        <w:ind w:left="567" w:hanging="567"/>
      </w:pPr>
      <w:r w:rsidRPr="004D0537">
        <w:t>11</w:t>
      </w:r>
      <w:r w:rsidR="007B6266" w:rsidRPr="004D0537">
        <w:t>3</w:t>
      </w:r>
      <w:r w:rsidRPr="004D0537">
        <w:t>.</w:t>
      </w:r>
      <w:r w:rsidRPr="004D0537">
        <w:tab/>
        <w:t xml:space="preserve">Europaparlamentet uttrycker allvarlig oro över de upprepade överträdelser av budgetförordningen som identifierats i </w:t>
      </w:r>
      <w:proofErr w:type="spellStart"/>
      <w:r w:rsidRPr="004D0537">
        <w:t>EUDA:s</w:t>
      </w:r>
      <w:proofErr w:type="spellEnd"/>
      <w:r w:rsidRPr="004D0537">
        <w:t xml:space="preserve"> upphandlingsförfaranden, och noterar de fem oriktigheter som revisionsrätten påpekade 2024. Parlamentet betonar att dessa oriktigheter omfattar</w:t>
      </w:r>
    </w:p>
    <w:p w14:paraId="2EFA6DA5" w14:textId="77777777" w:rsidR="004B06CC" w:rsidRPr="004D0537" w:rsidRDefault="004B06CC" w:rsidP="004B06CC">
      <w:pPr>
        <w:spacing w:after="240"/>
        <w:ind w:left="1134" w:hanging="567"/>
      </w:pPr>
      <w:r w:rsidRPr="004D0537">
        <w:t>–</w:t>
      </w:r>
      <w:r w:rsidRPr="004D0537">
        <w:tab/>
        <w:t>otillåten uppdelning av kontrakt och felaktig användning av förhandlade förfaranden utan motivering för tre kontrakt avseende ett evenemang i Lissabon (lokalhyra och catering, totalt 210 668 EUR), såväl som brist på viktig dokumentation och bristande efterlevnad av kraven på offentliggörande av upphandling,</w:t>
      </w:r>
    </w:p>
    <w:p w14:paraId="584D322D" w14:textId="77777777" w:rsidR="004B06CC" w:rsidRPr="004D0537" w:rsidRDefault="004B06CC" w:rsidP="004B06CC">
      <w:pPr>
        <w:spacing w:after="240"/>
        <w:ind w:left="1134" w:hanging="567"/>
      </w:pPr>
      <w:r w:rsidRPr="004D0537">
        <w:t>–</w:t>
      </w:r>
      <w:r w:rsidRPr="004D0537">
        <w:tab/>
        <w:t>allvarliga brister i ett kontrakt på 410 000 EUR för ett rapporteringssystem för narkotikahandel, inbegripet avsaknad av korrekta anbudsspecifikationer, tilldelningskriterier och en utvärderingskommitté, vilket gör både kontraktet och dess betalning på 60 000 EUR oriktiga,</w:t>
      </w:r>
    </w:p>
    <w:p w14:paraId="248ABD05" w14:textId="77777777" w:rsidR="004B06CC" w:rsidRPr="004D0537" w:rsidRDefault="004B06CC" w:rsidP="004B06CC">
      <w:pPr>
        <w:spacing w:after="240"/>
        <w:ind w:left="1134" w:hanging="567"/>
      </w:pPr>
      <w:r w:rsidRPr="004D0537">
        <w:t>–</w:t>
      </w:r>
      <w:r w:rsidRPr="004D0537">
        <w:tab/>
        <w:t xml:space="preserve">oskäligt höga betalningar på 14 007 EUR som överskrider det överenskomna kontraktsvärdet för invigningsceremonier, i strid med artikel 73 i </w:t>
      </w:r>
      <w:proofErr w:type="spellStart"/>
      <w:r w:rsidRPr="004D0537">
        <w:t>EUDA:s</w:t>
      </w:r>
      <w:proofErr w:type="spellEnd"/>
      <w:r w:rsidRPr="004D0537">
        <w:t> budgetförordning,</w:t>
      </w:r>
    </w:p>
    <w:p w14:paraId="79822608" w14:textId="77777777" w:rsidR="004B06CC" w:rsidRPr="004D0537" w:rsidRDefault="004B06CC" w:rsidP="004B06CC">
      <w:pPr>
        <w:spacing w:after="240"/>
        <w:ind w:left="1134" w:hanging="567"/>
      </w:pPr>
      <w:r w:rsidRPr="004D0537">
        <w:t>–</w:t>
      </w:r>
      <w:r w:rsidRPr="004D0537">
        <w:tab/>
        <w:t>bristfällig upphandling av ett avtal på 10 000 EUR om insamling av uppgifter i Ukraina, där tilldelningskriterier och ordentlig dokumentation saknades,</w:t>
      </w:r>
    </w:p>
    <w:p w14:paraId="10F9EA1C" w14:textId="77777777" w:rsidR="004B06CC" w:rsidRPr="004D0537" w:rsidRDefault="004B06CC" w:rsidP="004B06CC">
      <w:pPr>
        <w:spacing w:after="240"/>
        <w:ind w:left="1134" w:hanging="567"/>
      </w:pPr>
      <w:r w:rsidRPr="004D0537">
        <w:t>–</w:t>
      </w:r>
      <w:r w:rsidRPr="004D0537">
        <w:tab/>
        <w:t>bristande efterlevnad av offentlighetskrav och förklaringar om intressekonflikter vid en upphandling av tillfälliga tjänster till ett värde av 100 000 EUR.</w:t>
      </w:r>
    </w:p>
    <w:p w14:paraId="5E96E88C" w14:textId="73A7B2AA" w:rsidR="004B06CC" w:rsidRPr="004D0537" w:rsidRDefault="004B06CC" w:rsidP="004B06CC">
      <w:pPr>
        <w:spacing w:after="240"/>
        <w:ind w:left="567" w:hanging="567"/>
      </w:pPr>
      <w:r w:rsidRPr="004D0537">
        <w:t>11</w:t>
      </w:r>
      <w:r w:rsidR="007B6266" w:rsidRPr="004D0537">
        <w:t>4</w:t>
      </w:r>
      <w:r w:rsidRPr="004D0537">
        <w:t>.</w:t>
      </w:r>
      <w:r w:rsidRPr="004D0537">
        <w:tab/>
        <w:t xml:space="preserve">Europaparlamentet noterar </w:t>
      </w:r>
      <w:proofErr w:type="spellStart"/>
      <w:r w:rsidRPr="004D0537">
        <w:t>EUDA:s</w:t>
      </w:r>
      <w:proofErr w:type="spellEnd"/>
      <w:r w:rsidRPr="004D0537">
        <w:t xml:space="preserve"> svar, där man erkänner både förfarandemässiga brister och behovet av uppföljningsåtgärder för att säkerställa efterlevnad.</w:t>
      </w:r>
    </w:p>
    <w:p w14:paraId="5E641B6C" w14:textId="037E0C70" w:rsidR="004B06CC" w:rsidRPr="004D0537" w:rsidRDefault="004B06CC" w:rsidP="004B06CC">
      <w:pPr>
        <w:spacing w:after="240"/>
        <w:ind w:left="567" w:hanging="567"/>
      </w:pPr>
      <w:r w:rsidRPr="004D0537">
        <w:t>11</w:t>
      </w:r>
      <w:r w:rsidR="007B6266" w:rsidRPr="004D0537">
        <w:t>5</w:t>
      </w:r>
      <w:r w:rsidRPr="004D0537">
        <w:t>.</w:t>
      </w:r>
      <w:r w:rsidRPr="004D0537">
        <w:tab/>
        <w:t xml:space="preserve">Europaparlamentet noterar förseningarna inom EUDA när det gäller att genomföra internrevisionstjänstens rekommendationer om personalförvaltning och etik, särskilt den kvarstående rekommendationen om arbetsbelastning och resultatstyrning, som fortfarande är olöst till följd av svårigheter att genomföra en bedömning av arbetsbelastning samt metoder för verksamhetsbaserad förvaltning när det gäller tilldelning av personal/heltidsekvivalenter och kostnadsbudgetering. Parlamentet är </w:t>
      </w:r>
      <w:r w:rsidRPr="004D0537">
        <w:lastRenderedPageBreak/>
        <w:t>medvetet om att myndigheten har reviderat sin tidsfrist för genomförande till den 31 december 2025.</w:t>
      </w:r>
    </w:p>
    <w:p w14:paraId="417CF2E6" w14:textId="15AFCEBA" w:rsidR="004B06CC" w:rsidRPr="004D0537" w:rsidRDefault="004B06CC" w:rsidP="004B06CC">
      <w:pPr>
        <w:spacing w:after="240"/>
        <w:ind w:left="567" w:hanging="567"/>
      </w:pPr>
      <w:r w:rsidRPr="004D0537">
        <w:t>11</w:t>
      </w:r>
      <w:r w:rsidR="007B6266" w:rsidRPr="004D0537">
        <w:t>6</w:t>
      </w:r>
      <w:r w:rsidRPr="004D0537">
        <w:t>.</w:t>
      </w:r>
      <w:r w:rsidRPr="004D0537">
        <w:tab/>
        <w:t>Europaparlamentet noterar revisionsrättens iakttagelse att tre av ECDC:s upphandlingsförfaranden inleddes utan föregående finansieringsbeslut, i strid med artikel 72.3 b i ECDC:s budgetförordning. Parlamentet noterar vidare kontrollbrister i utvärderingen av ett konferenskontrakt på 2,8 miljoner EUR, inbegripet otillräcklig kontroll av urvalskriterier och avsaknad av kontroller av onormalt låga anbud, vilket strider mot artiklarna 151 och 167 och avsnitt 23 i bilaga I till budgetförordningen. Parlamentet noterar centrumets svar med angivande av korrigerande åtgärder, inbegripet förstärkt förhandskontroll och förbättrad dokumentation av utvärderingen av anbuden.</w:t>
      </w:r>
    </w:p>
    <w:p w14:paraId="717F3446" w14:textId="149A653A" w:rsidR="004B06CC" w:rsidRPr="004D0537" w:rsidRDefault="004B06CC" w:rsidP="004B06CC">
      <w:pPr>
        <w:spacing w:after="240"/>
        <w:ind w:left="567" w:hanging="567"/>
      </w:pPr>
      <w:r w:rsidRPr="004D0537">
        <w:t>11</w:t>
      </w:r>
      <w:r w:rsidR="007B6266" w:rsidRPr="004D0537">
        <w:t>7</w:t>
      </w:r>
      <w:r w:rsidRPr="004D0537">
        <w:t>.</w:t>
      </w:r>
      <w:r w:rsidRPr="004D0537">
        <w:tab/>
        <w:t>Europaparlamentet betonar att revisionsrätten rekommenderar att ECDC samarbetar med medlemsstaterna för att stärka ett harmoniserat unionsomfattande övervakningssystem för infektionssjukdomar, förbättra de interna processerna för att tillhandahålla snabbare och mer praktisk vägledning och kommunicera tydligare med allmänheten med hjälp av klarspråk för att bättre återspegla användningen av unionsmedel, vilket revisionsrätten noterade i sin särskilda rapport 12/2024.</w:t>
      </w:r>
    </w:p>
    <w:p w14:paraId="38054FA6" w14:textId="77777777" w:rsidR="004B06CC" w:rsidRPr="004D0537" w:rsidRDefault="004B06CC" w:rsidP="004B06CC">
      <w:pPr>
        <w:spacing w:after="240"/>
        <w:ind w:left="567" w:hanging="567"/>
        <w:rPr>
          <w:bCs/>
          <w:i/>
          <w:iCs/>
        </w:rPr>
      </w:pPr>
      <w:r w:rsidRPr="004D0537">
        <w:rPr>
          <w:i/>
        </w:rPr>
        <w:t>Rekommendationer</w:t>
      </w:r>
    </w:p>
    <w:p w14:paraId="3ECD74A3" w14:textId="022A29A2" w:rsidR="004B06CC" w:rsidRPr="004D0537" w:rsidRDefault="004B06CC" w:rsidP="004B06CC">
      <w:pPr>
        <w:spacing w:after="240"/>
        <w:ind w:left="567" w:hanging="567"/>
        <w:rPr>
          <w:bCs/>
        </w:rPr>
      </w:pPr>
      <w:r w:rsidRPr="004D0537">
        <w:t>11</w:t>
      </w:r>
      <w:r w:rsidR="007B6266" w:rsidRPr="004D0537">
        <w:t>8</w:t>
      </w:r>
      <w:r w:rsidRPr="004D0537">
        <w:t>.</w:t>
      </w:r>
      <w:r w:rsidRPr="004D0537">
        <w:tab/>
        <w:t>Europaparlamentet uppmanar byråerna att vidta åtgärder med anledning av revisionsrättens iakttagelser, särskilt när det gäller följande:</w:t>
      </w:r>
    </w:p>
    <w:p w14:paraId="6B00692E" w14:textId="77777777" w:rsidR="004B06CC" w:rsidRPr="004D0537" w:rsidRDefault="004B06CC" w:rsidP="004B06CC">
      <w:pPr>
        <w:spacing w:after="240"/>
        <w:ind w:left="1134" w:hanging="567"/>
        <w:rPr>
          <w:bCs/>
        </w:rPr>
      </w:pPr>
      <w:r w:rsidRPr="004D0537">
        <w:t>i)</w:t>
      </w:r>
      <w:r w:rsidRPr="004D0537">
        <w:tab/>
        <w:t>EUDA ska omedelbart ta itu med oriktigheter, stärka de interna kontrollerna och säkerställa strikt efterlevnad av upphandlingsreglerna för att förhindra ytterligare överträdelser.</w:t>
      </w:r>
    </w:p>
    <w:p w14:paraId="09CFECFF" w14:textId="77777777" w:rsidR="004B06CC" w:rsidRPr="004D0537" w:rsidRDefault="004B06CC" w:rsidP="004B06CC">
      <w:pPr>
        <w:spacing w:after="240"/>
        <w:ind w:left="1134" w:hanging="567"/>
        <w:rPr>
          <w:bCs/>
        </w:rPr>
      </w:pPr>
      <w:r w:rsidRPr="004D0537">
        <w:t>ii)</w:t>
      </w:r>
      <w:r w:rsidRPr="004D0537">
        <w:tab/>
        <w:t>EMA ska förbättra sina förfaranden för fastställande och förebyggande av eventuella intressekonflikter vid valet av medlemmar i den rådgivande nämnden.</w:t>
      </w:r>
    </w:p>
    <w:p w14:paraId="08C399AE" w14:textId="77777777" w:rsidR="004B06CC" w:rsidRPr="004D0537" w:rsidRDefault="004B06CC" w:rsidP="004B06CC">
      <w:pPr>
        <w:spacing w:after="240"/>
        <w:ind w:left="1134" w:hanging="567"/>
        <w:rPr>
          <w:bCs/>
        </w:rPr>
      </w:pPr>
      <w:r w:rsidRPr="004D0537">
        <w:t>iii)</w:t>
      </w:r>
      <w:r w:rsidRPr="004D0537">
        <w:tab/>
        <w:t>ECDC ska säkerställa ett konsekvent genomförande av upphandlingsreglerna, inbegripet förstärkt förhandskontroll,</w:t>
      </w:r>
    </w:p>
    <w:p w14:paraId="52EB4DAD" w14:textId="77777777" w:rsidR="004B06CC" w:rsidRPr="004D0537" w:rsidRDefault="004B06CC" w:rsidP="004B06CC">
      <w:pPr>
        <w:spacing w:after="240"/>
        <w:ind w:left="1134" w:hanging="567"/>
        <w:rPr>
          <w:bCs/>
        </w:rPr>
      </w:pPr>
      <w:r w:rsidRPr="004D0537">
        <w:t>iv)</w:t>
      </w:r>
      <w:r w:rsidRPr="004D0537">
        <w:tab/>
        <w:t>Personalen ska erbjudas lämplig utbildning om upphandlingsreglerna.</w:t>
      </w:r>
    </w:p>
    <w:p w14:paraId="280FB8CC" w14:textId="268BCAE0" w:rsidR="004B06CC" w:rsidRPr="004D0537" w:rsidRDefault="004B06CC" w:rsidP="004B06CC">
      <w:pPr>
        <w:spacing w:after="240"/>
        <w:ind w:left="567" w:hanging="567"/>
        <w:rPr>
          <w:bCs/>
        </w:rPr>
      </w:pPr>
      <w:r w:rsidRPr="004D0537">
        <w:t>11</w:t>
      </w:r>
      <w:r w:rsidR="007B6266" w:rsidRPr="004D0537">
        <w:t>9</w:t>
      </w:r>
      <w:r w:rsidRPr="004D0537">
        <w:t>.</w:t>
      </w:r>
      <w:r w:rsidRPr="004D0537">
        <w:tab/>
        <w:t>Europaparlamentet uppmanar dessutom</w:t>
      </w:r>
    </w:p>
    <w:p w14:paraId="7E312081" w14:textId="77777777" w:rsidR="004B06CC" w:rsidRPr="004D0537" w:rsidRDefault="004B06CC" w:rsidP="004B06CC">
      <w:pPr>
        <w:spacing w:after="240"/>
        <w:ind w:left="1134" w:hanging="567"/>
        <w:rPr>
          <w:bCs/>
        </w:rPr>
      </w:pPr>
      <w:r w:rsidRPr="004D0537">
        <w:t>i)</w:t>
      </w:r>
      <w:r w:rsidRPr="004D0537">
        <w:tab/>
        <w:t>EUDA att rapportera tillbaka till den ansvarsfrihetsbeviljande myndigheten om sina framsteg med att genomföra internrevisionstjänstens rekommendationer om personalförvaltning och etik, särskilt den kvarstående rekommendationen om arbetsbelastning och resultatstyrning,</w:t>
      </w:r>
    </w:p>
    <w:p w14:paraId="3DB8F01F" w14:textId="77777777" w:rsidR="004B06CC" w:rsidRPr="004D0537" w:rsidRDefault="004B06CC" w:rsidP="004B06CC">
      <w:pPr>
        <w:spacing w:after="240"/>
        <w:ind w:left="1134" w:hanging="567"/>
        <w:rPr>
          <w:bCs/>
        </w:rPr>
      </w:pPr>
      <w:r w:rsidRPr="004D0537">
        <w:t>ii)</w:t>
      </w:r>
      <w:r w:rsidRPr="004D0537">
        <w:tab/>
        <w:t>alla byråer att notera revisionsrättens iakttagelser, särskilt när det gäller upphandlingsregler, och att vidta åtgärder i enlighet med detta genom att genomföra revisionsrättens rekommendationer,</w:t>
      </w:r>
    </w:p>
    <w:p w14:paraId="7AE0A774" w14:textId="77777777" w:rsidR="004B06CC" w:rsidRPr="004D0537" w:rsidRDefault="004B06CC" w:rsidP="004B06CC">
      <w:pPr>
        <w:spacing w:after="240"/>
        <w:ind w:left="1134" w:hanging="567"/>
      </w:pPr>
      <w:r w:rsidRPr="004D0537">
        <w:t>iii)</w:t>
      </w:r>
      <w:r w:rsidRPr="004D0537">
        <w:tab/>
        <w:t>ECDC och EMA att använda en del av sin budget till att genomföra de rekommendationer som Europeiska revisionsrätten lade fram i sin särskilda rapport nr 12/2024 och som förtecknas ovan,</w:t>
      </w:r>
    </w:p>
    <w:p w14:paraId="17851750" w14:textId="77777777" w:rsidR="004B06CC" w:rsidRPr="004D0537" w:rsidRDefault="004B06CC" w:rsidP="004B06CC">
      <w:pPr>
        <w:spacing w:after="240"/>
        <w:ind w:left="1134" w:hanging="567"/>
        <w:rPr>
          <w:bCs/>
        </w:rPr>
      </w:pPr>
      <w:r w:rsidRPr="004D0537">
        <w:t>iv)</w:t>
      </w:r>
      <w:r w:rsidRPr="004D0537">
        <w:tab/>
        <w:t xml:space="preserve">EMA, kommissionen och medlemsstaterna att vidta omedelbara åtgärder för att </w:t>
      </w:r>
      <w:r w:rsidRPr="004D0537">
        <w:lastRenderedPageBreak/>
        <w:t>åtgärda den pågående bristen på de kritiska läkemedel som förtecknas ovan, och uppmanar i detta avseende EMA att ha ett nära samarbete med nationella myndigheter och kommissionen för att i) anslå tillräckliga resurser för att nå en lösning på problemet, ii) analysera och föreslå sätt att behandla orsakerna till dessa brister, inbegripet tillverkning, försörjningskedjan, distributionsutmaningar och hinder på den inre marknaden eller nationell protektionism, även behovet av produktion av europeiska läkemedel, iii) utarbeta beredskapsplaner för att säkerställa oavbruten tillgång för patienterna, bland annat prioritering av fall med stora behov. Parlamentet betonar att omedelbara och samordnade åtgärder är avgörande för att förhindra förseningar i behandlingen, undvika att patientresultaten försämras och skydda allmänhetens förtroende för det europeiska hälso- och sjukvårdssystemet. Parlamentet uppmuntrar EMA att använda ytterligare interna resurser från sin budget för att uppnå detta mål.</w:t>
      </w:r>
    </w:p>
    <w:p w14:paraId="67DC0970" w14:textId="77777777" w:rsidR="004B06CC" w:rsidRPr="004D0537" w:rsidRDefault="004B06CC" w:rsidP="004B06CC">
      <w:pPr>
        <w:spacing w:after="240"/>
        <w:ind w:left="567" w:hanging="567"/>
        <w:rPr>
          <w:b/>
          <w:bCs/>
          <w:i/>
          <w:iCs/>
        </w:rPr>
      </w:pPr>
      <w:r w:rsidRPr="004D0537">
        <w:rPr>
          <w:b/>
          <w:i/>
        </w:rPr>
        <w:t>Byråer inom området transport och rörlighet</w:t>
      </w:r>
      <w:r w:rsidRPr="004D0537">
        <w:rPr>
          <w:b/>
          <w:bCs/>
          <w:i/>
          <w:iCs/>
          <w:vertAlign w:val="superscript"/>
        </w:rPr>
        <w:footnoteReference w:id="415"/>
      </w:r>
    </w:p>
    <w:p w14:paraId="7F63026C" w14:textId="5BF2AE7F" w:rsidR="004B06CC" w:rsidRPr="004D0537" w:rsidRDefault="004B06CC" w:rsidP="004B06CC">
      <w:pPr>
        <w:spacing w:after="240"/>
        <w:ind w:left="567" w:hanging="567"/>
      </w:pPr>
      <w:r w:rsidRPr="004D0537">
        <w:t>1</w:t>
      </w:r>
      <w:r w:rsidR="007B6266" w:rsidRPr="004D0537">
        <w:t>20</w:t>
      </w:r>
      <w:r w:rsidRPr="004D0537">
        <w:t>.</w:t>
      </w:r>
      <w:r w:rsidRPr="004D0537">
        <w:tab/>
        <w:t xml:space="preserve">Europaparlamentet noterar revisionsrättens iakttagelse att </w:t>
      </w:r>
      <w:proofErr w:type="spellStart"/>
      <w:r w:rsidRPr="004D0537">
        <w:t>Easa</w:t>
      </w:r>
      <w:proofErr w:type="spellEnd"/>
      <w:r w:rsidRPr="004D0537">
        <w:t xml:space="preserve"> gjorde oriktiga betalningar under 2024 på totalt 43 000 EUR inom ramen för ett avtal för en tjänst som inte täcktes av avtalet. Parlamentet noterar att byrån i sitt svar erkänner problemet och uppger att den har vidtagit korrigerande åtgärder och att tjänsten har inkluderats i ramavtalet från och med 2025.</w:t>
      </w:r>
    </w:p>
    <w:p w14:paraId="1460E94A" w14:textId="081D14AF" w:rsidR="004B06CC" w:rsidRPr="004D0537" w:rsidRDefault="004B06CC" w:rsidP="004B06CC">
      <w:pPr>
        <w:spacing w:after="240"/>
        <w:ind w:left="567" w:hanging="567"/>
      </w:pPr>
      <w:r w:rsidRPr="004D0537">
        <w:t>12</w:t>
      </w:r>
      <w:r w:rsidR="007B6266" w:rsidRPr="004D0537">
        <w:t>1</w:t>
      </w:r>
      <w:r w:rsidRPr="004D0537">
        <w:t>.</w:t>
      </w:r>
      <w:r w:rsidRPr="004D0537">
        <w:tab/>
        <w:t>Europaparlamentet noterar revisionsrättens iakttagelser om ERA:s förvaltnings- och kontrollsystem, däribland</w:t>
      </w:r>
    </w:p>
    <w:p w14:paraId="64E27FB1" w14:textId="77777777" w:rsidR="004B06CC" w:rsidRPr="004D0537" w:rsidRDefault="004B06CC" w:rsidP="004B06CC">
      <w:pPr>
        <w:spacing w:after="240"/>
        <w:ind w:left="1134" w:hanging="567"/>
      </w:pPr>
      <w:r w:rsidRPr="004D0537">
        <w:t>–</w:t>
      </w:r>
      <w:r w:rsidRPr="004D0537">
        <w:tab/>
        <w:t>bristfällig dokumentation som hindrade byrån från att matcha 144 153 EUR i betalningar för 2024 års konferens om det europeiska trafikstyrningssystemet för tåg med antalet deltagare, vilket innebär en risk för att det totala belopp som skulle betalas inte har blivit betalt,</w:t>
      </w:r>
    </w:p>
    <w:p w14:paraId="604991E6" w14:textId="77777777" w:rsidR="004B06CC" w:rsidRPr="004D0537" w:rsidRDefault="004B06CC" w:rsidP="004B06CC">
      <w:pPr>
        <w:spacing w:after="240"/>
        <w:ind w:left="1134" w:hanging="567"/>
      </w:pPr>
      <w:r w:rsidRPr="004D0537">
        <w:t>–</w:t>
      </w:r>
      <w:r w:rsidRPr="004D0537">
        <w:tab/>
        <w:t>försenat utfärdande av debetnotor i strid med artikel 43 i ERA:s inrättandeförordning, enligt vilken debetnotor ska utfärdas inom 60 dagar från tillhandahållandet av tjänsten.</w:t>
      </w:r>
    </w:p>
    <w:p w14:paraId="016F1447" w14:textId="77777777" w:rsidR="004B06CC" w:rsidRPr="004D0537" w:rsidRDefault="004B06CC" w:rsidP="004B06CC">
      <w:pPr>
        <w:spacing w:after="240"/>
        <w:ind w:left="567" w:hanging="567"/>
        <w:rPr>
          <w:bCs/>
          <w:i/>
          <w:iCs/>
        </w:rPr>
      </w:pPr>
      <w:r w:rsidRPr="004D0537">
        <w:rPr>
          <w:i/>
        </w:rPr>
        <w:t>Rekommendationer</w:t>
      </w:r>
    </w:p>
    <w:p w14:paraId="1D69949A" w14:textId="5EAF292E" w:rsidR="004B06CC" w:rsidRPr="004D0537" w:rsidRDefault="004B06CC" w:rsidP="004B06CC">
      <w:pPr>
        <w:spacing w:after="240"/>
        <w:ind w:left="567" w:hanging="567"/>
      </w:pPr>
      <w:r w:rsidRPr="004D0537">
        <w:t>12</w:t>
      </w:r>
      <w:r w:rsidR="007B6266" w:rsidRPr="004D0537">
        <w:t>2</w:t>
      </w:r>
      <w:r w:rsidRPr="004D0537">
        <w:t>.</w:t>
      </w:r>
      <w:r w:rsidRPr="004D0537">
        <w:tab/>
        <w:t>Europaparlamentet uppmanar byråerna att vidta åtgärder med anledning av revisionsrättens iakttagelser, särskilt när det gäller följande:</w:t>
      </w:r>
    </w:p>
    <w:p w14:paraId="7676A33F" w14:textId="77777777" w:rsidR="004B06CC" w:rsidRPr="004D0537" w:rsidRDefault="004B06CC" w:rsidP="004B06CC">
      <w:pPr>
        <w:spacing w:after="240"/>
        <w:ind w:left="1134" w:hanging="567"/>
      </w:pPr>
      <w:r w:rsidRPr="004D0537">
        <w:t>–</w:t>
      </w:r>
      <w:r w:rsidRPr="004D0537">
        <w:tab/>
        <w:t>ERA ska inrätta och verkställa ett standardiserat spårningssystem för alla evenemang med deltagaravgift och införa ett system för automatiserade faktureringsprocesser för att säkerställa att debetnotor utfärdas inom 60 dagar från tillhandahållandet av tjänsten, minska beroendet av manuella insatser, genomföra interna kontroller och inkludera fakturering inom fastställd tid som en nyckelprestationsindikator i den finansiella rapporteringen.</w:t>
      </w:r>
    </w:p>
    <w:p w14:paraId="4061A248" w14:textId="77777777" w:rsidR="004B06CC" w:rsidRPr="004D0537" w:rsidRDefault="004B06CC" w:rsidP="004B06CC">
      <w:pPr>
        <w:spacing w:after="240"/>
        <w:ind w:left="567" w:hanging="567"/>
        <w:rPr>
          <w:i/>
          <w:iCs/>
        </w:rPr>
      </w:pPr>
      <w:r w:rsidRPr="004D0537">
        <w:rPr>
          <w:b/>
          <w:i/>
        </w:rPr>
        <w:t>Byråer inom området miljö och energi</w:t>
      </w:r>
      <w:r w:rsidRPr="004D0537">
        <w:rPr>
          <w:b/>
          <w:bCs/>
          <w:i/>
          <w:iCs/>
          <w:vertAlign w:val="superscript"/>
        </w:rPr>
        <w:footnoteReference w:id="416"/>
      </w:r>
    </w:p>
    <w:p w14:paraId="7C9B8616" w14:textId="00CBBEFA" w:rsidR="004B06CC" w:rsidRPr="004D0537" w:rsidRDefault="004B06CC" w:rsidP="004B06CC">
      <w:pPr>
        <w:spacing w:after="240"/>
        <w:ind w:left="567" w:hanging="567"/>
      </w:pPr>
      <w:r w:rsidRPr="004D0537">
        <w:t>12</w:t>
      </w:r>
      <w:r w:rsidR="007B6266" w:rsidRPr="004D0537">
        <w:t>3</w:t>
      </w:r>
      <w:r w:rsidRPr="004D0537">
        <w:t>.</w:t>
      </w:r>
      <w:r w:rsidRPr="004D0537">
        <w:tab/>
        <w:t xml:space="preserve">Europaparlamentet noterar revisionsrättens tre iakttagelser om oriktigheter i samband </w:t>
      </w:r>
      <w:r w:rsidRPr="004D0537">
        <w:lastRenderedPageBreak/>
        <w:t>med upphandling inom EEA, däribland följande:</w:t>
      </w:r>
    </w:p>
    <w:p w14:paraId="7573E357" w14:textId="77777777" w:rsidR="004B06CC" w:rsidRPr="004D0537" w:rsidRDefault="004B06CC" w:rsidP="004B06CC">
      <w:pPr>
        <w:spacing w:after="240"/>
        <w:ind w:left="1134" w:hanging="567"/>
      </w:pPr>
      <w:r w:rsidRPr="004D0537">
        <w:t>–</w:t>
      </w:r>
      <w:r w:rsidRPr="004D0537">
        <w:tab/>
        <w:t>Oriktiga betalningar enligt ett ramavtal för matsals- och cateringtjänster, med återbetalning av 6 514 EUR utan faktura ställd till byrån i strid med artikel 111.2 i budgetförordningen, och en höjning av lunchpriserna med 34 % över den överenskomna indexeringsmekanismen. Parlamentet noterar byråns svar att detta var isolerade incidenter, och att förfarandena sedan dess förtydligats och förstärkts, och att prisjusteringen berodde på exceptionella inflationsförhållanden.</w:t>
      </w:r>
    </w:p>
    <w:p w14:paraId="79E5696D" w14:textId="77777777" w:rsidR="004B06CC" w:rsidRPr="004D0537" w:rsidRDefault="004B06CC" w:rsidP="004B06CC">
      <w:pPr>
        <w:spacing w:after="240"/>
        <w:ind w:left="1134" w:hanging="567"/>
      </w:pPr>
      <w:r w:rsidRPr="004D0537">
        <w:t>–</w:t>
      </w:r>
      <w:r w:rsidRPr="004D0537">
        <w:tab/>
        <w:t>Användning av byråns interna system för expertmöten vid beställning av cateringtjänster, i stället för de beställningssedlar som krävs enligt ramavtalet, vilket förhindrar tillförlitlig övervakning av kumulativa utgifter och leder till en risk för att kontraktstaket överskrids, vilket strider mot artikel 111.1 och 111.3 i budgetförordningen. Parlamentet noterar EEA:s svar att systemet för expertmöten tillhandahåller en rationaliserad kontrollprocess och att byrån kommer att ändra ramavtalet i enlighet med detta. Parlamentet betonar att för att fullt ut ta hänsyn till revisionsrättens oro bör systemet för expertmöten integreras med redovisningssystemet för att säkerställa att alla cateringbeställningar automatiskt genererar rättsligt bindande åtaganden.</w:t>
      </w:r>
    </w:p>
    <w:p w14:paraId="710A7F4B" w14:textId="77777777" w:rsidR="004B06CC" w:rsidRPr="004D0537" w:rsidRDefault="004B06CC" w:rsidP="004B06CC">
      <w:pPr>
        <w:spacing w:after="240"/>
        <w:ind w:left="1134" w:hanging="567"/>
      </w:pPr>
      <w:r w:rsidRPr="004D0537">
        <w:t>–</w:t>
      </w:r>
      <w:r w:rsidRPr="004D0537">
        <w:tab/>
        <w:t>Typ av kontrakt: Europaparlamentet noterar att EEA underlät att ange typen av specifikt kontrakt (fast pris eller baserat på tids- och materialåtgång) för ett it-konsultavtal till ett belopp av 731 000 EUR, i strid med avsnitt 1.1 i bilaga I till budgetförordningen, vilket innebar att det inte gick att stämma av det totala kontraktsbeloppet mot priset per konsult. Parlamentet noterar EEA:s förklaring att utelämnandet inte hade någon ekonomisk inverkan, och åtagandet att alla framtida kontrakt ska innehålla denna information.</w:t>
      </w:r>
    </w:p>
    <w:p w14:paraId="3AC25476" w14:textId="236A3A90" w:rsidR="004B06CC" w:rsidRPr="004D0537" w:rsidRDefault="004B06CC" w:rsidP="004B06CC">
      <w:pPr>
        <w:spacing w:after="240"/>
        <w:ind w:left="567" w:hanging="567"/>
      </w:pPr>
      <w:r w:rsidRPr="004D0537">
        <w:t>12</w:t>
      </w:r>
      <w:r w:rsidR="007B6266" w:rsidRPr="004D0537">
        <w:t>4</w:t>
      </w:r>
      <w:r w:rsidRPr="004D0537">
        <w:t>.</w:t>
      </w:r>
      <w:r w:rsidRPr="004D0537">
        <w:tab/>
        <w:t xml:space="preserve">Europaparlamentet noterar revisionsrättens iakttagelse att </w:t>
      </w:r>
      <w:proofErr w:type="spellStart"/>
      <w:r w:rsidRPr="004D0537">
        <w:t>Echa</w:t>
      </w:r>
      <w:proofErr w:type="spellEnd"/>
      <w:r w:rsidRPr="004D0537">
        <w:t xml:space="preserve"> tecknade ett specifikt it</w:t>
      </w:r>
      <w:r w:rsidRPr="004D0537">
        <w:noBreakHyphen/>
        <w:t xml:space="preserve">infrastrukturkontrakt till ett värde av 8,1 miljoner EUR, vilket överskred det belopp som den vidaredelegerade utanordnaren hade befogenhet att godkänna med 1,3 miljoner EUR. Parlamentet noterar myndighetens förklaring att kontraktet baserades på icke-bindande uppskattningar av servicevolymerna inom ramen för de årliga anslagen och att de faktiska budgetåtagandena inte överskred de delegerade befogenheterna. Parlamentet uppmuntrar </w:t>
      </w:r>
      <w:proofErr w:type="spellStart"/>
      <w:r w:rsidRPr="004D0537">
        <w:t>Echa</w:t>
      </w:r>
      <w:proofErr w:type="spellEnd"/>
      <w:r w:rsidRPr="004D0537">
        <w:t xml:space="preserve"> att säkerställa en tydlig samstämmighet mellan finansiell delegering och avtalsenliga åtaganden. Parlamentet uppmanar byrån att införa förbättrade framåtblickande granskningsmekanismer för externa entreprenörer som deltar i arbete med koppling till myndighetens beslutsfattande.</w:t>
      </w:r>
    </w:p>
    <w:p w14:paraId="4C2F0237" w14:textId="3D557391" w:rsidR="004B06CC" w:rsidRPr="004D0537" w:rsidRDefault="004B06CC" w:rsidP="004B06CC">
      <w:pPr>
        <w:spacing w:after="240"/>
        <w:ind w:left="567" w:hanging="567"/>
      </w:pPr>
      <w:r w:rsidRPr="004D0537">
        <w:t>12</w:t>
      </w:r>
      <w:r w:rsidR="007B6266" w:rsidRPr="004D0537">
        <w:t>5</w:t>
      </w:r>
      <w:r w:rsidRPr="004D0537">
        <w:t>.</w:t>
      </w:r>
      <w:r w:rsidRPr="004D0537">
        <w:tab/>
        <w:t xml:space="preserve">Europaparlamentet uppmärksammar den oro som flera civilsamhällesorganisationer har gett uttryck för när det gäller en potentiell yrkesmässig intressekonflikt i fallet </w:t>
      </w:r>
      <w:proofErr w:type="spellStart"/>
      <w:r w:rsidRPr="004D0537">
        <w:t>Ramboll</w:t>
      </w:r>
      <w:proofErr w:type="spellEnd"/>
      <w:r w:rsidRPr="004D0537">
        <w:t xml:space="preserve"> </w:t>
      </w:r>
      <w:proofErr w:type="spellStart"/>
      <w:r w:rsidRPr="004D0537">
        <w:t>Germany</w:t>
      </w:r>
      <w:proofErr w:type="spellEnd"/>
      <w:r w:rsidRPr="004D0537">
        <w:t xml:space="preserve"> GmbH, en konsultfirma som tidigare utförde tekniska studier för </w:t>
      </w:r>
      <w:proofErr w:type="spellStart"/>
      <w:r w:rsidRPr="004D0537">
        <w:t>Echa</w:t>
      </w:r>
      <w:proofErr w:type="spellEnd"/>
      <w:r w:rsidRPr="004D0537">
        <w:t xml:space="preserve"> och samtidigt tillhandahöll tjänster till aktörer inom industrin som försökte påverka kommande PFAS-begränsningar. Parlamentet betonar att rådgivande expertstrukturer bör återspegla en balanserad representation av vetenskaplig expertis liksom expertis från industrin och det civila samhället för att stärka legitimiteten och ett evidensbaserat beslutsfattande. Parlamentet noterar organisationernas påstående att Rambolls parallella verksamhet kan ha äventyrat den opartiskhet som krävs enligt artiklarna 2.56 och 143 d i budgetförordningen. Parlamentet betonar att principen om sund ekonomisk förvaltning kräver att byrån ser till att upphandling och genomförande av kontrakt genomförs på ett sätt som bevarar den institutionella opartiskheten och allmänhetens förtroende. Parlamentet noterar att oidentifierade intressekonflikter kan påverka trovärdigheten för </w:t>
      </w:r>
      <w:r w:rsidRPr="004D0537">
        <w:lastRenderedPageBreak/>
        <w:t>unionsfinansierad verksamhet även om det inte skulle ha förekommit förfarandefel. Parlamentet efterlyser adekvata skyddsåtgärder för att hantera både faktiska och uppenbara risker.</w:t>
      </w:r>
    </w:p>
    <w:p w14:paraId="4274DF88" w14:textId="123F4B12" w:rsidR="004B06CC" w:rsidRPr="004D0537" w:rsidRDefault="004B06CC" w:rsidP="004B06CC">
      <w:pPr>
        <w:spacing w:after="240"/>
        <w:ind w:left="567" w:hanging="567"/>
      </w:pPr>
      <w:r w:rsidRPr="004D0537">
        <w:t>12</w:t>
      </w:r>
      <w:r w:rsidR="007B6266" w:rsidRPr="004D0537">
        <w:t>6</w:t>
      </w:r>
      <w:r w:rsidRPr="004D0537">
        <w:t>.</w:t>
      </w:r>
      <w:r w:rsidRPr="004D0537">
        <w:tab/>
        <w:t xml:space="preserve">Europaparlamentet noterar dock </w:t>
      </w:r>
      <w:proofErr w:type="spellStart"/>
      <w:r w:rsidRPr="004D0537">
        <w:t>Echas</w:t>
      </w:r>
      <w:proofErr w:type="spellEnd"/>
      <w:r w:rsidRPr="004D0537">
        <w:t xml:space="preserve"> klargörande att det arbete som </w:t>
      </w:r>
      <w:proofErr w:type="spellStart"/>
      <w:r w:rsidRPr="004D0537">
        <w:t>Ramboll</w:t>
      </w:r>
      <w:proofErr w:type="spellEnd"/>
      <w:r w:rsidRPr="004D0537">
        <w:t xml:space="preserve"> Deutschland utförde för myndigheten avseende PFAS utfördes mellan 2020 och 2021, före konsultfirmans samarbete med industrin 2022, och att bedömningar av intressekonflikter utfördes i enlighet med </w:t>
      </w:r>
      <w:proofErr w:type="spellStart"/>
      <w:r w:rsidRPr="004D0537">
        <w:t>Echas</w:t>
      </w:r>
      <w:proofErr w:type="spellEnd"/>
      <w:r w:rsidRPr="004D0537">
        <w:t xml:space="preserve"> förfaranden vid den tidpunkt då kontraktet tilldelades. Parlamentet noterar vidare att </w:t>
      </w:r>
      <w:proofErr w:type="spellStart"/>
      <w:r w:rsidRPr="004D0537">
        <w:t>Ramboll</w:t>
      </w:r>
      <w:proofErr w:type="spellEnd"/>
      <w:r w:rsidRPr="004D0537">
        <w:t xml:space="preserve"> enligt det nuvarande ramavtalet från 2024 inte har lämnat in anbud för specifika kontrakt. Parlamentet välkomnar </w:t>
      </w:r>
      <w:proofErr w:type="spellStart"/>
      <w:r w:rsidRPr="004D0537">
        <w:t>Echas</w:t>
      </w:r>
      <w:proofErr w:type="spellEnd"/>
      <w:r w:rsidRPr="004D0537">
        <w:t xml:space="preserve"> uttalande om att myndigheten genomförde en detaljerad intern översyn till följd av begäranden om tillgång till handlingar och inte fann några </w:t>
      </w:r>
      <w:proofErr w:type="spellStart"/>
      <w:r w:rsidRPr="004D0537">
        <w:t>ohanterade</w:t>
      </w:r>
      <w:proofErr w:type="spellEnd"/>
      <w:r w:rsidRPr="004D0537">
        <w:t xml:space="preserve"> intressekonflikter. Parlamentet betonar dock vikten av att säkerställa robusta, proaktiva och framåtblickande kontroller av intressekonflikter för alla externa entreprenörer, särskilt de som deltar i tekniskt arbete som bidrar till känsliga </w:t>
      </w:r>
      <w:proofErr w:type="spellStart"/>
      <w:r w:rsidRPr="004D0537">
        <w:t>regleringsbeslut</w:t>
      </w:r>
      <w:proofErr w:type="spellEnd"/>
      <w:r w:rsidRPr="004D0537">
        <w:t>. Parlamentet betonar att det i expertgrupper bör råda en balans mellan ledamöter från olika sektorer, inbegripet den privata sektorn, vetenskapliga sektorer och det civila samhället, så att olika kompetenser och synpunkter representeras. Parlamentet uppmanar byrån att integrera kontroller av entreprenörernas oberoende i sin bredare ram för intern kontroll och riskhantering. Parlamentet betonar behovet av att säkerställa robusta och proaktiva förfaranden för att förhindra alla risker för intressekonflikter eller otillbörlig påverkan.</w:t>
      </w:r>
    </w:p>
    <w:p w14:paraId="18B03F4C" w14:textId="212FB4FA" w:rsidR="004B06CC" w:rsidRPr="004D0537" w:rsidRDefault="004B06CC" w:rsidP="004B06CC">
      <w:pPr>
        <w:spacing w:after="240"/>
        <w:ind w:left="567" w:hanging="567"/>
      </w:pPr>
      <w:r w:rsidRPr="004D0537">
        <w:t>12</w:t>
      </w:r>
      <w:r w:rsidR="007B6266" w:rsidRPr="004D0537">
        <w:t>7</w:t>
      </w:r>
      <w:r w:rsidRPr="004D0537">
        <w:t>.</w:t>
      </w:r>
      <w:r w:rsidRPr="004D0537">
        <w:tab/>
        <w:t xml:space="preserve">Europaparlamentet noterar revisionsrättens iakttagelse att EFCA tillämpade en </w:t>
      </w:r>
      <w:proofErr w:type="spellStart"/>
      <w:r w:rsidRPr="004D0537">
        <w:t>upphandlingsformel</w:t>
      </w:r>
      <w:proofErr w:type="spellEnd"/>
      <w:r w:rsidRPr="004D0537">
        <w:t xml:space="preserve"> för </w:t>
      </w:r>
      <w:proofErr w:type="spellStart"/>
      <w:r w:rsidRPr="004D0537">
        <w:t>it-tjänster</w:t>
      </w:r>
      <w:proofErr w:type="spellEnd"/>
      <w:r w:rsidRPr="004D0537">
        <w:t xml:space="preserve"> som ledde till en faktisk viktning av priskriteriet som var lägre än 30 %, den lägsta rekommenderade nivån enligt kommissionens riktlinjer (punkt 21.2 i bilaga I till budgetförordningen). Parlamentet noterar </w:t>
      </w:r>
      <w:proofErr w:type="spellStart"/>
      <w:r w:rsidRPr="004D0537">
        <w:t>EFCA:s</w:t>
      </w:r>
      <w:proofErr w:type="spellEnd"/>
      <w:r w:rsidRPr="004D0537">
        <w:t xml:space="preserve"> åtagande att inte tillämpa denna formel i framtida upphandlingsförfaranden.</w:t>
      </w:r>
    </w:p>
    <w:p w14:paraId="3C7906C0" w14:textId="3E3EA094" w:rsidR="004B06CC" w:rsidRPr="004D0537" w:rsidRDefault="004B06CC" w:rsidP="004B06CC">
      <w:pPr>
        <w:spacing w:after="240"/>
        <w:ind w:left="567" w:hanging="567"/>
      </w:pPr>
      <w:r w:rsidRPr="004D0537">
        <w:t>12</w:t>
      </w:r>
      <w:r w:rsidR="007B6266" w:rsidRPr="004D0537">
        <w:t>8</w:t>
      </w:r>
      <w:r w:rsidRPr="004D0537">
        <w:t>.</w:t>
      </w:r>
      <w:r w:rsidRPr="004D0537">
        <w:tab/>
        <w:t>Europaparlamentet noterar revisionsrättens två iakttagelser om oriktigheter i samband med Acers upphandling som ledde till oriktiga betalningar 2024. Parlamentet påpekar att Acer, på grund av ändrad policy hos en leverantör, beställde it-stödtjänster utan rättslig grund i sex veckor innan det ändrade avtalet undertecknades, vilket ledde till oriktiga betalningar på 8 179 EUR i strid med artikel 172.1 i budgetförordningen. Parlamentet noterar byråns svar att detta undantag formellt godkändes för att undvika driftsstörningar och att betalningarna avsåg vederbörligen levererade och dokumenterade tjänster.</w:t>
      </w:r>
    </w:p>
    <w:p w14:paraId="0A04B9D0" w14:textId="03A32BBB" w:rsidR="004B06CC" w:rsidRPr="004D0537" w:rsidRDefault="004B06CC" w:rsidP="004B06CC">
      <w:pPr>
        <w:spacing w:after="240"/>
        <w:ind w:left="567" w:hanging="567"/>
      </w:pPr>
      <w:r w:rsidRPr="004D0537">
        <w:t>12</w:t>
      </w:r>
      <w:r w:rsidR="007B6266" w:rsidRPr="004D0537">
        <w:t>9</w:t>
      </w:r>
      <w:r w:rsidRPr="004D0537">
        <w:t>.</w:t>
      </w:r>
      <w:r w:rsidRPr="004D0537">
        <w:tab/>
        <w:t>Europaparlamentet noterar att Acer godtog ett reviderat anbudsbelopp i ett förhandlat förfarande, vilket ökade kontraktsvärdet från 51 450 EUR till 79 450 EUR efter inlämning, i strid med artiklarna 151, 160.1 och 170 i budgetförordningen.</w:t>
      </w:r>
    </w:p>
    <w:p w14:paraId="72590DAB" w14:textId="25D14FDF" w:rsidR="004B06CC" w:rsidRPr="004D0537" w:rsidRDefault="004B06CC" w:rsidP="004B06CC">
      <w:pPr>
        <w:spacing w:after="240"/>
        <w:ind w:left="567" w:hanging="567"/>
        <w:rPr>
          <w:bCs/>
        </w:rPr>
      </w:pPr>
      <w:r w:rsidRPr="004D0537">
        <w:t>1</w:t>
      </w:r>
      <w:r w:rsidR="007B6266" w:rsidRPr="004D0537">
        <w:t>30</w:t>
      </w:r>
      <w:r w:rsidRPr="004D0537">
        <w:t>.</w:t>
      </w:r>
      <w:r w:rsidRPr="004D0537">
        <w:tab/>
        <w:t xml:space="preserve">Europaparlamentet påminner om att revisionsrättens iakttagelse om Acers strukturella beroende av tillfälligt anställda kvarstår sedan 2019, och att tillfälligt anställda fortsätter att utföra långsiktiga arbetsuppgifter som normalt bör utföras av direkt anställd personal. Parlamentet noterar att även om antalet tillfälliga arbetstagare minskade från 18 under 2023 till 16 under 2024 kvarstod situationen, och att Acer har för avsikt att </w:t>
      </w:r>
      <w:proofErr w:type="spellStart"/>
      <w:r w:rsidRPr="004D0537">
        <w:t>utkontraktera</w:t>
      </w:r>
      <w:proofErr w:type="spellEnd"/>
      <w:r w:rsidRPr="004D0537">
        <w:t xml:space="preserve"> vissa av dessa arbetsuppgifter. Parlamentet noterar byråns svar på frågeformuläret, att omfattande </w:t>
      </w:r>
      <w:proofErr w:type="spellStart"/>
      <w:r w:rsidRPr="004D0537">
        <w:t>utkontraktering</w:t>
      </w:r>
      <w:proofErr w:type="spellEnd"/>
      <w:r w:rsidRPr="004D0537">
        <w:t xml:space="preserve"> är nödvändig på grund av otillräckliga interna resurser och specialiserad expertis. Parlamentet konstaterar att Acer </w:t>
      </w:r>
      <w:proofErr w:type="spellStart"/>
      <w:r w:rsidRPr="004D0537">
        <w:t>utkontrakterar</w:t>
      </w:r>
      <w:proofErr w:type="spellEnd"/>
      <w:r w:rsidRPr="004D0537">
        <w:t xml:space="preserve"> ett brett spektrum av funktioner, däribland högt specialiserade konsultuppgifter och studier inom energireglering, juridiska tjänster, </w:t>
      </w:r>
      <w:r w:rsidRPr="004D0537">
        <w:lastRenderedPageBreak/>
        <w:t xml:space="preserve">evenemangsorganisation och olika allmänna tjänster, men att det största beroendet rör </w:t>
      </w:r>
      <w:proofErr w:type="spellStart"/>
      <w:r w:rsidRPr="004D0537">
        <w:t>it-området</w:t>
      </w:r>
      <w:proofErr w:type="spellEnd"/>
      <w:r w:rsidRPr="004D0537">
        <w:t xml:space="preserve">, där utformningen, utvecklingen, genomförandet, stödet, underhållet och säkerheten i dess system till stor del utförs av externa tjänsteleverantörer. Parlamentet betonar i detta avseende att mer än 100 externa </w:t>
      </w:r>
      <w:proofErr w:type="spellStart"/>
      <w:r w:rsidRPr="004D0537">
        <w:t>it-experter</w:t>
      </w:r>
      <w:proofErr w:type="spellEnd"/>
      <w:r w:rsidRPr="004D0537">
        <w:t xml:space="preserve"> arbetar (inte nödvändigtvis på heltid) med att tillhandahålla </w:t>
      </w:r>
      <w:proofErr w:type="spellStart"/>
      <w:r w:rsidRPr="004D0537">
        <w:t>it-tjänster</w:t>
      </w:r>
      <w:proofErr w:type="spellEnd"/>
      <w:r w:rsidRPr="004D0537">
        <w:t xml:space="preserve"> till Acer, jämfört med endast 17 interna </w:t>
      </w:r>
      <w:proofErr w:type="spellStart"/>
      <w:r w:rsidRPr="004D0537">
        <w:t>it</w:t>
      </w:r>
      <w:r w:rsidRPr="004D0537">
        <w:noBreakHyphen/>
        <w:t>anställda</w:t>
      </w:r>
      <w:proofErr w:type="spellEnd"/>
      <w:r w:rsidRPr="004D0537">
        <w:t xml:space="preserve">, vilket skapar en betydande strukturell obalans. Parlamentet noterar vidare att Acer uppger att denna </w:t>
      </w:r>
      <w:proofErr w:type="spellStart"/>
      <w:r w:rsidRPr="004D0537">
        <w:t>utkontrakteringsmodell</w:t>
      </w:r>
      <w:proofErr w:type="spellEnd"/>
      <w:r w:rsidRPr="004D0537">
        <w:t xml:space="preserve"> uttryckligen rekommenderades av kommissionen med tanke på byråns begränsade tjänsteförteckning och resursbegränsningar. Parlamentet understryker dock att ett sådant ihållande beroende av externa leverantörer av grundläggande it-kapacitet, i kombination med fortsatt användning av tillfälliga arbetstagare för permanenta uppgifter, ger anledning till oro när det gäller bevarande av kunskap, operativ kontinuitet och långsiktig institutionell kapacitet. Parlamentet betonar att det stora it-beroendet måste åtgärdas snarast för att skydda bevarandet av kunskap och den operativa kontinuiteten. Parlamentet begär att kommissionen och Acer rapporterar till den ansvarsfrihetsbeviljande myndigheten om de korrigerande åtgärder som vidtagits.</w:t>
      </w:r>
    </w:p>
    <w:p w14:paraId="5D6E404C" w14:textId="77777777" w:rsidR="004B06CC" w:rsidRPr="004D0537" w:rsidRDefault="004B06CC" w:rsidP="004B06CC">
      <w:pPr>
        <w:spacing w:after="240"/>
        <w:ind w:left="567" w:hanging="567"/>
        <w:rPr>
          <w:i/>
          <w:iCs/>
        </w:rPr>
      </w:pPr>
      <w:r w:rsidRPr="004D0537">
        <w:rPr>
          <w:i/>
        </w:rPr>
        <w:t>Rekommendationer</w:t>
      </w:r>
    </w:p>
    <w:p w14:paraId="69A58217" w14:textId="69F1D48F" w:rsidR="004B06CC" w:rsidRPr="004D0537" w:rsidRDefault="004B06CC" w:rsidP="004B06CC">
      <w:pPr>
        <w:spacing w:after="240"/>
        <w:ind w:left="567" w:hanging="567"/>
        <w:rPr>
          <w:bCs/>
        </w:rPr>
      </w:pPr>
      <w:r w:rsidRPr="004D0537">
        <w:t>13</w:t>
      </w:r>
      <w:r w:rsidR="007B6266" w:rsidRPr="004D0537">
        <w:t>1</w:t>
      </w:r>
      <w:r w:rsidRPr="004D0537">
        <w:t>.</w:t>
      </w:r>
      <w:r w:rsidRPr="004D0537">
        <w:tab/>
        <w:t>Europaparlamentet uppmanar byråerna att vidta åtgärder med anledning av revisionsrättens iakttagelser, särskilt när det gäller följande:</w:t>
      </w:r>
    </w:p>
    <w:p w14:paraId="0D7CAE6F" w14:textId="77777777" w:rsidR="004B06CC" w:rsidRPr="004D0537" w:rsidRDefault="004B06CC" w:rsidP="004B06CC">
      <w:pPr>
        <w:spacing w:after="240"/>
        <w:ind w:left="1134" w:hanging="567"/>
        <w:rPr>
          <w:bCs/>
        </w:rPr>
      </w:pPr>
      <w:r w:rsidRPr="004D0537">
        <w:t>i)</w:t>
      </w:r>
      <w:r w:rsidRPr="004D0537">
        <w:tab/>
        <w:t>EEA ska stärka sina förfaranden för upphandling och kontraktsförvaltning för att förhindra liknande oriktigheter, särskilt genom att systematiskt se till att budgetförordningens fakturerings- och prisindexeringskrav för alla ramavtal följs, integrera systemet för expertmöten med EEA:s redovisnings- och åtagandesystem för att säkerställa att cateringbeställningar genererar rättsligt bindande åtaganden och möjliggör tillförlitlig övervakning av kumulativa utgifter i enlighet med artikel 111, kräva att avtalstypen (fast pris eller baserat på tids- och materialåtgång) inkluderas i alla specifika kontrakt i enlighet med bilaga I och genomföra regelbundna kontroller, personalutbildning och förstärkta tillsynskontroller samtidigt som alla korrigerande åtgärder som vidtas dokumenteras fullt ut.</w:t>
      </w:r>
    </w:p>
    <w:p w14:paraId="033C9864" w14:textId="77777777" w:rsidR="004B06CC" w:rsidRPr="004D0537" w:rsidRDefault="004B06CC" w:rsidP="004B06CC">
      <w:pPr>
        <w:spacing w:after="240"/>
        <w:ind w:left="1134" w:hanging="567"/>
        <w:rPr>
          <w:bCs/>
        </w:rPr>
      </w:pPr>
      <w:r w:rsidRPr="004D0537">
        <w:t>ii)</w:t>
      </w:r>
      <w:r w:rsidRPr="004D0537">
        <w:tab/>
        <w:t>EFCA ska säkerställa strikt efterlevnad av unionens upphandlingsregler genom att stå fast vid en viktning av priskriteriet på minst 30 %, tillhandahålla intern utbildning om korrekt tillämpning av viktning vid upphandlingar, införa obligatoriska styrkande handlingar (t.ex. hyreskontrakt), genomföra regelbundna granskningar av bostadsort och stärka kontrollerna för att förhindra felaktiga utbetalningar av ersättningar och rapportera tillbaka till den ansvarsfrihetsbeviljande myndigheten om genomförandet.</w:t>
      </w:r>
    </w:p>
    <w:p w14:paraId="46AEF36B" w14:textId="77777777" w:rsidR="004B06CC" w:rsidRPr="004D0537" w:rsidRDefault="004B06CC" w:rsidP="004B06CC">
      <w:pPr>
        <w:spacing w:after="240"/>
        <w:ind w:left="1134" w:hanging="567"/>
        <w:rPr>
          <w:bCs/>
        </w:rPr>
      </w:pPr>
      <w:r w:rsidRPr="004D0537">
        <w:t>iii)</w:t>
      </w:r>
      <w:r w:rsidRPr="004D0537">
        <w:tab/>
        <w:t>Acer ska förhindra framtida oriktigheter i samband med upphandling och säkerställa full efterlevnad av budgetförordningen,</w:t>
      </w:r>
    </w:p>
    <w:p w14:paraId="40BD2777" w14:textId="77777777" w:rsidR="004B06CC" w:rsidRPr="004D0537" w:rsidRDefault="004B06CC" w:rsidP="004B06CC">
      <w:pPr>
        <w:spacing w:after="240"/>
        <w:ind w:left="567" w:hanging="567"/>
        <w:rPr>
          <w:b/>
          <w:bCs/>
          <w:i/>
          <w:iCs/>
        </w:rPr>
      </w:pPr>
      <w:r w:rsidRPr="004D0537">
        <w:rPr>
          <w:b/>
          <w:i/>
        </w:rPr>
        <w:t>Byråer inom andra områden</w:t>
      </w:r>
      <w:r w:rsidRPr="004D0537">
        <w:rPr>
          <w:b/>
          <w:bCs/>
          <w:i/>
          <w:iCs/>
          <w:vertAlign w:val="superscript"/>
        </w:rPr>
        <w:footnoteReference w:id="417"/>
      </w:r>
    </w:p>
    <w:p w14:paraId="339FD7AC" w14:textId="7D7454C7" w:rsidR="004B06CC" w:rsidRPr="004D0537" w:rsidRDefault="004B06CC" w:rsidP="004B06CC">
      <w:pPr>
        <w:spacing w:after="240"/>
        <w:ind w:left="567" w:hanging="567"/>
      </w:pPr>
      <w:r w:rsidRPr="004D0537">
        <w:t>13</w:t>
      </w:r>
      <w:r w:rsidR="007B6266" w:rsidRPr="004D0537">
        <w:t>2</w:t>
      </w:r>
      <w:r w:rsidRPr="004D0537">
        <w:t>.</w:t>
      </w:r>
      <w:r w:rsidRPr="004D0537">
        <w:tab/>
        <w:t xml:space="preserve">Europaparlamentet noterar att </w:t>
      </w:r>
      <w:proofErr w:type="spellStart"/>
      <w:r w:rsidRPr="004D0537">
        <w:t>Berecbyrån</w:t>
      </w:r>
      <w:proofErr w:type="spellEnd"/>
      <w:r w:rsidRPr="004D0537">
        <w:t xml:space="preserve"> i två förhandlade förfaranden inte angav urvalskriterier i kravspecifikationerna, i strid med punkt 18.2 i bilaga I till budgetförordningen, vilket innebär en risk för </w:t>
      </w:r>
      <w:proofErr w:type="spellStart"/>
      <w:r w:rsidRPr="004D0537">
        <w:t>Berecbyrån</w:t>
      </w:r>
      <w:proofErr w:type="spellEnd"/>
      <w:r w:rsidRPr="004D0537">
        <w:t xml:space="preserve"> att entreprenören inte har </w:t>
      </w:r>
      <w:r w:rsidRPr="004D0537">
        <w:lastRenderedPageBreak/>
        <w:t xml:space="preserve">kapacitet att genomföra kontrakten. Parlamentet noterar </w:t>
      </w:r>
      <w:proofErr w:type="spellStart"/>
      <w:r w:rsidRPr="004D0537">
        <w:t>Berecbyråns</w:t>
      </w:r>
      <w:proofErr w:type="spellEnd"/>
      <w:r w:rsidRPr="004D0537">
        <w:t xml:space="preserve"> förklaring att entreprenörernas kapacitet bedömdes genom förhandssamråd och att den kommer att se till att urvalskriterier anges i alla framtida anbud.</w:t>
      </w:r>
    </w:p>
    <w:p w14:paraId="1621BA5A" w14:textId="72E54688" w:rsidR="004B06CC" w:rsidRPr="004D0537" w:rsidRDefault="004B06CC" w:rsidP="004B06CC">
      <w:pPr>
        <w:spacing w:after="240"/>
        <w:ind w:left="567" w:hanging="567"/>
      </w:pPr>
      <w:r w:rsidRPr="004D0537">
        <w:t>13</w:t>
      </w:r>
      <w:r w:rsidR="007B6266" w:rsidRPr="004D0537">
        <w:t>3</w:t>
      </w:r>
      <w:r w:rsidRPr="004D0537">
        <w:t>.</w:t>
      </w:r>
      <w:r w:rsidRPr="004D0537">
        <w:tab/>
        <w:t xml:space="preserve">Europaparlamentet uppmärksammar att kommissionen senast i december 2023 skulle ha slutfört en femårig utvärdering av </w:t>
      </w:r>
      <w:proofErr w:type="spellStart"/>
      <w:r w:rsidRPr="004D0537">
        <w:t>Berecbyrån</w:t>
      </w:r>
      <w:proofErr w:type="spellEnd"/>
      <w:r w:rsidRPr="004D0537">
        <w:t xml:space="preserve"> enligt artikel 48 i dess inrättandeförordning, i syfte att bedöma potentiella strukturella ändringar eller ändringar av </w:t>
      </w:r>
      <w:proofErr w:type="spellStart"/>
      <w:r w:rsidRPr="004D0537">
        <w:t>Berecbyråns</w:t>
      </w:r>
      <w:proofErr w:type="spellEnd"/>
      <w:r w:rsidRPr="004D0537">
        <w:t xml:space="preserve"> mandat samt eventuella ekonomiska konsekvenser. Parlamentet noterar att kommissionen i slutet av 2024 ännu inte hade slutfört denna utvärdering och att kommissionen på begäran av en ledamot av Europaparlamentet informerade parlamentet om att utvärderingsrapporten skulle läggas fram i december 2025.</w:t>
      </w:r>
    </w:p>
    <w:p w14:paraId="26F6D282" w14:textId="60CFD381" w:rsidR="004B06CC" w:rsidRPr="004D0537" w:rsidRDefault="004B06CC" w:rsidP="004B06CC">
      <w:pPr>
        <w:spacing w:after="240"/>
        <w:ind w:left="567" w:hanging="567"/>
      </w:pPr>
      <w:r w:rsidRPr="004D0537">
        <w:t>13</w:t>
      </w:r>
      <w:r w:rsidR="007B6266" w:rsidRPr="004D0537">
        <w:t>4</w:t>
      </w:r>
      <w:r w:rsidRPr="004D0537">
        <w:t>.</w:t>
      </w:r>
      <w:r w:rsidRPr="004D0537">
        <w:tab/>
        <w:t xml:space="preserve">Europaparlamentet noterar revisionsrättens iakttagelse om oriktigheten i det avtal som </w:t>
      </w:r>
      <w:proofErr w:type="spellStart"/>
      <w:r w:rsidRPr="004D0537">
        <w:t>CdT</w:t>
      </w:r>
      <w:proofErr w:type="spellEnd"/>
      <w:r w:rsidRPr="004D0537">
        <w:t xml:space="preserve"> undertecknat om hyra av rack för </w:t>
      </w:r>
      <w:proofErr w:type="spellStart"/>
      <w:r w:rsidRPr="004D0537">
        <w:t>it-utrustning</w:t>
      </w:r>
      <w:proofErr w:type="spellEnd"/>
      <w:r w:rsidRPr="004D0537">
        <w:t xml:space="preserve">, där kontraktet tilldelades 2016 genom ett förhandlat förfarande utan föregående offentliggörande av ett meddelande om upphandling. Parlamentet betonar att kontraktet förlängdes 13 gånger och felaktigt byggde på ett undantag för fast egendom enligt artikel 134.1 h i kommissionens delegerade förordning (EU) nr 1268/2012, en bestämmelse som revisionsrätten fastställde inte är tillämplig på hyra av rack för </w:t>
      </w:r>
      <w:proofErr w:type="spellStart"/>
      <w:r w:rsidRPr="004D0537">
        <w:t>it-utrustning</w:t>
      </w:r>
      <w:proofErr w:type="spellEnd"/>
      <w:r w:rsidRPr="004D0537">
        <w:t>.</w:t>
      </w:r>
    </w:p>
    <w:p w14:paraId="65F68776" w14:textId="1FF1DEB2" w:rsidR="004B06CC" w:rsidRPr="004D0537" w:rsidRDefault="004B06CC" w:rsidP="004B06CC">
      <w:pPr>
        <w:spacing w:after="240"/>
        <w:ind w:left="567" w:hanging="567"/>
      </w:pPr>
      <w:r w:rsidRPr="004D0537">
        <w:t>13</w:t>
      </w:r>
      <w:r w:rsidR="007B6266" w:rsidRPr="004D0537">
        <w:t>5</w:t>
      </w:r>
      <w:r w:rsidRPr="004D0537">
        <w:t>.</w:t>
      </w:r>
      <w:r w:rsidRPr="004D0537">
        <w:tab/>
        <w:t xml:space="preserve">Europaparlamentet noterar att </w:t>
      </w:r>
      <w:proofErr w:type="spellStart"/>
      <w:r w:rsidRPr="004D0537">
        <w:t>Enisa</w:t>
      </w:r>
      <w:proofErr w:type="spellEnd"/>
      <w:r w:rsidRPr="004D0537">
        <w:t xml:space="preserve"> inte antagit ett korrekt finansieringsbeslut innan upphandlingsförfaranden som avsåg operativa utgifter inleddes, vilket försvårar en ändamålsenlig planering och tillsyn och strider mot artiklarna 32.1 och 72.3 b i </w:t>
      </w:r>
      <w:proofErr w:type="spellStart"/>
      <w:r w:rsidRPr="004D0537">
        <w:t>Enisas</w:t>
      </w:r>
      <w:proofErr w:type="spellEnd"/>
      <w:r w:rsidRPr="004D0537">
        <w:t xml:space="preserve"> finansiella regler. Parlamentet noterar </w:t>
      </w:r>
      <w:proofErr w:type="spellStart"/>
      <w:r w:rsidRPr="004D0537">
        <w:t>Enisas</w:t>
      </w:r>
      <w:proofErr w:type="spellEnd"/>
      <w:r w:rsidRPr="004D0537">
        <w:t xml:space="preserve"> svar att man instämmer i iakttagelsen och har vidtagit de åtgärder som krävs för att åtgärda problemet.</w:t>
      </w:r>
    </w:p>
    <w:p w14:paraId="3DB7A996" w14:textId="1CF91C8C" w:rsidR="004B06CC" w:rsidRPr="004D0537" w:rsidRDefault="004B06CC" w:rsidP="004B06CC">
      <w:pPr>
        <w:spacing w:after="240"/>
        <w:ind w:left="567" w:hanging="567"/>
      </w:pPr>
      <w:r w:rsidRPr="004D0537">
        <w:t>13</w:t>
      </w:r>
      <w:r w:rsidR="007B6266" w:rsidRPr="004D0537">
        <w:t>6</w:t>
      </w:r>
      <w:r w:rsidRPr="004D0537">
        <w:t>.</w:t>
      </w:r>
      <w:r w:rsidRPr="004D0537">
        <w:tab/>
        <w:t xml:space="preserve">Europaparlamentet konstaterar att </w:t>
      </w:r>
      <w:proofErr w:type="spellStart"/>
      <w:r w:rsidRPr="004D0537">
        <w:t>Enisas</w:t>
      </w:r>
      <w:proofErr w:type="spellEnd"/>
      <w:r w:rsidRPr="004D0537">
        <w:t xml:space="preserve"> genomsnittliga hotellkostnader för fyra konferenser (2022–2024) överskred de tak som gäller för EU-personal, med höga avbokningsavgifter (30 % av de totala kostnaderna) för två evenemang. Parlamentet betonar bristen på riktlinjer eller förhandskontroller för konferensarrangemang. Parlamentet noterar att </w:t>
      </w:r>
      <w:proofErr w:type="spellStart"/>
      <w:r w:rsidRPr="004D0537">
        <w:t>Enisa</w:t>
      </w:r>
      <w:proofErr w:type="spellEnd"/>
      <w:r w:rsidRPr="004D0537">
        <w:t xml:space="preserve"> i sitt svar instämmer och kommer att vidta korrigerande åtgärder.</w:t>
      </w:r>
    </w:p>
    <w:p w14:paraId="49F1B2AA" w14:textId="1BC8DE16" w:rsidR="004B06CC" w:rsidRPr="004D0537" w:rsidRDefault="004B06CC" w:rsidP="004B06CC">
      <w:pPr>
        <w:spacing w:after="240"/>
        <w:ind w:left="567" w:hanging="567"/>
      </w:pPr>
      <w:r w:rsidRPr="004D0537">
        <w:t>13</w:t>
      </w:r>
      <w:r w:rsidR="007B6266" w:rsidRPr="004D0537">
        <w:t>7</w:t>
      </w:r>
      <w:r w:rsidRPr="004D0537">
        <w:t>.</w:t>
      </w:r>
      <w:r w:rsidRPr="004D0537">
        <w:tab/>
        <w:t xml:space="preserve">Europaparlamentet uppmärksammar att vid ett upphandlingsförfarande för forsknings- och utvecklingstjänster saknades tillräcklig dokumentation för att motivera det uppskattade kontraktsvärdet och det fastställdes inga specifika och mätbara urvalskriterier, vilket krävs enligt artikel 167 i och punkt 18.2 i bilaga I till budgetförordningen. Parlamentet noterar </w:t>
      </w:r>
      <w:proofErr w:type="spellStart"/>
      <w:r w:rsidRPr="004D0537">
        <w:t>Enisas</w:t>
      </w:r>
      <w:proofErr w:type="spellEnd"/>
      <w:r w:rsidRPr="004D0537">
        <w:t xml:space="preserve"> svar att man redan har tagit itu med problemet.</w:t>
      </w:r>
    </w:p>
    <w:p w14:paraId="585FEF0F" w14:textId="03FCA074" w:rsidR="004B06CC" w:rsidRPr="004D0537" w:rsidRDefault="004B06CC" w:rsidP="004B06CC">
      <w:pPr>
        <w:spacing w:after="240"/>
        <w:ind w:left="567" w:hanging="567"/>
      </w:pPr>
      <w:r w:rsidRPr="004D0537">
        <w:t>13</w:t>
      </w:r>
      <w:r w:rsidR="007B6266" w:rsidRPr="004D0537">
        <w:t>8</w:t>
      </w:r>
      <w:r w:rsidRPr="004D0537">
        <w:t>.</w:t>
      </w:r>
      <w:r w:rsidRPr="004D0537">
        <w:tab/>
        <w:t xml:space="preserve">Europaparlamentet noterar revisionsrättens iakttagelse avseende EIT, särskilt en extern efterhandskontroll av ett representativt urval av kostnadsposter inom ramen för bidragsutbetalningar, som resulterade i en övergripande felprocent på 0,4 %. Parlamentet konstaterar att revisionsrätten gjorde en ny beräkning av den övergripande felprocenten för urvalet och inkluderade ytterligare ett icke stödberättigande belopp som den upptäckte i sin revision, och drog slutsatsen att den uppskattade felprocenten för bidragsbetalningarna uppgick till 0,8 %. Vid tillämpning av denna felprocent på de 6 miljoner EUR som utgör </w:t>
      </w:r>
      <w:proofErr w:type="spellStart"/>
      <w:r w:rsidRPr="004D0537">
        <w:t>EIT:s</w:t>
      </w:r>
      <w:proofErr w:type="spellEnd"/>
      <w:r w:rsidR="00353A6C" w:rsidRPr="004D0537">
        <w:t xml:space="preserve"> </w:t>
      </w:r>
      <w:r w:rsidRPr="004D0537">
        <w:t>reglerade bidragsbetalningar 2024 omfattas omkring 50 000 EUR eventuellt av fel.</w:t>
      </w:r>
    </w:p>
    <w:p w14:paraId="73630157" w14:textId="0DA426EF" w:rsidR="004B06CC" w:rsidRPr="004D0537" w:rsidRDefault="004B06CC" w:rsidP="004B06CC">
      <w:pPr>
        <w:spacing w:after="240"/>
        <w:ind w:left="567" w:hanging="567"/>
      </w:pPr>
      <w:r w:rsidRPr="004D0537">
        <w:t>13</w:t>
      </w:r>
      <w:r w:rsidR="00353A6C" w:rsidRPr="004D0537">
        <w:t>9</w:t>
      </w:r>
      <w:r w:rsidRPr="004D0537">
        <w:t>.</w:t>
      </w:r>
      <w:r w:rsidRPr="004D0537">
        <w:tab/>
        <w:t xml:space="preserve">Europaparlamentet noterar att EIT under 2023 ändrade strukturen för sina bidragsöverenskommelser från årliga till fleråriga bidrag. Parlamentet uppmärksammar </w:t>
      </w:r>
      <w:r w:rsidRPr="004D0537">
        <w:lastRenderedPageBreak/>
        <w:t>att denna förändring påverkar revisionsrättens bedömning av lagligheten och korrektheten, som endast kan göras vid tidpunkten för mellanliggande betalningar och slutbetalningar. Parlamentet noterar att EIT under 2024 betalade ut 412 miljoner EUR i förfinansiering i samband med fleråriga bidragsöverenskommelser, vilket motsvarar 92,9 % av de totala utbetalningarna för året. Parlamentet noterar att dessa utbetalningars laglighet och korrekthet kommer att bedömas under kommande år. Parlamentet betonar att en så stor andel utbetalningar av förfinansiering kräver förstärkta övervaknings- och kontrollmekanismer för att minska risken för framtida finansiella korrigeringar eller återkrav.</w:t>
      </w:r>
    </w:p>
    <w:p w14:paraId="38376037" w14:textId="6D76596A" w:rsidR="004B06CC" w:rsidRPr="004D0537" w:rsidRDefault="004B06CC" w:rsidP="004B06CC">
      <w:pPr>
        <w:spacing w:after="240"/>
        <w:ind w:left="567" w:hanging="567"/>
      </w:pPr>
      <w:r w:rsidRPr="004D0537">
        <w:t>1</w:t>
      </w:r>
      <w:r w:rsidR="00353A6C" w:rsidRPr="004D0537">
        <w:t>40</w:t>
      </w:r>
      <w:r w:rsidRPr="004D0537">
        <w:t>.</w:t>
      </w:r>
      <w:r w:rsidRPr="004D0537">
        <w:tab/>
        <w:t>Europaparlamentet uttrycker oro över Olafs tre olika utredningar som avslutades 2024 och dess efterföljande ekonomiska och administrativa rekommendationer. Olaf rekommenderade att EIT skulle återkräva betydande belopp från de stödmottagare som var föremål för utredningen. Det belopp som ska återkrävas avser bidragsöverenskommelser som tilldelats under perioden 2020–2023. Parlamentet noterar att EIT under 2024 gjorde en utbetalning av förfinansiering på 52,1 miljoner EUR i samband med 2023 års bidragsöverenskommelse och att den inte ingick i revisionsrättens granskningspopulation av utbetalningar för 2024.</w:t>
      </w:r>
    </w:p>
    <w:p w14:paraId="3F72F054" w14:textId="7051395B" w:rsidR="004B06CC" w:rsidRPr="004D0537" w:rsidRDefault="004B06CC" w:rsidP="004B06CC">
      <w:pPr>
        <w:spacing w:after="240"/>
        <w:ind w:left="567" w:hanging="567"/>
      </w:pPr>
      <w:r w:rsidRPr="004D0537">
        <w:t>14</w:t>
      </w:r>
      <w:r w:rsidR="00353A6C" w:rsidRPr="004D0537">
        <w:t>1</w:t>
      </w:r>
      <w:r w:rsidRPr="004D0537">
        <w:t>.</w:t>
      </w:r>
      <w:r w:rsidRPr="004D0537">
        <w:tab/>
        <w:t xml:space="preserve">Europaparlamentet noterar med särskild uppmärksamhet de förklaringar som </w:t>
      </w:r>
      <w:proofErr w:type="spellStart"/>
      <w:r w:rsidRPr="004D0537">
        <w:t>EIT:s</w:t>
      </w:r>
      <w:proofErr w:type="spellEnd"/>
      <w:r w:rsidRPr="004D0537">
        <w:t xml:space="preserve"> direktör lämnade under utfrågningen den 1 december 2025 om att oriktigheterna gäller mottagare av EIT-bidrag och inte </w:t>
      </w:r>
      <w:proofErr w:type="spellStart"/>
      <w:r w:rsidRPr="004D0537">
        <w:t>EIT:s</w:t>
      </w:r>
      <w:proofErr w:type="spellEnd"/>
      <w:r w:rsidRPr="004D0537">
        <w:t xml:space="preserve"> personal, och att oriktigheterna i de två större fallen upptäcktes och proaktivt rapporterades av byrån själv till Olaf. Parlamentet noterar vidare att EIT, efter att ha mottagit Olafs slutrapporter, har vidtagit omedelbara korrigerande åtgärder, särskilt för den främsta oriktigheten, inbegripet att ställa in alla utbetalningar till den berörda stödmottagaren, avsluta den pågående bidragsöverenskommelsen i förtid och inleda </w:t>
      </w:r>
      <w:proofErr w:type="spellStart"/>
      <w:r w:rsidRPr="004D0537">
        <w:t>återkravsförfaranden</w:t>
      </w:r>
      <w:proofErr w:type="spellEnd"/>
      <w:r w:rsidRPr="004D0537">
        <w:t xml:space="preserve"> för tidigare berörda bidrag, samt kräva att stödmottagaren förbättrar sina processer och förfaranden. Parlamentet förväntar sig att EIT fullt ut genomför alla uppföljningsåtgärder med anledning av Olafs rekommendationer och säkerställer att förstärkta kontrollmekanismer effektivt minskar liknande risker i framtida finansieringscykler.</w:t>
      </w:r>
    </w:p>
    <w:p w14:paraId="377A91E5" w14:textId="77125004" w:rsidR="004B06CC" w:rsidRPr="004D0537" w:rsidRDefault="004B06CC" w:rsidP="004B06CC">
      <w:pPr>
        <w:spacing w:after="240"/>
        <w:ind w:left="567" w:hanging="567"/>
      </w:pPr>
      <w:r w:rsidRPr="004D0537">
        <w:t>14</w:t>
      </w:r>
      <w:r w:rsidR="00353A6C" w:rsidRPr="004D0537">
        <w:t>2</w:t>
      </w:r>
      <w:r w:rsidRPr="004D0537">
        <w:t>.</w:t>
      </w:r>
      <w:r w:rsidRPr="004D0537">
        <w:tab/>
        <w:t>Europaparlamentet påpekar att på grund av komplexiteten i ett av de tre fallen har EIT ett nära samarbete med kommissionens rättstjänster, Olaf och GD BUDG, och det belopp som ska återkrävas uppskattas för närvarande till omkring 15–20 miljoner EUR.</w:t>
      </w:r>
    </w:p>
    <w:p w14:paraId="743BCDB0" w14:textId="1494A251" w:rsidR="004B06CC" w:rsidRPr="004D0537" w:rsidRDefault="004B06CC" w:rsidP="004B06CC">
      <w:pPr>
        <w:spacing w:after="240"/>
        <w:ind w:left="567" w:hanging="567"/>
      </w:pPr>
      <w:r w:rsidRPr="004D0537">
        <w:t>14</w:t>
      </w:r>
      <w:r w:rsidR="00353A6C" w:rsidRPr="004D0537">
        <w:t>3</w:t>
      </w:r>
      <w:r w:rsidRPr="004D0537">
        <w:t>.</w:t>
      </w:r>
      <w:r w:rsidRPr="004D0537">
        <w:tab/>
        <w:t>Europaparlamentet konstaterar att EIT under 2024 bedömde sina interna kontroller och identifierade tre huvudrisker med hög sannolikhet och en betydande inverkan på verksamheten:</w:t>
      </w:r>
    </w:p>
    <w:p w14:paraId="354ECE6D" w14:textId="77777777" w:rsidR="004B06CC" w:rsidRPr="004D0537" w:rsidRDefault="004B06CC" w:rsidP="004B06CC">
      <w:pPr>
        <w:spacing w:after="240"/>
        <w:ind w:left="1134" w:hanging="567"/>
      </w:pPr>
      <w:r w:rsidRPr="004D0537">
        <w:t>–</w:t>
      </w:r>
      <w:r w:rsidRPr="004D0537">
        <w:tab/>
        <w:t>Otillräckliga personalresurser. Parlamentet noterar att revisionsrätten och kommissionens tjänst för internrevision erkänner denna risk och belyser oriktigheter till följd av underbemanning. Parlamentet kräver att antalet anställda ökas och att finansieringen ökas i enlighet med detta.</w:t>
      </w:r>
    </w:p>
    <w:p w14:paraId="2B51FE3F" w14:textId="77777777" w:rsidR="004B06CC" w:rsidRPr="004D0537" w:rsidRDefault="004B06CC" w:rsidP="004B06CC">
      <w:pPr>
        <w:spacing w:after="240"/>
        <w:ind w:left="1134" w:hanging="567"/>
      </w:pPr>
      <w:r w:rsidRPr="004D0537">
        <w:t>–</w:t>
      </w:r>
      <w:r w:rsidRPr="004D0537">
        <w:tab/>
        <w:t>KI-gruppernas strategiska framsteg. Parlamentet beklagar att kunskaps- och innovationsgrupper (</w:t>
      </w:r>
      <w:r w:rsidRPr="004D0537">
        <w:rPr>
          <w:i/>
          <w:iCs/>
        </w:rPr>
        <w:t>KI-grupper</w:t>
      </w:r>
      <w:r w:rsidRPr="004D0537">
        <w:t>) eventuellt inte uppnår strategiska mål på grund av bristande anpassning, bedrägerier eller andra faktorer. Parlamentet är bekymrat över att vissa KI-grupper fortfarande släpar efter vad gäller system för bedrägeribekämpning, och att de pågående översynerna med anledning av Olafs utredningar rörande KI-grupper potentiellt kräver indrivning av medel.</w:t>
      </w:r>
    </w:p>
    <w:p w14:paraId="039377C7" w14:textId="77777777" w:rsidR="004B06CC" w:rsidRPr="004D0537" w:rsidRDefault="004B06CC" w:rsidP="004B06CC">
      <w:pPr>
        <w:spacing w:after="240"/>
        <w:ind w:left="1134" w:hanging="567"/>
      </w:pPr>
      <w:r w:rsidRPr="004D0537">
        <w:lastRenderedPageBreak/>
        <w:t>–</w:t>
      </w:r>
      <w:r w:rsidRPr="004D0537">
        <w:tab/>
        <w:t>Cybersäkerhetshot. Cyberattacker utgör en mycket hög risk som kan påverka driftskontinuiteten, orsaka dataförlust och skada anseendet.</w:t>
      </w:r>
    </w:p>
    <w:p w14:paraId="4B66CC4F" w14:textId="2523B074" w:rsidR="004B06CC" w:rsidRPr="004D0537" w:rsidRDefault="004B06CC" w:rsidP="004B06CC">
      <w:pPr>
        <w:spacing w:after="240"/>
        <w:ind w:left="567" w:hanging="567"/>
      </w:pPr>
      <w:r w:rsidRPr="004D0537">
        <w:t>14</w:t>
      </w:r>
      <w:r w:rsidR="00353A6C" w:rsidRPr="004D0537">
        <w:t>4</w:t>
      </w:r>
      <w:r w:rsidRPr="004D0537">
        <w:t>.</w:t>
      </w:r>
      <w:r w:rsidRPr="004D0537">
        <w:tab/>
        <w:t xml:space="preserve">Europaparlamentet uppmärksammar två budgetmässiga oriktigheter i </w:t>
      </w:r>
      <w:proofErr w:type="spellStart"/>
      <w:r w:rsidRPr="004D0537">
        <w:t>EIT:s</w:t>
      </w:r>
      <w:proofErr w:type="spellEnd"/>
      <w:r w:rsidRPr="004D0537">
        <w:t xml:space="preserve"> ändringsbudget för 2025:</w:t>
      </w:r>
    </w:p>
    <w:p w14:paraId="41B8C353" w14:textId="77777777" w:rsidR="004B06CC" w:rsidRPr="004D0537" w:rsidRDefault="004B06CC" w:rsidP="004B06CC">
      <w:pPr>
        <w:spacing w:after="240"/>
        <w:ind w:left="1134" w:hanging="567"/>
      </w:pPr>
      <w:r w:rsidRPr="004D0537">
        <w:t>–</w:t>
      </w:r>
      <w:r w:rsidRPr="004D0537">
        <w:tab/>
        <w:t>Budgetbalans. Parlamentet noterar att den ursprungliga versionen visade 463,6 miljoner EUR i inkomster jämfört med 446,7 miljoner EUR i utgifter, vilket strider mot artiklarna 8 och 16 i rambudgetförordningen. Parlamentet noterar den korrigerade versionen av den 31 mars 2025.</w:t>
      </w:r>
    </w:p>
    <w:p w14:paraId="682A0BB6" w14:textId="77777777" w:rsidR="004B06CC" w:rsidRPr="004D0537" w:rsidRDefault="004B06CC" w:rsidP="004B06CC">
      <w:pPr>
        <w:spacing w:after="240"/>
        <w:ind w:left="1134" w:hanging="567"/>
      </w:pPr>
      <w:r w:rsidRPr="004D0537">
        <w:t>–</w:t>
      </w:r>
      <w:r w:rsidRPr="004D0537">
        <w:tab/>
        <w:t>Fel vid klassificering av inkomster. Parlamentet noterar att EIT inkluderade 16,7 miljoner EUR i externa inkomster avsatta för särskilda ändamål under avdelning 2 Bidrag i stället för att skapa ett särskilt kapitel, vilket strider mot artiklarna 8, 20, 21 och 25. Parlamentet noterar att EIT sedan dess har åtagit sig att omstrukturera sin budget för att klassificera sådana inkomster korrekt under 2025.</w:t>
      </w:r>
    </w:p>
    <w:p w14:paraId="301026AD" w14:textId="6535205D" w:rsidR="004B06CC" w:rsidRPr="004D0537" w:rsidRDefault="004B06CC" w:rsidP="004B06CC">
      <w:pPr>
        <w:spacing w:after="240"/>
        <w:ind w:left="567" w:hanging="567"/>
      </w:pPr>
      <w:r w:rsidRPr="004D0537">
        <w:t>14</w:t>
      </w:r>
      <w:r w:rsidR="00353A6C" w:rsidRPr="004D0537">
        <w:t>5</w:t>
      </w:r>
      <w:r w:rsidRPr="004D0537">
        <w:t>.</w:t>
      </w:r>
      <w:r w:rsidRPr="004D0537">
        <w:tab/>
      </w:r>
      <w:bookmarkStart w:id="12" w:name="_Hlk216795090"/>
      <w:r w:rsidRPr="004D0537">
        <w:t xml:space="preserve">Europaparlamentet noterar att </w:t>
      </w:r>
      <w:proofErr w:type="spellStart"/>
      <w:r w:rsidRPr="004D0537">
        <w:t>EIT:s</w:t>
      </w:r>
      <w:proofErr w:type="spellEnd"/>
      <w:r w:rsidRPr="004D0537">
        <w:t xml:space="preserve"> ramavtal för resetjänster inte överensstämmer med avtalsvillkoren, eftersom beställningssedlar eller specifika kontrakt inte används för att beställa resetjänster. Parlamentet konstaterar att EIT använder personalens reseförordnanden som ett rättsligt åtagande, men inte informerar entreprenören om dem, och i stället delegerar hela ansvaret till personal som ska på tjänsteresa som måste beställa sina resetjänster direkt via e-post.</w:t>
      </w:r>
      <w:bookmarkEnd w:id="12"/>
      <w:r w:rsidRPr="004D0537">
        <w:t>; Parlamentet framhåller tre fall där reseförordnanden och ersättningsanspråk inte hade godkänts av formellt delegerad personal, och att EIT saknar ett tillförlitligt system för att övervaka att taket i avtalet respekteras. Parlamentet noterar att EIT i sitt svar bekräftar att taket i ramavtalet inte har överskridits, men uppmanar byrån att säkerställa en ordentlig delegering av godkännandebefogenheter och att införa ett övervakningssystem för att spåra att utnyttjandet håller sig under taket i ramavtalet.</w:t>
      </w:r>
    </w:p>
    <w:p w14:paraId="76A8815A" w14:textId="422781E7" w:rsidR="004B06CC" w:rsidRPr="004D0537" w:rsidRDefault="004B06CC" w:rsidP="004B06CC">
      <w:pPr>
        <w:spacing w:after="240"/>
        <w:ind w:left="567" w:hanging="567"/>
      </w:pPr>
      <w:r w:rsidRPr="004D0537">
        <w:t>14</w:t>
      </w:r>
      <w:r w:rsidR="00353A6C" w:rsidRPr="004D0537">
        <w:t>6</w:t>
      </w:r>
      <w:r w:rsidRPr="004D0537">
        <w:t>.</w:t>
      </w:r>
      <w:r w:rsidRPr="004D0537">
        <w:tab/>
        <w:t xml:space="preserve">Europaparlamentet konstaterar att EIT förde över 118 697 EUR i åtaganden för personalutgifter till 2025 som anslag av typen C9, trots att sådana åtaganden enligt artikel 12.5 i rambudgetförordningen ska förfalla vid årets slut. Parlamentet noterar </w:t>
      </w:r>
      <w:proofErr w:type="spellStart"/>
      <w:r w:rsidRPr="004D0537">
        <w:t>EIT:s</w:t>
      </w:r>
      <w:proofErr w:type="spellEnd"/>
      <w:r w:rsidRPr="004D0537">
        <w:t xml:space="preserve"> erkännande av problemet och åtagandet att stärka de interna kontrollerna för att förhindra att det upprepas.</w:t>
      </w:r>
    </w:p>
    <w:p w14:paraId="397756FA" w14:textId="00AF46E6" w:rsidR="004B06CC" w:rsidRPr="004D0537" w:rsidRDefault="004B06CC" w:rsidP="004B06CC">
      <w:pPr>
        <w:spacing w:after="240"/>
        <w:ind w:left="567" w:hanging="567"/>
      </w:pPr>
      <w:r w:rsidRPr="004D0537">
        <w:t>14</w:t>
      </w:r>
      <w:r w:rsidR="00353A6C" w:rsidRPr="004D0537">
        <w:t>7</w:t>
      </w:r>
      <w:r w:rsidRPr="004D0537">
        <w:t>.</w:t>
      </w:r>
      <w:r w:rsidRPr="004D0537">
        <w:tab/>
        <w:t xml:space="preserve">Europaparlamentet noterar </w:t>
      </w:r>
      <w:proofErr w:type="spellStart"/>
      <w:r w:rsidRPr="004D0537">
        <w:t>EUSPA:s</w:t>
      </w:r>
      <w:proofErr w:type="spellEnd"/>
      <w:r w:rsidRPr="004D0537">
        <w:t xml:space="preserve"> strategiska roll som en central pelare i EU:s rymdprogram för att stärka unionens industriella bas, konkurrenskraft och innovation. Parlamentet uppmanar kommissionen att vid utarbetandet av nästa fleråriga budgetram säkerställa att EUSPA har tillräckliga befogenheter och resurser för att stärka sina prestationer och sin genomförandekapacitet till stöd för unionens strategiska oberoende och suveränitet, bland annat genom att genomföra nya uppgifter inom ramen för EU:s rymdförordning. Parlamentet understryker vikten av att prioritera europeisk upphandling på områden som är avgörande för unionens </w:t>
      </w:r>
      <w:proofErr w:type="spellStart"/>
      <w:r w:rsidRPr="004D0537">
        <w:t>resiliens</w:t>
      </w:r>
      <w:proofErr w:type="spellEnd"/>
      <w:r w:rsidRPr="004D0537">
        <w:t>, säkerhet och tekniska oberoende.</w:t>
      </w:r>
    </w:p>
    <w:p w14:paraId="32508345" w14:textId="5F3FA012" w:rsidR="004B06CC" w:rsidRPr="004D0537" w:rsidRDefault="004B06CC" w:rsidP="004B06CC">
      <w:pPr>
        <w:spacing w:after="240"/>
        <w:ind w:left="567" w:hanging="567"/>
      </w:pPr>
      <w:r w:rsidRPr="004D0537">
        <w:t>14</w:t>
      </w:r>
      <w:r w:rsidR="00353A6C" w:rsidRPr="004D0537">
        <w:t>8</w:t>
      </w:r>
      <w:r w:rsidRPr="004D0537">
        <w:t>.</w:t>
      </w:r>
      <w:r w:rsidRPr="004D0537">
        <w:tab/>
        <w:t>Europaparlamentet uppmanar byråerna att vidta åtgärder med anledning av revisionsrättens iakttagelser, särskilt när det gäller följande:</w:t>
      </w:r>
    </w:p>
    <w:p w14:paraId="55C8CEB9" w14:textId="77777777" w:rsidR="004B06CC" w:rsidRPr="004D0537" w:rsidRDefault="004B06CC" w:rsidP="004B06CC">
      <w:pPr>
        <w:spacing w:after="240"/>
        <w:ind w:left="1134" w:hanging="567"/>
      </w:pPr>
      <w:r w:rsidRPr="004D0537">
        <w:t>i)</w:t>
      </w:r>
      <w:r w:rsidRPr="004D0537">
        <w:tab/>
      </w:r>
      <w:proofErr w:type="spellStart"/>
      <w:r w:rsidRPr="004D0537">
        <w:t>Berecbyrån</w:t>
      </w:r>
      <w:proofErr w:type="spellEnd"/>
      <w:r w:rsidRPr="004D0537">
        <w:t xml:space="preserve"> ska säkerställa fullständig efterlevnad av upphandlingsreglerna genom att systematiskt fastställa urvalskriterier i förhandlade förfaranden och att stärka </w:t>
      </w:r>
      <w:r w:rsidRPr="004D0537">
        <w:lastRenderedPageBreak/>
        <w:t>mekanismerna för att säkra kapacitet.</w:t>
      </w:r>
    </w:p>
    <w:p w14:paraId="13AF7530" w14:textId="77777777" w:rsidR="004B06CC" w:rsidRPr="004D0537" w:rsidRDefault="004B06CC" w:rsidP="004B06CC">
      <w:pPr>
        <w:spacing w:after="240"/>
        <w:ind w:left="1134" w:hanging="567"/>
      </w:pPr>
      <w:r w:rsidRPr="004D0537">
        <w:t>ii)</w:t>
      </w:r>
      <w:r w:rsidRPr="004D0537">
        <w:tab/>
      </w:r>
      <w:proofErr w:type="spellStart"/>
      <w:r w:rsidRPr="004D0537">
        <w:t>CdT</w:t>
      </w:r>
      <w:proofErr w:type="spellEnd"/>
      <w:r w:rsidRPr="004D0537">
        <w:t xml:space="preserve"> ska stärka upphandlingskontrollerna för att förhindra upprepad bristande efterlevnad av unionens och interna finansiella regler.</w:t>
      </w:r>
    </w:p>
    <w:p w14:paraId="4D2F6E14" w14:textId="77777777" w:rsidR="004B06CC" w:rsidRPr="004D0537" w:rsidRDefault="004B06CC" w:rsidP="004B06CC">
      <w:pPr>
        <w:spacing w:after="240"/>
        <w:ind w:left="1134" w:hanging="567"/>
        <w:rPr>
          <w:bCs/>
        </w:rPr>
      </w:pPr>
      <w:r w:rsidRPr="004D0537">
        <w:t>iii)</w:t>
      </w:r>
      <w:r w:rsidRPr="004D0537">
        <w:tab/>
      </w:r>
      <w:proofErr w:type="spellStart"/>
      <w:r w:rsidRPr="004D0537">
        <w:t>Enisa</w:t>
      </w:r>
      <w:proofErr w:type="spellEnd"/>
      <w:r w:rsidRPr="004D0537">
        <w:t xml:space="preserve"> ska anta finansieringsbeslut före upphandling, införa riktlinjer och förhandskontroller för konferensarrangemang och säkerställa fullständig dokumentation och mätbara urvalskriterier i alla förfaranden.</w:t>
      </w:r>
    </w:p>
    <w:p w14:paraId="2F9EE596" w14:textId="77777777" w:rsidR="004B06CC" w:rsidRPr="004D0537" w:rsidRDefault="004B06CC" w:rsidP="004B06CC">
      <w:pPr>
        <w:spacing w:after="240"/>
        <w:ind w:left="1134" w:hanging="567"/>
      </w:pPr>
      <w:r w:rsidRPr="004D0537">
        <w:t>iv)</w:t>
      </w:r>
      <w:r w:rsidRPr="004D0537">
        <w:tab/>
        <w:t>EIT ska stärka externa kontrollanters övervakning och förbättra sina checklistor för översyn, säkerställa lämplig budgetbalans och inkomstklassificering, förbättra genomförandet av sitt ramavtal för resetjänster och stärka de interna kontrollerna för att undvika oriktiga överföringar.</w:t>
      </w:r>
    </w:p>
    <w:p w14:paraId="7DDA69AE" w14:textId="26ECCD6D" w:rsidR="004B06CC" w:rsidRPr="004D0537" w:rsidRDefault="001725A4" w:rsidP="004B06CC">
      <w:pPr>
        <w:spacing w:after="240"/>
        <w:ind w:left="567" w:hanging="567"/>
      </w:pPr>
      <w:r w:rsidRPr="004D0537">
        <w:t>149</w:t>
      </w:r>
      <w:r w:rsidR="004B06CC" w:rsidRPr="004D0537">
        <w:t>.</w:t>
      </w:r>
      <w:r w:rsidR="004B06CC" w:rsidRPr="004D0537">
        <w:tab/>
        <w:t>Europaparlamentet uppmanar dessutom</w:t>
      </w:r>
    </w:p>
    <w:p w14:paraId="3F152F46" w14:textId="77777777" w:rsidR="004B06CC" w:rsidRPr="004D0537" w:rsidRDefault="004B06CC" w:rsidP="004B06CC">
      <w:pPr>
        <w:spacing w:after="240"/>
        <w:ind w:left="1134" w:hanging="567"/>
      </w:pPr>
      <w:r w:rsidRPr="004D0537">
        <w:t>i)</w:t>
      </w:r>
      <w:r w:rsidRPr="004D0537">
        <w:tab/>
      </w:r>
      <w:proofErr w:type="spellStart"/>
      <w:r w:rsidRPr="004D0537">
        <w:t>Berecbyrån</w:t>
      </w:r>
      <w:proofErr w:type="spellEnd"/>
      <w:r w:rsidRPr="004D0537">
        <w:t xml:space="preserve"> att rapportera till den ansvarsfrihetsbeviljande myndigheten om slutförandet inom fastställd tid och uppföljningen av kommissionens försenade femårsutvärdering,</w:t>
      </w:r>
    </w:p>
    <w:p w14:paraId="2AC35C09" w14:textId="77777777" w:rsidR="004B06CC" w:rsidRPr="004D0537" w:rsidRDefault="004B06CC" w:rsidP="004B06CC">
      <w:pPr>
        <w:spacing w:after="240"/>
        <w:ind w:left="1134" w:hanging="567"/>
      </w:pPr>
      <w:r w:rsidRPr="004D0537">
        <w:t>ii)</w:t>
      </w:r>
      <w:r w:rsidRPr="004D0537">
        <w:tab/>
      </w:r>
      <w:proofErr w:type="spellStart"/>
      <w:r w:rsidRPr="004D0537">
        <w:t>Enisa</w:t>
      </w:r>
      <w:proofErr w:type="spellEnd"/>
      <w:r w:rsidRPr="004D0537">
        <w:t xml:space="preserve"> att informera den ansvarsfrihetsbeviljande myndigheten om framstegen med att genomföra korrigerande åtgärder när det gäller upphandlingsplanering, konferenshantering och dokumentation av forsknings- och utvecklingsförfaranden,</w:t>
      </w:r>
    </w:p>
    <w:p w14:paraId="23AE8350" w14:textId="4749CCA6" w:rsidR="004B06CC" w:rsidRPr="004D0537" w:rsidRDefault="004B06CC" w:rsidP="004B06CC">
      <w:pPr>
        <w:spacing w:after="240"/>
        <w:ind w:left="1134" w:hanging="567"/>
      </w:pPr>
      <w:r w:rsidRPr="004D0537">
        <w:t>iii)</w:t>
      </w:r>
      <w:r w:rsidRPr="004D0537">
        <w:tab/>
      </w:r>
      <w:r w:rsidR="00ED3CFA" w:rsidRPr="004D0537">
        <w:rPr>
          <w:szCs w:val="24"/>
          <w:lang w:eastAsia="en-US"/>
        </w:rPr>
        <w:t xml:space="preserve">EIT att uppdatera den ansvarsfrihetsbeviljande myndigheten om genomförandet av Olafs rekommendationer och stärkta kontrollmekanismer för att undvika upprepningar i framtiden, att fortsätta att stärka sin styrning av cybersäkerheten i full överensstämmelse med förordning (EU, Euratom) 2023/2841, för att ytterligare förbättra den interna </w:t>
      </w:r>
      <w:proofErr w:type="spellStart"/>
      <w:r w:rsidR="00ED3CFA" w:rsidRPr="004D0537">
        <w:rPr>
          <w:szCs w:val="24"/>
          <w:lang w:eastAsia="en-US"/>
        </w:rPr>
        <w:t>cyberresiliensen</w:t>
      </w:r>
      <w:proofErr w:type="spellEnd"/>
      <w:r w:rsidR="00ED3CFA" w:rsidRPr="004D0537">
        <w:rPr>
          <w:b/>
          <w:bCs/>
          <w:i/>
          <w:iCs/>
          <w:szCs w:val="24"/>
          <w:lang w:eastAsia="en-US"/>
        </w:rPr>
        <w:t>,</w:t>
      </w:r>
      <w:r w:rsidR="00ED3CFA" w:rsidRPr="004D0537">
        <w:rPr>
          <w:szCs w:val="24"/>
          <w:lang w:eastAsia="en-US"/>
        </w:rPr>
        <w:t xml:space="preserve"> </w:t>
      </w:r>
      <w:r w:rsidR="00ED3CFA" w:rsidRPr="004D0537">
        <w:rPr>
          <w:bCs/>
          <w:iCs/>
          <w:szCs w:val="24"/>
          <w:lang w:eastAsia="en-US"/>
        </w:rPr>
        <w:t>att fastställa en policy för tillgång till handlingar för att möjliggöra parlamentarisk och offentlig granskning av användningen av unionsmedel, särskilt med avseende på kunskaps- och innovationsgrupperna (KI-grupperna).</w:t>
      </w:r>
    </w:p>
    <w:p w14:paraId="5A9CE677" w14:textId="616072FB" w:rsidR="00ED3CFA" w:rsidRPr="004D0537" w:rsidRDefault="001725A4" w:rsidP="004B06CC">
      <w:pPr>
        <w:spacing w:after="240"/>
        <w:ind w:left="1134" w:hanging="567"/>
        <w:rPr>
          <w:bCs/>
          <w:iCs/>
        </w:rPr>
      </w:pPr>
      <w:r w:rsidRPr="004D0537">
        <w:rPr>
          <w:bCs/>
          <w:iCs/>
          <w:szCs w:val="24"/>
          <w:lang w:eastAsia="en-US"/>
        </w:rPr>
        <w:t>iv</w:t>
      </w:r>
      <w:r w:rsidR="00ED3CFA" w:rsidRPr="004D0537">
        <w:rPr>
          <w:bCs/>
          <w:iCs/>
          <w:szCs w:val="24"/>
          <w:lang w:eastAsia="en-US"/>
        </w:rPr>
        <w:t>)</w:t>
      </w:r>
      <w:r w:rsidR="00ED3CFA" w:rsidRPr="004D0537">
        <w:rPr>
          <w:bCs/>
          <w:iCs/>
          <w:szCs w:val="24"/>
          <w:lang w:eastAsia="en-US"/>
        </w:rPr>
        <w:tab/>
      </w:r>
      <w:proofErr w:type="spellStart"/>
      <w:r w:rsidR="00ED3CFA" w:rsidRPr="004D0537">
        <w:rPr>
          <w:bCs/>
          <w:iCs/>
          <w:szCs w:val="24"/>
          <w:lang w:eastAsia="en-US"/>
        </w:rPr>
        <w:t>CdT</w:t>
      </w:r>
      <w:proofErr w:type="spellEnd"/>
      <w:r w:rsidR="00ED3CFA" w:rsidRPr="004D0537">
        <w:rPr>
          <w:bCs/>
          <w:iCs/>
          <w:szCs w:val="24"/>
          <w:lang w:eastAsia="en-US"/>
        </w:rPr>
        <w:t xml:space="preserve"> att fortsätta att förbättra tillgången till handlingar på unionens alla språk för att säkerställa lika tillgång för alla unionsmedborgare.</w:t>
      </w:r>
    </w:p>
    <w:p w14:paraId="78F056D2" w14:textId="65918957" w:rsidR="004B06CC" w:rsidRPr="004D0537" w:rsidRDefault="001725A4" w:rsidP="004B06CC">
      <w:pPr>
        <w:spacing w:after="240"/>
        <w:ind w:left="567" w:hanging="567"/>
      </w:pPr>
      <w:r w:rsidRPr="004D0537">
        <w:t>150</w:t>
      </w:r>
      <w:r w:rsidR="004B06CC" w:rsidRPr="004D0537">
        <w:t>.</w:t>
      </w:r>
      <w:r w:rsidR="004B06CC" w:rsidRPr="004D0537">
        <w:tab/>
        <w:t>Europaparlamentet uppmanar kommissionen att</w:t>
      </w:r>
    </w:p>
    <w:p w14:paraId="373FB06C" w14:textId="77777777" w:rsidR="004B06CC" w:rsidRPr="004D0537" w:rsidRDefault="004B06CC" w:rsidP="004B06CC">
      <w:pPr>
        <w:spacing w:after="240"/>
        <w:ind w:left="1134" w:hanging="567"/>
      </w:pPr>
      <w:r w:rsidRPr="004D0537">
        <w:t>i)</w:t>
      </w:r>
      <w:r w:rsidRPr="004D0537">
        <w:tab/>
        <w:t xml:space="preserve">identifiera systemproblem vid alla byråer när det gäller upphandling av </w:t>
      </w:r>
      <w:proofErr w:type="spellStart"/>
      <w:r w:rsidRPr="004D0537">
        <w:t>it-tjänster</w:t>
      </w:r>
      <w:proofErr w:type="spellEnd"/>
      <w:r w:rsidRPr="004D0537">
        <w:t xml:space="preserve">, att undersöka om nya upphandlingar alltid är nödvändiga för att säkerställa kontinuitet i verksamheten, att undersöka om det bör införas särskilda, mer flexibla regler för </w:t>
      </w:r>
      <w:proofErr w:type="spellStart"/>
      <w:r w:rsidRPr="004D0537">
        <w:t>it-upphandling</w:t>
      </w:r>
      <w:proofErr w:type="spellEnd"/>
      <w:r w:rsidRPr="004D0537">
        <w:t>, att tillhandahålla stöd till och tillsyn över byråerna i detta avseende,</w:t>
      </w:r>
    </w:p>
    <w:p w14:paraId="7A561A66" w14:textId="59727DCF" w:rsidR="004B06CC" w:rsidRPr="004D0537" w:rsidRDefault="004B06CC" w:rsidP="005B4844">
      <w:pPr>
        <w:spacing w:after="240"/>
        <w:ind w:left="1134" w:hanging="567"/>
      </w:pPr>
      <w:r w:rsidRPr="004D0537">
        <w:t>ii)</w:t>
      </w:r>
      <w:r w:rsidRPr="004D0537">
        <w:tab/>
        <w:t>tillhandahålla lämplig utbildning i upphandlingsförfaranden. Parlamentet uppmanar med kraft kommissionen att analysera systemproblem i upphandlingsförfaranden vid alla byråer, att fastställa specifika problemområden och föreslå lösningar.</w:t>
      </w:r>
    </w:p>
    <w:sectPr w:rsidR="004B06CC" w:rsidRPr="004D0537" w:rsidSect="005B4844">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12BB0" w14:textId="77777777" w:rsidR="0053608B" w:rsidRPr="003A4AB5" w:rsidRDefault="0053608B">
      <w:r w:rsidRPr="003A4AB5">
        <w:separator/>
      </w:r>
    </w:p>
  </w:endnote>
  <w:endnote w:type="continuationSeparator" w:id="0">
    <w:p w14:paraId="75CEBD96" w14:textId="77777777" w:rsidR="0053608B" w:rsidRPr="003A4AB5" w:rsidRDefault="0053608B">
      <w:r w:rsidRPr="003A4A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5F53" w14:textId="77777777" w:rsidR="003A4AB5" w:rsidRPr="003A4AB5" w:rsidRDefault="003A4A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8C942" w14:textId="77777777" w:rsidR="003A4AB5" w:rsidRPr="003A4AB5" w:rsidRDefault="003A4A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D0F6"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8</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2DB8578B"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140331D0" w14:textId="77777777" w:rsidR="004B06CC" w:rsidRPr="003A4AB5" w:rsidRDefault="004B06CC"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BDBB"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39D07A9D"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F100"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12</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75F56124"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619CA19B" w14:textId="77777777" w:rsidR="004B06CC" w:rsidRPr="003A4AB5" w:rsidRDefault="004B06CC"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32622"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7D3AA8F6"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4663D"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16</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647325B3"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307A2150" w14:textId="77777777" w:rsidR="004B06CC" w:rsidRPr="003A4AB5" w:rsidRDefault="004B06CC"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BED25"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4D95AA43"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268F8"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20</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06A1ADD1"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0395EC7E" w14:textId="77777777" w:rsidR="004B06CC" w:rsidRPr="003A4AB5" w:rsidRDefault="004B06CC"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FA31"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0CCAF1BC"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9A0C6"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24</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4CE98D57"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36E03266" w14:textId="77777777" w:rsidR="004B06CC" w:rsidRPr="003A4AB5" w:rsidRDefault="004B06CC"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3E59"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0F14A53E"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09621"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28</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1CCC5CA3"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670A9B3A" w14:textId="77777777" w:rsidR="004B06CC" w:rsidRPr="003A4AB5" w:rsidRDefault="004B06CC"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6EFA4"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59040A65"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EE4B7"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32</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37D9337F"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22996216" w14:textId="77777777" w:rsidR="004B06CC" w:rsidRPr="003A4AB5" w:rsidRDefault="004B06CC"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7D39"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6BD0C5E7"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1AF3"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36</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3BD2AAA7"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1BE9A25C" w14:textId="77777777" w:rsidR="004B06CC" w:rsidRPr="003A4AB5" w:rsidRDefault="004B06CC"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4B2A"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6B4057CE"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4C396"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40</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4C601693"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1D4EF160" w14:textId="77777777" w:rsidR="004B06CC" w:rsidRPr="003A4AB5" w:rsidRDefault="004B06CC"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4B419"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0D5DD8F5"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D2A7"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44</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5E092AE1"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20BEEE41" w14:textId="77777777" w:rsidR="004B06CC" w:rsidRPr="003A4AB5" w:rsidRDefault="004B06CC"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3128"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784E85AC"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38FC9"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48</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6F2008A1"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3AF7F6EF" w14:textId="77777777" w:rsidR="004B06CC" w:rsidRPr="003A4AB5" w:rsidRDefault="004B06CC"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2C481"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089942C9"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1BAC7"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52</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23A752D0"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6520CC67" w14:textId="77777777" w:rsidR="004B06CC" w:rsidRPr="003A4AB5" w:rsidRDefault="004B06CC"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E41D"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33D23881"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271A"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56</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4DCFF320"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3DAEF4EE" w14:textId="77777777" w:rsidR="004B06CC" w:rsidRPr="003A4AB5" w:rsidRDefault="004B06CC"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CEF4"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221938FD"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69F62"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60</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5A9D41B9"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5DEF4F37" w14:textId="77777777" w:rsidR="004B06CC" w:rsidRPr="003A4AB5" w:rsidRDefault="004B06CC"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A34CF"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0F48E030"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8F931"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64</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372CB9D3"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49E19224" w14:textId="77777777" w:rsidR="004B06CC" w:rsidRPr="003A4AB5" w:rsidRDefault="004B06CC"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D0B7"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4A2BB50D"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8B5CE"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68</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4DB3612C"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75A3BDCE" w14:textId="77777777" w:rsidR="004B06CC" w:rsidRPr="003A4AB5" w:rsidRDefault="004B06CC"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51D3"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1281E605"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EA809"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72</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53F1587B"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6CDC4038" w14:textId="77777777" w:rsidR="004B06CC" w:rsidRPr="003A4AB5" w:rsidRDefault="004B06CC"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67CAB"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7229AD25"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6DA8"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76</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0CDE971B"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5257AED0" w14:textId="77777777" w:rsidR="004B06CC" w:rsidRPr="003A4AB5" w:rsidRDefault="004B06CC"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8EB3C"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00451E97"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02F4"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80</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73DF2214"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522B587E" w14:textId="77777777" w:rsidR="004B06CC" w:rsidRPr="003A4AB5" w:rsidRDefault="004B06CC"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C341"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5E807C16"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320D"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84</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56D708C5"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12785BA4" w14:textId="77777777" w:rsidR="004B06CC" w:rsidRPr="003A4AB5" w:rsidRDefault="004B06CC"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81402"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5F847760"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0107"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88</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7C812B1A"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025F822E" w14:textId="77777777" w:rsidR="004B06CC" w:rsidRPr="003A4AB5" w:rsidRDefault="004B06CC"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E5A90"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0E3516F0"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BB5F1"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92</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5CCFCB6C"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2ABBC53A" w14:textId="77777777" w:rsidR="004B06CC" w:rsidRPr="003A4AB5" w:rsidRDefault="004B06CC"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3F2F2"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2E7C1445"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6005C"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96</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2398C581"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36DDB7E9" w14:textId="77777777" w:rsidR="004B06CC" w:rsidRPr="003A4AB5" w:rsidRDefault="004B06CC"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F092"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40A2051A"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DA45"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100</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3E9F40F7"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7E8C0A89" w14:textId="77777777" w:rsidR="004B06CC" w:rsidRPr="003A4AB5" w:rsidRDefault="004B06CC"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D7E48"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37A24BF3"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02AEF"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104</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75CBE445"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2A0115EA" w14:textId="77777777" w:rsidR="004B06CC" w:rsidRPr="003A4AB5" w:rsidRDefault="004B06CC"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E53F5"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287785F1"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6E248"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108</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3AA3EBC7"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3D990271" w14:textId="77777777" w:rsidR="004B06CC" w:rsidRPr="003A4AB5" w:rsidRDefault="004B06CC"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C6941"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614EABBE"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EA56"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112</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2413ACA7"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21D33A1E" w14:textId="77777777" w:rsidR="004B06CC" w:rsidRPr="003A4AB5" w:rsidRDefault="004B06CC"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4D21"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0CE5CD13"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A1B4C"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116</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2DF62A0C"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57B7D684" w14:textId="77777777" w:rsidR="004B06CC" w:rsidRPr="003A4AB5" w:rsidRDefault="004B06CC"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AE5B9"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75DBACBE"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7B260"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120</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78D2E0A4"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4D00F6A1" w14:textId="77777777" w:rsidR="004B06CC" w:rsidRPr="003A4AB5" w:rsidRDefault="004B06CC"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349F"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4F18901A"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4AFA"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124</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0B601FA2"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01AA2FEB" w14:textId="77777777" w:rsidR="004B06CC" w:rsidRPr="003A4AB5" w:rsidRDefault="004B06CC"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AD67"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0C4A057D"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56AE"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128</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60512906"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249FC6E3" w14:textId="77777777" w:rsidR="004B06CC" w:rsidRPr="003A4AB5" w:rsidRDefault="004B06CC"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C561"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5813F859"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8858"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132</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7DBA7B8C"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7622930E" w14:textId="77777777" w:rsidR="004B06CC" w:rsidRPr="003A4AB5" w:rsidRDefault="004B06CC"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E714" w14:textId="77777777" w:rsidR="004B06CC" w:rsidRPr="003A4AB5" w:rsidRDefault="004B06CC" w:rsidP="001A54A8">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3065BF89" w14:textId="77777777" w:rsidR="004B06CC" w:rsidRPr="003A4AB5" w:rsidRDefault="004B06CC" w:rsidP="00390068">
    <w:pPr>
      <w:pStyle w:val="EPFooter2"/>
      <w:tabs>
        <w:tab w:val="clear" w:pos="4535"/>
        <w:tab w:val="center" w:pos="4536"/>
      </w:tabs>
    </w:pPr>
    <w:r w:rsidRPr="003A4AB5">
      <w:fldChar w:fldCharType="begin"/>
    </w:r>
    <w:r w:rsidRPr="003A4AB5">
      <w:instrText xml:space="preserve"> DOCPROPERTY "&lt;Extension&gt;" </w:instrText>
    </w:r>
    <w:r w:rsidRPr="003A4AB5">
      <w:fldChar w:fldCharType="separate"/>
    </w:r>
    <w:r w:rsidRPr="003A4AB5">
      <w:t>SV</w:t>
    </w:r>
    <w:r w:rsidRPr="003A4AB5">
      <w:fldChar w:fldCharType="end"/>
    </w:r>
    <w:r w:rsidRPr="003A4AB5">
      <w:tab/>
    </w:r>
    <w:r w:rsidRPr="003A4AB5">
      <w:rPr>
        <w:b w:val="0"/>
        <w:i/>
        <w:color w:val="C0C0C0"/>
        <w:sz w:val="22"/>
        <w:szCs w:val="22"/>
      </w:rPr>
      <w:t xml:space="preserve">United in </w:t>
    </w:r>
    <w:proofErr w:type="spellStart"/>
    <w:r w:rsidRPr="003A4AB5">
      <w:rPr>
        <w:b w:val="0"/>
        <w:i/>
        <w:color w:val="C0C0C0"/>
        <w:sz w:val="22"/>
        <w:szCs w:val="22"/>
      </w:rPr>
      <w:t>diversity</w:t>
    </w:r>
    <w:proofErr w:type="spellEnd"/>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39BF" w14:textId="77777777" w:rsidR="004B06CC" w:rsidRPr="003A4AB5" w:rsidRDefault="004B06CC" w:rsidP="00806EEE">
    <w:pPr>
      <w:pStyle w:val="EPFooter"/>
    </w:pPr>
    <w:r w:rsidRPr="003A4AB5">
      <w:rPr>
        <w:rStyle w:val="HideTWBExt"/>
        <w:rFonts w:eastAsia="Yu Gothic Light"/>
      </w:rPr>
      <w:t>&lt;PathFdR&gt;</w:t>
    </w:r>
    <w:r w:rsidRPr="003A4AB5">
      <w:t>PR\1326657EN.docx</w:t>
    </w:r>
    <w:r w:rsidRPr="003A4AB5">
      <w:rPr>
        <w:rStyle w:val="HideTWBExt"/>
        <w:rFonts w:eastAsia="Yu Gothic Light"/>
      </w:rPr>
      <w:t>&lt;/PathFdR&gt;</w:t>
    </w:r>
    <w:r w:rsidRPr="003A4AB5">
      <w:tab/>
    </w:r>
    <w:r w:rsidRPr="003A4AB5">
      <w:fldChar w:fldCharType="begin"/>
    </w:r>
    <w:r w:rsidRPr="003A4AB5">
      <w:instrText xml:space="preserve"> PAGE </w:instrText>
    </w:r>
    <w:r w:rsidRPr="003A4AB5">
      <w:fldChar w:fldCharType="separate"/>
    </w:r>
    <w:r w:rsidRPr="003A4AB5">
      <w:rPr>
        <w:noProof/>
      </w:rPr>
      <w:t>138</w:t>
    </w:r>
    <w:r w:rsidRPr="003A4AB5">
      <w:fldChar w:fldCharType="end"/>
    </w:r>
    <w:r w:rsidRPr="003A4AB5">
      <w:t>/</w:t>
    </w:r>
    <w:r w:rsidRPr="003A4AB5">
      <w:fldChar w:fldCharType="begin"/>
    </w:r>
    <w:r w:rsidRPr="003A4AB5">
      <w:instrText xml:space="preserve"> NUMPAGES </w:instrText>
    </w:r>
    <w:r w:rsidRPr="003A4AB5">
      <w:fldChar w:fldCharType="separate"/>
    </w:r>
    <w:r w:rsidRPr="003A4AB5">
      <w:rPr>
        <w:noProof/>
      </w:rPr>
      <w:t>141</w:t>
    </w:r>
    <w:r w:rsidRPr="003A4AB5">
      <w:rPr>
        <w:noProof/>
      </w:rPr>
      <w:fldChar w:fldCharType="end"/>
    </w:r>
    <w:r w:rsidRPr="003A4AB5">
      <w:tab/>
      <w:t>PE</w:t>
    </w:r>
    <w:r w:rsidRPr="003A4AB5">
      <w:rPr>
        <w:rStyle w:val="HideTWBExt"/>
        <w:rFonts w:eastAsia="Yu Gothic Light"/>
      </w:rPr>
      <w:t>&lt;NoPE&gt;</w:t>
    </w:r>
    <w:r w:rsidRPr="003A4AB5">
      <w:t>776.806</w:t>
    </w:r>
    <w:r w:rsidRPr="003A4AB5">
      <w:rPr>
        <w:rStyle w:val="HideTWBExt"/>
        <w:rFonts w:eastAsia="Yu Gothic Light"/>
      </w:rPr>
      <w:t>&lt;/NoPE&gt;&lt;Version&gt;</w:t>
    </w:r>
    <w:r w:rsidRPr="003A4AB5">
      <w:t>v01-00</w:t>
    </w:r>
    <w:r w:rsidRPr="003A4AB5">
      <w:rPr>
        <w:rStyle w:val="HideTWBExt"/>
        <w:rFonts w:eastAsia="Yu Gothic Light"/>
      </w:rPr>
      <w:t>&lt;/Version&gt;</w:t>
    </w:r>
  </w:p>
  <w:p w14:paraId="66710BC2" w14:textId="77777777" w:rsidR="004B06CC" w:rsidRPr="003A4AB5" w:rsidRDefault="004B06CC" w:rsidP="00806EEE">
    <w:pPr>
      <w:pStyle w:val="EPFooter2"/>
    </w:pPr>
    <w:r w:rsidRPr="003A4AB5">
      <w:tab/>
    </w:r>
    <w:r w:rsidRPr="003A4AB5">
      <w:tab/>
    </w:r>
    <w:r w:rsidRPr="003A4AB5">
      <w:fldChar w:fldCharType="begin"/>
    </w:r>
    <w:r w:rsidRPr="003A4AB5">
      <w:instrText xml:space="preserve"> DOCPROPERTY "&lt;Extension&gt;" </w:instrText>
    </w:r>
    <w:r w:rsidRPr="003A4AB5">
      <w:fldChar w:fldCharType="separate"/>
    </w:r>
    <w:r w:rsidRPr="003A4AB5">
      <w:t>SV</w:t>
    </w:r>
    <w:r w:rsidRPr="003A4AB5">
      <w:fldChar w:fldCharType="end"/>
    </w:r>
  </w:p>
  <w:p w14:paraId="19DCF43C" w14:textId="77777777" w:rsidR="004B06CC" w:rsidRPr="003A4AB5" w:rsidRDefault="004B06CC" w:rsidP="00806EEE"/>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5963D" w14:textId="77777777" w:rsidR="00064002" w:rsidRPr="003A4AB5" w:rsidRDefault="00064002"/>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3E53" w14:textId="77777777" w:rsidR="00064002" w:rsidRPr="003A4AB5" w:rsidRDefault="00064002"/>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C2CD" w14:textId="77777777" w:rsidR="00064002" w:rsidRPr="003A4A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35D09" w14:textId="77777777" w:rsidR="0053608B" w:rsidRPr="003A4AB5" w:rsidRDefault="0053608B">
      <w:r w:rsidRPr="003A4AB5">
        <w:separator/>
      </w:r>
    </w:p>
  </w:footnote>
  <w:footnote w:type="continuationSeparator" w:id="0">
    <w:p w14:paraId="65F9CAD0" w14:textId="77777777" w:rsidR="0053608B" w:rsidRPr="003A4AB5" w:rsidRDefault="0053608B">
      <w:r w:rsidRPr="003A4AB5">
        <w:continuationSeparator/>
      </w:r>
    </w:p>
  </w:footnote>
  <w:footnote w:id="1">
    <w:p w14:paraId="2C28EB4F" w14:textId="36C215A1"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
    <w:p w14:paraId="38D7F098" w14:textId="638E24F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
    <w:p w14:paraId="4F35C837" w14:textId="6012FC7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 w:history="1">
        <w:r w:rsidRPr="00091EB7">
          <w:rPr>
            <w:rStyle w:val="Hyperlink1"/>
            <w:sz w:val="24"/>
            <w:lang w:val="fi-FI"/>
          </w:rPr>
          <w:t>http://data.europa.eu/eli/reg/2018/1046/oj</w:t>
        </w:r>
      </w:hyperlink>
      <w:r w:rsidRPr="00091EB7">
        <w:rPr>
          <w:sz w:val="24"/>
          <w:lang w:val="fi-FI"/>
        </w:rPr>
        <w:t>.</w:t>
      </w:r>
    </w:p>
  </w:footnote>
  <w:footnote w:id="4">
    <w:p w14:paraId="5D4ECD61" w14:textId="7520ECE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4" w:history="1">
        <w:r w:rsidRPr="00091EB7">
          <w:rPr>
            <w:rStyle w:val="Hyperlink1"/>
            <w:sz w:val="24"/>
            <w:lang w:val="fi-FI"/>
          </w:rPr>
          <w:t>http://data.europa.eu/eli/reg/2024/2509/oj</w:t>
        </w:r>
      </w:hyperlink>
      <w:r w:rsidRPr="00091EB7">
        <w:rPr>
          <w:sz w:val="24"/>
          <w:lang w:val="fi-FI"/>
        </w:rPr>
        <w:t>.</w:t>
      </w:r>
    </w:p>
  </w:footnote>
  <w:footnote w:id="5">
    <w:p w14:paraId="3329F58E" w14:textId="4E52B89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158, 14.6.2019, s. 22, ELI: </w:t>
      </w:r>
      <w:hyperlink r:id="rId5" w:history="1">
        <w:r w:rsidRPr="00091EB7">
          <w:rPr>
            <w:rStyle w:val="Hyperlink1"/>
            <w:sz w:val="24"/>
            <w:lang w:val="fi-FI"/>
          </w:rPr>
          <w:t>https://data.europa.eu/eli/reg/2019/942/oj</w:t>
        </w:r>
      </w:hyperlink>
      <w:r w:rsidRPr="00091EB7">
        <w:rPr>
          <w:sz w:val="24"/>
          <w:lang w:val="fi-FI"/>
        </w:rPr>
        <w:t>.</w:t>
      </w:r>
    </w:p>
  </w:footnote>
  <w:footnote w:id="6">
    <w:p w14:paraId="6BBE10F7" w14:textId="1849B64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6" w:history="1">
        <w:r w:rsidRPr="00091EB7">
          <w:rPr>
            <w:rStyle w:val="Hyperlink1"/>
            <w:sz w:val="24"/>
            <w:lang w:val="fi-FI"/>
          </w:rPr>
          <w:t>http://data.europa.eu/eli/reg_del/2019/715/oj</w:t>
        </w:r>
      </w:hyperlink>
      <w:r w:rsidRPr="00091EB7">
        <w:rPr>
          <w:sz w:val="24"/>
          <w:lang w:val="fi-FI"/>
        </w:rPr>
        <w:t>.</w:t>
      </w:r>
    </w:p>
  </w:footnote>
  <w:footnote w:id="7">
    <w:p w14:paraId="759DBF66" w14:textId="445D278C"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7"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8">
    <w:p w14:paraId="3FC4AD02" w14:textId="08766097"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8"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9">
    <w:p w14:paraId="772DF06D" w14:textId="5FAE4D3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9" w:history="1">
        <w:r w:rsidRPr="00091EB7">
          <w:rPr>
            <w:rStyle w:val="Hyperlink1"/>
            <w:sz w:val="24"/>
            <w:lang w:val="fi-FI"/>
          </w:rPr>
          <w:t>http://data.europa.eu/eli/reg/2018/1046/oj</w:t>
        </w:r>
      </w:hyperlink>
      <w:r w:rsidRPr="00091EB7">
        <w:rPr>
          <w:sz w:val="24"/>
          <w:lang w:val="fi-FI"/>
        </w:rPr>
        <w:t>.</w:t>
      </w:r>
    </w:p>
  </w:footnote>
  <w:footnote w:id="10">
    <w:p w14:paraId="386D8979" w14:textId="064C819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0" w:history="1">
        <w:r w:rsidRPr="00091EB7">
          <w:rPr>
            <w:rStyle w:val="Hyperlink1"/>
            <w:sz w:val="24"/>
            <w:lang w:val="fi-FI"/>
          </w:rPr>
          <w:t>http://data.europa.eu/eli/reg/2024/2509/oj</w:t>
        </w:r>
      </w:hyperlink>
      <w:r w:rsidRPr="00091EB7">
        <w:rPr>
          <w:sz w:val="24"/>
          <w:lang w:val="fi-FI"/>
        </w:rPr>
        <w:t>.</w:t>
      </w:r>
    </w:p>
  </w:footnote>
  <w:footnote w:id="11">
    <w:p w14:paraId="5D3FB4CE" w14:textId="4FB58AD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158, 14.6.2019, s. 22, ELI: </w:t>
      </w:r>
      <w:hyperlink r:id="rId11" w:history="1">
        <w:r w:rsidRPr="00091EB7">
          <w:rPr>
            <w:rStyle w:val="Hyperlink1"/>
            <w:sz w:val="24"/>
            <w:lang w:val="fi-FI"/>
          </w:rPr>
          <w:t>https://data.europa.eu/eli/reg/2019/942/oj</w:t>
        </w:r>
      </w:hyperlink>
      <w:r w:rsidRPr="00091EB7">
        <w:rPr>
          <w:sz w:val="24"/>
          <w:lang w:val="fi-FI"/>
        </w:rPr>
        <w:t>.</w:t>
      </w:r>
    </w:p>
  </w:footnote>
  <w:footnote w:id="12">
    <w:p w14:paraId="70083879" w14:textId="5B51653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2" w:history="1">
        <w:r w:rsidRPr="00091EB7">
          <w:rPr>
            <w:rStyle w:val="Hyperlink1"/>
            <w:sz w:val="24"/>
            <w:lang w:val="fi-FI"/>
          </w:rPr>
          <w:t>http://data.europa.eu/eli/reg_del/2019/715/oj</w:t>
        </w:r>
      </w:hyperlink>
      <w:r w:rsidRPr="00091EB7">
        <w:rPr>
          <w:sz w:val="24"/>
          <w:lang w:val="fi-FI"/>
        </w:rPr>
        <w:t>.</w:t>
      </w:r>
    </w:p>
  </w:footnote>
  <w:footnote w:id="13">
    <w:p w14:paraId="066B5A8B" w14:textId="48B930AD"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3"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4">
    <w:p w14:paraId="5F7D3F37" w14:textId="599AA514"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4"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5">
    <w:p w14:paraId="62EF0E13" w14:textId="6A3CCB6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5" w:history="1">
        <w:r w:rsidRPr="00091EB7">
          <w:rPr>
            <w:rStyle w:val="Hyperlink1"/>
            <w:sz w:val="24"/>
            <w:lang w:val="fi-FI"/>
          </w:rPr>
          <w:t>http://data.europa.eu/eli/reg/2018/1046/oj</w:t>
        </w:r>
      </w:hyperlink>
      <w:r w:rsidRPr="00091EB7">
        <w:rPr>
          <w:sz w:val="24"/>
          <w:lang w:val="fi-FI"/>
        </w:rPr>
        <w:t>.</w:t>
      </w:r>
    </w:p>
  </w:footnote>
  <w:footnote w:id="16">
    <w:p w14:paraId="07FBDABA" w14:textId="4491737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6" w:history="1">
        <w:r w:rsidRPr="00091EB7">
          <w:rPr>
            <w:rStyle w:val="Hyperlink1"/>
            <w:sz w:val="24"/>
            <w:lang w:val="fi-FI"/>
          </w:rPr>
          <w:t>http://data.europa.eu/eli/reg/2024/2509/oj</w:t>
        </w:r>
      </w:hyperlink>
      <w:r w:rsidRPr="00091EB7">
        <w:rPr>
          <w:sz w:val="24"/>
          <w:lang w:val="fi-FI"/>
        </w:rPr>
        <w:t>.</w:t>
      </w:r>
    </w:p>
  </w:footnote>
  <w:footnote w:id="17">
    <w:p w14:paraId="6402D3A8" w14:textId="143BD89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321, 17.12.2018, s. 1, ELI: </w:t>
      </w:r>
      <w:hyperlink r:id="rId17" w:history="1">
        <w:r w:rsidRPr="00091EB7">
          <w:rPr>
            <w:rStyle w:val="Hyperlink1"/>
            <w:sz w:val="24"/>
            <w:lang w:val="fi-FI"/>
          </w:rPr>
          <w:t>https://data.europa.eu/eli/reg/2018/1971/oj</w:t>
        </w:r>
      </w:hyperlink>
      <w:r w:rsidRPr="00091EB7">
        <w:rPr>
          <w:sz w:val="24"/>
          <w:lang w:val="fi-FI"/>
        </w:rPr>
        <w:t>.</w:t>
      </w:r>
    </w:p>
  </w:footnote>
  <w:footnote w:id="18">
    <w:p w14:paraId="5B7EB5D0" w14:textId="0F93F1B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8" w:history="1">
        <w:r w:rsidRPr="00091EB7">
          <w:rPr>
            <w:rStyle w:val="Hyperlink1"/>
            <w:sz w:val="24"/>
            <w:lang w:val="fi-FI"/>
          </w:rPr>
          <w:t>http://data.europa.eu/eli/reg_del/2019/715/oj</w:t>
        </w:r>
      </w:hyperlink>
      <w:r w:rsidRPr="00091EB7">
        <w:rPr>
          <w:sz w:val="24"/>
          <w:lang w:val="fi-FI"/>
        </w:rPr>
        <w:t>.</w:t>
      </w:r>
    </w:p>
  </w:footnote>
  <w:footnote w:id="19">
    <w:p w14:paraId="2711C7FA" w14:textId="193B9020"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0">
    <w:p w14:paraId="70318C5F" w14:textId="43232111"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1">
    <w:p w14:paraId="37E30E73" w14:textId="7AAD854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1" w:history="1">
        <w:r w:rsidRPr="00091EB7">
          <w:rPr>
            <w:rStyle w:val="Hyperlink1"/>
            <w:sz w:val="24"/>
            <w:lang w:val="fi-FI"/>
          </w:rPr>
          <w:t>http://data.europa.eu/eli/reg/2018/1046/oj</w:t>
        </w:r>
      </w:hyperlink>
      <w:r w:rsidRPr="00091EB7">
        <w:rPr>
          <w:sz w:val="24"/>
          <w:lang w:val="fi-FI"/>
        </w:rPr>
        <w:t>.</w:t>
      </w:r>
    </w:p>
  </w:footnote>
  <w:footnote w:id="22">
    <w:p w14:paraId="1CAE2806" w14:textId="3B59139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2" w:history="1">
        <w:r w:rsidRPr="00091EB7">
          <w:rPr>
            <w:rStyle w:val="Hyperlink1"/>
            <w:sz w:val="24"/>
            <w:lang w:val="fi-FI"/>
          </w:rPr>
          <w:t>http://data.europa.eu/eli/reg/2024/2509/oj</w:t>
        </w:r>
      </w:hyperlink>
      <w:r w:rsidRPr="00091EB7">
        <w:rPr>
          <w:sz w:val="24"/>
          <w:lang w:val="fi-FI"/>
        </w:rPr>
        <w:t>.</w:t>
      </w:r>
    </w:p>
  </w:footnote>
  <w:footnote w:id="23">
    <w:p w14:paraId="60422447" w14:textId="5420C2E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321, 17.12.2018, s. 1, ELI: </w:t>
      </w:r>
      <w:hyperlink r:id="rId23" w:history="1">
        <w:r w:rsidRPr="00091EB7">
          <w:rPr>
            <w:rStyle w:val="Hyperlink1"/>
            <w:sz w:val="24"/>
            <w:lang w:val="fi-FI"/>
          </w:rPr>
          <w:t>https://data.europa.eu/eli/reg/2018/1971/oj</w:t>
        </w:r>
      </w:hyperlink>
      <w:r w:rsidRPr="00091EB7">
        <w:rPr>
          <w:sz w:val="24"/>
          <w:lang w:val="fi-FI"/>
        </w:rPr>
        <w:t>.</w:t>
      </w:r>
    </w:p>
  </w:footnote>
  <w:footnote w:id="24">
    <w:p w14:paraId="6476972D" w14:textId="17E3F53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4" w:history="1">
        <w:r w:rsidRPr="00091EB7">
          <w:rPr>
            <w:rStyle w:val="Hyperlink1"/>
            <w:sz w:val="24"/>
            <w:lang w:val="fi-FI"/>
          </w:rPr>
          <w:t>http://data.europa.eu/eli/reg_del/2019/715/oj</w:t>
        </w:r>
      </w:hyperlink>
      <w:r w:rsidRPr="00091EB7">
        <w:rPr>
          <w:sz w:val="24"/>
          <w:lang w:val="fi-FI"/>
        </w:rPr>
        <w:t>.</w:t>
      </w:r>
    </w:p>
  </w:footnote>
  <w:footnote w:id="25">
    <w:p w14:paraId="34927BF4" w14:textId="760ECF60"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6">
    <w:p w14:paraId="72AA1AFA" w14:textId="15145B6E"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7">
    <w:p w14:paraId="02D9D2C6" w14:textId="45A2206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7" w:history="1">
        <w:r w:rsidRPr="00091EB7">
          <w:rPr>
            <w:rStyle w:val="Hyperlink1"/>
            <w:sz w:val="24"/>
            <w:lang w:val="fi-FI"/>
          </w:rPr>
          <w:t>http://data.europa.eu/eli/reg/2018/1046/oj</w:t>
        </w:r>
      </w:hyperlink>
      <w:r w:rsidRPr="00091EB7">
        <w:rPr>
          <w:sz w:val="24"/>
          <w:lang w:val="fi-FI"/>
        </w:rPr>
        <w:t>.</w:t>
      </w:r>
    </w:p>
  </w:footnote>
  <w:footnote w:id="28">
    <w:p w14:paraId="7977A368" w14:textId="78FB55D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8" w:history="1">
        <w:r w:rsidRPr="00091EB7">
          <w:rPr>
            <w:rStyle w:val="Hyperlink1"/>
            <w:sz w:val="24"/>
            <w:lang w:val="fi-FI"/>
          </w:rPr>
          <w:t>http://data.europa.eu/eli/reg/2024/2509/oj</w:t>
        </w:r>
      </w:hyperlink>
      <w:r w:rsidRPr="00091EB7">
        <w:rPr>
          <w:sz w:val="24"/>
          <w:lang w:val="fi-FI"/>
        </w:rPr>
        <w:t>.</w:t>
      </w:r>
    </w:p>
  </w:footnote>
  <w:footnote w:id="29">
    <w:p w14:paraId="7DC4D6CC" w14:textId="4EF1708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314, 7.12.1994, s. 1, ELI: </w:t>
      </w:r>
      <w:hyperlink r:id="rId29" w:history="1">
        <w:r w:rsidRPr="00091EB7">
          <w:rPr>
            <w:rStyle w:val="Hyperlink1"/>
            <w:sz w:val="24"/>
            <w:lang w:val="fi-FI"/>
          </w:rPr>
          <w:t>https://data.europa.eu/eli/reg/1994/2965/oj</w:t>
        </w:r>
      </w:hyperlink>
      <w:r w:rsidRPr="00091EB7">
        <w:rPr>
          <w:sz w:val="24"/>
          <w:lang w:val="fi-FI"/>
        </w:rPr>
        <w:t>.</w:t>
      </w:r>
    </w:p>
  </w:footnote>
  <w:footnote w:id="30">
    <w:p w14:paraId="0371575C" w14:textId="2C406EB2"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0" w:history="1">
        <w:r w:rsidRPr="00091EB7">
          <w:rPr>
            <w:rStyle w:val="Hyperlink1"/>
            <w:sz w:val="24"/>
            <w:lang w:val="fi-FI"/>
          </w:rPr>
          <w:t>http://data.europa.eu/eli/reg_del/2019/715/oj</w:t>
        </w:r>
      </w:hyperlink>
      <w:r w:rsidRPr="00091EB7">
        <w:rPr>
          <w:sz w:val="24"/>
          <w:lang w:val="fi-FI"/>
        </w:rPr>
        <w:t>.</w:t>
      </w:r>
    </w:p>
  </w:footnote>
  <w:footnote w:id="31">
    <w:p w14:paraId="2E3112A7" w14:textId="352CB511"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2">
    <w:p w14:paraId="2BA56D48" w14:textId="039ECBFC"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3">
    <w:p w14:paraId="045E2A1E" w14:textId="036B2C6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3" w:history="1">
        <w:r w:rsidRPr="00091EB7">
          <w:rPr>
            <w:rStyle w:val="Hyperlink1"/>
            <w:sz w:val="24"/>
            <w:lang w:val="fi-FI"/>
          </w:rPr>
          <w:t>http://data.europa.eu/eli/reg/2018/1046/oj</w:t>
        </w:r>
      </w:hyperlink>
      <w:r w:rsidRPr="00091EB7">
        <w:rPr>
          <w:sz w:val="24"/>
          <w:lang w:val="fi-FI"/>
        </w:rPr>
        <w:t>.</w:t>
      </w:r>
    </w:p>
  </w:footnote>
  <w:footnote w:id="34">
    <w:p w14:paraId="2B8274E6" w14:textId="562EB86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4" w:history="1">
        <w:r w:rsidRPr="00091EB7">
          <w:rPr>
            <w:rStyle w:val="Hyperlink1"/>
            <w:sz w:val="24"/>
            <w:lang w:val="fi-FI"/>
          </w:rPr>
          <w:t>http://data.europa.eu/eli/reg/2024/2509/oj</w:t>
        </w:r>
      </w:hyperlink>
      <w:r w:rsidRPr="00091EB7">
        <w:rPr>
          <w:sz w:val="24"/>
          <w:lang w:val="fi-FI"/>
        </w:rPr>
        <w:t>.</w:t>
      </w:r>
    </w:p>
  </w:footnote>
  <w:footnote w:id="35">
    <w:p w14:paraId="46CB77A4" w14:textId="0577C4F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314, 7.12.1994, s. 1, ELI: </w:t>
      </w:r>
      <w:hyperlink r:id="rId35" w:history="1">
        <w:r w:rsidRPr="00091EB7">
          <w:rPr>
            <w:rStyle w:val="Hyperlink1"/>
            <w:sz w:val="24"/>
            <w:lang w:val="fi-FI"/>
          </w:rPr>
          <w:t>https://data.europa.eu/eli/reg/1994/2965/oj</w:t>
        </w:r>
      </w:hyperlink>
      <w:r w:rsidRPr="00091EB7">
        <w:rPr>
          <w:sz w:val="24"/>
          <w:lang w:val="fi-FI"/>
        </w:rPr>
        <w:t>.</w:t>
      </w:r>
    </w:p>
  </w:footnote>
  <w:footnote w:id="36">
    <w:p w14:paraId="06B9B17D" w14:textId="25D3083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6" w:history="1">
        <w:r w:rsidRPr="00091EB7">
          <w:rPr>
            <w:rStyle w:val="Hyperlink1"/>
            <w:sz w:val="24"/>
            <w:lang w:val="fi-FI"/>
          </w:rPr>
          <w:t>http://data.europa.eu/eli/reg_del/2019/715/oj</w:t>
        </w:r>
      </w:hyperlink>
      <w:r w:rsidRPr="00091EB7">
        <w:rPr>
          <w:sz w:val="24"/>
          <w:lang w:val="fi-FI"/>
        </w:rPr>
        <w:t>.</w:t>
      </w:r>
    </w:p>
  </w:footnote>
  <w:footnote w:id="37">
    <w:p w14:paraId="1CDAB2E6" w14:textId="67BF413B"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7"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8">
    <w:p w14:paraId="0D0DD4A9" w14:textId="55EEF0DA"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8"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9">
    <w:p w14:paraId="66A40639" w14:textId="2F8404E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9" w:history="1">
        <w:r w:rsidRPr="00091EB7">
          <w:rPr>
            <w:rStyle w:val="Hyperlink1"/>
            <w:sz w:val="24"/>
            <w:lang w:val="fi-FI"/>
          </w:rPr>
          <w:t>http://data.europa.eu/eli/reg/2018/1046/oj</w:t>
        </w:r>
      </w:hyperlink>
      <w:r w:rsidRPr="00091EB7">
        <w:rPr>
          <w:sz w:val="24"/>
          <w:lang w:val="fi-FI"/>
        </w:rPr>
        <w:t>.</w:t>
      </w:r>
    </w:p>
  </w:footnote>
  <w:footnote w:id="40">
    <w:p w14:paraId="3D8FA6B4" w14:textId="2F136A0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40" w:history="1">
        <w:r w:rsidRPr="00091EB7">
          <w:rPr>
            <w:rStyle w:val="Hyperlink1"/>
            <w:sz w:val="24"/>
            <w:lang w:val="fi-FI"/>
          </w:rPr>
          <w:t>http://data.europa.eu/eli/reg/2024/2509/oj</w:t>
        </w:r>
      </w:hyperlink>
      <w:r w:rsidRPr="00091EB7">
        <w:rPr>
          <w:sz w:val="24"/>
          <w:lang w:val="fi-FI"/>
        </w:rPr>
        <w:t>.</w:t>
      </w:r>
    </w:p>
  </w:footnote>
  <w:footnote w:id="41">
    <w:p w14:paraId="4AFB13BE" w14:textId="494ED7D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30, 31.1.2019, s. 90, ELI: </w:t>
      </w:r>
      <w:hyperlink r:id="rId41" w:history="1">
        <w:r w:rsidRPr="00091EB7">
          <w:rPr>
            <w:rStyle w:val="Hyperlink1"/>
            <w:sz w:val="24"/>
            <w:lang w:val="fi-FI"/>
          </w:rPr>
          <w:t>https://data.europa.eu/eli/reg/2019/128/oj</w:t>
        </w:r>
      </w:hyperlink>
      <w:r w:rsidRPr="00091EB7">
        <w:rPr>
          <w:sz w:val="24"/>
          <w:lang w:val="fi-FI"/>
        </w:rPr>
        <w:t>.</w:t>
      </w:r>
    </w:p>
  </w:footnote>
  <w:footnote w:id="42">
    <w:p w14:paraId="1D313D63" w14:textId="3F156D5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42" w:history="1">
        <w:r w:rsidRPr="00091EB7">
          <w:rPr>
            <w:rStyle w:val="Hyperlink1"/>
            <w:sz w:val="24"/>
            <w:lang w:val="fi-FI"/>
          </w:rPr>
          <w:t>http://data.europa.eu/eli/reg_del/2019/715/oj</w:t>
        </w:r>
      </w:hyperlink>
      <w:r w:rsidRPr="00091EB7">
        <w:rPr>
          <w:sz w:val="24"/>
          <w:lang w:val="fi-FI"/>
        </w:rPr>
        <w:t>.</w:t>
      </w:r>
    </w:p>
  </w:footnote>
  <w:footnote w:id="43">
    <w:p w14:paraId="050CBEE2" w14:textId="6460CF75"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43"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44">
    <w:p w14:paraId="55039541" w14:textId="31B8E050"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44"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45">
    <w:p w14:paraId="0581BE73" w14:textId="4AD189F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45" w:history="1">
        <w:r w:rsidRPr="00091EB7">
          <w:rPr>
            <w:rStyle w:val="Hyperlink1"/>
            <w:sz w:val="24"/>
            <w:lang w:val="fi-FI"/>
          </w:rPr>
          <w:t>http://data.europa.eu/eli/reg/2018/1046/oj</w:t>
        </w:r>
      </w:hyperlink>
      <w:r w:rsidRPr="00091EB7">
        <w:rPr>
          <w:sz w:val="24"/>
          <w:lang w:val="fi-FI"/>
        </w:rPr>
        <w:t>.</w:t>
      </w:r>
    </w:p>
  </w:footnote>
  <w:footnote w:id="46">
    <w:p w14:paraId="5D740177" w14:textId="105A8BC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46" w:history="1">
        <w:r w:rsidRPr="00091EB7">
          <w:rPr>
            <w:rStyle w:val="Hyperlink1"/>
            <w:sz w:val="24"/>
            <w:lang w:val="fi-FI"/>
          </w:rPr>
          <w:t>http://data.europa.eu/eli/reg/2024/2509/oj</w:t>
        </w:r>
      </w:hyperlink>
      <w:r w:rsidRPr="00091EB7">
        <w:rPr>
          <w:sz w:val="24"/>
          <w:lang w:val="fi-FI"/>
        </w:rPr>
        <w:t>.</w:t>
      </w:r>
    </w:p>
  </w:footnote>
  <w:footnote w:id="47">
    <w:p w14:paraId="46691B34" w14:textId="456BBE3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30, 31.1.2019, s. 90, ELI: </w:t>
      </w:r>
      <w:hyperlink r:id="rId47" w:history="1">
        <w:r w:rsidRPr="00091EB7">
          <w:rPr>
            <w:rStyle w:val="Hyperlink1"/>
            <w:sz w:val="24"/>
            <w:lang w:val="fi-FI"/>
          </w:rPr>
          <w:t>https://data.europa.eu/eli/reg/2019/128/oj</w:t>
        </w:r>
      </w:hyperlink>
      <w:r w:rsidRPr="00091EB7">
        <w:rPr>
          <w:sz w:val="24"/>
          <w:lang w:val="fi-FI"/>
        </w:rPr>
        <w:t>.</w:t>
      </w:r>
    </w:p>
  </w:footnote>
  <w:footnote w:id="48">
    <w:p w14:paraId="49458616" w14:textId="07CCA0F2"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48" w:history="1">
        <w:r w:rsidRPr="00091EB7">
          <w:rPr>
            <w:rStyle w:val="Hyperlink1"/>
            <w:sz w:val="24"/>
            <w:lang w:val="fi-FI"/>
          </w:rPr>
          <w:t>http://data.europa.eu/eli/reg_del/2019/715/oj</w:t>
        </w:r>
      </w:hyperlink>
      <w:r w:rsidRPr="00091EB7">
        <w:rPr>
          <w:sz w:val="24"/>
          <w:lang w:val="fi-FI"/>
        </w:rPr>
        <w:t>.</w:t>
      </w:r>
    </w:p>
  </w:footnote>
  <w:footnote w:id="49">
    <w:p w14:paraId="0B35DEED" w14:textId="551C492F"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4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50">
    <w:p w14:paraId="2CB5D0E9" w14:textId="1497E270"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5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51">
    <w:p w14:paraId="561C57EE" w14:textId="4096579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51" w:history="1">
        <w:r w:rsidRPr="00091EB7">
          <w:rPr>
            <w:rStyle w:val="Hyperlink1"/>
            <w:sz w:val="24"/>
            <w:lang w:val="fi-FI"/>
          </w:rPr>
          <w:t>http://data.europa.eu/eli/reg/2018/1046/oj</w:t>
        </w:r>
      </w:hyperlink>
      <w:r w:rsidRPr="00091EB7">
        <w:rPr>
          <w:sz w:val="24"/>
          <w:lang w:val="fi-FI"/>
        </w:rPr>
        <w:t>.</w:t>
      </w:r>
    </w:p>
  </w:footnote>
  <w:footnote w:id="52">
    <w:p w14:paraId="186624C6" w14:textId="370D1FB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52" w:history="1">
        <w:r w:rsidRPr="00091EB7">
          <w:rPr>
            <w:rStyle w:val="Hyperlink1"/>
            <w:sz w:val="24"/>
            <w:lang w:val="fi-FI"/>
          </w:rPr>
          <w:t>http://data.europa.eu/eli/reg/2024/2509/oj</w:t>
        </w:r>
      </w:hyperlink>
      <w:r w:rsidRPr="00091EB7">
        <w:rPr>
          <w:sz w:val="24"/>
          <w:lang w:val="fi-FI"/>
        </w:rPr>
        <w:t>.</w:t>
      </w:r>
    </w:p>
  </w:footnote>
  <w:footnote w:id="53">
    <w:p w14:paraId="219D7535" w14:textId="5C3A9D7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319, 4.12.2015, s. 1, ELI: </w:t>
      </w:r>
      <w:hyperlink r:id="rId53" w:history="1">
        <w:r w:rsidRPr="00091EB7">
          <w:rPr>
            <w:rStyle w:val="Hyperlink1"/>
            <w:sz w:val="24"/>
            <w:lang w:val="fi-FI"/>
          </w:rPr>
          <w:t>https://data.europa.eu/eli/reg/2015/2219/oj</w:t>
        </w:r>
      </w:hyperlink>
      <w:r w:rsidRPr="00091EB7">
        <w:rPr>
          <w:sz w:val="24"/>
          <w:lang w:val="fi-FI"/>
        </w:rPr>
        <w:t>.</w:t>
      </w:r>
    </w:p>
  </w:footnote>
  <w:footnote w:id="54">
    <w:p w14:paraId="30A62B5A" w14:textId="477904D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54" w:history="1">
        <w:r w:rsidRPr="00091EB7">
          <w:rPr>
            <w:rStyle w:val="Hyperlink1"/>
            <w:sz w:val="24"/>
            <w:lang w:val="fi-FI"/>
          </w:rPr>
          <w:t>http://data.europa.eu/eli/reg_del/2019/715/oj</w:t>
        </w:r>
      </w:hyperlink>
      <w:r w:rsidRPr="00091EB7">
        <w:rPr>
          <w:sz w:val="24"/>
          <w:lang w:val="fi-FI"/>
        </w:rPr>
        <w:t>.</w:t>
      </w:r>
    </w:p>
  </w:footnote>
  <w:footnote w:id="55">
    <w:p w14:paraId="71D9DEE7" w14:textId="2EAF5B8C"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5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56">
    <w:p w14:paraId="4E49417F" w14:textId="7AF5C7AB"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5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57">
    <w:p w14:paraId="6B628F75" w14:textId="28F7013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57" w:history="1">
        <w:r w:rsidRPr="00091EB7">
          <w:rPr>
            <w:rStyle w:val="Hyperlink1"/>
            <w:sz w:val="24"/>
            <w:lang w:val="fi-FI"/>
          </w:rPr>
          <w:t>http://data.europa.eu/eli/reg/2018/1046/oj</w:t>
        </w:r>
      </w:hyperlink>
      <w:r w:rsidRPr="00091EB7">
        <w:rPr>
          <w:sz w:val="24"/>
          <w:lang w:val="fi-FI"/>
        </w:rPr>
        <w:t>.</w:t>
      </w:r>
    </w:p>
  </w:footnote>
  <w:footnote w:id="58">
    <w:p w14:paraId="3F26720A" w14:textId="6F10C36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58" w:history="1">
        <w:r w:rsidRPr="00091EB7">
          <w:rPr>
            <w:rStyle w:val="Hyperlink1"/>
            <w:sz w:val="24"/>
            <w:lang w:val="fi-FI"/>
          </w:rPr>
          <w:t>http://data.europa.eu/eli/reg/2024/2509/oj</w:t>
        </w:r>
      </w:hyperlink>
      <w:r w:rsidRPr="00091EB7">
        <w:rPr>
          <w:sz w:val="24"/>
          <w:lang w:val="fi-FI"/>
        </w:rPr>
        <w:t>.</w:t>
      </w:r>
    </w:p>
  </w:footnote>
  <w:footnote w:id="59">
    <w:p w14:paraId="40F1D142" w14:textId="52B945C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319, 4.12.2015, s. 1, ELI: </w:t>
      </w:r>
      <w:hyperlink r:id="rId59" w:history="1">
        <w:r w:rsidRPr="00091EB7">
          <w:rPr>
            <w:rStyle w:val="Hyperlink1"/>
            <w:sz w:val="24"/>
            <w:lang w:val="fi-FI"/>
          </w:rPr>
          <w:t>https://data.europa.eu/eli/reg/2015/2219/oj</w:t>
        </w:r>
      </w:hyperlink>
      <w:r w:rsidRPr="00091EB7">
        <w:rPr>
          <w:sz w:val="24"/>
          <w:lang w:val="fi-FI"/>
        </w:rPr>
        <w:t>.</w:t>
      </w:r>
    </w:p>
  </w:footnote>
  <w:footnote w:id="60">
    <w:p w14:paraId="17F5B2D6" w14:textId="61E4AD3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60" w:history="1">
        <w:r w:rsidRPr="00091EB7">
          <w:rPr>
            <w:rStyle w:val="Hyperlink1"/>
            <w:sz w:val="24"/>
            <w:lang w:val="fi-FI"/>
          </w:rPr>
          <w:t>http://data.europa.eu/eli/reg_del/2019/715/oj</w:t>
        </w:r>
      </w:hyperlink>
      <w:r w:rsidRPr="00091EB7">
        <w:rPr>
          <w:sz w:val="24"/>
          <w:lang w:val="fi-FI"/>
        </w:rPr>
        <w:t>.</w:t>
      </w:r>
    </w:p>
  </w:footnote>
  <w:footnote w:id="61">
    <w:p w14:paraId="47DA77C2" w14:textId="02F5BA1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6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62">
    <w:p w14:paraId="23313A46" w14:textId="5D750241"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6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63">
    <w:p w14:paraId="32955F61" w14:textId="0D83076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63" w:history="1">
        <w:r w:rsidRPr="00091EB7">
          <w:rPr>
            <w:rStyle w:val="Hyperlink1"/>
            <w:sz w:val="24"/>
            <w:lang w:val="fi-FI"/>
          </w:rPr>
          <w:t>http://data.europa.eu/eli/reg/2018/1046/oj</w:t>
        </w:r>
      </w:hyperlink>
      <w:r w:rsidRPr="00091EB7">
        <w:rPr>
          <w:sz w:val="24"/>
          <w:lang w:val="fi-FI"/>
        </w:rPr>
        <w:t>.</w:t>
      </w:r>
    </w:p>
  </w:footnote>
  <w:footnote w:id="64">
    <w:p w14:paraId="2778DED0" w14:textId="40B0586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64" w:history="1">
        <w:r w:rsidRPr="00091EB7">
          <w:rPr>
            <w:rStyle w:val="Hyperlink1"/>
            <w:sz w:val="24"/>
            <w:lang w:val="fi-FI"/>
          </w:rPr>
          <w:t>http://data.europa.eu/eli/reg/2024/2509/oj</w:t>
        </w:r>
      </w:hyperlink>
      <w:r w:rsidRPr="00091EB7">
        <w:rPr>
          <w:sz w:val="24"/>
          <w:lang w:val="fi-FI"/>
        </w:rPr>
        <w:t>.</w:t>
      </w:r>
    </w:p>
  </w:footnote>
  <w:footnote w:id="65">
    <w:p w14:paraId="63088B7B" w14:textId="4057491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212, 22.8.2018, s. 1, ELI: </w:t>
      </w:r>
      <w:hyperlink r:id="rId65" w:history="1">
        <w:r w:rsidRPr="00091EB7">
          <w:rPr>
            <w:rStyle w:val="Hyperlink1"/>
            <w:sz w:val="24"/>
            <w:lang w:val="fi-FI"/>
          </w:rPr>
          <w:t>https://data.europa.eu/eli/reg/2018/1139/oj</w:t>
        </w:r>
      </w:hyperlink>
      <w:r w:rsidRPr="00091EB7">
        <w:rPr>
          <w:sz w:val="24"/>
          <w:lang w:val="fi-FI"/>
        </w:rPr>
        <w:t>.</w:t>
      </w:r>
    </w:p>
  </w:footnote>
  <w:footnote w:id="66">
    <w:p w14:paraId="59DBD72E" w14:textId="66AD182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66" w:history="1">
        <w:r w:rsidRPr="00091EB7">
          <w:rPr>
            <w:rStyle w:val="Hyperlink1"/>
            <w:sz w:val="24"/>
            <w:lang w:val="fi-FI"/>
          </w:rPr>
          <w:t>http://data.europa.eu/eli/reg_del/2019/715/oj</w:t>
        </w:r>
      </w:hyperlink>
      <w:r w:rsidRPr="00091EB7">
        <w:rPr>
          <w:sz w:val="24"/>
          <w:lang w:val="fi-FI"/>
        </w:rPr>
        <w:t>.</w:t>
      </w:r>
    </w:p>
  </w:footnote>
  <w:footnote w:id="67">
    <w:p w14:paraId="61DAF652" w14:textId="0C0570CF"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67"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68">
    <w:p w14:paraId="2828963C" w14:textId="7DEE2841"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68"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69">
    <w:p w14:paraId="38184B99" w14:textId="5D27BE8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69" w:history="1">
        <w:r w:rsidRPr="00091EB7">
          <w:rPr>
            <w:rStyle w:val="Hyperlink1"/>
            <w:sz w:val="24"/>
            <w:lang w:val="fi-FI"/>
          </w:rPr>
          <w:t>http://data.europa.eu/eli/reg/2018/1046/oj</w:t>
        </w:r>
      </w:hyperlink>
      <w:r w:rsidRPr="00091EB7">
        <w:rPr>
          <w:sz w:val="24"/>
          <w:lang w:val="fi-FI"/>
        </w:rPr>
        <w:t>.</w:t>
      </w:r>
    </w:p>
  </w:footnote>
  <w:footnote w:id="70">
    <w:p w14:paraId="1718F138" w14:textId="76527B2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70" w:history="1">
        <w:r w:rsidRPr="00091EB7">
          <w:rPr>
            <w:rStyle w:val="Hyperlink1"/>
            <w:sz w:val="24"/>
            <w:lang w:val="fi-FI"/>
          </w:rPr>
          <w:t>http://data.europa.eu/eli/reg/2024/2509/oj</w:t>
        </w:r>
      </w:hyperlink>
      <w:r w:rsidRPr="00091EB7">
        <w:rPr>
          <w:sz w:val="24"/>
          <w:lang w:val="fi-FI"/>
        </w:rPr>
        <w:t>.</w:t>
      </w:r>
    </w:p>
  </w:footnote>
  <w:footnote w:id="71">
    <w:p w14:paraId="32EAB382" w14:textId="56E40DF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212, 22.8.2018, s. 1, ELI: </w:t>
      </w:r>
      <w:hyperlink r:id="rId71" w:history="1">
        <w:r w:rsidRPr="00091EB7">
          <w:rPr>
            <w:rStyle w:val="Hyperlink1"/>
            <w:sz w:val="24"/>
            <w:lang w:val="fi-FI"/>
          </w:rPr>
          <w:t>https://data.europa.eu/eli/reg/2018/1139/oj</w:t>
        </w:r>
      </w:hyperlink>
      <w:r w:rsidRPr="00091EB7">
        <w:rPr>
          <w:sz w:val="24"/>
          <w:lang w:val="fi-FI"/>
        </w:rPr>
        <w:t>.</w:t>
      </w:r>
    </w:p>
  </w:footnote>
  <w:footnote w:id="72">
    <w:p w14:paraId="70F5449C" w14:textId="37D5D08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72" w:history="1">
        <w:r w:rsidRPr="00091EB7">
          <w:rPr>
            <w:rStyle w:val="Hyperlink1"/>
            <w:sz w:val="24"/>
            <w:lang w:val="fi-FI"/>
          </w:rPr>
          <w:t>http://data.europa.eu/eli/reg_del/2019/715/oj</w:t>
        </w:r>
      </w:hyperlink>
      <w:r w:rsidRPr="00091EB7">
        <w:rPr>
          <w:sz w:val="24"/>
          <w:lang w:val="fi-FI"/>
        </w:rPr>
        <w:t>.</w:t>
      </w:r>
    </w:p>
  </w:footnote>
  <w:footnote w:id="73">
    <w:p w14:paraId="0C561255" w14:textId="606AB564"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73"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74">
    <w:p w14:paraId="5D09EB84" w14:textId="202B9274"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74"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75">
    <w:p w14:paraId="609D2056" w14:textId="4A7CDC0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75" w:history="1">
        <w:r w:rsidRPr="00091EB7">
          <w:rPr>
            <w:rStyle w:val="Hyperlink1"/>
            <w:sz w:val="24"/>
            <w:lang w:val="fi-FI"/>
          </w:rPr>
          <w:t>http://data.europa.eu/eli/reg/2018/1046/oj</w:t>
        </w:r>
      </w:hyperlink>
      <w:r w:rsidRPr="00091EB7">
        <w:rPr>
          <w:sz w:val="24"/>
          <w:lang w:val="fi-FI"/>
        </w:rPr>
        <w:t>.</w:t>
      </w:r>
    </w:p>
  </w:footnote>
  <w:footnote w:id="76">
    <w:p w14:paraId="06EE66FA" w14:textId="6CD5654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76" w:history="1">
        <w:r w:rsidRPr="00091EB7">
          <w:rPr>
            <w:rStyle w:val="Hyperlink1"/>
            <w:sz w:val="24"/>
            <w:lang w:val="fi-FI"/>
          </w:rPr>
          <w:t>http://data.europa.eu/eli/reg/2024/2509/oj</w:t>
        </w:r>
      </w:hyperlink>
      <w:r w:rsidRPr="00091EB7">
        <w:rPr>
          <w:sz w:val="24"/>
          <w:lang w:val="fi-FI"/>
        </w:rPr>
        <w:t>.</w:t>
      </w:r>
    </w:p>
  </w:footnote>
  <w:footnote w:id="77">
    <w:p w14:paraId="02F12F3C" w14:textId="69CC18D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331, 15.12.2010, s. 12, ELI: </w:t>
      </w:r>
      <w:hyperlink r:id="rId77" w:history="1">
        <w:r w:rsidRPr="00091EB7">
          <w:rPr>
            <w:rStyle w:val="Hyperlink1"/>
            <w:sz w:val="24"/>
            <w:lang w:val="fi-FI"/>
          </w:rPr>
          <w:t>https://data.europa.eu/eli/reg/2010/1093/oj</w:t>
        </w:r>
      </w:hyperlink>
      <w:r w:rsidRPr="00091EB7">
        <w:rPr>
          <w:sz w:val="24"/>
          <w:lang w:val="fi-FI"/>
        </w:rPr>
        <w:t>.</w:t>
      </w:r>
    </w:p>
  </w:footnote>
  <w:footnote w:id="78">
    <w:p w14:paraId="79ADBCED" w14:textId="5BF188A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78" w:history="1">
        <w:r w:rsidRPr="00091EB7">
          <w:rPr>
            <w:rStyle w:val="Hyperlink1"/>
            <w:sz w:val="24"/>
            <w:lang w:val="fi-FI"/>
          </w:rPr>
          <w:t>http://data.europa.eu/eli/reg_del/2019/715/oj</w:t>
        </w:r>
      </w:hyperlink>
      <w:r w:rsidRPr="00091EB7">
        <w:rPr>
          <w:sz w:val="24"/>
          <w:lang w:val="fi-FI"/>
        </w:rPr>
        <w:t>.</w:t>
      </w:r>
    </w:p>
  </w:footnote>
  <w:footnote w:id="79">
    <w:p w14:paraId="1935CFC8" w14:textId="0D713FF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7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80">
    <w:p w14:paraId="4070E3A1" w14:textId="0C19E29F"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8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81">
    <w:p w14:paraId="45D96544" w14:textId="1EB9858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81" w:history="1">
        <w:r w:rsidRPr="00091EB7">
          <w:rPr>
            <w:rStyle w:val="Hyperlink1"/>
            <w:sz w:val="24"/>
            <w:lang w:val="fi-FI"/>
          </w:rPr>
          <w:t>http://data.europa.eu/eli/reg/2018/1046/oj</w:t>
        </w:r>
      </w:hyperlink>
      <w:r w:rsidRPr="00091EB7">
        <w:rPr>
          <w:sz w:val="24"/>
          <w:lang w:val="fi-FI"/>
        </w:rPr>
        <w:t>.</w:t>
      </w:r>
    </w:p>
  </w:footnote>
  <w:footnote w:id="82">
    <w:p w14:paraId="400EAA02" w14:textId="19964EA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82" w:history="1">
        <w:r w:rsidRPr="00091EB7">
          <w:rPr>
            <w:rStyle w:val="Hyperlink1"/>
            <w:sz w:val="24"/>
            <w:lang w:val="fi-FI"/>
          </w:rPr>
          <w:t>http://data.europa.eu/eli/reg/2024/2509/oj</w:t>
        </w:r>
      </w:hyperlink>
      <w:r w:rsidRPr="00091EB7">
        <w:rPr>
          <w:sz w:val="24"/>
          <w:lang w:val="fi-FI"/>
        </w:rPr>
        <w:t>.</w:t>
      </w:r>
    </w:p>
  </w:footnote>
  <w:footnote w:id="83">
    <w:p w14:paraId="0D9CF36F" w14:textId="7B3FF1D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331, 15.12.2010, s. 12, ELI: </w:t>
      </w:r>
      <w:hyperlink r:id="rId83" w:history="1">
        <w:r w:rsidRPr="00091EB7">
          <w:rPr>
            <w:rStyle w:val="Hyperlink1"/>
            <w:sz w:val="24"/>
            <w:lang w:val="fi-FI"/>
          </w:rPr>
          <w:t>https://data.europa.eu/eli/reg/2010/1093/oj</w:t>
        </w:r>
      </w:hyperlink>
      <w:r w:rsidRPr="00091EB7">
        <w:rPr>
          <w:sz w:val="24"/>
          <w:lang w:val="fi-FI"/>
        </w:rPr>
        <w:t>.</w:t>
      </w:r>
    </w:p>
  </w:footnote>
  <w:footnote w:id="84">
    <w:p w14:paraId="5933A198" w14:textId="7570CD7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84" w:history="1">
        <w:r w:rsidRPr="00091EB7">
          <w:rPr>
            <w:rStyle w:val="Hyperlink1"/>
            <w:sz w:val="24"/>
            <w:lang w:val="fi-FI"/>
          </w:rPr>
          <w:t>http://data.europa.eu/eli/reg_del/2019/715/oj</w:t>
        </w:r>
      </w:hyperlink>
      <w:r w:rsidRPr="00091EB7">
        <w:rPr>
          <w:sz w:val="24"/>
          <w:lang w:val="fi-FI"/>
        </w:rPr>
        <w:t>.</w:t>
      </w:r>
    </w:p>
  </w:footnote>
  <w:footnote w:id="85">
    <w:p w14:paraId="2CCB2DDE" w14:textId="17328C95"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8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86">
    <w:p w14:paraId="09AB7BD6" w14:textId="25E523A1"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8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87">
    <w:p w14:paraId="12BA8096" w14:textId="7AA9349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87" w:history="1">
        <w:r w:rsidRPr="00091EB7">
          <w:rPr>
            <w:rStyle w:val="Hyperlink1"/>
            <w:sz w:val="24"/>
            <w:lang w:val="fi-FI"/>
          </w:rPr>
          <w:t>http://data.europa.eu/eli/reg/2018/1046/oj</w:t>
        </w:r>
      </w:hyperlink>
      <w:r w:rsidRPr="00091EB7">
        <w:rPr>
          <w:sz w:val="24"/>
          <w:lang w:val="fi-FI"/>
        </w:rPr>
        <w:t>.</w:t>
      </w:r>
    </w:p>
  </w:footnote>
  <w:footnote w:id="88">
    <w:p w14:paraId="17E3A4AE" w14:textId="646A311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88" w:history="1">
        <w:r w:rsidRPr="00091EB7">
          <w:rPr>
            <w:rStyle w:val="Hyperlink1"/>
            <w:sz w:val="24"/>
            <w:lang w:val="fi-FI"/>
          </w:rPr>
          <w:t>http://data.europa.eu/eli/reg/2024/2509/oj</w:t>
        </w:r>
      </w:hyperlink>
      <w:r w:rsidRPr="00091EB7">
        <w:rPr>
          <w:sz w:val="24"/>
          <w:lang w:val="fi-FI"/>
        </w:rPr>
        <w:t>.</w:t>
      </w:r>
    </w:p>
  </w:footnote>
  <w:footnote w:id="89">
    <w:p w14:paraId="133164CE" w14:textId="51D1214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142, 30.4.2004, s. 1, ELI: </w:t>
      </w:r>
      <w:hyperlink r:id="rId89" w:history="1">
        <w:r w:rsidRPr="00091EB7">
          <w:rPr>
            <w:rStyle w:val="Hyperlink1"/>
            <w:sz w:val="24"/>
            <w:lang w:val="fi-FI"/>
          </w:rPr>
          <w:t>https://data.europa.eu/eli/reg/2004/851/oj</w:t>
        </w:r>
      </w:hyperlink>
      <w:r w:rsidRPr="00091EB7">
        <w:rPr>
          <w:sz w:val="24"/>
          <w:lang w:val="fi-FI"/>
        </w:rPr>
        <w:t>.</w:t>
      </w:r>
    </w:p>
  </w:footnote>
  <w:footnote w:id="90">
    <w:p w14:paraId="68F4F226" w14:textId="3E3C2FB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90" w:history="1">
        <w:r w:rsidRPr="00091EB7">
          <w:rPr>
            <w:rStyle w:val="Hyperlink1"/>
            <w:sz w:val="24"/>
            <w:lang w:val="fi-FI"/>
          </w:rPr>
          <w:t>http://data.europa.eu/eli/reg_del/2019/715/oj</w:t>
        </w:r>
      </w:hyperlink>
      <w:r w:rsidRPr="00091EB7">
        <w:rPr>
          <w:sz w:val="24"/>
          <w:lang w:val="fi-FI"/>
        </w:rPr>
        <w:t>.</w:t>
      </w:r>
    </w:p>
  </w:footnote>
  <w:footnote w:id="91">
    <w:p w14:paraId="17FA884E" w14:textId="58253379"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9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92">
    <w:p w14:paraId="014BCC6A" w14:textId="4BDD4BFE"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9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93">
    <w:p w14:paraId="53EDBB33" w14:textId="6F4BC7A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93" w:history="1">
        <w:r w:rsidRPr="00091EB7">
          <w:rPr>
            <w:rStyle w:val="Hyperlink1"/>
            <w:sz w:val="24"/>
            <w:lang w:val="fi-FI"/>
          </w:rPr>
          <w:t>http://data.europa.eu/eli/reg/2018/1046/oj</w:t>
        </w:r>
      </w:hyperlink>
      <w:r w:rsidRPr="00091EB7">
        <w:rPr>
          <w:sz w:val="24"/>
          <w:lang w:val="fi-FI"/>
        </w:rPr>
        <w:t>.</w:t>
      </w:r>
    </w:p>
  </w:footnote>
  <w:footnote w:id="94">
    <w:p w14:paraId="62337250" w14:textId="60797AD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94" w:history="1">
        <w:r w:rsidRPr="00091EB7">
          <w:rPr>
            <w:rStyle w:val="Hyperlink1"/>
            <w:sz w:val="24"/>
            <w:lang w:val="fi-FI"/>
          </w:rPr>
          <w:t>http://data.europa.eu/eli/reg/2024/2509/oj</w:t>
        </w:r>
      </w:hyperlink>
      <w:r w:rsidRPr="00091EB7">
        <w:rPr>
          <w:sz w:val="24"/>
          <w:lang w:val="fi-FI"/>
        </w:rPr>
        <w:t>.</w:t>
      </w:r>
    </w:p>
  </w:footnote>
  <w:footnote w:id="95">
    <w:p w14:paraId="6AB543BF" w14:textId="252EEB8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142, 30.4.2004, s. 1, ELI: </w:t>
      </w:r>
      <w:hyperlink r:id="rId95" w:history="1">
        <w:r w:rsidRPr="00091EB7">
          <w:rPr>
            <w:rStyle w:val="Hyperlink1"/>
            <w:sz w:val="24"/>
            <w:lang w:val="fi-FI"/>
          </w:rPr>
          <w:t>https://data.europa.eu/eli/reg/2004/851/oj</w:t>
        </w:r>
      </w:hyperlink>
      <w:r w:rsidRPr="00091EB7">
        <w:rPr>
          <w:sz w:val="24"/>
          <w:lang w:val="fi-FI"/>
        </w:rPr>
        <w:t>.</w:t>
      </w:r>
    </w:p>
  </w:footnote>
  <w:footnote w:id="96">
    <w:p w14:paraId="46F4EAAD" w14:textId="14BDD552"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96" w:history="1">
        <w:r w:rsidRPr="00091EB7">
          <w:rPr>
            <w:rStyle w:val="Hyperlink1"/>
            <w:sz w:val="24"/>
            <w:lang w:val="fi-FI"/>
          </w:rPr>
          <w:t>http://data.europa.eu/eli/reg_del/2019/715/oj</w:t>
        </w:r>
      </w:hyperlink>
      <w:r w:rsidRPr="00091EB7">
        <w:rPr>
          <w:sz w:val="24"/>
          <w:lang w:val="fi-FI"/>
        </w:rPr>
        <w:t>.</w:t>
      </w:r>
    </w:p>
  </w:footnote>
  <w:footnote w:id="97">
    <w:p w14:paraId="3CDBC517" w14:textId="05A9A9FD"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97"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98">
    <w:p w14:paraId="5624DFD1" w14:textId="494ED294"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98"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99">
    <w:p w14:paraId="5FAB344F" w14:textId="182D94F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99" w:history="1">
        <w:r w:rsidRPr="00091EB7">
          <w:rPr>
            <w:rStyle w:val="Hyperlink1"/>
            <w:sz w:val="24"/>
            <w:lang w:val="fi-FI"/>
          </w:rPr>
          <w:t>http://data.europa.eu/eli/reg/2018/1046/oj</w:t>
        </w:r>
      </w:hyperlink>
      <w:r w:rsidRPr="00091EB7">
        <w:rPr>
          <w:sz w:val="24"/>
          <w:lang w:val="fi-FI"/>
        </w:rPr>
        <w:t>.</w:t>
      </w:r>
    </w:p>
  </w:footnote>
  <w:footnote w:id="100">
    <w:p w14:paraId="46029D4E" w14:textId="7AA681C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00" w:history="1">
        <w:r w:rsidRPr="00091EB7">
          <w:rPr>
            <w:rStyle w:val="Hyperlink1"/>
            <w:sz w:val="24"/>
            <w:lang w:val="fi-FI"/>
          </w:rPr>
          <w:t>http://data.europa.eu/eli/reg/2024/2509/oj</w:t>
        </w:r>
      </w:hyperlink>
      <w:r w:rsidRPr="00091EB7">
        <w:rPr>
          <w:sz w:val="24"/>
          <w:lang w:val="fi-FI"/>
        </w:rPr>
        <w:t>.</w:t>
      </w:r>
    </w:p>
  </w:footnote>
  <w:footnote w:id="101">
    <w:p w14:paraId="6D5994AC" w14:textId="51BABFE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396, 30.12.2006, s. 1, ELI: </w:t>
      </w:r>
      <w:hyperlink r:id="rId101" w:history="1">
        <w:r w:rsidRPr="00091EB7">
          <w:rPr>
            <w:rStyle w:val="Hyperlink1"/>
            <w:sz w:val="24"/>
            <w:lang w:val="fi-FI"/>
          </w:rPr>
          <w:t>https://data.europa.eu/eli/reg/2006/1907/oj</w:t>
        </w:r>
      </w:hyperlink>
      <w:r w:rsidRPr="00091EB7">
        <w:rPr>
          <w:sz w:val="24"/>
          <w:lang w:val="fi-FI"/>
        </w:rPr>
        <w:t>.</w:t>
      </w:r>
    </w:p>
  </w:footnote>
  <w:footnote w:id="102">
    <w:p w14:paraId="20A9746F" w14:textId="6EFD518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02" w:history="1">
        <w:r w:rsidRPr="00091EB7">
          <w:rPr>
            <w:rStyle w:val="Hyperlink1"/>
            <w:sz w:val="24"/>
            <w:lang w:val="fi-FI"/>
          </w:rPr>
          <w:t>http://data.europa.eu/eli/reg_del/2019/715/oj</w:t>
        </w:r>
      </w:hyperlink>
      <w:r w:rsidRPr="00091EB7">
        <w:rPr>
          <w:sz w:val="24"/>
          <w:lang w:val="fi-FI"/>
        </w:rPr>
        <w:t>.</w:t>
      </w:r>
    </w:p>
  </w:footnote>
  <w:footnote w:id="103">
    <w:p w14:paraId="1FE49A2C" w14:textId="019E7C65"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03"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04">
    <w:p w14:paraId="1FFB4747" w14:textId="5EDB953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04"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05">
    <w:p w14:paraId="05EA389A" w14:textId="5C54152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05" w:history="1">
        <w:r w:rsidRPr="00091EB7">
          <w:rPr>
            <w:rStyle w:val="Hyperlink1"/>
            <w:sz w:val="24"/>
            <w:lang w:val="fi-FI"/>
          </w:rPr>
          <w:t>http://data.europa.eu/eli/reg/2018/1046/oj</w:t>
        </w:r>
      </w:hyperlink>
      <w:r w:rsidRPr="00091EB7">
        <w:rPr>
          <w:sz w:val="24"/>
          <w:lang w:val="fi-FI"/>
        </w:rPr>
        <w:t>.</w:t>
      </w:r>
    </w:p>
  </w:footnote>
  <w:footnote w:id="106">
    <w:p w14:paraId="058A1C34" w14:textId="6392802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06" w:history="1">
        <w:r w:rsidRPr="00091EB7">
          <w:rPr>
            <w:rStyle w:val="Hyperlink1"/>
            <w:sz w:val="24"/>
            <w:lang w:val="fi-FI"/>
          </w:rPr>
          <w:t>http://data.europa.eu/eli/reg/2024/2509/oj</w:t>
        </w:r>
      </w:hyperlink>
      <w:r w:rsidRPr="00091EB7">
        <w:rPr>
          <w:sz w:val="24"/>
          <w:lang w:val="fi-FI"/>
        </w:rPr>
        <w:t>.</w:t>
      </w:r>
    </w:p>
  </w:footnote>
  <w:footnote w:id="107">
    <w:p w14:paraId="1E68A978" w14:textId="02E605D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396, 30.12.2006, s. 1, ELI: </w:t>
      </w:r>
      <w:hyperlink r:id="rId107" w:history="1">
        <w:r w:rsidRPr="00091EB7">
          <w:rPr>
            <w:rStyle w:val="Hyperlink1"/>
            <w:sz w:val="24"/>
            <w:lang w:val="fi-FI"/>
          </w:rPr>
          <w:t>https://data.europa.eu/eli/reg/2006/1907/oj</w:t>
        </w:r>
      </w:hyperlink>
      <w:r w:rsidRPr="00091EB7">
        <w:rPr>
          <w:sz w:val="24"/>
          <w:lang w:val="fi-FI"/>
        </w:rPr>
        <w:t>.</w:t>
      </w:r>
    </w:p>
  </w:footnote>
  <w:footnote w:id="108">
    <w:p w14:paraId="303A2B60" w14:textId="0534E0F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08" w:history="1">
        <w:r w:rsidRPr="00091EB7">
          <w:rPr>
            <w:rStyle w:val="Hyperlink1"/>
            <w:sz w:val="24"/>
            <w:lang w:val="fi-FI"/>
          </w:rPr>
          <w:t>http://data.europa.eu/eli/reg_del/2019/715/oj</w:t>
        </w:r>
      </w:hyperlink>
      <w:r w:rsidRPr="00091EB7">
        <w:rPr>
          <w:sz w:val="24"/>
          <w:lang w:val="fi-FI"/>
        </w:rPr>
        <w:t>.</w:t>
      </w:r>
    </w:p>
  </w:footnote>
  <w:footnote w:id="109">
    <w:p w14:paraId="429EBFFE" w14:textId="1907ADE9"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0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10">
    <w:p w14:paraId="5F383D00" w14:textId="70A8DC6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1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11">
    <w:p w14:paraId="0B891F04" w14:textId="73EA66C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11" w:history="1">
        <w:r w:rsidRPr="00091EB7">
          <w:rPr>
            <w:rStyle w:val="Hyperlink1"/>
            <w:sz w:val="24"/>
            <w:lang w:val="fi-FI"/>
          </w:rPr>
          <w:t>http://data.europa.eu/eli/reg/2018/1046/oj</w:t>
        </w:r>
      </w:hyperlink>
      <w:r w:rsidRPr="00091EB7">
        <w:rPr>
          <w:sz w:val="24"/>
          <w:lang w:val="fi-FI"/>
        </w:rPr>
        <w:t>.</w:t>
      </w:r>
    </w:p>
  </w:footnote>
  <w:footnote w:id="112">
    <w:p w14:paraId="26779327" w14:textId="7F96D56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12" w:history="1">
        <w:r w:rsidRPr="00091EB7">
          <w:rPr>
            <w:rStyle w:val="Hyperlink1"/>
            <w:sz w:val="24"/>
            <w:lang w:val="fi-FI"/>
          </w:rPr>
          <w:t>http://data.europa.eu/eli/reg/2024/2509/oj</w:t>
        </w:r>
      </w:hyperlink>
      <w:r w:rsidRPr="00091EB7">
        <w:rPr>
          <w:sz w:val="24"/>
          <w:lang w:val="fi-FI"/>
        </w:rPr>
        <w:t>.</w:t>
      </w:r>
    </w:p>
  </w:footnote>
  <w:footnote w:id="113">
    <w:p w14:paraId="54550992" w14:textId="4686B80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126, 21.5.2009, s. 13, ELI: </w:t>
      </w:r>
      <w:hyperlink r:id="rId113" w:history="1">
        <w:r w:rsidRPr="00091EB7">
          <w:rPr>
            <w:rStyle w:val="Hyperlink1"/>
            <w:sz w:val="24"/>
            <w:lang w:val="fi-FI"/>
          </w:rPr>
          <w:t>https://data.europa.eu/eli/reg/2009/401/oj</w:t>
        </w:r>
      </w:hyperlink>
      <w:r w:rsidRPr="00091EB7">
        <w:rPr>
          <w:sz w:val="24"/>
          <w:lang w:val="fi-FI"/>
        </w:rPr>
        <w:t>.</w:t>
      </w:r>
    </w:p>
  </w:footnote>
  <w:footnote w:id="114">
    <w:p w14:paraId="5D5D0E0A" w14:textId="2AA0495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14" w:history="1">
        <w:r w:rsidRPr="00091EB7">
          <w:rPr>
            <w:rStyle w:val="Hyperlink1"/>
            <w:sz w:val="24"/>
            <w:lang w:val="fi-FI"/>
          </w:rPr>
          <w:t>http://data.europa.eu/eli/reg_del/2019/715/oj</w:t>
        </w:r>
      </w:hyperlink>
      <w:r w:rsidRPr="00091EB7">
        <w:rPr>
          <w:sz w:val="24"/>
          <w:lang w:val="fi-FI"/>
        </w:rPr>
        <w:t>.</w:t>
      </w:r>
    </w:p>
  </w:footnote>
  <w:footnote w:id="115">
    <w:p w14:paraId="55F073F7" w14:textId="37340B1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1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16">
    <w:p w14:paraId="049DBEE0" w14:textId="576B4A7F"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1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17">
    <w:p w14:paraId="32B03952" w14:textId="3EE9CC8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17" w:history="1">
        <w:r w:rsidRPr="00091EB7">
          <w:rPr>
            <w:rStyle w:val="Hyperlink1"/>
            <w:sz w:val="24"/>
            <w:lang w:val="fi-FI"/>
          </w:rPr>
          <w:t>http://data.europa.eu/eli/reg/2018/1046/oj</w:t>
        </w:r>
      </w:hyperlink>
      <w:r w:rsidRPr="00091EB7">
        <w:rPr>
          <w:sz w:val="24"/>
          <w:lang w:val="fi-FI"/>
        </w:rPr>
        <w:t>.</w:t>
      </w:r>
    </w:p>
  </w:footnote>
  <w:footnote w:id="118">
    <w:p w14:paraId="2D93BD21" w14:textId="3BA7BB0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18" w:history="1">
        <w:r w:rsidRPr="00091EB7">
          <w:rPr>
            <w:rStyle w:val="Hyperlink1"/>
            <w:sz w:val="24"/>
            <w:lang w:val="fi-FI"/>
          </w:rPr>
          <w:t>http://data.europa.eu/eli/reg/2024/2509/oj</w:t>
        </w:r>
      </w:hyperlink>
      <w:r w:rsidRPr="00091EB7">
        <w:rPr>
          <w:sz w:val="24"/>
          <w:lang w:val="fi-FI"/>
        </w:rPr>
        <w:t>.</w:t>
      </w:r>
    </w:p>
  </w:footnote>
  <w:footnote w:id="119">
    <w:p w14:paraId="17CB79A0" w14:textId="0D0195E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126, 21.5.2009, s. 13, ELI: </w:t>
      </w:r>
      <w:hyperlink r:id="rId119" w:history="1">
        <w:r w:rsidRPr="00091EB7">
          <w:rPr>
            <w:rStyle w:val="Hyperlink1"/>
            <w:sz w:val="24"/>
            <w:lang w:val="fi-FI"/>
          </w:rPr>
          <w:t>https://data.europa.eu/eli/reg/2009/401/oj</w:t>
        </w:r>
      </w:hyperlink>
      <w:r w:rsidRPr="00091EB7">
        <w:rPr>
          <w:sz w:val="24"/>
          <w:lang w:val="fi-FI"/>
        </w:rPr>
        <w:t>.</w:t>
      </w:r>
    </w:p>
  </w:footnote>
  <w:footnote w:id="120">
    <w:p w14:paraId="7405B268" w14:textId="0F042DA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20" w:history="1">
        <w:r w:rsidRPr="00091EB7">
          <w:rPr>
            <w:rStyle w:val="Hyperlink1"/>
            <w:sz w:val="24"/>
            <w:lang w:val="fi-FI"/>
          </w:rPr>
          <w:t>http://data.europa.eu/eli/reg_del/2019/715/oj</w:t>
        </w:r>
      </w:hyperlink>
      <w:r w:rsidRPr="00091EB7">
        <w:rPr>
          <w:sz w:val="24"/>
          <w:lang w:val="fi-FI"/>
        </w:rPr>
        <w:t>.</w:t>
      </w:r>
    </w:p>
  </w:footnote>
  <w:footnote w:id="121">
    <w:p w14:paraId="199A4455" w14:textId="32A1C9BB"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2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22">
    <w:p w14:paraId="4E3C30CB" w14:textId="3255BF71"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2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23">
    <w:p w14:paraId="7628B342" w14:textId="320CDDC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23" w:history="1">
        <w:r w:rsidRPr="00091EB7">
          <w:rPr>
            <w:rStyle w:val="Hyperlink1"/>
            <w:sz w:val="24"/>
            <w:lang w:val="fi-FI"/>
          </w:rPr>
          <w:t>http://data.europa.eu/eli/reg/2018/1046/oj</w:t>
        </w:r>
      </w:hyperlink>
      <w:r w:rsidRPr="00091EB7">
        <w:rPr>
          <w:sz w:val="24"/>
          <w:lang w:val="fi-FI"/>
        </w:rPr>
        <w:t>.</w:t>
      </w:r>
    </w:p>
  </w:footnote>
  <w:footnote w:id="124">
    <w:p w14:paraId="1271F12D" w14:textId="747B315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24" w:history="1">
        <w:r w:rsidRPr="00091EB7">
          <w:rPr>
            <w:rStyle w:val="Hyperlink1"/>
            <w:sz w:val="24"/>
            <w:lang w:val="fi-FI"/>
          </w:rPr>
          <w:t>http://data.europa.eu/eli/reg/2024/2509/oj</w:t>
        </w:r>
      </w:hyperlink>
      <w:r w:rsidRPr="00091EB7">
        <w:rPr>
          <w:sz w:val="24"/>
          <w:lang w:val="fi-FI"/>
        </w:rPr>
        <w:t>.</w:t>
      </w:r>
    </w:p>
  </w:footnote>
  <w:footnote w:id="125">
    <w:p w14:paraId="383E0B1D" w14:textId="2522C50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83, 25.3.2019, s. 18, ELI: </w:t>
      </w:r>
      <w:hyperlink r:id="rId125" w:history="1">
        <w:r w:rsidRPr="00091EB7">
          <w:rPr>
            <w:rStyle w:val="Hyperlink1"/>
            <w:sz w:val="24"/>
            <w:lang w:val="fi-FI"/>
          </w:rPr>
          <w:t>https://data.europa.eu/eli/reg/2019/473/oj</w:t>
        </w:r>
      </w:hyperlink>
      <w:r w:rsidRPr="00091EB7">
        <w:rPr>
          <w:sz w:val="24"/>
          <w:lang w:val="fi-FI"/>
        </w:rPr>
        <w:t>.</w:t>
      </w:r>
    </w:p>
  </w:footnote>
  <w:footnote w:id="126">
    <w:p w14:paraId="3F3D211D" w14:textId="4BC7F64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26" w:history="1">
        <w:r w:rsidRPr="00091EB7">
          <w:rPr>
            <w:rStyle w:val="Hyperlink1"/>
            <w:sz w:val="24"/>
            <w:lang w:val="fi-FI"/>
          </w:rPr>
          <w:t>http://data.europa.eu/eli/reg_del/2019/715/oj</w:t>
        </w:r>
      </w:hyperlink>
      <w:r w:rsidRPr="00091EB7">
        <w:rPr>
          <w:sz w:val="24"/>
          <w:lang w:val="fi-FI"/>
        </w:rPr>
        <w:t>.</w:t>
      </w:r>
    </w:p>
  </w:footnote>
  <w:footnote w:id="127">
    <w:p w14:paraId="272C3D9D" w14:textId="0BF027C3"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27"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28">
    <w:p w14:paraId="67446EF9" w14:textId="7830EA89"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28"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29">
    <w:p w14:paraId="4762367A" w14:textId="7DF370E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29" w:history="1">
        <w:r w:rsidRPr="00091EB7">
          <w:rPr>
            <w:rStyle w:val="Hyperlink1"/>
            <w:sz w:val="24"/>
            <w:lang w:val="fi-FI"/>
          </w:rPr>
          <w:t>http://data.europa.eu/eli/reg/2018/1046/oj</w:t>
        </w:r>
      </w:hyperlink>
      <w:r w:rsidRPr="00091EB7">
        <w:rPr>
          <w:sz w:val="24"/>
          <w:lang w:val="fi-FI"/>
        </w:rPr>
        <w:t>.</w:t>
      </w:r>
    </w:p>
  </w:footnote>
  <w:footnote w:id="130">
    <w:p w14:paraId="1DD0AF01" w14:textId="3316441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30" w:history="1">
        <w:r w:rsidRPr="00091EB7">
          <w:rPr>
            <w:rStyle w:val="Hyperlink1"/>
            <w:sz w:val="24"/>
            <w:lang w:val="fi-FI"/>
          </w:rPr>
          <w:t>http://data.europa.eu/eli/reg/2024/2509/oj</w:t>
        </w:r>
      </w:hyperlink>
      <w:r w:rsidRPr="00091EB7">
        <w:rPr>
          <w:sz w:val="24"/>
          <w:lang w:val="fi-FI"/>
        </w:rPr>
        <w:t>.</w:t>
      </w:r>
    </w:p>
  </w:footnote>
  <w:footnote w:id="131">
    <w:p w14:paraId="69D6742E" w14:textId="4FEFD56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83, 25.3.2019, s. 18, ELI: </w:t>
      </w:r>
      <w:hyperlink r:id="rId131" w:history="1">
        <w:r w:rsidRPr="00091EB7">
          <w:rPr>
            <w:rStyle w:val="Hyperlink1"/>
            <w:sz w:val="24"/>
            <w:lang w:val="fi-FI"/>
          </w:rPr>
          <w:t>https://data.europa.eu/eli/reg/2019/473/oj</w:t>
        </w:r>
      </w:hyperlink>
      <w:r w:rsidRPr="00091EB7">
        <w:rPr>
          <w:sz w:val="24"/>
          <w:lang w:val="fi-FI"/>
        </w:rPr>
        <w:t>.</w:t>
      </w:r>
    </w:p>
  </w:footnote>
  <w:footnote w:id="132">
    <w:p w14:paraId="6333F91A" w14:textId="5C25E65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32" w:history="1">
        <w:r w:rsidRPr="00091EB7">
          <w:rPr>
            <w:rStyle w:val="Hyperlink1"/>
            <w:sz w:val="24"/>
            <w:lang w:val="fi-FI"/>
          </w:rPr>
          <w:t>http://data.europa.eu/eli/reg_del/2019/715/oj</w:t>
        </w:r>
      </w:hyperlink>
      <w:r w:rsidRPr="00091EB7">
        <w:rPr>
          <w:sz w:val="24"/>
          <w:lang w:val="fi-FI"/>
        </w:rPr>
        <w:t>.</w:t>
      </w:r>
    </w:p>
  </w:footnote>
  <w:footnote w:id="133">
    <w:p w14:paraId="5BE845F7" w14:textId="4AAFF152"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33"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34">
    <w:p w14:paraId="78D107AB" w14:textId="07C05432"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34"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35">
    <w:p w14:paraId="06201D64" w14:textId="33004CA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35" w:history="1">
        <w:r w:rsidRPr="00091EB7">
          <w:rPr>
            <w:rStyle w:val="Hyperlink1"/>
            <w:sz w:val="24"/>
            <w:lang w:val="fi-FI"/>
          </w:rPr>
          <w:t>http://data.europa.eu/eli/reg/2018/1046/oj</w:t>
        </w:r>
      </w:hyperlink>
      <w:r w:rsidRPr="00091EB7">
        <w:rPr>
          <w:sz w:val="24"/>
          <w:lang w:val="fi-FI"/>
        </w:rPr>
        <w:t>.</w:t>
      </w:r>
    </w:p>
  </w:footnote>
  <w:footnote w:id="136">
    <w:p w14:paraId="191438F5" w14:textId="015CEFF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36" w:history="1">
        <w:r w:rsidRPr="00091EB7">
          <w:rPr>
            <w:rStyle w:val="Hyperlink1"/>
            <w:sz w:val="24"/>
            <w:lang w:val="fi-FI"/>
          </w:rPr>
          <w:t>http://data.europa.eu/eli/reg/2024/2509/oj</w:t>
        </w:r>
      </w:hyperlink>
      <w:r w:rsidRPr="00091EB7">
        <w:rPr>
          <w:sz w:val="24"/>
          <w:lang w:val="fi-FI"/>
        </w:rPr>
        <w:t>.</w:t>
      </w:r>
    </w:p>
  </w:footnote>
  <w:footnote w:id="137">
    <w:p w14:paraId="37D9C840" w14:textId="4E1A4D4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31, 1.2.2002, s. 1, ELI: </w:t>
      </w:r>
      <w:hyperlink r:id="rId137" w:history="1">
        <w:r w:rsidRPr="00091EB7">
          <w:rPr>
            <w:rStyle w:val="Hyperlink1"/>
            <w:sz w:val="24"/>
            <w:lang w:val="fi-FI"/>
          </w:rPr>
          <w:t>https://data.europa.eu/eli/reg/2002/178/oj</w:t>
        </w:r>
      </w:hyperlink>
      <w:r w:rsidRPr="00091EB7">
        <w:rPr>
          <w:sz w:val="24"/>
          <w:lang w:val="fi-FI"/>
        </w:rPr>
        <w:t>.</w:t>
      </w:r>
    </w:p>
  </w:footnote>
  <w:footnote w:id="138">
    <w:p w14:paraId="38E41066" w14:textId="4E963AD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38" w:history="1">
        <w:r w:rsidRPr="00091EB7">
          <w:rPr>
            <w:rStyle w:val="Hyperlink1"/>
            <w:sz w:val="24"/>
            <w:lang w:val="fi-FI"/>
          </w:rPr>
          <w:t>http://data.europa.eu/eli/reg_del/2019/715/oj</w:t>
        </w:r>
      </w:hyperlink>
      <w:r w:rsidRPr="00091EB7">
        <w:rPr>
          <w:sz w:val="24"/>
          <w:lang w:val="fi-FI"/>
        </w:rPr>
        <w:t>.</w:t>
      </w:r>
    </w:p>
  </w:footnote>
  <w:footnote w:id="139">
    <w:p w14:paraId="2055E808" w14:textId="17BA7AE9"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3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40">
    <w:p w14:paraId="1AB33F9E" w14:textId="638F416D"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4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41">
    <w:p w14:paraId="699C5987" w14:textId="3BF6FF02"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41" w:history="1">
        <w:r w:rsidRPr="00091EB7">
          <w:rPr>
            <w:rStyle w:val="Hyperlink1"/>
            <w:sz w:val="24"/>
            <w:lang w:val="fi-FI"/>
          </w:rPr>
          <w:t>http://data.europa.eu/eli/reg/2018/1046/oj</w:t>
        </w:r>
      </w:hyperlink>
      <w:r w:rsidRPr="00091EB7">
        <w:rPr>
          <w:sz w:val="24"/>
          <w:lang w:val="fi-FI"/>
        </w:rPr>
        <w:t>.</w:t>
      </w:r>
    </w:p>
  </w:footnote>
  <w:footnote w:id="142">
    <w:p w14:paraId="2E2374AC" w14:textId="12CFD09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42" w:history="1">
        <w:r w:rsidRPr="00091EB7">
          <w:rPr>
            <w:rStyle w:val="Hyperlink1"/>
            <w:sz w:val="24"/>
            <w:lang w:val="fi-FI"/>
          </w:rPr>
          <w:t>http://data.europa.eu/eli/reg/2024/2509/oj</w:t>
        </w:r>
      </w:hyperlink>
      <w:r w:rsidRPr="00091EB7">
        <w:rPr>
          <w:sz w:val="24"/>
          <w:lang w:val="fi-FI"/>
        </w:rPr>
        <w:t>.</w:t>
      </w:r>
    </w:p>
  </w:footnote>
  <w:footnote w:id="143">
    <w:p w14:paraId="213FC227" w14:textId="021C54A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31, 1.2.2002, s. 1, ELI: </w:t>
      </w:r>
      <w:hyperlink r:id="rId143" w:history="1">
        <w:r w:rsidRPr="00091EB7">
          <w:rPr>
            <w:rStyle w:val="Hyperlink1"/>
            <w:sz w:val="24"/>
            <w:lang w:val="fi-FI"/>
          </w:rPr>
          <w:t>https://data.europa.eu/eli/reg/2002/178/oj</w:t>
        </w:r>
      </w:hyperlink>
      <w:r w:rsidRPr="00091EB7">
        <w:rPr>
          <w:sz w:val="24"/>
          <w:lang w:val="fi-FI"/>
        </w:rPr>
        <w:t>.</w:t>
      </w:r>
    </w:p>
  </w:footnote>
  <w:footnote w:id="144">
    <w:p w14:paraId="26081994" w14:textId="501D9DA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44" w:history="1">
        <w:r w:rsidRPr="00091EB7">
          <w:rPr>
            <w:rStyle w:val="Hyperlink1"/>
            <w:sz w:val="24"/>
            <w:lang w:val="fi-FI"/>
          </w:rPr>
          <w:t>http://data.europa.eu/eli/reg_del/2019/715/oj</w:t>
        </w:r>
      </w:hyperlink>
      <w:r w:rsidRPr="00091EB7">
        <w:rPr>
          <w:sz w:val="24"/>
          <w:lang w:val="fi-FI"/>
        </w:rPr>
        <w:t>.</w:t>
      </w:r>
    </w:p>
  </w:footnote>
  <w:footnote w:id="145">
    <w:p w14:paraId="1FC9FA37" w14:textId="2CB9FB23"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4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46">
    <w:p w14:paraId="2290D358" w14:textId="5071D194"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4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47">
    <w:p w14:paraId="290895C3" w14:textId="49E22C5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47" w:history="1">
        <w:r w:rsidRPr="00091EB7">
          <w:rPr>
            <w:rStyle w:val="Hyperlink1"/>
            <w:sz w:val="24"/>
            <w:lang w:val="fi-FI"/>
          </w:rPr>
          <w:t>http://data.europa.eu/eli/reg/2018/1046/oj</w:t>
        </w:r>
      </w:hyperlink>
      <w:r w:rsidRPr="00091EB7">
        <w:rPr>
          <w:sz w:val="24"/>
          <w:lang w:val="fi-FI"/>
        </w:rPr>
        <w:t>.</w:t>
      </w:r>
    </w:p>
  </w:footnote>
  <w:footnote w:id="148">
    <w:p w14:paraId="4966158F" w14:textId="38E9E04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48" w:history="1">
        <w:r w:rsidRPr="00091EB7">
          <w:rPr>
            <w:rStyle w:val="Hyperlink1"/>
            <w:sz w:val="24"/>
            <w:lang w:val="fi-FI"/>
          </w:rPr>
          <w:t>http://data.europa.eu/eli/reg/2024/2509/oj</w:t>
        </w:r>
      </w:hyperlink>
      <w:r w:rsidRPr="00091EB7">
        <w:rPr>
          <w:sz w:val="24"/>
          <w:lang w:val="fi-FI"/>
        </w:rPr>
        <w:t>.</w:t>
      </w:r>
    </w:p>
  </w:footnote>
  <w:footnote w:id="149">
    <w:p w14:paraId="6C55DFDF" w14:textId="11D68DE2"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403, 30.12.2006, s. 9, ELI: </w:t>
      </w:r>
      <w:hyperlink r:id="rId149" w:history="1">
        <w:r w:rsidRPr="00091EB7">
          <w:rPr>
            <w:rStyle w:val="Hyperlink1"/>
            <w:sz w:val="24"/>
            <w:lang w:val="fi-FI"/>
          </w:rPr>
          <w:t>https://data.europa.eu/eli/reg/2006/1922/oj</w:t>
        </w:r>
      </w:hyperlink>
      <w:r w:rsidRPr="00091EB7">
        <w:rPr>
          <w:sz w:val="24"/>
          <w:lang w:val="fi-FI"/>
        </w:rPr>
        <w:t>.</w:t>
      </w:r>
    </w:p>
  </w:footnote>
  <w:footnote w:id="150">
    <w:p w14:paraId="357A4E72" w14:textId="0251BCB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50" w:history="1">
        <w:r w:rsidRPr="00091EB7">
          <w:rPr>
            <w:rStyle w:val="Hyperlink1"/>
            <w:sz w:val="24"/>
            <w:lang w:val="fi-FI"/>
          </w:rPr>
          <w:t>http://data.europa.eu/eli/reg_del/2019/715/oj</w:t>
        </w:r>
      </w:hyperlink>
      <w:r w:rsidRPr="00091EB7">
        <w:rPr>
          <w:sz w:val="24"/>
          <w:lang w:val="fi-FI"/>
        </w:rPr>
        <w:t>.</w:t>
      </w:r>
    </w:p>
  </w:footnote>
  <w:footnote w:id="151">
    <w:p w14:paraId="30203C90" w14:textId="586089D2"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5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52">
    <w:p w14:paraId="5FC02F49" w14:textId="6DFA8226"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5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53">
    <w:p w14:paraId="6AE2EE97" w14:textId="004A01E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53" w:history="1">
        <w:r w:rsidRPr="00091EB7">
          <w:rPr>
            <w:rStyle w:val="Hyperlink1"/>
            <w:sz w:val="24"/>
            <w:lang w:val="fi-FI"/>
          </w:rPr>
          <w:t>http://data.europa.eu/eli/reg/2018/1046/oj</w:t>
        </w:r>
      </w:hyperlink>
      <w:r w:rsidRPr="00091EB7">
        <w:rPr>
          <w:sz w:val="24"/>
          <w:lang w:val="fi-FI"/>
        </w:rPr>
        <w:t>.</w:t>
      </w:r>
    </w:p>
  </w:footnote>
  <w:footnote w:id="154">
    <w:p w14:paraId="1EE8065A" w14:textId="3CA35FD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54" w:history="1">
        <w:r w:rsidRPr="00091EB7">
          <w:rPr>
            <w:rStyle w:val="Hyperlink1"/>
            <w:sz w:val="24"/>
            <w:lang w:val="fi-FI"/>
          </w:rPr>
          <w:t>http://data.europa.eu/eli/reg/2024/2509/oj</w:t>
        </w:r>
      </w:hyperlink>
      <w:r w:rsidRPr="00091EB7">
        <w:rPr>
          <w:sz w:val="24"/>
          <w:lang w:val="fi-FI"/>
        </w:rPr>
        <w:t>.</w:t>
      </w:r>
    </w:p>
  </w:footnote>
  <w:footnote w:id="155">
    <w:p w14:paraId="464868F6" w14:textId="697B9B1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403, 30.12.2006, s. 9, ELI: </w:t>
      </w:r>
      <w:hyperlink r:id="rId155" w:history="1">
        <w:r w:rsidRPr="00091EB7">
          <w:rPr>
            <w:rStyle w:val="Hyperlink1"/>
            <w:sz w:val="24"/>
            <w:lang w:val="fi-FI"/>
          </w:rPr>
          <w:t>https://data.europa.eu/eli/reg/2006/1922/oj</w:t>
        </w:r>
      </w:hyperlink>
      <w:r w:rsidRPr="00091EB7">
        <w:rPr>
          <w:sz w:val="24"/>
          <w:lang w:val="fi-FI"/>
        </w:rPr>
        <w:t>.</w:t>
      </w:r>
    </w:p>
  </w:footnote>
  <w:footnote w:id="156">
    <w:p w14:paraId="62EF7D08" w14:textId="1D8B4E32"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56" w:history="1">
        <w:r w:rsidRPr="00091EB7">
          <w:rPr>
            <w:rStyle w:val="Hyperlink1"/>
            <w:sz w:val="24"/>
            <w:lang w:val="fi-FI"/>
          </w:rPr>
          <w:t>http://data.europa.eu/eli/reg_del/2019/715/oj</w:t>
        </w:r>
      </w:hyperlink>
      <w:r w:rsidRPr="00091EB7">
        <w:rPr>
          <w:sz w:val="24"/>
          <w:lang w:val="fi-FI"/>
        </w:rPr>
        <w:t>.</w:t>
      </w:r>
    </w:p>
  </w:footnote>
  <w:footnote w:id="157">
    <w:p w14:paraId="189C89AE" w14:textId="30273430"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57"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58">
    <w:p w14:paraId="485A8FA8" w14:textId="7552FDCD"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58"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59">
    <w:p w14:paraId="554609C1" w14:textId="1BA68E7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59" w:history="1">
        <w:r w:rsidRPr="00091EB7">
          <w:rPr>
            <w:rStyle w:val="Hyperlink1"/>
            <w:sz w:val="24"/>
            <w:lang w:val="fi-FI"/>
          </w:rPr>
          <w:t>http://data.europa.eu/eli/reg/2018/1046/oj</w:t>
        </w:r>
      </w:hyperlink>
      <w:r w:rsidRPr="00091EB7">
        <w:rPr>
          <w:sz w:val="24"/>
          <w:lang w:val="fi-FI"/>
        </w:rPr>
        <w:t>.</w:t>
      </w:r>
    </w:p>
  </w:footnote>
  <w:footnote w:id="160">
    <w:p w14:paraId="7AF11643" w14:textId="3232384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60" w:history="1">
        <w:r w:rsidRPr="00091EB7">
          <w:rPr>
            <w:rStyle w:val="Hyperlink1"/>
            <w:sz w:val="24"/>
            <w:lang w:val="fi-FI"/>
          </w:rPr>
          <w:t>http://data.europa.eu/eli/reg/2024/2509/oj</w:t>
        </w:r>
      </w:hyperlink>
      <w:r w:rsidRPr="00091EB7">
        <w:rPr>
          <w:sz w:val="24"/>
          <w:lang w:val="fi-FI"/>
        </w:rPr>
        <w:t>.</w:t>
      </w:r>
    </w:p>
  </w:footnote>
  <w:footnote w:id="161">
    <w:p w14:paraId="0DF010CA" w14:textId="23045D32"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331, 15.12.2010, s. 48, ELI: </w:t>
      </w:r>
      <w:hyperlink r:id="rId161" w:history="1">
        <w:r w:rsidRPr="00091EB7">
          <w:rPr>
            <w:rStyle w:val="Hyperlink1"/>
            <w:sz w:val="24"/>
            <w:lang w:val="fi-FI"/>
          </w:rPr>
          <w:t>https://data.europa.eu/eli/reg/2010/1094/oj</w:t>
        </w:r>
      </w:hyperlink>
      <w:r w:rsidRPr="00091EB7">
        <w:rPr>
          <w:sz w:val="24"/>
          <w:lang w:val="fi-FI"/>
        </w:rPr>
        <w:t>.</w:t>
      </w:r>
    </w:p>
  </w:footnote>
  <w:footnote w:id="162">
    <w:p w14:paraId="4DC0C004" w14:textId="0DD0F4F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62" w:history="1">
        <w:r w:rsidRPr="00091EB7">
          <w:rPr>
            <w:rStyle w:val="Hyperlink1"/>
            <w:sz w:val="24"/>
            <w:lang w:val="fi-FI"/>
          </w:rPr>
          <w:t>http://data.europa.eu/eli/reg_del/2019/715/oj</w:t>
        </w:r>
      </w:hyperlink>
      <w:r w:rsidRPr="00091EB7">
        <w:rPr>
          <w:sz w:val="24"/>
          <w:lang w:val="fi-FI"/>
        </w:rPr>
        <w:t>.</w:t>
      </w:r>
    </w:p>
  </w:footnote>
  <w:footnote w:id="163">
    <w:p w14:paraId="769340DA" w14:textId="20832669"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63"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64">
    <w:p w14:paraId="0A2BDE83" w14:textId="621F013E"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64"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65">
    <w:p w14:paraId="5004100B" w14:textId="68C09C6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65" w:history="1">
        <w:r w:rsidRPr="00091EB7">
          <w:rPr>
            <w:rStyle w:val="Hyperlink1"/>
            <w:sz w:val="24"/>
            <w:lang w:val="fi-FI"/>
          </w:rPr>
          <w:t>http://data.europa.eu/eli/reg/2018/1046/oj</w:t>
        </w:r>
      </w:hyperlink>
      <w:r w:rsidRPr="00091EB7">
        <w:rPr>
          <w:sz w:val="24"/>
          <w:lang w:val="fi-FI"/>
        </w:rPr>
        <w:t>.</w:t>
      </w:r>
    </w:p>
  </w:footnote>
  <w:footnote w:id="166">
    <w:p w14:paraId="46E868A3" w14:textId="68276DA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66" w:history="1">
        <w:r w:rsidRPr="00091EB7">
          <w:rPr>
            <w:rStyle w:val="Hyperlink1"/>
            <w:sz w:val="24"/>
            <w:lang w:val="fi-FI"/>
          </w:rPr>
          <w:t>http://data.europa.eu/eli/reg/2024/2509/oj</w:t>
        </w:r>
      </w:hyperlink>
      <w:r w:rsidRPr="00091EB7">
        <w:rPr>
          <w:sz w:val="24"/>
          <w:lang w:val="fi-FI"/>
        </w:rPr>
        <w:t>.</w:t>
      </w:r>
    </w:p>
  </w:footnote>
  <w:footnote w:id="167">
    <w:p w14:paraId="5D030B9B" w14:textId="5901329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331, 15.12.2010, s. 48, ELI: </w:t>
      </w:r>
      <w:hyperlink r:id="rId167" w:history="1">
        <w:r w:rsidRPr="00091EB7">
          <w:rPr>
            <w:rStyle w:val="Hyperlink1"/>
            <w:sz w:val="24"/>
            <w:lang w:val="fi-FI"/>
          </w:rPr>
          <w:t>https://data.europa.eu/eli/reg/2010/1094/oj</w:t>
        </w:r>
      </w:hyperlink>
      <w:r w:rsidRPr="00091EB7">
        <w:rPr>
          <w:sz w:val="24"/>
          <w:lang w:val="fi-FI"/>
        </w:rPr>
        <w:t>.</w:t>
      </w:r>
    </w:p>
  </w:footnote>
  <w:footnote w:id="168">
    <w:p w14:paraId="58E123B5" w14:textId="63CC4BC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68" w:history="1">
        <w:r w:rsidRPr="00091EB7">
          <w:rPr>
            <w:rStyle w:val="Hyperlink1"/>
            <w:sz w:val="24"/>
            <w:lang w:val="fi-FI"/>
          </w:rPr>
          <w:t>http://data.europa.eu/eli/reg_del/2019/715/oj</w:t>
        </w:r>
      </w:hyperlink>
      <w:r w:rsidRPr="00091EB7">
        <w:rPr>
          <w:sz w:val="24"/>
          <w:lang w:val="fi-FI"/>
        </w:rPr>
        <w:t>.</w:t>
      </w:r>
    </w:p>
  </w:footnote>
  <w:footnote w:id="169">
    <w:p w14:paraId="5023ADE5" w14:textId="1AAB7EB2"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6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70">
    <w:p w14:paraId="03D30D8D" w14:textId="60EFB1DE"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7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71">
    <w:p w14:paraId="52BB8827" w14:textId="75F3D7E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71" w:history="1">
        <w:r w:rsidRPr="00091EB7">
          <w:rPr>
            <w:rStyle w:val="Hyperlink1"/>
            <w:sz w:val="24"/>
            <w:lang w:val="fi-FI"/>
          </w:rPr>
          <w:t>http://data.europa.eu/eli/reg/2018/1046/oj</w:t>
        </w:r>
      </w:hyperlink>
      <w:r w:rsidRPr="00091EB7">
        <w:rPr>
          <w:sz w:val="24"/>
          <w:lang w:val="fi-FI"/>
        </w:rPr>
        <w:t>.</w:t>
      </w:r>
    </w:p>
  </w:footnote>
  <w:footnote w:id="172">
    <w:p w14:paraId="7F632744" w14:textId="1953DCC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72" w:history="1">
        <w:r w:rsidRPr="00091EB7">
          <w:rPr>
            <w:rStyle w:val="Hyperlink1"/>
            <w:sz w:val="24"/>
            <w:lang w:val="fi-FI"/>
          </w:rPr>
          <w:t>http://data.europa.eu/eli/reg/2024/2509/oj</w:t>
        </w:r>
      </w:hyperlink>
      <w:r w:rsidRPr="00091EB7">
        <w:rPr>
          <w:sz w:val="24"/>
          <w:lang w:val="fi-FI"/>
        </w:rPr>
        <w:t>.</w:t>
      </w:r>
    </w:p>
  </w:footnote>
  <w:footnote w:id="173">
    <w:p w14:paraId="19E65983" w14:textId="1437730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189, 28.5.2021, s. 61, ELI: </w:t>
      </w:r>
      <w:hyperlink r:id="rId173" w:history="1">
        <w:r w:rsidRPr="00091EB7">
          <w:rPr>
            <w:rStyle w:val="Hyperlink1"/>
            <w:sz w:val="24"/>
            <w:lang w:val="fi-FI"/>
          </w:rPr>
          <w:t>https://data.europa.eu/eli/reg/2021/819/oj</w:t>
        </w:r>
      </w:hyperlink>
      <w:r w:rsidRPr="00091EB7">
        <w:rPr>
          <w:sz w:val="24"/>
          <w:lang w:val="fi-FI"/>
        </w:rPr>
        <w:t>.</w:t>
      </w:r>
    </w:p>
  </w:footnote>
  <w:footnote w:id="174">
    <w:p w14:paraId="3504A92B" w14:textId="14E5C90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74" w:history="1">
        <w:r w:rsidRPr="00091EB7">
          <w:rPr>
            <w:rStyle w:val="Hyperlink1"/>
            <w:sz w:val="24"/>
            <w:lang w:val="fi-FI"/>
          </w:rPr>
          <w:t>http://data.europa.eu/eli/reg_del/2019/715/oj</w:t>
        </w:r>
      </w:hyperlink>
      <w:r w:rsidRPr="00091EB7">
        <w:rPr>
          <w:sz w:val="24"/>
          <w:lang w:val="fi-FI"/>
        </w:rPr>
        <w:t>.</w:t>
      </w:r>
    </w:p>
  </w:footnote>
  <w:footnote w:id="175">
    <w:p w14:paraId="0EDAA167" w14:textId="0C34630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7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76">
    <w:p w14:paraId="746EAA88" w14:textId="219B46B6"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7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77">
    <w:p w14:paraId="5491137F" w14:textId="29C9464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77" w:history="1">
        <w:r w:rsidRPr="00091EB7">
          <w:rPr>
            <w:rStyle w:val="Hyperlink1"/>
            <w:sz w:val="24"/>
            <w:lang w:val="fi-FI"/>
          </w:rPr>
          <w:t>http://data.europa.eu/eli/reg/2018/1046/oj</w:t>
        </w:r>
      </w:hyperlink>
      <w:r w:rsidRPr="00091EB7">
        <w:rPr>
          <w:sz w:val="24"/>
          <w:lang w:val="fi-FI"/>
        </w:rPr>
        <w:t>.</w:t>
      </w:r>
    </w:p>
  </w:footnote>
  <w:footnote w:id="178">
    <w:p w14:paraId="5CA5E526" w14:textId="0D6DC00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78" w:history="1">
        <w:r w:rsidRPr="00091EB7">
          <w:rPr>
            <w:rStyle w:val="Hyperlink1"/>
            <w:sz w:val="24"/>
            <w:lang w:val="fi-FI"/>
          </w:rPr>
          <w:t>http://data.europa.eu/eli/reg/2024/2509/oj</w:t>
        </w:r>
      </w:hyperlink>
      <w:r w:rsidRPr="00091EB7">
        <w:rPr>
          <w:sz w:val="24"/>
          <w:lang w:val="fi-FI"/>
        </w:rPr>
        <w:t>.</w:t>
      </w:r>
    </w:p>
  </w:footnote>
  <w:footnote w:id="179">
    <w:p w14:paraId="6354BFDD" w14:textId="2C7D564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189, 28.5.2021, s. 61, ELI: </w:t>
      </w:r>
      <w:hyperlink r:id="rId179" w:history="1">
        <w:r w:rsidRPr="00091EB7">
          <w:rPr>
            <w:rStyle w:val="Hyperlink1"/>
            <w:sz w:val="24"/>
            <w:lang w:val="fi-FI"/>
          </w:rPr>
          <w:t>https://data.europa.eu/eli/reg/2021/819/oj</w:t>
        </w:r>
      </w:hyperlink>
      <w:r w:rsidRPr="00091EB7">
        <w:rPr>
          <w:sz w:val="24"/>
          <w:lang w:val="fi-FI"/>
        </w:rPr>
        <w:t>.</w:t>
      </w:r>
    </w:p>
  </w:footnote>
  <w:footnote w:id="180">
    <w:p w14:paraId="4551720D" w14:textId="2EFA444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80" w:history="1">
        <w:r w:rsidRPr="00091EB7">
          <w:rPr>
            <w:rStyle w:val="Hyperlink1"/>
            <w:sz w:val="24"/>
            <w:lang w:val="fi-FI"/>
          </w:rPr>
          <w:t>http://data.europa.eu/eli/reg_del/2019/715/oj</w:t>
        </w:r>
      </w:hyperlink>
      <w:r w:rsidRPr="00091EB7">
        <w:rPr>
          <w:sz w:val="24"/>
          <w:lang w:val="fi-FI"/>
        </w:rPr>
        <w:t>.</w:t>
      </w:r>
    </w:p>
  </w:footnote>
  <w:footnote w:id="181">
    <w:p w14:paraId="609144B9" w14:textId="401D12C4"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8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82">
    <w:p w14:paraId="40064B8B" w14:textId="75E791F9"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8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83">
    <w:p w14:paraId="4C8CE145" w14:textId="283A1B7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83" w:history="1">
        <w:r w:rsidRPr="00091EB7">
          <w:rPr>
            <w:rStyle w:val="Hyperlink1"/>
            <w:sz w:val="24"/>
            <w:lang w:val="fi-FI"/>
          </w:rPr>
          <w:t>http://data.europa.eu/eli/reg/2018/1046/oj</w:t>
        </w:r>
      </w:hyperlink>
      <w:r w:rsidRPr="00091EB7">
        <w:rPr>
          <w:sz w:val="24"/>
          <w:lang w:val="fi-FI"/>
        </w:rPr>
        <w:t>.</w:t>
      </w:r>
    </w:p>
  </w:footnote>
  <w:footnote w:id="184">
    <w:p w14:paraId="53AB02BC" w14:textId="1C3A40B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84" w:history="1">
        <w:r w:rsidRPr="00091EB7">
          <w:rPr>
            <w:rStyle w:val="Hyperlink1"/>
            <w:sz w:val="24"/>
            <w:lang w:val="fi-FI"/>
          </w:rPr>
          <w:t>http://data.europa.eu/eli/reg/2024/2509/oj</w:t>
        </w:r>
      </w:hyperlink>
      <w:r w:rsidRPr="00091EB7">
        <w:rPr>
          <w:sz w:val="24"/>
          <w:lang w:val="fi-FI"/>
        </w:rPr>
        <w:t>.</w:t>
      </w:r>
    </w:p>
  </w:footnote>
  <w:footnote w:id="185">
    <w:p w14:paraId="6294CB00" w14:textId="74422A4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186, 11.7.2019, s. 21, ELI: </w:t>
      </w:r>
      <w:hyperlink r:id="rId185" w:history="1">
        <w:r w:rsidRPr="00091EB7">
          <w:rPr>
            <w:rStyle w:val="Hyperlink1"/>
            <w:sz w:val="24"/>
            <w:lang w:val="fi-FI"/>
          </w:rPr>
          <w:t>https://data.europa.eu/eli/reg/2019/1149/oj</w:t>
        </w:r>
      </w:hyperlink>
      <w:r w:rsidRPr="00091EB7">
        <w:rPr>
          <w:sz w:val="24"/>
          <w:lang w:val="fi-FI"/>
        </w:rPr>
        <w:t>.</w:t>
      </w:r>
    </w:p>
  </w:footnote>
  <w:footnote w:id="186">
    <w:p w14:paraId="013C9DA3" w14:textId="08F1225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86" w:history="1">
        <w:r w:rsidRPr="00091EB7">
          <w:rPr>
            <w:rStyle w:val="Hyperlink1"/>
            <w:sz w:val="24"/>
            <w:lang w:val="fi-FI"/>
          </w:rPr>
          <w:t>http://data.europa.eu/eli/reg_del/2019/715/oj</w:t>
        </w:r>
      </w:hyperlink>
      <w:r w:rsidRPr="00091EB7">
        <w:rPr>
          <w:sz w:val="24"/>
          <w:lang w:val="fi-FI"/>
        </w:rPr>
        <w:t>.</w:t>
      </w:r>
    </w:p>
  </w:footnote>
  <w:footnote w:id="187">
    <w:p w14:paraId="0D783981" w14:textId="318E93A7"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87"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88">
    <w:p w14:paraId="5842C1AF" w14:textId="6CE65710"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88"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89">
    <w:p w14:paraId="140D4848" w14:textId="3029B04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89" w:history="1">
        <w:r w:rsidRPr="00091EB7">
          <w:rPr>
            <w:rStyle w:val="Hyperlink1"/>
            <w:sz w:val="24"/>
            <w:lang w:val="fi-FI"/>
          </w:rPr>
          <w:t>http://data.europa.eu/eli/reg/2018/1046/oj</w:t>
        </w:r>
      </w:hyperlink>
      <w:r w:rsidRPr="00091EB7">
        <w:rPr>
          <w:sz w:val="24"/>
          <w:lang w:val="fi-FI"/>
        </w:rPr>
        <w:t>.</w:t>
      </w:r>
    </w:p>
  </w:footnote>
  <w:footnote w:id="190">
    <w:p w14:paraId="5C9AAAF3" w14:textId="4FBFA3E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90" w:history="1">
        <w:r w:rsidRPr="00091EB7">
          <w:rPr>
            <w:rStyle w:val="Hyperlink1"/>
            <w:sz w:val="24"/>
            <w:lang w:val="fi-FI"/>
          </w:rPr>
          <w:t>http://data.europa.eu/eli/reg/2024/2509/oj</w:t>
        </w:r>
      </w:hyperlink>
      <w:r w:rsidRPr="00091EB7">
        <w:rPr>
          <w:sz w:val="24"/>
          <w:lang w:val="fi-FI"/>
        </w:rPr>
        <w:t>.</w:t>
      </w:r>
    </w:p>
  </w:footnote>
  <w:footnote w:id="191">
    <w:p w14:paraId="349D2058" w14:textId="3F445E9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186, 11.7.2019, s. 21, ELI: </w:t>
      </w:r>
      <w:hyperlink r:id="rId191" w:history="1">
        <w:r w:rsidRPr="00091EB7">
          <w:rPr>
            <w:rStyle w:val="Hyperlink1"/>
            <w:sz w:val="24"/>
            <w:lang w:val="fi-FI"/>
          </w:rPr>
          <w:t>https://data.europa.eu/eli/reg/2019/1149/oj</w:t>
        </w:r>
      </w:hyperlink>
      <w:r w:rsidRPr="00091EB7">
        <w:rPr>
          <w:sz w:val="24"/>
          <w:lang w:val="fi-FI"/>
        </w:rPr>
        <w:t>.</w:t>
      </w:r>
    </w:p>
  </w:footnote>
  <w:footnote w:id="192">
    <w:p w14:paraId="0AEE914F" w14:textId="1517F09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92" w:history="1">
        <w:r w:rsidRPr="00091EB7">
          <w:rPr>
            <w:rStyle w:val="Hyperlink1"/>
            <w:sz w:val="24"/>
            <w:lang w:val="fi-FI"/>
          </w:rPr>
          <w:t>http://data.europa.eu/eli/reg_del/2019/715/oj</w:t>
        </w:r>
      </w:hyperlink>
      <w:r w:rsidRPr="00091EB7">
        <w:rPr>
          <w:sz w:val="24"/>
          <w:lang w:val="fi-FI"/>
        </w:rPr>
        <w:t>.</w:t>
      </w:r>
    </w:p>
  </w:footnote>
  <w:footnote w:id="193">
    <w:p w14:paraId="7D494628" w14:textId="7658E1AD"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93"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194">
    <w:p w14:paraId="7F157127" w14:textId="25E2421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194"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195">
    <w:p w14:paraId="74A2D27C" w14:textId="63FDCE72"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195" w:history="1">
        <w:r w:rsidRPr="00091EB7">
          <w:rPr>
            <w:rStyle w:val="Hyperlink1"/>
            <w:sz w:val="24"/>
            <w:lang w:val="fi-FI"/>
          </w:rPr>
          <w:t>http://data.europa.eu/eli/reg/2018/1046/oj</w:t>
        </w:r>
      </w:hyperlink>
      <w:r w:rsidRPr="00091EB7">
        <w:rPr>
          <w:sz w:val="24"/>
          <w:lang w:val="fi-FI"/>
        </w:rPr>
        <w:t>.</w:t>
      </w:r>
    </w:p>
  </w:footnote>
  <w:footnote w:id="196">
    <w:p w14:paraId="2571DFDA" w14:textId="7CFDD29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196" w:history="1">
        <w:r w:rsidRPr="00091EB7">
          <w:rPr>
            <w:rStyle w:val="Hyperlink1"/>
            <w:sz w:val="24"/>
            <w:lang w:val="fi-FI"/>
          </w:rPr>
          <w:t>http://data.europa.eu/eli/reg/2024/2509/oj</w:t>
        </w:r>
      </w:hyperlink>
      <w:r w:rsidRPr="00091EB7">
        <w:rPr>
          <w:sz w:val="24"/>
          <w:lang w:val="fi-FI"/>
        </w:rPr>
        <w:t>.</w:t>
      </w:r>
    </w:p>
  </w:footnote>
  <w:footnote w:id="197">
    <w:p w14:paraId="1CA56AF7" w14:textId="5CF1137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136, 30.4.2004, s. 1, ELI: </w:t>
      </w:r>
      <w:hyperlink r:id="rId197" w:history="1">
        <w:r w:rsidRPr="00091EB7">
          <w:rPr>
            <w:rStyle w:val="Hyperlink1"/>
            <w:sz w:val="24"/>
            <w:lang w:val="fi-FI"/>
          </w:rPr>
          <w:t>http://data.europa.eu/eli/reg/2004/726/oj</w:t>
        </w:r>
      </w:hyperlink>
      <w:r w:rsidRPr="00091EB7">
        <w:rPr>
          <w:sz w:val="24"/>
          <w:lang w:val="fi-FI"/>
        </w:rPr>
        <w:t>.</w:t>
      </w:r>
    </w:p>
  </w:footnote>
  <w:footnote w:id="198">
    <w:p w14:paraId="1105451F" w14:textId="7CBB6C2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198" w:history="1">
        <w:r w:rsidRPr="00091EB7">
          <w:rPr>
            <w:rStyle w:val="Hyperlink1"/>
            <w:sz w:val="24"/>
            <w:lang w:val="fi-FI"/>
          </w:rPr>
          <w:t>http://data.europa.eu/eli/reg_del/2019/715/oj</w:t>
        </w:r>
      </w:hyperlink>
      <w:r w:rsidRPr="00091EB7">
        <w:rPr>
          <w:sz w:val="24"/>
          <w:lang w:val="fi-FI"/>
        </w:rPr>
        <w:t>.</w:t>
      </w:r>
    </w:p>
  </w:footnote>
  <w:footnote w:id="199">
    <w:p w14:paraId="1239835E" w14:textId="1B46DBF5"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19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00">
    <w:p w14:paraId="43715D1A" w14:textId="7510A7F6"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0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01">
    <w:p w14:paraId="6F0D91DF" w14:textId="2D4D2A2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01" w:history="1">
        <w:r w:rsidRPr="00091EB7">
          <w:rPr>
            <w:rStyle w:val="Hyperlink1"/>
            <w:sz w:val="24"/>
            <w:lang w:val="fi-FI"/>
          </w:rPr>
          <w:t>http://data.europa.eu/eli/reg/2018/1046/oj</w:t>
        </w:r>
      </w:hyperlink>
      <w:r w:rsidRPr="00091EB7">
        <w:rPr>
          <w:sz w:val="24"/>
          <w:lang w:val="fi-FI"/>
        </w:rPr>
        <w:t>.</w:t>
      </w:r>
    </w:p>
  </w:footnote>
  <w:footnote w:id="202">
    <w:p w14:paraId="76A219A2" w14:textId="35F8FC0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02" w:history="1">
        <w:r w:rsidRPr="00091EB7">
          <w:rPr>
            <w:rStyle w:val="Hyperlink1"/>
            <w:sz w:val="24"/>
            <w:lang w:val="fi-FI"/>
          </w:rPr>
          <w:t>http://data.europa.eu/eli/reg/2024/2509/oj</w:t>
        </w:r>
      </w:hyperlink>
      <w:r w:rsidRPr="00091EB7">
        <w:rPr>
          <w:sz w:val="24"/>
          <w:lang w:val="fi-FI"/>
        </w:rPr>
        <w:t>.</w:t>
      </w:r>
    </w:p>
  </w:footnote>
  <w:footnote w:id="203">
    <w:p w14:paraId="43BE6558" w14:textId="432FB18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136, 30.4.2004, s. 1, ELI: </w:t>
      </w:r>
      <w:hyperlink r:id="rId203" w:history="1">
        <w:r w:rsidRPr="00091EB7">
          <w:rPr>
            <w:rStyle w:val="Hyperlink1"/>
            <w:sz w:val="24"/>
            <w:lang w:val="fi-FI"/>
          </w:rPr>
          <w:t>http://data.europa.eu/eli/reg/2004/726/oj</w:t>
        </w:r>
      </w:hyperlink>
      <w:r w:rsidRPr="00091EB7">
        <w:rPr>
          <w:sz w:val="24"/>
          <w:lang w:val="fi-FI"/>
        </w:rPr>
        <w:t>.</w:t>
      </w:r>
    </w:p>
  </w:footnote>
  <w:footnote w:id="204">
    <w:p w14:paraId="7A42C6CB" w14:textId="434F889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04" w:history="1">
        <w:r w:rsidRPr="00091EB7">
          <w:rPr>
            <w:rStyle w:val="Hyperlink1"/>
            <w:sz w:val="24"/>
            <w:lang w:val="fi-FI"/>
          </w:rPr>
          <w:t>http://data.europa.eu/eli/reg_del/2019/715/oj</w:t>
        </w:r>
      </w:hyperlink>
      <w:r w:rsidRPr="00091EB7">
        <w:rPr>
          <w:sz w:val="24"/>
          <w:lang w:val="fi-FI"/>
        </w:rPr>
        <w:t>.</w:t>
      </w:r>
    </w:p>
  </w:footnote>
  <w:footnote w:id="205">
    <w:p w14:paraId="6ED1542D" w14:textId="580B917D"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0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06">
    <w:p w14:paraId="6F973B0E" w14:textId="0130F305"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0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07">
    <w:p w14:paraId="17C179E8" w14:textId="4C980FC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07" w:history="1">
        <w:r w:rsidRPr="00091EB7">
          <w:rPr>
            <w:rStyle w:val="Hyperlink1"/>
            <w:sz w:val="24"/>
            <w:lang w:val="fi-FI"/>
          </w:rPr>
          <w:t>http://data.europa.eu/eli/reg/2018/1046/oj</w:t>
        </w:r>
      </w:hyperlink>
      <w:r w:rsidRPr="00091EB7">
        <w:rPr>
          <w:sz w:val="24"/>
          <w:lang w:val="fi-FI"/>
        </w:rPr>
        <w:t>.</w:t>
      </w:r>
    </w:p>
  </w:footnote>
  <w:footnote w:id="208">
    <w:p w14:paraId="746E6975" w14:textId="7B7F3BF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08" w:history="1">
        <w:r w:rsidRPr="00091EB7">
          <w:rPr>
            <w:rStyle w:val="Hyperlink1"/>
            <w:sz w:val="24"/>
            <w:lang w:val="fi-FI"/>
          </w:rPr>
          <w:t>http://data.europa.eu/eli/reg/2024/2509/oj</w:t>
        </w:r>
      </w:hyperlink>
      <w:r w:rsidRPr="00091EB7">
        <w:rPr>
          <w:sz w:val="24"/>
          <w:lang w:val="fi-FI"/>
        </w:rPr>
        <w:t>.</w:t>
      </w:r>
    </w:p>
  </w:footnote>
  <w:footnote w:id="209">
    <w:p w14:paraId="4AD0A5D7" w14:textId="46586CD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376, 27.12.2006, s. 1, ELI: </w:t>
      </w:r>
      <w:hyperlink r:id="rId209" w:history="1">
        <w:r w:rsidRPr="00091EB7">
          <w:rPr>
            <w:rStyle w:val="Hyperlink1"/>
            <w:sz w:val="24"/>
            <w:lang w:val="fi-FI"/>
          </w:rPr>
          <w:t>https://data.europa.eu/eli/reg/2006/1920/oj</w:t>
        </w:r>
      </w:hyperlink>
      <w:r w:rsidRPr="00091EB7">
        <w:rPr>
          <w:sz w:val="24"/>
          <w:lang w:val="fi-FI"/>
        </w:rPr>
        <w:t>.</w:t>
      </w:r>
    </w:p>
  </w:footnote>
  <w:footnote w:id="210">
    <w:p w14:paraId="4176F828" w14:textId="3AA5062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166, 30.6.2023, s. 6, ELI: </w:t>
      </w:r>
      <w:hyperlink r:id="rId210" w:history="1">
        <w:r w:rsidRPr="00091EB7">
          <w:rPr>
            <w:rStyle w:val="Hyperlink1"/>
            <w:sz w:val="24"/>
            <w:lang w:val="fi-FI"/>
          </w:rPr>
          <w:t>https://data.europa.eu/eli/reg/2023/1322/oj</w:t>
        </w:r>
      </w:hyperlink>
      <w:r w:rsidRPr="00091EB7">
        <w:rPr>
          <w:sz w:val="24"/>
          <w:lang w:val="fi-FI"/>
        </w:rPr>
        <w:t>.</w:t>
      </w:r>
    </w:p>
  </w:footnote>
  <w:footnote w:id="211">
    <w:p w14:paraId="0C1AE236" w14:textId="7F5DB80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11" w:history="1">
        <w:r w:rsidRPr="00091EB7">
          <w:rPr>
            <w:rStyle w:val="Hyperlink1"/>
            <w:sz w:val="24"/>
            <w:lang w:val="fi-FI"/>
          </w:rPr>
          <w:t>http://data.europa.eu/eli/reg_del/2019/715/oj</w:t>
        </w:r>
      </w:hyperlink>
      <w:r w:rsidRPr="00091EB7">
        <w:rPr>
          <w:sz w:val="24"/>
          <w:lang w:val="fi-FI"/>
        </w:rPr>
        <w:t>.</w:t>
      </w:r>
    </w:p>
  </w:footnote>
  <w:footnote w:id="212">
    <w:p w14:paraId="7E64F69F" w14:textId="1FB2E689"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12"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13">
    <w:p w14:paraId="02563D22" w14:textId="7900C71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13"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14">
    <w:p w14:paraId="4173EF22" w14:textId="747404B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14" w:history="1">
        <w:r w:rsidRPr="00091EB7">
          <w:rPr>
            <w:rStyle w:val="Hyperlink1"/>
            <w:sz w:val="24"/>
            <w:lang w:val="fi-FI"/>
          </w:rPr>
          <w:t>http://data.europa.eu/eli/reg/2018/1046/oj</w:t>
        </w:r>
      </w:hyperlink>
      <w:r w:rsidRPr="00091EB7">
        <w:rPr>
          <w:sz w:val="24"/>
          <w:lang w:val="fi-FI"/>
        </w:rPr>
        <w:t>.</w:t>
      </w:r>
    </w:p>
  </w:footnote>
  <w:footnote w:id="215">
    <w:p w14:paraId="17A9C485" w14:textId="1410220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15" w:history="1">
        <w:r w:rsidRPr="00091EB7">
          <w:rPr>
            <w:rStyle w:val="Hyperlink1"/>
            <w:sz w:val="24"/>
            <w:lang w:val="fi-FI"/>
          </w:rPr>
          <w:t>http://data.europa.eu/eli/reg/2024/2509/oj</w:t>
        </w:r>
      </w:hyperlink>
      <w:r w:rsidRPr="00091EB7">
        <w:rPr>
          <w:sz w:val="24"/>
          <w:lang w:val="fi-FI"/>
        </w:rPr>
        <w:t>.</w:t>
      </w:r>
    </w:p>
  </w:footnote>
  <w:footnote w:id="216">
    <w:p w14:paraId="66E4F2A3" w14:textId="57F0800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376, 27.12.2006, s. 1, ELI: </w:t>
      </w:r>
      <w:hyperlink r:id="rId216" w:history="1">
        <w:r w:rsidRPr="00091EB7">
          <w:rPr>
            <w:rStyle w:val="Hyperlink1"/>
            <w:sz w:val="24"/>
            <w:lang w:val="fi-FI"/>
          </w:rPr>
          <w:t>https://data.europa.eu/eli/reg/2006/1920/oj</w:t>
        </w:r>
      </w:hyperlink>
      <w:r w:rsidRPr="00091EB7">
        <w:rPr>
          <w:sz w:val="24"/>
          <w:lang w:val="fi-FI"/>
        </w:rPr>
        <w:t>.</w:t>
      </w:r>
    </w:p>
  </w:footnote>
  <w:footnote w:id="217">
    <w:p w14:paraId="783D4CA0" w14:textId="40F02A8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166, 30.6.2023, s. 6, ELI: </w:t>
      </w:r>
      <w:hyperlink r:id="rId217" w:history="1">
        <w:r w:rsidRPr="00091EB7">
          <w:rPr>
            <w:rStyle w:val="Hyperlink1"/>
            <w:sz w:val="24"/>
            <w:lang w:val="fi-FI"/>
          </w:rPr>
          <w:t>https://data.europa.eu/eli/reg/2023/1322/oj</w:t>
        </w:r>
      </w:hyperlink>
      <w:r w:rsidRPr="00091EB7">
        <w:rPr>
          <w:sz w:val="24"/>
          <w:lang w:val="fi-FI"/>
        </w:rPr>
        <w:t>.</w:t>
      </w:r>
    </w:p>
  </w:footnote>
  <w:footnote w:id="218">
    <w:p w14:paraId="62B1882A" w14:textId="5DB2A16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18" w:history="1">
        <w:r w:rsidRPr="00091EB7">
          <w:rPr>
            <w:rStyle w:val="Hyperlink1"/>
            <w:sz w:val="24"/>
            <w:lang w:val="fi-FI"/>
          </w:rPr>
          <w:t>http://data.europa.eu/eli/reg_del/2019/715/oj</w:t>
        </w:r>
      </w:hyperlink>
      <w:r w:rsidRPr="00091EB7">
        <w:rPr>
          <w:sz w:val="24"/>
          <w:lang w:val="fi-FI"/>
        </w:rPr>
        <w:t>.</w:t>
      </w:r>
    </w:p>
  </w:footnote>
  <w:footnote w:id="219">
    <w:p w14:paraId="4FC19EC7" w14:textId="3403B52E"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1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20">
    <w:p w14:paraId="51F52B3B" w14:textId="7ECCAD3A"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2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21">
    <w:p w14:paraId="458868B3" w14:textId="6677DEF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21" w:history="1">
        <w:r w:rsidRPr="00091EB7">
          <w:rPr>
            <w:rStyle w:val="Hyperlink1"/>
            <w:sz w:val="24"/>
            <w:lang w:val="fi-FI"/>
          </w:rPr>
          <w:t>http://data.europa.eu/eli/reg/2018/1046/oj</w:t>
        </w:r>
      </w:hyperlink>
      <w:r w:rsidRPr="00091EB7">
        <w:rPr>
          <w:sz w:val="24"/>
          <w:lang w:val="fi-FI"/>
        </w:rPr>
        <w:t>.</w:t>
      </w:r>
    </w:p>
  </w:footnote>
  <w:footnote w:id="222">
    <w:p w14:paraId="1D2574F2" w14:textId="5299194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22" w:history="1">
        <w:r w:rsidRPr="00091EB7">
          <w:rPr>
            <w:rStyle w:val="Hyperlink1"/>
            <w:sz w:val="24"/>
            <w:lang w:val="fi-FI"/>
          </w:rPr>
          <w:t>http://data.europa.eu/eli/reg/2024/2509/oj</w:t>
        </w:r>
      </w:hyperlink>
      <w:r w:rsidRPr="00091EB7">
        <w:rPr>
          <w:sz w:val="24"/>
          <w:lang w:val="fi-FI"/>
        </w:rPr>
        <w:t>.</w:t>
      </w:r>
    </w:p>
  </w:footnote>
  <w:footnote w:id="223">
    <w:p w14:paraId="41041A31" w14:textId="6F0368D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208, 5.8.2002, s. 1, ELI: </w:t>
      </w:r>
      <w:hyperlink r:id="rId223" w:history="1">
        <w:r w:rsidRPr="00091EB7">
          <w:rPr>
            <w:rStyle w:val="Hyperlink1"/>
            <w:sz w:val="24"/>
            <w:lang w:val="fi-FI"/>
          </w:rPr>
          <w:t>https://data.europa.eu/eli/reg/2002/1406/oj</w:t>
        </w:r>
      </w:hyperlink>
      <w:r w:rsidRPr="00091EB7">
        <w:rPr>
          <w:sz w:val="24"/>
          <w:lang w:val="fi-FI"/>
        </w:rPr>
        <w:t>.</w:t>
      </w:r>
    </w:p>
  </w:footnote>
  <w:footnote w:id="224">
    <w:p w14:paraId="556D9F11" w14:textId="538FD88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24" w:history="1">
        <w:r w:rsidRPr="00091EB7">
          <w:rPr>
            <w:rStyle w:val="Hyperlink1"/>
            <w:sz w:val="24"/>
            <w:lang w:val="fi-FI"/>
          </w:rPr>
          <w:t>http://data.europa.eu/eli/reg_del/2019/715/oj</w:t>
        </w:r>
      </w:hyperlink>
      <w:r w:rsidRPr="00091EB7">
        <w:rPr>
          <w:sz w:val="24"/>
          <w:lang w:val="fi-FI"/>
        </w:rPr>
        <w:t>.</w:t>
      </w:r>
    </w:p>
  </w:footnote>
  <w:footnote w:id="225">
    <w:p w14:paraId="697C4423" w14:textId="5354A5A3"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2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26">
    <w:p w14:paraId="5F4EE14F" w14:textId="0921E377"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2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27">
    <w:p w14:paraId="7026716F" w14:textId="0A9614F2"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27" w:history="1">
        <w:r w:rsidRPr="00091EB7">
          <w:rPr>
            <w:rStyle w:val="Hyperlink1"/>
            <w:sz w:val="24"/>
            <w:lang w:val="fi-FI"/>
          </w:rPr>
          <w:t>http://data.europa.eu/eli/reg/2018/1046/oj</w:t>
        </w:r>
      </w:hyperlink>
      <w:r w:rsidRPr="00091EB7">
        <w:rPr>
          <w:sz w:val="24"/>
          <w:lang w:val="fi-FI"/>
        </w:rPr>
        <w:t>.</w:t>
      </w:r>
    </w:p>
  </w:footnote>
  <w:footnote w:id="228">
    <w:p w14:paraId="0DDA9215" w14:textId="4B96211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28" w:history="1">
        <w:r w:rsidRPr="00091EB7">
          <w:rPr>
            <w:rStyle w:val="Hyperlink1"/>
            <w:sz w:val="24"/>
            <w:lang w:val="fi-FI"/>
          </w:rPr>
          <w:t>http://data.europa.eu/eli/reg/2024/2509/oj</w:t>
        </w:r>
      </w:hyperlink>
      <w:r w:rsidRPr="00091EB7">
        <w:rPr>
          <w:sz w:val="24"/>
          <w:lang w:val="fi-FI"/>
        </w:rPr>
        <w:t>.</w:t>
      </w:r>
    </w:p>
  </w:footnote>
  <w:footnote w:id="229">
    <w:p w14:paraId="1522F2B1" w14:textId="05CA305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208, 5.8.2002, s. 1, ELI: </w:t>
      </w:r>
      <w:hyperlink r:id="rId229" w:history="1">
        <w:r w:rsidRPr="00091EB7">
          <w:rPr>
            <w:rStyle w:val="Hyperlink1"/>
            <w:sz w:val="24"/>
            <w:lang w:val="fi-FI"/>
          </w:rPr>
          <w:t>https://data.europa.eu/eli/reg/2002/1406/oj</w:t>
        </w:r>
      </w:hyperlink>
      <w:r w:rsidRPr="00091EB7">
        <w:rPr>
          <w:sz w:val="24"/>
          <w:lang w:val="fi-FI"/>
        </w:rPr>
        <w:t>.</w:t>
      </w:r>
    </w:p>
  </w:footnote>
  <w:footnote w:id="230">
    <w:p w14:paraId="78C53994" w14:textId="7C86D45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30" w:history="1">
        <w:r w:rsidRPr="00091EB7">
          <w:rPr>
            <w:rStyle w:val="Hyperlink1"/>
            <w:sz w:val="24"/>
            <w:lang w:val="fi-FI"/>
          </w:rPr>
          <w:t>http://data.europa.eu/eli/reg_del/2019/715/oj</w:t>
        </w:r>
      </w:hyperlink>
      <w:r w:rsidRPr="00091EB7">
        <w:rPr>
          <w:sz w:val="24"/>
          <w:lang w:val="fi-FI"/>
        </w:rPr>
        <w:t>.</w:t>
      </w:r>
    </w:p>
  </w:footnote>
  <w:footnote w:id="231">
    <w:p w14:paraId="413ED555" w14:textId="79C8D012"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3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32">
    <w:p w14:paraId="228AED61" w14:textId="547BA515"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3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33">
    <w:p w14:paraId="46C1715D" w14:textId="0A7708B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33" w:history="1">
        <w:r w:rsidRPr="00091EB7">
          <w:rPr>
            <w:rStyle w:val="Hyperlink1"/>
            <w:sz w:val="24"/>
            <w:lang w:val="fi-FI"/>
          </w:rPr>
          <w:t>http://data.europa.eu/eli/reg/2018/1046/oj</w:t>
        </w:r>
      </w:hyperlink>
      <w:r w:rsidRPr="00091EB7">
        <w:rPr>
          <w:sz w:val="24"/>
          <w:lang w:val="fi-FI"/>
        </w:rPr>
        <w:t>.</w:t>
      </w:r>
    </w:p>
  </w:footnote>
  <w:footnote w:id="234">
    <w:p w14:paraId="0626CF6F" w14:textId="71B57E2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34" w:history="1">
        <w:r w:rsidRPr="00091EB7">
          <w:rPr>
            <w:rStyle w:val="Hyperlink1"/>
            <w:sz w:val="24"/>
            <w:lang w:val="fi-FI"/>
          </w:rPr>
          <w:t>http://data.europa.eu/eli/reg/2024/2509/oj</w:t>
        </w:r>
      </w:hyperlink>
      <w:r w:rsidRPr="00091EB7">
        <w:rPr>
          <w:sz w:val="24"/>
          <w:lang w:val="fi-FI"/>
        </w:rPr>
        <w:t>.</w:t>
      </w:r>
    </w:p>
  </w:footnote>
  <w:footnote w:id="235">
    <w:p w14:paraId="19F09637" w14:textId="2CFE426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151, 7.6.2019, s. 15, ELI: </w:t>
      </w:r>
      <w:hyperlink r:id="rId235" w:history="1">
        <w:r w:rsidRPr="00091EB7">
          <w:rPr>
            <w:rStyle w:val="Hyperlink1"/>
            <w:sz w:val="24"/>
            <w:lang w:val="fi-FI"/>
          </w:rPr>
          <w:t>https://data.europa.eu/eli/reg/2019/881/oj</w:t>
        </w:r>
      </w:hyperlink>
      <w:r w:rsidRPr="00091EB7">
        <w:rPr>
          <w:sz w:val="24"/>
          <w:lang w:val="fi-FI"/>
        </w:rPr>
        <w:t>.</w:t>
      </w:r>
    </w:p>
  </w:footnote>
  <w:footnote w:id="236">
    <w:p w14:paraId="3DBF7AFF" w14:textId="435A29C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36" w:history="1">
        <w:r w:rsidRPr="00091EB7">
          <w:rPr>
            <w:rStyle w:val="Hyperlink1"/>
            <w:sz w:val="24"/>
            <w:lang w:val="fi-FI"/>
          </w:rPr>
          <w:t>http://data.europa.eu/eli/reg_del/2019/715/oj</w:t>
        </w:r>
      </w:hyperlink>
      <w:r w:rsidRPr="00091EB7">
        <w:rPr>
          <w:sz w:val="24"/>
          <w:lang w:val="fi-FI"/>
        </w:rPr>
        <w:t>.</w:t>
      </w:r>
    </w:p>
  </w:footnote>
  <w:footnote w:id="237">
    <w:p w14:paraId="75DE5942" w14:textId="7FE0AD9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37"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38">
    <w:p w14:paraId="6E1323E6" w14:textId="21009E66"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38"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39">
    <w:p w14:paraId="6F55102F" w14:textId="5BF56BA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39" w:history="1">
        <w:r w:rsidRPr="00091EB7">
          <w:rPr>
            <w:rStyle w:val="Hyperlink1"/>
            <w:sz w:val="24"/>
            <w:lang w:val="fi-FI"/>
          </w:rPr>
          <w:t>http://data.europa.eu/eli/reg/2018/1046/oj</w:t>
        </w:r>
      </w:hyperlink>
      <w:r w:rsidRPr="00091EB7">
        <w:rPr>
          <w:sz w:val="24"/>
          <w:lang w:val="fi-FI"/>
        </w:rPr>
        <w:t>.</w:t>
      </w:r>
    </w:p>
  </w:footnote>
  <w:footnote w:id="240">
    <w:p w14:paraId="2D5ACEFD" w14:textId="5475DA7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40" w:history="1">
        <w:r w:rsidRPr="00091EB7">
          <w:rPr>
            <w:rStyle w:val="Hyperlink1"/>
            <w:sz w:val="24"/>
            <w:lang w:val="fi-FI"/>
          </w:rPr>
          <w:t>http://data.europa.eu/eli/reg/2024/2509/oj</w:t>
        </w:r>
      </w:hyperlink>
      <w:r w:rsidRPr="00091EB7">
        <w:rPr>
          <w:sz w:val="24"/>
          <w:lang w:val="fi-FI"/>
        </w:rPr>
        <w:t>.</w:t>
      </w:r>
    </w:p>
  </w:footnote>
  <w:footnote w:id="241">
    <w:p w14:paraId="0FC399C1" w14:textId="1BFFCCC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151, 7.6.2019, s. 15, ELI: </w:t>
      </w:r>
      <w:hyperlink r:id="rId241" w:history="1">
        <w:r w:rsidRPr="00091EB7">
          <w:rPr>
            <w:rStyle w:val="Hyperlink1"/>
            <w:sz w:val="24"/>
            <w:lang w:val="fi-FI"/>
          </w:rPr>
          <w:t>https://data.europa.eu/eli/reg/2019/881/oj</w:t>
        </w:r>
      </w:hyperlink>
      <w:r w:rsidRPr="00091EB7">
        <w:rPr>
          <w:sz w:val="24"/>
          <w:lang w:val="fi-FI"/>
        </w:rPr>
        <w:t>.</w:t>
      </w:r>
    </w:p>
  </w:footnote>
  <w:footnote w:id="242">
    <w:p w14:paraId="5DEE2C6C" w14:textId="33D5F8E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42" w:history="1">
        <w:r w:rsidRPr="00091EB7">
          <w:rPr>
            <w:rStyle w:val="Hyperlink1"/>
            <w:sz w:val="24"/>
            <w:lang w:val="fi-FI"/>
          </w:rPr>
          <w:t>http://data.europa.eu/eli/reg_del/2019/715/oj</w:t>
        </w:r>
      </w:hyperlink>
      <w:r w:rsidRPr="00091EB7">
        <w:rPr>
          <w:sz w:val="24"/>
          <w:lang w:val="fi-FI"/>
        </w:rPr>
        <w:t>.</w:t>
      </w:r>
    </w:p>
  </w:footnote>
  <w:footnote w:id="243">
    <w:p w14:paraId="152B04A0" w14:textId="52A43D3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43"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44">
    <w:p w14:paraId="2E5D3C5A" w14:textId="3EE2946C"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44"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45">
    <w:p w14:paraId="49E11473" w14:textId="54535AA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45" w:history="1">
        <w:r w:rsidRPr="00091EB7">
          <w:rPr>
            <w:rStyle w:val="Hyperlink1"/>
            <w:sz w:val="24"/>
            <w:lang w:val="fi-FI"/>
          </w:rPr>
          <w:t>http://data.europa.eu/eli/reg/2018/1046/oj</w:t>
        </w:r>
      </w:hyperlink>
      <w:r w:rsidRPr="00091EB7">
        <w:rPr>
          <w:sz w:val="24"/>
          <w:lang w:val="fi-FI"/>
        </w:rPr>
        <w:t>.</w:t>
      </w:r>
    </w:p>
  </w:footnote>
  <w:footnote w:id="246">
    <w:p w14:paraId="5ADA4BC1" w14:textId="78885F1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46" w:history="1">
        <w:r w:rsidRPr="00091EB7">
          <w:rPr>
            <w:rStyle w:val="Hyperlink1"/>
            <w:sz w:val="24"/>
            <w:lang w:val="fi-FI"/>
          </w:rPr>
          <w:t>http://data.europa.eu/eli/reg/2024/2509/oj</w:t>
        </w:r>
      </w:hyperlink>
      <w:r w:rsidRPr="00091EB7">
        <w:rPr>
          <w:sz w:val="24"/>
          <w:lang w:val="fi-FI"/>
        </w:rPr>
        <w:t>.</w:t>
      </w:r>
    </w:p>
  </w:footnote>
  <w:footnote w:id="247">
    <w:p w14:paraId="03990C00" w14:textId="3803393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138, 26.5.2016, s. 1, ELI: </w:t>
      </w:r>
      <w:hyperlink r:id="rId247" w:history="1">
        <w:r w:rsidRPr="00091EB7">
          <w:rPr>
            <w:rStyle w:val="Hyperlink1"/>
            <w:sz w:val="24"/>
            <w:lang w:val="fi-FI"/>
          </w:rPr>
          <w:t>https://data.europa.eu/eli/reg/2016/796/oj</w:t>
        </w:r>
      </w:hyperlink>
      <w:r w:rsidRPr="00091EB7">
        <w:rPr>
          <w:sz w:val="24"/>
          <w:lang w:val="fi-FI"/>
        </w:rPr>
        <w:t>.</w:t>
      </w:r>
    </w:p>
  </w:footnote>
  <w:footnote w:id="248">
    <w:p w14:paraId="216E0A28" w14:textId="0A3D9B3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48" w:history="1">
        <w:r w:rsidRPr="00091EB7">
          <w:rPr>
            <w:rStyle w:val="Hyperlink1"/>
            <w:sz w:val="24"/>
            <w:lang w:val="fi-FI"/>
          </w:rPr>
          <w:t>http://data.europa.eu/eli/reg_del/2019/715/oj</w:t>
        </w:r>
      </w:hyperlink>
      <w:r w:rsidRPr="00091EB7">
        <w:rPr>
          <w:sz w:val="24"/>
          <w:lang w:val="fi-FI"/>
        </w:rPr>
        <w:t>.</w:t>
      </w:r>
    </w:p>
  </w:footnote>
  <w:footnote w:id="249">
    <w:p w14:paraId="1588762D" w14:textId="5AE8CB9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4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50">
    <w:p w14:paraId="2F2A676D" w14:textId="740E76CF"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5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51">
    <w:p w14:paraId="08CE9A97" w14:textId="57AD0B0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51" w:history="1">
        <w:r w:rsidRPr="00091EB7">
          <w:rPr>
            <w:rStyle w:val="Hyperlink1"/>
            <w:sz w:val="24"/>
            <w:lang w:val="fi-FI"/>
          </w:rPr>
          <w:t>http://data.europa.eu/eli/reg/2018/1046/oj</w:t>
        </w:r>
      </w:hyperlink>
      <w:r w:rsidRPr="00091EB7">
        <w:rPr>
          <w:sz w:val="24"/>
          <w:lang w:val="fi-FI"/>
        </w:rPr>
        <w:t>.</w:t>
      </w:r>
    </w:p>
  </w:footnote>
  <w:footnote w:id="252">
    <w:p w14:paraId="790D4C19" w14:textId="682FD0E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52" w:history="1">
        <w:r w:rsidRPr="00091EB7">
          <w:rPr>
            <w:rStyle w:val="Hyperlink1"/>
            <w:sz w:val="24"/>
            <w:lang w:val="fi-FI"/>
          </w:rPr>
          <w:t>http://data.europa.eu/eli/reg/2024/2509/oj</w:t>
        </w:r>
      </w:hyperlink>
      <w:r w:rsidRPr="00091EB7">
        <w:rPr>
          <w:sz w:val="24"/>
          <w:lang w:val="fi-FI"/>
        </w:rPr>
        <w:t>.</w:t>
      </w:r>
    </w:p>
  </w:footnote>
  <w:footnote w:id="253">
    <w:p w14:paraId="0E2D5299" w14:textId="4BAECE6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138, 26.5.2016, s. 1, ELI: </w:t>
      </w:r>
      <w:hyperlink r:id="rId253" w:history="1">
        <w:r w:rsidRPr="00091EB7">
          <w:rPr>
            <w:rStyle w:val="Hyperlink1"/>
            <w:sz w:val="24"/>
            <w:lang w:val="fi-FI"/>
          </w:rPr>
          <w:t>https://data.europa.eu/eli/reg/2016/796/oj</w:t>
        </w:r>
      </w:hyperlink>
      <w:r w:rsidRPr="00091EB7">
        <w:rPr>
          <w:sz w:val="24"/>
          <w:lang w:val="fi-FI"/>
        </w:rPr>
        <w:t>.</w:t>
      </w:r>
    </w:p>
  </w:footnote>
  <w:footnote w:id="254">
    <w:p w14:paraId="7BC66044" w14:textId="3F83BF3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54" w:history="1">
        <w:r w:rsidRPr="00091EB7">
          <w:rPr>
            <w:rStyle w:val="Hyperlink1"/>
            <w:sz w:val="24"/>
            <w:lang w:val="fi-FI"/>
          </w:rPr>
          <w:t>http://data.europa.eu/eli/reg_del/2019/715/oj</w:t>
        </w:r>
      </w:hyperlink>
      <w:r w:rsidRPr="00091EB7">
        <w:rPr>
          <w:sz w:val="24"/>
          <w:lang w:val="fi-FI"/>
        </w:rPr>
        <w:t>.</w:t>
      </w:r>
    </w:p>
  </w:footnote>
  <w:footnote w:id="255">
    <w:p w14:paraId="046802BF" w14:textId="5671CE5B"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5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56">
    <w:p w14:paraId="253E1E8C" w14:textId="7A6A5EEB"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5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57">
    <w:p w14:paraId="5B26AD6F" w14:textId="6B6FBA1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57" w:history="1">
        <w:r w:rsidRPr="00091EB7">
          <w:rPr>
            <w:rStyle w:val="Hyperlink1"/>
            <w:sz w:val="24"/>
            <w:lang w:val="fi-FI"/>
          </w:rPr>
          <w:t>http://data.europa.eu/eli/reg/2018/1046/oj</w:t>
        </w:r>
      </w:hyperlink>
      <w:r w:rsidRPr="00091EB7">
        <w:rPr>
          <w:sz w:val="24"/>
          <w:lang w:val="fi-FI"/>
        </w:rPr>
        <w:t>.</w:t>
      </w:r>
    </w:p>
  </w:footnote>
  <w:footnote w:id="258">
    <w:p w14:paraId="75D86D96" w14:textId="64AF782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58" w:history="1">
        <w:r w:rsidRPr="00091EB7">
          <w:rPr>
            <w:rStyle w:val="Hyperlink1"/>
            <w:sz w:val="24"/>
            <w:lang w:val="fi-FI"/>
          </w:rPr>
          <w:t>http://data.europa.eu/eli/reg/2024/2509/oj</w:t>
        </w:r>
      </w:hyperlink>
      <w:r w:rsidRPr="00091EB7">
        <w:rPr>
          <w:sz w:val="24"/>
          <w:lang w:val="fi-FI"/>
        </w:rPr>
        <w:t>.</w:t>
      </w:r>
    </w:p>
  </w:footnote>
  <w:footnote w:id="259">
    <w:p w14:paraId="0AF113C6" w14:textId="7C7583B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41, 15.2.2008, s. 15, ELI: </w:t>
      </w:r>
      <w:hyperlink r:id="rId259" w:history="1">
        <w:r w:rsidRPr="00091EB7">
          <w:rPr>
            <w:rStyle w:val="Hyperlink1"/>
            <w:sz w:val="24"/>
            <w:lang w:val="fi-FI"/>
          </w:rPr>
          <w:t>https://data.europa.eu/eli/dec/2008/114(1)/oj</w:t>
        </w:r>
      </w:hyperlink>
      <w:r w:rsidRPr="00091EB7">
        <w:rPr>
          <w:sz w:val="24"/>
          <w:lang w:val="fi-FI"/>
        </w:rPr>
        <w:t>.</w:t>
      </w:r>
    </w:p>
  </w:footnote>
  <w:footnote w:id="260">
    <w:p w14:paraId="5D904535" w14:textId="3106F4AB"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60"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61">
    <w:p w14:paraId="02BBD787" w14:textId="590EEB4F"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61"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62">
    <w:p w14:paraId="7B47FE47" w14:textId="6269331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62" w:history="1">
        <w:r w:rsidRPr="00091EB7">
          <w:rPr>
            <w:rStyle w:val="Hyperlink1"/>
            <w:sz w:val="24"/>
            <w:lang w:val="fi-FI"/>
          </w:rPr>
          <w:t>http://data.europa.eu/eli/reg/2018/1046/oj</w:t>
        </w:r>
      </w:hyperlink>
      <w:r w:rsidRPr="00091EB7">
        <w:rPr>
          <w:sz w:val="24"/>
          <w:lang w:val="fi-FI"/>
        </w:rPr>
        <w:t>.</w:t>
      </w:r>
    </w:p>
  </w:footnote>
  <w:footnote w:id="263">
    <w:p w14:paraId="13F2D864" w14:textId="3074B8E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63" w:history="1">
        <w:r w:rsidRPr="00091EB7">
          <w:rPr>
            <w:rStyle w:val="Hyperlink1"/>
            <w:sz w:val="24"/>
            <w:lang w:val="fi-FI"/>
          </w:rPr>
          <w:t>http://data.europa.eu/eli/reg/2024/2509/oj</w:t>
        </w:r>
      </w:hyperlink>
      <w:r w:rsidRPr="00091EB7">
        <w:rPr>
          <w:sz w:val="24"/>
          <w:lang w:val="fi-FI"/>
        </w:rPr>
        <w:t>.</w:t>
      </w:r>
    </w:p>
  </w:footnote>
  <w:footnote w:id="264">
    <w:p w14:paraId="666442C7" w14:textId="7446E9B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41, 15.2.2008, s. 15, ELI: </w:t>
      </w:r>
      <w:hyperlink r:id="rId264" w:history="1">
        <w:r w:rsidRPr="00091EB7">
          <w:rPr>
            <w:rStyle w:val="Hyperlink1"/>
            <w:sz w:val="24"/>
            <w:lang w:val="fi-FI"/>
          </w:rPr>
          <w:t>https://data.europa.eu/eli/dec/2008/114(1)/oj</w:t>
        </w:r>
      </w:hyperlink>
      <w:r w:rsidRPr="00091EB7">
        <w:rPr>
          <w:sz w:val="24"/>
          <w:lang w:val="fi-FI"/>
        </w:rPr>
        <w:t>.</w:t>
      </w:r>
    </w:p>
  </w:footnote>
  <w:footnote w:id="265">
    <w:p w14:paraId="2F62ACF4" w14:textId="4C94505C"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6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66">
    <w:p w14:paraId="7791CC40" w14:textId="38F731D0"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6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67">
    <w:p w14:paraId="2F55BB9F" w14:textId="49659EB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67" w:history="1">
        <w:r w:rsidRPr="00091EB7">
          <w:rPr>
            <w:rStyle w:val="Hyperlink1"/>
            <w:sz w:val="24"/>
            <w:lang w:val="fi-FI"/>
          </w:rPr>
          <w:t>http://data.europa.eu/eli/reg/2018/1046/oj</w:t>
        </w:r>
      </w:hyperlink>
      <w:r w:rsidRPr="00091EB7">
        <w:rPr>
          <w:sz w:val="24"/>
          <w:lang w:val="fi-FI"/>
        </w:rPr>
        <w:t>.</w:t>
      </w:r>
    </w:p>
  </w:footnote>
  <w:footnote w:id="268">
    <w:p w14:paraId="070B8CB8" w14:textId="2B62F08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68" w:history="1">
        <w:r w:rsidRPr="00091EB7">
          <w:rPr>
            <w:rStyle w:val="Hyperlink1"/>
            <w:sz w:val="24"/>
            <w:lang w:val="fi-FI"/>
          </w:rPr>
          <w:t>http://data.europa.eu/eli/reg/2024/2509/oj</w:t>
        </w:r>
      </w:hyperlink>
      <w:r w:rsidRPr="00091EB7">
        <w:rPr>
          <w:sz w:val="24"/>
          <w:lang w:val="fi-FI"/>
        </w:rPr>
        <w:t>.</w:t>
      </w:r>
    </w:p>
  </w:footnote>
  <w:footnote w:id="269">
    <w:p w14:paraId="61222D08" w14:textId="12EB48F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331, 15.12.2010, s. 84, ELI: </w:t>
      </w:r>
      <w:hyperlink r:id="rId269" w:history="1">
        <w:r w:rsidRPr="00091EB7">
          <w:rPr>
            <w:rStyle w:val="Hyperlink1"/>
            <w:sz w:val="24"/>
            <w:lang w:val="fi-FI"/>
          </w:rPr>
          <w:t>https://data.europa.eu/eli/reg/2010/1095/oj</w:t>
        </w:r>
      </w:hyperlink>
      <w:r w:rsidRPr="00091EB7">
        <w:rPr>
          <w:sz w:val="24"/>
          <w:lang w:val="fi-FI"/>
        </w:rPr>
        <w:t>.</w:t>
      </w:r>
    </w:p>
  </w:footnote>
  <w:footnote w:id="270">
    <w:p w14:paraId="772682F7" w14:textId="4A03125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70" w:history="1">
        <w:r w:rsidRPr="00091EB7">
          <w:rPr>
            <w:rStyle w:val="Hyperlink1"/>
            <w:sz w:val="24"/>
            <w:lang w:val="fi-FI"/>
          </w:rPr>
          <w:t>http://data.europa.eu/eli/reg_del/2019/715/oj</w:t>
        </w:r>
      </w:hyperlink>
      <w:r w:rsidRPr="00091EB7">
        <w:rPr>
          <w:sz w:val="24"/>
          <w:lang w:val="fi-FI"/>
        </w:rPr>
        <w:t>.</w:t>
      </w:r>
    </w:p>
  </w:footnote>
  <w:footnote w:id="271">
    <w:p w14:paraId="1B7B2FA0" w14:textId="32032A8E"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7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72">
    <w:p w14:paraId="5FDEC432" w14:textId="74CDC1F6"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7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73">
    <w:p w14:paraId="00199F6A" w14:textId="7D00DCD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73" w:history="1">
        <w:r w:rsidRPr="00091EB7">
          <w:rPr>
            <w:rStyle w:val="Hyperlink1"/>
            <w:sz w:val="24"/>
            <w:lang w:val="fi-FI"/>
          </w:rPr>
          <w:t>http://data.europa.eu/eli/reg/2018/1046/oj</w:t>
        </w:r>
      </w:hyperlink>
      <w:r w:rsidRPr="00091EB7">
        <w:rPr>
          <w:sz w:val="24"/>
          <w:lang w:val="fi-FI"/>
        </w:rPr>
        <w:t>.</w:t>
      </w:r>
    </w:p>
  </w:footnote>
  <w:footnote w:id="274">
    <w:p w14:paraId="72055289" w14:textId="180C54A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74" w:history="1">
        <w:r w:rsidRPr="00091EB7">
          <w:rPr>
            <w:rStyle w:val="Hyperlink1"/>
            <w:sz w:val="24"/>
            <w:lang w:val="fi-FI"/>
          </w:rPr>
          <w:t>http://data.europa.eu/eli/reg/2024/2509/oj</w:t>
        </w:r>
      </w:hyperlink>
      <w:r w:rsidRPr="00091EB7">
        <w:rPr>
          <w:sz w:val="24"/>
          <w:lang w:val="fi-FI"/>
        </w:rPr>
        <w:t>.</w:t>
      </w:r>
    </w:p>
  </w:footnote>
  <w:footnote w:id="275">
    <w:p w14:paraId="513C5857" w14:textId="1AB560F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331, 15.12.2010, s. 84, ELI: </w:t>
      </w:r>
      <w:hyperlink r:id="rId275" w:history="1">
        <w:r w:rsidRPr="00091EB7">
          <w:rPr>
            <w:rStyle w:val="Hyperlink1"/>
            <w:sz w:val="24"/>
            <w:lang w:val="fi-FI"/>
          </w:rPr>
          <w:t>https://data.europa.eu/eli/reg/2010/1095/oj</w:t>
        </w:r>
      </w:hyperlink>
      <w:r w:rsidRPr="00091EB7">
        <w:rPr>
          <w:sz w:val="24"/>
          <w:lang w:val="fi-FI"/>
        </w:rPr>
        <w:t>.</w:t>
      </w:r>
    </w:p>
  </w:footnote>
  <w:footnote w:id="276">
    <w:p w14:paraId="1315F1ED" w14:textId="3E56E5D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76" w:history="1">
        <w:r w:rsidRPr="00091EB7">
          <w:rPr>
            <w:rStyle w:val="Hyperlink1"/>
            <w:sz w:val="24"/>
            <w:lang w:val="fi-FI"/>
          </w:rPr>
          <w:t>http://data.europa.eu/eli/reg_del/2019/715/oj</w:t>
        </w:r>
      </w:hyperlink>
      <w:r w:rsidRPr="00091EB7">
        <w:rPr>
          <w:sz w:val="24"/>
          <w:lang w:val="fi-FI"/>
        </w:rPr>
        <w:t>.</w:t>
      </w:r>
    </w:p>
  </w:footnote>
  <w:footnote w:id="277">
    <w:p w14:paraId="4BEECF4A" w14:textId="1F0DB357"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77"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78">
    <w:p w14:paraId="23931A95" w14:textId="51F88472"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78"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79">
    <w:p w14:paraId="5D6F91A8" w14:textId="39B8F2A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79" w:history="1">
        <w:r w:rsidRPr="00091EB7">
          <w:rPr>
            <w:rStyle w:val="Hyperlink1"/>
            <w:sz w:val="24"/>
            <w:lang w:val="fi-FI"/>
          </w:rPr>
          <w:t>http://data.europa.eu/eli/reg/2018/1046/oj</w:t>
        </w:r>
      </w:hyperlink>
      <w:r w:rsidRPr="00091EB7">
        <w:rPr>
          <w:sz w:val="24"/>
          <w:lang w:val="fi-FI"/>
        </w:rPr>
        <w:t>.</w:t>
      </w:r>
    </w:p>
  </w:footnote>
  <w:footnote w:id="280">
    <w:p w14:paraId="1C33B778" w14:textId="5D9012B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80" w:history="1">
        <w:r w:rsidRPr="00091EB7">
          <w:rPr>
            <w:rStyle w:val="Hyperlink1"/>
            <w:sz w:val="24"/>
            <w:lang w:val="fi-FI"/>
          </w:rPr>
          <w:t>http://data.europa.eu/eli/reg/2024/2509/oj</w:t>
        </w:r>
      </w:hyperlink>
      <w:r w:rsidRPr="00091EB7">
        <w:rPr>
          <w:sz w:val="24"/>
          <w:lang w:val="fi-FI"/>
        </w:rPr>
        <w:t>.</w:t>
      </w:r>
    </w:p>
  </w:footnote>
  <w:footnote w:id="281">
    <w:p w14:paraId="07123D7B" w14:textId="1030CDF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354, 31.12.2008, s. 82, ELI: </w:t>
      </w:r>
      <w:hyperlink r:id="rId281" w:history="1">
        <w:r w:rsidRPr="00091EB7">
          <w:rPr>
            <w:rStyle w:val="Hyperlink1"/>
            <w:sz w:val="24"/>
            <w:lang w:val="fi-FI"/>
          </w:rPr>
          <w:t>https://data.europa.eu/eli/reg/2008/1339</w:t>
        </w:r>
      </w:hyperlink>
      <w:r w:rsidRPr="00091EB7">
        <w:rPr>
          <w:sz w:val="24"/>
          <w:lang w:val="fi-FI"/>
        </w:rPr>
        <w:t>.</w:t>
      </w:r>
    </w:p>
  </w:footnote>
  <w:footnote w:id="282">
    <w:p w14:paraId="61CD44B7" w14:textId="0BB94CC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82" w:history="1">
        <w:r w:rsidRPr="00091EB7">
          <w:rPr>
            <w:rStyle w:val="Hyperlink1"/>
            <w:sz w:val="24"/>
            <w:lang w:val="fi-FI"/>
          </w:rPr>
          <w:t>http://data.europa.eu/eli/reg_del/2019/715/oj</w:t>
        </w:r>
      </w:hyperlink>
      <w:r w:rsidRPr="00091EB7">
        <w:rPr>
          <w:sz w:val="24"/>
          <w:lang w:val="fi-FI"/>
        </w:rPr>
        <w:t>.</w:t>
      </w:r>
    </w:p>
  </w:footnote>
  <w:footnote w:id="283">
    <w:p w14:paraId="1AD200B1" w14:textId="18A9EC16"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83"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84">
    <w:p w14:paraId="05714279" w14:textId="34633CC9"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84"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85">
    <w:p w14:paraId="650FC9F6" w14:textId="0077642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85" w:history="1">
        <w:r w:rsidRPr="00091EB7">
          <w:rPr>
            <w:rStyle w:val="Hyperlink1"/>
            <w:sz w:val="24"/>
            <w:lang w:val="fi-FI"/>
          </w:rPr>
          <w:t>http://data.europa.eu/eli/reg/2018/1046/oj</w:t>
        </w:r>
      </w:hyperlink>
      <w:r w:rsidRPr="00091EB7">
        <w:rPr>
          <w:sz w:val="24"/>
          <w:lang w:val="fi-FI"/>
        </w:rPr>
        <w:t>.</w:t>
      </w:r>
    </w:p>
  </w:footnote>
  <w:footnote w:id="286">
    <w:p w14:paraId="29C3D070" w14:textId="3916977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86" w:history="1">
        <w:r w:rsidRPr="00091EB7">
          <w:rPr>
            <w:rStyle w:val="Hyperlink1"/>
            <w:sz w:val="24"/>
            <w:lang w:val="fi-FI"/>
          </w:rPr>
          <w:t>http://data.europa.eu/eli/reg/2024/2509/oj</w:t>
        </w:r>
      </w:hyperlink>
      <w:r w:rsidRPr="00091EB7">
        <w:rPr>
          <w:sz w:val="24"/>
          <w:lang w:val="fi-FI"/>
        </w:rPr>
        <w:t>.</w:t>
      </w:r>
    </w:p>
  </w:footnote>
  <w:footnote w:id="287">
    <w:p w14:paraId="58202C02" w14:textId="398F8EA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354, 31.12.2008, s. 82, ELI: </w:t>
      </w:r>
      <w:hyperlink r:id="rId287" w:history="1">
        <w:r w:rsidRPr="00091EB7">
          <w:rPr>
            <w:rStyle w:val="Hyperlink1"/>
            <w:sz w:val="24"/>
            <w:lang w:val="fi-FI"/>
          </w:rPr>
          <w:t>https://data.europa.eu/eli/reg/2008/1339</w:t>
        </w:r>
      </w:hyperlink>
      <w:r w:rsidRPr="00091EB7">
        <w:rPr>
          <w:sz w:val="24"/>
          <w:lang w:val="fi-FI"/>
        </w:rPr>
        <w:t>.</w:t>
      </w:r>
    </w:p>
  </w:footnote>
  <w:footnote w:id="288">
    <w:p w14:paraId="654521F7" w14:textId="25F42B9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88" w:history="1">
        <w:r w:rsidRPr="00091EB7">
          <w:rPr>
            <w:rStyle w:val="Hyperlink1"/>
            <w:sz w:val="24"/>
            <w:lang w:val="fi-FI"/>
          </w:rPr>
          <w:t>http://data.europa.eu/eli/reg_del/2019/715/oj</w:t>
        </w:r>
      </w:hyperlink>
      <w:r w:rsidRPr="00091EB7">
        <w:rPr>
          <w:sz w:val="24"/>
          <w:lang w:val="fi-FI"/>
        </w:rPr>
        <w:t>.</w:t>
      </w:r>
    </w:p>
  </w:footnote>
  <w:footnote w:id="289">
    <w:p w14:paraId="2834E762" w14:textId="66A04E04"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8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90">
    <w:p w14:paraId="109D6E99" w14:textId="0FDBB8C3"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9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91">
    <w:p w14:paraId="02A8AED0" w14:textId="272F8CA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91" w:history="1">
        <w:r w:rsidRPr="00091EB7">
          <w:rPr>
            <w:rStyle w:val="Hyperlink1"/>
            <w:sz w:val="24"/>
            <w:lang w:val="fi-FI"/>
          </w:rPr>
          <w:t>http://data.europa.eu/eli/reg/2018/1046/oj</w:t>
        </w:r>
      </w:hyperlink>
      <w:r w:rsidRPr="00091EB7">
        <w:rPr>
          <w:sz w:val="24"/>
          <w:lang w:val="fi-FI"/>
        </w:rPr>
        <w:t>.</w:t>
      </w:r>
    </w:p>
  </w:footnote>
  <w:footnote w:id="292">
    <w:p w14:paraId="1C472321" w14:textId="6065058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92" w:history="1">
        <w:r w:rsidRPr="00091EB7">
          <w:rPr>
            <w:rStyle w:val="Hyperlink1"/>
            <w:sz w:val="24"/>
            <w:lang w:val="fi-FI"/>
          </w:rPr>
          <w:t>http://data.europa.eu/eli/reg/2024/2509/oj</w:t>
        </w:r>
      </w:hyperlink>
      <w:r w:rsidRPr="00091EB7">
        <w:rPr>
          <w:sz w:val="24"/>
          <w:lang w:val="fi-FI"/>
        </w:rPr>
        <w:t>.</w:t>
      </w:r>
    </w:p>
  </w:footnote>
  <w:footnote w:id="293">
    <w:p w14:paraId="701B59FE" w14:textId="65344FD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468, 30.12.2021, s. 1, ELI: </w:t>
      </w:r>
      <w:hyperlink r:id="rId293" w:history="1">
        <w:r w:rsidRPr="00091EB7">
          <w:rPr>
            <w:rStyle w:val="Hyperlink1"/>
            <w:sz w:val="24"/>
            <w:lang w:val="fi-FI"/>
          </w:rPr>
          <w:t>http://data.europa.eu/eli/reg/2021/2303/oj</w:t>
        </w:r>
      </w:hyperlink>
      <w:r w:rsidRPr="00091EB7">
        <w:rPr>
          <w:sz w:val="24"/>
          <w:lang w:val="fi-FI"/>
        </w:rPr>
        <w:t>.</w:t>
      </w:r>
    </w:p>
  </w:footnote>
  <w:footnote w:id="294">
    <w:p w14:paraId="64584E2C" w14:textId="0C8167F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294" w:history="1">
        <w:r w:rsidRPr="00091EB7">
          <w:rPr>
            <w:rStyle w:val="Hyperlink1"/>
            <w:sz w:val="24"/>
            <w:lang w:val="fi-FI"/>
          </w:rPr>
          <w:t>http://data.europa.eu/eli/reg_del/2019/715/oj</w:t>
        </w:r>
      </w:hyperlink>
      <w:r w:rsidRPr="00091EB7">
        <w:rPr>
          <w:sz w:val="24"/>
          <w:lang w:val="fi-FI"/>
        </w:rPr>
        <w:t>.</w:t>
      </w:r>
    </w:p>
  </w:footnote>
  <w:footnote w:id="295">
    <w:p w14:paraId="2ABBD337" w14:textId="7AEB5AA9"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29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296">
    <w:p w14:paraId="02A2A7AC" w14:textId="112DA0E3"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29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297">
    <w:p w14:paraId="350717EC" w14:textId="75D02F8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297" w:history="1">
        <w:r w:rsidRPr="00091EB7">
          <w:rPr>
            <w:rStyle w:val="Hyperlink1"/>
            <w:sz w:val="24"/>
            <w:lang w:val="fi-FI"/>
          </w:rPr>
          <w:t>http://data.europa.eu/eli/reg/2018/1046/oj</w:t>
        </w:r>
      </w:hyperlink>
      <w:r w:rsidRPr="00091EB7">
        <w:rPr>
          <w:sz w:val="24"/>
          <w:lang w:val="fi-FI"/>
        </w:rPr>
        <w:t>.</w:t>
      </w:r>
    </w:p>
  </w:footnote>
  <w:footnote w:id="298">
    <w:p w14:paraId="6C2D998B" w14:textId="1FD4E2F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298" w:history="1">
        <w:r w:rsidRPr="00091EB7">
          <w:rPr>
            <w:rStyle w:val="Hyperlink1"/>
            <w:sz w:val="24"/>
            <w:lang w:val="fi-FI"/>
          </w:rPr>
          <w:t>http://data.europa.eu/eli/reg/2024/2509/oj</w:t>
        </w:r>
      </w:hyperlink>
      <w:r w:rsidRPr="00091EB7">
        <w:rPr>
          <w:sz w:val="24"/>
          <w:lang w:val="fi-FI"/>
        </w:rPr>
        <w:t>.</w:t>
      </w:r>
    </w:p>
  </w:footnote>
  <w:footnote w:id="299">
    <w:p w14:paraId="2C684E0D" w14:textId="549323F4"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468, 30.12.2021, s. 1, ELI: </w:t>
      </w:r>
      <w:hyperlink r:id="rId299" w:history="1">
        <w:r w:rsidRPr="00091EB7">
          <w:rPr>
            <w:rStyle w:val="Hyperlink1"/>
            <w:sz w:val="24"/>
            <w:lang w:val="fi-FI"/>
          </w:rPr>
          <w:t>http://data.europa.eu/eli/reg/2021/2303/oj</w:t>
        </w:r>
      </w:hyperlink>
      <w:r w:rsidRPr="00091EB7">
        <w:rPr>
          <w:sz w:val="24"/>
          <w:lang w:val="fi-FI"/>
        </w:rPr>
        <w:t>.</w:t>
      </w:r>
    </w:p>
  </w:footnote>
  <w:footnote w:id="300">
    <w:p w14:paraId="38871992" w14:textId="7837915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00" w:history="1">
        <w:r w:rsidRPr="00091EB7">
          <w:rPr>
            <w:rStyle w:val="Hyperlink1"/>
            <w:sz w:val="24"/>
            <w:lang w:val="fi-FI"/>
          </w:rPr>
          <w:t>http://data.europa.eu/eli/reg_del/2019/715/oj</w:t>
        </w:r>
      </w:hyperlink>
      <w:r w:rsidRPr="00091EB7">
        <w:rPr>
          <w:sz w:val="24"/>
          <w:lang w:val="fi-FI"/>
        </w:rPr>
        <w:t>.</w:t>
      </w:r>
    </w:p>
  </w:footnote>
  <w:footnote w:id="301">
    <w:p w14:paraId="31ECCF81" w14:textId="52A31E02"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0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02">
    <w:p w14:paraId="64E15D0E" w14:textId="166969F5"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0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03">
    <w:p w14:paraId="34BBD015" w14:textId="185E621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03" w:history="1">
        <w:r w:rsidRPr="00091EB7">
          <w:rPr>
            <w:rStyle w:val="Hyperlink1"/>
            <w:sz w:val="24"/>
            <w:lang w:val="fi-FI"/>
          </w:rPr>
          <w:t>http://data.europa.eu/eli/reg/2018/1046/oj</w:t>
        </w:r>
      </w:hyperlink>
      <w:r w:rsidRPr="00091EB7">
        <w:rPr>
          <w:sz w:val="24"/>
          <w:lang w:val="fi-FI"/>
        </w:rPr>
        <w:t>.</w:t>
      </w:r>
    </w:p>
  </w:footnote>
  <w:footnote w:id="304">
    <w:p w14:paraId="242A81FC" w14:textId="3E967E42"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04" w:history="1">
        <w:r w:rsidRPr="00091EB7">
          <w:rPr>
            <w:rStyle w:val="Hyperlink1"/>
            <w:sz w:val="24"/>
            <w:lang w:val="fi-FI"/>
          </w:rPr>
          <w:t>http://data.europa.eu/eli/reg/2024/2509/oj</w:t>
        </w:r>
      </w:hyperlink>
      <w:r w:rsidRPr="00091EB7">
        <w:rPr>
          <w:sz w:val="24"/>
          <w:lang w:val="fi-FI"/>
        </w:rPr>
        <w:t>.</w:t>
      </w:r>
    </w:p>
  </w:footnote>
  <w:footnote w:id="305">
    <w:p w14:paraId="0DC9578C" w14:textId="11B7911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295, 21.11.2018, s. 99, ELI: </w:t>
      </w:r>
      <w:hyperlink r:id="rId305" w:history="1">
        <w:r w:rsidRPr="00091EB7">
          <w:rPr>
            <w:rStyle w:val="Hyperlink1"/>
            <w:sz w:val="24"/>
            <w:lang w:val="fi-FI"/>
          </w:rPr>
          <w:t>http://data.europa.eu/eli/reg/2018/1726/oj</w:t>
        </w:r>
      </w:hyperlink>
      <w:r w:rsidRPr="00091EB7">
        <w:rPr>
          <w:sz w:val="24"/>
          <w:lang w:val="fi-FI"/>
        </w:rPr>
        <w:t>.</w:t>
      </w:r>
    </w:p>
  </w:footnote>
  <w:footnote w:id="306">
    <w:p w14:paraId="003055C7" w14:textId="08DD936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06" w:history="1">
        <w:r w:rsidRPr="00091EB7">
          <w:rPr>
            <w:rStyle w:val="Hyperlink1"/>
            <w:sz w:val="24"/>
            <w:lang w:val="fi-FI"/>
          </w:rPr>
          <w:t>http://data.europa.eu/eli/reg_del/2019/715/oj</w:t>
        </w:r>
      </w:hyperlink>
      <w:r w:rsidRPr="00091EB7">
        <w:rPr>
          <w:sz w:val="24"/>
          <w:lang w:val="fi-FI"/>
        </w:rPr>
        <w:t>.</w:t>
      </w:r>
    </w:p>
  </w:footnote>
  <w:footnote w:id="307">
    <w:p w14:paraId="59576472" w14:textId="5D6DFFC5"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07"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08">
    <w:p w14:paraId="08B54941" w14:textId="192EF3EF"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08"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09">
    <w:p w14:paraId="2DC7EA54" w14:textId="6C96CF0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09" w:history="1">
        <w:r w:rsidRPr="00091EB7">
          <w:rPr>
            <w:rStyle w:val="Hyperlink1"/>
            <w:sz w:val="24"/>
            <w:lang w:val="fi-FI"/>
          </w:rPr>
          <w:t>http://data.europa.eu/eli/reg/2018/1046/oj</w:t>
        </w:r>
      </w:hyperlink>
      <w:r w:rsidRPr="00091EB7">
        <w:rPr>
          <w:sz w:val="24"/>
          <w:lang w:val="fi-FI"/>
        </w:rPr>
        <w:t>.</w:t>
      </w:r>
    </w:p>
  </w:footnote>
  <w:footnote w:id="310">
    <w:p w14:paraId="69755654" w14:textId="68E08E6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10" w:history="1">
        <w:r w:rsidRPr="00091EB7">
          <w:rPr>
            <w:rStyle w:val="Hyperlink1"/>
            <w:sz w:val="24"/>
            <w:lang w:val="fi-FI"/>
          </w:rPr>
          <w:t>http://data.europa.eu/eli/reg/2024/2509/oj</w:t>
        </w:r>
      </w:hyperlink>
      <w:r w:rsidRPr="00091EB7">
        <w:rPr>
          <w:sz w:val="24"/>
          <w:lang w:val="fi-FI"/>
        </w:rPr>
        <w:t>.</w:t>
      </w:r>
    </w:p>
  </w:footnote>
  <w:footnote w:id="311">
    <w:p w14:paraId="557DCF19" w14:textId="600786A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295, 21.11.2018, s. 99, ELI: </w:t>
      </w:r>
      <w:hyperlink r:id="rId311" w:history="1">
        <w:r w:rsidRPr="00091EB7">
          <w:rPr>
            <w:rStyle w:val="Hyperlink1"/>
            <w:sz w:val="24"/>
            <w:lang w:val="fi-FI"/>
          </w:rPr>
          <w:t>http://data.europa.eu/eli/reg/2018/1726/oj</w:t>
        </w:r>
      </w:hyperlink>
      <w:r w:rsidRPr="00091EB7">
        <w:rPr>
          <w:sz w:val="24"/>
          <w:lang w:val="fi-FI"/>
        </w:rPr>
        <w:t>.</w:t>
      </w:r>
    </w:p>
  </w:footnote>
  <w:footnote w:id="312">
    <w:p w14:paraId="567ED237" w14:textId="653D905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12" w:history="1">
        <w:r w:rsidRPr="00091EB7">
          <w:rPr>
            <w:rStyle w:val="Hyperlink1"/>
            <w:sz w:val="24"/>
            <w:lang w:val="fi-FI"/>
          </w:rPr>
          <w:t>http://data.europa.eu/eli/reg_del/2019/715/oj</w:t>
        </w:r>
      </w:hyperlink>
      <w:r w:rsidRPr="00091EB7">
        <w:rPr>
          <w:sz w:val="24"/>
          <w:lang w:val="fi-FI"/>
        </w:rPr>
        <w:t>.</w:t>
      </w:r>
    </w:p>
  </w:footnote>
  <w:footnote w:id="313">
    <w:p w14:paraId="5A53638B" w14:textId="5D17371F"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13"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14">
    <w:p w14:paraId="4C1EA3FC" w14:textId="4D65C5C1"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14"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15">
    <w:p w14:paraId="4E85E83E" w14:textId="10141362"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15" w:history="1">
        <w:r w:rsidRPr="00091EB7">
          <w:rPr>
            <w:rStyle w:val="Hyperlink1"/>
            <w:sz w:val="24"/>
            <w:lang w:val="fi-FI"/>
          </w:rPr>
          <w:t>http://data.europa.eu/eli/reg/2018/1046/oj</w:t>
        </w:r>
      </w:hyperlink>
      <w:r w:rsidRPr="00091EB7">
        <w:rPr>
          <w:sz w:val="24"/>
          <w:lang w:val="fi-FI"/>
        </w:rPr>
        <w:t>.</w:t>
      </w:r>
    </w:p>
  </w:footnote>
  <w:footnote w:id="316">
    <w:p w14:paraId="022B695F" w14:textId="24E8E2A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16" w:history="1">
        <w:r w:rsidRPr="00091EB7">
          <w:rPr>
            <w:rStyle w:val="Hyperlink1"/>
            <w:sz w:val="24"/>
            <w:lang w:val="fi-FI"/>
          </w:rPr>
          <w:t>http://data.europa.eu/eli/reg/2024/2509/oj</w:t>
        </w:r>
      </w:hyperlink>
      <w:r w:rsidRPr="00091EB7">
        <w:rPr>
          <w:sz w:val="24"/>
          <w:lang w:val="fi-FI"/>
        </w:rPr>
        <w:t>.</w:t>
      </w:r>
    </w:p>
  </w:footnote>
  <w:footnote w:id="317">
    <w:p w14:paraId="567602A1" w14:textId="1031C78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30, 31.1.2019, s. 58, ELI: </w:t>
      </w:r>
      <w:hyperlink r:id="rId317" w:history="1">
        <w:r w:rsidRPr="00091EB7">
          <w:rPr>
            <w:rStyle w:val="Hyperlink1"/>
            <w:sz w:val="24"/>
            <w:lang w:val="fi-FI"/>
          </w:rPr>
          <w:t>http://data.europa.eu/eli/reg/2019/126/oj</w:t>
        </w:r>
      </w:hyperlink>
      <w:r w:rsidRPr="00091EB7">
        <w:rPr>
          <w:sz w:val="24"/>
          <w:lang w:val="fi-FI"/>
        </w:rPr>
        <w:t>.</w:t>
      </w:r>
    </w:p>
  </w:footnote>
  <w:footnote w:id="318">
    <w:p w14:paraId="084FBF46" w14:textId="60CC27B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18" w:history="1">
        <w:r w:rsidRPr="00091EB7">
          <w:rPr>
            <w:rStyle w:val="Hyperlink1"/>
            <w:sz w:val="24"/>
            <w:lang w:val="fi-FI"/>
          </w:rPr>
          <w:t>http://data.europa.eu/eli/reg_del/2019/715/oj</w:t>
        </w:r>
      </w:hyperlink>
      <w:r w:rsidRPr="00091EB7">
        <w:rPr>
          <w:sz w:val="24"/>
          <w:lang w:val="fi-FI"/>
        </w:rPr>
        <w:t>.</w:t>
      </w:r>
    </w:p>
  </w:footnote>
  <w:footnote w:id="319">
    <w:p w14:paraId="7669904E" w14:textId="5E21895B"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1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20">
    <w:p w14:paraId="4AD20329" w14:textId="46A1045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2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21">
    <w:p w14:paraId="75D01B6D" w14:textId="20714A3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21" w:history="1">
        <w:r w:rsidRPr="00091EB7">
          <w:rPr>
            <w:rStyle w:val="Hyperlink1"/>
            <w:sz w:val="24"/>
            <w:lang w:val="fi-FI"/>
          </w:rPr>
          <w:t>http://data.europa.eu/eli/reg/2018/1046/oj</w:t>
        </w:r>
      </w:hyperlink>
      <w:r w:rsidRPr="00091EB7">
        <w:rPr>
          <w:sz w:val="24"/>
          <w:lang w:val="fi-FI"/>
        </w:rPr>
        <w:t>.</w:t>
      </w:r>
    </w:p>
  </w:footnote>
  <w:footnote w:id="322">
    <w:p w14:paraId="4BB91524" w14:textId="692D586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22" w:history="1">
        <w:r w:rsidRPr="00091EB7">
          <w:rPr>
            <w:rStyle w:val="Hyperlink1"/>
            <w:sz w:val="24"/>
            <w:lang w:val="fi-FI"/>
          </w:rPr>
          <w:t>http://data.europa.eu/eli/reg/2024/2509/oj</w:t>
        </w:r>
      </w:hyperlink>
      <w:r w:rsidRPr="00091EB7">
        <w:rPr>
          <w:sz w:val="24"/>
          <w:lang w:val="fi-FI"/>
        </w:rPr>
        <w:t>.</w:t>
      </w:r>
    </w:p>
  </w:footnote>
  <w:footnote w:id="323">
    <w:p w14:paraId="166CD954" w14:textId="7A61891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30, 31.1.2019, s. 58, ELI: </w:t>
      </w:r>
      <w:hyperlink r:id="rId323" w:history="1">
        <w:r w:rsidRPr="00091EB7">
          <w:rPr>
            <w:rStyle w:val="Hyperlink1"/>
            <w:sz w:val="24"/>
            <w:lang w:val="fi-FI"/>
          </w:rPr>
          <w:t>http://data.europa.eu/eli/reg/2019/126/oj</w:t>
        </w:r>
      </w:hyperlink>
      <w:r w:rsidRPr="00091EB7">
        <w:rPr>
          <w:sz w:val="24"/>
          <w:lang w:val="fi-FI"/>
        </w:rPr>
        <w:t>.</w:t>
      </w:r>
    </w:p>
  </w:footnote>
  <w:footnote w:id="324">
    <w:p w14:paraId="68DA176C" w14:textId="6057569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24" w:history="1">
        <w:r w:rsidRPr="00091EB7">
          <w:rPr>
            <w:rStyle w:val="Hyperlink1"/>
            <w:sz w:val="24"/>
            <w:lang w:val="fi-FI"/>
          </w:rPr>
          <w:t>http://data.europa.eu/eli/reg_del/2019/715/oj</w:t>
        </w:r>
      </w:hyperlink>
      <w:r w:rsidRPr="00091EB7">
        <w:rPr>
          <w:sz w:val="24"/>
          <w:lang w:val="fi-FI"/>
        </w:rPr>
        <w:t>.</w:t>
      </w:r>
    </w:p>
  </w:footnote>
  <w:footnote w:id="325">
    <w:p w14:paraId="11C17503" w14:textId="263A2E9C"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2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26">
    <w:p w14:paraId="45B2A159" w14:textId="1F47DD42"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2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27">
    <w:p w14:paraId="70E4A214" w14:textId="50A84D6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27" w:history="1">
        <w:r w:rsidRPr="00091EB7">
          <w:rPr>
            <w:rStyle w:val="Hyperlink1"/>
            <w:sz w:val="24"/>
            <w:lang w:val="fi-FI"/>
          </w:rPr>
          <w:t>http://data.europa.eu/eli/reg/2018/1046/oj</w:t>
        </w:r>
      </w:hyperlink>
      <w:r w:rsidRPr="00091EB7">
        <w:rPr>
          <w:sz w:val="24"/>
          <w:lang w:val="fi-FI"/>
        </w:rPr>
        <w:t>.</w:t>
      </w:r>
    </w:p>
  </w:footnote>
  <w:footnote w:id="328">
    <w:p w14:paraId="0E2AD5CD" w14:textId="2FAC4A1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28" w:history="1">
        <w:r w:rsidRPr="00091EB7">
          <w:rPr>
            <w:rStyle w:val="Hyperlink1"/>
            <w:sz w:val="24"/>
            <w:lang w:val="fi-FI"/>
          </w:rPr>
          <w:t>http://data.europa.eu/eli/reg/2024/2509/oj</w:t>
        </w:r>
      </w:hyperlink>
      <w:r w:rsidRPr="00091EB7">
        <w:rPr>
          <w:sz w:val="24"/>
          <w:lang w:val="fi-FI"/>
        </w:rPr>
        <w:t>.</w:t>
      </w:r>
    </w:p>
  </w:footnote>
  <w:footnote w:id="329">
    <w:p w14:paraId="1C58C8C1" w14:textId="2E8F8F9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30, 31.1.2019, s. 74, ELI: </w:t>
      </w:r>
      <w:hyperlink r:id="rId329" w:history="1">
        <w:r w:rsidRPr="00091EB7">
          <w:rPr>
            <w:rStyle w:val="Hyperlink1"/>
            <w:sz w:val="24"/>
            <w:lang w:val="fi-FI"/>
          </w:rPr>
          <w:t>http://data.europa.eu/eli/reg/2019/127/oj</w:t>
        </w:r>
      </w:hyperlink>
      <w:r w:rsidRPr="00091EB7">
        <w:rPr>
          <w:sz w:val="24"/>
          <w:lang w:val="fi-FI"/>
        </w:rPr>
        <w:t>.</w:t>
      </w:r>
    </w:p>
  </w:footnote>
  <w:footnote w:id="330">
    <w:p w14:paraId="151A5F32" w14:textId="1263E0F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30" w:history="1">
        <w:r w:rsidRPr="00091EB7">
          <w:rPr>
            <w:rStyle w:val="Hyperlink1"/>
            <w:sz w:val="24"/>
            <w:lang w:val="fi-FI"/>
          </w:rPr>
          <w:t>http://data.europa.eu/eli/reg_del/2019/715/oj</w:t>
        </w:r>
      </w:hyperlink>
      <w:r w:rsidRPr="00091EB7">
        <w:rPr>
          <w:sz w:val="24"/>
          <w:lang w:val="fi-FI"/>
        </w:rPr>
        <w:t>.</w:t>
      </w:r>
    </w:p>
  </w:footnote>
  <w:footnote w:id="331">
    <w:p w14:paraId="2FC2B4CA" w14:textId="1F9C56B8"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3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32">
    <w:p w14:paraId="5B9E88FD" w14:textId="5C337A40"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3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33">
    <w:p w14:paraId="6BFA496B" w14:textId="349C427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33" w:history="1">
        <w:r w:rsidRPr="00091EB7">
          <w:rPr>
            <w:rStyle w:val="Hyperlink1"/>
            <w:sz w:val="24"/>
            <w:lang w:val="fi-FI"/>
          </w:rPr>
          <w:t>http://data.europa.eu/eli/reg/2018/1046/oj</w:t>
        </w:r>
      </w:hyperlink>
      <w:r w:rsidRPr="00091EB7">
        <w:rPr>
          <w:sz w:val="24"/>
          <w:lang w:val="fi-FI"/>
        </w:rPr>
        <w:t>.</w:t>
      </w:r>
    </w:p>
  </w:footnote>
  <w:footnote w:id="334">
    <w:p w14:paraId="7BDF8335" w14:textId="5EAC899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34" w:history="1">
        <w:r w:rsidRPr="00091EB7">
          <w:rPr>
            <w:rStyle w:val="Hyperlink1"/>
            <w:sz w:val="24"/>
            <w:lang w:val="fi-FI"/>
          </w:rPr>
          <w:t>http://data.europa.eu/eli/reg/2024/2509/oj</w:t>
        </w:r>
      </w:hyperlink>
      <w:r w:rsidRPr="00091EB7">
        <w:rPr>
          <w:sz w:val="24"/>
          <w:lang w:val="fi-FI"/>
        </w:rPr>
        <w:t>.</w:t>
      </w:r>
    </w:p>
  </w:footnote>
  <w:footnote w:id="335">
    <w:p w14:paraId="48B9737A" w14:textId="12DE1D8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30, 31.1.2019, s. 74, ELI: </w:t>
      </w:r>
      <w:hyperlink r:id="rId335" w:history="1">
        <w:r w:rsidRPr="00091EB7">
          <w:rPr>
            <w:rStyle w:val="Hyperlink1"/>
            <w:sz w:val="24"/>
            <w:lang w:val="fi-FI"/>
          </w:rPr>
          <w:t>http://data.europa.eu/eli/reg/2019/127/oj</w:t>
        </w:r>
      </w:hyperlink>
      <w:r w:rsidRPr="00091EB7">
        <w:rPr>
          <w:sz w:val="24"/>
          <w:lang w:val="fi-FI"/>
        </w:rPr>
        <w:t>.</w:t>
      </w:r>
    </w:p>
  </w:footnote>
  <w:footnote w:id="336">
    <w:p w14:paraId="0D8FE677" w14:textId="451F9EA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36" w:history="1">
        <w:r w:rsidRPr="00091EB7">
          <w:rPr>
            <w:rStyle w:val="Hyperlink1"/>
            <w:sz w:val="24"/>
            <w:lang w:val="fi-FI"/>
          </w:rPr>
          <w:t>http://data.europa.eu/eli/reg_del/2019/715/oj</w:t>
        </w:r>
      </w:hyperlink>
      <w:r w:rsidRPr="00091EB7">
        <w:rPr>
          <w:sz w:val="24"/>
          <w:lang w:val="fi-FI"/>
        </w:rPr>
        <w:t>.</w:t>
      </w:r>
    </w:p>
  </w:footnote>
  <w:footnote w:id="337">
    <w:p w14:paraId="64892038" w14:textId="4288C0FA"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37"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38">
    <w:p w14:paraId="7BA5FEFF" w14:textId="6601C55C"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38"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39">
    <w:p w14:paraId="2A348A1A" w14:textId="4BCD1D5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39" w:history="1">
        <w:r w:rsidRPr="00091EB7">
          <w:rPr>
            <w:rStyle w:val="Hyperlink1"/>
            <w:sz w:val="24"/>
            <w:lang w:val="fi-FI"/>
          </w:rPr>
          <w:t>http://data.europa.eu/eli/reg/2018/1046/oj</w:t>
        </w:r>
      </w:hyperlink>
      <w:r w:rsidRPr="00091EB7">
        <w:rPr>
          <w:sz w:val="24"/>
          <w:lang w:val="fi-FI"/>
        </w:rPr>
        <w:t>.</w:t>
      </w:r>
    </w:p>
  </w:footnote>
  <w:footnote w:id="340">
    <w:p w14:paraId="3CA2DEE3" w14:textId="73164EF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40" w:history="1">
        <w:r w:rsidRPr="00091EB7">
          <w:rPr>
            <w:rStyle w:val="Hyperlink1"/>
            <w:sz w:val="24"/>
            <w:lang w:val="fi-FI"/>
          </w:rPr>
          <w:t>http://data.europa.eu/eli/reg/2024/2509/oj</w:t>
        </w:r>
      </w:hyperlink>
      <w:r w:rsidRPr="00091EB7">
        <w:rPr>
          <w:sz w:val="24"/>
          <w:lang w:val="fi-FI"/>
        </w:rPr>
        <w:t>.</w:t>
      </w:r>
    </w:p>
  </w:footnote>
  <w:footnote w:id="341">
    <w:p w14:paraId="4F4D8354" w14:textId="1057367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295, 21.11.2018, s. 138, ELI: </w:t>
      </w:r>
      <w:hyperlink r:id="rId341" w:history="1">
        <w:r w:rsidRPr="00091EB7">
          <w:rPr>
            <w:rStyle w:val="Hyperlink1"/>
            <w:sz w:val="24"/>
            <w:lang w:val="fi-FI"/>
          </w:rPr>
          <w:t>http://data.europa.eu/eli/reg/2018/1727/oj</w:t>
        </w:r>
      </w:hyperlink>
      <w:r w:rsidRPr="00091EB7">
        <w:rPr>
          <w:sz w:val="24"/>
          <w:lang w:val="fi-FI"/>
        </w:rPr>
        <w:t>.</w:t>
      </w:r>
    </w:p>
  </w:footnote>
  <w:footnote w:id="342">
    <w:p w14:paraId="6BB417B0" w14:textId="5DD21AF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42" w:history="1">
        <w:r w:rsidRPr="00091EB7">
          <w:rPr>
            <w:rStyle w:val="Hyperlink1"/>
            <w:sz w:val="24"/>
            <w:lang w:val="fi-FI"/>
          </w:rPr>
          <w:t>http://data.europa.eu/eli/reg_del/2019/715/oj</w:t>
        </w:r>
      </w:hyperlink>
      <w:r w:rsidRPr="00091EB7">
        <w:rPr>
          <w:sz w:val="24"/>
          <w:lang w:val="fi-FI"/>
        </w:rPr>
        <w:t>.</w:t>
      </w:r>
    </w:p>
  </w:footnote>
  <w:footnote w:id="343">
    <w:p w14:paraId="76FDA389" w14:textId="3FC6C1E3"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43"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44">
    <w:p w14:paraId="7B77AE7C" w14:textId="3E52F45F"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44"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45">
    <w:p w14:paraId="396DC4A8" w14:textId="3138EED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45" w:history="1">
        <w:r w:rsidRPr="00091EB7">
          <w:rPr>
            <w:rStyle w:val="Hyperlink1"/>
            <w:sz w:val="24"/>
            <w:lang w:val="fi-FI"/>
          </w:rPr>
          <w:t>http://data.europa.eu/eli/reg/2018/1046/oj</w:t>
        </w:r>
      </w:hyperlink>
      <w:r w:rsidRPr="00091EB7">
        <w:rPr>
          <w:sz w:val="24"/>
          <w:lang w:val="fi-FI"/>
        </w:rPr>
        <w:t>.</w:t>
      </w:r>
    </w:p>
  </w:footnote>
  <w:footnote w:id="346">
    <w:p w14:paraId="431E3361" w14:textId="7BDB18A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46" w:history="1">
        <w:r w:rsidRPr="00091EB7">
          <w:rPr>
            <w:rStyle w:val="Hyperlink1"/>
            <w:sz w:val="24"/>
            <w:lang w:val="fi-FI"/>
          </w:rPr>
          <w:t>http://data.europa.eu/eli/reg/2024/2509/oj</w:t>
        </w:r>
      </w:hyperlink>
      <w:r w:rsidRPr="00091EB7">
        <w:rPr>
          <w:sz w:val="24"/>
          <w:lang w:val="fi-FI"/>
        </w:rPr>
        <w:t>.</w:t>
      </w:r>
    </w:p>
  </w:footnote>
  <w:footnote w:id="347">
    <w:p w14:paraId="78A5DB9D" w14:textId="78A24CE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295, 21.11.2018, s. 138, ELI: </w:t>
      </w:r>
      <w:hyperlink r:id="rId347" w:history="1">
        <w:r w:rsidRPr="00091EB7">
          <w:rPr>
            <w:rStyle w:val="Hyperlink1"/>
            <w:sz w:val="24"/>
            <w:lang w:val="fi-FI"/>
          </w:rPr>
          <w:t>http://data.europa.eu/eli/reg/2018/1727/oj</w:t>
        </w:r>
      </w:hyperlink>
      <w:r w:rsidRPr="00091EB7">
        <w:rPr>
          <w:sz w:val="24"/>
          <w:lang w:val="fi-FI"/>
        </w:rPr>
        <w:t>.</w:t>
      </w:r>
    </w:p>
  </w:footnote>
  <w:footnote w:id="348">
    <w:p w14:paraId="0DE70BE7" w14:textId="2184FF72"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48" w:history="1">
        <w:r w:rsidRPr="00091EB7">
          <w:rPr>
            <w:rStyle w:val="Hyperlink1"/>
            <w:sz w:val="24"/>
            <w:lang w:val="fi-FI"/>
          </w:rPr>
          <w:t>http://data.europa.eu/eli/reg_del/2019/715/oj</w:t>
        </w:r>
      </w:hyperlink>
      <w:r w:rsidRPr="00091EB7">
        <w:rPr>
          <w:sz w:val="24"/>
          <w:lang w:val="fi-FI"/>
        </w:rPr>
        <w:t>.</w:t>
      </w:r>
    </w:p>
  </w:footnote>
  <w:footnote w:id="349">
    <w:p w14:paraId="73C045C0" w14:textId="23A1F887"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4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50">
    <w:p w14:paraId="3240D6BB" w14:textId="72A8ABB7"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5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51">
    <w:p w14:paraId="7C7A80B2" w14:textId="17CB4A1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51" w:history="1">
        <w:r w:rsidRPr="00091EB7">
          <w:rPr>
            <w:rStyle w:val="Hyperlink1"/>
            <w:sz w:val="24"/>
            <w:lang w:val="fi-FI"/>
          </w:rPr>
          <w:t>http://data.europa.eu/eli/reg/2018/1046/oj</w:t>
        </w:r>
      </w:hyperlink>
      <w:r w:rsidRPr="00091EB7">
        <w:rPr>
          <w:sz w:val="24"/>
          <w:lang w:val="fi-FI"/>
        </w:rPr>
        <w:t>.</w:t>
      </w:r>
    </w:p>
  </w:footnote>
  <w:footnote w:id="352">
    <w:p w14:paraId="02A838C9" w14:textId="4821C01F"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52" w:history="1">
        <w:r w:rsidRPr="00091EB7">
          <w:rPr>
            <w:rStyle w:val="Hyperlink1"/>
            <w:sz w:val="24"/>
            <w:lang w:val="fi-FI"/>
          </w:rPr>
          <w:t>http://data.europa.eu/eli/reg/2024/2509/oj</w:t>
        </w:r>
      </w:hyperlink>
      <w:r w:rsidRPr="00091EB7">
        <w:rPr>
          <w:sz w:val="24"/>
          <w:lang w:val="fi-FI"/>
        </w:rPr>
        <w:t>.</w:t>
      </w:r>
    </w:p>
  </w:footnote>
  <w:footnote w:id="353">
    <w:p w14:paraId="0A971DE9" w14:textId="575A508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135, 24.5.2016, s. 53, ELI: </w:t>
      </w:r>
      <w:hyperlink r:id="rId353" w:history="1">
        <w:r w:rsidRPr="00091EB7">
          <w:rPr>
            <w:rStyle w:val="Hyperlink1"/>
            <w:sz w:val="24"/>
            <w:lang w:val="fi-FI"/>
          </w:rPr>
          <w:t>http://data.europa.eu/eli/reg/2016/794/oj</w:t>
        </w:r>
      </w:hyperlink>
      <w:r w:rsidRPr="00091EB7">
        <w:rPr>
          <w:sz w:val="24"/>
          <w:lang w:val="fi-FI"/>
        </w:rPr>
        <w:t>.</w:t>
      </w:r>
    </w:p>
  </w:footnote>
  <w:footnote w:id="354">
    <w:p w14:paraId="62633189" w14:textId="6F1BF61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54" w:history="1">
        <w:r w:rsidRPr="00091EB7">
          <w:rPr>
            <w:rStyle w:val="Hyperlink1"/>
            <w:sz w:val="24"/>
            <w:lang w:val="fi-FI"/>
          </w:rPr>
          <w:t>http://data.europa.eu/eli/reg_del/2019/715/oj</w:t>
        </w:r>
      </w:hyperlink>
      <w:r w:rsidRPr="00091EB7">
        <w:rPr>
          <w:sz w:val="24"/>
          <w:lang w:val="fi-FI"/>
        </w:rPr>
        <w:t>.</w:t>
      </w:r>
    </w:p>
  </w:footnote>
  <w:footnote w:id="355">
    <w:p w14:paraId="127046F4" w14:textId="686CCF39"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5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56">
    <w:p w14:paraId="785EC24C" w14:textId="67A0C6BD"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5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57">
    <w:p w14:paraId="6650DEA2" w14:textId="600086E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57" w:history="1">
        <w:r w:rsidRPr="00091EB7">
          <w:rPr>
            <w:rStyle w:val="Hyperlink1"/>
            <w:sz w:val="24"/>
            <w:lang w:val="fi-FI"/>
          </w:rPr>
          <w:t>http://data.europa.eu/eli/reg/2018/1046/oj</w:t>
        </w:r>
      </w:hyperlink>
      <w:r w:rsidRPr="00091EB7">
        <w:rPr>
          <w:sz w:val="24"/>
          <w:lang w:val="fi-FI"/>
        </w:rPr>
        <w:t>.</w:t>
      </w:r>
    </w:p>
  </w:footnote>
  <w:footnote w:id="358">
    <w:p w14:paraId="4779E4F6" w14:textId="5F1A01B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58" w:history="1">
        <w:r w:rsidRPr="00091EB7">
          <w:rPr>
            <w:rStyle w:val="Hyperlink1"/>
            <w:sz w:val="24"/>
            <w:lang w:val="fi-FI"/>
          </w:rPr>
          <w:t>http://data.europa.eu/eli/reg/2024/2509/oj</w:t>
        </w:r>
      </w:hyperlink>
      <w:r w:rsidRPr="00091EB7">
        <w:rPr>
          <w:sz w:val="24"/>
          <w:lang w:val="fi-FI"/>
        </w:rPr>
        <w:t>.</w:t>
      </w:r>
    </w:p>
  </w:footnote>
  <w:footnote w:id="359">
    <w:p w14:paraId="2A5191BA" w14:textId="367C3A5E"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135, 24.5.2016, s. 53, ELI: </w:t>
      </w:r>
      <w:hyperlink r:id="rId359" w:history="1">
        <w:r w:rsidRPr="00091EB7">
          <w:rPr>
            <w:rStyle w:val="Hyperlink1"/>
            <w:sz w:val="24"/>
            <w:lang w:val="fi-FI"/>
          </w:rPr>
          <w:t>http://data.europa.eu/eli/reg/2016/794/oj</w:t>
        </w:r>
      </w:hyperlink>
      <w:r w:rsidRPr="00091EB7">
        <w:rPr>
          <w:sz w:val="24"/>
          <w:lang w:val="fi-FI"/>
        </w:rPr>
        <w:t>.</w:t>
      </w:r>
    </w:p>
  </w:footnote>
  <w:footnote w:id="360">
    <w:p w14:paraId="165056AD" w14:textId="348C9E3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60" w:history="1">
        <w:r w:rsidRPr="00091EB7">
          <w:rPr>
            <w:rStyle w:val="Hyperlink1"/>
            <w:sz w:val="24"/>
            <w:lang w:val="fi-FI"/>
          </w:rPr>
          <w:t>http://data.europa.eu/eli/reg_del/2019/715/oj</w:t>
        </w:r>
      </w:hyperlink>
      <w:r w:rsidRPr="00091EB7">
        <w:rPr>
          <w:sz w:val="24"/>
          <w:lang w:val="fi-FI"/>
        </w:rPr>
        <w:t>.</w:t>
      </w:r>
    </w:p>
  </w:footnote>
  <w:footnote w:id="361">
    <w:p w14:paraId="2319F6FA" w14:textId="09BAC28A"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6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62">
    <w:p w14:paraId="36249D47" w14:textId="2F838A74"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6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63">
    <w:p w14:paraId="35B27912" w14:textId="52F3D98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63" w:history="1">
        <w:r w:rsidRPr="00091EB7">
          <w:rPr>
            <w:rStyle w:val="Hyperlink1"/>
            <w:sz w:val="24"/>
            <w:lang w:val="fi-FI"/>
          </w:rPr>
          <w:t>http://data.europa.eu/eli/reg/2018/1046/oj</w:t>
        </w:r>
      </w:hyperlink>
      <w:r w:rsidRPr="00091EB7">
        <w:rPr>
          <w:sz w:val="24"/>
          <w:lang w:val="fi-FI"/>
        </w:rPr>
        <w:t>.</w:t>
      </w:r>
    </w:p>
  </w:footnote>
  <w:footnote w:id="364">
    <w:p w14:paraId="1ADB7DEF" w14:textId="7C8B16D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64" w:history="1">
        <w:r w:rsidRPr="00091EB7">
          <w:rPr>
            <w:rStyle w:val="Hyperlink1"/>
            <w:sz w:val="24"/>
            <w:lang w:val="fi-FI"/>
          </w:rPr>
          <w:t>http://data.europa.eu/eli/reg/2024/2509/oj</w:t>
        </w:r>
      </w:hyperlink>
      <w:r w:rsidRPr="00091EB7">
        <w:rPr>
          <w:sz w:val="24"/>
          <w:lang w:val="fi-FI"/>
        </w:rPr>
        <w:t>.</w:t>
      </w:r>
    </w:p>
  </w:footnote>
  <w:footnote w:id="365">
    <w:p w14:paraId="717AFDDB" w14:textId="34C9C48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170, 12.5.2021, s. 69, ELI: </w:t>
      </w:r>
      <w:hyperlink r:id="rId365" w:history="1">
        <w:r w:rsidRPr="00091EB7">
          <w:rPr>
            <w:rStyle w:val="Hyperlink1"/>
            <w:sz w:val="24"/>
            <w:lang w:val="fi-FI"/>
          </w:rPr>
          <w:t>http://data.europa.eu/eli/reg/2021/696/oj</w:t>
        </w:r>
      </w:hyperlink>
      <w:r w:rsidRPr="00091EB7">
        <w:rPr>
          <w:sz w:val="24"/>
          <w:lang w:val="fi-FI"/>
        </w:rPr>
        <w:t>.</w:t>
      </w:r>
    </w:p>
  </w:footnote>
  <w:footnote w:id="366">
    <w:p w14:paraId="1669B811" w14:textId="126129F6"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66" w:history="1">
        <w:r w:rsidRPr="00091EB7">
          <w:rPr>
            <w:rStyle w:val="Hyperlink1"/>
            <w:sz w:val="24"/>
            <w:lang w:val="fi-FI"/>
          </w:rPr>
          <w:t>http://data.europa.eu/eli/reg_del/2019/715/oj</w:t>
        </w:r>
      </w:hyperlink>
      <w:r w:rsidRPr="00091EB7">
        <w:rPr>
          <w:sz w:val="24"/>
          <w:lang w:val="fi-FI"/>
        </w:rPr>
        <w:t>.</w:t>
      </w:r>
    </w:p>
  </w:footnote>
  <w:footnote w:id="367">
    <w:p w14:paraId="70C7213D" w14:textId="1BA34889"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67"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68">
    <w:p w14:paraId="225322CA" w14:textId="5DC1A87C"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68"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69">
    <w:p w14:paraId="6A6A5C26" w14:textId="12A8BE9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69" w:history="1">
        <w:r w:rsidRPr="00091EB7">
          <w:rPr>
            <w:rStyle w:val="Hyperlink1"/>
            <w:sz w:val="24"/>
            <w:lang w:val="fi-FI"/>
          </w:rPr>
          <w:t>http://data.europa.eu/eli/reg/2018/1046/oj</w:t>
        </w:r>
      </w:hyperlink>
      <w:r w:rsidRPr="00091EB7">
        <w:rPr>
          <w:sz w:val="24"/>
          <w:lang w:val="fi-FI"/>
        </w:rPr>
        <w:t>.</w:t>
      </w:r>
    </w:p>
  </w:footnote>
  <w:footnote w:id="370">
    <w:p w14:paraId="0D5E0390" w14:textId="40A099FB"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70" w:history="1">
        <w:r w:rsidRPr="00091EB7">
          <w:rPr>
            <w:rStyle w:val="Hyperlink1"/>
            <w:sz w:val="24"/>
            <w:lang w:val="fi-FI"/>
          </w:rPr>
          <w:t>http://data.europa.eu/eli/reg/2024/2509/oj</w:t>
        </w:r>
      </w:hyperlink>
      <w:r w:rsidRPr="00091EB7">
        <w:rPr>
          <w:sz w:val="24"/>
          <w:lang w:val="fi-FI"/>
        </w:rPr>
        <w:t>.</w:t>
      </w:r>
    </w:p>
  </w:footnote>
  <w:footnote w:id="371">
    <w:p w14:paraId="6ABB520C" w14:textId="6DFDAC2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170, 12.5.2021, s. 69, ELI: </w:t>
      </w:r>
      <w:hyperlink r:id="rId371" w:history="1">
        <w:r w:rsidRPr="00091EB7">
          <w:rPr>
            <w:rStyle w:val="Hyperlink1"/>
            <w:sz w:val="24"/>
            <w:lang w:val="fi-FI"/>
          </w:rPr>
          <w:t>http://data.europa.eu/eli/reg/2021/696/oj</w:t>
        </w:r>
      </w:hyperlink>
      <w:r w:rsidRPr="00091EB7">
        <w:rPr>
          <w:sz w:val="24"/>
          <w:lang w:val="fi-FI"/>
        </w:rPr>
        <w:t>.</w:t>
      </w:r>
    </w:p>
  </w:footnote>
  <w:footnote w:id="372">
    <w:p w14:paraId="2F47930B" w14:textId="41BF016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72" w:history="1">
        <w:r w:rsidRPr="00091EB7">
          <w:rPr>
            <w:rStyle w:val="Hyperlink1"/>
            <w:sz w:val="24"/>
            <w:lang w:val="fi-FI"/>
          </w:rPr>
          <w:t>http://data.europa.eu/eli/reg_del/2019/715/oj</w:t>
        </w:r>
      </w:hyperlink>
      <w:r w:rsidRPr="00091EB7">
        <w:rPr>
          <w:sz w:val="24"/>
          <w:lang w:val="fi-FI"/>
        </w:rPr>
        <w:t>.</w:t>
      </w:r>
    </w:p>
  </w:footnote>
  <w:footnote w:id="373">
    <w:p w14:paraId="67E0CA0F" w14:textId="19556673"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73"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74">
    <w:p w14:paraId="35B4A313" w14:textId="6FD16389"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74"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75">
    <w:p w14:paraId="6DE0F2E1" w14:textId="2B16942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75" w:history="1">
        <w:r w:rsidRPr="00091EB7">
          <w:rPr>
            <w:rStyle w:val="Hyperlink1"/>
            <w:sz w:val="24"/>
            <w:lang w:val="fi-FI"/>
          </w:rPr>
          <w:t>http://data.europa.eu/eli/reg/2018/1046/oj</w:t>
        </w:r>
      </w:hyperlink>
      <w:r w:rsidRPr="00091EB7">
        <w:rPr>
          <w:sz w:val="24"/>
          <w:lang w:val="fi-FI"/>
        </w:rPr>
        <w:t>.</w:t>
      </w:r>
    </w:p>
  </w:footnote>
  <w:footnote w:id="376">
    <w:p w14:paraId="69D29FEA" w14:textId="43FD236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76" w:history="1">
        <w:r w:rsidRPr="00091EB7">
          <w:rPr>
            <w:rStyle w:val="Hyperlink1"/>
            <w:sz w:val="24"/>
            <w:lang w:val="fi-FI"/>
          </w:rPr>
          <w:t>http://data.europa.eu/eli/reg/2024/2509/oj</w:t>
        </w:r>
      </w:hyperlink>
      <w:r w:rsidRPr="00091EB7">
        <w:rPr>
          <w:sz w:val="24"/>
          <w:lang w:val="fi-FI"/>
        </w:rPr>
        <w:t>.</w:t>
      </w:r>
    </w:p>
  </w:footnote>
  <w:footnote w:id="377">
    <w:p w14:paraId="504DCFB7" w14:textId="193258B5"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53, 22.2.2007, s. 1, ELI: </w:t>
      </w:r>
      <w:hyperlink r:id="rId377" w:history="1">
        <w:r w:rsidRPr="00091EB7">
          <w:rPr>
            <w:rStyle w:val="Hyperlink1"/>
            <w:sz w:val="24"/>
            <w:lang w:val="fi-FI"/>
          </w:rPr>
          <w:t>http://data.europa.eu/eli/reg/2007/168/oj</w:t>
        </w:r>
      </w:hyperlink>
      <w:r w:rsidRPr="00091EB7">
        <w:rPr>
          <w:sz w:val="24"/>
          <w:lang w:val="fi-FI"/>
        </w:rPr>
        <w:t>.</w:t>
      </w:r>
    </w:p>
  </w:footnote>
  <w:footnote w:id="378">
    <w:p w14:paraId="5426750C" w14:textId="7DA0852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78" w:history="1">
        <w:r w:rsidRPr="00091EB7">
          <w:rPr>
            <w:rStyle w:val="Hyperlink1"/>
            <w:sz w:val="24"/>
            <w:lang w:val="fi-FI"/>
          </w:rPr>
          <w:t>http://data.europa.eu/eli/reg_del/2019/715/oj</w:t>
        </w:r>
      </w:hyperlink>
      <w:r w:rsidRPr="00091EB7">
        <w:rPr>
          <w:sz w:val="24"/>
          <w:lang w:val="fi-FI"/>
        </w:rPr>
        <w:t>.</w:t>
      </w:r>
    </w:p>
  </w:footnote>
  <w:footnote w:id="379">
    <w:p w14:paraId="626537D5" w14:textId="77F8806A"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79"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80">
    <w:p w14:paraId="601BC47D" w14:textId="640E719F"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80"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81">
    <w:p w14:paraId="244DCEA5" w14:textId="74C26B41"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81" w:history="1">
        <w:r w:rsidRPr="00091EB7">
          <w:rPr>
            <w:rStyle w:val="Hyperlink1"/>
            <w:sz w:val="24"/>
            <w:lang w:val="fi-FI"/>
          </w:rPr>
          <w:t>http://data.europa.eu/eli/reg/2018/1046/oj</w:t>
        </w:r>
      </w:hyperlink>
      <w:r w:rsidRPr="00091EB7">
        <w:rPr>
          <w:sz w:val="24"/>
          <w:lang w:val="fi-FI"/>
        </w:rPr>
        <w:t>.</w:t>
      </w:r>
    </w:p>
  </w:footnote>
  <w:footnote w:id="382">
    <w:p w14:paraId="57FD649C" w14:textId="5DF3A62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82" w:history="1">
        <w:r w:rsidRPr="00091EB7">
          <w:rPr>
            <w:rStyle w:val="Hyperlink1"/>
            <w:sz w:val="24"/>
            <w:lang w:val="fi-FI"/>
          </w:rPr>
          <w:t>http://data.europa.eu/eli/reg/2024/2509/oj</w:t>
        </w:r>
      </w:hyperlink>
      <w:r w:rsidRPr="00091EB7">
        <w:rPr>
          <w:sz w:val="24"/>
          <w:lang w:val="fi-FI"/>
        </w:rPr>
        <w:t>.</w:t>
      </w:r>
    </w:p>
  </w:footnote>
  <w:footnote w:id="383">
    <w:p w14:paraId="2F099841" w14:textId="3DB6727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53, 22.2.2007, s. 1, ELI: </w:t>
      </w:r>
      <w:hyperlink r:id="rId383" w:history="1">
        <w:r w:rsidRPr="00091EB7">
          <w:rPr>
            <w:rStyle w:val="Hyperlink1"/>
            <w:sz w:val="24"/>
            <w:lang w:val="fi-FI"/>
          </w:rPr>
          <w:t>http://data.europa.eu/eli/reg/2007/168/oj</w:t>
        </w:r>
      </w:hyperlink>
      <w:r w:rsidRPr="00091EB7">
        <w:rPr>
          <w:sz w:val="24"/>
          <w:lang w:val="fi-FI"/>
        </w:rPr>
        <w:t>.</w:t>
      </w:r>
    </w:p>
  </w:footnote>
  <w:footnote w:id="384">
    <w:p w14:paraId="1E22B874" w14:textId="53F2B2AA"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84" w:history="1">
        <w:r w:rsidRPr="00091EB7">
          <w:rPr>
            <w:rStyle w:val="Hyperlink1"/>
            <w:sz w:val="24"/>
            <w:lang w:val="fi-FI"/>
          </w:rPr>
          <w:t>http://data.europa.eu/eli/reg_del/2019/715/oj</w:t>
        </w:r>
      </w:hyperlink>
      <w:r w:rsidRPr="00091EB7">
        <w:rPr>
          <w:sz w:val="24"/>
          <w:lang w:val="fi-FI"/>
        </w:rPr>
        <w:t>.</w:t>
      </w:r>
    </w:p>
  </w:footnote>
  <w:footnote w:id="385">
    <w:p w14:paraId="350AEE84" w14:textId="0BE6D8F1"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85"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86">
    <w:p w14:paraId="7F6D1684" w14:textId="27A44D6F"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86"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87">
    <w:p w14:paraId="1705BA9F" w14:textId="320560B8"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87" w:history="1">
        <w:r w:rsidRPr="00091EB7">
          <w:rPr>
            <w:rStyle w:val="Hyperlink1"/>
            <w:sz w:val="24"/>
            <w:lang w:val="fi-FI"/>
          </w:rPr>
          <w:t>http://data.europa.eu/eli/reg/2018/1046/oj</w:t>
        </w:r>
      </w:hyperlink>
      <w:r w:rsidRPr="00091EB7">
        <w:rPr>
          <w:sz w:val="24"/>
          <w:lang w:val="fi-FI"/>
        </w:rPr>
        <w:t>.</w:t>
      </w:r>
    </w:p>
  </w:footnote>
  <w:footnote w:id="388">
    <w:p w14:paraId="51D51232" w14:textId="564D0EE0"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88" w:history="1">
        <w:r w:rsidRPr="00091EB7">
          <w:rPr>
            <w:rStyle w:val="Hyperlink1"/>
            <w:sz w:val="24"/>
            <w:lang w:val="fi-FI"/>
          </w:rPr>
          <w:t>http://data.europa.eu/eli/reg/2024/2509/oj</w:t>
        </w:r>
      </w:hyperlink>
      <w:r w:rsidRPr="00091EB7">
        <w:rPr>
          <w:sz w:val="24"/>
          <w:lang w:val="fi-FI"/>
        </w:rPr>
        <w:t>.</w:t>
      </w:r>
    </w:p>
  </w:footnote>
  <w:footnote w:id="389">
    <w:p w14:paraId="7627D6FC" w14:textId="7889F70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295, 14.11.2019, s. 1, ELI: </w:t>
      </w:r>
      <w:hyperlink r:id="rId389" w:history="1">
        <w:r w:rsidRPr="00091EB7">
          <w:rPr>
            <w:rStyle w:val="Hyperlink1"/>
            <w:sz w:val="24"/>
            <w:lang w:val="fi-FI"/>
          </w:rPr>
          <w:t>http://data.europa.eu/eli/reg/2019/1896/oj</w:t>
        </w:r>
      </w:hyperlink>
      <w:r w:rsidRPr="00091EB7">
        <w:rPr>
          <w:sz w:val="24"/>
          <w:lang w:val="fi-FI"/>
        </w:rPr>
        <w:t>.</w:t>
      </w:r>
    </w:p>
  </w:footnote>
  <w:footnote w:id="390">
    <w:p w14:paraId="716F850B" w14:textId="70800B89"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90" w:history="1">
        <w:r w:rsidRPr="00091EB7">
          <w:rPr>
            <w:rStyle w:val="Hyperlink1"/>
            <w:sz w:val="24"/>
            <w:lang w:val="fi-FI"/>
          </w:rPr>
          <w:t>http://data.europa.eu/eli/reg_del/2019/715/oj</w:t>
        </w:r>
      </w:hyperlink>
      <w:r w:rsidRPr="00091EB7">
        <w:rPr>
          <w:sz w:val="24"/>
          <w:lang w:val="fi-FI"/>
        </w:rPr>
        <w:t>.</w:t>
      </w:r>
    </w:p>
  </w:footnote>
  <w:footnote w:id="391">
    <w:p w14:paraId="5E4FEECE" w14:textId="7E0F9E72"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C/2025/5734, 30.10.2025, ELI: </w:t>
      </w:r>
      <w:hyperlink r:id="rId391" w:tgtFrame="_blank" w:tooltip="Ger tillgång till detta dokument via dess ELI-URI." w:history="1">
        <w:r w:rsidRPr="00091EB7">
          <w:rPr>
            <w:rStyle w:val="Hyperlink1"/>
            <w:sz w:val="24"/>
            <w:lang w:val="fr-BE"/>
          </w:rPr>
          <w:t>http://data.europa.eu/eli/C/2025/5734/oj</w:t>
        </w:r>
      </w:hyperlink>
      <w:r w:rsidRPr="00091EB7">
        <w:rPr>
          <w:sz w:val="24"/>
          <w:lang w:val="fr-BE"/>
        </w:rPr>
        <w:t>.</w:t>
      </w:r>
    </w:p>
  </w:footnote>
  <w:footnote w:id="392">
    <w:p w14:paraId="3B893FC2" w14:textId="4E6441CD" w:rsidR="004B06CC" w:rsidRPr="00091EB7" w:rsidRDefault="004B06CC" w:rsidP="003A4AB5">
      <w:pPr>
        <w:pStyle w:val="FootnoteText"/>
        <w:ind w:left="567" w:hanging="567"/>
        <w:rPr>
          <w:sz w:val="24"/>
          <w:lang w:val="fr-BE"/>
        </w:rPr>
      </w:pPr>
      <w:r w:rsidRPr="003A4AB5">
        <w:rPr>
          <w:rStyle w:val="FootnoteReference"/>
          <w:sz w:val="24"/>
          <w:lang w:val="sv-SE"/>
        </w:rPr>
        <w:footnoteRef/>
      </w:r>
      <w:r w:rsidR="003A4AB5" w:rsidRPr="00091EB7">
        <w:rPr>
          <w:sz w:val="24"/>
          <w:lang w:val="fr-BE"/>
        </w:rPr>
        <w:t xml:space="preserve"> </w:t>
      </w:r>
      <w:r w:rsidR="003A4AB5" w:rsidRPr="00091EB7">
        <w:rPr>
          <w:sz w:val="24"/>
          <w:lang w:val="fr-BE"/>
        </w:rPr>
        <w:tab/>
      </w:r>
      <w:r w:rsidRPr="00091EB7">
        <w:rPr>
          <w:sz w:val="24"/>
          <w:lang w:val="fr-BE"/>
        </w:rPr>
        <w:t>EUT C, C/2025/5407, 13.10.2025, ELI: </w:t>
      </w:r>
      <w:hyperlink r:id="rId392" w:tgtFrame="_blank" w:tooltip="Ger tillgång till detta dokument via dess ELI-URI." w:history="1">
        <w:r w:rsidRPr="00091EB7">
          <w:rPr>
            <w:rStyle w:val="Hyperlink1"/>
            <w:sz w:val="24"/>
            <w:lang w:val="fr-BE"/>
          </w:rPr>
          <w:t>http://data.europa.eu/eli/C/2025/5407/oj</w:t>
        </w:r>
      </w:hyperlink>
      <w:r w:rsidRPr="00091EB7">
        <w:rPr>
          <w:sz w:val="24"/>
          <w:lang w:val="fr-BE"/>
        </w:rPr>
        <w:t>.</w:t>
      </w:r>
    </w:p>
  </w:footnote>
  <w:footnote w:id="393">
    <w:p w14:paraId="1B5FD709" w14:textId="0429E0C3"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193, 30.7.2018, s. 1, ELI: </w:t>
      </w:r>
      <w:hyperlink r:id="rId393" w:history="1">
        <w:r w:rsidRPr="00091EB7">
          <w:rPr>
            <w:rStyle w:val="Hyperlink1"/>
            <w:sz w:val="24"/>
            <w:lang w:val="fi-FI"/>
          </w:rPr>
          <w:t>http://data.europa.eu/eli/reg/2018/1046/oj</w:t>
        </w:r>
      </w:hyperlink>
      <w:r w:rsidRPr="00091EB7">
        <w:rPr>
          <w:sz w:val="24"/>
          <w:lang w:val="fi-FI"/>
        </w:rPr>
        <w:t>.</w:t>
      </w:r>
    </w:p>
  </w:footnote>
  <w:footnote w:id="394">
    <w:p w14:paraId="46C93AC7" w14:textId="7F4C6BBC"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2024/2509, 26.9.2024, ELI: </w:t>
      </w:r>
      <w:hyperlink r:id="rId394" w:history="1">
        <w:r w:rsidRPr="00091EB7">
          <w:rPr>
            <w:rStyle w:val="Hyperlink1"/>
            <w:sz w:val="24"/>
            <w:lang w:val="fi-FI"/>
          </w:rPr>
          <w:t>http://data.europa.eu/eli/reg/2024/2509/oj</w:t>
        </w:r>
      </w:hyperlink>
      <w:r w:rsidRPr="00091EB7">
        <w:rPr>
          <w:sz w:val="24"/>
          <w:lang w:val="fi-FI"/>
        </w:rPr>
        <w:t>.</w:t>
      </w:r>
    </w:p>
  </w:footnote>
  <w:footnote w:id="395">
    <w:p w14:paraId="30E0BB36" w14:textId="4948777D"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295, 14.11.2019, s. 1, ELI: </w:t>
      </w:r>
      <w:hyperlink r:id="rId395" w:history="1">
        <w:r w:rsidRPr="00091EB7">
          <w:rPr>
            <w:rStyle w:val="Hyperlink1"/>
            <w:sz w:val="24"/>
            <w:lang w:val="fi-FI"/>
          </w:rPr>
          <w:t>http://data.europa.eu/eli/reg/2019/1896/oj</w:t>
        </w:r>
      </w:hyperlink>
      <w:r w:rsidRPr="00091EB7">
        <w:rPr>
          <w:sz w:val="24"/>
          <w:lang w:val="fi-FI"/>
        </w:rPr>
        <w:t>.</w:t>
      </w:r>
    </w:p>
  </w:footnote>
  <w:footnote w:id="396">
    <w:p w14:paraId="387AD511" w14:textId="76D8AB27" w:rsidR="004B06CC" w:rsidRPr="00091EB7" w:rsidRDefault="004B06CC" w:rsidP="003A4AB5">
      <w:pPr>
        <w:pStyle w:val="FootnoteText"/>
        <w:ind w:left="567" w:hanging="567"/>
        <w:rPr>
          <w:sz w:val="24"/>
          <w:lang w:val="fi-FI"/>
        </w:rPr>
      </w:pPr>
      <w:r w:rsidRPr="003A4AB5">
        <w:rPr>
          <w:rStyle w:val="FootnoteReference"/>
          <w:sz w:val="24"/>
          <w:lang w:val="sv-SE"/>
        </w:rPr>
        <w:footnoteRef/>
      </w:r>
      <w:r w:rsidR="003A4AB5" w:rsidRPr="00091EB7">
        <w:rPr>
          <w:sz w:val="24"/>
          <w:lang w:val="fi-FI"/>
        </w:rPr>
        <w:t xml:space="preserve"> </w:t>
      </w:r>
      <w:r w:rsidR="003A4AB5" w:rsidRPr="00091EB7">
        <w:rPr>
          <w:sz w:val="24"/>
          <w:lang w:val="fi-FI"/>
        </w:rPr>
        <w:tab/>
      </w:r>
      <w:r w:rsidRPr="00091EB7">
        <w:rPr>
          <w:sz w:val="24"/>
          <w:lang w:val="fi-FI"/>
        </w:rPr>
        <w:t xml:space="preserve">EUT L 122, 10.5.2019, s. 1, ELI: </w:t>
      </w:r>
      <w:hyperlink r:id="rId396" w:history="1">
        <w:r w:rsidRPr="00091EB7">
          <w:rPr>
            <w:rStyle w:val="Hyperlink1"/>
            <w:sz w:val="24"/>
            <w:lang w:val="fi-FI"/>
          </w:rPr>
          <w:t>http://data.europa.eu/eli/reg_del/2019/715/oj</w:t>
        </w:r>
      </w:hyperlink>
      <w:r w:rsidRPr="00091EB7">
        <w:rPr>
          <w:sz w:val="24"/>
          <w:lang w:val="fi-FI"/>
        </w:rPr>
        <w:t>.</w:t>
      </w:r>
    </w:p>
  </w:footnote>
  <w:footnote w:id="397">
    <w:p w14:paraId="5B4CCDD5" w14:textId="7B56BDC1"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Gemensamt uttalande från Europaparlamentet, Europeiska unionens råd och Europeiska kommissionen om decentraliserade organ från juli 2012 (</w:t>
      </w:r>
      <w:hyperlink r:id="rId397" w:history="1">
        <w:r w:rsidRPr="003A4AB5">
          <w:rPr>
            <w:rStyle w:val="Hyperlink"/>
            <w:sz w:val="24"/>
            <w:lang w:val="sv-SE"/>
          </w:rPr>
          <w:t>https://european-union.europa.eu/document/download/d4199ff4-1e3d-45e6-af7e-90cf1a7b10bc_en?filename=joint_statement_on_decentralised_agencies_en.pdf</w:t>
        </w:r>
      </w:hyperlink>
      <w:r w:rsidRPr="003A4AB5">
        <w:rPr>
          <w:sz w:val="24"/>
          <w:lang w:val="sv-SE"/>
        </w:rPr>
        <w:t>).</w:t>
      </w:r>
    </w:p>
  </w:footnote>
  <w:footnote w:id="398">
    <w:p w14:paraId="2C814A5C" w14:textId="12DD1A2F"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hyperlink r:id="rId398" w:history="1">
        <w:r w:rsidRPr="003A4AB5">
          <w:rPr>
            <w:rStyle w:val="Hyperlink"/>
            <w:sz w:val="24"/>
            <w:lang w:val="sv-SE"/>
          </w:rPr>
          <w:t>https://agencies-network.europa.eu/document/download/04667fb8-be05-4818-9f62-0cb99f0c5538_en?filename=EUAN%20WG%25</w:t>
        </w:r>
      </w:hyperlink>
    </w:p>
  </w:footnote>
  <w:footnote w:id="399">
    <w:p w14:paraId="770E6710" w14:textId="5111059C"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Uppgifter enligt inkomst- och utgiftsberäkningar för budgetåret 2024 som offentliggjorts i EUT för varje enskilt organ.</w:t>
      </w:r>
    </w:p>
  </w:footnote>
  <w:footnote w:id="400">
    <w:p w14:paraId="7E94C120" w14:textId="4B5AC218"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Överskott som överförts från föregående budgetår har dragits av.</w:t>
      </w:r>
    </w:p>
  </w:footnote>
  <w:footnote w:id="401">
    <w:p w14:paraId="2BC1F39E" w14:textId="4DBCF681"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Budgetkorrigeringar motsvarande ackumulerade överskott har dragits av.</w:t>
      </w:r>
    </w:p>
  </w:footnote>
  <w:footnote w:id="402">
    <w:p w14:paraId="4AABCC24" w14:textId="52935C75"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Bidraget från EU + tredjeländer uppgår till totalt 67,8 miljoner EUR. Bidrag och servicenivåavtal uppgår till totalt 33,8 miljoner EUR.</w:t>
      </w:r>
    </w:p>
  </w:footnote>
  <w:footnote w:id="403">
    <w:p w14:paraId="3BC34F74" w14:textId="3D574BBE"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 xml:space="preserve">Under 2024 hade </w:t>
      </w:r>
      <w:proofErr w:type="spellStart"/>
      <w:r w:rsidRPr="003A4AB5">
        <w:rPr>
          <w:sz w:val="24"/>
          <w:lang w:val="sv-SE"/>
        </w:rPr>
        <w:t>Enisa</w:t>
      </w:r>
      <w:proofErr w:type="spellEnd"/>
      <w:r w:rsidRPr="003A4AB5">
        <w:rPr>
          <w:sz w:val="24"/>
          <w:lang w:val="sv-SE"/>
        </w:rPr>
        <w:t xml:space="preserve"> en budget på 26,2 miljoner EUR jämfört med 2023 års budget på 25,2 miljoner EUR. I slutet av december 2023 undertecknades en överenskommelse om medverkan mellan </w:t>
      </w:r>
      <w:proofErr w:type="spellStart"/>
      <w:r w:rsidRPr="003A4AB5">
        <w:rPr>
          <w:sz w:val="24"/>
          <w:lang w:val="sv-SE"/>
        </w:rPr>
        <w:t>Connect</w:t>
      </w:r>
      <w:proofErr w:type="spellEnd"/>
      <w:r w:rsidRPr="003A4AB5">
        <w:rPr>
          <w:sz w:val="24"/>
          <w:lang w:val="sv-SE"/>
        </w:rPr>
        <w:t xml:space="preserve"> och </w:t>
      </w:r>
      <w:proofErr w:type="spellStart"/>
      <w:r w:rsidRPr="003A4AB5">
        <w:rPr>
          <w:sz w:val="24"/>
          <w:lang w:val="sv-SE"/>
        </w:rPr>
        <w:t>Enisa</w:t>
      </w:r>
      <w:proofErr w:type="spellEnd"/>
      <w:r w:rsidRPr="003A4AB5">
        <w:rPr>
          <w:sz w:val="24"/>
          <w:lang w:val="sv-SE"/>
        </w:rPr>
        <w:t xml:space="preserve">, genom vilken totalt 20 miljoner EUR beviljades för genomförandet av verksamhet vid </w:t>
      </w:r>
      <w:proofErr w:type="spellStart"/>
      <w:r w:rsidRPr="003A4AB5">
        <w:rPr>
          <w:sz w:val="24"/>
          <w:lang w:val="sv-SE"/>
        </w:rPr>
        <w:t>cyberstöds</w:t>
      </w:r>
      <w:proofErr w:type="spellEnd"/>
      <w:r w:rsidRPr="003A4AB5">
        <w:rPr>
          <w:sz w:val="24"/>
          <w:lang w:val="sv-SE"/>
        </w:rPr>
        <w:t>- och situationscentrumet under 2024–2026. Den första delbetalningen på 16 miljoner EUR togs emot i februari 2024 för genomförandet av de överenskomna åtgärderna.</w:t>
      </w:r>
    </w:p>
  </w:footnote>
  <w:footnote w:id="404">
    <w:p w14:paraId="4ECBEED4" w14:textId="2CE695B7"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Egna inkomster avser avgifter som tas ut för certifikat, tillstånd, registrering av ämnen, bidrag, datainsamling, marknadskontroll, övervakning och andra tjänster.</w:t>
      </w:r>
    </w:p>
  </w:footnote>
  <w:footnote w:id="405">
    <w:p w14:paraId="0096251E" w14:textId="1B024846"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Egna inkomster avser bidrag från nationella tillsynsmyndigheter.</w:t>
      </w:r>
    </w:p>
  </w:footnote>
  <w:footnote w:id="406">
    <w:p w14:paraId="1B1AAB2B" w14:textId="0282ED5E" w:rsidR="004B06CC" w:rsidRPr="003A4AB5" w:rsidRDefault="004B06CC" w:rsidP="003A4AB5">
      <w:pPr>
        <w:pStyle w:val="FootnoteText"/>
        <w:ind w:left="567" w:hanging="567"/>
        <w:rPr>
          <w:sz w:val="24"/>
          <w:lang w:val="sv-SE"/>
        </w:rPr>
      </w:pPr>
      <w:r w:rsidRPr="003A4AB5">
        <w:rPr>
          <w:sz w:val="24"/>
          <w:vertAlign w:val="superscript"/>
          <w:lang w:val="sv-SE"/>
        </w:rPr>
        <w:footnoteRef/>
      </w:r>
      <w:r w:rsidR="003A4AB5" w:rsidRPr="003A4AB5">
        <w:rPr>
          <w:sz w:val="24"/>
          <w:lang w:val="sv-SE"/>
        </w:rPr>
        <w:t xml:space="preserve"> </w:t>
      </w:r>
      <w:r w:rsidR="003A4AB5" w:rsidRPr="003A4AB5">
        <w:rPr>
          <w:sz w:val="24"/>
          <w:lang w:val="sv-SE"/>
        </w:rPr>
        <w:tab/>
      </w:r>
      <w:r w:rsidRPr="003A4AB5">
        <w:rPr>
          <w:sz w:val="24"/>
          <w:lang w:val="sv-SE"/>
        </w:rPr>
        <w:t>Egna inkomster avser bidrag från nationella tillsynsmyndigheter.</w:t>
      </w:r>
    </w:p>
  </w:footnote>
  <w:footnote w:id="407">
    <w:p w14:paraId="69255E19" w14:textId="62022B3B" w:rsidR="004B06CC" w:rsidRPr="003A4AB5" w:rsidRDefault="004B06CC" w:rsidP="003A4AB5">
      <w:pPr>
        <w:pStyle w:val="FootnoteText"/>
        <w:ind w:left="567" w:hanging="567"/>
        <w:rPr>
          <w:sz w:val="24"/>
          <w:lang w:val="sv-SE"/>
        </w:rPr>
      </w:pPr>
      <w:r w:rsidRPr="003A4AB5">
        <w:rPr>
          <w:sz w:val="24"/>
          <w:vertAlign w:val="superscript"/>
          <w:lang w:val="sv-SE"/>
        </w:rPr>
        <w:footnoteRef/>
      </w:r>
      <w:r w:rsidR="003A4AB5" w:rsidRPr="003A4AB5">
        <w:rPr>
          <w:sz w:val="24"/>
          <w:lang w:val="sv-SE"/>
        </w:rPr>
        <w:t xml:space="preserve"> </w:t>
      </w:r>
      <w:r w:rsidR="003A4AB5" w:rsidRPr="003A4AB5">
        <w:rPr>
          <w:sz w:val="24"/>
          <w:lang w:val="sv-SE"/>
        </w:rPr>
        <w:tab/>
      </w:r>
      <w:r w:rsidRPr="003A4AB5">
        <w:rPr>
          <w:sz w:val="24"/>
          <w:lang w:val="sv-SE"/>
        </w:rPr>
        <w:t>I de egna inkomsterna ingår bidrag från nationella tillsynsmyndigheter och avgifter som betalas till myndigheten.</w:t>
      </w:r>
    </w:p>
  </w:footnote>
  <w:footnote w:id="408">
    <w:p w14:paraId="5997C361" w14:textId="4D46D860" w:rsidR="004B06CC" w:rsidRPr="003A4AB5" w:rsidRDefault="004B06CC" w:rsidP="003A4AB5">
      <w:pPr>
        <w:pStyle w:val="FootnoteText"/>
        <w:ind w:left="567" w:hanging="567"/>
        <w:rPr>
          <w:sz w:val="24"/>
          <w:lang w:val="sv-SE"/>
        </w:rPr>
      </w:pPr>
      <w:r w:rsidRPr="003A4AB5">
        <w:rPr>
          <w:rStyle w:val="FootnoteReference"/>
          <w:rFonts w:eastAsiaTheme="majorEastAsia"/>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 xml:space="preserve">EBA, </w:t>
      </w:r>
      <w:proofErr w:type="spellStart"/>
      <w:r w:rsidRPr="003A4AB5">
        <w:rPr>
          <w:sz w:val="24"/>
          <w:lang w:val="sv-SE"/>
        </w:rPr>
        <w:t>Eiopa</w:t>
      </w:r>
      <w:proofErr w:type="spellEnd"/>
      <w:r w:rsidRPr="003A4AB5">
        <w:rPr>
          <w:sz w:val="24"/>
          <w:lang w:val="sv-SE"/>
        </w:rPr>
        <w:t xml:space="preserve"> och </w:t>
      </w:r>
      <w:proofErr w:type="spellStart"/>
      <w:r w:rsidRPr="003A4AB5">
        <w:rPr>
          <w:sz w:val="24"/>
          <w:lang w:val="sv-SE"/>
        </w:rPr>
        <w:t>Esma</w:t>
      </w:r>
      <w:proofErr w:type="spellEnd"/>
      <w:r w:rsidRPr="003A4AB5">
        <w:rPr>
          <w:sz w:val="24"/>
          <w:lang w:val="sv-SE"/>
        </w:rPr>
        <w:t>.</w:t>
      </w:r>
    </w:p>
  </w:footnote>
  <w:footnote w:id="409">
    <w:p w14:paraId="2E2F3DC0" w14:textId="235CC783" w:rsidR="004B06CC" w:rsidRPr="003A4AB5" w:rsidRDefault="004B06CC" w:rsidP="003A4AB5">
      <w:pPr>
        <w:pStyle w:val="FootnoteText"/>
        <w:ind w:left="567" w:hanging="567"/>
        <w:rPr>
          <w:sz w:val="24"/>
          <w:lang w:val="sv-SE"/>
        </w:rPr>
      </w:pPr>
      <w:r w:rsidRPr="003A4AB5">
        <w:rPr>
          <w:rStyle w:val="FootnoteReference"/>
          <w:rFonts w:eastAsiaTheme="majorEastAsia"/>
          <w:sz w:val="24"/>
          <w:lang w:val="sv-SE"/>
        </w:rPr>
        <w:footnoteRef/>
      </w:r>
      <w:r w:rsidR="003A4AB5" w:rsidRPr="003A4AB5">
        <w:rPr>
          <w:sz w:val="24"/>
          <w:lang w:val="sv-SE"/>
        </w:rPr>
        <w:t xml:space="preserve"> </w:t>
      </w:r>
      <w:r w:rsidR="003A4AB5" w:rsidRPr="003A4AB5">
        <w:rPr>
          <w:sz w:val="24"/>
          <w:lang w:val="sv-SE"/>
        </w:rPr>
        <w:tab/>
      </w:r>
      <w:proofErr w:type="spellStart"/>
      <w:r w:rsidRPr="003A4AB5">
        <w:rPr>
          <w:sz w:val="24"/>
          <w:lang w:val="sv-SE"/>
        </w:rPr>
        <w:t>Cepol</w:t>
      </w:r>
      <w:proofErr w:type="spellEnd"/>
      <w:r w:rsidRPr="003A4AB5">
        <w:rPr>
          <w:sz w:val="24"/>
          <w:lang w:val="sv-SE"/>
        </w:rPr>
        <w:t xml:space="preserve">, EIGE, EUAA, eu-Lisa, Eurojust, Europol, FRA och </w:t>
      </w:r>
      <w:proofErr w:type="spellStart"/>
      <w:r w:rsidRPr="003A4AB5">
        <w:rPr>
          <w:sz w:val="24"/>
          <w:lang w:val="sv-SE"/>
        </w:rPr>
        <w:t>Frontex</w:t>
      </w:r>
      <w:proofErr w:type="spellEnd"/>
      <w:r w:rsidRPr="003A4AB5">
        <w:rPr>
          <w:sz w:val="24"/>
          <w:lang w:val="sv-SE"/>
        </w:rPr>
        <w:t>.</w:t>
      </w:r>
    </w:p>
  </w:footnote>
  <w:footnote w:id="410">
    <w:p w14:paraId="6560BC99" w14:textId="7DF27FD4" w:rsidR="004B06CC" w:rsidRPr="003A4AB5" w:rsidRDefault="004B06CC" w:rsidP="003A4AB5">
      <w:pPr>
        <w:pStyle w:val="FootnoteText"/>
        <w:ind w:left="567" w:hanging="567"/>
        <w:rPr>
          <w:sz w:val="24"/>
          <w:lang w:val="sv-SE"/>
        </w:rPr>
      </w:pPr>
      <w:r w:rsidRPr="003A4AB5">
        <w:rPr>
          <w:rStyle w:val="FootnoteReference"/>
          <w:rFonts w:eastAsiaTheme="majorEastAsia"/>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Europaparlamentets och rådets förordning (EU, Euratom) 2023/2841 av den 13 december 2023 om åtgärder för en hög gemensam cybersäkerhetsnivå vid unionens institutioner, organ och byråer (</w:t>
      </w:r>
      <w:r w:rsidR="0059526A">
        <w:rPr>
          <w:sz w:val="24"/>
          <w:lang w:val="sv-SE"/>
        </w:rPr>
        <w:t>EUT</w:t>
      </w:r>
      <w:r w:rsidRPr="003A4AB5">
        <w:rPr>
          <w:sz w:val="24"/>
          <w:lang w:val="sv-SE"/>
        </w:rPr>
        <w:t xml:space="preserve"> L, 2023/2841, 18.12.2023, ELI: http://data.europa.eu/</w:t>
      </w:r>
      <w:proofErr w:type="spellStart"/>
      <w:r w:rsidRPr="003A4AB5">
        <w:rPr>
          <w:sz w:val="24"/>
          <w:lang w:val="sv-SE"/>
        </w:rPr>
        <w:t>eli</w:t>
      </w:r>
      <w:proofErr w:type="spellEnd"/>
      <w:r w:rsidRPr="003A4AB5">
        <w:rPr>
          <w:sz w:val="24"/>
          <w:lang w:val="sv-SE"/>
        </w:rPr>
        <w:t>/</w:t>
      </w:r>
      <w:proofErr w:type="spellStart"/>
      <w:r w:rsidRPr="003A4AB5">
        <w:rPr>
          <w:sz w:val="24"/>
          <w:lang w:val="sv-SE"/>
        </w:rPr>
        <w:t>reg</w:t>
      </w:r>
      <w:proofErr w:type="spellEnd"/>
      <w:r w:rsidRPr="003A4AB5">
        <w:rPr>
          <w:sz w:val="24"/>
          <w:lang w:val="sv-SE"/>
        </w:rPr>
        <w:t>/2023/2841/oj).</w:t>
      </w:r>
    </w:p>
  </w:footnote>
  <w:footnote w:id="411">
    <w:p w14:paraId="4D88CFCB" w14:textId="64DD306F" w:rsidR="00B80B65" w:rsidRPr="00B80B65" w:rsidRDefault="004B06CC" w:rsidP="00B80B65">
      <w:pPr>
        <w:pStyle w:val="FootnoteText"/>
        <w:ind w:left="567" w:hanging="567"/>
        <w:rPr>
          <w:sz w:val="24"/>
          <w:lang w:val="sv-SE"/>
        </w:rPr>
      </w:pPr>
      <w:r w:rsidRPr="003A4AB5">
        <w:rPr>
          <w:rStyle w:val="FootnoteReference"/>
          <w:rFonts w:eastAsiaTheme="majorEastAsia"/>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 xml:space="preserve">Tribunalens dom </w:t>
      </w:r>
      <w:r w:rsidR="00B80B65">
        <w:rPr>
          <w:sz w:val="24"/>
          <w:lang w:val="sv-SE"/>
        </w:rPr>
        <w:t xml:space="preserve">av </w:t>
      </w:r>
      <w:r w:rsidRPr="003A4AB5">
        <w:rPr>
          <w:sz w:val="24"/>
          <w:lang w:val="sv-SE"/>
        </w:rPr>
        <w:t>den 15 oktober 2025</w:t>
      </w:r>
      <w:r w:rsidR="00B80B65">
        <w:rPr>
          <w:sz w:val="24"/>
          <w:lang w:val="sv-SE"/>
        </w:rPr>
        <w:t>,</w:t>
      </w:r>
      <w:r w:rsidRPr="003A4AB5">
        <w:rPr>
          <w:sz w:val="24"/>
          <w:lang w:val="sv-SE"/>
        </w:rPr>
        <w:t xml:space="preserve"> </w:t>
      </w:r>
      <w:r w:rsidR="00B80B65" w:rsidRPr="00B80B65">
        <w:rPr>
          <w:sz w:val="24"/>
          <w:lang w:val="sv-SE"/>
        </w:rPr>
        <w:t xml:space="preserve">WU v Eurojust, T 295/23 </w:t>
      </w:r>
      <w:r w:rsidR="00B80B65">
        <w:rPr>
          <w:sz w:val="24"/>
          <w:lang w:val="sv-SE"/>
        </w:rPr>
        <w:t>och</w:t>
      </w:r>
      <w:r w:rsidR="00B80B65" w:rsidRPr="00B80B65">
        <w:rPr>
          <w:sz w:val="24"/>
          <w:lang w:val="sv-SE"/>
        </w:rPr>
        <w:t xml:space="preserve"> T 1176/23</w:t>
      </w:r>
      <w:r w:rsidR="00B80B65">
        <w:rPr>
          <w:sz w:val="24"/>
          <w:lang w:val="sv-SE"/>
        </w:rPr>
        <w:t xml:space="preserve">, </w:t>
      </w:r>
      <w:r w:rsidR="00B80B65" w:rsidRPr="00B80B65">
        <w:rPr>
          <w:sz w:val="24"/>
          <w:lang w:val="sv-SE"/>
        </w:rPr>
        <w:t>ECLI:EU:T:2025:963</w:t>
      </w:r>
      <w:r w:rsidR="00B80B65">
        <w:rPr>
          <w:sz w:val="24"/>
          <w:lang w:val="sv-SE"/>
        </w:rPr>
        <w:t>.</w:t>
      </w:r>
    </w:p>
  </w:footnote>
  <w:footnote w:id="412">
    <w:p w14:paraId="129057EE" w14:textId="0745BBDE" w:rsidR="004B06CC" w:rsidRPr="003A4AB5" w:rsidRDefault="004B06CC" w:rsidP="003A4AB5">
      <w:pPr>
        <w:pStyle w:val="FootnoteText"/>
        <w:ind w:left="567" w:hanging="567"/>
        <w:rPr>
          <w:sz w:val="24"/>
          <w:lang w:val="sv-SE"/>
        </w:rPr>
      </w:pPr>
      <w:r w:rsidRPr="003A4AB5">
        <w:rPr>
          <w:rStyle w:val="FootnoteReference"/>
          <w:rFonts w:eastAsiaTheme="majorEastAsia"/>
          <w:sz w:val="24"/>
          <w:lang w:val="sv-SE"/>
        </w:rPr>
        <w:footnoteRef/>
      </w:r>
      <w:r w:rsidR="003A4AB5" w:rsidRPr="003A4AB5">
        <w:rPr>
          <w:sz w:val="24"/>
          <w:lang w:val="sv-SE"/>
        </w:rPr>
        <w:t xml:space="preserve"> </w:t>
      </w:r>
      <w:r w:rsidR="003A4AB5" w:rsidRPr="003A4AB5">
        <w:rPr>
          <w:sz w:val="24"/>
          <w:lang w:val="sv-SE"/>
        </w:rPr>
        <w:tab/>
      </w:r>
      <w:proofErr w:type="spellStart"/>
      <w:r w:rsidRPr="003A4AB5">
        <w:rPr>
          <w:sz w:val="24"/>
          <w:lang w:val="sv-SE"/>
        </w:rPr>
        <w:t>Cedefop</w:t>
      </w:r>
      <w:proofErr w:type="spellEnd"/>
      <w:r w:rsidRPr="003A4AB5">
        <w:rPr>
          <w:sz w:val="24"/>
          <w:lang w:val="sv-SE"/>
        </w:rPr>
        <w:t xml:space="preserve">, Europeiska arbetsmyndigheten, ETF, </w:t>
      </w:r>
      <w:proofErr w:type="spellStart"/>
      <w:r w:rsidRPr="003A4AB5">
        <w:rPr>
          <w:sz w:val="24"/>
          <w:lang w:val="sv-SE"/>
        </w:rPr>
        <w:t>Eurofound</w:t>
      </w:r>
      <w:proofErr w:type="spellEnd"/>
      <w:r w:rsidRPr="003A4AB5">
        <w:rPr>
          <w:sz w:val="24"/>
          <w:lang w:val="sv-SE"/>
        </w:rPr>
        <w:t xml:space="preserve"> och EU-</w:t>
      </w:r>
      <w:proofErr w:type="spellStart"/>
      <w:r w:rsidRPr="003A4AB5">
        <w:rPr>
          <w:sz w:val="24"/>
          <w:lang w:val="sv-SE"/>
        </w:rPr>
        <w:t>Osha</w:t>
      </w:r>
      <w:proofErr w:type="spellEnd"/>
      <w:r w:rsidRPr="003A4AB5">
        <w:rPr>
          <w:sz w:val="24"/>
          <w:lang w:val="sv-SE"/>
        </w:rPr>
        <w:t>.</w:t>
      </w:r>
    </w:p>
  </w:footnote>
  <w:footnote w:id="413">
    <w:p w14:paraId="4689FE1B" w14:textId="014A007C" w:rsidR="004B06CC" w:rsidRPr="003A4AB5" w:rsidRDefault="004B06CC" w:rsidP="003A4AB5">
      <w:pPr>
        <w:pStyle w:val="FootnoteText"/>
        <w:ind w:left="567" w:hanging="567"/>
        <w:rPr>
          <w:sz w:val="24"/>
          <w:lang w:val="sv-SE"/>
        </w:rPr>
      </w:pPr>
      <w:r w:rsidRPr="003A4AB5">
        <w:rPr>
          <w:rStyle w:val="FootnoteReference"/>
          <w:rFonts w:eastAsiaTheme="majorEastAsia"/>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Utvärdering av Europeiska arbetsmyndigheten, Bryssel, 26.5.2025, COM(2025)0256 och SWD(2025) 0128.</w:t>
      </w:r>
    </w:p>
  </w:footnote>
  <w:footnote w:id="414">
    <w:p w14:paraId="36E637F0" w14:textId="3FB8294F"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 xml:space="preserve">ECDC, </w:t>
      </w:r>
      <w:proofErr w:type="spellStart"/>
      <w:r w:rsidRPr="003A4AB5">
        <w:rPr>
          <w:sz w:val="24"/>
          <w:lang w:val="sv-SE"/>
        </w:rPr>
        <w:t>Efsa</w:t>
      </w:r>
      <w:proofErr w:type="spellEnd"/>
      <w:r w:rsidRPr="003A4AB5">
        <w:rPr>
          <w:sz w:val="24"/>
          <w:lang w:val="sv-SE"/>
        </w:rPr>
        <w:t>, EMA och EUDA.</w:t>
      </w:r>
    </w:p>
  </w:footnote>
  <w:footnote w:id="415">
    <w:p w14:paraId="38FCBBC5" w14:textId="6A064BC4"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proofErr w:type="spellStart"/>
      <w:r w:rsidRPr="003A4AB5">
        <w:rPr>
          <w:sz w:val="24"/>
          <w:lang w:val="sv-SE"/>
        </w:rPr>
        <w:t>Easa</w:t>
      </w:r>
      <w:proofErr w:type="spellEnd"/>
      <w:r w:rsidRPr="003A4AB5">
        <w:rPr>
          <w:sz w:val="24"/>
          <w:lang w:val="sv-SE"/>
        </w:rPr>
        <w:t xml:space="preserve">, </w:t>
      </w:r>
      <w:proofErr w:type="spellStart"/>
      <w:r w:rsidRPr="003A4AB5">
        <w:rPr>
          <w:sz w:val="24"/>
          <w:lang w:val="sv-SE"/>
        </w:rPr>
        <w:t>Emsa</w:t>
      </w:r>
      <w:proofErr w:type="spellEnd"/>
      <w:r w:rsidRPr="003A4AB5">
        <w:rPr>
          <w:sz w:val="24"/>
          <w:lang w:val="sv-SE"/>
        </w:rPr>
        <w:t xml:space="preserve"> och ERA.</w:t>
      </w:r>
    </w:p>
  </w:footnote>
  <w:footnote w:id="416">
    <w:p w14:paraId="52BC3647" w14:textId="08D084DB"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r w:rsidRPr="003A4AB5">
        <w:rPr>
          <w:sz w:val="24"/>
          <w:lang w:val="sv-SE"/>
        </w:rPr>
        <w:t xml:space="preserve">Acer, </w:t>
      </w:r>
      <w:proofErr w:type="spellStart"/>
      <w:r w:rsidRPr="003A4AB5">
        <w:rPr>
          <w:sz w:val="24"/>
          <w:lang w:val="sv-SE"/>
        </w:rPr>
        <w:t>Echa</w:t>
      </w:r>
      <w:proofErr w:type="spellEnd"/>
      <w:r w:rsidRPr="003A4AB5">
        <w:rPr>
          <w:sz w:val="24"/>
          <w:lang w:val="sv-SE"/>
        </w:rPr>
        <w:t>, EEA och EFCA.</w:t>
      </w:r>
    </w:p>
  </w:footnote>
  <w:footnote w:id="417">
    <w:p w14:paraId="197B2719" w14:textId="448FBE8B" w:rsidR="004B06CC" w:rsidRPr="003A4AB5" w:rsidRDefault="004B06CC" w:rsidP="003A4AB5">
      <w:pPr>
        <w:pStyle w:val="FootnoteText"/>
        <w:ind w:left="567" w:hanging="567"/>
        <w:rPr>
          <w:sz w:val="24"/>
          <w:lang w:val="sv-SE"/>
        </w:rPr>
      </w:pPr>
      <w:r w:rsidRPr="003A4AB5">
        <w:rPr>
          <w:rStyle w:val="FootnoteReference"/>
          <w:sz w:val="24"/>
          <w:lang w:val="sv-SE"/>
        </w:rPr>
        <w:footnoteRef/>
      </w:r>
      <w:r w:rsidR="003A4AB5" w:rsidRPr="003A4AB5">
        <w:rPr>
          <w:sz w:val="24"/>
          <w:lang w:val="sv-SE"/>
        </w:rPr>
        <w:t xml:space="preserve"> </w:t>
      </w:r>
      <w:r w:rsidR="003A4AB5" w:rsidRPr="003A4AB5">
        <w:rPr>
          <w:sz w:val="24"/>
          <w:lang w:val="sv-SE"/>
        </w:rPr>
        <w:tab/>
      </w:r>
      <w:proofErr w:type="spellStart"/>
      <w:r w:rsidRPr="003A4AB5">
        <w:rPr>
          <w:sz w:val="24"/>
          <w:lang w:val="sv-SE"/>
        </w:rPr>
        <w:t>Berecbyrån</w:t>
      </w:r>
      <w:proofErr w:type="spellEnd"/>
      <w:r w:rsidRPr="003A4AB5">
        <w:rPr>
          <w:sz w:val="24"/>
          <w:lang w:val="sv-SE"/>
        </w:rPr>
        <w:t xml:space="preserve">, </w:t>
      </w:r>
      <w:proofErr w:type="spellStart"/>
      <w:r w:rsidRPr="003A4AB5">
        <w:rPr>
          <w:sz w:val="24"/>
          <w:lang w:val="sv-SE"/>
        </w:rPr>
        <w:t>CdT</w:t>
      </w:r>
      <w:proofErr w:type="spellEnd"/>
      <w:r w:rsidRPr="003A4AB5">
        <w:rPr>
          <w:sz w:val="24"/>
          <w:lang w:val="sv-SE"/>
        </w:rPr>
        <w:t xml:space="preserve">, </w:t>
      </w:r>
      <w:proofErr w:type="spellStart"/>
      <w:r w:rsidRPr="003A4AB5">
        <w:rPr>
          <w:sz w:val="24"/>
          <w:lang w:val="sv-SE"/>
        </w:rPr>
        <w:t>Enisa</w:t>
      </w:r>
      <w:proofErr w:type="spellEnd"/>
      <w:r w:rsidRPr="003A4AB5">
        <w:rPr>
          <w:sz w:val="24"/>
          <w:lang w:val="sv-SE"/>
        </w:rPr>
        <w:t>, EIT, EUSPA och ESA Euratom.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F9F51" w14:textId="77777777" w:rsidR="003A4AB5" w:rsidRPr="003A4AB5" w:rsidRDefault="003A4A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1542" w14:textId="77777777" w:rsidR="003A4AB5" w:rsidRPr="003A4AB5" w:rsidRDefault="003A4A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850" w14:textId="77777777" w:rsidR="003A4AB5" w:rsidRPr="003A4AB5" w:rsidRDefault="003A4A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7AD7" w14:textId="77777777" w:rsidR="00064002" w:rsidRPr="003A4AB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43F73" w14:textId="77777777" w:rsidR="00064002" w:rsidRPr="003A4AB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4EF0" w14:textId="77777777" w:rsidR="00064002" w:rsidRPr="003A4A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5260875">
    <w:abstractNumId w:val="0"/>
  </w:num>
  <w:num w:numId="2" w16cid:durableId="101260715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SV"/>
    <w:docVar w:name="dvnumam" w:val="0"/>
    <w:docVar w:name="dvpe" w:val="776.806"/>
    <w:docVar w:name="dvrapporteur" w:val="Föredragande: "/>
    <w:docVar w:name="dvtitre" w:val="Europaparlamentets beslut av den xx xx 2026 över ansvarsfrihet för genomförandet av budgeten för Europeiska unionens byråer för budgetåret 2024(2025/2156(DEC))"/>
  </w:docVars>
  <w:rsids>
    <w:rsidRoot w:val="0053608B"/>
    <w:rsid w:val="00002272"/>
    <w:rsid w:val="00064002"/>
    <w:rsid w:val="000677B9"/>
    <w:rsid w:val="000831BA"/>
    <w:rsid w:val="00091EB7"/>
    <w:rsid w:val="000A42CC"/>
    <w:rsid w:val="000E7DD9"/>
    <w:rsid w:val="0010095E"/>
    <w:rsid w:val="00125B37"/>
    <w:rsid w:val="001725A4"/>
    <w:rsid w:val="001869B6"/>
    <w:rsid w:val="00187494"/>
    <w:rsid w:val="001C4164"/>
    <w:rsid w:val="001F32AE"/>
    <w:rsid w:val="002767FF"/>
    <w:rsid w:val="002B18FE"/>
    <w:rsid w:val="002B5493"/>
    <w:rsid w:val="00307CFE"/>
    <w:rsid w:val="00343214"/>
    <w:rsid w:val="00353A6C"/>
    <w:rsid w:val="00361C00"/>
    <w:rsid w:val="00395FA1"/>
    <w:rsid w:val="003A4AB5"/>
    <w:rsid w:val="003E15D4"/>
    <w:rsid w:val="003E27E5"/>
    <w:rsid w:val="00411CCE"/>
    <w:rsid w:val="0041666E"/>
    <w:rsid w:val="00421060"/>
    <w:rsid w:val="004632FB"/>
    <w:rsid w:val="00471C19"/>
    <w:rsid w:val="004867E3"/>
    <w:rsid w:val="00494A28"/>
    <w:rsid w:val="004B06CC"/>
    <w:rsid w:val="004C0004"/>
    <w:rsid w:val="004C5D52"/>
    <w:rsid w:val="004D0537"/>
    <w:rsid w:val="0050519A"/>
    <w:rsid w:val="005072A1"/>
    <w:rsid w:val="00514517"/>
    <w:rsid w:val="0053608B"/>
    <w:rsid w:val="00545827"/>
    <w:rsid w:val="00560270"/>
    <w:rsid w:val="0059526A"/>
    <w:rsid w:val="005B4844"/>
    <w:rsid w:val="005C2568"/>
    <w:rsid w:val="005F1B17"/>
    <w:rsid w:val="006017D1"/>
    <w:rsid w:val="006037C0"/>
    <w:rsid w:val="006053B7"/>
    <w:rsid w:val="00610FF8"/>
    <w:rsid w:val="00612F74"/>
    <w:rsid w:val="0065762B"/>
    <w:rsid w:val="006631B6"/>
    <w:rsid w:val="00680577"/>
    <w:rsid w:val="006C1F72"/>
    <w:rsid w:val="006F74FA"/>
    <w:rsid w:val="00731ADD"/>
    <w:rsid w:val="00734777"/>
    <w:rsid w:val="00747932"/>
    <w:rsid w:val="00751A4A"/>
    <w:rsid w:val="00756632"/>
    <w:rsid w:val="00762C74"/>
    <w:rsid w:val="00786EC0"/>
    <w:rsid w:val="007B6266"/>
    <w:rsid w:val="007D1690"/>
    <w:rsid w:val="007E22AD"/>
    <w:rsid w:val="0081708D"/>
    <w:rsid w:val="00817416"/>
    <w:rsid w:val="00842779"/>
    <w:rsid w:val="00862356"/>
    <w:rsid w:val="00865F67"/>
    <w:rsid w:val="00881A7B"/>
    <w:rsid w:val="008840E5"/>
    <w:rsid w:val="00887B3E"/>
    <w:rsid w:val="008A5756"/>
    <w:rsid w:val="008C2AC6"/>
    <w:rsid w:val="00930C23"/>
    <w:rsid w:val="0093193B"/>
    <w:rsid w:val="009509D8"/>
    <w:rsid w:val="00950B64"/>
    <w:rsid w:val="00981893"/>
    <w:rsid w:val="00A1687D"/>
    <w:rsid w:val="00A43E52"/>
    <w:rsid w:val="00A4678D"/>
    <w:rsid w:val="00A778C7"/>
    <w:rsid w:val="00AB441E"/>
    <w:rsid w:val="00AB6293"/>
    <w:rsid w:val="00AB7ADA"/>
    <w:rsid w:val="00AE0928"/>
    <w:rsid w:val="00AF3B82"/>
    <w:rsid w:val="00B12E95"/>
    <w:rsid w:val="00B22876"/>
    <w:rsid w:val="00B558F0"/>
    <w:rsid w:val="00B80B65"/>
    <w:rsid w:val="00BD1F8B"/>
    <w:rsid w:val="00BD48FE"/>
    <w:rsid w:val="00BD7BD8"/>
    <w:rsid w:val="00BE6ADC"/>
    <w:rsid w:val="00C05BFE"/>
    <w:rsid w:val="00C23CD4"/>
    <w:rsid w:val="00C61C0C"/>
    <w:rsid w:val="00C941CB"/>
    <w:rsid w:val="00CC2357"/>
    <w:rsid w:val="00CC2AC0"/>
    <w:rsid w:val="00CF071A"/>
    <w:rsid w:val="00D03023"/>
    <w:rsid w:val="00D058B8"/>
    <w:rsid w:val="00D56C11"/>
    <w:rsid w:val="00D834A0"/>
    <w:rsid w:val="00D872DF"/>
    <w:rsid w:val="00D917A6"/>
    <w:rsid w:val="00D91E21"/>
    <w:rsid w:val="00DA7FCD"/>
    <w:rsid w:val="00DC628C"/>
    <w:rsid w:val="00E365E1"/>
    <w:rsid w:val="00E820A4"/>
    <w:rsid w:val="00EB006A"/>
    <w:rsid w:val="00EB4772"/>
    <w:rsid w:val="00ED169E"/>
    <w:rsid w:val="00ED3CFA"/>
    <w:rsid w:val="00ED4235"/>
    <w:rsid w:val="00ED49B2"/>
    <w:rsid w:val="00F04346"/>
    <w:rsid w:val="00F075DC"/>
    <w:rsid w:val="00F105EA"/>
    <w:rsid w:val="00F149E9"/>
    <w:rsid w:val="00F27777"/>
    <w:rsid w:val="00F5134D"/>
    <w:rsid w:val="00F57A72"/>
    <w:rsid w:val="00F74202"/>
    <w:rsid w:val="00F86C5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39D73"/>
  <w15:chartTrackingRefBased/>
  <w15:docId w15:val="{AC50D5F7-656D-4345-B85A-402CCB0D6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B06CC"/>
    <w:rPr>
      <w:b/>
      <w:kern w:val="28"/>
      <w:sz w:val="28"/>
      <w:lang w:val="fr-FR" w:eastAsia="fr-FR"/>
    </w:rPr>
  </w:style>
  <w:style w:type="character" w:customStyle="1" w:styleId="Heading2Char">
    <w:name w:val="Heading 2 Char"/>
    <w:basedOn w:val="DefaultParagraphFont"/>
    <w:link w:val="Heading2"/>
    <w:semiHidden/>
    <w:rsid w:val="004B06CC"/>
    <w:rPr>
      <w:sz w:val="24"/>
      <w:lang w:val="fr-FR" w:eastAsia="fr-FR"/>
    </w:rPr>
  </w:style>
  <w:style w:type="character" w:customStyle="1" w:styleId="Heading3Char">
    <w:name w:val="Heading 3 Char"/>
    <w:basedOn w:val="DefaultParagraphFont"/>
    <w:link w:val="Heading3"/>
    <w:semiHidden/>
    <w:rsid w:val="004B06CC"/>
    <w:rPr>
      <w:rFonts w:ascii="Arial" w:hAnsi="Arial"/>
      <w:sz w:val="24"/>
      <w:lang w:val="fr-FR" w:eastAsia="fr-FR"/>
    </w:rPr>
  </w:style>
  <w:style w:type="character" w:customStyle="1" w:styleId="Heading4Char">
    <w:name w:val="Heading 4 Char"/>
    <w:basedOn w:val="DefaultParagraphFont"/>
    <w:link w:val="Heading4"/>
    <w:semiHidden/>
    <w:rsid w:val="004B06CC"/>
    <w:rPr>
      <w:sz w:val="24"/>
      <w:lang w:val="en-US" w:eastAsia="fr-FR"/>
    </w:rPr>
  </w:style>
  <w:style w:type="character" w:customStyle="1" w:styleId="Heading5Char">
    <w:name w:val="Heading 5 Char"/>
    <w:basedOn w:val="DefaultParagraphFont"/>
    <w:link w:val="Heading5"/>
    <w:semiHidden/>
    <w:rsid w:val="004B06CC"/>
    <w:rPr>
      <w:sz w:val="24"/>
      <w:lang w:val="en-US" w:eastAsia="fr-FR"/>
    </w:rPr>
  </w:style>
  <w:style w:type="character" w:customStyle="1" w:styleId="Heading6Char">
    <w:name w:val="Heading 6 Char"/>
    <w:basedOn w:val="DefaultParagraphFont"/>
    <w:link w:val="Heading6"/>
    <w:semiHidden/>
    <w:rsid w:val="004B06CC"/>
    <w:rPr>
      <w:i/>
      <w:sz w:val="22"/>
      <w:lang w:val="sv-SE"/>
    </w:rPr>
  </w:style>
  <w:style w:type="character" w:customStyle="1" w:styleId="Heading7Char">
    <w:name w:val="Heading 7 Char"/>
    <w:basedOn w:val="DefaultParagraphFont"/>
    <w:link w:val="Heading7"/>
    <w:semiHidden/>
    <w:rsid w:val="004B06CC"/>
    <w:rPr>
      <w:rFonts w:ascii="Arial" w:hAnsi="Arial"/>
      <w:sz w:val="24"/>
      <w:lang w:val="sv-SE"/>
    </w:rPr>
  </w:style>
  <w:style w:type="character" w:customStyle="1" w:styleId="Heading8Char">
    <w:name w:val="Heading 8 Char"/>
    <w:basedOn w:val="DefaultParagraphFont"/>
    <w:link w:val="Heading8"/>
    <w:semiHidden/>
    <w:rsid w:val="004B06CC"/>
    <w:rPr>
      <w:rFonts w:ascii="Arial" w:hAnsi="Arial"/>
      <w:i/>
      <w:sz w:val="24"/>
      <w:lang w:val="sv-SE"/>
    </w:rPr>
  </w:style>
  <w:style w:type="character" w:customStyle="1" w:styleId="Heading9Char">
    <w:name w:val="Heading 9 Char"/>
    <w:basedOn w:val="DefaultParagraphFont"/>
    <w:link w:val="Heading9"/>
    <w:semiHidden/>
    <w:rsid w:val="004B06CC"/>
    <w:rPr>
      <w:rFonts w:ascii="Arial" w:hAnsi="Arial"/>
      <w:b/>
      <w:i/>
      <w:sz w:val="18"/>
      <w:lang w:val="sv-SE"/>
    </w:rPr>
  </w:style>
  <w:style w:type="paragraph" w:styleId="TOCHeading">
    <w:name w:val="TOC Heading"/>
    <w:basedOn w:val="Normal"/>
    <w:next w:val="Normal"/>
    <w:unhideWhenUsed/>
    <w:qFormat/>
    <w:rsid w:val="004B06CC"/>
    <w:pPr>
      <w:widowControl/>
      <w:spacing w:after="240"/>
    </w:pPr>
    <w:rPr>
      <w:lang w:val="en-GB"/>
    </w:rPr>
  </w:style>
  <w:style w:type="paragraph" w:styleId="Title">
    <w:name w:val="Title"/>
    <w:basedOn w:val="Normal"/>
    <w:next w:val="Normal"/>
    <w:link w:val="TitleChar"/>
    <w:uiPriority w:val="10"/>
    <w:qFormat/>
    <w:rsid w:val="004B06CC"/>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B06CC"/>
    <w:rPr>
      <w:rFonts w:asciiTheme="majorHAnsi" w:eastAsiaTheme="majorEastAsia" w:hAnsiTheme="majorHAnsi" w:cstheme="majorBidi"/>
      <w:spacing w:val="-10"/>
      <w:kern w:val="28"/>
      <w:sz w:val="56"/>
      <w:szCs w:val="56"/>
      <w:lang w:val="sv-SE" w:eastAsia="en-US"/>
      <w14:ligatures w14:val="standardContextual"/>
    </w:rPr>
  </w:style>
  <w:style w:type="paragraph" w:styleId="Subtitle">
    <w:name w:val="Subtitle"/>
    <w:basedOn w:val="Normal"/>
    <w:next w:val="Normal"/>
    <w:link w:val="SubtitleChar"/>
    <w:uiPriority w:val="11"/>
    <w:qFormat/>
    <w:rsid w:val="004B06CC"/>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B06CC"/>
    <w:rPr>
      <w:rFonts w:asciiTheme="minorHAnsi" w:eastAsiaTheme="majorEastAsia" w:hAnsiTheme="minorHAnsi" w:cstheme="majorBidi"/>
      <w:color w:val="595959" w:themeColor="text1" w:themeTint="A6"/>
      <w:spacing w:val="15"/>
      <w:kern w:val="2"/>
      <w:sz w:val="28"/>
      <w:szCs w:val="28"/>
      <w:lang w:val="sv-SE" w:eastAsia="en-US"/>
      <w14:ligatures w14:val="standardContextual"/>
    </w:rPr>
  </w:style>
  <w:style w:type="paragraph" w:styleId="Quote">
    <w:name w:val="Quote"/>
    <w:basedOn w:val="Normal"/>
    <w:next w:val="Normal"/>
    <w:link w:val="QuoteChar"/>
    <w:uiPriority w:val="29"/>
    <w:qFormat/>
    <w:rsid w:val="004B06CC"/>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4B06CC"/>
    <w:rPr>
      <w:rFonts w:asciiTheme="minorHAnsi" w:eastAsiaTheme="minorHAnsi" w:hAnsiTheme="minorHAnsi" w:cstheme="minorBidi"/>
      <w:i/>
      <w:iCs/>
      <w:color w:val="404040" w:themeColor="text1" w:themeTint="BF"/>
      <w:kern w:val="2"/>
      <w:sz w:val="24"/>
      <w:szCs w:val="24"/>
      <w:lang w:val="sv-SE" w:eastAsia="en-US"/>
      <w14:ligatures w14:val="standardContextual"/>
    </w:rPr>
  </w:style>
  <w:style w:type="paragraph" w:styleId="ListParagraph">
    <w:name w:val="List Paragraph"/>
    <w:basedOn w:val="Normal"/>
    <w:uiPriority w:val="34"/>
    <w:qFormat/>
    <w:rsid w:val="004B06CC"/>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sid w:val="004B06CC"/>
    <w:rPr>
      <w:i/>
      <w:iCs/>
      <w:color w:val="2E74B5" w:themeColor="accent1" w:themeShade="BF"/>
    </w:rPr>
  </w:style>
  <w:style w:type="paragraph" w:styleId="IntenseQuote">
    <w:name w:val="Intense Quote"/>
    <w:basedOn w:val="Normal"/>
    <w:next w:val="Normal"/>
    <w:link w:val="IntenseQuoteChar"/>
    <w:uiPriority w:val="30"/>
    <w:qFormat/>
    <w:rsid w:val="004B06CC"/>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4B06CC"/>
    <w:rPr>
      <w:rFonts w:asciiTheme="minorHAnsi" w:eastAsiaTheme="minorHAnsi" w:hAnsiTheme="minorHAnsi" w:cstheme="minorBidi"/>
      <w:i/>
      <w:iCs/>
      <w:color w:val="2E74B5" w:themeColor="accent1" w:themeShade="BF"/>
      <w:kern w:val="2"/>
      <w:sz w:val="24"/>
      <w:szCs w:val="24"/>
      <w:lang w:val="sv-SE" w:eastAsia="en-US"/>
      <w14:ligatures w14:val="standardContextual"/>
    </w:rPr>
  </w:style>
  <w:style w:type="character" w:styleId="IntenseReference">
    <w:name w:val="Intense Reference"/>
    <w:basedOn w:val="DefaultParagraphFont"/>
    <w:uiPriority w:val="32"/>
    <w:qFormat/>
    <w:rsid w:val="004B06CC"/>
    <w:rPr>
      <w:b/>
      <w:bCs/>
      <w:smallCaps/>
      <w:color w:val="2E74B5" w:themeColor="accent1" w:themeShade="BF"/>
      <w:spacing w:val="5"/>
    </w:rPr>
  </w:style>
  <w:style w:type="numbering" w:customStyle="1" w:styleId="NoList1">
    <w:name w:val="No List1"/>
    <w:next w:val="NoList"/>
    <w:uiPriority w:val="99"/>
    <w:semiHidden/>
    <w:unhideWhenUsed/>
    <w:rsid w:val="004B06CC"/>
  </w:style>
  <w:style w:type="paragraph" w:customStyle="1" w:styleId="EPFooter2">
    <w:name w:val="EPFooter2"/>
    <w:basedOn w:val="Normal"/>
    <w:next w:val="Normal"/>
    <w:link w:val="EPFooter2Char"/>
    <w:rsid w:val="004B06CC"/>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4B06CC"/>
    <w:pPr>
      <w:spacing w:before="480" w:after="240"/>
    </w:pPr>
  </w:style>
  <w:style w:type="paragraph" w:customStyle="1" w:styleId="TOCPage">
    <w:name w:val="TOC Page"/>
    <w:basedOn w:val="Normal"/>
    <w:next w:val="TOC1"/>
    <w:rsid w:val="004B06CC"/>
    <w:pPr>
      <w:keepNext/>
      <w:spacing w:after="240"/>
      <w:jc w:val="right"/>
    </w:pPr>
    <w:rPr>
      <w:rFonts w:ascii="Arial" w:hAnsi="Arial"/>
      <w:b/>
    </w:rPr>
  </w:style>
  <w:style w:type="paragraph" w:customStyle="1" w:styleId="PageHeading">
    <w:name w:val="PageHeading"/>
    <w:basedOn w:val="Normal"/>
    <w:link w:val="PageHeadingChar"/>
    <w:rsid w:val="004B06CC"/>
    <w:pPr>
      <w:keepNext/>
      <w:spacing w:after="480"/>
      <w:jc w:val="center"/>
    </w:pPr>
    <w:rPr>
      <w:rFonts w:ascii="Arial" w:hAnsi="Arial" w:cs="Arial"/>
      <w:b/>
    </w:rPr>
  </w:style>
  <w:style w:type="paragraph" w:customStyle="1" w:styleId="NormalBold">
    <w:name w:val="NormalBold"/>
    <w:basedOn w:val="Normal"/>
    <w:rsid w:val="004B06CC"/>
    <w:rPr>
      <w:b/>
    </w:rPr>
  </w:style>
  <w:style w:type="paragraph" w:customStyle="1" w:styleId="NormalHanging12a">
    <w:name w:val="NormalHanging12a"/>
    <w:basedOn w:val="Normal"/>
    <w:link w:val="NormalHanging12aChar"/>
    <w:rsid w:val="004B06CC"/>
    <w:pPr>
      <w:spacing w:after="240"/>
      <w:ind w:left="567" w:hanging="567"/>
    </w:pPr>
  </w:style>
  <w:style w:type="paragraph" w:customStyle="1" w:styleId="CoverNormal24a">
    <w:name w:val="CoverNormal24a"/>
    <w:basedOn w:val="Normal"/>
    <w:rsid w:val="004B06CC"/>
    <w:pPr>
      <w:spacing w:after="480"/>
      <w:ind w:left="1417"/>
    </w:pPr>
  </w:style>
  <w:style w:type="paragraph" w:customStyle="1" w:styleId="CoverNormal">
    <w:name w:val="CoverNormal"/>
    <w:basedOn w:val="Normal"/>
    <w:rsid w:val="004B06CC"/>
    <w:pPr>
      <w:ind w:left="1418"/>
    </w:pPr>
  </w:style>
  <w:style w:type="paragraph" w:customStyle="1" w:styleId="NormalCenter12a">
    <w:name w:val="NormalCenter12a"/>
    <w:basedOn w:val="Normal"/>
    <w:rsid w:val="004B06CC"/>
    <w:pPr>
      <w:spacing w:after="240"/>
      <w:jc w:val="center"/>
    </w:pPr>
  </w:style>
  <w:style w:type="paragraph" w:customStyle="1" w:styleId="CoverReference">
    <w:name w:val="CoverReference"/>
    <w:basedOn w:val="Normal"/>
    <w:rsid w:val="004B06CC"/>
    <w:pPr>
      <w:spacing w:before="1080"/>
      <w:jc w:val="right"/>
    </w:pPr>
    <w:rPr>
      <w:rFonts w:ascii="Arial" w:hAnsi="Arial" w:cs="Arial"/>
      <w:b/>
    </w:rPr>
  </w:style>
  <w:style w:type="paragraph" w:customStyle="1" w:styleId="CoverDocType24a">
    <w:name w:val="CoverDocType24a"/>
    <w:basedOn w:val="Normal"/>
    <w:rsid w:val="004B06CC"/>
    <w:pPr>
      <w:spacing w:after="480"/>
      <w:ind w:left="1418"/>
    </w:pPr>
    <w:rPr>
      <w:rFonts w:ascii="Arial" w:hAnsi="Arial"/>
      <w:b/>
      <w:sz w:val="48"/>
    </w:rPr>
  </w:style>
  <w:style w:type="paragraph" w:customStyle="1" w:styleId="CoverDate">
    <w:name w:val="CoverDate"/>
    <w:basedOn w:val="Normal"/>
    <w:rsid w:val="004B06CC"/>
    <w:pPr>
      <w:spacing w:before="240" w:after="1200"/>
    </w:pPr>
  </w:style>
  <w:style w:type="paragraph" w:styleId="Header">
    <w:name w:val="header"/>
    <w:basedOn w:val="Normal"/>
    <w:link w:val="HeaderChar"/>
    <w:rsid w:val="004B06CC"/>
    <w:pPr>
      <w:tabs>
        <w:tab w:val="center" w:pos="4513"/>
        <w:tab w:val="right" w:pos="9026"/>
      </w:tabs>
    </w:pPr>
  </w:style>
  <w:style w:type="character" w:customStyle="1" w:styleId="HeaderChar">
    <w:name w:val="Header Char"/>
    <w:basedOn w:val="DefaultParagraphFont"/>
    <w:link w:val="Header"/>
    <w:rsid w:val="004B06CC"/>
    <w:rPr>
      <w:sz w:val="24"/>
      <w:lang w:val="sv-SE"/>
    </w:rPr>
  </w:style>
  <w:style w:type="paragraph" w:customStyle="1" w:styleId="EPBody">
    <w:name w:val="EPBody"/>
    <w:basedOn w:val="Normal"/>
    <w:rsid w:val="004B06CC"/>
    <w:pPr>
      <w:jc w:val="center"/>
    </w:pPr>
    <w:rPr>
      <w:rFonts w:ascii="Arial" w:hAnsi="Arial" w:cs="Arial"/>
      <w:i/>
      <w:sz w:val="22"/>
      <w:szCs w:val="22"/>
    </w:rPr>
  </w:style>
  <w:style w:type="paragraph" w:customStyle="1" w:styleId="EPFooter">
    <w:name w:val="EPFooter"/>
    <w:basedOn w:val="Normal"/>
    <w:link w:val="EPFooterChar"/>
    <w:rsid w:val="004B06CC"/>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4B06CC"/>
    <w:rPr>
      <w:sz w:val="24"/>
      <w:lang w:val="sv-SE"/>
    </w:rPr>
  </w:style>
  <w:style w:type="paragraph" w:customStyle="1" w:styleId="PageHeadingDec">
    <w:name w:val="PageHeadingDec"/>
    <w:basedOn w:val="PageHeading"/>
    <w:link w:val="PageHeadingDecChar"/>
    <w:qFormat/>
    <w:rsid w:val="004B06CC"/>
  </w:style>
  <w:style w:type="character" w:customStyle="1" w:styleId="PageHeadingChar">
    <w:name w:val="PageHeading Char"/>
    <w:basedOn w:val="DefaultParagraphFont"/>
    <w:link w:val="PageHeading"/>
    <w:rsid w:val="004B06CC"/>
    <w:rPr>
      <w:rFonts w:ascii="Arial" w:hAnsi="Arial" w:cs="Arial"/>
      <w:b/>
      <w:sz w:val="24"/>
      <w:lang w:val="sv-SE"/>
    </w:rPr>
  </w:style>
  <w:style w:type="character" w:customStyle="1" w:styleId="PageHeadingDecChar">
    <w:name w:val="PageHeadingDec Char"/>
    <w:basedOn w:val="PageHeadingChar"/>
    <w:link w:val="PageHeadingDec"/>
    <w:rsid w:val="004B06CC"/>
    <w:rPr>
      <w:rFonts w:ascii="Arial" w:hAnsi="Arial" w:cs="Arial"/>
      <w:b/>
      <w:sz w:val="24"/>
      <w:lang w:val="sv-SE"/>
    </w:rPr>
  </w:style>
  <w:style w:type="paragraph" w:styleId="TOC9">
    <w:name w:val="toc 9"/>
    <w:basedOn w:val="Normal"/>
    <w:next w:val="Normal"/>
    <w:autoRedefine/>
    <w:uiPriority w:val="39"/>
    <w:rsid w:val="004B06CC"/>
    <w:pPr>
      <w:spacing w:after="100"/>
      <w:jc w:val="center"/>
    </w:pPr>
  </w:style>
  <w:style w:type="paragraph" w:styleId="TOC8">
    <w:name w:val="toc 8"/>
    <w:basedOn w:val="Normal"/>
    <w:next w:val="Normal"/>
    <w:autoRedefine/>
    <w:uiPriority w:val="39"/>
    <w:rsid w:val="004B06CC"/>
    <w:pPr>
      <w:spacing w:after="240"/>
    </w:pPr>
    <w:rPr>
      <w:b/>
    </w:rPr>
  </w:style>
  <w:style w:type="paragraph" w:customStyle="1" w:styleId="PageHeadingNotTOC">
    <w:name w:val="PageHeadingNotTOC"/>
    <w:basedOn w:val="Normal"/>
    <w:link w:val="PageHeadingNotTOCChar"/>
    <w:rsid w:val="004B06CC"/>
    <w:pPr>
      <w:keepNext/>
      <w:spacing w:after="480"/>
      <w:jc w:val="center"/>
    </w:pPr>
    <w:rPr>
      <w:rFonts w:ascii="Arial" w:hAnsi="Arial" w:cs="Arial"/>
      <w:b/>
    </w:rPr>
  </w:style>
  <w:style w:type="paragraph" w:styleId="TOC7">
    <w:name w:val="toc 7"/>
    <w:basedOn w:val="Normal"/>
    <w:next w:val="Normal"/>
    <w:autoRedefine/>
    <w:uiPriority w:val="39"/>
    <w:rsid w:val="004B06CC"/>
    <w:pPr>
      <w:spacing w:after="240"/>
      <w:ind w:left="720" w:hanging="720"/>
    </w:pPr>
  </w:style>
  <w:style w:type="paragraph" w:styleId="BalloonText">
    <w:name w:val="Balloon Text"/>
    <w:basedOn w:val="Normal"/>
    <w:link w:val="BalloonTextChar"/>
    <w:uiPriority w:val="99"/>
    <w:unhideWhenUsed/>
    <w:rsid w:val="004B06CC"/>
    <w:rPr>
      <w:rFonts w:ascii="Segoe UI" w:hAnsi="Segoe UI" w:cs="Segoe UI"/>
      <w:sz w:val="18"/>
      <w:szCs w:val="18"/>
    </w:rPr>
  </w:style>
  <w:style w:type="character" w:customStyle="1" w:styleId="BalloonTextChar">
    <w:name w:val="Balloon Text Char"/>
    <w:basedOn w:val="DefaultParagraphFont"/>
    <w:link w:val="BalloonText"/>
    <w:uiPriority w:val="99"/>
    <w:rsid w:val="004B06CC"/>
    <w:rPr>
      <w:rFonts w:ascii="Segoe UI" w:hAnsi="Segoe UI" w:cs="Segoe UI"/>
      <w:sz w:val="18"/>
      <w:szCs w:val="18"/>
      <w:lang w:val="sv-SE"/>
    </w:rPr>
  </w:style>
  <w:style w:type="character" w:customStyle="1" w:styleId="Hyperlink1">
    <w:name w:val="Hyperlink1"/>
    <w:basedOn w:val="DefaultParagraphFont"/>
    <w:rsid w:val="004B06CC"/>
    <w:rPr>
      <w:color w:val="0563C1"/>
      <w:u w:val="single"/>
    </w:rPr>
  </w:style>
  <w:style w:type="character" w:styleId="UnresolvedMention">
    <w:name w:val="Unresolved Mention"/>
    <w:basedOn w:val="DefaultParagraphFont"/>
    <w:uiPriority w:val="99"/>
    <w:semiHidden/>
    <w:unhideWhenUsed/>
    <w:rsid w:val="004B06CC"/>
    <w:rPr>
      <w:color w:val="605E5C"/>
      <w:shd w:val="clear" w:color="auto" w:fill="E1DFDD"/>
    </w:rPr>
  </w:style>
  <w:style w:type="character" w:styleId="CommentReference">
    <w:name w:val="annotation reference"/>
    <w:basedOn w:val="DefaultParagraphFont"/>
    <w:rsid w:val="004B06CC"/>
    <w:rPr>
      <w:sz w:val="16"/>
      <w:szCs w:val="16"/>
    </w:rPr>
  </w:style>
  <w:style w:type="paragraph" w:styleId="CommentText">
    <w:name w:val="annotation text"/>
    <w:basedOn w:val="Normal"/>
    <w:link w:val="CommentTextChar"/>
    <w:rsid w:val="004B06CC"/>
    <w:rPr>
      <w:sz w:val="20"/>
    </w:rPr>
  </w:style>
  <w:style w:type="character" w:customStyle="1" w:styleId="CommentTextChar">
    <w:name w:val="Comment Text Char"/>
    <w:basedOn w:val="DefaultParagraphFont"/>
    <w:link w:val="CommentText"/>
    <w:rsid w:val="004B06CC"/>
    <w:rPr>
      <w:lang w:val="sv-SE"/>
    </w:rPr>
  </w:style>
  <w:style w:type="paragraph" w:styleId="CommentSubject">
    <w:name w:val="annotation subject"/>
    <w:basedOn w:val="CommentText"/>
    <w:next w:val="CommentText"/>
    <w:link w:val="CommentSubjectChar"/>
    <w:unhideWhenUsed/>
    <w:rsid w:val="004B06CC"/>
    <w:rPr>
      <w:b/>
      <w:bCs/>
    </w:rPr>
  </w:style>
  <w:style w:type="character" w:customStyle="1" w:styleId="CommentSubjectChar">
    <w:name w:val="Comment Subject Char"/>
    <w:basedOn w:val="CommentTextChar"/>
    <w:link w:val="CommentSubject"/>
    <w:rsid w:val="004B06CC"/>
    <w:rPr>
      <w:b/>
      <w:bCs/>
      <w:lang w:val="sv-SE"/>
    </w:rPr>
  </w:style>
  <w:style w:type="paragraph" w:styleId="Revision">
    <w:name w:val="Revision"/>
    <w:hidden/>
    <w:uiPriority w:val="99"/>
    <w:semiHidden/>
    <w:rsid w:val="004B06CC"/>
    <w:rPr>
      <w:sz w:val="24"/>
      <w:lang w:val="sv-SE"/>
    </w:rPr>
  </w:style>
  <w:style w:type="character" w:customStyle="1" w:styleId="FollowedHyperlink1">
    <w:name w:val="FollowedHyperlink1"/>
    <w:basedOn w:val="DefaultParagraphFont"/>
    <w:uiPriority w:val="99"/>
    <w:rsid w:val="004B06CC"/>
    <w:rPr>
      <w:color w:val="954F72"/>
      <w:u w:val="single"/>
    </w:rPr>
  </w:style>
  <w:style w:type="paragraph" w:customStyle="1" w:styleId="Normal12Hanging">
    <w:name w:val="Normal12Hanging"/>
    <w:basedOn w:val="Normal"/>
    <w:rsid w:val="004B06CC"/>
    <w:pPr>
      <w:spacing w:after="240"/>
      <w:ind w:left="567" w:hanging="567"/>
    </w:pPr>
  </w:style>
  <w:style w:type="paragraph" w:customStyle="1" w:styleId="Normal24a">
    <w:name w:val="Normal24a"/>
    <w:basedOn w:val="Normal"/>
    <w:rsid w:val="004B06CC"/>
    <w:pPr>
      <w:spacing w:after="480"/>
    </w:pPr>
  </w:style>
  <w:style w:type="paragraph" w:customStyle="1" w:styleId="NormalBoldCenter">
    <w:name w:val="NormalBoldCenter"/>
    <w:basedOn w:val="Normal"/>
    <w:rsid w:val="004B06CC"/>
    <w:pPr>
      <w:jc w:val="center"/>
    </w:pPr>
    <w:rPr>
      <w:b/>
    </w:rPr>
  </w:style>
  <w:style w:type="paragraph" w:customStyle="1" w:styleId="Footprint12b">
    <w:name w:val="Footprint12b"/>
    <w:basedOn w:val="Normal"/>
    <w:rsid w:val="004B06CC"/>
    <w:pPr>
      <w:spacing w:before="240"/>
    </w:pPr>
    <w:rPr>
      <w:szCs w:val="24"/>
    </w:rPr>
  </w:style>
  <w:style w:type="paragraph" w:customStyle="1" w:styleId="NormalSingle">
    <w:name w:val="NormalSingle"/>
    <w:basedOn w:val="Normal"/>
    <w:qFormat/>
    <w:rsid w:val="004B06CC"/>
    <w:rPr>
      <w:szCs w:val="24"/>
    </w:rPr>
  </w:style>
  <w:style w:type="paragraph" w:customStyle="1" w:styleId="Normal12a">
    <w:name w:val="Normal12a"/>
    <w:basedOn w:val="Normal"/>
    <w:rsid w:val="004B06CC"/>
    <w:pPr>
      <w:spacing w:after="240"/>
    </w:pPr>
  </w:style>
  <w:style w:type="paragraph" w:customStyle="1" w:styleId="RollCallSymbols14pt">
    <w:name w:val="RollCallSymbols14pt"/>
    <w:basedOn w:val="Normal"/>
    <w:rsid w:val="004B06C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B06CC"/>
    <w:pPr>
      <w:tabs>
        <w:tab w:val="center" w:pos="284"/>
        <w:tab w:val="left" w:pos="426"/>
      </w:tabs>
    </w:pPr>
    <w:rPr>
      <w:snapToGrid w:val="0"/>
      <w:lang w:eastAsia="en-US"/>
    </w:rPr>
  </w:style>
  <w:style w:type="paragraph" w:customStyle="1" w:styleId="RollCallVotes">
    <w:name w:val="RollCallVotes"/>
    <w:basedOn w:val="Normal"/>
    <w:rsid w:val="004B06CC"/>
    <w:pPr>
      <w:spacing w:before="120" w:after="120"/>
      <w:jc w:val="center"/>
    </w:pPr>
    <w:rPr>
      <w:b/>
      <w:bCs/>
      <w:snapToGrid w:val="0"/>
      <w:sz w:val="16"/>
      <w:lang w:eastAsia="en-US"/>
    </w:rPr>
  </w:style>
  <w:style w:type="paragraph" w:customStyle="1" w:styleId="RollCallTable">
    <w:name w:val="RollCallTable"/>
    <w:basedOn w:val="Normal"/>
    <w:rsid w:val="004B06CC"/>
    <w:pPr>
      <w:spacing w:before="120" w:after="120"/>
    </w:pPr>
    <w:rPr>
      <w:snapToGrid w:val="0"/>
      <w:sz w:val="16"/>
      <w:lang w:eastAsia="en-US"/>
    </w:rPr>
  </w:style>
  <w:style w:type="paragraph" w:customStyle="1" w:styleId="RollCallHeading">
    <w:name w:val="RollCallHeading"/>
    <w:basedOn w:val="Normal"/>
    <w:qFormat/>
    <w:rsid w:val="004B06CC"/>
    <w:pPr>
      <w:snapToGrid w:val="0"/>
      <w:spacing w:before="480" w:after="480"/>
      <w:jc w:val="center"/>
    </w:pPr>
    <w:rPr>
      <w:b/>
      <w:sz w:val="28"/>
      <w:lang w:eastAsia="en-US"/>
    </w:rPr>
  </w:style>
  <w:style w:type="paragraph" w:customStyle="1" w:styleId="Normal12">
    <w:name w:val="Normal12"/>
    <w:basedOn w:val="Normal"/>
    <w:qFormat/>
    <w:rsid w:val="004B06CC"/>
    <w:pPr>
      <w:snapToGrid w:val="0"/>
      <w:spacing w:after="240"/>
    </w:pPr>
    <w:rPr>
      <w:lang w:eastAsia="en-US"/>
    </w:rPr>
  </w:style>
  <w:style w:type="paragraph" w:customStyle="1" w:styleId="RollCallContents">
    <w:name w:val="RollCallContents"/>
    <w:basedOn w:val="Normal"/>
    <w:qFormat/>
    <w:rsid w:val="004B06CC"/>
    <w:pPr>
      <w:snapToGrid w:val="0"/>
      <w:spacing w:before="480" w:after="480"/>
      <w:jc w:val="center"/>
    </w:pPr>
    <w:rPr>
      <w:b/>
      <w:lang w:eastAsia="en-US"/>
    </w:rPr>
  </w:style>
  <w:style w:type="paragraph" w:customStyle="1" w:styleId="RollCallSubtitle">
    <w:name w:val="RollCallSubtitle"/>
    <w:basedOn w:val="Normal"/>
    <w:link w:val="RollCallSubtitleChar"/>
    <w:qFormat/>
    <w:rsid w:val="004B06CC"/>
    <w:pPr>
      <w:snapToGrid w:val="0"/>
      <w:spacing w:after="240"/>
    </w:pPr>
    <w:rPr>
      <w:lang w:eastAsia="en-US"/>
    </w:rPr>
  </w:style>
  <w:style w:type="paragraph" w:customStyle="1" w:styleId="NormalTabs">
    <w:name w:val="NormalTabs"/>
    <w:basedOn w:val="Normal"/>
    <w:qFormat/>
    <w:rsid w:val="004B06CC"/>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4B06CC"/>
    <w:rPr>
      <w:rFonts w:ascii="Arial" w:hAnsi="Arial" w:cs="Arial"/>
      <w:b/>
      <w:sz w:val="24"/>
      <w:lang w:val="sv-SE"/>
    </w:rPr>
  </w:style>
  <w:style w:type="character" w:customStyle="1" w:styleId="RollCallSubtitleChar">
    <w:name w:val="RollCallSubtitle Char"/>
    <w:basedOn w:val="DefaultParagraphFont"/>
    <w:link w:val="RollCallSubtitle"/>
    <w:rsid w:val="004B06CC"/>
    <w:rPr>
      <w:sz w:val="24"/>
      <w:lang w:val="sv-SE" w:eastAsia="en-US"/>
    </w:rPr>
  </w:style>
  <w:style w:type="character" w:customStyle="1" w:styleId="EPFooter2Char">
    <w:name w:val="EPFooter2 Char"/>
    <w:basedOn w:val="RollCallSubtitleChar"/>
    <w:link w:val="EPFooter2"/>
    <w:rsid w:val="004B06CC"/>
    <w:rPr>
      <w:rFonts w:ascii="Arial" w:hAnsi="Arial" w:cs="Arial"/>
      <w:b/>
      <w:sz w:val="48"/>
      <w:lang w:val="sv-SE" w:eastAsia="en-US"/>
    </w:rPr>
  </w:style>
  <w:style w:type="character" w:customStyle="1" w:styleId="EPFooterChar">
    <w:name w:val="EPFooter Char"/>
    <w:basedOn w:val="RollCallSubtitleChar"/>
    <w:link w:val="EPFooter"/>
    <w:rsid w:val="004B06CC"/>
    <w:rPr>
      <w:color w:val="010000"/>
      <w:sz w:val="22"/>
      <w:lang w:val="sv-SE" w:eastAsia="en-US"/>
    </w:rPr>
  </w:style>
  <w:style w:type="paragraph" w:customStyle="1" w:styleId="NormalBold0">
    <w:name w:val="Normal Bold"/>
    <w:basedOn w:val="Normal"/>
    <w:uiPriority w:val="99"/>
    <w:rsid w:val="004B06CC"/>
    <w:pPr>
      <w:snapToGrid w:val="0"/>
    </w:pPr>
    <w:rPr>
      <w:b/>
      <w:lang w:eastAsia="en-US"/>
    </w:rPr>
  </w:style>
  <w:style w:type="character" w:styleId="Hyperlink">
    <w:name w:val="Hyperlink"/>
    <w:basedOn w:val="DefaultParagraphFont"/>
    <w:uiPriority w:val="99"/>
    <w:unhideWhenUsed/>
    <w:rsid w:val="004B06CC"/>
    <w:rPr>
      <w:color w:val="0563C1" w:themeColor="hyperlink"/>
      <w:u w:val="single"/>
    </w:rPr>
  </w:style>
  <w:style w:type="character" w:styleId="FollowedHyperlink">
    <w:name w:val="FollowedHyperlink"/>
    <w:basedOn w:val="DefaultParagraphFont"/>
    <w:uiPriority w:val="99"/>
    <w:unhideWhenUsed/>
    <w:rsid w:val="004B06CC"/>
    <w:rPr>
      <w:color w:val="954F72" w:themeColor="followedHyperlink"/>
      <w:u w:val="single"/>
    </w:rPr>
  </w:style>
  <w:style w:type="paragraph" w:styleId="Footer">
    <w:name w:val="footer"/>
    <w:basedOn w:val="Normal"/>
    <w:link w:val="FooterChar"/>
    <w:uiPriority w:val="99"/>
    <w:unhideWhenUsed/>
    <w:rsid w:val="004B06CC"/>
    <w:pPr>
      <w:widowControl/>
      <w:tabs>
        <w:tab w:val="center" w:pos="4513"/>
        <w:tab w:val="right" w:pos="9026"/>
      </w:tabs>
    </w:pPr>
    <w:rPr>
      <w:rFonts w:asciiTheme="minorHAnsi" w:eastAsiaTheme="minorHAnsi" w:hAnsiTheme="minorHAnsi" w:cstheme="minorBidi"/>
      <w:kern w:val="2"/>
      <w:szCs w:val="24"/>
      <w:lang w:eastAsia="en-US"/>
      <w14:ligatures w14:val="standardContextual"/>
    </w:rPr>
  </w:style>
  <w:style w:type="character" w:customStyle="1" w:styleId="FooterChar">
    <w:name w:val="Footer Char"/>
    <w:basedOn w:val="DefaultParagraphFont"/>
    <w:link w:val="Footer"/>
    <w:uiPriority w:val="99"/>
    <w:rsid w:val="004B06CC"/>
    <w:rPr>
      <w:rFonts w:asciiTheme="minorHAnsi" w:eastAsiaTheme="minorHAnsi" w:hAnsiTheme="minorHAnsi" w:cstheme="minorBidi"/>
      <w:kern w:val="2"/>
      <w:sz w:val="24"/>
      <w:szCs w:val="24"/>
      <w:lang w:val="sv-SE" w:eastAsia="en-US"/>
      <w14:ligatures w14:val="standardContextual"/>
    </w:rPr>
  </w:style>
  <w:style w:type="numbering" w:customStyle="1" w:styleId="NoList2">
    <w:name w:val="No List2"/>
    <w:next w:val="NoList"/>
    <w:uiPriority w:val="99"/>
    <w:semiHidden/>
    <w:unhideWhenUsed/>
    <w:rsid w:val="004B06CC"/>
  </w:style>
  <w:style w:type="numbering" w:customStyle="1" w:styleId="NoList11">
    <w:name w:val="No List11"/>
    <w:next w:val="NoList"/>
    <w:uiPriority w:val="99"/>
    <w:semiHidden/>
    <w:unhideWhenUsed/>
    <w:rsid w:val="004B06CC"/>
  </w:style>
  <w:style w:type="paragraph" w:customStyle="1" w:styleId="ATHeaiding">
    <w:name w:val="AT Heaiding"/>
    <w:basedOn w:val="Normal"/>
    <w:qFormat/>
    <w:rsid w:val="00091EB7"/>
    <w:rPr>
      <w:b/>
    </w:rPr>
  </w:style>
  <w:style w:type="paragraph" w:customStyle="1" w:styleId="ATHeadin">
    <w:name w:val="AT Headin"/>
    <w:basedOn w:val="Normal"/>
    <w:qFormat/>
    <w:rsid w:val="00AB7ADA"/>
    <w:rPr>
      <w:b/>
    </w:rPr>
  </w:style>
  <w:style w:type="paragraph" w:customStyle="1" w:styleId="ATHeadng3">
    <w:name w:val="AT Headng 3"/>
    <w:basedOn w:val="Normal"/>
    <w:qFormat/>
    <w:rsid w:val="00353A6C"/>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5.xml"/><Relationship Id="rId21" Type="http://schemas.openxmlformats.org/officeDocument/2006/relationships/footer" Target="footer10.xml"/><Relationship Id="rId42" Type="http://schemas.openxmlformats.org/officeDocument/2006/relationships/footer" Target="footer31.xml"/><Relationship Id="rId47" Type="http://schemas.openxmlformats.org/officeDocument/2006/relationships/footer" Target="footer36.xml"/><Relationship Id="rId63" Type="http://schemas.openxmlformats.org/officeDocument/2006/relationships/footer" Target="footer52.xml"/><Relationship Id="rId68" Type="http://schemas.openxmlformats.org/officeDocument/2006/relationships/footer" Target="footer57.xml"/><Relationship Id="rId84" Type="http://schemas.openxmlformats.org/officeDocument/2006/relationships/footer" Target="footer70.xml"/><Relationship Id="rId16" Type="http://schemas.openxmlformats.org/officeDocument/2006/relationships/footer" Target="footer5.xml"/><Relationship Id="rId11" Type="http://schemas.openxmlformats.org/officeDocument/2006/relationships/footer" Target="footer1.xml"/><Relationship Id="rId32" Type="http://schemas.openxmlformats.org/officeDocument/2006/relationships/footer" Target="footer21.xml"/><Relationship Id="rId37" Type="http://schemas.openxmlformats.org/officeDocument/2006/relationships/footer" Target="footer26.xml"/><Relationship Id="rId53" Type="http://schemas.openxmlformats.org/officeDocument/2006/relationships/footer" Target="footer42.xml"/><Relationship Id="rId58" Type="http://schemas.openxmlformats.org/officeDocument/2006/relationships/footer" Target="footer47.xml"/><Relationship Id="rId74" Type="http://schemas.openxmlformats.org/officeDocument/2006/relationships/footer" Target="footer63.xml"/><Relationship Id="rId79" Type="http://schemas.openxmlformats.org/officeDocument/2006/relationships/header" Target="header4.xml"/><Relationship Id="rId5" Type="http://schemas.openxmlformats.org/officeDocument/2006/relationships/webSettings" Target="webSettings.xml"/><Relationship Id="rId19" Type="http://schemas.openxmlformats.org/officeDocument/2006/relationships/footer" Target="footer8.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32.xml"/><Relationship Id="rId48" Type="http://schemas.openxmlformats.org/officeDocument/2006/relationships/footer" Target="footer37.xml"/><Relationship Id="rId56" Type="http://schemas.openxmlformats.org/officeDocument/2006/relationships/footer" Target="footer45.xml"/><Relationship Id="rId64" Type="http://schemas.openxmlformats.org/officeDocument/2006/relationships/footer" Target="footer53.xml"/><Relationship Id="rId69" Type="http://schemas.openxmlformats.org/officeDocument/2006/relationships/footer" Target="footer58.xml"/><Relationship Id="rId77" Type="http://schemas.openxmlformats.org/officeDocument/2006/relationships/footer" Target="footer66.xml"/><Relationship Id="rId8" Type="http://schemas.openxmlformats.org/officeDocument/2006/relationships/image" Target="media/image1.png"/><Relationship Id="rId51" Type="http://schemas.openxmlformats.org/officeDocument/2006/relationships/footer" Target="footer40.xml"/><Relationship Id="rId72" Type="http://schemas.openxmlformats.org/officeDocument/2006/relationships/footer" Target="footer61.xml"/><Relationship Id="rId80" Type="http://schemas.openxmlformats.org/officeDocument/2006/relationships/header" Target="header5.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oter" Target="footer22.xml"/><Relationship Id="rId38" Type="http://schemas.openxmlformats.org/officeDocument/2006/relationships/footer" Target="footer27.xml"/><Relationship Id="rId46" Type="http://schemas.openxmlformats.org/officeDocument/2006/relationships/footer" Target="footer35.xml"/><Relationship Id="rId59" Type="http://schemas.openxmlformats.org/officeDocument/2006/relationships/footer" Target="footer48.xml"/><Relationship Id="rId67" Type="http://schemas.openxmlformats.org/officeDocument/2006/relationships/footer" Target="footer56.xml"/><Relationship Id="rId20" Type="http://schemas.openxmlformats.org/officeDocument/2006/relationships/footer" Target="footer9.xml"/><Relationship Id="rId41" Type="http://schemas.openxmlformats.org/officeDocument/2006/relationships/footer" Target="footer30.xml"/><Relationship Id="rId54" Type="http://schemas.openxmlformats.org/officeDocument/2006/relationships/footer" Target="footer43.xml"/><Relationship Id="rId62" Type="http://schemas.openxmlformats.org/officeDocument/2006/relationships/footer" Target="footer51.xml"/><Relationship Id="rId70" Type="http://schemas.openxmlformats.org/officeDocument/2006/relationships/footer" Target="footer59.xml"/><Relationship Id="rId75" Type="http://schemas.openxmlformats.org/officeDocument/2006/relationships/footer" Target="footer64.xml"/><Relationship Id="rId83"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footer" Target="footer25.xml"/><Relationship Id="rId49" Type="http://schemas.openxmlformats.org/officeDocument/2006/relationships/footer" Target="footer38.xml"/><Relationship Id="rId57" Type="http://schemas.openxmlformats.org/officeDocument/2006/relationships/footer" Target="footer46.xml"/><Relationship Id="rId10" Type="http://schemas.openxmlformats.org/officeDocument/2006/relationships/header" Target="header2.xml"/><Relationship Id="rId31" Type="http://schemas.openxmlformats.org/officeDocument/2006/relationships/footer" Target="footer20.xml"/><Relationship Id="rId44" Type="http://schemas.openxmlformats.org/officeDocument/2006/relationships/footer" Target="footer33.xml"/><Relationship Id="rId52" Type="http://schemas.openxmlformats.org/officeDocument/2006/relationships/footer" Target="footer41.xml"/><Relationship Id="rId60" Type="http://schemas.openxmlformats.org/officeDocument/2006/relationships/footer" Target="footer49.xml"/><Relationship Id="rId65" Type="http://schemas.openxmlformats.org/officeDocument/2006/relationships/footer" Target="footer54.xml"/><Relationship Id="rId73" Type="http://schemas.openxmlformats.org/officeDocument/2006/relationships/footer" Target="footer62.xml"/><Relationship Id="rId78" Type="http://schemas.openxmlformats.org/officeDocument/2006/relationships/footer" Target="footer67.xml"/><Relationship Id="rId81" Type="http://schemas.openxmlformats.org/officeDocument/2006/relationships/footer" Target="footer68.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7.xml"/><Relationship Id="rId39" Type="http://schemas.openxmlformats.org/officeDocument/2006/relationships/footer" Target="footer28.xml"/><Relationship Id="rId34" Type="http://schemas.openxmlformats.org/officeDocument/2006/relationships/footer" Target="footer23.xml"/><Relationship Id="rId50" Type="http://schemas.openxmlformats.org/officeDocument/2006/relationships/footer" Target="footer39.xml"/><Relationship Id="rId55" Type="http://schemas.openxmlformats.org/officeDocument/2006/relationships/footer" Target="footer44.xml"/><Relationship Id="rId76" Type="http://schemas.openxmlformats.org/officeDocument/2006/relationships/footer" Target="footer65.xml"/><Relationship Id="rId7" Type="http://schemas.openxmlformats.org/officeDocument/2006/relationships/endnotes" Target="endnotes.xml"/><Relationship Id="rId71" Type="http://schemas.openxmlformats.org/officeDocument/2006/relationships/footer" Target="footer60.xml"/><Relationship Id="rId2" Type="http://schemas.openxmlformats.org/officeDocument/2006/relationships/numbering" Target="numbering.xml"/><Relationship Id="rId29" Type="http://schemas.openxmlformats.org/officeDocument/2006/relationships/footer" Target="footer18.xml"/><Relationship Id="rId24" Type="http://schemas.openxmlformats.org/officeDocument/2006/relationships/footer" Target="footer13.xml"/><Relationship Id="rId40" Type="http://schemas.openxmlformats.org/officeDocument/2006/relationships/footer" Target="footer29.xml"/><Relationship Id="rId45" Type="http://schemas.openxmlformats.org/officeDocument/2006/relationships/footer" Target="footer34.xml"/><Relationship Id="rId66" Type="http://schemas.openxmlformats.org/officeDocument/2006/relationships/footer" Target="footer55.xml"/><Relationship Id="rId61" Type="http://schemas.openxmlformats.org/officeDocument/2006/relationships/footer" Target="footer50.xml"/><Relationship Id="rId82" Type="http://schemas.openxmlformats.org/officeDocument/2006/relationships/footer" Target="footer69.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174</Pages>
  <Words>45113</Words>
  <Characters>297629</Characters>
  <Application>Microsoft Office Word</Application>
  <DocSecurity>0</DocSecurity>
  <Lines>2480</Lines>
  <Paragraphs>684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2026-05-26T15:25:00Z</dcterms:created>
  <dcterms:modified xsi:type="dcterms:W3CDTF">2026-05-26T15:25:00Z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P10_TA(2026)0136_</vt:lpwstr>
  </property>
  <property fmtid="{D5CDD505-2E9C-101B-9397-08002B2CF9AE}" pid="4" name="&lt;Type&gt;">
    <vt:lpwstr>RR</vt:lpwstr>
  </property>
</Properties>
</file>