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07AD" w14:paraId="5D61E7BA" w14:textId="77777777" w:rsidTr="0010095E">
        <w:trPr>
          <w:trHeight w:hRule="exact" w:val="1418"/>
        </w:trPr>
        <w:tc>
          <w:tcPr>
            <w:tcW w:w="6804" w:type="dxa"/>
            <w:shd w:val="clear" w:color="auto" w:fill="auto"/>
            <w:vAlign w:val="center"/>
          </w:tcPr>
          <w:p w14:paraId="7E8EBF5D" w14:textId="77777777" w:rsidR="00751A4A" w:rsidRPr="007607AD" w:rsidRDefault="0074496B" w:rsidP="0010095E">
            <w:pPr>
              <w:pStyle w:val="EPName"/>
            </w:pPr>
            <w:r w:rsidRPr="007607AD">
              <w:t>Evropski parlament</w:t>
            </w:r>
          </w:p>
          <w:p w14:paraId="455049D9" w14:textId="77777777" w:rsidR="00751A4A" w:rsidRPr="007607AD" w:rsidRDefault="005F1B17" w:rsidP="005F1B17">
            <w:pPr>
              <w:pStyle w:val="EPTerm"/>
              <w:rPr>
                <w:rStyle w:val="HideTWBExt"/>
                <w:noProof w:val="0"/>
                <w:vanish w:val="0"/>
                <w:color w:val="auto"/>
              </w:rPr>
            </w:pPr>
            <w:r w:rsidRPr="007607AD">
              <w:t>2024</w:t>
            </w:r>
            <w:r w:rsidR="00817416" w:rsidRPr="007607AD">
              <w:t>-202</w:t>
            </w:r>
            <w:r w:rsidRPr="007607AD">
              <w:t>9</w:t>
            </w:r>
          </w:p>
        </w:tc>
        <w:tc>
          <w:tcPr>
            <w:tcW w:w="2268" w:type="dxa"/>
            <w:shd w:val="clear" w:color="auto" w:fill="auto"/>
          </w:tcPr>
          <w:p w14:paraId="342DD570" w14:textId="77777777" w:rsidR="00751A4A" w:rsidRPr="007607AD" w:rsidRDefault="00187494" w:rsidP="0010095E">
            <w:pPr>
              <w:pStyle w:val="EPLogo"/>
            </w:pPr>
            <w:r w:rsidRPr="007607AD">
              <w:rPr>
                <w:noProof/>
                <w:lang w:eastAsia="ja-JP"/>
              </w:rPr>
              <w:drawing>
                <wp:inline distT="0" distB="0" distL="0" distR="0" wp14:anchorId="15CB13A2" wp14:editId="2ABCF8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03B3B3" w14:textId="77777777" w:rsidR="00D058B8" w:rsidRPr="007607AD" w:rsidRDefault="00D058B8" w:rsidP="004C5D52">
      <w:pPr>
        <w:pStyle w:val="LineTop"/>
      </w:pPr>
    </w:p>
    <w:p w14:paraId="7911876E" w14:textId="77777777" w:rsidR="00680577" w:rsidRPr="007607AD" w:rsidRDefault="0074496B" w:rsidP="00680577">
      <w:pPr>
        <w:pStyle w:val="EPBodyTA1"/>
      </w:pPr>
      <w:r w:rsidRPr="007607AD">
        <w:t>SPREJETA BESEDILA</w:t>
      </w:r>
    </w:p>
    <w:p w14:paraId="30858A03" w14:textId="77777777" w:rsidR="00D058B8" w:rsidRPr="007607AD" w:rsidRDefault="00D058B8" w:rsidP="00D058B8">
      <w:pPr>
        <w:pStyle w:val="LineBottom"/>
      </w:pPr>
    </w:p>
    <w:p w14:paraId="0E0C6318" w14:textId="6232E911" w:rsidR="0074496B" w:rsidRPr="007607AD" w:rsidRDefault="0074496B" w:rsidP="0074496B">
      <w:pPr>
        <w:pStyle w:val="ATHeading1"/>
      </w:pPr>
      <w:bookmarkStart w:id="0" w:name="TANumber"/>
      <w:r w:rsidRPr="007607AD">
        <w:t>P10_TA(2026)0</w:t>
      </w:r>
      <w:r w:rsidR="00B305D3">
        <w:t>137</w:t>
      </w:r>
      <w:bookmarkEnd w:id="0"/>
    </w:p>
    <w:p w14:paraId="0C424692" w14:textId="77777777" w:rsidR="0074496B" w:rsidRPr="007607AD" w:rsidRDefault="0074496B" w:rsidP="0074496B">
      <w:pPr>
        <w:pStyle w:val="ATHeading2"/>
      </w:pPr>
      <w:bookmarkStart w:id="1" w:name="title"/>
      <w:r w:rsidRPr="007607AD">
        <w:t>Razrešnica za leto 2024: skupna podjetja</w:t>
      </w:r>
      <w:bookmarkEnd w:id="1"/>
    </w:p>
    <w:p w14:paraId="659A0104" w14:textId="77777777" w:rsidR="0074496B" w:rsidRPr="007607AD" w:rsidRDefault="0074496B" w:rsidP="0074496B">
      <w:pPr>
        <w:rPr>
          <w:i/>
          <w:vanish/>
        </w:rPr>
      </w:pPr>
      <w:r w:rsidRPr="007607AD">
        <w:rPr>
          <w:i/>
        </w:rPr>
        <w:fldChar w:fldCharType="begin"/>
      </w:r>
      <w:r w:rsidRPr="007607AD">
        <w:rPr>
          <w:i/>
        </w:rPr>
        <w:instrText xml:space="preserve"> TC"(</w:instrText>
      </w:r>
      <w:bookmarkStart w:id="2" w:name="DocNumber"/>
      <w:r w:rsidRPr="007607AD">
        <w:rPr>
          <w:i/>
        </w:rPr>
        <w:instrText>A10-0046/2026</w:instrText>
      </w:r>
      <w:bookmarkEnd w:id="2"/>
      <w:r w:rsidRPr="007607AD">
        <w:rPr>
          <w:i/>
        </w:rPr>
        <w:instrText xml:space="preserve"> - Poročevalec: </w:instrText>
      </w:r>
      <w:proofErr w:type="spellStart"/>
      <w:r w:rsidRPr="007607AD">
        <w:rPr>
          <w:i/>
        </w:rPr>
        <w:instrText>Csaba</w:instrText>
      </w:r>
      <w:proofErr w:type="spellEnd"/>
      <w:r w:rsidRPr="007607AD">
        <w:rPr>
          <w:i/>
        </w:rPr>
        <w:instrText xml:space="preserve"> Molnár)"\l3 \n&gt; \* MERGEFORMAT </w:instrText>
      </w:r>
      <w:r w:rsidRPr="007607AD">
        <w:rPr>
          <w:i/>
        </w:rPr>
        <w:fldChar w:fldCharType="end"/>
      </w:r>
    </w:p>
    <w:p w14:paraId="6025D636" w14:textId="77777777" w:rsidR="0074496B" w:rsidRPr="007607AD" w:rsidRDefault="0074496B" w:rsidP="0074496B">
      <w:pPr>
        <w:rPr>
          <w:vanish/>
        </w:rPr>
      </w:pPr>
      <w:bookmarkStart w:id="3" w:name="Commission"/>
      <w:r w:rsidRPr="007607AD">
        <w:rPr>
          <w:vanish/>
        </w:rPr>
        <w:t>Odbor za proračunski nadzor</w:t>
      </w:r>
      <w:bookmarkEnd w:id="3"/>
    </w:p>
    <w:p w14:paraId="2697B4B4" w14:textId="77777777" w:rsidR="0074496B" w:rsidRPr="007607AD" w:rsidRDefault="0074496B" w:rsidP="0074496B">
      <w:pPr>
        <w:rPr>
          <w:vanish/>
        </w:rPr>
      </w:pPr>
      <w:bookmarkStart w:id="4" w:name="PE"/>
      <w:r w:rsidRPr="007607AD">
        <w:rPr>
          <w:vanish/>
        </w:rPr>
        <w:t>PE778.122</w:t>
      </w:r>
      <w:bookmarkEnd w:id="4"/>
    </w:p>
    <w:p w14:paraId="24FC2420" w14:textId="1D650B63" w:rsidR="0074496B" w:rsidRPr="007607AD" w:rsidRDefault="00CC41B0" w:rsidP="0074496B">
      <w:pPr>
        <w:pStyle w:val="ATHeading3"/>
      </w:pPr>
      <w:bookmarkStart w:id="5" w:name="Sujet"/>
      <w:r w:rsidRPr="007607AD">
        <w:t xml:space="preserve">1. </w:t>
      </w:r>
      <w:r w:rsidR="0074496B" w:rsidRPr="007607AD">
        <w:t xml:space="preserve">Sklep Evropskega parlamenta z dne </w:t>
      </w:r>
      <w:r w:rsidR="00297409" w:rsidRPr="007607AD">
        <w:t>29. aprila</w:t>
      </w:r>
      <w:r w:rsidR="0074496B" w:rsidRPr="007607AD">
        <w:t xml:space="preserve"> 2026 o razrešnici glede izvrševanja proračuna </w:t>
      </w:r>
      <w:r w:rsidR="007607AD" w:rsidRPr="007607AD">
        <w:t xml:space="preserve">Skupnega podjetja za čisto letalstvo </w:t>
      </w:r>
      <w:r w:rsidR="0074496B" w:rsidRPr="007607AD">
        <w:t>za proračunsko leto 2024</w:t>
      </w:r>
      <w:bookmarkEnd w:id="5"/>
      <w:r w:rsidR="0074496B" w:rsidRPr="007607AD">
        <w:t xml:space="preserve"> </w:t>
      </w:r>
      <w:bookmarkStart w:id="6" w:name="References"/>
      <w:r w:rsidR="0074496B" w:rsidRPr="007607AD">
        <w:t>(2025/2157(DEC))</w:t>
      </w:r>
      <w:bookmarkEnd w:id="6"/>
    </w:p>
    <w:p w14:paraId="5E8A0913" w14:textId="77777777" w:rsidR="00621D46" w:rsidRPr="007607AD" w:rsidRDefault="00621D46" w:rsidP="00621D46">
      <w:pPr>
        <w:pStyle w:val="EPComma"/>
      </w:pPr>
      <w:bookmarkStart w:id="7" w:name="TextBodyBegin"/>
      <w:bookmarkEnd w:id="7"/>
      <w:r w:rsidRPr="007607AD">
        <w:rPr>
          <w:i/>
          <w:iCs/>
        </w:rPr>
        <w:t>Evropski parlament</w:t>
      </w:r>
      <w:r w:rsidRPr="007607AD">
        <w:t>,</w:t>
      </w:r>
    </w:p>
    <w:p w14:paraId="708B164F" w14:textId="77777777" w:rsidR="00621D46" w:rsidRPr="007607AD" w:rsidRDefault="00621D46" w:rsidP="00621D46">
      <w:pPr>
        <w:pStyle w:val="NormalHanging12a"/>
      </w:pPr>
      <w:r w:rsidRPr="007607AD">
        <w:t>–</w:t>
      </w:r>
      <w:r w:rsidRPr="007607AD">
        <w:tab/>
        <w:t>ob upoštevanju končnega zaključnega računa Skupnega podjetja za čisto letalstvo za proračunsko leto 2024,</w:t>
      </w:r>
    </w:p>
    <w:p w14:paraId="22E3D0EF"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1"/>
      </w:r>
      <w:r w:rsidRPr="007607AD">
        <w:t>,</w:t>
      </w:r>
    </w:p>
    <w:p w14:paraId="18D31A99"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2"/>
      </w:r>
      <w:r w:rsidRPr="007607AD">
        <w:t xml:space="preserve"> računovodskih izkazov ter zakonitosti in pravilnosti z njimi povezanih transakcij, ki jo je za proračunsko leto 2024 v skladu s členom 287 Pogodbe o delovanju Evropske unije pripravilo Računsko sodišče,</w:t>
      </w:r>
    </w:p>
    <w:p w14:paraId="75B014C7"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7F1A1525" w14:textId="77777777" w:rsidR="00621D46" w:rsidRPr="007607AD" w:rsidRDefault="00621D46" w:rsidP="00621D46">
      <w:pPr>
        <w:pStyle w:val="NormalHanging12a"/>
      </w:pPr>
      <w:r w:rsidRPr="007607AD">
        <w:t>–</w:t>
      </w:r>
      <w:r w:rsidRPr="007607AD">
        <w:tab/>
        <w:t>ob upoštevanju člena 319 Pogodbe o delovanju Evropske unije,</w:t>
      </w:r>
    </w:p>
    <w:p w14:paraId="26AA1A37"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3"/>
      </w:r>
      <w:r w:rsidRPr="007607AD">
        <w:t xml:space="preserve"> in zlasti člena 71,</w:t>
      </w:r>
    </w:p>
    <w:p w14:paraId="66BC6780" w14:textId="3530C768" w:rsidR="00621D46" w:rsidRPr="007607AD" w:rsidRDefault="00621D46" w:rsidP="00621D46">
      <w:pPr>
        <w:pStyle w:val="NormalHanging12a"/>
      </w:pPr>
      <w:r w:rsidRPr="007607AD">
        <w:t>–</w:t>
      </w:r>
      <w:r w:rsidRPr="007607AD">
        <w:tab/>
        <w:t xml:space="preserve">ob upoštevanju Uredbe (EU, Euratom) 2024/2509 Evropskega parlamenta in Sveta z dne 23. septembra 2024 o finančnih pravilih, ki se uporabljajo za splošni proračun </w:t>
      </w:r>
      <w:r w:rsidRPr="007607AD">
        <w:lastRenderedPageBreak/>
        <w:t>Unije</w:t>
      </w:r>
      <w:r w:rsidRPr="007607AD">
        <w:rPr>
          <w:rStyle w:val="FootnoteReference"/>
        </w:rPr>
        <w:footnoteReference w:id="4"/>
      </w:r>
      <w:r w:rsidRPr="007607AD">
        <w:t xml:space="preserve">, </w:t>
      </w:r>
      <w:r w:rsidR="007607AD">
        <w:t xml:space="preserve">in </w:t>
      </w:r>
      <w:r w:rsidRPr="007607AD">
        <w:t>zlasti člena 71,</w:t>
      </w:r>
    </w:p>
    <w:p w14:paraId="64DB8A31"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5"/>
      </w:r>
      <w:r w:rsidRPr="007607AD">
        <w:t xml:space="preserve"> in zlasti člena 26,</w:t>
      </w:r>
    </w:p>
    <w:p w14:paraId="55515AD5"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6"/>
      </w:r>
      <w:r w:rsidRPr="007607AD">
        <w:t>,</w:t>
      </w:r>
    </w:p>
    <w:p w14:paraId="2D167FD6" w14:textId="77777777" w:rsidR="00621D46" w:rsidRPr="007607AD" w:rsidRDefault="00621D46" w:rsidP="00621D46">
      <w:pPr>
        <w:pStyle w:val="NormalHanging12a"/>
      </w:pPr>
      <w:r w:rsidRPr="007607AD">
        <w:t>–</w:t>
      </w:r>
      <w:r w:rsidRPr="007607AD">
        <w:tab/>
        <w:t>ob upoštevanju člena 102 in Priloge V Poslovnika,</w:t>
      </w:r>
    </w:p>
    <w:p w14:paraId="53330224" w14:textId="77777777" w:rsidR="00621D46" w:rsidRPr="007607AD" w:rsidRDefault="00621D46" w:rsidP="00621D46">
      <w:pPr>
        <w:pStyle w:val="NormalHanging12a"/>
      </w:pPr>
      <w:r w:rsidRPr="007607AD">
        <w:t>–</w:t>
      </w:r>
      <w:r w:rsidRPr="007607AD">
        <w:tab/>
        <w:t>ob upoštevanju mnenja Odbora za promet in turizem,</w:t>
      </w:r>
    </w:p>
    <w:p w14:paraId="66E61144"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23315704" w14:textId="77777777" w:rsidR="00621D46" w:rsidRPr="007607AD" w:rsidRDefault="00621D46" w:rsidP="00621D46">
      <w:pPr>
        <w:pStyle w:val="NormalHanging12a"/>
      </w:pPr>
      <w:r w:rsidRPr="007607AD">
        <w:t>1.</w:t>
      </w:r>
      <w:r w:rsidRPr="007607AD">
        <w:tab/>
        <w:t>podeli razrešnico izvršnemu direktorju Skupnega podjetja za čisto letalstvo glede izvrševanja proračuna skupnega podjetja za proračunsko leto 2024;</w:t>
      </w:r>
    </w:p>
    <w:p w14:paraId="36E3EADA" w14:textId="77777777" w:rsidR="00621D46" w:rsidRPr="007607AD" w:rsidRDefault="00621D46" w:rsidP="00621D46">
      <w:pPr>
        <w:pStyle w:val="NormalHanging12a"/>
      </w:pPr>
      <w:r w:rsidRPr="007607AD">
        <w:t>2.</w:t>
      </w:r>
      <w:r w:rsidRPr="007607AD">
        <w:tab/>
        <w:t>navaja svoje pripombe v spodnji resoluciji;</w:t>
      </w:r>
    </w:p>
    <w:p w14:paraId="60B58216"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izvršnemu direktorju Skupnega podjetja za čisto letalstvo, Svetu, Komisiji in Računskemu sodišču ter poskrbi za objavo v </w:t>
      </w:r>
      <w:r w:rsidRPr="007607AD">
        <w:rPr>
          <w:i/>
          <w:iCs/>
        </w:rPr>
        <w:t>Uradnem listu Evropske unije</w:t>
      </w:r>
      <w:r w:rsidRPr="007607AD">
        <w:t xml:space="preserve"> (serija L).</w:t>
      </w:r>
    </w:p>
    <w:p w14:paraId="2E4C7E7A" w14:textId="77777777" w:rsidR="00621D46" w:rsidRPr="007607AD" w:rsidRDefault="00621D46" w:rsidP="00621D46"/>
    <w:p w14:paraId="479CEB28" w14:textId="77777777" w:rsidR="00621D46" w:rsidRPr="007607AD" w:rsidRDefault="00621D46" w:rsidP="00621D46">
      <w:pPr>
        <w:pStyle w:val="PageHeading"/>
        <w:sectPr w:rsidR="00621D46" w:rsidRPr="007607AD" w:rsidSect="00783D9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325058" w14:textId="77777777" w:rsidR="00CC41B0" w:rsidRPr="007607AD" w:rsidRDefault="00CC41B0" w:rsidP="00CC41B0">
      <w:pPr>
        <w:pStyle w:val="ATHeading3"/>
      </w:pPr>
      <w:r w:rsidRPr="007607AD">
        <w:lastRenderedPageBreak/>
        <w:t>2. Sklep Evropskega parlamenta z dne 29. aprila 2026 o zaključnem računu Skupnega podjetja za čisto letalstvo za proračunsko leto 2024 (2025/2157(DEC))</w:t>
      </w:r>
    </w:p>
    <w:p w14:paraId="3397FDEE" w14:textId="77777777" w:rsidR="00621D46" w:rsidRPr="007607AD" w:rsidRDefault="00621D46" w:rsidP="00621D46">
      <w:pPr>
        <w:pStyle w:val="EPComma"/>
      </w:pPr>
      <w:r w:rsidRPr="007607AD">
        <w:rPr>
          <w:i/>
          <w:iCs/>
        </w:rPr>
        <w:t>Evropski parlament</w:t>
      </w:r>
      <w:r w:rsidRPr="007607AD">
        <w:t>,</w:t>
      </w:r>
    </w:p>
    <w:p w14:paraId="68F57338" w14:textId="77777777" w:rsidR="00621D46" w:rsidRPr="007607AD" w:rsidRDefault="00621D46" w:rsidP="00621D46">
      <w:pPr>
        <w:pStyle w:val="NormalHanging12a"/>
      </w:pPr>
      <w:r w:rsidRPr="007607AD">
        <w:t>–</w:t>
      </w:r>
      <w:r w:rsidRPr="007607AD">
        <w:tab/>
        <w:t>ob upoštevanju končnega zaključnega računa Skupnega podjetja za čisto letalstvo za proračunsko leto 2024,</w:t>
      </w:r>
    </w:p>
    <w:p w14:paraId="2B520A6E"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7"/>
      </w:r>
      <w:r w:rsidRPr="007607AD">
        <w:t>,</w:t>
      </w:r>
    </w:p>
    <w:p w14:paraId="0566E4B2"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8"/>
      </w:r>
      <w:r w:rsidRPr="007607AD">
        <w:t xml:space="preserve"> računovodskih izkazov ter zakonitosti in pravilnosti z njimi povezanih transakcij, ki jo je za proračunsko leto 2024 v skladu s členom 287 Pogodbe o delovanju Evropske unije pripravilo Računsko sodišče,</w:t>
      </w:r>
    </w:p>
    <w:p w14:paraId="5760461F"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236EFBB7" w14:textId="77777777" w:rsidR="00621D46" w:rsidRPr="007607AD" w:rsidRDefault="00621D46" w:rsidP="00621D46">
      <w:pPr>
        <w:pStyle w:val="NormalHanging12a"/>
      </w:pPr>
      <w:r w:rsidRPr="007607AD">
        <w:t>–</w:t>
      </w:r>
      <w:r w:rsidRPr="007607AD">
        <w:tab/>
        <w:t>ob upoštevanju člena 319 Pogodbe o delovanju Evropske unije,</w:t>
      </w:r>
    </w:p>
    <w:p w14:paraId="73BB56E5"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9"/>
      </w:r>
      <w:r w:rsidRPr="007607AD">
        <w:t xml:space="preserve"> in zlasti člena 71,</w:t>
      </w:r>
    </w:p>
    <w:p w14:paraId="750190F7" w14:textId="00A152E3"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10"/>
      </w:r>
      <w:r w:rsidRPr="007607AD">
        <w:t xml:space="preserve">, </w:t>
      </w:r>
      <w:r w:rsidR="007607AD">
        <w:t xml:space="preserve">in </w:t>
      </w:r>
      <w:r w:rsidRPr="007607AD">
        <w:t>zlasti člena 71,</w:t>
      </w:r>
    </w:p>
    <w:p w14:paraId="582344A5"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11"/>
      </w:r>
      <w:r w:rsidRPr="007607AD">
        <w:t xml:space="preserve"> in zlasti člena 26,</w:t>
      </w:r>
    </w:p>
    <w:p w14:paraId="5C0D63F4"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12"/>
      </w:r>
      <w:r w:rsidRPr="007607AD">
        <w:t>,</w:t>
      </w:r>
    </w:p>
    <w:p w14:paraId="08C064B5" w14:textId="77777777" w:rsidR="00621D46" w:rsidRPr="007607AD" w:rsidRDefault="00621D46" w:rsidP="00621D46">
      <w:pPr>
        <w:pStyle w:val="NormalHanging12a"/>
      </w:pPr>
      <w:r w:rsidRPr="007607AD">
        <w:t>–</w:t>
      </w:r>
      <w:r w:rsidRPr="007607AD">
        <w:tab/>
        <w:t>ob upoštevanju člena 102 in Priloge V Poslovnika,</w:t>
      </w:r>
    </w:p>
    <w:p w14:paraId="57E417CB" w14:textId="77777777" w:rsidR="00621D46" w:rsidRPr="007607AD" w:rsidRDefault="00621D46" w:rsidP="00621D46">
      <w:pPr>
        <w:pStyle w:val="NormalHanging12a"/>
      </w:pPr>
      <w:r w:rsidRPr="007607AD">
        <w:t>–</w:t>
      </w:r>
      <w:r w:rsidRPr="007607AD">
        <w:tab/>
        <w:t>ob upoštevanju mnenja Odbora za promet in turizem,</w:t>
      </w:r>
    </w:p>
    <w:p w14:paraId="6471AEBF" w14:textId="77777777" w:rsidR="00621D46" w:rsidRPr="007607AD" w:rsidRDefault="00621D46" w:rsidP="00621D46">
      <w:pPr>
        <w:pStyle w:val="NormalHanging12a"/>
      </w:pPr>
      <w:r w:rsidRPr="007607AD">
        <w:lastRenderedPageBreak/>
        <w:t>–</w:t>
      </w:r>
      <w:r w:rsidRPr="007607AD">
        <w:tab/>
        <w:t>ob upoštevanju poročila Odbora za proračunski nadzor (A10</w:t>
      </w:r>
      <w:r w:rsidRPr="007607AD">
        <w:noBreakHyphen/>
        <w:t>0046/2026),</w:t>
      </w:r>
    </w:p>
    <w:p w14:paraId="7849B3B8" w14:textId="77777777" w:rsidR="00621D46" w:rsidRPr="007607AD" w:rsidRDefault="00621D46" w:rsidP="00621D46">
      <w:pPr>
        <w:pStyle w:val="NormalHanging12a"/>
      </w:pPr>
      <w:r w:rsidRPr="007607AD">
        <w:t>1.</w:t>
      </w:r>
      <w:r w:rsidRPr="007607AD">
        <w:tab/>
        <w:t>odobri zaključni račun Skupnega podjetja za čisto letalstvo za proračunsko leto 2024;</w:t>
      </w:r>
    </w:p>
    <w:p w14:paraId="3E808DFC" w14:textId="77777777" w:rsidR="00621D46" w:rsidRPr="007607AD" w:rsidRDefault="00621D46" w:rsidP="00621D46">
      <w:pPr>
        <w:pStyle w:val="NormalHanging12a"/>
      </w:pPr>
      <w:r w:rsidRPr="007607AD">
        <w:t>2.</w:t>
      </w:r>
      <w:r w:rsidRPr="007607AD">
        <w:tab/>
        <w:t xml:space="preserve">naroči svoji predsednici, naj ta sklep posreduje izvršnemu direktorju Skupnega podjetja za čisto letalstvo, Svetu, Komisiji in Računskemu sodišču ter poskrbi za objavo v </w:t>
      </w:r>
      <w:r w:rsidRPr="007607AD">
        <w:rPr>
          <w:i/>
          <w:iCs/>
        </w:rPr>
        <w:t>Uradnem listu Evropske unije</w:t>
      </w:r>
      <w:r w:rsidRPr="007607AD">
        <w:t xml:space="preserve"> (serija L).</w:t>
      </w:r>
    </w:p>
    <w:p w14:paraId="587C00F8" w14:textId="77777777" w:rsidR="00621D46" w:rsidRPr="007607AD" w:rsidRDefault="00621D46" w:rsidP="00621D46">
      <w:pPr>
        <w:pStyle w:val="PageHeadingNotTOC"/>
        <w:rPr>
          <w:rFonts w:ascii="Times New Roman" w:hAnsi="Times New Roman" w:cs="Times New Roman"/>
          <w:b w:val="0"/>
          <w:bCs/>
        </w:rPr>
      </w:pPr>
    </w:p>
    <w:p w14:paraId="283E147E" w14:textId="77777777" w:rsidR="00621D46" w:rsidRPr="007607AD" w:rsidRDefault="00621D46" w:rsidP="00621D46">
      <w:pPr>
        <w:pStyle w:val="PageHeadingNotTOC"/>
        <w:sectPr w:rsidR="00621D46" w:rsidRPr="007607AD" w:rsidSect="00783D9F">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07A240" w14:textId="77777777" w:rsidR="00CC41B0" w:rsidRPr="007607AD" w:rsidRDefault="00CC41B0" w:rsidP="00CC41B0">
      <w:pPr>
        <w:pStyle w:val="ATHeading3"/>
      </w:pPr>
      <w:r w:rsidRPr="007607AD">
        <w:lastRenderedPageBreak/>
        <w:t>3. Sklep Evropskega parlamenta z dne 29. aprila 2026 o razrešnici glede izvrševanja proračuna Skupnega podjetja za krožno Evropo na biološki osnovi za proračunsko leto 2024 (2025/2157(DEC))</w:t>
      </w:r>
    </w:p>
    <w:p w14:paraId="04CA5A1D" w14:textId="77777777" w:rsidR="00621D46" w:rsidRPr="007607AD" w:rsidRDefault="00621D46" w:rsidP="00621D46">
      <w:pPr>
        <w:pStyle w:val="EPComma"/>
      </w:pPr>
      <w:r w:rsidRPr="007607AD">
        <w:rPr>
          <w:i/>
          <w:iCs/>
        </w:rPr>
        <w:t>Evropski parlament</w:t>
      </w:r>
      <w:r w:rsidRPr="007607AD">
        <w:t>,</w:t>
      </w:r>
    </w:p>
    <w:p w14:paraId="61EFB35F" w14:textId="77777777" w:rsidR="00621D46" w:rsidRPr="007607AD" w:rsidRDefault="00621D46" w:rsidP="00621D46">
      <w:pPr>
        <w:pStyle w:val="NormalHanging12a"/>
      </w:pPr>
      <w:r w:rsidRPr="007607AD">
        <w:t>–</w:t>
      </w:r>
      <w:r w:rsidRPr="007607AD">
        <w:tab/>
        <w:t>ob upoštevanju končnega zaključnega računa Skupnega podjetja za krožno Evropo na biološki osnovi za proračunsko leto 2024,</w:t>
      </w:r>
    </w:p>
    <w:p w14:paraId="43C11D20"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13"/>
      </w:r>
      <w:r w:rsidRPr="007607AD">
        <w:t>,</w:t>
      </w:r>
    </w:p>
    <w:p w14:paraId="628737C1"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14"/>
      </w:r>
      <w:r w:rsidRPr="007607AD">
        <w:t xml:space="preserve"> računovodskih izkazov ter zakonitosti in pravilnosti z njimi povezanih transakcij, ki jo je za proračunsko leto 2024 v skladu s členom 287 Pogodbe o delovanju Evropske unije pripravilo Računsko sodišče,</w:t>
      </w:r>
    </w:p>
    <w:p w14:paraId="7872CCDD"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672A2DBF" w14:textId="77777777" w:rsidR="00621D46" w:rsidRPr="007607AD" w:rsidRDefault="00621D46" w:rsidP="00621D46">
      <w:pPr>
        <w:pStyle w:val="NormalHanging12a"/>
      </w:pPr>
      <w:r w:rsidRPr="007607AD">
        <w:t>–</w:t>
      </w:r>
      <w:r w:rsidRPr="007607AD">
        <w:tab/>
        <w:t>ob upoštevanju člena 319 Pogodbe o delovanju Evropske unije,</w:t>
      </w:r>
    </w:p>
    <w:p w14:paraId="5829F524"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15"/>
      </w:r>
      <w:r w:rsidRPr="007607AD">
        <w:t xml:space="preserve"> in zlasti člena 71,</w:t>
      </w:r>
    </w:p>
    <w:p w14:paraId="5CAE507A" w14:textId="317EC4F8"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16"/>
      </w:r>
      <w:r w:rsidRPr="007607AD">
        <w:t xml:space="preserve">, </w:t>
      </w:r>
      <w:r w:rsidR="007607AD">
        <w:t xml:space="preserve">in </w:t>
      </w:r>
      <w:r w:rsidRPr="007607AD">
        <w:t>zlasti člena 71,</w:t>
      </w:r>
    </w:p>
    <w:p w14:paraId="26522F77"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17"/>
      </w:r>
      <w:r w:rsidRPr="007607AD">
        <w:t xml:space="preserve"> in zlasti člena 26,</w:t>
      </w:r>
    </w:p>
    <w:p w14:paraId="39F3A539"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18"/>
      </w:r>
      <w:r w:rsidRPr="007607AD">
        <w:t>,</w:t>
      </w:r>
    </w:p>
    <w:p w14:paraId="53165000" w14:textId="77777777" w:rsidR="00621D46" w:rsidRPr="007607AD" w:rsidRDefault="00621D46" w:rsidP="00621D46">
      <w:pPr>
        <w:pStyle w:val="NormalHanging12a"/>
      </w:pPr>
      <w:r w:rsidRPr="007607AD">
        <w:t>–</w:t>
      </w:r>
      <w:r w:rsidRPr="007607AD">
        <w:tab/>
        <w:t>ob upoštevanju člena 102 in Priloge V Poslovnika,</w:t>
      </w:r>
    </w:p>
    <w:p w14:paraId="1A07F71B" w14:textId="77777777" w:rsidR="00621D46" w:rsidRPr="007607AD" w:rsidRDefault="00621D46" w:rsidP="00621D46">
      <w:pPr>
        <w:pStyle w:val="NormalHanging12a"/>
      </w:pPr>
      <w:r w:rsidRPr="007607AD">
        <w:lastRenderedPageBreak/>
        <w:t>–</w:t>
      </w:r>
      <w:r w:rsidRPr="007607AD">
        <w:tab/>
        <w:t>ob upoštevanju poročila Odbora za proračunski nadzor (A10</w:t>
      </w:r>
      <w:r w:rsidRPr="007607AD">
        <w:noBreakHyphen/>
        <w:t>0046/2026),</w:t>
      </w:r>
    </w:p>
    <w:p w14:paraId="3E9F77E3" w14:textId="77777777" w:rsidR="00621D46" w:rsidRPr="007607AD" w:rsidRDefault="00621D46" w:rsidP="00621D46">
      <w:pPr>
        <w:pStyle w:val="NormalHanging12a"/>
      </w:pPr>
      <w:r w:rsidRPr="007607AD">
        <w:t>1.</w:t>
      </w:r>
      <w:r w:rsidRPr="007607AD">
        <w:tab/>
        <w:t>podeli razrešnico izvršnemu direktorju Skupnega podjetja za krožno Evropo na biološki osnovi glede izvrševanja proračuna skupnega podjetja za proračunsko leto 2024;</w:t>
      </w:r>
    </w:p>
    <w:p w14:paraId="06C71855" w14:textId="77777777" w:rsidR="00621D46" w:rsidRPr="007607AD" w:rsidRDefault="00621D46" w:rsidP="00621D46">
      <w:pPr>
        <w:pStyle w:val="NormalHanging12a"/>
      </w:pPr>
      <w:r w:rsidRPr="007607AD">
        <w:t>2.</w:t>
      </w:r>
      <w:r w:rsidRPr="007607AD">
        <w:tab/>
        <w:t>navaja svoje pripombe v spodnji resoluciji;</w:t>
      </w:r>
    </w:p>
    <w:p w14:paraId="1EFD38B1"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izvršnemu direktorju Skupnega podjetja za krožno Evropo na biološki osnovi, Svetu, Komisiji in Računskemu sodišču ter poskrbi za objavo v </w:t>
      </w:r>
      <w:r w:rsidRPr="007607AD">
        <w:rPr>
          <w:i/>
          <w:iCs/>
        </w:rPr>
        <w:t>Uradnem listu Evropske unije</w:t>
      </w:r>
      <w:r w:rsidRPr="007607AD">
        <w:t xml:space="preserve"> (serija L).</w:t>
      </w:r>
    </w:p>
    <w:p w14:paraId="7374A089" w14:textId="77777777" w:rsidR="00621D46" w:rsidRPr="007607AD" w:rsidRDefault="00621D46" w:rsidP="00621D46"/>
    <w:p w14:paraId="5C3F977C"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D9FD8B" w14:textId="77777777" w:rsidR="00CC41B0" w:rsidRPr="007607AD" w:rsidRDefault="00CC41B0" w:rsidP="00CC41B0">
      <w:pPr>
        <w:pStyle w:val="ATHeading3"/>
      </w:pPr>
      <w:r w:rsidRPr="007607AD">
        <w:lastRenderedPageBreak/>
        <w:t>4. Sklep Evropskega parlamenta z dne 29. aprila 2026 o zaključnem računu Skupnega podjetja za krožno Evropo na biološki osnovi za proračunsko leto 2024 (2025/2157(DEC))</w:t>
      </w:r>
    </w:p>
    <w:p w14:paraId="3194DB02" w14:textId="77777777" w:rsidR="00621D46" w:rsidRPr="007607AD" w:rsidRDefault="00621D46" w:rsidP="00621D46">
      <w:pPr>
        <w:pStyle w:val="EPComma"/>
      </w:pPr>
      <w:r w:rsidRPr="007607AD">
        <w:rPr>
          <w:i/>
          <w:iCs/>
        </w:rPr>
        <w:t>Evropski parlament</w:t>
      </w:r>
      <w:r w:rsidRPr="007607AD">
        <w:t>,</w:t>
      </w:r>
    </w:p>
    <w:p w14:paraId="36A2AA7A" w14:textId="77777777" w:rsidR="00621D46" w:rsidRPr="007607AD" w:rsidRDefault="00621D46" w:rsidP="00621D46">
      <w:pPr>
        <w:pStyle w:val="NormalHanging12a"/>
      </w:pPr>
      <w:r w:rsidRPr="007607AD">
        <w:t>–</w:t>
      </w:r>
      <w:r w:rsidRPr="007607AD">
        <w:tab/>
        <w:t>ob upoštevanju končnega zaključnega računa Skupnega podjetja za krožno Evropo na biološki osnovi za proračunsko leto 2024,</w:t>
      </w:r>
    </w:p>
    <w:p w14:paraId="1972E07E"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19"/>
      </w:r>
      <w:r w:rsidRPr="007607AD">
        <w:t>,</w:t>
      </w:r>
    </w:p>
    <w:p w14:paraId="671AF0E7"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20"/>
      </w:r>
      <w:r w:rsidRPr="007607AD">
        <w:t xml:space="preserve"> računovodskih izkazov ter zakonitosti in pravilnosti z njimi povezanih transakcij, ki jo je za proračunsko leto 2024 v skladu s členom 287 Pogodbe o delovanju Evropske unije pripravilo Računsko sodišče,</w:t>
      </w:r>
    </w:p>
    <w:p w14:paraId="0F98B16D"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6FDB5E76" w14:textId="77777777" w:rsidR="00621D46" w:rsidRPr="007607AD" w:rsidRDefault="00621D46" w:rsidP="00621D46">
      <w:pPr>
        <w:pStyle w:val="NormalHanging12a"/>
      </w:pPr>
      <w:r w:rsidRPr="007607AD">
        <w:t>–</w:t>
      </w:r>
      <w:r w:rsidRPr="007607AD">
        <w:tab/>
        <w:t>ob upoštevanju člena 319 Pogodbe o delovanju Evropske unije,</w:t>
      </w:r>
    </w:p>
    <w:p w14:paraId="4DC3DA17"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21"/>
      </w:r>
      <w:r w:rsidRPr="007607AD">
        <w:t xml:space="preserve"> in zlasti člena 71,</w:t>
      </w:r>
    </w:p>
    <w:p w14:paraId="6D927CB2" w14:textId="24FE2BCA"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22"/>
      </w:r>
      <w:r w:rsidRPr="007607AD">
        <w:t xml:space="preserve">, </w:t>
      </w:r>
      <w:r w:rsidR="007607AD">
        <w:t xml:space="preserve">in </w:t>
      </w:r>
      <w:r w:rsidRPr="007607AD">
        <w:t>zlasti člena 71,</w:t>
      </w:r>
    </w:p>
    <w:p w14:paraId="27C6986D"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23"/>
      </w:r>
      <w:r w:rsidRPr="007607AD">
        <w:t xml:space="preserve"> in zlasti člena 26,</w:t>
      </w:r>
    </w:p>
    <w:p w14:paraId="08D24679"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24"/>
      </w:r>
      <w:r w:rsidRPr="007607AD">
        <w:t>,</w:t>
      </w:r>
    </w:p>
    <w:p w14:paraId="05E63E44" w14:textId="77777777" w:rsidR="00621D46" w:rsidRPr="007607AD" w:rsidRDefault="00621D46" w:rsidP="00621D46">
      <w:pPr>
        <w:pStyle w:val="NormalHanging12a"/>
      </w:pPr>
      <w:r w:rsidRPr="007607AD">
        <w:t>–</w:t>
      </w:r>
      <w:r w:rsidRPr="007607AD">
        <w:tab/>
        <w:t>ob upoštevanju člena 102 in Priloge V Poslovnika,</w:t>
      </w:r>
    </w:p>
    <w:p w14:paraId="6CEF73EB" w14:textId="77777777" w:rsidR="00621D46" w:rsidRPr="007607AD" w:rsidRDefault="00621D46" w:rsidP="00621D46">
      <w:pPr>
        <w:pStyle w:val="NormalHanging12a"/>
      </w:pPr>
      <w:r w:rsidRPr="007607AD">
        <w:lastRenderedPageBreak/>
        <w:t>–</w:t>
      </w:r>
      <w:r w:rsidRPr="007607AD">
        <w:tab/>
        <w:t>ob upoštevanju poročila Odbora za proračunski nadzor (A10</w:t>
      </w:r>
      <w:r w:rsidRPr="007607AD">
        <w:noBreakHyphen/>
        <w:t>0046/2026),</w:t>
      </w:r>
    </w:p>
    <w:p w14:paraId="393EE792" w14:textId="77777777" w:rsidR="00621D46" w:rsidRPr="007607AD" w:rsidRDefault="00621D46" w:rsidP="00621D46">
      <w:pPr>
        <w:pStyle w:val="NormalHanging12a"/>
      </w:pPr>
      <w:r w:rsidRPr="007607AD">
        <w:t>1.</w:t>
      </w:r>
      <w:r w:rsidRPr="007607AD">
        <w:tab/>
        <w:t>odobri zaključni račun Skupnega podjetja za krožno Evropo na biološki osnovi za proračunsko leto 2024;</w:t>
      </w:r>
    </w:p>
    <w:p w14:paraId="3D46A6C7" w14:textId="77777777" w:rsidR="00621D46" w:rsidRPr="007607AD" w:rsidRDefault="00621D46" w:rsidP="00621D46">
      <w:pPr>
        <w:pStyle w:val="NormalHanging12a"/>
      </w:pPr>
      <w:r w:rsidRPr="007607AD">
        <w:t>2.</w:t>
      </w:r>
      <w:r w:rsidRPr="007607AD">
        <w:tab/>
        <w:t xml:space="preserve">naroči svoji predsednici, naj ta sklep posreduje izvršnemu direktorju Skupnega podjetja za krožno Evropo na biološki osnovi, Svetu, Komisiji in Računskemu sodišču ter poskrbi za objavo v </w:t>
      </w:r>
      <w:r w:rsidRPr="007607AD">
        <w:rPr>
          <w:i/>
          <w:iCs/>
        </w:rPr>
        <w:t>Uradnem listu Evropske unije</w:t>
      </w:r>
      <w:r w:rsidRPr="007607AD">
        <w:t xml:space="preserve"> (serija L).</w:t>
      </w:r>
    </w:p>
    <w:p w14:paraId="5A78F8DB" w14:textId="1B0459B5" w:rsidR="00621D46" w:rsidRPr="007607AD" w:rsidRDefault="00621D46" w:rsidP="00621D46">
      <w:pPr>
        <w:pStyle w:val="PageHeadingDec"/>
      </w:pPr>
    </w:p>
    <w:p w14:paraId="6DEFDE38" w14:textId="77777777" w:rsidR="00621D46" w:rsidRPr="007607AD" w:rsidRDefault="00621D46" w:rsidP="00621D46">
      <w:pPr>
        <w:pStyle w:val="PageHeadingNotTOC"/>
        <w:sectPr w:rsidR="00621D46" w:rsidRPr="007607AD" w:rsidSect="00783D9F">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A1A9D6" w14:textId="77777777" w:rsidR="00CC41B0" w:rsidRPr="007607AD" w:rsidRDefault="00CC41B0" w:rsidP="00CC41B0">
      <w:pPr>
        <w:pStyle w:val="ATHeading3"/>
      </w:pPr>
      <w:r w:rsidRPr="007607AD">
        <w:lastRenderedPageBreak/>
        <w:t>5. Sklep Evropskega parlamenta z dne 29. aprila 2026 o razrešnici glede izvrševanja proračuna Skupnega podjetja za čisti vodik za proračunsko leto 2024 (2025/2157(DEC))</w:t>
      </w:r>
    </w:p>
    <w:p w14:paraId="4D5E0D12" w14:textId="77777777" w:rsidR="00621D46" w:rsidRPr="007607AD" w:rsidRDefault="00621D46" w:rsidP="00621D46">
      <w:pPr>
        <w:pStyle w:val="EPComma"/>
      </w:pPr>
      <w:r w:rsidRPr="007607AD">
        <w:rPr>
          <w:i/>
          <w:iCs/>
        </w:rPr>
        <w:t>Evropski parlament</w:t>
      </w:r>
      <w:r w:rsidRPr="007607AD">
        <w:t>,</w:t>
      </w:r>
    </w:p>
    <w:p w14:paraId="2C2852F1" w14:textId="77777777" w:rsidR="00621D46" w:rsidRPr="007607AD" w:rsidRDefault="00621D46" w:rsidP="00621D46">
      <w:pPr>
        <w:pStyle w:val="NormalHanging12a"/>
      </w:pPr>
      <w:r w:rsidRPr="007607AD">
        <w:t>–</w:t>
      </w:r>
      <w:r w:rsidRPr="007607AD">
        <w:tab/>
        <w:t>ob upoštevanju končnega zaključnega računa Skupnega podjetja za čisti vodik za proračunsko leto 2024,</w:t>
      </w:r>
    </w:p>
    <w:p w14:paraId="2202B481"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25"/>
      </w:r>
      <w:r w:rsidRPr="007607AD">
        <w:t>,</w:t>
      </w:r>
    </w:p>
    <w:p w14:paraId="5CD3813E"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26"/>
      </w:r>
      <w:r w:rsidRPr="007607AD">
        <w:t xml:space="preserve"> računovodskih izkazov ter zakonitosti in pravilnosti z njimi povezanih transakcij, ki jo je za proračunsko leto 2024 v skladu s členom 287 Pogodbe o delovanju Evropske unije pripravilo Računsko sodišče,</w:t>
      </w:r>
    </w:p>
    <w:p w14:paraId="39121332"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05773FAE" w14:textId="77777777" w:rsidR="00621D46" w:rsidRPr="007607AD" w:rsidRDefault="00621D46" w:rsidP="00621D46">
      <w:pPr>
        <w:pStyle w:val="NormalHanging12a"/>
      </w:pPr>
      <w:r w:rsidRPr="007607AD">
        <w:t>–</w:t>
      </w:r>
      <w:r w:rsidRPr="007607AD">
        <w:tab/>
        <w:t>ob upoštevanju člena 319 Pogodbe o delovanju Evropske unije,</w:t>
      </w:r>
    </w:p>
    <w:p w14:paraId="4AD2B9DF"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27"/>
      </w:r>
      <w:r w:rsidRPr="007607AD">
        <w:t xml:space="preserve"> in zlasti člena 71,</w:t>
      </w:r>
    </w:p>
    <w:p w14:paraId="11317AAE" w14:textId="5F7987A5"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28"/>
      </w:r>
      <w:r w:rsidRPr="007607AD">
        <w:t xml:space="preserve">, </w:t>
      </w:r>
      <w:r w:rsidR="007607AD">
        <w:t xml:space="preserve">in </w:t>
      </w:r>
      <w:r w:rsidRPr="007607AD">
        <w:t>zlasti člena 71,</w:t>
      </w:r>
    </w:p>
    <w:p w14:paraId="323C1072"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29"/>
      </w:r>
      <w:r w:rsidRPr="007607AD">
        <w:t xml:space="preserve"> in zlasti člena 26,</w:t>
      </w:r>
    </w:p>
    <w:p w14:paraId="454FB7D6"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30"/>
      </w:r>
      <w:r w:rsidRPr="007607AD">
        <w:t>,</w:t>
      </w:r>
    </w:p>
    <w:p w14:paraId="1E4C5F17" w14:textId="77777777" w:rsidR="00621D46" w:rsidRPr="007607AD" w:rsidRDefault="00621D46" w:rsidP="00621D46">
      <w:pPr>
        <w:pStyle w:val="NormalHanging12a"/>
      </w:pPr>
      <w:r w:rsidRPr="007607AD">
        <w:t>–</w:t>
      </w:r>
      <w:r w:rsidRPr="007607AD">
        <w:tab/>
        <w:t>ob upoštevanju člena 102 in Priloge V Poslovnika,</w:t>
      </w:r>
    </w:p>
    <w:p w14:paraId="72E8C0BB"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6636BBCB" w14:textId="77777777" w:rsidR="00621D46" w:rsidRPr="007607AD" w:rsidRDefault="00621D46" w:rsidP="00621D46">
      <w:pPr>
        <w:pStyle w:val="NormalHanging12a"/>
      </w:pPr>
      <w:r w:rsidRPr="007607AD">
        <w:lastRenderedPageBreak/>
        <w:t>1.</w:t>
      </w:r>
      <w:r w:rsidRPr="007607AD">
        <w:tab/>
        <w:t>podeli razrešnico izvršni direktorici Skupnega podjetja za čisti vodik glede izvrševanja proračuna skupnega podjetja za proračunsko leto 2024;</w:t>
      </w:r>
    </w:p>
    <w:p w14:paraId="5CCF504F" w14:textId="77777777" w:rsidR="00621D46" w:rsidRPr="007607AD" w:rsidRDefault="00621D46" w:rsidP="00621D46">
      <w:pPr>
        <w:pStyle w:val="NormalHanging12a"/>
      </w:pPr>
      <w:r w:rsidRPr="007607AD">
        <w:t>2.</w:t>
      </w:r>
      <w:r w:rsidRPr="007607AD">
        <w:tab/>
        <w:t>navaja svoje pripombe v spodnji resoluciji;</w:t>
      </w:r>
    </w:p>
    <w:p w14:paraId="1848C051"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izvršni direktorici Skupnega podjetja za čisti vodik, Svetu, Komisiji in Računskemu sodišču ter poskrbi za objavo v </w:t>
      </w:r>
      <w:r w:rsidRPr="007607AD">
        <w:rPr>
          <w:i/>
          <w:iCs/>
        </w:rPr>
        <w:t>Uradnem listu Evropske unije</w:t>
      </w:r>
      <w:r w:rsidRPr="007607AD">
        <w:t xml:space="preserve"> (serija L).</w:t>
      </w:r>
    </w:p>
    <w:p w14:paraId="3A06A031" w14:textId="77777777" w:rsidR="00621D46" w:rsidRPr="007607AD" w:rsidRDefault="00621D46" w:rsidP="00621D46"/>
    <w:p w14:paraId="2B3C5D8E"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4B019CF" w14:textId="77777777" w:rsidR="00CC41B0" w:rsidRPr="007607AD" w:rsidRDefault="00CC41B0" w:rsidP="00CC41B0">
      <w:pPr>
        <w:pStyle w:val="ATHeading3"/>
      </w:pPr>
      <w:r w:rsidRPr="007607AD">
        <w:lastRenderedPageBreak/>
        <w:t>6. Sklep Evropskega parlamenta z dne 29. aprila 2026 o zaključnem računu Skupnega podjetja za čisti vodik za proračunsko leto 2024 (2025/2157(DEC))</w:t>
      </w:r>
    </w:p>
    <w:p w14:paraId="35D1B556" w14:textId="77777777" w:rsidR="00621D46" w:rsidRPr="007607AD" w:rsidRDefault="00621D46" w:rsidP="00621D46">
      <w:pPr>
        <w:pStyle w:val="EPComma"/>
      </w:pPr>
      <w:r w:rsidRPr="007607AD">
        <w:rPr>
          <w:i/>
          <w:iCs/>
        </w:rPr>
        <w:t>Evropski parlament</w:t>
      </w:r>
      <w:r w:rsidRPr="007607AD">
        <w:t>,</w:t>
      </w:r>
    </w:p>
    <w:p w14:paraId="492667D4" w14:textId="77777777" w:rsidR="00621D46" w:rsidRPr="007607AD" w:rsidRDefault="00621D46" w:rsidP="00621D46">
      <w:pPr>
        <w:pStyle w:val="NormalHanging12a"/>
      </w:pPr>
      <w:r w:rsidRPr="007607AD">
        <w:t>–</w:t>
      </w:r>
      <w:r w:rsidRPr="007607AD">
        <w:tab/>
        <w:t>ob upoštevanju končnega zaključnega računa Skupnega podjetja za čisti vodik za proračunsko leto 2024,</w:t>
      </w:r>
    </w:p>
    <w:p w14:paraId="616A03B5"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31"/>
      </w:r>
      <w:r w:rsidRPr="007607AD">
        <w:t>,</w:t>
      </w:r>
    </w:p>
    <w:p w14:paraId="3B1D32D6"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32"/>
      </w:r>
      <w:r w:rsidRPr="007607AD">
        <w:t xml:space="preserve"> računovodskih izkazov ter zakonitosti in pravilnosti z njimi povezanih transakcij, ki jo je za proračunsko leto 2024 v skladu s členom 287 Pogodbe o delovanju Evropske unije pripravilo Računsko sodišče,</w:t>
      </w:r>
    </w:p>
    <w:p w14:paraId="6A340DC9"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6A01D440" w14:textId="77777777" w:rsidR="00621D46" w:rsidRPr="007607AD" w:rsidRDefault="00621D46" w:rsidP="00621D46">
      <w:pPr>
        <w:pStyle w:val="NormalHanging12a"/>
      </w:pPr>
      <w:r w:rsidRPr="007607AD">
        <w:t>–</w:t>
      </w:r>
      <w:r w:rsidRPr="007607AD">
        <w:tab/>
        <w:t>ob upoštevanju člena 319 Pogodbe o delovanju Evropske unije,</w:t>
      </w:r>
    </w:p>
    <w:p w14:paraId="63387B3B"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33"/>
      </w:r>
      <w:r w:rsidRPr="007607AD">
        <w:t xml:space="preserve"> in zlasti člena 71,</w:t>
      </w:r>
    </w:p>
    <w:p w14:paraId="08DC7A6D" w14:textId="3B1F95E1"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34"/>
      </w:r>
      <w:r w:rsidRPr="007607AD">
        <w:t xml:space="preserve">, </w:t>
      </w:r>
      <w:r w:rsidR="007607AD">
        <w:t xml:space="preserve">in </w:t>
      </w:r>
      <w:r w:rsidRPr="007607AD">
        <w:t>zlasti člena 71,</w:t>
      </w:r>
    </w:p>
    <w:p w14:paraId="0D5161F8"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35"/>
      </w:r>
      <w:r w:rsidRPr="007607AD">
        <w:t xml:space="preserve"> in zlasti člena 26,</w:t>
      </w:r>
    </w:p>
    <w:p w14:paraId="06282DAE"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36"/>
      </w:r>
      <w:r w:rsidRPr="007607AD">
        <w:t>,</w:t>
      </w:r>
    </w:p>
    <w:p w14:paraId="4E6D23BB" w14:textId="77777777" w:rsidR="00621D46" w:rsidRPr="007607AD" w:rsidRDefault="00621D46" w:rsidP="00621D46">
      <w:pPr>
        <w:pStyle w:val="NormalHanging12a"/>
      </w:pPr>
      <w:r w:rsidRPr="007607AD">
        <w:t>–</w:t>
      </w:r>
      <w:r w:rsidRPr="007607AD">
        <w:tab/>
        <w:t>ob upoštevanju člena 102 in Priloge V Poslovnika,</w:t>
      </w:r>
    </w:p>
    <w:p w14:paraId="4C00ADA0"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5111B428" w14:textId="77777777" w:rsidR="00621D46" w:rsidRPr="007607AD" w:rsidRDefault="00621D46" w:rsidP="00621D46">
      <w:pPr>
        <w:pStyle w:val="NormalHanging12a"/>
      </w:pPr>
      <w:r w:rsidRPr="007607AD">
        <w:lastRenderedPageBreak/>
        <w:t>1.</w:t>
      </w:r>
      <w:r w:rsidRPr="007607AD">
        <w:tab/>
        <w:t>odobri zaključni račun Skupnega podjetja za čisti vodik za proračunsko leto 2024;</w:t>
      </w:r>
    </w:p>
    <w:p w14:paraId="2F3944FD" w14:textId="77777777" w:rsidR="00621D46" w:rsidRPr="007607AD" w:rsidRDefault="00621D46" w:rsidP="00621D46">
      <w:pPr>
        <w:pStyle w:val="NormalHanging12a"/>
      </w:pPr>
      <w:r w:rsidRPr="007607AD">
        <w:t>2.</w:t>
      </w:r>
      <w:r w:rsidRPr="007607AD">
        <w:tab/>
        <w:t xml:space="preserve">naroči svoji predsednici, naj ta sklep posreduje izvršni direktorici Skupnega podjetja za čisti vodik, Svetu, Komisiji in Računskemu sodišču ter poskrbi za objavo v </w:t>
      </w:r>
      <w:r w:rsidRPr="007607AD">
        <w:rPr>
          <w:i/>
          <w:iCs/>
        </w:rPr>
        <w:t>Uradnem listu Evropske unije</w:t>
      </w:r>
      <w:r w:rsidRPr="007607AD">
        <w:t xml:space="preserve"> (serija L).</w:t>
      </w:r>
    </w:p>
    <w:p w14:paraId="2B0AA8C6" w14:textId="1C97EA34" w:rsidR="00621D46" w:rsidRPr="007607AD" w:rsidRDefault="00621D46" w:rsidP="00621D46">
      <w:pPr>
        <w:pStyle w:val="PageHeadingDec"/>
      </w:pPr>
    </w:p>
    <w:p w14:paraId="52F990B1" w14:textId="77777777" w:rsidR="00621D46" w:rsidRPr="007607AD" w:rsidRDefault="00621D46" w:rsidP="00621D46">
      <w:pPr>
        <w:pStyle w:val="PageHeadingNotTOC"/>
        <w:sectPr w:rsidR="00621D46" w:rsidRPr="007607AD" w:rsidSect="00783D9F">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6A58060" w14:textId="77777777" w:rsidR="00CC41B0" w:rsidRPr="007607AD" w:rsidRDefault="00CC41B0" w:rsidP="00CC41B0">
      <w:pPr>
        <w:pStyle w:val="ATHeading3"/>
      </w:pPr>
      <w:r w:rsidRPr="007607AD">
        <w:lastRenderedPageBreak/>
        <w:t>7. Sklep Evropskega parlamenta z dne 29. aprila 2026 o razrešnici glede izvrševanja proračuna Skupnega podjetja za evropske železnice za proračunsko leto 2024 (2025/2157(DEC))</w:t>
      </w:r>
    </w:p>
    <w:p w14:paraId="5BBC1EEB" w14:textId="77777777" w:rsidR="00621D46" w:rsidRPr="007607AD" w:rsidRDefault="00621D46" w:rsidP="00621D46">
      <w:pPr>
        <w:pStyle w:val="EPComma"/>
      </w:pPr>
      <w:r w:rsidRPr="007607AD">
        <w:rPr>
          <w:i/>
          <w:iCs/>
        </w:rPr>
        <w:t>Evropski parlament</w:t>
      </w:r>
      <w:r w:rsidRPr="007607AD">
        <w:t>,</w:t>
      </w:r>
    </w:p>
    <w:p w14:paraId="5AFB11BC" w14:textId="77777777" w:rsidR="00621D46" w:rsidRPr="007607AD" w:rsidRDefault="00621D46" w:rsidP="00621D46">
      <w:pPr>
        <w:pStyle w:val="NormalHanging12a"/>
      </w:pPr>
      <w:r w:rsidRPr="007607AD">
        <w:t>–</w:t>
      </w:r>
      <w:r w:rsidRPr="007607AD">
        <w:tab/>
        <w:t>ob upoštevanju končnega zaključnega računa Skupnega podjetja za evropske železnice za proračunsko leto 2024,</w:t>
      </w:r>
    </w:p>
    <w:p w14:paraId="6CE44D82"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37"/>
      </w:r>
      <w:r w:rsidRPr="007607AD">
        <w:t>,</w:t>
      </w:r>
    </w:p>
    <w:p w14:paraId="0D7E69DE"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38"/>
      </w:r>
      <w:r w:rsidRPr="007607AD">
        <w:t xml:space="preserve"> računovodskih izkazov ter zakonitosti in pravilnosti z njimi povezanih transakcij, ki jo je za proračunsko leto 2024 v skladu s členom 287 Pogodbe o delovanju Evropske unije pripravilo Računsko sodišče,</w:t>
      </w:r>
    </w:p>
    <w:p w14:paraId="45B02404"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11629A67" w14:textId="77777777" w:rsidR="00621D46" w:rsidRPr="007607AD" w:rsidRDefault="00621D46" w:rsidP="00621D46">
      <w:pPr>
        <w:pStyle w:val="NormalHanging12a"/>
      </w:pPr>
      <w:r w:rsidRPr="007607AD">
        <w:t>–</w:t>
      </w:r>
      <w:r w:rsidRPr="007607AD">
        <w:tab/>
        <w:t>ob upoštevanju člena 319 Pogodbe o delovanju Evropske unije,</w:t>
      </w:r>
    </w:p>
    <w:p w14:paraId="0ECA18F1"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39"/>
      </w:r>
      <w:r w:rsidRPr="007607AD">
        <w:t xml:space="preserve"> in zlasti člena 71,</w:t>
      </w:r>
    </w:p>
    <w:p w14:paraId="7A2B9FE0" w14:textId="68DFF0F8"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40"/>
      </w:r>
      <w:r w:rsidRPr="007607AD">
        <w:t xml:space="preserve">, </w:t>
      </w:r>
      <w:r w:rsidR="007607AD">
        <w:t xml:space="preserve">in </w:t>
      </w:r>
      <w:r w:rsidRPr="007607AD">
        <w:t>zlasti člena 71,</w:t>
      </w:r>
    </w:p>
    <w:p w14:paraId="76A15BC4"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41"/>
      </w:r>
      <w:r w:rsidRPr="007607AD">
        <w:t xml:space="preserve"> in zlasti člena 26,</w:t>
      </w:r>
    </w:p>
    <w:p w14:paraId="274A7719"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42"/>
      </w:r>
      <w:r w:rsidRPr="007607AD">
        <w:t>,</w:t>
      </w:r>
    </w:p>
    <w:p w14:paraId="6EC7CE86" w14:textId="77777777" w:rsidR="00621D46" w:rsidRPr="007607AD" w:rsidRDefault="00621D46" w:rsidP="00621D46">
      <w:pPr>
        <w:pStyle w:val="NormalHanging12a"/>
      </w:pPr>
      <w:r w:rsidRPr="007607AD">
        <w:t>–</w:t>
      </w:r>
      <w:r w:rsidRPr="007607AD">
        <w:tab/>
        <w:t>ob upoštevanju člena 102 in Priloge V Poslovnika,</w:t>
      </w:r>
    </w:p>
    <w:p w14:paraId="024ADFB9" w14:textId="77777777" w:rsidR="00621D46" w:rsidRPr="007607AD" w:rsidRDefault="00621D46" w:rsidP="00621D46">
      <w:pPr>
        <w:pStyle w:val="NormalHanging12a"/>
      </w:pPr>
      <w:r w:rsidRPr="007607AD">
        <w:lastRenderedPageBreak/>
        <w:t>–</w:t>
      </w:r>
      <w:r w:rsidRPr="007607AD">
        <w:tab/>
        <w:t>ob upoštevanju mnenja Odbora za promet in turizem,</w:t>
      </w:r>
    </w:p>
    <w:p w14:paraId="0D756532"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6BB7F05A" w14:textId="77777777" w:rsidR="00621D46" w:rsidRPr="007607AD" w:rsidRDefault="00621D46" w:rsidP="00621D46">
      <w:pPr>
        <w:pStyle w:val="NormalHanging12a"/>
      </w:pPr>
      <w:r w:rsidRPr="007607AD">
        <w:t>1.</w:t>
      </w:r>
      <w:r w:rsidRPr="007607AD">
        <w:tab/>
        <w:t>podeli razrešnico izvršnemu direktorju Skupnega podjetja za evropske železnice glede izvrševanja proračuna skupnega podjetja za proračunsko leto 2024;</w:t>
      </w:r>
    </w:p>
    <w:p w14:paraId="0A8C9E97" w14:textId="77777777" w:rsidR="00621D46" w:rsidRPr="007607AD" w:rsidRDefault="00621D46" w:rsidP="00621D46">
      <w:pPr>
        <w:pStyle w:val="NormalHanging12a"/>
      </w:pPr>
      <w:r w:rsidRPr="007607AD">
        <w:t>2.</w:t>
      </w:r>
      <w:r w:rsidRPr="007607AD">
        <w:tab/>
        <w:t>navaja svoje pripombe v spodnji resoluciji;</w:t>
      </w:r>
    </w:p>
    <w:p w14:paraId="4FACBDED"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izvršnemu direktorju Skupnega podjetja za evropske železnice, Svetu, Komisiji in Računskemu sodišču ter poskrbi za objavo v </w:t>
      </w:r>
      <w:r w:rsidRPr="007607AD">
        <w:rPr>
          <w:i/>
          <w:iCs/>
        </w:rPr>
        <w:t>Uradnem listu Evropske unije</w:t>
      </w:r>
      <w:r w:rsidRPr="007607AD">
        <w:t xml:space="preserve"> (serija L).</w:t>
      </w:r>
    </w:p>
    <w:p w14:paraId="30FF1A58" w14:textId="77777777" w:rsidR="00621D46" w:rsidRPr="007607AD" w:rsidRDefault="00621D46" w:rsidP="00621D46"/>
    <w:p w14:paraId="45A2755D"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7DB4A1" w14:textId="77777777" w:rsidR="00CC41B0" w:rsidRPr="007607AD" w:rsidRDefault="00CC41B0" w:rsidP="00CC41B0">
      <w:pPr>
        <w:pStyle w:val="ATHeading3"/>
      </w:pPr>
      <w:r w:rsidRPr="007607AD">
        <w:lastRenderedPageBreak/>
        <w:t>8. Sklep Evropskega parlamenta z dne 29. aprila 2026 o zaključnem računu Skupnega podjetja za evropske železnice za proračunsko leto 2024 (2025/2157(DEC))</w:t>
      </w:r>
    </w:p>
    <w:p w14:paraId="692351F5" w14:textId="77777777" w:rsidR="00621D46" w:rsidRPr="007607AD" w:rsidRDefault="00621D46" w:rsidP="00621D46">
      <w:pPr>
        <w:pStyle w:val="EPComma"/>
      </w:pPr>
      <w:r w:rsidRPr="007607AD">
        <w:rPr>
          <w:i/>
          <w:iCs/>
        </w:rPr>
        <w:t>Evropski parlament</w:t>
      </w:r>
      <w:r w:rsidRPr="007607AD">
        <w:t>,</w:t>
      </w:r>
    </w:p>
    <w:p w14:paraId="0B0C1DB1" w14:textId="77777777" w:rsidR="00621D46" w:rsidRPr="007607AD" w:rsidRDefault="00621D46" w:rsidP="00621D46">
      <w:pPr>
        <w:pStyle w:val="NormalHanging12a"/>
      </w:pPr>
      <w:r w:rsidRPr="007607AD">
        <w:t>–</w:t>
      </w:r>
      <w:r w:rsidRPr="007607AD">
        <w:tab/>
        <w:t>ob upoštevanju končnega zaključnega računa Skupnega podjetja za evropske železnice za proračunsko leto 2024,</w:t>
      </w:r>
    </w:p>
    <w:p w14:paraId="6ADBC22D"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43"/>
      </w:r>
      <w:r w:rsidRPr="007607AD">
        <w:t>,</w:t>
      </w:r>
    </w:p>
    <w:p w14:paraId="0BB51F01"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44"/>
      </w:r>
      <w:r w:rsidRPr="007607AD">
        <w:t xml:space="preserve"> računovodskih izkazov ter zakonitosti in pravilnosti z njimi povezanih transakcij, ki jo je za proračunsko leto 2024 v skladu s členom 287 Pogodbe o delovanju Evropske unije pripravilo Računsko sodišče,</w:t>
      </w:r>
    </w:p>
    <w:p w14:paraId="3E731725"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604BBF9B" w14:textId="77777777" w:rsidR="00621D46" w:rsidRPr="007607AD" w:rsidRDefault="00621D46" w:rsidP="00621D46">
      <w:pPr>
        <w:pStyle w:val="NormalHanging12a"/>
      </w:pPr>
      <w:r w:rsidRPr="007607AD">
        <w:t>–</w:t>
      </w:r>
      <w:r w:rsidRPr="007607AD">
        <w:tab/>
        <w:t>ob upoštevanju člena 319 Pogodbe o delovanju Evropske unije,</w:t>
      </w:r>
    </w:p>
    <w:p w14:paraId="55027CFE"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45"/>
      </w:r>
      <w:r w:rsidRPr="007607AD">
        <w:t xml:space="preserve"> in zlasti člena 71,</w:t>
      </w:r>
    </w:p>
    <w:p w14:paraId="5B81F463" w14:textId="65F16161"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46"/>
      </w:r>
      <w:r w:rsidRPr="007607AD">
        <w:t xml:space="preserve">, </w:t>
      </w:r>
      <w:r w:rsidR="007607AD">
        <w:t xml:space="preserve">in </w:t>
      </w:r>
      <w:r w:rsidRPr="007607AD">
        <w:t>zlasti člena 71,</w:t>
      </w:r>
    </w:p>
    <w:p w14:paraId="23896B2F"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47"/>
      </w:r>
      <w:r w:rsidRPr="007607AD">
        <w:t xml:space="preserve"> in zlasti člena 26,</w:t>
      </w:r>
    </w:p>
    <w:p w14:paraId="69E1AF28"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48"/>
      </w:r>
      <w:r w:rsidRPr="007607AD">
        <w:t>,</w:t>
      </w:r>
    </w:p>
    <w:p w14:paraId="12097D82" w14:textId="77777777" w:rsidR="00621D46" w:rsidRPr="007607AD" w:rsidRDefault="00621D46" w:rsidP="00621D46">
      <w:pPr>
        <w:pStyle w:val="NormalHanging12a"/>
      </w:pPr>
      <w:r w:rsidRPr="007607AD">
        <w:t>–</w:t>
      </w:r>
      <w:r w:rsidRPr="007607AD">
        <w:tab/>
        <w:t>ob upoštevanju člena 102 in Priloge V Poslovnika,</w:t>
      </w:r>
    </w:p>
    <w:p w14:paraId="11208DE4" w14:textId="77777777" w:rsidR="00621D46" w:rsidRPr="007607AD" w:rsidRDefault="00621D46" w:rsidP="00621D46">
      <w:pPr>
        <w:pStyle w:val="NormalHanging12a"/>
      </w:pPr>
      <w:r w:rsidRPr="007607AD">
        <w:t>–</w:t>
      </w:r>
      <w:r w:rsidRPr="007607AD">
        <w:tab/>
        <w:t>ob upoštevanju mnenja Odbora za promet in turizem,</w:t>
      </w:r>
    </w:p>
    <w:p w14:paraId="28F01702" w14:textId="77777777" w:rsidR="00621D46" w:rsidRPr="007607AD" w:rsidRDefault="00621D46" w:rsidP="00621D46">
      <w:pPr>
        <w:pStyle w:val="NormalHanging12a"/>
      </w:pPr>
      <w:r w:rsidRPr="007607AD">
        <w:lastRenderedPageBreak/>
        <w:t>–</w:t>
      </w:r>
      <w:r w:rsidRPr="007607AD">
        <w:tab/>
        <w:t>ob upoštevanju poročila Odbora za proračunski nadzor (A10</w:t>
      </w:r>
      <w:r w:rsidRPr="007607AD">
        <w:noBreakHyphen/>
        <w:t>0046/2026),</w:t>
      </w:r>
    </w:p>
    <w:p w14:paraId="1DAF5D87" w14:textId="77777777" w:rsidR="00621D46" w:rsidRPr="007607AD" w:rsidRDefault="00621D46" w:rsidP="00621D46">
      <w:pPr>
        <w:pStyle w:val="NormalHanging12a"/>
      </w:pPr>
      <w:r w:rsidRPr="007607AD">
        <w:t>1.</w:t>
      </w:r>
      <w:r w:rsidRPr="007607AD">
        <w:tab/>
        <w:t>odobri zaključni račun Skupnega podjetja za evropske železnice za proračunsko leto 2024;</w:t>
      </w:r>
    </w:p>
    <w:p w14:paraId="052B5F51" w14:textId="3DB136C5" w:rsidR="00621D46" w:rsidRPr="007607AD" w:rsidRDefault="00621D46" w:rsidP="00B570F7">
      <w:pPr>
        <w:pStyle w:val="NormalHanging12a"/>
      </w:pPr>
      <w:r w:rsidRPr="007607AD">
        <w:t>2.</w:t>
      </w:r>
      <w:r w:rsidRPr="007607AD">
        <w:tab/>
        <w:t xml:space="preserve">naroči svoji predsednici, naj ta sklep posreduje izvršnemu direktorju Skupnega podjetja za evropske železnice, Svetu, Komisiji in Računskemu sodišču ter poskrbi za objavo v </w:t>
      </w:r>
      <w:r w:rsidRPr="007607AD">
        <w:rPr>
          <w:i/>
          <w:iCs/>
        </w:rPr>
        <w:t>Uradnem listu Evropske unije</w:t>
      </w:r>
      <w:r w:rsidRPr="007607AD">
        <w:t xml:space="preserve"> (serija L).</w:t>
      </w:r>
    </w:p>
    <w:p w14:paraId="1829C498" w14:textId="38542524" w:rsidR="00621D46" w:rsidRPr="007607AD" w:rsidRDefault="00621D46" w:rsidP="00621D46">
      <w:pPr>
        <w:pStyle w:val="PageHeadingDec"/>
      </w:pPr>
    </w:p>
    <w:p w14:paraId="1567AE66" w14:textId="77777777" w:rsidR="00621D46" w:rsidRPr="007607AD" w:rsidRDefault="00621D46" w:rsidP="00621D46">
      <w:pPr>
        <w:pStyle w:val="PageHeadingNotTOC"/>
        <w:sectPr w:rsidR="00621D46" w:rsidRPr="007607AD" w:rsidSect="00783D9F">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7182BF" w14:textId="77777777" w:rsidR="00CC41B0" w:rsidRPr="007607AD" w:rsidRDefault="00CC41B0" w:rsidP="00CC41B0">
      <w:pPr>
        <w:pStyle w:val="ATHeading3"/>
      </w:pPr>
      <w:r w:rsidRPr="007607AD">
        <w:lastRenderedPageBreak/>
        <w:t>9. Sklep Evropskega parlamenta z dne 29. aprila 2026 o razrešnici glede izvrševanja proračuna Evropskega industrijskega, tehnološkega in raziskovalnega kompetenčnega centra za kibernetsko varnost za proračunsko leto 2024 (2025/2157(DEC))</w:t>
      </w:r>
    </w:p>
    <w:p w14:paraId="16002E8C" w14:textId="77777777" w:rsidR="00621D46" w:rsidRPr="007607AD" w:rsidRDefault="00621D46" w:rsidP="00621D46">
      <w:pPr>
        <w:pStyle w:val="EPComma"/>
      </w:pPr>
      <w:r w:rsidRPr="007607AD">
        <w:rPr>
          <w:i/>
          <w:iCs/>
        </w:rPr>
        <w:t>Evropski parlament</w:t>
      </w:r>
      <w:r w:rsidRPr="007607AD">
        <w:t>,</w:t>
      </w:r>
    </w:p>
    <w:p w14:paraId="20065C2C" w14:textId="77777777" w:rsidR="00621D46" w:rsidRPr="007607AD" w:rsidRDefault="00621D46" w:rsidP="00621D46">
      <w:pPr>
        <w:pStyle w:val="NormalHanging12a"/>
      </w:pPr>
      <w:r w:rsidRPr="007607AD">
        <w:t>–</w:t>
      </w:r>
      <w:r w:rsidRPr="007607AD">
        <w:tab/>
        <w:t>ob upoštevanju končnega zaključnega računa Evropskega industrijskega, tehnološkega in raziskovalnega kompetenčnega centra za kibernetsko varnost za proračunsko leto 2024,</w:t>
      </w:r>
    </w:p>
    <w:p w14:paraId="2F0AB703"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49"/>
      </w:r>
      <w:r w:rsidRPr="007607AD">
        <w:t>,</w:t>
      </w:r>
    </w:p>
    <w:p w14:paraId="491BBC51"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50"/>
      </w:r>
      <w:r w:rsidRPr="007607AD">
        <w:t xml:space="preserve"> računovodskih izkazov ter zakonitosti in pravilnosti z njimi povezanih transakcij, ki jo je za proračunsko leto 2024 v skladu s členom 287 Pogodbe o delovanju Evropske unije pripravilo Računsko sodišče,</w:t>
      </w:r>
    </w:p>
    <w:p w14:paraId="48143B2E"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4B2F1FB0" w14:textId="77777777" w:rsidR="00621D46" w:rsidRPr="007607AD" w:rsidRDefault="00621D46" w:rsidP="00621D46">
      <w:pPr>
        <w:pStyle w:val="NormalHanging12a"/>
      </w:pPr>
      <w:r w:rsidRPr="007607AD">
        <w:t>–</w:t>
      </w:r>
      <w:r w:rsidRPr="007607AD">
        <w:tab/>
        <w:t>ob upoštevanju člena 319 Pogodbe o delovanju Evropske unije,</w:t>
      </w:r>
    </w:p>
    <w:p w14:paraId="69DF83D1"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51"/>
      </w:r>
      <w:r w:rsidRPr="007607AD">
        <w:t xml:space="preserve"> in zlasti člena 71,</w:t>
      </w:r>
    </w:p>
    <w:p w14:paraId="3ED0E3CF" w14:textId="4E47FF75"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52"/>
      </w:r>
      <w:r w:rsidRPr="007607AD">
        <w:t xml:space="preserve">, </w:t>
      </w:r>
      <w:r w:rsidR="00F762FC">
        <w:t xml:space="preserve">in </w:t>
      </w:r>
      <w:r w:rsidRPr="007607AD">
        <w:t>zlasti člena 71,</w:t>
      </w:r>
    </w:p>
    <w:p w14:paraId="6EC051D7" w14:textId="77777777" w:rsidR="00621D46" w:rsidRPr="007607AD" w:rsidRDefault="00621D46" w:rsidP="00621D46">
      <w:pPr>
        <w:pStyle w:val="NormalHanging12a"/>
      </w:pPr>
      <w:r w:rsidRPr="007607AD">
        <w:t>–</w:t>
      </w:r>
      <w:r w:rsidRPr="007607AD">
        <w:tab/>
        <w:t>ob upoštevanju Uredbe (EU) 2021/887 Evropskega parlamenta in Sveta z 20. maja 2021 o vzpostavitvi Evropskega industrijskega, tehnološkega in raziskovalnega kompetenčnega centra za kibernetsko varnost</w:t>
      </w:r>
      <w:r w:rsidRPr="007607AD">
        <w:rPr>
          <w:rStyle w:val="FootnoteReference"/>
        </w:rPr>
        <w:footnoteReference w:id="53"/>
      </w:r>
      <w:r w:rsidRPr="007607AD">
        <w:t xml:space="preserve"> ter zlasti člena 26,</w:t>
      </w:r>
    </w:p>
    <w:p w14:paraId="6310968C"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54"/>
      </w:r>
      <w:r w:rsidRPr="007607AD">
        <w:t>,</w:t>
      </w:r>
    </w:p>
    <w:p w14:paraId="0E6C5300" w14:textId="77777777" w:rsidR="00621D46" w:rsidRPr="007607AD" w:rsidRDefault="00621D46" w:rsidP="00621D46">
      <w:pPr>
        <w:pStyle w:val="NormalHanging12a"/>
      </w:pPr>
      <w:r w:rsidRPr="007607AD">
        <w:t>–</w:t>
      </w:r>
      <w:r w:rsidRPr="007607AD">
        <w:tab/>
        <w:t>ob upoštevanju člena 102 in Priloge V Poslovnika,</w:t>
      </w:r>
    </w:p>
    <w:p w14:paraId="6CB8EE2E" w14:textId="77777777" w:rsidR="00621D46" w:rsidRPr="007607AD" w:rsidRDefault="00621D46" w:rsidP="00621D46">
      <w:pPr>
        <w:pStyle w:val="NormalHanging12a"/>
      </w:pPr>
      <w:r w:rsidRPr="007607AD">
        <w:lastRenderedPageBreak/>
        <w:t>–</w:t>
      </w:r>
      <w:r w:rsidRPr="007607AD">
        <w:tab/>
        <w:t>ob upoštevanju poročila Odbora za proračunski nadzor (A10</w:t>
      </w:r>
      <w:r w:rsidRPr="007607AD">
        <w:noBreakHyphen/>
        <w:t>0046/2026),</w:t>
      </w:r>
    </w:p>
    <w:p w14:paraId="0D9649FC" w14:textId="77777777" w:rsidR="00621D46" w:rsidRPr="007607AD" w:rsidRDefault="00621D46" w:rsidP="00621D46">
      <w:pPr>
        <w:pStyle w:val="NormalHanging12a"/>
      </w:pPr>
      <w:r w:rsidRPr="007607AD">
        <w:t>1.</w:t>
      </w:r>
      <w:r w:rsidRPr="007607AD">
        <w:tab/>
        <w:t xml:space="preserve">podeli razrešnico izvršnemu direktorju Evropskega industrijskega, tehnološkega in raziskovalnega kompetenčnega centra za kibernetsko varnost glede izvrševanja proračuna skupnega podjetja za proračunsko leto 2024; </w:t>
      </w:r>
    </w:p>
    <w:p w14:paraId="59A0F1FB" w14:textId="77777777" w:rsidR="00621D46" w:rsidRPr="007607AD" w:rsidRDefault="00621D46" w:rsidP="00621D46">
      <w:pPr>
        <w:pStyle w:val="NormalHanging12a"/>
      </w:pPr>
      <w:r w:rsidRPr="007607AD">
        <w:t>2.</w:t>
      </w:r>
      <w:r w:rsidRPr="007607AD">
        <w:tab/>
        <w:t>navaja svoje pripombe v spodnji resoluciji;</w:t>
      </w:r>
    </w:p>
    <w:p w14:paraId="0E70152F"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izvršnemu direktorju Evropskega industrijskega, tehnološkega in raziskovalnega kompetenčnega centra za kibernetsko varnost, Svetu, Komisiji in Računskemu sodišču ter poskrbi za objavo v </w:t>
      </w:r>
      <w:r w:rsidRPr="007607AD">
        <w:rPr>
          <w:i/>
          <w:iCs/>
        </w:rPr>
        <w:t>Uradnem listu Evropske unije</w:t>
      </w:r>
      <w:r w:rsidRPr="007607AD">
        <w:t xml:space="preserve"> (serija L).</w:t>
      </w:r>
    </w:p>
    <w:p w14:paraId="7CE96E3C" w14:textId="77777777" w:rsidR="00621D46" w:rsidRPr="007607AD" w:rsidRDefault="00621D46" w:rsidP="00621D46"/>
    <w:p w14:paraId="2236DC8C"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59E327" w14:textId="77777777" w:rsidR="00CC41B0" w:rsidRPr="007607AD" w:rsidRDefault="00CC41B0" w:rsidP="00CC41B0">
      <w:pPr>
        <w:pStyle w:val="ATHeading3"/>
      </w:pPr>
      <w:r w:rsidRPr="007607AD">
        <w:lastRenderedPageBreak/>
        <w:t>10. Sklep Evropskega parlamenta z dne 29. aprila 2026 o zaključnem računu Evropskega industrijskega, tehnološkega in raziskovalnega kompetenčnega centra za kibernetsko varnost za proračunsko leto 2024 (2025/2157(DEC))</w:t>
      </w:r>
    </w:p>
    <w:p w14:paraId="174ED0AF" w14:textId="77777777" w:rsidR="00621D46" w:rsidRPr="007607AD" w:rsidRDefault="00621D46" w:rsidP="00621D46">
      <w:pPr>
        <w:pStyle w:val="EPComma"/>
      </w:pPr>
      <w:r w:rsidRPr="007607AD">
        <w:rPr>
          <w:i/>
          <w:iCs/>
        </w:rPr>
        <w:t>Evropski parlament</w:t>
      </w:r>
      <w:r w:rsidRPr="007607AD">
        <w:t>,</w:t>
      </w:r>
    </w:p>
    <w:p w14:paraId="45A899E6" w14:textId="77777777" w:rsidR="00621D46" w:rsidRPr="007607AD" w:rsidRDefault="00621D46" w:rsidP="00621D46">
      <w:pPr>
        <w:pStyle w:val="NormalHanging12a"/>
      </w:pPr>
      <w:r w:rsidRPr="007607AD">
        <w:t>–</w:t>
      </w:r>
      <w:r w:rsidRPr="007607AD">
        <w:tab/>
        <w:t>ob upoštevanju končnega zaključnega računa Evropskega industrijskega, tehnološkega in raziskovalnega kompetenčnega centra za kibernetsko varnost za proračunsko leto 2024,</w:t>
      </w:r>
    </w:p>
    <w:p w14:paraId="7024DB9A"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55"/>
      </w:r>
      <w:r w:rsidRPr="007607AD">
        <w:t>,</w:t>
      </w:r>
    </w:p>
    <w:p w14:paraId="510994FC"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56"/>
      </w:r>
      <w:r w:rsidRPr="007607AD">
        <w:t xml:space="preserve"> računovodskih izkazov ter zakonitosti in pravilnosti z njimi povezanih transakcij, ki jo je za proračunsko leto 2024 v skladu s členom 287 Pogodbe o delovanju Evropske unije pripravilo Računsko sodišče,</w:t>
      </w:r>
    </w:p>
    <w:p w14:paraId="77A57311"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213C461E" w14:textId="77777777" w:rsidR="00621D46" w:rsidRPr="007607AD" w:rsidRDefault="00621D46" w:rsidP="00621D46">
      <w:pPr>
        <w:pStyle w:val="NormalHanging12a"/>
      </w:pPr>
      <w:r w:rsidRPr="007607AD">
        <w:t>–</w:t>
      </w:r>
      <w:r w:rsidRPr="007607AD">
        <w:tab/>
        <w:t>ob upoštevanju člena 319 Pogodbe o delovanju Evropske unije,</w:t>
      </w:r>
    </w:p>
    <w:p w14:paraId="205AB8F4"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57"/>
      </w:r>
      <w:r w:rsidRPr="007607AD">
        <w:t xml:space="preserve"> in zlasti člena 71,</w:t>
      </w:r>
    </w:p>
    <w:p w14:paraId="53762A21" w14:textId="4DB1B3D0"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58"/>
      </w:r>
      <w:r w:rsidRPr="007607AD">
        <w:t xml:space="preserve">, </w:t>
      </w:r>
      <w:r w:rsidR="00F762FC">
        <w:t xml:space="preserve">in </w:t>
      </w:r>
      <w:r w:rsidRPr="007607AD">
        <w:t>zlasti člena 71,</w:t>
      </w:r>
    </w:p>
    <w:p w14:paraId="773B0462" w14:textId="77777777" w:rsidR="00621D46" w:rsidRPr="007607AD" w:rsidRDefault="00621D46" w:rsidP="00621D46">
      <w:pPr>
        <w:pStyle w:val="NormalHanging12a"/>
      </w:pPr>
      <w:r w:rsidRPr="007607AD">
        <w:t>–</w:t>
      </w:r>
      <w:r w:rsidRPr="007607AD">
        <w:tab/>
        <w:t>ob upoštevanju Uredbe (EU) 2021/887 Evropskega parlamenta in Sveta z 20. maja 2021 o vzpostavitvi Evropskega industrijskega, tehnološkega in raziskovalnega kompetenčnega centra za kibernetsko varnost</w:t>
      </w:r>
      <w:r w:rsidRPr="007607AD">
        <w:rPr>
          <w:rStyle w:val="FootnoteReference"/>
        </w:rPr>
        <w:footnoteReference w:id="59"/>
      </w:r>
      <w:r w:rsidRPr="007607AD">
        <w:t xml:space="preserve"> ter zlasti člena 26,</w:t>
      </w:r>
    </w:p>
    <w:p w14:paraId="2E241FFC"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60"/>
      </w:r>
      <w:r w:rsidRPr="007607AD">
        <w:t>,</w:t>
      </w:r>
    </w:p>
    <w:p w14:paraId="3AEBCE1B" w14:textId="77777777" w:rsidR="00621D46" w:rsidRPr="007607AD" w:rsidRDefault="00621D46" w:rsidP="00621D46">
      <w:pPr>
        <w:pStyle w:val="NormalHanging12a"/>
      </w:pPr>
      <w:r w:rsidRPr="007607AD">
        <w:t>–</w:t>
      </w:r>
      <w:r w:rsidRPr="007607AD">
        <w:tab/>
        <w:t>ob upoštevanju člena 102 in Priloge V Poslovnika,</w:t>
      </w:r>
    </w:p>
    <w:p w14:paraId="034EA732" w14:textId="77777777" w:rsidR="00621D46" w:rsidRPr="007607AD" w:rsidRDefault="00621D46" w:rsidP="00621D46">
      <w:pPr>
        <w:pStyle w:val="NormalHanging12a"/>
      </w:pPr>
      <w:r w:rsidRPr="007607AD">
        <w:lastRenderedPageBreak/>
        <w:t>–</w:t>
      </w:r>
      <w:r w:rsidRPr="007607AD">
        <w:tab/>
        <w:t>ob upoštevanju poročila Odbora za proračunski nadzor (A10</w:t>
      </w:r>
      <w:r w:rsidRPr="007607AD">
        <w:noBreakHyphen/>
        <w:t>0046/2026),</w:t>
      </w:r>
    </w:p>
    <w:p w14:paraId="7B70E447" w14:textId="77777777" w:rsidR="00621D46" w:rsidRPr="007607AD" w:rsidRDefault="00621D46" w:rsidP="00621D46">
      <w:pPr>
        <w:pStyle w:val="NormalHanging12a"/>
      </w:pPr>
      <w:r w:rsidRPr="007607AD">
        <w:t>1.</w:t>
      </w:r>
      <w:r w:rsidRPr="007607AD">
        <w:tab/>
        <w:t>odobri zaključni račun Evropskega industrijskega, tehnološkega in raziskovalnega kompetenčnega centra za kibernetsko varnost za proračunsko leto 2024;</w:t>
      </w:r>
    </w:p>
    <w:p w14:paraId="34F28410" w14:textId="77777777" w:rsidR="00621D46" w:rsidRPr="007607AD" w:rsidRDefault="00621D46" w:rsidP="00621D46">
      <w:pPr>
        <w:pStyle w:val="NormalHanging12a"/>
      </w:pPr>
      <w:r w:rsidRPr="007607AD">
        <w:t>2.</w:t>
      </w:r>
      <w:r w:rsidRPr="007607AD">
        <w:tab/>
        <w:t xml:space="preserve">naroči svoji predsednici, naj ta sklep posreduje izvršnemu direktorju Evropskega industrijskega, tehnološkega in raziskovalnega kompetenčnega centra za kibernetsko varnost, Svetu, Komisiji in Računskemu sodišču ter poskrbi za objavo v </w:t>
      </w:r>
      <w:r w:rsidRPr="007607AD">
        <w:rPr>
          <w:i/>
          <w:iCs/>
        </w:rPr>
        <w:t>Uradnem listu Evropske unije</w:t>
      </w:r>
      <w:r w:rsidRPr="007607AD">
        <w:t xml:space="preserve"> (serija L).</w:t>
      </w:r>
    </w:p>
    <w:p w14:paraId="678BA28C" w14:textId="01841066" w:rsidR="00621D46" w:rsidRPr="007607AD" w:rsidRDefault="00621D46" w:rsidP="00621D46">
      <w:pPr>
        <w:pStyle w:val="PageHeadingDec"/>
      </w:pPr>
    </w:p>
    <w:p w14:paraId="72E7CFBD" w14:textId="77777777" w:rsidR="00621D46" w:rsidRPr="007607AD" w:rsidRDefault="00621D46" w:rsidP="00621D46">
      <w:pPr>
        <w:pStyle w:val="PageHeadingNotTOC"/>
        <w:sectPr w:rsidR="00621D46" w:rsidRPr="007607AD" w:rsidSect="00783D9F">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153E6D" w14:textId="77777777" w:rsidR="00CC41B0" w:rsidRPr="007607AD" w:rsidRDefault="00CC41B0" w:rsidP="00CC41B0">
      <w:pPr>
        <w:pStyle w:val="ATHeading3"/>
      </w:pPr>
      <w:r w:rsidRPr="007607AD">
        <w:lastRenderedPageBreak/>
        <w:t xml:space="preserve">11. Sklep Evropskega parlamenta z dne 29. aprila 2026 o razrešnici glede izvrševanja proračuna Skupnega podjetja za evropsko </w:t>
      </w:r>
      <w:proofErr w:type="spellStart"/>
      <w:r w:rsidRPr="007607AD">
        <w:t>visokozmogljivostno</w:t>
      </w:r>
      <w:proofErr w:type="spellEnd"/>
      <w:r w:rsidRPr="007607AD">
        <w:t xml:space="preserve"> računalništvo za proračunsko leto 2024 (2025/2157(DEC))</w:t>
      </w:r>
    </w:p>
    <w:p w14:paraId="77FD5F73" w14:textId="77777777" w:rsidR="00621D46" w:rsidRPr="007607AD" w:rsidRDefault="00621D46" w:rsidP="00621D46">
      <w:pPr>
        <w:pStyle w:val="EPComma"/>
      </w:pPr>
      <w:r w:rsidRPr="007607AD">
        <w:rPr>
          <w:i/>
          <w:iCs/>
        </w:rPr>
        <w:t>Evropski parlament</w:t>
      </w:r>
      <w:r w:rsidRPr="007607AD">
        <w:t>,</w:t>
      </w:r>
    </w:p>
    <w:p w14:paraId="4E43B6A9" w14:textId="77777777" w:rsidR="00621D46" w:rsidRPr="007607AD" w:rsidRDefault="00621D46" w:rsidP="00621D46">
      <w:pPr>
        <w:pStyle w:val="NormalHanging12a"/>
      </w:pPr>
      <w:r w:rsidRPr="007607AD">
        <w:t>–</w:t>
      </w:r>
      <w:r w:rsidRPr="007607AD">
        <w:tab/>
        <w:t xml:space="preserve">ob upoštevanju končnega zaključnega računa Skupnega podjetja za evropsko </w:t>
      </w:r>
      <w:proofErr w:type="spellStart"/>
      <w:r w:rsidRPr="007607AD">
        <w:t>visokozmogljivostno</w:t>
      </w:r>
      <w:proofErr w:type="spellEnd"/>
      <w:r w:rsidRPr="007607AD">
        <w:t xml:space="preserve"> računalništvo za proračunsko leto 2024,</w:t>
      </w:r>
    </w:p>
    <w:p w14:paraId="16C36337"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61"/>
      </w:r>
      <w:r w:rsidRPr="007607AD">
        <w:t>,</w:t>
      </w:r>
    </w:p>
    <w:p w14:paraId="60C1E515"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62"/>
      </w:r>
      <w:r w:rsidRPr="007607AD">
        <w:t xml:space="preserve"> računovodskih izkazov ter zakonitosti in pravilnosti z njimi povezanih transakcij, ki jo je za proračunsko leto 2024 v skladu s členom 287 Pogodbe o delovanju Evropske unije pripravilo Računsko sodišče,</w:t>
      </w:r>
    </w:p>
    <w:p w14:paraId="097E4800"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4C9CD4A8" w14:textId="77777777" w:rsidR="00621D46" w:rsidRPr="007607AD" w:rsidRDefault="00621D46" w:rsidP="00621D46">
      <w:pPr>
        <w:pStyle w:val="NormalHanging12a"/>
      </w:pPr>
      <w:r w:rsidRPr="007607AD">
        <w:t>–</w:t>
      </w:r>
      <w:r w:rsidRPr="007607AD">
        <w:tab/>
        <w:t>ob upoštevanju člena 319 Pogodbe o delovanju Evropske unije,</w:t>
      </w:r>
    </w:p>
    <w:p w14:paraId="379714C3"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63"/>
      </w:r>
      <w:r w:rsidRPr="007607AD">
        <w:t xml:space="preserve"> in zlasti člena 71,</w:t>
      </w:r>
    </w:p>
    <w:p w14:paraId="3A044D9D" w14:textId="77B99EBB"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64"/>
      </w:r>
      <w:r w:rsidRPr="007607AD">
        <w:t xml:space="preserve">, </w:t>
      </w:r>
      <w:r w:rsidR="00F762FC">
        <w:t xml:space="preserve">in </w:t>
      </w:r>
      <w:r w:rsidRPr="007607AD">
        <w:t>zlasti člena 71,</w:t>
      </w:r>
    </w:p>
    <w:p w14:paraId="52225288" w14:textId="77777777" w:rsidR="00621D46" w:rsidRPr="007607AD" w:rsidRDefault="00621D46" w:rsidP="00621D46">
      <w:pPr>
        <w:pStyle w:val="NormalHanging12a"/>
      </w:pPr>
      <w:r w:rsidRPr="007607AD">
        <w:t>–</w:t>
      </w:r>
      <w:r w:rsidRPr="007607AD">
        <w:tab/>
        <w:t xml:space="preserve">ob upoštevanju Uredbe Sveta (EU) 2021/1173 z dne 13. julija 2021 o ustanovitvi Skupnega podjetja za evropsko </w:t>
      </w:r>
      <w:proofErr w:type="spellStart"/>
      <w:r w:rsidRPr="007607AD">
        <w:t>visokozmogljivostno</w:t>
      </w:r>
      <w:proofErr w:type="spellEnd"/>
      <w:r w:rsidRPr="007607AD">
        <w:t xml:space="preserve"> računalništvo in razveljavitvi Uredbe (EU) 2018/1488</w:t>
      </w:r>
      <w:r w:rsidRPr="007607AD">
        <w:rPr>
          <w:rStyle w:val="FootnoteReference"/>
        </w:rPr>
        <w:footnoteReference w:id="65"/>
      </w:r>
      <w:r w:rsidRPr="007607AD">
        <w:t xml:space="preserve"> in zlasti člena 19,</w:t>
      </w:r>
    </w:p>
    <w:p w14:paraId="09C504B9"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66"/>
      </w:r>
      <w:r w:rsidRPr="007607AD">
        <w:t>,</w:t>
      </w:r>
    </w:p>
    <w:p w14:paraId="6652F476" w14:textId="77777777" w:rsidR="00621D46" w:rsidRPr="007607AD" w:rsidRDefault="00621D46" w:rsidP="00621D46">
      <w:pPr>
        <w:pStyle w:val="NormalHanging12a"/>
      </w:pPr>
      <w:r w:rsidRPr="007607AD">
        <w:t>–</w:t>
      </w:r>
      <w:r w:rsidRPr="007607AD">
        <w:tab/>
        <w:t>ob upoštevanju člena 102 in Priloge V Poslovnika,</w:t>
      </w:r>
    </w:p>
    <w:p w14:paraId="1779491B"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22F65C6A" w14:textId="77777777" w:rsidR="00621D46" w:rsidRPr="007607AD" w:rsidRDefault="00621D46" w:rsidP="00621D46">
      <w:pPr>
        <w:pStyle w:val="NormalHanging12a"/>
      </w:pPr>
      <w:r w:rsidRPr="007607AD">
        <w:lastRenderedPageBreak/>
        <w:t>1.</w:t>
      </w:r>
      <w:r w:rsidRPr="007607AD">
        <w:tab/>
        <w:t xml:space="preserve">podeli razrešnico izvršnemu direktorju Skupnega podjetja za evropsko </w:t>
      </w:r>
      <w:proofErr w:type="spellStart"/>
      <w:r w:rsidRPr="007607AD">
        <w:t>visokozmogljivostno</w:t>
      </w:r>
      <w:proofErr w:type="spellEnd"/>
      <w:r w:rsidRPr="007607AD">
        <w:t xml:space="preserve"> računalništvo glede izvrševanja proračuna skupnega podjetja za proračunsko leto 2024;</w:t>
      </w:r>
    </w:p>
    <w:p w14:paraId="60440C8C" w14:textId="77777777" w:rsidR="00621D46" w:rsidRPr="007607AD" w:rsidRDefault="00621D46" w:rsidP="00621D46">
      <w:pPr>
        <w:pStyle w:val="NormalHanging12a"/>
      </w:pPr>
      <w:r w:rsidRPr="007607AD">
        <w:t>2.</w:t>
      </w:r>
      <w:r w:rsidRPr="007607AD">
        <w:tab/>
        <w:t>navaja svoje pripombe v spodnji resoluciji;</w:t>
      </w:r>
    </w:p>
    <w:p w14:paraId="2DA23FFC"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izvršnemu direktorju Skupnega podjetja za evropsko </w:t>
      </w:r>
      <w:proofErr w:type="spellStart"/>
      <w:r w:rsidRPr="007607AD">
        <w:t>visokozmogljivostno</w:t>
      </w:r>
      <w:proofErr w:type="spellEnd"/>
      <w:r w:rsidRPr="007607AD">
        <w:t xml:space="preserve"> računalništvo, Svetu, Komisiji in Računskemu sodišču ter poskrbi za objavo v </w:t>
      </w:r>
      <w:r w:rsidRPr="007607AD">
        <w:rPr>
          <w:i/>
          <w:iCs/>
        </w:rPr>
        <w:t>Uradnem listu Evropske unije</w:t>
      </w:r>
      <w:r w:rsidRPr="007607AD">
        <w:t xml:space="preserve"> (serija L).</w:t>
      </w:r>
    </w:p>
    <w:p w14:paraId="447D7A51" w14:textId="77777777" w:rsidR="00621D46" w:rsidRPr="007607AD" w:rsidRDefault="00621D46" w:rsidP="00621D46"/>
    <w:p w14:paraId="1CCA521D"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AC1E43" w14:textId="77777777" w:rsidR="00CC41B0" w:rsidRPr="007607AD" w:rsidRDefault="00CC41B0" w:rsidP="00CC41B0">
      <w:pPr>
        <w:pStyle w:val="ATHeading3"/>
      </w:pPr>
      <w:r w:rsidRPr="007607AD">
        <w:lastRenderedPageBreak/>
        <w:t xml:space="preserve">12. Sklep Evropskega parlamenta z dne 29. aprila 2026 o zaključnem računu Skupnega podjetja za evropsko </w:t>
      </w:r>
      <w:proofErr w:type="spellStart"/>
      <w:r w:rsidRPr="007607AD">
        <w:t>visokozmogljivostno</w:t>
      </w:r>
      <w:proofErr w:type="spellEnd"/>
      <w:r w:rsidRPr="007607AD">
        <w:t xml:space="preserve"> računalništvo za proračunsko leto 2024 (2025/2157(DEC))</w:t>
      </w:r>
    </w:p>
    <w:p w14:paraId="6DC3593C" w14:textId="77777777" w:rsidR="00621D46" w:rsidRPr="007607AD" w:rsidRDefault="00621D46" w:rsidP="00621D46">
      <w:pPr>
        <w:pStyle w:val="EPComma"/>
      </w:pPr>
      <w:r w:rsidRPr="007607AD">
        <w:rPr>
          <w:i/>
          <w:iCs/>
        </w:rPr>
        <w:t>Evropski parlament</w:t>
      </w:r>
      <w:r w:rsidRPr="007607AD">
        <w:t>,</w:t>
      </w:r>
    </w:p>
    <w:p w14:paraId="7A433579" w14:textId="77777777" w:rsidR="00621D46" w:rsidRPr="007607AD" w:rsidRDefault="00621D46" w:rsidP="00621D46">
      <w:pPr>
        <w:pStyle w:val="NormalHanging12a"/>
      </w:pPr>
      <w:r w:rsidRPr="007607AD">
        <w:t>–</w:t>
      </w:r>
      <w:r w:rsidRPr="007607AD">
        <w:tab/>
        <w:t xml:space="preserve">ob upoštevanju končnega zaključnega računa Skupnega podjetja za evropsko </w:t>
      </w:r>
      <w:proofErr w:type="spellStart"/>
      <w:r w:rsidRPr="007607AD">
        <w:t>visokozmogljivostno</w:t>
      </w:r>
      <w:proofErr w:type="spellEnd"/>
      <w:r w:rsidRPr="007607AD">
        <w:t xml:space="preserve"> računalništvo za proračunsko leto 2024,</w:t>
      </w:r>
    </w:p>
    <w:p w14:paraId="7F676BB3"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67"/>
      </w:r>
      <w:r w:rsidRPr="007607AD">
        <w:t>,</w:t>
      </w:r>
    </w:p>
    <w:p w14:paraId="3D9B9EE6"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68"/>
      </w:r>
      <w:r w:rsidRPr="007607AD">
        <w:t xml:space="preserve"> računovodskih izkazov ter zakonitosti in pravilnosti z njimi povezanih transakcij, ki jo je za proračunsko leto 2024 v skladu s členom 287 Pogodbe o delovanju Evropske unije pripravilo Računsko sodišče,</w:t>
      </w:r>
    </w:p>
    <w:p w14:paraId="162BB48D"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25BA3448" w14:textId="77777777" w:rsidR="00621D46" w:rsidRPr="007607AD" w:rsidRDefault="00621D46" w:rsidP="00621D46">
      <w:pPr>
        <w:pStyle w:val="NormalHanging12a"/>
      </w:pPr>
      <w:r w:rsidRPr="007607AD">
        <w:t>–</w:t>
      </w:r>
      <w:r w:rsidRPr="007607AD">
        <w:tab/>
        <w:t>ob upoštevanju člena 319 Pogodbe o delovanju Evropske unije,</w:t>
      </w:r>
    </w:p>
    <w:p w14:paraId="73746454"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69"/>
      </w:r>
      <w:r w:rsidRPr="007607AD">
        <w:t xml:space="preserve"> in zlasti člena 71,</w:t>
      </w:r>
    </w:p>
    <w:p w14:paraId="5339D0DE" w14:textId="09A98B89"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70"/>
      </w:r>
      <w:r w:rsidRPr="007607AD">
        <w:t xml:space="preserve">, </w:t>
      </w:r>
      <w:r w:rsidR="00F762FC">
        <w:t xml:space="preserve">in </w:t>
      </w:r>
      <w:r w:rsidRPr="007607AD">
        <w:t>zlasti člena 71,</w:t>
      </w:r>
    </w:p>
    <w:p w14:paraId="6C0EB348" w14:textId="77777777" w:rsidR="00621D46" w:rsidRPr="007607AD" w:rsidRDefault="00621D46" w:rsidP="00621D46">
      <w:pPr>
        <w:pStyle w:val="NormalHanging12a"/>
      </w:pPr>
      <w:r w:rsidRPr="007607AD">
        <w:t>–</w:t>
      </w:r>
      <w:r w:rsidRPr="007607AD">
        <w:tab/>
        <w:t xml:space="preserve">ob upoštevanju Uredbe Sveta (EU) 2021/1173 z dne 13. julija 2021 o ustanovitvi Skupnega podjetja za evropsko </w:t>
      </w:r>
      <w:proofErr w:type="spellStart"/>
      <w:r w:rsidRPr="007607AD">
        <w:t>visokozmogljivostno</w:t>
      </w:r>
      <w:proofErr w:type="spellEnd"/>
      <w:r w:rsidRPr="007607AD">
        <w:t xml:space="preserve"> računalništvo in razveljavitvi Uredbe (EU) 2018/1488</w:t>
      </w:r>
      <w:r w:rsidRPr="007607AD">
        <w:rPr>
          <w:rStyle w:val="FootnoteReference"/>
        </w:rPr>
        <w:footnoteReference w:id="71"/>
      </w:r>
      <w:r w:rsidRPr="007607AD">
        <w:t xml:space="preserve"> in zlasti člena 19,</w:t>
      </w:r>
    </w:p>
    <w:p w14:paraId="0B00BACF"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72"/>
      </w:r>
      <w:r w:rsidRPr="007607AD">
        <w:t>,</w:t>
      </w:r>
    </w:p>
    <w:p w14:paraId="360B4F2C" w14:textId="77777777" w:rsidR="00621D46" w:rsidRPr="007607AD" w:rsidRDefault="00621D46" w:rsidP="00621D46">
      <w:pPr>
        <w:pStyle w:val="NormalHanging12a"/>
      </w:pPr>
      <w:r w:rsidRPr="007607AD">
        <w:t>–</w:t>
      </w:r>
      <w:r w:rsidRPr="007607AD">
        <w:tab/>
        <w:t>ob upoštevanju člena 102 in Priloge V Poslovnika,</w:t>
      </w:r>
    </w:p>
    <w:p w14:paraId="6AE918C2"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0B67B926" w14:textId="77777777" w:rsidR="00621D46" w:rsidRPr="007607AD" w:rsidRDefault="00621D46" w:rsidP="00621D46">
      <w:pPr>
        <w:pStyle w:val="NormalHanging12a"/>
      </w:pPr>
      <w:r w:rsidRPr="007607AD">
        <w:lastRenderedPageBreak/>
        <w:t>1.</w:t>
      </w:r>
      <w:r w:rsidRPr="007607AD">
        <w:tab/>
        <w:t xml:space="preserve">odobri zaključni račun Skupnega podjetja za evropsko </w:t>
      </w:r>
      <w:proofErr w:type="spellStart"/>
      <w:r w:rsidRPr="007607AD">
        <w:t>visokozmogljivostno</w:t>
      </w:r>
      <w:proofErr w:type="spellEnd"/>
      <w:r w:rsidRPr="007607AD">
        <w:t xml:space="preserve"> računalništvo za proračunsko leto 2024;</w:t>
      </w:r>
    </w:p>
    <w:p w14:paraId="2536A539" w14:textId="77777777" w:rsidR="00621D46" w:rsidRPr="007607AD" w:rsidRDefault="00621D46" w:rsidP="00621D46">
      <w:pPr>
        <w:pStyle w:val="NormalHanging12a"/>
      </w:pPr>
      <w:r w:rsidRPr="007607AD">
        <w:t>2.</w:t>
      </w:r>
      <w:r w:rsidRPr="007607AD">
        <w:tab/>
        <w:t xml:space="preserve">naroči svoji predsednici, naj ta sklep posreduje izvršnemu direktorju Skupnega podjetja za evropsko </w:t>
      </w:r>
      <w:proofErr w:type="spellStart"/>
      <w:r w:rsidRPr="007607AD">
        <w:t>visokozmogljivostno</w:t>
      </w:r>
      <w:proofErr w:type="spellEnd"/>
      <w:r w:rsidRPr="007607AD">
        <w:t xml:space="preserve"> računalništvo, Svetu, Komisiji in Računskemu sodišču ter poskrbi za objavo v </w:t>
      </w:r>
      <w:r w:rsidRPr="007607AD">
        <w:rPr>
          <w:i/>
          <w:iCs/>
        </w:rPr>
        <w:t>Uradnem listu Evropske unije</w:t>
      </w:r>
      <w:r w:rsidRPr="007607AD">
        <w:t xml:space="preserve"> (serija L).</w:t>
      </w:r>
    </w:p>
    <w:p w14:paraId="23A43C9D" w14:textId="6F527567" w:rsidR="00621D46" w:rsidRPr="007607AD" w:rsidRDefault="00621D46" w:rsidP="00621D46">
      <w:pPr>
        <w:pStyle w:val="PageHeadingDec"/>
      </w:pPr>
    </w:p>
    <w:p w14:paraId="6EB60F5A" w14:textId="77777777" w:rsidR="00621D46" w:rsidRPr="007607AD" w:rsidRDefault="00621D46" w:rsidP="00621D46">
      <w:pPr>
        <w:sectPr w:rsidR="00621D46" w:rsidRPr="007607AD" w:rsidSect="00783D9F">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7AC469" w14:textId="77777777" w:rsidR="00CC41B0" w:rsidRPr="007607AD" w:rsidRDefault="00CC41B0" w:rsidP="00CC41B0">
      <w:pPr>
        <w:pStyle w:val="ATHeading3"/>
      </w:pPr>
      <w:r w:rsidRPr="007607AD">
        <w:lastRenderedPageBreak/>
        <w:t>13. Sklep Evropskega parlamenta z dne 29. aprila 2026 o razrešnici glede izvrševanja proračuna Evropskega skupnega podjetja za ITER in razvoj fuzijske energije za proračunsko leto 2024 (2025/2157(DEC))</w:t>
      </w:r>
    </w:p>
    <w:p w14:paraId="17D5073F" w14:textId="77777777" w:rsidR="00621D46" w:rsidRPr="007607AD" w:rsidRDefault="00621D46" w:rsidP="00621D46">
      <w:pPr>
        <w:pStyle w:val="EPComma"/>
      </w:pPr>
      <w:r w:rsidRPr="007607AD">
        <w:rPr>
          <w:i/>
          <w:iCs/>
        </w:rPr>
        <w:t>Evropski parlament</w:t>
      </w:r>
      <w:r w:rsidRPr="007607AD">
        <w:t>,</w:t>
      </w:r>
    </w:p>
    <w:p w14:paraId="6283AD43" w14:textId="77777777" w:rsidR="00621D46" w:rsidRPr="007607AD" w:rsidRDefault="00621D46" w:rsidP="00621D46">
      <w:pPr>
        <w:pStyle w:val="NormalHanging12a"/>
      </w:pPr>
      <w:r w:rsidRPr="007607AD">
        <w:t>–</w:t>
      </w:r>
      <w:r w:rsidRPr="007607AD">
        <w:tab/>
        <w:t>ob upoštevanju končnega zaključnega računa Evropskega skupnega podjetja za ITER in razvoj fuzijske energije za proračunsko leto 2024,</w:t>
      </w:r>
    </w:p>
    <w:p w14:paraId="709AD813"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73"/>
      </w:r>
      <w:r w:rsidRPr="007607AD">
        <w:t>,</w:t>
      </w:r>
    </w:p>
    <w:p w14:paraId="7F6050F4"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74"/>
      </w:r>
      <w:r w:rsidRPr="007607AD">
        <w:t xml:space="preserve"> računovodskih izkazov ter zakonitosti in pravilnosti z njimi povezanih transakcij, ki jo je za proračunsko leto 2024 v skladu s členom 287 Pogodbe o delovanju Evropske unije pripravilo Računsko sodišče,</w:t>
      </w:r>
    </w:p>
    <w:p w14:paraId="2D0E8AD1"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21F0363D" w14:textId="77777777" w:rsidR="00621D46" w:rsidRPr="007607AD" w:rsidRDefault="00621D46" w:rsidP="00621D46">
      <w:pPr>
        <w:pStyle w:val="NormalHanging12a"/>
      </w:pPr>
      <w:r w:rsidRPr="007607AD">
        <w:t>–</w:t>
      </w:r>
      <w:r w:rsidRPr="007607AD">
        <w:tab/>
        <w:t>ob upoštevanju člena 319 Pogodbe o delovanju Evropske unije,</w:t>
      </w:r>
    </w:p>
    <w:p w14:paraId="175D927C" w14:textId="77777777" w:rsidR="00621D46" w:rsidRPr="007607AD" w:rsidRDefault="00621D46" w:rsidP="00621D46">
      <w:pPr>
        <w:pStyle w:val="NormalHanging12a"/>
      </w:pPr>
      <w:r w:rsidRPr="007607AD">
        <w:t>–</w:t>
      </w:r>
      <w:r w:rsidRPr="007607AD">
        <w:tab/>
        <w:t>ob upoštevanju člena 106a Pogodbe o ustanovitvi Evropske skupnosti za jedrsko energijo,</w:t>
      </w:r>
    </w:p>
    <w:p w14:paraId="7BC96E18"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75"/>
      </w:r>
      <w:r w:rsidRPr="007607AD">
        <w:t xml:space="preserve"> in zlasti člena 70,</w:t>
      </w:r>
    </w:p>
    <w:p w14:paraId="799180C2" w14:textId="576EF927"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76"/>
      </w:r>
      <w:r w:rsidRPr="007607AD">
        <w:t xml:space="preserve">, </w:t>
      </w:r>
      <w:r w:rsidR="00F762FC">
        <w:t xml:space="preserve">in </w:t>
      </w:r>
      <w:r w:rsidRPr="007607AD">
        <w:t>zlasti člena 70,</w:t>
      </w:r>
    </w:p>
    <w:p w14:paraId="5E057DFF" w14:textId="77777777" w:rsidR="00621D46" w:rsidRPr="007607AD" w:rsidRDefault="00621D46" w:rsidP="00621D46">
      <w:pPr>
        <w:pStyle w:val="NormalHanging12a"/>
      </w:pPr>
      <w:r w:rsidRPr="007607AD">
        <w:t>–</w:t>
      </w:r>
      <w:r w:rsidRPr="007607AD">
        <w:tab/>
        <w:t>ob upoštevanju Odločbe Sveta 2007/198/Euratom z dne 27. marca 2007 o ustanovitvi Evropskega skupnega podjetja za ITER in razvoj fuzijske energije ter dodelitvi prednosti le-temu</w:t>
      </w:r>
      <w:r w:rsidRPr="007607AD">
        <w:rPr>
          <w:rStyle w:val="FootnoteReference"/>
        </w:rPr>
        <w:footnoteReference w:id="77"/>
      </w:r>
      <w:r w:rsidRPr="007607AD">
        <w:t xml:space="preserve"> in zlasti člena 5,</w:t>
      </w:r>
    </w:p>
    <w:p w14:paraId="13BF92A8" w14:textId="77777777" w:rsidR="00621D46" w:rsidRPr="007607AD" w:rsidRDefault="00621D46" w:rsidP="00621D46">
      <w:pPr>
        <w:pStyle w:val="NormalHanging12a"/>
      </w:pPr>
      <w:r w:rsidRPr="007607AD">
        <w:t>–</w:t>
      </w:r>
      <w:r w:rsidRPr="007607AD">
        <w:tab/>
        <w:t>ob upoštevanju Delegirane uredbe Komisije (EU) 2019/715 z dne 18. decembra 2018 o okvirni finančni uredbi za organe, ustanovljene na podlagi PDEU in Pogodbe Euratom, iz člena 70 Uredbe (EU, Euratom) 2018/1046 Evropskega parlamenta in Sveta</w:t>
      </w:r>
      <w:r w:rsidRPr="007607AD">
        <w:rPr>
          <w:rStyle w:val="FootnoteReference"/>
        </w:rPr>
        <w:footnoteReference w:id="78"/>
      </w:r>
      <w:r w:rsidRPr="007607AD">
        <w:t>,</w:t>
      </w:r>
    </w:p>
    <w:p w14:paraId="3769E38A" w14:textId="77777777" w:rsidR="00621D46" w:rsidRPr="007607AD" w:rsidRDefault="00621D46" w:rsidP="00621D46">
      <w:pPr>
        <w:pStyle w:val="NormalHanging12a"/>
      </w:pPr>
      <w:r w:rsidRPr="007607AD">
        <w:lastRenderedPageBreak/>
        <w:t>–</w:t>
      </w:r>
      <w:r w:rsidRPr="007607AD">
        <w:tab/>
        <w:t>ob upoštevanju člena 102 in Priloge V Poslovnika,</w:t>
      </w:r>
    </w:p>
    <w:p w14:paraId="744AFAEC"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7B892F1C" w14:textId="77777777" w:rsidR="00621D46" w:rsidRPr="007607AD" w:rsidRDefault="00621D46" w:rsidP="00621D46">
      <w:pPr>
        <w:pStyle w:val="NormalHanging12a"/>
      </w:pPr>
      <w:r w:rsidRPr="007607AD">
        <w:t>1.</w:t>
      </w:r>
      <w:r w:rsidRPr="007607AD">
        <w:tab/>
        <w:t>podeli razrešnico direktorju Evropskega skupnega podjetja za ITER in razvoj fuzijske energije glede izvrševanja proračuna skupnega podjetja za proračunsko leto 2024,</w:t>
      </w:r>
    </w:p>
    <w:p w14:paraId="58E13D48" w14:textId="77777777" w:rsidR="00621D46" w:rsidRPr="007607AD" w:rsidRDefault="00621D46" w:rsidP="00621D46">
      <w:pPr>
        <w:pStyle w:val="NormalHanging12a"/>
      </w:pPr>
      <w:r w:rsidRPr="007607AD">
        <w:t>2.</w:t>
      </w:r>
      <w:r w:rsidRPr="007607AD">
        <w:tab/>
        <w:t>navaja svoje pripombe v spodnji resoluciji;</w:t>
      </w:r>
    </w:p>
    <w:p w14:paraId="53F8D397"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direktorju Skupnega podjetja za ITER in razvoj fuzijske energije, Svetu, Komisiji in Računskemu sodišču ter poskrbi za objavo v </w:t>
      </w:r>
      <w:r w:rsidRPr="007607AD">
        <w:rPr>
          <w:i/>
          <w:iCs/>
        </w:rPr>
        <w:t>Uradnem listu Evropske unije</w:t>
      </w:r>
      <w:r w:rsidRPr="007607AD">
        <w:t xml:space="preserve"> (serija L).</w:t>
      </w:r>
    </w:p>
    <w:p w14:paraId="0BDA18EE" w14:textId="77777777" w:rsidR="00621D46" w:rsidRPr="007607AD" w:rsidRDefault="00621D46" w:rsidP="00621D46"/>
    <w:p w14:paraId="48FB2A78"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AB12A4" w14:textId="77777777" w:rsidR="00CC41B0" w:rsidRPr="007607AD" w:rsidRDefault="00CC41B0" w:rsidP="00CC41B0">
      <w:pPr>
        <w:pStyle w:val="ATHeading3"/>
      </w:pPr>
      <w:r w:rsidRPr="007607AD">
        <w:lastRenderedPageBreak/>
        <w:t>14. Sklep Evropskega parlamenta z dne 29. aprila 2026 o zaključnem računu Evropskega skupnega podjetja za ITER in razvoj fuzijske energije za proračunsko leto 2024 (2025/2157(DEC))</w:t>
      </w:r>
    </w:p>
    <w:p w14:paraId="094B4ABE" w14:textId="77777777" w:rsidR="00621D46" w:rsidRPr="007607AD" w:rsidRDefault="00621D46" w:rsidP="00621D46">
      <w:pPr>
        <w:pStyle w:val="EPComma"/>
      </w:pPr>
      <w:r w:rsidRPr="007607AD">
        <w:rPr>
          <w:i/>
          <w:iCs/>
        </w:rPr>
        <w:t>Evropski parlament</w:t>
      </w:r>
      <w:r w:rsidRPr="007607AD">
        <w:t>,</w:t>
      </w:r>
    </w:p>
    <w:p w14:paraId="287F208F" w14:textId="77777777" w:rsidR="00621D46" w:rsidRPr="007607AD" w:rsidRDefault="00621D46" w:rsidP="00621D46">
      <w:pPr>
        <w:pStyle w:val="NormalHanging12a"/>
      </w:pPr>
      <w:r w:rsidRPr="007607AD">
        <w:t>–</w:t>
      </w:r>
      <w:r w:rsidRPr="007607AD">
        <w:tab/>
        <w:t>ob upoštevanju končnega zaključnega računa Evropskega skupnega podjetja za ITER in razvoj fuzijske energije za proračunsko leto 2024,</w:t>
      </w:r>
    </w:p>
    <w:p w14:paraId="3010D701"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79"/>
      </w:r>
      <w:r w:rsidRPr="007607AD">
        <w:t>,</w:t>
      </w:r>
    </w:p>
    <w:p w14:paraId="11151F07"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80"/>
      </w:r>
      <w:r w:rsidRPr="007607AD">
        <w:t xml:space="preserve"> računovodskih izkazov ter zakonitosti in pravilnosti z njimi povezanih transakcij, ki jo je za proračunsko leto 2024 v skladu s členom 287 Pogodbe o delovanju Evropske unije pripravilo Računsko sodišče,</w:t>
      </w:r>
    </w:p>
    <w:p w14:paraId="725404F7"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1C4F6521" w14:textId="77777777" w:rsidR="00621D46" w:rsidRPr="007607AD" w:rsidRDefault="00621D46" w:rsidP="00621D46">
      <w:pPr>
        <w:pStyle w:val="NormalHanging12a"/>
      </w:pPr>
      <w:r w:rsidRPr="007607AD">
        <w:t>–</w:t>
      </w:r>
      <w:r w:rsidRPr="007607AD">
        <w:tab/>
        <w:t>ob upoštevanju člena 319 Pogodbe o delovanju Evropske unije,</w:t>
      </w:r>
    </w:p>
    <w:p w14:paraId="2CE75DF5" w14:textId="77777777" w:rsidR="00621D46" w:rsidRPr="007607AD" w:rsidRDefault="00621D46" w:rsidP="00621D46">
      <w:pPr>
        <w:pStyle w:val="NormalHanging12a"/>
      </w:pPr>
      <w:r w:rsidRPr="007607AD">
        <w:t>–</w:t>
      </w:r>
      <w:r w:rsidRPr="007607AD">
        <w:tab/>
        <w:t>ob upoštevanju člena 106a Pogodbe o ustanovitvi Evropske skupnosti za jedrsko energijo,</w:t>
      </w:r>
    </w:p>
    <w:p w14:paraId="430C57F8"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81"/>
      </w:r>
      <w:r w:rsidRPr="007607AD">
        <w:t xml:space="preserve"> in zlasti člena 70,</w:t>
      </w:r>
    </w:p>
    <w:p w14:paraId="4B97A860" w14:textId="20C108CE"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82"/>
      </w:r>
      <w:r w:rsidRPr="007607AD">
        <w:t xml:space="preserve">, </w:t>
      </w:r>
      <w:r w:rsidR="00F762FC">
        <w:t xml:space="preserve">in </w:t>
      </w:r>
      <w:r w:rsidRPr="007607AD">
        <w:t>zlasti člena 70,</w:t>
      </w:r>
    </w:p>
    <w:p w14:paraId="14233834" w14:textId="77777777" w:rsidR="00621D46" w:rsidRPr="007607AD" w:rsidRDefault="00621D46" w:rsidP="00621D46">
      <w:pPr>
        <w:pStyle w:val="NormalHanging12a"/>
      </w:pPr>
      <w:r w:rsidRPr="007607AD">
        <w:t>–</w:t>
      </w:r>
      <w:r w:rsidRPr="007607AD">
        <w:tab/>
        <w:t>ob upoštevanju Odločbe Sveta 2007/198/Euratom z dne 27. marca 2007 o ustanovitvi Evropskega skupnega podjetja za ITER in razvoj fuzijske energije ter dodelitvi prednosti le-temu</w:t>
      </w:r>
      <w:r w:rsidRPr="007607AD">
        <w:rPr>
          <w:rStyle w:val="FootnoteReference"/>
        </w:rPr>
        <w:footnoteReference w:id="83"/>
      </w:r>
      <w:r w:rsidRPr="007607AD">
        <w:t xml:space="preserve"> in zlasti člena 5,</w:t>
      </w:r>
    </w:p>
    <w:p w14:paraId="262FE7C0" w14:textId="77777777" w:rsidR="00621D46" w:rsidRPr="007607AD" w:rsidRDefault="00621D46" w:rsidP="00621D46">
      <w:pPr>
        <w:pStyle w:val="NormalHanging12a"/>
      </w:pPr>
      <w:r w:rsidRPr="007607AD">
        <w:t>–</w:t>
      </w:r>
      <w:r w:rsidRPr="007607AD">
        <w:tab/>
        <w:t>ob upoštevanju Delegirane uredbe Komisije (EU) 2019/715 z dne 18. decembra 2018 o okvirni finančni uredbi za organe, ustanovljene na podlagi PDEU in Pogodbe Euratom, iz člena 70 Uredbe (EU, Euratom) 2018/1046 Evropskega parlamenta in Sveta</w:t>
      </w:r>
      <w:r w:rsidRPr="007607AD">
        <w:rPr>
          <w:rStyle w:val="FootnoteReference"/>
        </w:rPr>
        <w:footnoteReference w:id="84"/>
      </w:r>
      <w:r w:rsidRPr="007607AD">
        <w:t>,</w:t>
      </w:r>
    </w:p>
    <w:p w14:paraId="16DA87D2" w14:textId="77777777" w:rsidR="00621D46" w:rsidRPr="007607AD" w:rsidRDefault="00621D46" w:rsidP="00621D46">
      <w:pPr>
        <w:pStyle w:val="NormalHanging12a"/>
      </w:pPr>
      <w:r w:rsidRPr="007607AD">
        <w:lastRenderedPageBreak/>
        <w:t>–</w:t>
      </w:r>
      <w:r w:rsidRPr="007607AD">
        <w:tab/>
        <w:t>ob upoštevanju člena 102 in Priloge V Poslovnika,</w:t>
      </w:r>
    </w:p>
    <w:p w14:paraId="58993950"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09388A7B" w14:textId="77777777" w:rsidR="00621D46" w:rsidRPr="007607AD" w:rsidRDefault="00621D46" w:rsidP="00621D46">
      <w:pPr>
        <w:pStyle w:val="NormalHanging12a"/>
      </w:pPr>
      <w:r w:rsidRPr="007607AD">
        <w:t>1.</w:t>
      </w:r>
      <w:r w:rsidRPr="007607AD">
        <w:tab/>
        <w:t>odobri zaključni račun Evropskega skupnega podjetja za ITER in razvoj fuzijske energije za proračunsko leto 2024;</w:t>
      </w:r>
    </w:p>
    <w:p w14:paraId="5925510C" w14:textId="77777777" w:rsidR="00621D46" w:rsidRPr="007607AD" w:rsidRDefault="00621D46" w:rsidP="00621D46">
      <w:pPr>
        <w:pStyle w:val="NormalHanging12a"/>
      </w:pPr>
      <w:r w:rsidRPr="007607AD">
        <w:t>2.</w:t>
      </w:r>
      <w:r w:rsidRPr="007607AD">
        <w:tab/>
        <w:t xml:space="preserve">naroči svoji predsednici, naj ta sklep posreduje direktorju Skupnega podjetja za ITER in razvoj fuzijske energije, Svetu, Komisiji in Računskemu sodišču ter poskrbi za objavo v </w:t>
      </w:r>
      <w:r w:rsidRPr="007607AD">
        <w:rPr>
          <w:i/>
          <w:iCs/>
        </w:rPr>
        <w:t>Uradnem listu Evropske unije</w:t>
      </w:r>
      <w:r w:rsidRPr="007607AD">
        <w:t xml:space="preserve"> (serija L).</w:t>
      </w:r>
    </w:p>
    <w:p w14:paraId="02387B48" w14:textId="34DB27D4" w:rsidR="00621D46" w:rsidRPr="007607AD" w:rsidRDefault="00621D46" w:rsidP="00621D46">
      <w:pPr>
        <w:pStyle w:val="PageHeadingDec"/>
      </w:pPr>
    </w:p>
    <w:p w14:paraId="4BDE26A3" w14:textId="77777777" w:rsidR="00621D46" w:rsidRPr="007607AD" w:rsidRDefault="00621D46" w:rsidP="00621D46">
      <w:pPr>
        <w:pStyle w:val="PageHeadingNotTOC"/>
        <w:sectPr w:rsidR="00621D46" w:rsidRPr="007607AD" w:rsidSect="00783D9F">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FDC97B9" w14:textId="77777777" w:rsidR="00CC41B0" w:rsidRPr="007607AD" w:rsidRDefault="00CC41B0" w:rsidP="00CC41B0">
      <w:pPr>
        <w:pStyle w:val="ATHeading3"/>
      </w:pPr>
      <w:r w:rsidRPr="007607AD">
        <w:lastRenderedPageBreak/>
        <w:t>15. Sklep Evropskega parlamenta z dne 29. aprila 2026 o razrešnici glede izvrševanja proračuna Skupnega podjetja za svetovno zdravje EDCTP3 za proračunsko leto 2024 (2025/2157(DEC))</w:t>
      </w:r>
    </w:p>
    <w:p w14:paraId="36199BF2" w14:textId="77777777" w:rsidR="00621D46" w:rsidRPr="007607AD" w:rsidRDefault="00621D46" w:rsidP="00621D46">
      <w:pPr>
        <w:pStyle w:val="EPComma"/>
      </w:pPr>
      <w:r w:rsidRPr="007607AD">
        <w:rPr>
          <w:i/>
          <w:iCs/>
        </w:rPr>
        <w:t>Evropski parlament</w:t>
      </w:r>
      <w:r w:rsidRPr="007607AD">
        <w:t>,</w:t>
      </w:r>
    </w:p>
    <w:p w14:paraId="0F806497" w14:textId="77777777" w:rsidR="00621D46" w:rsidRPr="007607AD" w:rsidRDefault="00621D46" w:rsidP="00621D46">
      <w:pPr>
        <w:pStyle w:val="NormalHanging12a"/>
      </w:pPr>
      <w:r w:rsidRPr="007607AD">
        <w:t>–</w:t>
      </w:r>
      <w:r w:rsidRPr="007607AD">
        <w:tab/>
        <w:t>ob upoštevanju končnega zaključnega računa Skupnega podjetja za svetovno zdravje EDCTP3 za proračunsko leto 2024,</w:t>
      </w:r>
    </w:p>
    <w:p w14:paraId="4B9FA7E2"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85"/>
      </w:r>
      <w:r w:rsidRPr="007607AD">
        <w:t>,</w:t>
      </w:r>
    </w:p>
    <w:p w14:paraId="46F85754"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86"/>
      </w:r>
      <w:r w:rsidRPr="007607AD">
        <w:t xml:space="preserve"> računovodskih izkazov ter zakonitosti in pravilnosti z njimi povezanih transakcij, ki jo je za proračunsko leto 2024 v skladu s členom 287 Pogodbe o delovanju Evropske unije pripravilo Računsko sodišče,</w:t>
      </w:r>
    </w:p>
    <w:p w14:paraId="403AFD45"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32130C0B" w14:textId="77777777" w:rsidR="00621D46" w:rsidRPr="007607AD" w:rsidRDefault="00621D46" w:rsidP="00621D46">
      <w:pPr>
        <w:pStyle w:val="NormalHanging12a"/>
      </w:pPr>
      <w:r w:rsidRPr="007607AD">
        <w:t>–</w:t>
      </w:r>
      <w:r w:rsidRPr="007607AD">
        <w:tab/>
        <w:t>ob upoštevanju člena 319 Pogodbe o delovanju Evropske unije,</w:t>
      </w:r>
    </w:p>
    <w:p w14:paraId="1FC1E2E1"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87"/>
      </w:r>
      <w:r w:rsidRPr="007607AD">
        <w:t xml:space="preserve"> in zlasti člena 71,</w:t>
      </w:r>
    </w:p>
    <w:p w14:paraId="6C29A641" w14:textId="6D8C4100"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88"/>
      </w:r>
      <w:r w:rsidRPr="007607AD">
        <w:t xml:space="preserve">, </w:t>
      </w:r>
      <w:r w:rsidR="00F762FC">
        <w:t xml:space="preserve">in </w:t>
      </w:r>
      <w:r w:rsidRPr="007607AD">
        <w:t>zlasti člena 71,</w:t>
      </w:r>
    </w:p>
    <w:p w14:paraId="14DC079F"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89"/>
      </w:r>
      <w:r w:rsidRPr="007607AD">
        <w:t xml:space="preserve"> in zlasti člena 26,</w:t>
      </w:r>
    </w:p>
    <w:p w14:paraId="581D29EA"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90"/>
      </w:r>
      <w:r w:rsidRPr="007607AD">
        <w:t>,</w:t>
      </w:r>
    </w:p>
    <w:p w14:paraId="71DDD6F6" w14:textId="77777777" w:rsidR="00621D46" w:rsidRPr="007607AD" w:rsidRDefault="00621D46" w:rsidP="00621D46">
      <w:pPr>
        <w:pStyle w:val="NormalHanging12a"/>
      </w:pPr>
      <w:r w:rsidRPr="007607AD">
        <w:t>–</w:t>
      </w:r>
      <w:r w:rsidRPr="007607AD">
        <w:tab/>
        <w:t>ob upoštevanju člena 102 in Priloge V Poslovnika,</w:t>
      </w:r>
    </w:p>
    <w:p w14:paraId="668C9D37" w14:textId="77777777" w:rsidR="00621D46" w:rsidRPr="007607AD" w:rsidRDefault="00621D46" w:rsidP="00621D46">
      <w:pPr>
        <w:pStyle w:val="NormalHanging12a"/>
      </w:pPr>
      <w:r w:rsidRPr="007607AD">
        <w:lastRenderedPageBreak/>
        <w:t>–</w:t>
      </w:r>
      <w:r w:rsidRPr="007607AD">
        <w:tab/>
        <w:t>ob upoštevanju poročila Odbora za proračunski nadzor (A10</w:t>
      </w:r>
      <w:r w:rsidRPr="007607AD">
        <w:noBreakHyphen/>
        <w:t>0046/2026),</w:t>
      </w:r>
    </w:p>
    <w:p w14:paraId="3B783EF1" w14:textId="77777777" w:rsidR="00621D46" w:rsidRPr="007607AD" w:rsidRDefault="00621D46" w:rsidP="00621D46">
      <w:pPr>
        <w:pStyle w:val="NormalHanging12a"/>
      </w:pPr>
      <w:r w:rsidRPr="007607AD">
        <w:t>1.</w:t>
      </w:r>
      <w:r w:rsidRPr="007607AD">
        <w:tab/>
        <w:t>podeli razrešnico izvršnemu direktorju Skupnega podjetja za svetovno zdravje EDCTP3 glede izvrševanja proračuna skupnega podjetja za proračunsko leto 2024;</w:t>
      </w:r>
    </w:p>
    <w:p w14:paraId="0F1375FA" w14:textId="77777777" w:rsidR="00621D46" w:rsidRPr="007607AD" w:rsidRDefault="00621D46" w:rsidP="00621D46">
      <w:pPr>
        <w:pStyle w:val="NormalHanging12a"/>
      </w:pPr>
      <w:r w:rsidRPr="007607AD">
        <w:t>2.</w:t>
      </w:r>
      <w:r w:rsidRPr="007607AD">
        <w:tab/>
        <w:t>navaja svoje pripombe v spodnji resoluciji;</w:t>
      </w:r>
    </w:p>
    <w:p w14:paraId="78A1A3CD"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izvršnemu direktorju Skupnega podjetja za svetovno zdravje EDCTP3, Svetu, Komisiji in Računskemu sodišču ter poskrbi za objavo v </w:t>
      </w:r>
      <w:r w:rsidRPr="007607AD">
        <w:rPr>
          <w:i/>
          <w:iCs/>
        </w:rPr>
        <w:t>Uradnem listu Evropske unije</w:t>
      </w:r>
      <w:r w:rsidRPr="007607AD">
        <w:t xml:space="preserve"> (serija L).</w:t>
      </w:r>
    </w:p>
    <w:p w14:paraId="6C15E136" w14:textId="77777777" w:rsidR="00621D46" w:rsidRPr="007607AD" w:rsidRDefault="00621D46" w:rsidP="00621D46"/>
    <w:p w14:paraId="1E6DCAA2"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AFA699D" w14:textId="77777777" w:rsidR="00CC41B0" w:rsidRPr="007607AD" w:rsidRDefault="00CC41B0" w:rsidP="00CC41B0">
      <w:pPr>
        <w:pStyle w:val="ATHeading3"/>
      </w:pPr>
      <w:r w:rsidRPr="007607AD">
        <w:lastRenderedPageBreak/>
        <w:t>16. Sklep Evropskega parlamenta z dne 29. aprila 2026 o zaključnem računu Skupnega podjetja za svetovno zdravje EDCTP3 za proračunsko leto 2024 (2025/2157(DEC))</w:t>
      </w:r>
    </w:p>
    <w:p w14:paraId="59BF31E7" w14:textId="77777777" w:rsidR="00621D46" w:rsidRPr="007607AD" w:rsidRDefault="00621D46" w:rsidP="00621D46">
      <w:pPr>
        <w:pStyle w:val="EPComma"/>
      </w:pPr>
      <w:r w:rsidRPr="007607AD">
        <w:rPr>
          <w:i/>
          <w:iCs/>
        </w:rPr>
        <w:t>Evropski parlament</w:t>
      </w:r>
      <w:r w:rsidRPr="007607AD">
        <w:t>,</w:t>
      </w:r>
    </w:p>
    <w:p w14:paraId="16EA534C" w14:textId="77777777" w:rsidR="00621D46" w:rsidRPr="007607AD" w:rsidRDefault="00621D46" w:rsidP="00621D46">
      <w:pPr>
        <w:pStyle w:val="NormalHanging12a"/>
      </w:pPr>
      <w:r w:rsidRPr="007607AD">
        <w:t>–</w:t>
      </w:r>
      <w:r w:rsidRPr="007607AD">
        <w:tab/>
        <w:t>ob upoštevanju končnega zaključnega računa Skupnega podjetja za svetovno zdravje EDCTP3 za proračunsko leto 2024,</w:t>
      </w:r>
    </w:p>
    <w:p w14:paraId="368A3F0F"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91"/>
      </w:r>
      <w:r w:rsidRPr="007607AD">
        <w:t>,</w:t>
      </w:r>
    </w:p>
    <w:p w14:paraId="70A201FB"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92"/>
      </w:r>
      <w:r w:rsidRPr="007607AD">
        <w:t xml:space="preserve"> računovodskih izkazov ter zakonitosti in pravilnosti z njimi povezanih transakcij, ki jo je za proračunsko leto 2024 v skladu s členom 287 Pogodbe o delovanju Evropske unije pripravilo Računsko sodišče,</w:t>
      </w:r>
    </w:p>
    <w:p w14:paraId="1232EABB"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4663B4D1" w14:textId="77777777" w:rsidR="00621D46" w:rsidRPr="007607AD" w:rsidRDefault="00621D46" w:rsidP="00621D46">
      <w:pPr>
        <w:pStyle w:val="NormalHanging12a"/>
      </w:pPr>
      <w:r w:rsidRPr="007607AD">
        <w:t>–</w:t>
      </w:r>
      <w:r w:rsidRPr="007607AD">
        <w:tab/>
        <w:t>ob upoštevanju člena 319 Pogodbe o delovanju Evropske unije,</w:t>
      </w:r>
    </w:p>
    <w:p w14:paraId="7A1C8832"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93"/>
      </w:r>
      <w:r w:rsidRPr="007607AD">
        <w:t xml:space="preserve"> in zlasti člena 71,</w:t>
      </w:r>
    </w:p>
    <w:p w14:paraId="33A1D0F0" w14:textId="2BC764CF"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94"/>
      </w:r>
      <w:r w:rsidRPr="007607AD">
        <w:t xml:space="preserve">, </w:t>
      </w:r>
      <w:r w:rsidR="00F762FC">
        <w:t xml:space="preserve">in </w:t>
      </w:r>
      <w:r w:rsidRPr="007607AD">
        <w:t>zlasti člena 71,</w:t>
      </w:r>
    </w:p>
    <w:p w14:paraId="61D95AE1"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95"/>
      </w:r>
      <w:r w:rsidRPr="007607AD">
        <w:t xml:space="preserve"> in zlasti člena 26,</w:t>
      </w:r>
    </w:p>
    <w:p w14:paraId="6A8065D1"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96"/>
      </w:r>
      <w:r w:rsidRPr="007607AD">
        <w:t>,</w:t>
      </w:r>
    </w:p>
    <w:p w14:paraId="5ACEFB56" w14:textId="77777777" w:rsidR="00621D46" w:rsidRPr="007607AD" w:rsidRDefault="00621D46" w:rsidP="00621D46">
      <w:pPr>
        <w:pStyle w:val="NormalHanging12a"/>
      </w:pPr>
      <w:r w:rsidRPr="007607AD">
        <w:t>–</w:t>
      </w:r>
      <w:r w:rsidRPr="007607AD">
        <w:tab/>
        <w:t>ob upoštevanju člena 102 in Priloge V Poslovnika,</w:t>
      </w:r>
    </w:p>
    <w:p w14:paraId="518CE81C"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25B15A28" w14:textId="77777777" w:rsidR="00621D46" w:rsidRPr="007607AD" w:rsidRDefault="00621D46" w:rsidP="00621D46">
      <w:pPr>
        <w:pStyle w:val="NormalHanging12a"/>
      </w:pPr>
      <w:r w:rsidRPr="007607AD">
        <w:lastRenderedPageBreak/>
        <w:t>1.</w:t>
      </w:r>
      <w:r w:rsidRPr="007607AD">
        <w:tab/>
        <w:t>odobri zaključni račun Skupnega podjetja za svetovno zdravje EDCTP3 za proračunsko leto 2024;</w:t>
      </w:r>
    </w:p>
    <w:p w14:paraId="1FDC7E29" w14:textId="77777777" w:rsidR="00621D46" w:rsidRPr="007607AD" w:rsidRDefault="00621D46" w:rsidP="00621D46">
      <w:pPr>
        <w:pStyle w:val="NormalHanging12a"/>
      </w:pPr>
      <w:r w:rsidRPr="007607AD">
        <w:t>2.</w:t>
      </w:r>
      <w:r w:rsidRPr="007607AD">
        <w:tab/>
        <w:t xml:space="preserve">naroči svoji predsednici, naj ta sklep posreduje izvršnemu direktorju Skupnega podjetja za svetovno zdravje EDCTP3, Svetu, Komisiji in Računskemu sodišču ter poskrbi za objavo v </w:t>
      </w:r>
      <w:r w:rsidRPr="007607AD">
        <w:rPr>
          <w:i/>
          <w:iCs/>
        </w:rPr>
        <w:t>Uradnem listu Evropske unije</w:t>
      </w:r>
      <w:r w:rsidRPr="007607AD">
        <w:t xml:space="preserve"> (serija L).</w:t>
      </w:r>
    </w:p>
    <w:p w14:paraId="284C1668" w14:textId="308A712A" w:rsidR="00621D46" w:rsidRPr="007607AD" w:rsidRDefault="00621D46" w:rsidP="00621D46">
      <w:pPr>
        <w:pStyle w:val="PageHeadingDec"/>
      </w:pPr>
    </w:p>
    <w:p w14:paraId="0A045E1D" w14:textId="77777777" w:rsidR="00621D46" w:rsidRPr="007607AD" w:rsidRDefault="00621D46" w:rsidP="00621D46">
      <w:pPr>
        <w:pStyle w:val="PageHeadingNotTOC"/>
        <w:sectPr w:rsidR="00621D46" w:rsidRPr="007607AD" w:rsidSect="00783D9F">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5C8457" w14:textId="77777777" w:rsidR="00CC41B0" w:rsidRPr="007607AD" w:rsidRDefault="00CC41B0" w:rsidP="00CC41B0">
      <w:pPr>
        <w:pStyle w:val="ATHeading3"/>
      </w:pPr>
      <w:r w:rsidRPr="007607AD">
        <w:lastRenderedPageBreak/>
        <w:t>17. Sklep Evropskega parlamenta z dne 29. aprila 2026 o razrešnici glede izvrševanja proračuna Skupnega podjetja za pobudo za inovativno zdravje za proračunsko leto 2024 (2025/2157(DEC))</w:t>
      </w:r>
    </w:p>
    <w:p w14:paraId="255EA120" w14:textId="77777777" w:rsidR="00621D46" w:rsidRPr="007607AD" w:rsidRDefault="00621D46" w:rsidP="00621D46">
      <w:pPr>
        <w:pStyle w:val="EPComma"/>
      </w:pPr>
      <w:r w:rsidRPr="007607AD">
        <w:rPr>
          <w:i/>
          <w:iCs/>
        </w:rPr>
        <w:t>Evropski parlament</w:t>
      </w:r>
      <w:r w:rsidRPr="007607AD">
        <w:t>,</w:t>
      </w:r>
    </w:p>
    <w:p w14:paraId="3A581B92" w14:textId="77777777" w:rsidR="00621D46" w:rsidRPr="007607AD" w:rsidRDefault="00621D46" w:rsidP="00621D46">
      <w:pPr>
        <w:pStyle w:val="NormalHanging12a"/>
      </w:pPr>
      <w:r w:rsidRPr="007607AD">
        <w:t>–</w:t>
      </w:r>
      <w:r w:rsidRPr="007607AD">
        <w:tab/>
        <w:t>ob upoštevanju končnega zaključnega računa Skupnega podjetja za pobudo za inovativno zdravje za proračunsko leto 2024,</w:t>
      </w:r>
    </w:p>
    <w:p w14:paraId="61268CCC"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97"/>
      </w:r>
      <w:r w:rsidRPr="007607AD">
        <w:t>,</w:t>
      </w:r>
    </w:p>
    <w:p w14:paraId="1EF4695E"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98"/>
      </w:r>
      <w:r w:rsidRPr="007607AD">
        <w:t xml:space="preserve"> računovodskih izkazov ter zakonitosti in pravilnosti z njimi povezanih transakcij, ki jo je za proračunsko leto 2024 v skladu s členom 287 Pogodbe o delovanju Evropske unije pripravilo Računsko sodišče,</w:t>
      </w:r>
    </w:p>
    <w:p w14:paraId="217B0D46"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08B8ECE8" w14:textId="77777777" w:rsidR="00621D46" w:rsidRPr="007607AD" w:rsidRDefault="00621D46" w:rsidP="00621D46">
      <w:pPr>
        <w:pStyle w:val="NormalHanging12a"/>
      </w:pPr>
      <w:r w:rsidRPr="007607AD">
        <w:t>–</w:t>
      </w:r>
      <w:r w:rsidRPr="007607AD">
        <w:tab/>
        <w:t>ob upoštevanju člena 319 Pogodbe o delovanju Evropske unije,</w:t>
      </w:r>
    </w:p>
    <w:p w14:paraId="396535C8"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99"/>
      </w:r>
      <w:r w:rsidRPr="007607AD">
        <w:t xml:space="preserve"> in zlasti člena 71,</w:t>
      </w:r>
    </w:p>
    <w:p w14:paraId="7ACD07A7" w14:textId="497D06CA"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100"/>
      </w:r>
      <w:r w:rsidRPr="007607AD">
        <w:t xml:space="preserve">, </w:t>
      </w:r>
      <w:r w:rsidR="00F762FC">
        <w:t xml:space="preserve">in </w:t>
      </w:r>
      <w:r w:rsidRPr="007607AD">
        <w:t>zlasti člena 71,</w:t>
      </w:r>
    </w:p>
    <w:p w14:paraId="26AB953E"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101"/>
      </w:r>
      <w:r w:rsidRPr="007607AD">
        <w:t xml:space="preserve"> in zlasti člena 26,</w:t>
      </w:r>
    </w:p>
    <w:p w14:paraId="1F8943DE"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102"/>
      </w:r>
      <w:r w:rsidRPr="007607AD">
        <w:t>,</w:t>
      </w:r>
    </w:p>
    <w:p w14:paraId="6FFD550A" w14:textId="77777777" w:rsidR="00621D46" w:rsidRPr="007607AD" w:rsidRDefault="00621D46" w:rsidP="00621D46">
      <w:pPr>
        <w:pStyle w:val="NormalHanging12a"/>
      </w:pPr>
      <w:r w:rsidRPr="007607AD">
        <w:t>–</w:t>
      </w:r>
      <w:r w:rsidRPr="007607AD">
        <w:tab/>
        <w:t>ob upoštevanju člena 102 in Priloge V Poslovnika,</w:t>
      </w:r>
    </w:p>
    <w:p w14:paraId="64B46614" w14:textId="77777777" w:rsidR="00621D46" w:rsidRPr="007607AD" w:rsidRDefault="00621D46" w:rsidP="00621D46">
      <w:pPr>
        <w:pStyle w:val="NormalHanging12a"/>
      </w:pPr>
      <w:r w:rsidRPr="007607AD">
        <w:lastRenderedPageBreak/>
        <w:t>–</w:t>
      </w:r>
      <w:r w:rsidRPr="007607AD">
        <w:tab/>
        <w:t>ob upoštevanju poročila Odbora za proračunski nadzor (A10</w:t>
      </w:r>
      <w:r w:rsidRPr="007607AD">
        <w:noBreakHyphen/>
        <w:t>0046/2026),</w:t>
      </w:r>
    </w:p>
    <w:p w14:paraId="77BCFA6F" w14:textId="77777777" w:rsidR="00621D46" w:rsidRPr="007607AD" w:rsidRDefault="00621D46" w:rsidP="00621D46">
      <w:pPr>
        <w:pStyle w:val="NormalHanging12a"/>
      </w:pPr>
      <w:r w:rsidRPr="007607AD">
        <w:t>1.</w:t>
      </w:r>
      <w:r w:rsidRPr="007607AD">
        <w:tab/>
        <w:t>podeli razrešnico izvršnemu direktorju Skupnega podjetja za pobudo za inovativno zdravje glede izvrševanja proračuna skupnega podjetja za proračunsko leto 2024;</w:t>
      </w:r>
    </w:p>
    <w:p w14:paraId="27E0671E" w14:textId="77777777" w:rsidR="00621D46" w:rsidRPr="007607AD" w:rsidRDefault="00621D46" w:rsidP="00621D46">
      <w:pPr>
        <w:pStyle w:val="NormalHanging12a"/>
      </w:pPr>
      <w:r w:rsidRPr="007607AD">
        <w:t>2.</w:t>
      </w:r>
      <w:r w:rsidRPr="007607AD">
        <w:tab/>
        <w:t>navaja svoje pripombe v spodnji resoluciji;</w:t>
      </w:r>
    </w:p>
    <w:p w14:paraId="66E0A7DD"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izvršnemu direktorju Skupnega podjetja za pobudo za inovativno zdravje, Svetu, Komisiji in Računskemu sodišču ter poskrbi za objavo v </w:t>
      </w:r>
      <w:r w:rsidRPr="007607AD">
        <w:rPr>
          <w:i/>
          <w:iCs/>
        </w:rPr>
        <w:t>Uradnem listu Evropske unije</w:t>
      </w:r>
      <w:r w:rsidRPr="007607AD">
        <w:t xml:space="preserve"> (serija L).</w:t>
      </w:r>
    </w:p>
    <w:p w14:paraId="5394AB71" w14:textId="77777777" w:rsidR="00621D46" w:rsidRPr="007607AD" w:rsidRDefault="00621D46" w:rsidP="00621D46"/>
    <w:p w14:paraId="0981E5F2"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515F6E" w14:textId="77777777" w:rsidR="00CC41B0" w:rsidRPr="007607AD" w:rsidRDefault="00CC41B0" w:rsidP="00CC41B0">
      <w:pPr>
        <w:pStyle w:val="ATHeading3"/>
      </w:pPr>
      <w:r w:rsidRPr="007607AD">
        <w:lastRenderedPageBreak/>
        <w:t>18. Sklep Evropskega parlamenta z dne 29. aprila 2026 o zaključnem računu Skupnega podjetja za pobudo za inovativno zdravje za proračunsko leto 2024 (2025/2157(DEC))</w:t>
      </w:r>
    </w:p>
    <w:p w14:paraId="49D97C65" w14:textId="77777777" w:rsidR="00621D46" w:rsidRPr="007607AD" w:rsidRDefault="00621D46" w:rsidP="00621D46">
      <w:pPr>
        <w:pStyle w:val="EPComma"/>
      </w:pPr>
      <w:r w:rsidRPr="007607AD">
        <w:rPr>
          <w:i/>
          <w:iCs/>
        </w:rPr>
        <w:t>Evropski parlament</w:t>
      </w:r>
      <w:r w:rsidRPr="007607AD">
        <w:t>,</w:t>
      </w:r>
    </w:p>
    <w:p w14:paraId="37860755" w14:textId="77777777" w:rsidR="00621D46" w:rsidRPr="007607AD" w:rsidRDefault="00621D46" w:rsidP="00621D46">
      <w:pPr>
        <w:pStyle w:val="NormalHanging12a"/>
      </w:pPr>
      <w:r w:rsidRPr="007607AD">
        <w:t>–</w:t>
      </w:r>
      <w:r w:rsidRPr="007607AD">
        <w:tab/>
        <w:t>ob upoštevanju končnega zaključnega računa Skupnega podjetja za pobudo za inovativno zdravje za proračunsko leto 2024,</w:t>
      </w:r>
    </w:p>
    <w:p w14:paraId="2BD41D26"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103"/>
      </w:r>
      <w:r w:rsidRPr="007607AD">
        <w:t>,</w:t>
      </w:r>
    </w:p>
    <w:p w14:paraId="036F0969"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104"/>
      </w:r>
      <w:r w:rsidRPr="007607AD">
        <w:t xml:space="preserve"> računovodskih izkazov ter zakonitosti in pravilnosti z njimi povezanih transakcij, ki jo je za proračunsko leto 2024 v skladu s členom 287 Pogodbe o delovanju Evropske unije pripravilo Računsko sodišče,</w:t>
      </w:r>
    </w:p>
    <w:p w14:paraId="55C8A303"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0D2287D4" w14:textId="77777777" w:rsidR="00621D46" w:rsidRPr="007607AD" w:rsidRDefault="00621D46" w:rsidP="00621D46">
      <w:pPr>
        <w:pStyle w:val="NormalHanging12a"/>
      </w:pPr>
      <w:r w:rsidRPr="007607AD">
        <w:t>–</w:t>
      </w:r>
      <w:r w:rsidRPr="007607AD">
        <w:tab/>
        <w:t>ob upoštevanju člena 319 Pogodbe o delovanju Evropske unije,</w:t>
      </w:r>
    </w:p>
    <w:p w14:paraId="00C18C69"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105"/>
      </w:r>
      <w:r w:rsidRPr="007607AD">
        <w:t xml:space="preserve"> in zlasti člena 71,</w:t>
      </w:r>
    </w:p>
    <w:p w14:paraId="1C345B0F" w14:textId="19EB8B2B"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106"/>
      </w:r>
      <w:r w:rsidRPr="007607AD">
        <w:t xml:space="preserve">, </w:t>
      </w:r>
      <w:r w:rsidR="00F762FC">
        <w:t xml:space="preserve">in </w:t>
      </w:r>
      <w:r w:rsidRPr="007607AD">
        <w:t>zlasti člena 71,</w:t>
      </w:r>
    </w:p>
    <w:p w14:paraId="1F9609CC"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107"/>
      </w:r>
      <w:r w:rsidRPr="007607AD">
        <w:t xml:space="preserve"> in zlasti člena 26,</w:t>
      </w:r>
    </w:p>
    <w:p w14:paraId="5A0290B1"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108"/>
      </w:r>
      <w:r w:rsidRPr="007607AD">
        <w:t>,</w:t>
      </w:r>
    </w:p>
    <w:p w14:paraId="2F75B3A0" w14:textId="77777777" w:rsidR="00621D46" w:rsidRPr="007607AD" w:rsidRDefault="00621D46" w:rsidP="00621D46">
      <w:pPr>
        <w:pStyle w:val="NormalHanging12a"/>
      </w:pPr>
      <w:r w:rsidRPr="007607AD">
        <w:t>–</w:t>
      </w:r>
      <w:r w:rsidRPr="007607AD">
        <w:tab/>
        <w:t>ob upoštevanju člena 102 in Priloge V Poslovnika,</w:t>
      </w:r>
    </w:p>
    <w:p w14:paraId="5178D0B3"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22EB391F" w14:textId="77777777" w:rsidR="00621D46" w:rsidRPr="007607AD" w:rsidRDefault="00621D46" w:rsidP="00621D46">
      <w:pPr>
        <w:pStyle w:val="NormalHanging12a"/>
      </w:pPr>
      <w:r w:rsidRPr="007607AD">
        <w:lastRenderedPageBreak/>
        <w:t>1.</w:t>
      </w:r>
      <w:r w:rsidRPr="007607AD">
        <w:tab/>
        <w:t>odobri zaključni račun Skupnega podjetja za pobudo za inovativno zdravje za proračunsko leto 2024;</w:t>
      </w:r>
    </w:p>
    <w:p w14:paraId="34FB28CA" w14:textId="77777777" w:rsidR="00621D46" w:rsidRPr="007607AD" w:rsidRDefault="00621D46" w:rsidP="00621D46">
      <w:pPr>
        <w:pStyle w:val="NormalHanging12a"/>
      </w:pPr>
      <w:r w:rsidRPr="007607AD">
        <w:t>2.</w:t>
      </w:r>
      <w:r w:rsidRPr="007607AD">
        <w:tab/>
        <w:t xml:space="preserve">naroči svoji predsednici, naj ta sklep posreduje izvršnemu direktorju Skupnega podjetja za pobudo za inovativno zdravje, Svetu, Komisiji in Računskemu sodišču ter poskrbi za objavo v </w:t>
      </w:r>
      <w:r w:rsidRPr="007607AD">
        <w:rPr>
          <w:i/>
          <w:iCs/>
        </w:rPr>
        <w:t>Uradnem listu Evropske unije</w:t>
      </w:r>
      <w:r w:rsidRPr="007607AD">
        <w:t xml:space="preserve"> (serija L).</w:t>
      </w:r>
    </w:p>
    <w:p w14:paraId="5734417D" w14:textId="1D3B76B9" w:rsidR="00621D46" w:rsidRPr="007607AD" w:rsidRDefault="00621D46" w:rsidP="00621D46">
      <w:pPr>
        <w:pStyle w:val="PageHeadingDec"/>
      </w:pPr>
    </w:p>
    <w:p w14:paraId="0AC14536" w14:textId="77777777" w:rsidR="00621D46" w:rsidRPr="007607AD" w:rsidRDefault="00621D46" w:rsidP="00621D46">
      <w:pPr>
        <w:pStyle w:val="PageHeadingNotTOC"/>
        <w:sectPr w:rsidR="00621D46" w:rsidRPr="007607AD" w:rsidSect="00783D9F">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DD772C" w14:textId="77777777" w:rsidR="00CC41B0" w:rsidRPr="007607AD" w:rsidRDefault="00CC41B0" w:rsidP="00CC41B0">
      <w:pPr>
        <w:pStyle w:val="ATHeading3"/>
      </w:pPr>
      <w:r w:rsidRPr="007607AD">
        <w:lastRenderedPageBreak/>
        <w:t>19. Sklep Evropskega parlamenta z dne 29. aprila 2026 o razrešnici glede izvrševanja proračuna Skupnega podjetja za čipe za proračunsko leto 2024 (2025/2157(DEC))</w:t>
      </w:r>
    </w:p>
    <w:p w14:paraId="183AED4E" w14:textId="77777777" w:rsidR="00621D46" w:rsidRPr="007607AD" w:rsidRDefault="00621D46" w:rsidP="00621D46">
      <w:pPr>
        <w:pStyle w:val="EPComma"/>
      </w:pPr>
      <w:r w:rsidRPr="007607AD">
        <w:rPr>
          <w:i/>
          <w:iCs/>
        </w:rPr>
        <w:t>Evropski parlament</w:t>
      </w:r>
      <w:r w:rsidRPr="007607AD">
        <w:t>,</w:t>
      </w:r>
    </w:p>
    <w:p w14:paraId="27AE9996" w14:textId="77777777" w:rsidR="00621D46" w:rsidRPr="007607AD" w:rsidRDefault="00621D46" w:rsidP="00621D46">
      <w:pPr>
        <w:pStyle w:val="NormalHanging12a"/>
      </w:pPr>
      <w:r w:rsidRPr="007607AD">
        <w:t>–</w:t>
      </w:r>
      <w:r w:rsidRPr="007607AD">
        <w:tab/>
        <w:t>ob upoštevanju končnega zaključnega računa Skupnega podjetja za čipe za proračunsko leto 2024,</w:t>
      </w:r>
    </w:p>
    <w:p w14:paraId="7046D792"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109"/>
      </w:r>
      <w:r w:rsidRPr="007607AD">
        <w:t>,</w:t>
      </w:r>
    </w:p>
    <w:p w14:paraId="68C8F233"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110"/>
      </w:r>
      <w:r w:rsidRPr="007607AD">
        <w:t xml:space="preserve"> računovodskih izkazov ter zakonitosti in pravilnosti z njimi povezanih transakcij, ki jo je za proračunsko leto 2024 v skladu s členom 287 Pogodbe o delovanju Evropske unije pripravilo Računsko sodišče,</w:t>
      </w:r>
    </w:p>
    <w:p w14:paraId="0000799B"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2D45D214" w14:textId="77777777" w:rsidR="00621D46" w:rsidRPr="007607AD" w:rsidRDefault="00621D46" w:rsidP="00621D46">
      <w:pPr>
        <w:pStyle w:val="NormalHanging12a"/>
      </w:pPr>
      <w:r w:rsidRPr="007607AD">
        <w:t>–</w:t>
      </w:r>
      <w:r w:rsidRPr="007607AD">
        <w:tab/>
        <w:t>ob upoštevanju člena 319 Pogodbe o delovanju Evropske unije,</w:t>
      </w:r>
    </w:p>
    <w:p w14:paraId="6A990788"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111"/>
      </w:r>
      <w:r w:rsidRPr="007607AD">
        <w:t xml:space="preserve"> in zlasti člena 71,</w:t>
      </w:r>
    </w:p>
    <w:p w14:paraId="0BC2D1DD" w14:textId="2A5CBF83"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112"/>
      </w:r>
      <w:r w:rsidRPr="007607AD">
        <w:t xml:space="preserve">, </w:t>
      </w:r>
      <w:r w:rsidR="00F762FC">
        <w:t xml:space="preserve">in </w:t>
      </w:r>
      <w:r w:rsidRPr="007607AD">
        <w:t>zlasti člena 71,</w:t>
      </w:r>
    </w:p>
    <w:p w14:paraId="4BF9BC83"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113"/>
      </w:r>
      <w:r w:rsidRPr="007607AD">
        <w:t xml:space="preserve"> in zlasti člena 26,</w:t>
      </w:r>
    </w:p>
    <w:p w14:paraId="46C1D464" w14:textId="77777777" w:rsidR="00621D46" w:rsidRPr="007607AD" w:rsidRDefault="00621D46" w:rsidP="00621D46">
      <w:pPr>
        <w:pStyle w:val="NormalHanging12a"/>
      </w:pPr>
      <w:r w:rsidRPr="007607AD">
        <w:t>–</w:t>
      </w:r>
      <w:r w:rsidRPr="007607AD">
        <w:tab/>
        <w:t>ob upoštevanju Uredbe Sveta (EU) 2023/1782 z dne 25. julija 2023 o spremembi Uredbe Sveta (EU) 2021/2085 o ustanovitvi skupnih podjetij v okviru Obzorja Evropa v zvezi s Skupnim podjetjem za čipe</w:t>
      </w:r>
      <w:r w:rsidRPr="007607AD">
        <w:rPr>
          <w:rStyle w:val="FootnoteReference"/>
        </w:rPr>
        <w:footnoteReference w:id="114"/>
      </w:r>
      <w:r w:rsidRPr="007607AD">
        <w:t>,</w:t>
      </w:r>
    </w:p>
    <w:p w14:paraId="14FDE243" w14:textId="77777777" w:rsidR="00621D46" w:rsidRPr="007607AD" w:rsidRDefault="00621D46" w:rsidP="00621D46">
      <w:pPr>
        <w:pStyle w:val="NormalHanging12a"/>
      </w:pPr>
      <w:r w:rsidRPr="007607AD">
        <w:t>–</w:t>
      </w:r>
      <w:r w:rsidRPr="007607AD">
        <w:tab/>
        <w:t xml:space="preserve">ob upoštevanju Delegirane uredbe Komisije (EU) 2019/887 z dne 13. marca 2019 o vzorčni finančni uredbi za subjekte javno-zasebnega partnerstva iz člena 71 Uredbe </w:t>
      </w:r>
      <w:r w:rsidRPr="007607AD">
        <w:lastRenderedPageBreak/>
        <w:t>(EU, Euratom) 2018/1046 Evropskega parlamenta in Sveta</w:t>
      </w:r>
      <w:r w:rsidRPr="007607AD">
        <w:rPr>
          <w:rStyle w:val="FootnoteReference"/>
        </w:rPr>
        <w:footnoteReference w:id="115"/>
      </w:r>
      <w:r w:rsidRPr="007607AD">
        <w:t>,</w:t>
      </w:r>
    </w:p>
    <w:p w14:paraId="6ADDE753" w14:textId="77777777" w:rsidR="00621D46" w:rsidRPr="007607AD" w:rsidRDefault="00621D46" w:rsidP="00621D46">
      <w:pPr>
        <w:pStyle w:val="NormalHanging12a"/>
      </w:pPr>
      <w:r w:rsidRPr="007607AD">
        <w:t>–</w:t>
      </w:r>
      <w:r w:rsidRPr="007607AD">
        <w:tab/>
        <w:t>ob upoštevanju člena 102 in Priloge V Poslovnika,</w:t>
      </w:r>
    </w:p>
    <w:p w14:paraId="5E0043D3"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4B36EC6A" w14:textId="77777777" w:rsidR="00621D46" w:rsidRPr="007607AD" w:rsidRDefault="00621D46" w:rsidP="00621D46">
      <w:pPr>
        <w:pStyle w:val="NormalHanging12a"/>
      </w:pPr>
      <w:r w:rsidRPr="007607AD">
        <w:t>1.</w:t>
      </w:r>
      <w:r w:rsidRPr="007607AD">
        <w:tab/>
        <w:t>podeli razrešnico izvršnemu direktorju Skupnega podjetja za čipe glede izvrševanja proračuna skupnega podjetja za proračunsko leto 2024;</w:t>
      </w:r>
    </w:p>
    <w:p w14:paraId="15187487" w14:textId="77777777" w:rsidR="00621D46" w:rsidRPr="007607AD" w:rsidRDefault="00621D46" w:rsidP="00621D46">
      <w:pPr>
        <w:pStyle w:val="NormalHanging12a"/>
      </w:pPr>
      <w:r w:rsidRPr="007607AD">
        <w:t>2.</w:t>
      </w:r>
      <w:r w:rsidRPr="007607AD">
        <w:tab/>
        <w:t>navaja svoje pripombe v spodnji resoluciji;</w:t>
      </w:r>
    </w:p>
    <w:p w14:paraId="663B2699"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izvršnemu direktorju Skupnega podjetja za čipe, Svetu, Komisiji in Računskemu sodišču ter poskrbi za objavo v </w:t>
      </w:r>
      <w:r w:rsidRPr="007607AD">
        <w:rPr>
          <w:i/>
          <w:iCs/>
        </w:rPr>
        <w:t>Uradnem listu Evropske unije</w:t>
      </w:r>
      <w:r w:rsidRPr="007607AD">
        <w:t xml:space="preserve"> (serija L).</w:t>
      </w:r>
    </w:p>
    <w:p w14:paraId="0644A755" w14:textId="77777777" w:rsidR="00621D46" w:rsidRPr="007607AD" w:rsidRDefault="00621D46" w:rsidP="00621D46"/>
    <w:p w14:paraId="12D42300"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D2E2C79" w14:textId="77777777" w:rsidR="00CC41B0" w:rsidRPr="007607AD" w:rsidRDefault="00CC41B0" w:rsidP="00CC41B0">
      <w:pPr>
        <w:pStyle w:val="ATHeading3"/>
      </w:pPr>
      <w:r w:rsidRPr="007607AD">
        <w:lastRenderedPageBreak/>
        <w:t>20. Sklep Evropskega parlamenta z dne 29. aprila 2026 o zaključnem računu Skupnega podjetja za čipe za proračunsko leto 2024 (2025/2157(DEC))</w:t>
      </w:r>
    </w:p>
    <w:p w14:paraId="1B78F080" w14:textId="77777777" w:rsidR="00621D46" w:rsidRPr="007607AD" w:rsidRDefault="00621D46" w:rsidP="00621D46">
      <w:pPr>
        <w:pStyle w:val="EPComma"/>
      </w:pPr>
      <w:r w:rsidRPr="007607AD">
        <w:rPr>
          <w:i/>
          <w:iCs/>
        </w:rPr>
        <w:t>Evropski parlament</w:t>
      </w:r>
      <w:r w:rsidRPr="007607AD">
        <w:t>,</w:t>
      </w:r>
    </w:p>
    <w:p w14:paraId="09AF2E9A" w14:textId="77777777" w:rsidR="00621D46" w:rsidRPr="007607AD" w:rsidRDefault="00621D46" w:rsidP="00621D46">
      <w:pPr>
        <w:pStyle w:val="NormalHanging12a"/>
      </w:pPr>
      <w:r w:rsidRPr="007607AD">
        <w:t>–</w:t>
      </w:r>
      <w:r w:rsidRPr="007607AD">
        <w:tab/>
        <w:t>ob upoštevanju končnega zaključnega računa Skupnega podjetja za čipe za proračunsko leto 2024,</w:t>
      </w:r>
    </w:p>
    <w:p w14:paraId="209B8418"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116"/>
      </w:r>
      <w:r w:rsidRPr="007607AD">
        <w:t>,</w:t>
      </w:r>
    </w:p>
    <w:p w14:paraId="09273E66"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117"/>
      </w:r>
      <w:r w:rsidRPr="007607AD">
        <w:t xml:space="preserve"> računovodskih izkazov ter zakonitosti in pravilnosti z njimi povezanih transakcij, ki jo je za proračunsko leto 2024 v skladu s členom 287 Pogodbe o delovanju Evropske unije pripravilo Računsko sodišče,</w:t>
      </w:r>
    </w:p>
    <w:p w14:paraId="419192F1"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08BEF0C2" w14:textId="77777777" w:rsidR="00621D46" w:rsidRPr="007607AD" w:rsidRDefault="00621D46" w:rsidP="00621D46">
      <w:pPr>
        <w:pStyle w:val="NormalHanging12a"/>
      </w:pPr>
      <w:r w:rsidRPr="007607AD">
        <w:t>–</w:t>
      </w:r>
      <w:r w:rsidRPr="007607AD">
        <w:tab/>
        <w:t>ob upoštevanju člena 319 Pogodbe o delovanju Evropske unije,</w:t>
      </w:r>
    </w:p>
    <w:p w14:paraId="202707B6"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118"/>
      </w:r>
      <w:r w:rsidRPr="007607AD">
        <w:t xml:space="preserve"> in zlasti člena 71,</w:t>
      </w:r>
    </w:p>
    <w:p w14:paraId="145FA4AA" w14:textId="39EFDA3F"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119"/>
      </w:r>
      <w:r w:rsidRPr="007607AD">
        <w:t xml:space="preserve">, </w:t>
      </w:r>
      <w:r w:rsidR="00F762FC">
        <w:t xml:space="preserve">in </w:t>
      </w:r>
      <w:r w:rsidRPr="007607AD">
        <w:t>zlasti člena 71,</w:t>
      </w:r>
    </w:p>
    <w:p w14:paraId="343CD58A"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120"/>
      </w:r>
      <w:r w:rsidRPr="007607AD">
        <w:t xml:space="preserve"> in zlasti člena 26,</w:t>
      </w:r>
    </w:p>
    <w:p w14:paraId="1CD8E96D" w14:textId="77777777" w:rsidR="00621D46" w:rsidRPr="007607AD" w:rsidRDefault="00621D46" w:rsidP="00621D46">
      <w:pPr>
        <w:pStyle w:val="NormalHanging12a"/>
      </w:pPr>
      <w:r w:rsidRPr="007607AD">
        <w:t>–</w:t>
      </w:r>
      <w:r w:rsidRPr="007607AD">
        <w:tab/>
        <w:t>ob upoštevanju Uredbe Sveta (EU) 2023/1782 z dne 25. julija 2023 o spremembi Uredbe Sveta (EU) 2021/2085 o ustanovitvi skupnih podjetij v okviru Obzorja Evropa v zvezi s Skupnim podjetjem za čipe</w:t>
      </w:r>
      <w:r w:rsidRPr="007607AD">
        <w:rPr>
          <w:rStyle w:val="FootnoteReference"/>
        </w:rPr>
        <w:footnoteReference w:id="121"/>
      </w:r>
      <w:r w:rsidRPr="007607AD">
        <w:t>,</w:t>
      </w:r>
    </w:p>
    <w:p w14:paraId="487FA95A" w14:textId="77777777" w:rsidR="00621D46" w:rsidRPr="007607AD" w:rsidRDefault="00621D46" w:rsidP="00621D46">
      <w:pPr>
        <w:pStyle w:val="NormalHanging12a"/>
      </w:pPr>
      <w:r w:rsidRPr="007607AD">
        <w:t>–</w:t>
      </w:r>
      <w:r w:rsidRPr="007607AD">
        <w:tab/>
        <w:t xml:space="preserve">ob upoštevanju Delegirane uredbe Komisije (EU) 2019/887 z dne 13. marca 2019 o vzorčni finančni uredbi za subjekte javno-zasebnega partnerstva iz člena 71 Uredbe </w:t>
      </w:r>
      <w:r w:rsidRPr="007607AD">
        <w:lastRenderedPageBreak/>
        <w:t>(EU, Euratom) 2018/1046 Evropskega parlamenta in Sveta</w:t>
      </w:r>
      <w:r w:rsidRPr="007607AD">
        <w:rPr>
          <w:rStyle w:val="FootnoteReference"/>
        </w:rPr>
        <w:footnoteReference w:id="122"/>
      </w:r>
      <w:r w:rsidRPr="007607AD">
        <w:t>,</w:t>
      </w:r>
    </w:p>
    <w:p w14:paraId="6490C8B8" w14:textId="77777777" w:rsidR="00621D46" w:rsidRPr="007607AD" w:rsidRDefault="00621D46" w:rsidP="00621D46">
      <w:pPr>
        <w:pStyle w:val="NormalHanging12a"/>
      </w:pPr>
      <w:r w:rsidRPr="007607AD">
        <w:t>–</w:t>
      </w:r>
      <w:r w:rsidRPr="007607AD">
        <w:tab/>
        <w:t>ob upoštevanju člena 102 in Priloge V Poslovnika,</w:t>
      </w:r>
    </w:p>
    <w:p w14:paraId="217131AF"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0E8BBD33" w14:textId="77777777" w:rsidR="00621D46" w:rsidRPr="007607AD" w:rsidRDefault="00621D46" w:rsidP="00621D46">
      <w:pPr>
        <w:pStyle w:val="NormalHanging12a"/>
      </w:pPr>
      <w:r w:rsidRPr="007607AD">
        <w:t>1.</w:t>
      </w:r>
      <w:r w:rsidRPr="007607AD">
        <w:tab/>
        <w:t>odobri zaključni račun Skupnega podjetja za čipe za proračunsko leto 2024;</w:t>
      </w:r>
    </w:p>
    <w:p w14:paraId="21E610F7" w14:textId="77777777" w:rsidR="00621D46" w:rsidRPr="007607AD" w:rsidRDefault="00621D46" w:rsidP="00621D46">
      <w:pPr>
        <w:pStyle w:val="NormalHanging12a"/>
      </w:pPr>
      <w:r w:rsidRPr="007607AD">
        <w:t>2.</w:t>
      </w:r>
      <w:r w:rsidRPr="007607AD">
        <w:tab/>
        <w:t xml:space="preserve">naroči svoji predsednici, naj ta sklep posreduje izvršnemu direktorju Skupnega podjetja za čipe, Svetu, Komisiji in Računskemu sodišču ter poskrbi za objavo v </w:t>
      </w:r>
      <w:r w:rsidRPr="007607AD">
        <w:rPr>
          <w:i/>
          <w:iCs/>
        </w:rPr>
        <w:t>Uradnem listu Evropske unije</w:t>
      </w:r>
      <w:r w:rsidRPr="007607AD">
        <w:t xml:space="preserve"> (serija L).</w:t>
      </w:r>
    </w:p>
    <w:p w14:paraId="4EC5C3CF" w14:textId="0B5E8937" w:rsidR="00621D46" w:rsidRPr="007607AD" w:rsidRDefault="00621D46" w:rsidP="00621D46">
      <w:pPr>
        <w:pStyle w:val="PageHeadingDec"/>
      </w:pPr>
    </w:p>
    <w:p w14:paraId="40E586F1" w14:textId="77777777" w:rsidR="000E1B16" w:rsidRPr="007607AD" w:rsidRDefault="000E1B16" w:rsidP="00621D46">
      <w:pPr>
        <w:pStyle w:val="PageHeadingNotTOC"/>
        <w:sectPr w:rsidR="000E1B16" w:rsidRPr="007607AD" w:rsidSect="00783D9F">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E380F26" w14:textId="77777777" w:rsidR="00CC41B0" w:rsidRPr="007607AD" w:rsidRDefault="00CC41B0" w:rsidP="00CC41B0">
      <w:pPr>
        <w:pStyle w:val="ATHeading3"/>
      </w:pPr>
      <w:r w:rsidRPr="007607AD">
        <w:lastRenderedPageBreak/>
        <w:t>21. Sklep Evropskega parlamenta z dne 29. aprila 2026 o razrešnici glede izvrševanja proračuna Skupnega podjetja za raziskave o upravljanju zračnega prometa enotnega evropskega neba 3 za proračunsko leto 2024 (2025/2157(DEC))</w:t>
      </w:r>
    </w:p>
    <w:p w14:paraId="39A8721C" w14:textId="77777777" w:rsidR="00621D46" w:rsidRPr="007607AD" w:rsidRDefault="00621D46" w:rsidP="00621D46">
      <w:pPr>
        <w:pStyle w:val="EPComma"/>
      </w:pPr>
      <w:r w:rsidRPr="007607AD">
        <w:rPr>
          <w:i/>
          <w:iCs/>
        </w:rPr>
        <w:t>Evropski parlament</w:t>
      </w:r>
      <w:r w:rsidRPr="007607AD">
        <w:t>,</w:t>
      </w:r>
    </w:p>
    <w:p w14:paraId="0E2E70FE" w14:textId="77777777" w:rsidR="00621D46" w:rsidRPr="007607AD" w:rsidRDefault="00621D46" w:rsidP="00621D46">
      <w:pPr>
        <w:pStyle w:val="NormalHanging12a"/>
      </w:pPr>
      <w:r w:rsidRPr="007607AD">
        <w:t>–</w:t>
      </w:r>
      <w:r w:rsidRPr="007607AD">
        <w:tab/>
        <w:t>ob upoštevanju končnega zaključnega računa Skupnega podjetja za raziskave o upravljanju zračnega prometa enotnega evropskega neba 3 za proračunsko leto 2024,</w:t>
      </w:r>
    </w:p>
    <w:p w14:paraId="26B18B6E"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123"/>
      </w:r>
      <w:r w:rsidRPr="007607AD">
        <w:t>,</w:t>
      </w:r>
    </w:p>
    <w:p w14:paraId="043EB58F"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124"/>
      </w:r>
      <w:r w:rsidRPr="007607AD">
        <w:t xml:space="preserve"> računovodskih izkazov ter zakonitosti in pravilnosti z njimi povezanih transakcij, ki jo je za proračunsko leto 2024 v skladu s členom 287 Pogodbe o delovanju Evropske unije pripravilo Računsko sodišče,</w:t>
      </w:r>
    </w:p>
    <w:p w14:paraId="74C7E412"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33857E6D" w14:textId="77777777" w:rsidR="00621D46" w:rsidRPr="007607AD" w:rsidRDefault="00621D46" w:rsidP="00621D46">
      <w:pPr>
        <w:pStyle w:val="NormalHanging12a"/>
      </w:pPr>
      <w:r w:rsidRPr="007607AD">
        <w:t>–</w:t>
      </w:r>
      <w:r w:rsidRPr="007607AD">
        <w:tab/>
        <w:t>ob upoštevanju člena 319 Pogodbe o delovanju Evropske unije,</w:t>
      </w:r>
    </w:p>
    <w:p w14:paraId="234FE70D"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125"/>
      </w:r>
      <w:r w:rsidRPr="007607AD">
        <w:t xml:space="preserve"> in zlasti člena 71,</w:t>
      </w:r>
    </w:p>
    <w:p w14:paraId="4B5FB431" w14:textId="30CBE82F"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126"/>
      </w:r>
      <w:r w:rsidRPr="007607AD">
        <w:t xml:space="preserve">, </w:t>
      </w:r>
      <w:r w:rsidR="00F762FC">
        <w:t xml:space="preserve">in </w:t>
      </w:r>
      <w:r w:rsidRPr="007607AD">
        <w:t>zlasti člena 71,</w:t>
      </w:r>
    </w:p>
    <w:p w14:paraId="319086CE"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127"/>
      </w:r>
      <w:r w:rsidRPr="007607AD">
        <w:t xml:space="preserve"> in zlasti člena 26,</w:t>
      </w:r>
    </w:p>
    <w:p w14:paraId="10905FDC"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128"/>
      </w:r>
      <w:r w:rsidRPr="007607AD">
        <w:t>,</w:t>
      </w:r>
    </w:p>
    <w:p w14:paraId="0DBA384B" w14:textId="77777777" w:rsidR="00621D46" w:rsidRPr="007607AD" w:rsidRDefault="00621D46" w:rsidP="00621D46">
      <w:pPr>
        <w:pStyle w:val="NormalHanging12a"/>
      </w:pPr>
      <w:r w:rsidRPr="007607AD">
        <w:t>–</w:t>
      </w:r>
      <w:r w:rsidRPr="007607AD">
        <w:tab/>
        <w:t>ob upoštevanju člena 102 in Priloge V Poslovnika,</w:t>
      </w:r>
    </w:p>
    <w:p w14:paraId="3C0E3FA8" w14:textId="77777777" w:rsidR="00621D46" w:rsidRPr="007607AD" w:rsidRDefault="00621D46" w:rsidP="00621D46">
      <w:pPr>
        <w:pStyle w:val="NormalHanging12a"/>
      </w:pPr>
      <w:r w:rsidRPr="007607AD">
        <w:lastRenderedPageBreak/>
        <w:t>–</w:t>
      </w:r>
      <w:r w:rsidRPr="007607AD">
        <w:tab/>
        <w:t>ob upoštevanju mnenja Odbora za promet in turizem,</w:t>
      </w:r>
    </w:p>
    <w:p w14:paraId="09ACE288"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487B2E5B" w14:textId="77777777" w:rsidR="00621D46" w:rsidRPr="007607AD" w:rsidRDefault="00621D46" w:rsidP="00621D46">
      <w:pPr>
        <w:pStyle w:val="NormalHanging12a"/>
      </w:pPr>
      <w:r w:rsidRPr="007607AD">
        <w:t>1.</w:t>
      </w:r>
      <w:r w:rsidRPr="007607AD">
        <w:tab/>
        <w:t>podeli razrešnico izvršnemu direktorju Skupnega podjetja za raziskave o upravljanju zračnega prometa enotnega evropskega neba 3 glede izvrševanja proračuna skupnega podjetja za proračunsko leto 2024;</w:t>
      </w:r>
    </w:p>
    <w:p w14:paraId="38AE46AE" w14:textId="77777777" w:rsidR="00621D46" w:rsidRPr="007607AD" w:rsidRDefault="00621D46" w:rsidP="00621D46">
      <w:pPr>
        <w:pStyle w:val="NormalHanging12a"/>
      </w:pPr>
      <w:r w:rsidRPr="007607AD">
        <w:t>2.</w:t>
      </w:r>
      <w:r w:rsidRPr="007607AD">
        <w:tab/>
        <w:t>navaja svoje pripombe v spodnji resoluciji;</w:t>
      </w:r>
    </w:p>
    <w:p w14:paraId="10DA5116"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izvršnemu direktorju Skupnega podjetja za raziskave o upravljanju zračnega prometa enotnega evropskega neba 3, Svetu, Komisiji in Računskemu sodišču ter poskrbi za objavo v </w:t>
      </w:r>
      <w:r w:rsidRPr="007607AD">
        <w:rPr>
          <w:i/>
          <w:iCs/>
        </w:rPr>
        <w:t>Uradnem listu Evropske unije</w:t>
      </w:r>
      <w:r w:rsidRPr="007607AD">
        <w:t xml:space="preserve"> (serija L).</w:t>
      </w:r>
    </w:p>
    <w:p w14:paraId="22658499" w14:textId="77777777" w:rsidR="00621D46" w:rsidRPr="007607AD" w:rsidRDefault="00621D46" w:rsidP="00621D46"/>
    <w:p w14:paraId="2B9C9FA0"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8C46C0" w14:textId="77777777" w:rsidR="00CC41B0" w:rsidRPr="007607AD" w:rsidRDefault="00CC41B0" w:rsidP="00CC41B0">
      <w:pPr>
        <w:pStyle w:val="ATHeading3"/>
      </w:pPr>
      <w:r w:rsidRPr="007607AD">
        <w:lastRenderedPageBreak/>
        <w:t>22. Sklep Evropskega parlamenta z dne 29. aprila 2026 o zaključnem računu Skupnega podjetja za raziskave o upravljanju zračnega prometa enotnega evropskega neba 3 za proračunsko leto 2024 (2025/2157(DEC))</w:t>
      </w:r>
    </w:p>
    <w:p w14:paraId="7319A80B" w14:textId="77777777" w:rsidR="00621D46" w:rsidRPr="007607AD" w:rsidRDefault="00621D46" w:rsidP="00621D46">
      <w:pPr>
        <w:pStyle w:val="EPComma"/>
      </w:pPr>
      <w:r w:rsidRPr="007607AD">
        <w:rPr>
          <w:i/>
          <w:iCs/>
        </w:rPr>
        <w:t>Evropski parlament</w:t>
      </w:r>
      <w:r w:rsidRPr="007607AD">
        <w:t>,</w:t>
      </w:r>
    </w:p>
    <w:p w14:paraId="3A50B192" w14:textId="77777777" w:rsidR="00621D46" w:rsidRPr="007607AD" w:rsidRDefault="00621D46" w:rsidP="00621D46">
      <w:pPr>
        <w:pStyle w:val="NormalHanging12a"/>
      </w:pPr>
      <w:r w:rsidRPr="007607AD">
        <w:t>–</w:t>
      </w:r>
      <w:r w:rsidRPr="007607AD">
        <w:tab/>
        <w:t>ob upoštevanju končnega zaključnega računa Skupnega podjetja za raziskave o upravljanju zračnega prometa enotnega evropskega neba 3 za proračunsko leto 2024,</w:t>
      </w:r>
    </w:p>
    <w:p w14:paraId="44B90661"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129"/>
      </w:r>
      <w:r w:rsidRPr="007607AD">
        <w:t>,</w:t>
      </w:r>
    </w:p>
    <w:p w14:paraId="09369700"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130"/>
      </w:r>
      <w:r w:rsidRPr="007607AD">
        <w:t xml:space="preserve"> računovodskih izkazov ter zakonitosti in pravilnosti z njimi povezanih transakcij, ki jo je za proračunsko leto 2024 v skladu s členom 287 Pogodbe o delovanju Evropske unije pripravilo Računsko sodišče,</w:t>
      </w:r>
    </w:p>
    <w:p w14:paraId="0E4B93B9"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046EE6F1" w14:textId="77777777" w:rsidR="00621D46" w:rsidRPr="007607AD" w:rsidRDefault="00621D46" w:rsidP="00621D46">
      <w:pPr>
        <w:pStyle w:val="NormalHanging12a"/>
      </w:pPr>
      <w:r w:rsidRPr="007607AD">
        <w:t>–</w:t>
      </w:r>
      <w:r w:rsidRPr="007607AD">
        <w:tab/>
        <w:t>ob upoštevanju člena 319 Pogodbe o delovanju Evropske unije,</w:t>
      </w:r>
    </w:p>
    <w:p w14:paraId="2D9E7103"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131"/>
      </w:r>
      <w:r w:rsidRPr="007607AD">
        <w:t xml:space="preserve"> in zlasti člena 71,</w:t>
      </w:r>
    </w:p>
    <w:p w14:paraId="3262422E" w14:textId="5D7CB49B"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132"/>
      </w:r>
      <w:r w:rsidRPr="007607AD">
        <w:t xml:space="preserve">, </w:t>
      </w:r>
      <w:r w:rsidR="00F762FC">
        <w:t xml:space="preserve">in </w:t>
      </w:r>
      <w:r w:rsidRPr="007607AD">
        <w:t>zlasti člena 71,</w:t>
      </w:r>
    </w:p>
    <w:p w14:paraId="7E919A20"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133"/>
      </w:r>
      <w:r w:rsidRPr="007607AD">
        <w:t xml:space="preserve"> in zlasti člena 26,</w:t>
      </w:r>
    </w:p>
    <w:p w14:paraId="32D2BF67"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134"/>
      </w:r>
      <w:r w:rsidRPr="007607AD">
        <w:t>,</w:t>
      </w:r>
    </w:p>
    <w:p w14:paraId="5A059CF8" w14:textId="77777777" w:rsidR="00621D46" w:rsidRPr="007607AD" w:rsidRDefault="00621D46" w:rsidP="00621D46">
      <w:pPr>
        <w:pStyle w:val="NormalHanging12a"/>
      </w:pPr>
      <w:r w:rsidRPr="007607AD">
        <w:t>–</w:t>
      </w:r>
      <w:r w:rsidRPr="007607AD">
        <w:tab/>
        <w:t>ob upoštevanju člena 102 in Priloge V Poslovnika,</w:t>
      </w:r>
    </w:p>
    <w:p w14:paraId="2463CC08" w14:textId="77777777" w:rsidR="00621D46" w:rsidRPr="007607AD" w:rsidRDefault="00621D46" w:rsidP="00621D46">
      <w:pPr>
        <w:pStyle w:val="NormalHanging12a"/>
      </w:pPr>
      <w:r w:rsidRPr="007607AD">
        <w:lastRenderedPageBreak/>
        <w:t>–</w:t>
      </w:r>
      <w:r w:rsidRPr="007607AD">
        <w:tab/>
        <w:t>ob upoštevanju mnenja Odbora za promet in turizem,</w:t>
      </w:r>
    </w:p>
    <w:p w14:paraId="23972500"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78733F86" w14:textId="77777777" w:rsidR="00621D46" w:rsidRPr="007607AD" w:rsidRDefault="00621D46" w:rsidP="00621D46">
      <w:pPr>
        <w:pStyle w:val="NormalHanging12a"/>
      </w:pPr>
      <w:r w:rsidRPr="007607AD">
        <w:t>1.</w:t>
      </w:r>
      <w:r w:rsidRPr="007607AD">
        <w:tab/>
        <w:t>odobri zaključni račun Skupnega podjetja za raziskave o upravljanju zračnega prometa enotnega evropskega neba 3 za proračunsko leto 2024;</w:t>
      </w:r>
    </w:p>
    <w:p w14:paraId="7858DF4D" w14:textId="77777777" w:rsidR="00621D46" w:rsidRPr="007607AD" w:rsidRDefault="00621D46" w:rsidP="00621D46">
      <w:pPr>
        <w:pStyle w:val="NormalHanging12a"/>
      </w:pPr>
      <w:r w:rsidRPr="007607AD">
        <w:t>2.</w:t>
      </w:r>
      <w:r w:rsidRPr="007607AD">
        <w:tab/>
        <w:t xml:space="preserve">naroči svoji predsednici, naj ta sklep posreduje izvršnemu direktorju Skupnega podjetja za raziskave o upravljanju zračnega prometa enotnega evropskega neba 3, Svetu, Komisiji in Računskemu sodišču ter poskrbi za objavo v </w:t>
      </w:r>
      <w:r w:rsidRPr="007607AD">
        <w:rPr>
          <w:i/>
          <w:iCs/>
        </w:rPr>
        <w:t>Uradnem listu Evropske unije</w:t>
      </w:r>
      <w:r w:rsidRPr="007607AD">
        <w:t xml:space="preserve"> (serija L).</w:t>
      </w:r>
    </w:p>
    <w:p w14:paraId="4D5B2A45" w14:textId="2A03943A" w:rsidR="00621D46" w:rsidRPr="007607AD" w:rsidRDefault="00621D46" w:rsidP="00621D46">
      <w:pPr>
        <w:pStyle w:val="PageHeadingDec"/>
      </w:pPr>
    </w:p>
    <w:p w14:paraId="3D716545" w14:textId="77777777" w:rsidR="00621D46" w:rsidRPr="007607AD" w:rsidRDefault="00621D46" w:rsidP="00621D46">
      <w:pPr>
        <w:pStyle w:val="PageHeadingNotTOC"/>
        <w:sectPr w:rsidR="00621D46" w:rsidRPr="007607AD" w:rsidSect="00783D9F">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796DDC" w14:textId="77777777" w:rsidR="00CC41B0" w:rsidRPr="007607AD" w:rsidRDefault="00CC41B0" w:rsidP="00CC41B0">
      <w:pPr>
        <w:pStyle w:val="ATHeading3"/>
      </w:pPr>
      <w:r w:rsidRPr="007607AD">
        <w:lastRenderedPageBreak/>
        <w:t>23. Sklep Evropskega parlamenta z dne 29. aprila 2026 o razrešnici glede izvrševanja proračuna Skupnega podjetja za pametna omrežja in storitve za proračunsko leto 2024 (2025/2157(DEC))</w:t>
      </w:r>
    </w:p>
    <w:p w14:paraId="49D558F2" w14:textId="77777777" w:rsidR="00621D46" w:rsidRPr="007607AD" w:rsidRDefault="00621D46" w:rsidP="00621D46">
      <w:pPr>
        <w:pStyle w:val="EPComma"/>
      </w:pPr>
      <w:r w:rsidRPr="007607AD">
        <w:rPr>
          <w:i/>
          <w:iCs/>
        </w:rPr>
        <w:t>Evropski parlament</w:t>
      </w:r>
      <w:r w:rsidRPr="007607AD">
        <w:t>,</w:t>
      </w:r>
    </w:p>
    <w:p w14:paraId="18C224D1" w14:textId="77777777" w:rsidR="00621D46" w:rsidRPr="007607AD" w:rsidRDefault="00621D46" w:rsidP="00621D46">
      <w:pPr>
        <w:pStyle w:val="NormalHanging12a"/>
      </w:pPr>
      <w:r w:rsidRPr="007607AD">
        <w:t>–</w:t>
      </w:r>
      <w:r w:rsidRPr="007607AD">
        <w:tab/>
        <w:t>ob upoštevanju končnega zaključnega računa Skupnega podjetja za pametna omrežja in storitve za proračunsko leto 2024,</w:t>
      </w:r>
    </w:p>
    <w:p w14:paraId="6B0B24CA"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135"/>
      </w:r>
      <w:r w:rsidRPr="007607AD">
        <w:t>,</w:t>
      </w:r>
    </w:p>
    <w:p w14:paraId="258F426F"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136"/>
      </w:r>
      <w:r w:rsidRPr="007607AD">
        <w:t xml:space="preserve"> računovodskih izkazov ter zakonitosti in pravilnosti z njimi povezanih transakcij, ki jo je za proračunsko leto 2024 v skladu s členom 287 Pogodbe o delovanju Evropske unije pripravilo Računsko sodišče,</w:t>
      </w:r>
    </w:p>
    <w:p w14:paraId="03F46948"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5277912C" w14:textId="77777777" w:rsidR="00621D46" w:rsidRPr="007607AD" w:rsidRDefault="00621D46" w:rsidP="00621D46">
      <w:pPr>
        <w:pStyle w:val="NormalHanging12a"/>
      </w:pPr>
      <w:r w:rsidRPr="007607AD">
        <w:t>–</w:t>
      </w:r>
      <w:r w:rsidRPr="007607AD">
        <w:tab/>
        <w:t>ob upoštevanju člena 319 Pogodbe o delovanju Evropske unije,</w:t>
      </w:r>
    </w:p>
    <w:p w14:paraId="500930A8"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137"/>
      </w:r>
      <w:r w:rsidRPr="007607AD">
        <w:t xml:space="preserve"> in zlasti člena 71,</w:t>
      </w:r>
    </w:p>
    <w:p w14:paraId="0B9C778C" w14:textId="7803380D"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138"/>
      </w:r>
      <w:r w:rsidRPr="007607AD">
        <w:t xml:space="preserve">, </w:t>
      </w:r>
      <w:r w:rsidR="00F762FC">
        <w:t xml:space="preserve">in </w:t>
      </w:r>
      <w:r w:rsidRPr="007607AD">
        <w:t>zlasti člena 71,</w:t>
      </w:r>
    </w:p>
    <w:p w14:paraId="0CA2F986"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139"/>
      </w:r>
      <w:r w:rsidRPr="007607AD">
        <w:t xml:space="preserve"> in zlasti člena 26,</w:t>
      </w:r>
    </w:p>
    <w:p w14:paraId="634B3DFA"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140"/>
      </w:r>
      <w:r w:rsidRPr="007607AD">
        <w:t>,</w:t>
      </w:r>
    </w:p>
    <w:p w14:paraId="589597C8" w14:textId="77777777" w:rsidR="00621D46" w:rsidRPr="007607AD" w:rsidRDefault="00621D46" w:rsidP="00621D46">
      <w:pPr>
        <w:pStyle w:val="NormalHanging12a"/>
      </w:pPr>
      <w:r w:rsidRPr="007607AD">
        <w:t>–</w:t>
      </w:r>
      <w:r w:rsidRPr="007607AD">
        <w:tab/>
        <w:t>ob upoštevanju člena 102 in Priloge V Poslovnika,</w:t>
      </w:r>
    </w:p>
    <w:p w14:paraId="7DECA613" w14:textId="77777777" w:rsidR="00621D46" w:rsidRPr="007607AD" w:rsidRDefault="00621D46" w:rsidP="00621D46">
      <w:pPr>
        <w:pStyle w:val="NormalHanging12a"/>
      </w:pPr>
      <w:r w:rsidRPr="007607AD">
        <w:lastRenderedPageBreak/>
        <w:t>–</w:t>
      </w:r>
      <w:r w:rsidRPr="007607AD">
        <w:tab/>
        <w:t>ob upoštevanju poročila Odbora za proračunski nadzor (A10</w:t>
      </w:r>
      <w:r w:rsidRPr="007607AD">
        <w:noBreakHyphen/>
        <w:t>0046/2026),</w:t>
      </w:r>
    </w:p>
    <w:p w14:paraId="7AAC1F9C" w14:textId="77777777" w:rsidR="00621D46" w:rsidRPr="007607AD" w:rsidRDefault="00621D46" w:rsidP="00621D46">
      <w:pPr>
        <w:pStyle w:val="NormalHanging12a"/>
      </w:pPr>
      <w:r w:rsidRPr="007607AD">
        <w:t>1.</w:t>
      </w:r>
      <w:r w:rsidRPr="007607AD">
        <w:tab/>
        <w:t>podeli razrešnico izvršni direktorici Skupnega podjetja za pametna omrežja in storitve glede izvrševanja proračuna skupnega podjetja za proračunsko leto 2024;</w:t>
      </w:r>
    </w:p>
    <w:p w14:paraId="3845957D" w14:textId="77777777" w:rsidR="00621D46" w:rsidRPr="007607AD" w:rsidRDefault="00621D46" w:rsidP="00621D46">
      <w:pPr>
        <w:pStyle w:val="NormalHanging12a"/>
      </w:pPr>
      <w:r w:rsidRPr="007607AD">
        <w:t>2.</w:t>
      </w:r>
      <w:r w:rsidRPr="007607AD">
        <w:tab/>
        <w:t>navaja svoje pripombe v spodnji resoluciji;</w:t>
      </w:r>
    </w:p>
    <w:p w14:paraId="6084B2F3" w14:textId="77777777" w:rsidR="00621D46" w:rsidRPr="007607AD" w:rsidRDefault="00621D46" w:rsidP="00621D46">
      <w:pPr>
        <w:pStyle w:val="NormalHanging12a"/>
      </w:pPr>
      <w:r w:rsidRPr="007607AD">
        <w:t>3.</w:t>
      </w:r>
      <w:r w:rsidRPr="007607AD">
        <w:tab/>
        <w:t xml:space="preserve">naroči svoji predsednici, naj ta sklep in resolucijo, ki je del sklepa, posreduje izvršni direktorici Skupnega podjetja za pametna omrežja in storitve, Svetu, Komisiji in Računskemu sodišču ter poskrbi za objavo v </w:t>
      </w:r>
      <w:r w:rsidRPr="007607AD">
        <w:rPr>
          <w:i/>
          <w:iCs/>
        </w:rPr>
        <w:t>Uradnem listu Evropske unije</w:t>
      </w:r>
      <w:r w:rsidRPr="007607AD">
        <w:t xml:space="preserve"> (serija L).</w:t>
      </w:r>
    </w:p>
    <w:p w14:paraId="5DD20C9C" w14:textId="77777777" w:rsidR="00621D46" w:rsidRPr="007607AD" w:rsidRDefault="00621D46" w:rsidP="00621D46"/>
    <w:p w14:paraId="5E3AB1EF"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71D3E7" w14:textId="77777777" w:rsidR="00CC41B0" w:rsidRPr="007607AD" w:rsidRDefault="00CC41B0" w:rsidP="00CC41B0">
      <w:pPr>
        <w:pStyle w:val="ATHeading3"/>
      </w:pPr>
      <w:r w:rsidRPr="007607AD">
        <w:lastRenderedPageBreak/>
        <w:t>24. Sklep Evropskega parlamenta z dne 29. aprila 2026 o zaključnem računu Skupnega podjetja za pametna omrežja in storitve za proračunsko leto 2024 (2025/2157(DEC))</w:t>
      </w:r>
    </w:p>
    <w:p w14:paraId="748BCDB2" w14:textId="77777777" w:rsidR="00621D46" w:rsidRPr="007607AD" w:rsidRDefault="00621D46" w:rsidP="00621D46">
      <w:pPr>
        <w:pStyle w:val="EPComma"/>
      </w:pPr>
      <w:r w:rsidRPr="007607AD">
        <w:rPr>
          <w:i/>
          <w:iCs/>
        </w:rPr>
        <w:t>Evropski parlament</w:t>
      </w:r>
      <w:r w:rsidRPr="007607AD">
        <w:t>,</w:t>
      </w:r>
    </w:p>
    <w:p w14:paraId="325F280A" w14:textId="77777777" w:rsidR="00621D46" w:rsidRPr="007607AD" w:rsidRDefault="00621D46" w:rsidP="00621D46">
      <w:pPr>
        <w:pStyle w:val="NormalHanging12a"/>
      </w:pPr>
      <w:r w:rsidRPr="007607AD">
        <w:t>–</w:t>
      </w:r>
      <w:r w:rsidRPr="007607AD">
        <w:tab/>
        <w:t>ob upoštevanju končnega zaključnega računa Skupnega podjetja za pametna omrežja in storitve za proračunsko leto 2024,</w:t>
      </w:r>
    </w:p>
    <w:p w14:paraId="078FE393" w14:textId="77777777" w:rsidR="00621D46" w:rsidRPr="007607AD" w:rsidRDefault="00621D46" w:rsidP="00621D46">
      <w:pPr>
        <w:pStyle w:val="NormalHanging12a"/>
      </w:pPr>
      <w:r w:rsidRPr="007607AD">
        <w:t>–</w:t>
      </w:r>
      <w:r w:rsidRPr="007607AD">
        <w:tab/>
        <w:t>ob upoštevanju letnega poročila Računskega sodišča o skupnih podjetjih EU za proračunsko leto 2024, skupaj z odgovori skupnih podjetij</w:t>
      </w:r>
      <w:r w:rsidRPr="007607AD">
        <w:rPr>
          <w:rStyle w:val="FootnoteReference"/>
        </w:rPr>
        <w:footnoteReference w:id="141"/>
      </w:r>
      <w:r w:rsidRPr="007607AD">
        <w:t>,</w:t>
      </w:r>
    </w:p>
    <w:p w14:paraId="361A2D02" w14:textId="77777777" w:rsidR="00621D46" w:rsidRPr="007607AD" w:rsidRDefault="00621D46" w:rsidP="00621D46">
      <w:pPr>
        <w:pStyle w:val="NormalHanging12a"/>
      </w:pPr>
      <w:r w:rsidRPr="007607AD">
        <w:t>–</w:t>
      </w:r>
      <w:r w:rsidRPr="007607AD">
        <w:tab/>
        <w:t>ob upoštevanju izjave o zanesljivosti</w:t>
      </w:r>
      <w:r w:rsidRPr="007607AD">
        <w:rPr>
          <w:rStyle w:val="FootnoteReference"/>
        </w:rPr>
        <w:footnoteReference w:id="142"/>
      </w:r>
      <w:r w:rsidRPr="007607AD">
        <w:t xml:space="preserve"> računovodskih izkazov ter zakonitosti in pravilnosti z njimi povezanih transakcij, ki jo je za proračunsko leto 2024 v skladu s členom 287 Pogodbe o delovanju Evropske unije pripravilo Računsko sodišče,</w:t>
      </w:r>
    </w:p>
    <w:p w14:paraId="253D7ED1" w14:textId="77777777" w:rsidR="00621D46" w:rsidRPr="007607AD" w:rsidRDefault="00621D46" w:rsidP="00621D46">
      <w:pPr>
        <w:pStyle w:val="NormalHanging12a"/>
      </w:pPr>
      <w:r w:rsidRPr="007607AD">
        <w:t>–</w:t>
      </w:r>
      <w:r w:rsidRPr="007607AD">
        <w:tab/>
        <w:t>ob upoštevanju priporočila Sveta z dne 2. marca 2026 o podelitvi razrešnice skupnemu podjetju glede izvrševanja proračuna za proračunsko leto 2024 (05753/2026 – C10-0049/2026),</w:t>
      </w:r>
    </w:p>
    <w:p w14:paraId="4336F0A4" w14:textId="77777777" w:rsidR="00621D46" w:rsidRPr="007607AD" w:rsidRDefault="00621D46" w:rsidP="00621D46">
      <w:pPr>
        <w:pStyle w:val="NormalHanging12a"/>
      </w:pPr>
      <w:r w:rsidRPr="007607AD">
        <w:t>–</w:t>
      </w:r>
      <w:r w:rsidRPr="007607AD">
        <w:tab/>
        <w:t>ob upoštevanju člena 319 Pogodbe o delovanju Evropske unije,</w:t>
      </w:r>
    </w:p>
    <w:p w14:paraId="2DBA9FD1" w14:textId="77777777" w:rsidR="00621D46" w:rsidRPr="007607AD" w:rsidRDefault="00621D46" w:rsidP="00621D46">
      <w:pPr>
        <w:pStyle w:val="NormalHanging12a"/>
      </w:pPr>
      <w:r w:rsidRPr="007607AD">
        <w:t>–</w:t>
      </w:r>
      <w:r w:rsidRPr="007607A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607AD">
        <w:rPr>
          <w:rStyle w:val="FootnoteReference"/>
        </w:rPr>
        <w:footnoteReference w:id="143"/>
      </w:r>
      <w:r w:rsidRPr="007607AD">
        <w:t xml:space="preserve"> in zlasti člena 71,</w:t>
      </w:r>
    </w:p>
    <w:p w14:paraId="6B91DF67" w14:textId="39E3F95F" w:rsidR="00621D46" w:rsidRPr="007607AD" w:rsidRDefault="00621D46" w:rsidP="00621D46">
      <w:pPr>
        <w:pStyle w:val="NormalHanging12a"/>
      </w:pPr>
      <w:r w:rsidRPr="007607AD">
        <w:t>–</w:t>
      </w:r>
      <w:r w:rsidRPr="007607AD">
        <w:tab/>
        <w:t>ob upoštevanju Uredbe (EU, Euratom) 2024/2509 Evropskega parlamenta in Sveta z dne 23. septembra 2024 o finančnih pravilih, ki se uporabljajo za splošni proračun Unije</w:t>
      </w:r>
      <w:r w:rsidRPr="007607AD">
        <w:rPr>
          <w:rStyle w:val="FootnoteReference"/>
        </w:rPr>
        <w:footnoteReference w:id="144"/>
      </w:r>
      <w:r w:rsidRPr="007607AD">
        <w:t xml:space="preserve">, </w:t>
      </w:r>
      <w:r w:rsidR="00F762FC">
        <w:t xml:space="preserve">in </w:t>
      </w:r>
      <w:r w:rsidRPr="007607AD">
        <w:t>zlasti člena 71,</w:t>
      </w:r>
    </w:p>
    <w:p w14:paraId="56346163" w14:textId="77777777" w:rsidR="00621D46" w:rsidRPr="007607AD" w:rsidRDefault="00621D46" w:rsidP="00621D46">
      <w:pPr>
        <w:pStyle w:val="NormalHanging12a"/>
      </w:pPr>
      <w:r w:rsidRPr="007607AD">
        <w:t>–</w:t>
      </w:r>
      <w:r w:rsidRPr="007607AD">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607AD">
        <w:rPr>
          <w:rStyle w:val="FootnoteReference"/>
        </w:rPr>
        <w:footnoteReference w:id="145"/>
      </w:r>
      <w:r w:rsidRPr="007607AD">
        <w:t xml:space="preserve"> in zlasti člena 26,</w:t>
      </w:r>
    </w:p>
    <w:p w14:paraId="3288ED41" w14:textId="77777777" w:rsidR="00621D46" w:rsidRPr="007607AD" w:rsidRDefault="00621D46" w:rsidP="00621D46">
      <w:pPr>
        <w:pStyle w:val="NormalHanging12a"/>
      </w:pPr>
      <w:r w:rsidRPr="007607AD">
        <w:t>–</w:t>
      </w:r>
      <w:r w:rsidRPr="007607AD">
        <w:tab/>
        <w:t>ob upoštevanju Delegirane uredbe Komisije (EU) 2019/887 z dne 13. marca 2019 o vzorčni finančni uredbi za subjekte javno-zasebnega partnerstva iz člena 71 Uredbe (EU, Euratom) 2018/1046 Evropskega parlamenta in Sveta</w:t>
      </w:r>
      <w:r w:rsidRPr="007607AD">
        <w:rPr>
          <w:rStyle w:val="FootnoteReference"/>
        </w:rPr>
        <w:footnoteReference w:id="146"/>
      </w:r>
      <w:r w:rsidRPr="007607AD">
        <w:t>,</w:t>
      </w:r>
    </w:p>
    <w:p w14:paraId="4A02ABBB" w14:textId="77777777" w:rsidR="00621D46" w:rsidRPr="007607AD" w:rsidRDefault="00621D46" w:rsidP="00621D46">
      <w:pPr>
        <w:pStyle w:val="NormalHanging12a"/>
      </w:pPr>
      <w:r w:rsidRPr="007607AD">
        <w:t>–</w:t>
      </w:r>
      <w:r w:rsidRPr="007607AD">
        <w:tab/>
        <w:t>ob upoštevanju člena 102 in Priloge V Poslovnika,</w:t>
      </w:r>
    </w:p>
    <w:p w14:paraId="63830BF5" w14:textId="77777777" w:rsidR="00621D46" w:rsidRPr="007607AD" w:rsidRDefault="00621D46" w:rsidP="00621D46">
      <w:pPr>
        <w:pStyle w:val="NormalHanging12a"/>
      </w:pPr>
      <w:r w:rsidRPr="007607AD">
        <w:t>–</w:t>
      </w:r>
      <w:r w:rsidRPr="007607AD">
        <w:tab/>
        <w:t>ob upoštevanju poročila Odbora za proračunski nadzor (A10</w:t>
      </w:r>
      <w:r w:rsidRPr="007607AD">
        <w:noBreakHyphen/>
        <w:t>0046/2026),</w:t>
      </w:r>
    </w:p>
    <w:p w14:paraId="356EACD7" w14:textId="77777777" w:rsidR="00621D46" w:rsidRPr="007607AD" w:rsidRDefault="00621D46" w:rsidP="00621D46">
      <w:pPr>
        <w:pStyle w:val="NormalHanging12a"/>
      </w:pPr>
      <w:r w:rsidRPr="007607AD">
        <w:lastRenderedPageBreak/>
        <w:t>1.</w:t>
      </w:r>
      <w:r w:rsidRPr="007607AD">
        <w:tab/>
        <w:t>odobri zaključni račun Skupnega podjetja za pametna omrežja in storitve za proračunsko leto 2024;</w:t>
      </w:r>
    </w:p>
    <w:p w14:paraId="71E99117" w14:textId="77777777" w:rsidR="00621D46" w:rsidRPr="007607AD" w:rsidRDefault="00621D46" w:rsidP="00621D46">
      <w:pPr>
        <w:pStyle w:val="NormalHanging12a"/>
      </w:pPr>
      <w:r w:rsidRPr="007607AD">
        <w:t>2.</w:t>
      </w:r>
      <w:r w:rsidRPr="007607AD">
        <w:tab/>
        <w:t xml:space="preserve">naroči svoji predsednici, naj ta sklep posreduje izvršni direktorici Skupnega podjetja za pametna omrežja in storitve, Svetu, Komisiji in Računskemu sodišču ter poskrbi za objavo v </w:t>
      </w:r>
      <w:r w:rsidRPr="007607AD">
        <w:rPr>
          <w:i/>
          <w:iCs/>
        </w:rPr>
        <w:t>Uradnem listu Evropske unije</w:t>
      </w:r>
      <w:r w:rsidRPr="007607AD">
        <w:t xml:space="preserve"> (serija L).</w:t>
      </w:r>
    </w:p>
    <w:p w14:paraId="16047500" w14:textId="77777777" w:rsidR="00621D46" w:rsidRPr="007607AD" w:rsidRDefault="00621D46" w:rsidP="00621D46"/>
    <w:p w14:paraId="44092FD5" w14:textId="77777777" w:rsidR="00621D46" w:rsidRPr="007607AD" w:rsidRDefault="00621D46" w:rsidP="00621D46">
      <w:pPr>
        <w:pStyle w:val="PageHeading"/>
        <w:sectPr w:rsidR="00621D46" w:rsidRPr="007607AD" w:rsidSect="00783D9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1BB97B" w14:textId="77777777" w:rsidR="00CC41B0" w:rsidRPr="007607AD" w:rsidRDefault="00CC41B0" w:rsidP="00CC41B0">
      <w:pPr>
        <w:pStyle w:val="ATHeading3"/>
      </w:pPr>
      <w:r w:rsidRPr="007607AD">
        <w:lastRenderedPageBreak/>
        <w:t>25. Resolucija Evropskega parlamenta z dne 29. aprila 2026 s pripombami, ki so del sklepov o razrešnici glede izvrševanja proračuna skupnih podjetij EU za proračunsko leto 2024 (2025/2157(DEC))</w:t>
      </w:r>
    </w:p>
    <w:p w14:paraId="0141136D" w14:textId="77777777" w:rsidR="00621D46" w:rsidRPr="007607AD" w:rsidRDefault="00621D46" w:rsidP="00621D46">
      <w:pPr>
        <w:pStyle w:val="EPComma"/>
      </w:pPr>
      <w:r w:rsidRPr="007607AD">
        <w:rPr>
          <w:i/>
          <w:iCs/>
        </w:rPr>
        <w:t>Evropski parlament</w:t>
      </w:r>
      <w:r w:rsidRPr="007607AD">
        <w:t>,</w:t>
      </w:r>
    </w:p>
    <w:p w14:paraId="3892EDC0" w14:textId="77777777" w:rsidR="00621D46" w:rsidRPr="007607AD" w:rsidRDefault="00621D46" w:rsidP="00621D46">
      <w:pPr>
        <w:pStyle w:val="NormalHanging12a"/>
      </w:pPr>
      <w:r w:rsidRPr="007607AD">
        <w:t>–</w:t>
      </w:r>
      <w:r w:rsidRPr="007607AD">
        <w:tab/>
        <w:t>ob upoštevanju sklepa o razrešnici glede izvrševanja proračuna Skupnega podjetja za čisto letalstvo za proračunsko leto 2024,</w:t>
      </w:r>
    </w:p>
    <w:p w14:paraId="77B7BE95" w14:textId="77777777" w:rsidR="00621D46" w:rsidRPr="007607AD" w:rsidRDefault="00621D46" w:rsidP="00621D46">
      <w:pPr>
        <w:pStyle w:val="NormalHanging12a"/>
      </w:pPr>
      <w:r w:rsidRPr="007607AD">
        <w:t>–</w:t>
      </w:r>
      <w:r w:rsidRPr="007607AD">
        <w:tab/>
        <w:t>ob upoštevanju sklepa o razrešnici glede izvrševanja proračuna Skupnega podjetja za krožno Evropo na biološki osnovi za proračunsko leto 2024,</w:t>
      </w:r>
    </w:p>
    <w:p w14:paraId="5F174BA5" w14:textId="77777777" w:rsidR="00621D46" w:rsidRPr="007607AD" w:rsidRDefault="00621D46" w:rsidP="00621D46">
      <w:pPr>
        <w:pStyle w:val="NormalHanging12a"/>
      </w:pPr>
      <w:r w:rsidRPr="007607AD">
        <w:t>–</w:t>
      </w:r>
      <w:r w:rsidRPr="007607AD">
        <w:tab/>
        <w:t>ob upoštevanju sklepa o razrešnici glede izvrševanja proračuna Skupnega podjetja za čisti vodik za proračunsko leto 2024,</w:t>
      </w:r>
    </w:p>
    <w:p w14:paraId="1BBDD9FA" w14:textId="77777777" w:rsidR="00621D46" w:rsidRPr="007607AD" w:rsidRDefault="00621D46" w:rsidP="00621D46">
      <w:pPr>
        <w:pStyle w:val="NormalHanging12a"/>
      </w:pPr>
      <w:r w:rsidRPr="007607AD">
        <w:t>–</w:t>
      </w:r>
      <w:r w:rsidRPr="007607AD">
        <w:tab/>
        <w:t>ob upoštevanju sklepa o razrešnici glede izvrševanja proračuna Skupnega podjetja za evropske železnice za proračunsko leto 2024,</w:t>
      </w:r>
    </w:p>
    <w:p w14:paraId="5D6007E9" w14:textId="77777777" w:rsidR="00621D46" w:rsidRPr="007607AD" w:rsidRDefault="00621D46" w:rsidP="00621D46">
      <w:pPr>
        <w:pStyle w:val="NormalHanging12a"/>
      </w:pPr>
      <w:r w:rsidRPr="007607AD">
        <w:t>–</w:t>
      </w:r>
      <w:r w:rsidRPr="007607AD">
        <w:tab/>
        <w:t>ob upoštevanju sklepa o razrešnici glede izvrševanja proračuna Evropskega industrijskega, tehnološkega in raziskovalnega kompetenčnega centra za kibernetsko varnost za proračunsko leto 2024,</w:t>
      </w:r>
    </w:p>
    <w:p w14:paraId="481C6969" w14:textId="77777777" w:rsidR="00621D46" w:rsidRPr="007607AD" w:rsidRDefault="00621D46" w:rsidP="00621D46">
      <w:pPr>
        <w:pStyle w:val="NormalHanging12a"/>
      </w:pPr>
      <w:r w:rsidRPr="007607AD">
        <w:t>–</w:t>
      </w:r>
      <w:r w:rsidRPr="007607AD">
        <w:tab/>
        <w:t xml:space="preserve">ob upoštevanju sklepa o razrešnici glede izvrševanja proračuna Skupnega podjetja za evropsko </w:t>
      </w:r>
      <w:proofErr w:type="spellStart"/>
      <w:r w:rsidRPr="007607AD">
        <w:t>visokozmogljivostno</w:t>
      </w:r>
      <w:proofErr w:type="spellEnd"/>
      <w:r w:rsidRPr="007607AD">
        <w:t xml:space="preserve"> računalništvo za proračunsko leto 2024,</w:t>
      </w:r>
    </w:p>
    <w:p w14:paraId="0504ACFA" w14:textId="77777777" w:rsidR="00621D46" w:rsidRPr="007607AD" w:rsidRDefault="00621D46" w:rsidP="00621D46">
      <w:pPr>
        <w:pStyle w:val="NormalHanging12a"/>
      </w:pPr>
      <w:r w:rsidRPr="007607AD">
        <w:t>–</w:t>
      </w:r>
      <w:r w:rsidRPr="007607AD">
        <w:tab/>
        <w:t>ob upoštevanju sklepa o razrešnici glede izvrševanja proračuna Evropskega skupnega podjetja za ITER in razvoj fuzijske energije za proračunsko leto 2024,</w:t>
      </w:r>
    </w:p>
    <w:p w14:paraId="1F6C9F68" w14:textId="77777777" w:rsidR="00621D46" w:rsidRPr="007607AD" w:rsidRDefault="00621D46" w:rsidP="00621D46">
      <w:pPr>
        <w:pStyle w:val="NormalHanging12a"/>
      </w:pPr>
      <w:r w:rsidRPr="007607AD">
        <w:t>–</w:t>
      </w:r>
      <w:r w:rsidRPr="007607AD">
        <w:tab/>
        <w:t>ob upoštevanju sklepa o razrešnici glede izvrševanja proračuna Skupnega podjetja za svetovno zdravje EDCTP3 za proračunsko leto 2024,</w:t>
      </w:r>
    </w:p>
    <w:p w14:paraId="252C0F2E" w14:textId="77777777" w:rsidR="00621D46" w:rsidRPr="007607AD" w:rsidRDefault="00621D46" w:rsidP="00621D46">
      <w:pPr>
        <w:pStyle w:val="NormalHanging12a"/>
      </w:pPr>
      <w:r w:rsidRPr="007607AD">
        <w:t>–</w:t>
      </w:r>
      <w:r w:rsidRPr="007607AD">
        <w:tab/>
        <w:t>ob upoštevanju sklepa o razrešnici glede izvrševanja proračuna Skupnega podjetja za pobudo za inovativno zdravje za proračunsko leto 2024,</w:t>
      </w:r>
    </w:p>
    <w:p w14:paraId="264F2C9B" w14:textId="77777777" w:rsidR="00621D46" w:rsidRPr="007607AD" w:rsidRDefault="00621D46" w:rsidP="00621D46">
      <w:pPr>
        <w:pStyle w:val="NormalHanging12a"/>
      </w:pPr>
      <w:r w:rsidRPr="007607AD">
        <w:t>–</w:t>
      </w:r>
      <w:r w:rsidRPr="007607AD">
        <w:tab/>
        <w:t>ob upoštevanju sklepa o razrešnici glede izvrševanja proračuna Skupnega podjetja za čipe za proračunsko leto 2024,</w:t>
      </w:r>
    </w:p>
    <w:p w14:paraId="466F086E" w14:textId="77777777" w:rsidR="00621D46" w:rsidRPr="007607AD" w:rsidRDefault="00621D46" w:rsidP="00621D46">
      <w:pPr>
        <w:pStyle w:val="NormalHanging12a"/>
      </w:pPr>
      <w:r w:rsidRPr="007607AD">
        <w:t>–</w:t>
      </w:r>
      <w:r w:rsidRPr="007607AD">
        <w:tab/>
        <w:t>ob upoštevanju sklepa o razrešnici glede izvrševanja proračuna Skupnega podjetja za raziskave o upravljanju zračnega prometa enotnega evropskega neba 3 za proračunsko leto 2024,</w:t>
      </w:r>
    </w:p>
    <w:p w14:paraId="2CA340CC" w14:textId="77777777" w:rsidR="00621D46" w:rsidRPr="007607AD" w:rsidRDefault="00621D46" w:rsidP="00621D46">
      <w:pPr>
        <w:pStyle w:val="NormalHanging12a"/>
      </w:pPr>
      <w:r w:rsidRPr="007607AD">
        <w:t>–</w:t>
      </w:r>
      <w:r w:rsidRPr="007607AD">
        <w:tab/>
        <w:t>ob upoštevanju sklepa o razrešnici glede izvrševanja proračuna Skupnega podjetja za pametna omrežja in storitve za proračunsko leto 2024,</w:t>
      </w:r>
    </w:p>
    <w:p w14:paraId="0DF9ADFA" w14:textId="77777777" w:rsidR="00621D46" w:rsidRPr="007607AD" w:rsidRDefault="00621D46" w:rsidP="00621D46">
      <w:pPr>
        <w:pStyle w:val="NormalHanging12a"/>
      </w:pPr>
      <w:r w:rsidRPr="007607AD">
        <w:t>–</w:t>
      </w:r>
      <w:r w:rsidRPr="007607AD">
        <w:tab/>
        <w:t>ob upoštevanju člena 102 in Priloge V Poslovnika,</w:t>
      </w:r>
    </w:p>
    <w:p w14:paraId="3E93F775" w14:textId="77777777" w:rsidR="00621D46" w:rsidRPr="007607AD" w:rsidRDefault="00621D46" w:rsidP="00621D46">
      <w:pPr>
        <w:pStyle w:val="NormalHanging12a"/>
      </w:pPr>
      <w:r w:rsidRPr="007607AD">
        <w:t>–</w:t>
      </w:r>
      <w:r w:rsidRPr="007607AD">
        <w:tab/>
        <w:t>ob upoštevanju mnenja Odbora za promet in turizem,</w:t>
      </w:r>
    </w:p>
    <w:p w14:paraId="4D8920B7" w14:textId="77777777" w:rsidR="00621D46" w:rsidRPr="007607AD" w:rsidRDefault="00621D46" w:rsidP="00621D46">
      <w:pPr>
        <w:pStyle w:val="NormalHanging12a"/>
      </w:pPr>
      <w:r w:rsidRPr="007607AD">
        <w:t>–</w:t>
      </w:r>
      <w:r w:rsidRPr="007607AD">
        <w:tab/>
        <w:t>ob upoštevanju Uredbe Sveta (EU) št. 833/2014 z dne 31. julija 2014 o omejevalnih ukrepih zaradi delovanja Rusije, ki povzroča destabilizacijo razmer v Ukrajini</w:t>
      </w:r>
      <w:r w:rsidRPr="007607AD">
        <w:rPr>
          <w:rStyle w:val="FootnoteReference"/>
        </w:rPr>
        <w:footnoteReference w:id="147"/>
      </w:r>
      <w:r w:rsidRPr="007607AD">
        <w:t xml:space="preserve">, Sklepa </w:t>
      </w:r>
      <w:r w:rsidRPr="007607AD">
        <w:lastRenderedPageBreak/>
        <w:t>Sveta 2014/512/SZVP z dne 31. julija 2014 o omejevalnih ukrepih zaradi delovanja Rusije, ki povzroča destabilizacijo razmer v Ukrajini</w:t>
      </w:r>
      <w:r w:rsidRPr="007607AD">
        <w:rPr>
          <w:rStyle w:val="FootnoteReference"/>
        </w:rPr>
        <w:footnoteReference w:id="148"/>
      </w:r>
      <w:r w:rsidRPr="007607AD">
        <w:t>, in poznejših svežnjev sankcij, ki jih je Svet sprejel proti Rusiji kot odgovor na njeno vojaško agresijo proti Ukrajini;</w:t>
      </w:r>
    </w:p>
    <w:p w14:paraId="20B8E4D3" w14:textId="77777777" w:rsidR="00621D46" w:rsidRPr="007607AD" w:rsidRDefault="00621D46" w:rsidP="00621D46">
      <w:pPr>
        <w:pStyle w:val="NormalHanging12a"/>
      </w:pPr>
      <w:r w:rsidRPr="007607AD">
        <w:t>–</w:t>
      </w:r>
      <w:r w:rsidRPr="007607AD">
        <w:tab/>
        <w:t>ob upoštevanju poročila Odbora za proračunski nadzor (A10-0046/2026),</w:t>
      </w:r>
    </w:p>
    <w:p w14:paraId="702F2C0B" w14:textId="77777777" w:rsidR="00621D46" w:rsidRPr="007607AD" w:rsidRDefault="00621D46" w:rsidP="00621D46">
      <w:pPr>
        <w:spacing w:after="240"/>
        <w:ind w:left="567" w:hanging="567"/>
      </w:pPr>
      <w:r w:rsidRPr="007607AD">
        <w:t>A.</w:t>
      </w:r>
      <w:r w:rsidRPr="007607AD">
        <w:tab/>
        <w:t>ker so bili Skupno podjetje za raziskave o upravljanju zračnega prometa enotnega evropskega neba 3, Skupno podjetje za čisto letalstvo, Skupno podjetje za pobudo za inovativno zdravje, Skupno podjetje za čisti vodik, Skupno podjetje za krožno Evropo na biološki osnovi, Skupno podjetje za evropske železnice, Skupno podjetje za pametna omrežja in storitve ter Skupno podjetje za svetovno zdravje EDCTP3 ustanovljeni z Uredbo Sveta (EU) 2021/2085 z dne 19. novembra 2021 o ustanovitvi skupnih podjetij v okviru Obzorja Evropa in razveljavitvi uredb (ES) št. 219/2007, (EU) št. 557/2014, (EU) št. 558/2014, (EU) št. 559/2014, (EU) št. 560/2014, (EU) št. 561/2014</w:t>
      </w:r>
      <w:r w:rsidRPr="007607AD">
        <w:rPr>
          <w:vertAlign w:val="superscript"/>
        </w:rPr>
        <w:footnoteReference w:id="149"/>
      </w:r>
      <w:r w:rsidRPr="007607AD">
        <w:t xml:space="preserve"> in (EU) št. 642/2014, pri čemer se slednja imenuje enotni temeljni akt;</w:t>
      </w:r>
    </w:p>
    <w:p w14:paraId="5CB9A771" w14:textId="77777777" w:rsidR="00621D46" w:rsidRPr="007607AD" w:rsidRDefault="00621D46" w:rsidP="00621D46">
      <w:pPr>
        <w:spacing w:after="240"/>
        <w:ind w:left="567" w:hanging="567"/>
      </w:pPr>
      <w:r w:rsidRPr="007607AD">
        <w:t>B.</w:t>
      </w:r>
      <w:r w:rsidRPr="007607AD">
        <w:tab/>
        <w:t>ker je bilo Skupno podjetje za ključne digitalne tehnologije ustanovljeno z Uredbo Sveta (EU) 2021/2085 z dne 19. novembra 2021 o ustanovitvi skupnih podjetij v okviru Obzorja Evropa ter o razveljavitvi uredb (ES) št. 219/2007, (EU) št. 557/2014, (EU) št. 558/2014, (EU) št. 559/2014, (EU) št. 560/2014, (EU) št. 561/2014 in (EU) št. 642/2014; ker je bilo Skupno podjetje za ključne digitalne tehnologije julija 2023 preoblikovano v Skupno podjetje za čipe v skladu z Uredbo Sveta (EU) 2023/1782 z dne 25. julija 2023 o spremembi Uredbe Sveta (EU) 2021/2085 o ustanovitvi skupnih podjetij v okviru Obzorja Evropa v zvezi s Skupnim podjetjem za čipe</w:t>
      </w:r>
      <w:r w:rsidRPr="007607AD">
        <w:rPr>
          <w:vertAlign w:val="superscript"/>
        </w:rPr>
        <w:footnoteReference w:id="150"/>
      </w:r>
      <w:r w:rsidRPr="007607AD">
        <w:t>;</w:t>
      </w:r>
    </w:p>
    <w:p w14:paraId="59598738" w14:textId="77777777" w:rsidR="00621D46" w:rsidRPr="007607AD" w:rsidRDefault="00621D46" w:rsidP="00621D46">
      <w:pPr>
        <w:spacing w:after="240"/>
        <w:ind w:left="567" w:hanging="567"/>
      </w:pPr>
      <w:r w:rsidRPr="007607AD">
        <w:t>C.</w:t>
      </w:r>
      <w:r w:rsidRPr="007607AD">
        <w:tab/>
        <w:t>ker je bilo Evropsko skupno podjetje za ITER in razvoj fuzijske energije ustanovljeno aprila 2007 z Odločbo Sveta z dne 27. marca 2007 o ustanovitvi Evropskega skupnega podjetja za ITER in razvoj fuzijske energije ter dodelitvi prednosti le-temu (2007/198/Euratom)</w:t>
      </w:r>
      <w:r w:rsidRPr="007607AD">
        <w:rPr>
          <w:vertAlign w:val="superscript"/>
        </w:rPr>
        <w:footnoteReference w:id="151"/>
      </w:r>
      <w:r w:rsidRPr="007607AD">
        <w:t>;</w:t>
      </w:r>
    </w:p>
    <w:p w14:paraId="5AA56222" w14:textId="77777777" w:rsidR="00621D46" w:rsidRPr="007607AD" w:rsidRDefault="00621D46" w:rsidP="00621D46">
      <w:pPr>
        <w:spacing w:after="240"/>
        <w:ind w:left="567" w:hanging="567"/>
      </w:pPr>
      <w:r w:rsidRPr="007607AD">
        <w:t>D.</w:t>
      </w:r>
      <w:r w:rsidRPr="007607AD">
        <w:tab/>
        <w:t xml:space="preserve">ker je bilo Skupno podjetje za evropsko </w:t>
      </w:r>
      <w:proofErr w:type="spellStart"/>
      <w:r w:rsidRPr="007607AD">
        <w:t>visokozmogljivostno</w:t>
      </w:r>
      <w:proofErr w:type="spellEnd"/>
      <w:r w:rsidRPr="007607AD">
        <w:t xml:space="preserve"> računalništvo ustanovljeno z Uredbo Sveta (EU) 2021/1173 z dne 13. julija 2021 o ustanovitvi Skupnega podjetja za evropsko </w:t>
      </w:r>
      <w:proofErr w:type="spellStart"/>
      <w:r w:rsidRPr="007607AD">
        <w:t>visokozmogljivostno</w:t>
      </w:r>
      <w:proofErr w:type="spellEnd"/>
      <w:r w:rsidRPr="007607AD">
        <w:t xml:space="preserve"> računalništvo in razveljavitvi Uredbe (EU) 2018/1488</w:t>
      </w:r>
      <w:r w:rsidRPr="007607AD">
        <w:rPr>
          <w:vertAlign w:val="superscript"/>
        </w:rPr>
        <w:footnoteReference w:id="152"/>
      </w:r>
      <w:r w:rsidRPr="007607AD">
        <w:t>;</w:t>
      </w:r>
    </w:p>
    <w:p w14:paraId="15B296AF" w14:textId="77777777" w:rsidR="00621D46" w:rsidRPr="007607AD" w:rsidRDefault="00621D46" w:rsidP="00621D46">
      <w:pPr>
        <w:spacing w:after="240"/>
        <w:ind w:left="567" w:hanging="567"/>
      </w:pPr>
      <w:r w:rsidRPr="007607AD">
        <w:t>E.</w:t>
      </w:r>
      <w:r w:rsidRPr="007607AD">
        <w:tab/>
        <w:t>ker je bil Evropski industrijski, tehnološki in raziskovalni kompetenčni center za kibernetsko varnost vzpostavljen z Uredbo (EU) 2021/887 Evropskega parlamenta in Sveta z dne 20. maja 2021 o vzpostavitvi Evropskega industrijskega, tehnološkega in raziskovalnega kompetenčnega centra za kibernetsko varnost</w:t>
      </w:r>
      <w:r w:rsidRPr="007607AD">
        <w:rPr>
          <w:rStyle w:val="FootnoteReference"/>
        </w:rPr>
        <w:footnoteReference w:id="153"/>
      </w:r>
      <w:r w:rsidRPr="007607AD">
        <w:t>;</w:t>
      </w:r>
    </w:p>
    <w:p w14:paraId="7F4B735D" w14:textId="77777777" w:rsidR="00621D46" w:rsidRPr="007607AD" w:rsidRDefault="00621D46" w:rsidP="00621D46">
      <w:pPr>
        <w:spacing w:after="240"/>
        <w:ind w:left="567" w:hanging="567"/>
      </w:pPr>
      <w:r w:rsidRPr="007607AD">
        <w:t>F.</w:t>
      </w:r>
      <w:r w:rsidRPr="007607AD">
        <w:tab/>
        <w:t>ker je Skupno podjetje za raziskave o upravljanju zračnega prometa enotnega evropskega neba 3 javno-zasebno partnerstvo za razvoj moderniziranega upravljanja zračnega prometa v Evropi in za pospešitev uresničevanja pobude za digitalno evropsko nebo z raziskavami in inovacijami;</w:t>
      </w:r>
    </w:p>
    <w:p w14:paraId="0C95B50B" w14:textId="77777777" w:rsidR="00621D46" w:rsidRPr="007607AD" w:rsidRDefault="00621D46" w:rsidP="00621D46">
      <w:pPr>
        <w:spacing w:after="240"/>
        <w:ind w:left="567" w:hanging="567"/>
      </w:pPr>
      <w:r w:rsidRPr="007607AD">
        <w:lastRenderedPageBreak/>
        <w:t>G.</w:t>
      </w:r>
      <w:r w:rsidRPr="007607AD">
        <w:tab/>
        <w:t>ker je Skupno podjetje za čisto letalstvo javno-zasebno partnerstvo s poudarkom na raziskavah in inovacijah, katerega cilj je preoblikovati letalstvo tako, da bo imelo trajnostno in podnebno nevtralno prihodnost;</w:t>
      </w:r>
    </w:p>
    <w:p w14:paraId="664F1D04" w14:textId="77777777" w:rsidR="00621D46" w:rsidRPr="007607AD" w:rsidRDefault="00621D46" w:rsidP="00621D46">
      <w:pPr>
        <w:spacing w:after="240"/>
        <w:ind w:left="567" w:hanging="567"/>
      </w:pPr>
      <w:r w:rsidRPr="007607AD">
        <w:t>H.</w:t>
      </w:r>
      <w:r w:rsidRPr="007607AD">
        <w:tab/>
        <w:t>ker je Skupno podjetje za pobudo za inovativno zdravje javno-zasebno partnerstvo, osredotočeno na interdisciplinarne, trajnostne in na paciente osredotočene raziskave in inovacije na področju zdravstva;</w:t>
      </w:r>
    </w:p>
    <w:p w14:paraId="0419213C" w14:textId="77777777" w:rsidR="00621D46" w:rsidRPr="007607AD" w:rsidRDefault="00621D46" w:rsidP="00621D46">
      <w:pPr>
        <w:spacing w:after="240"/>
        <w:ind w:left="567" w:hanging="567"/>
      </w:pPr>
      <w:r w:rsidRPr="007607AD">
        <w:t>I.</w:t>
      </w:r>
      <w:r w:rsidRPr="007607AD">
        <w:tab/>
        <w:t>ker je Skupno podjetje za čisti vodik javno-zasebno partnerstvo na področju tehnoloških raziskav in inovacij v zvezi z vodikom in gorivnimi celicami;</w:t>
      </w:r>
    </w:p>
    <w:p w14:paraId="531CBB29" w14:textId="77777777" w:rsidR="00621D46" w:rsidRPr="007607AD" w:rsidRDefault="00621D46" w:rsidP="00621D46">
      <w:pPr>
        <w:spacing w:after="240"/>
        <w:ind w:left="567" w:hanging="567"/>
      </w:pPr>
      <w:r w:rsidRPr="007607AD">
        <w:t>J.</w:t>
      </w:r>
      <w:r w:rsidRPr="007607AD">
        <w:tab/>
        <w:t xml:space="preserve">ker je Skupno podjetje za čipe javno-zasebno partnerstvo, ki spodbuja razvoj inovativnih polprevodniških tehnologij naslednje generacije in krepi evropsko zmogljivost za proizvodnjo čipov v okviru pobude Čipi za Evropo; </w:t>
      </w:r>
    </w:p>
    <w:p w14:paraId="1044EEDC" w14:textId="77777777" w:rsidR="00621D46" w:rsidRPr="007607AD" w:rsidRDefault="00621D46" w:rsidP="00621D46">
      <w:pPr>
        <w:spacing w:after="240"/>
        <w:ind w:left="567" w:hanging="567"/>
      </w:pPr>
      <w:r w:rsidRPr="007607AD">
        <w:t>K.</w:t>
      </w:r>
      <w:r w:rsidRPr="007607AD">
        <w:tab/>
        <w:t>ker je Skupno podjetje za krožno Evropo na biološki osnovi javno-zasebno partnerstvo, usmerjeno v raziskave in inovacije za trajnostni in konkurenčni sektor krožnih industrijskih panog na biološki osnovi;</w:t>
      </w:r>
    </w:p>
    <w:p w14:paraId="3F8C3507" w14:textId="77777777" w:rsidR="00621D46" w:rsidRPr="007607AD" w:rsidRDefault="00621D46" w:rsidP="00621D46">
      <w:pPr>
        <w:spacing w:after="240"/>
        <w:ind w:left="567" w:hanging="567"/>
      </w:pPr>
      <w:r w:rsidRPr="007607AD">
        <w:t>L.</w:t>
      </w:r>
      <w:r w:rsidRPr="007607AD">
        <w:tab/>
        <w:t>ker je Skupno podjetje za evropske železnice javno-zasebno partnerstvo za raziskave in inovacije v železniškem sektorju;</w:t>
      </w:r>
    </w:p>
    <w:p w14:paraId="00DB35D9" w14:textId="77777777" w:rsidR="00621D46" w:rsidRPr="007607AD" w:rsidRDefault="00621D46" w:rsidP="00621D46">
      <w:pPr>
        <w:spacing w:after="240"/>
        <w:ind w:left="567" w:hanging="567"/>
      </w:pPr>
      <w:r w:rsidRPr="007607AD">
        <w:t>M.</w:t>
      </w:r>
      <w:r w:rsidRPr="007607AD">
        <w:tab/>
        <w:t xml:space="preserve">ker je Skupno podjetje za evropsko </w:t>
      </w:r>
      <w:proofErr w:type="spellStart"/>
      <w:r w:rsidRPr="007607AD">
        <w:t>visokozmogljivostno</w:t>
      </w:r>
      <w:proofErr w:type="spellEnd"/>
      <w:r w:rsidRPr="007607AD">
        <w:t xml:space="preserve"> računalništvo javno-zasebno partnerstvo, ki omogoča združevanje virov za razvoj in uvajanje </w:t>
      </w:r>
      <w:proofErr w:type="spellStart"/>
      <w:r w:rsidRPr="007607AD">
        <w:t>visokozmogljivostnega</w:t>
      </w:r>
      <w:proofErr w:type="spellEnd"/>
      <w:r w:rsidRPr="007607AD">
        <w:t xml:space="preserve"> računalništva v Evropi;</w:t>
      </w:r>
    </w:p>
    <w:p w14:paraId="74AD7350" w14:textId="77777777" w:rsidR="00621D46" w:rsidRPr="007607AD" w:rsidRDefault="00621D46" w:rsidP="00621D46">
      <w:pPr>
        <w:spacing w:after="240"/>
        <w:ind w:left="567" w:hanging="567"/>
      </w:pPr>
      <w:r w:rsidRPr="007607AD">
        <w:t>N.</w:t>
      </w:r>
      <w:r w:rsidRPr="007607AD">
        <w:tab/>
        <w:t>ker je Skupno podjetje za pametna omrežja in storitve javno-zasebno partnerstvo, katerega cilj je spodbujati in razvijati vodilno vlogo Evrope v industriji na področju omrežij in storitev 5G in 6G;</w:t>
      </w:r>
    </w:p>
    <w:p w14:paraId="3D2DA7B8" w14:textId="77777777" w:rsidR="00621D46" w:rsidRPr="007607AD" w:rsidRDefault="00621D46" w:rsidP="00621D46">
      <w:pPr>
        <w:spacing w:after="240"/>
        <w:ind w:left="567" w:hanging="567"/>
      </w:pPr>
      <w:r w:rsidRPr="007607AD">
        <w:t>O.</w:t>
      </w:r>
      <w:r w:rsidRPr="007607AD">
        <w:tab/>
        <w:t>ker je Skupno podjetje za svetovno zdravje EDCTP3 javno-zasebno partnerstvo, ki se osredotoča na zmanjšanje socialno-ekonomskega bremena nalezljivih bolezni v podsaharski Afriki na podlagi novih in izboljšanih zdravstvenih tehnoloških aplikacij ter izboljšanje pripravljenosti in odzivanja na nalezljive bolezni za globalne namene;</w:t>
      </w:r>
    </w:p>
    <w:p w14:paraId="1B881331" w14:textId="77777777" w:rsidR="00621D46" w:rsidRPr="007607AD" w:rsidRDefault="00621D46" w:rsidP="00621D46">
      <w:pPr>
        <w:spacing w:after="240"/>
        <w:ind w:left="567" w:hanging="567"/>
      </w:pPr>
      <w:r w:rsidRPr="007607AD">
        <w:t>P.</w:t>
      </w:r>
      <w:r w:rsidRPr="007607AD">
        <w:tab/>
        <w:t>ker je bil Evropski industrijski, tehnološki in raziskovalni kompetenčni center za kibernetsko varnost vzpostavljen, da bi deloval skupaj z Mrežo nacionalnih koordinacijskih centrov za podporo inovacijam in industrijski politiki na področju kibernetske varnosti;</w:t>
      </w:r>
    </w:p>
    <w:p w14:paraId="4E54EE01" w14:textId="77777777" w:rsidR="00621D46" w:rsidRPr="007607AD" w:rsidRDefault="00621D46" w:rsidP="00621D46">
      <w:pPr>
        <w:spacing w:after="240"/>
        <w:ind w:left="567" w:hanging="567"/>
      </w:pPr>
      <w:r w:rsidRPr="007607AD">
        <w:t>Q.</w:t>
      </w:r>
      <w:r w:rsidRPr="007607AD">
        <w:tab/>
        <w:t xml:space="preserve">ker je cilj Skupnega podjetja za ITER in razvoj fuzijske energije zagotavljati prispevek Unije k mednarodnemu projektu za fuzijsko energijo ITER, izvajati sporazum o širšem pristopu med </w:t>
      </w:r>
      <w:proofErr w:type="spellStart"/>
      <w:r w:rsidRPr="007607AD">
        <w:t>Euratomom</w:t>
      </w:r>
      <w:proofErr w:type="spellEnd"/>
      <w:r w:rsidRPr="007607AD">
        <w:t xml:space="preserve"> in Japonsko ter pripraviti gradnjo demonstracijskega fuzijskega reaktorja in sorodnih naprav;</w:t>
      </w:r>
    </w:p>
    <w:p w14:paraId="2B3B86D7" w14:textId="77777777" w:rsidR="00621D46" w:rsidRPr="007607AD" w:rsidRDefault="00621D46" w:rsidP="00621D46">
      <w:pPr>
        <w:spacing w:after="240"/>
        <w:ind w:left="567" w:hanging="567"/>
      </w:pPr>
      <w:r w:rsidRPr="007607AD">
        <w:t>R.</w:t>
      </w:r>
      <w:r w:rsidRPr="007607AD">
        <w:tab/>
        <w:t>ker je Evropska unija v zvezi z vojaško agresijo Rusije proti Ukrajini sprejela doslej največ svežnjev sankcij, katerih cilj je spodkopati gospodarsko, finančno in vojaško zmogljivost Rusije za nadaljevanje vojne ter s tem dokončno končati vojaško agresijo, zaščititi ozemeljsko nedotakljivost Ukrajine in varnost njenega prebivalstva ter zagotoviti spoštovanje načel mednarodnega prava in Ustanovne listine Združenih narodov; ker je Evropska unija sprejela več ukrepov za popolno odpravo odvisnosti Unije od ruske energije, tudi v sektorju jedrske energije;</w:t>
      </w:r>
    </w:p>
    <w:p w14:paraId="25B09DDB" w14:textId="77777777" w:rsidR="00621D46" w:rsidRPr="007607AD" w:rsidRDefault="00621D46" w:rsidP="00621D46">
      <w:pPr>
        <w:spacing w:after="240"/>
        <w:ind w:left="567" w:hanging="567"/>
      </w:pPr>
      <w:r w:rsidRPr="007607AD">
        <w:lastRenderedPageBreak/>
        <w:t>S.</w:t>
      </w:r>
      <w:r w:rsidRPr="007607AD">
        <w:tab/>
        <w:t>ker je Evropsko računsko sodišče (v nadaljnjem besedilu: Računsko sodišče) napovedalo uvedbo spremenjenega pristopa k reviziji za skupna podjetja, ki se bo začel uporabljati v proračunskem letu 2025;</w:t>
      </w:r>
    </w:p>
    <w:p w14:paraId="03A4936F" w14:textId="77777777" w:rsidR="00621D46" w:rsidRPr="007607AD" w:rsidRDefault="00621D46" w:rsidP="00621D46">
      <w:pPr>
        <w:spacing w:after="240"/>
        <w:ind w:left="567" w:hanging="567"/>
        <w:rPr>
          <w:b/>
          <w:i/>
        </w:rPr>
      </w:pPr>
      <w:r w:rsidRPr="007607AD">
        <w:rPr>
          <w:b/>
          <w:i/>
        </w:rPr>
        <w:t>Splošno</w:t>
      </w:r>
    </w:p>
    <w:p w14:paraId="5BB8B7A1" w14:textId="77777777" w:rsidR="00621D46" w:rsidRPr="007607AD" w:rsidRDefault="00621D46" w:rsidP="00621D46">
      <w:pPr>
        <w:spacing w:after="240"/>
        <w:ind w:left="567" w:hanging="567"/>
        <w:rPr>
          <w:b/>
          <w:i/>
        </w:rPr>
      </w:pPr>
      <w:r w:rsidRPr="007607AD">
        <w:t>1.</w:t>
      </w:r>
      <w:r w:rsidRPr="007607AD">
        <w:rPr>
          <w:b/>
          <w:i/>
        </w:rPr>
        <w:tab/>
      </w:r>
      <w:r w:rsidRPr="007607AD">
        <w:t xml:space="preserve">pozdravlja vlogo, ki jo imajo skupna podjetja pri podpiranju raziskovalne in inovacijske dejavnosti na področjih prometa, energije, zdravja, krožnih industrij na biološki osnovi, ključnih elektronskih komponent, umetne inteligence in </w:t>
      </w:r>
      <w:proofErr w:type="spellStart"/>
      <w:r w:rsidRPr="007607AD">
        <w:t>superračunalništva</w:t>
      </w:r>
      <w:proofErr w:type="spellEnd"/>
      <w:r w:rsidRPr="007607AD">
        <w:t xml:space="preserve">, kibernetske varnosti in omrežnih sistemov; poziva skupna podjetja, naj olajšajo pretvorbo znanstvenih spoznanj v inovacije, pripravljene za trg, in vzpostavijo mehanizme, s katerimi bodo zagotovila, da bodo njihove dejavnosti prispevale h krepitvi globalne strateške avtonomije, konkurenčnosti, varnosti, vključno s kibernetsko varnostjo, </w:t>
      </w:r>
      <w:proofErr w:type="spellStart"/>
      <w:r w:rsidRPr="007607AD">
        <w:t>okoljske</w:t>
      </w:r>
      <w:proofErr w:type="spellEnd"/>
      <w:r w:rsidRPr="007607AD">
        <w:t xml:space="preserve"> </w:t>
      </w:r>
      <w:proofErr w:type="spellStart"/>
      <w:r w:rsidRPr="007607AD">
        <w:t>trajnostnosti</w:t>
      </w:r>
      <w:proofErr w:type="spellEnd"/>
      <w:r w:rsidRPr="007607AD">
        <w:t xml:space="preserve"> in podnebnih ciljev Evrope, da bi zaščitili kritične raziskave, podatke in infrastrukturo; poziva skupna podjetja, naj spodbujajo redno usposabljanje na področju kibernetske varnosti z namenom krepitve odpornosti proti kibernetskim grožnjam;</w:t>
      </w:r>
    </w:p>
    <w:p w14:paraId="58697F11" w14:textId="77777777" w:rsidR="00621D46" w:rsidRPr="007607AD" w:rsidRDefault="00621D46" w:rsidP="00621D46">
      <w:pPr>
        <w:spacing w:after="240"/>
        <w:ind w:left="567" w:hanging="567"/>
      </w:pPr>
      <w:r w:rsidRPr="007607AD">
        <w:t>2.</w:t>
      </w:r>
      <w:r w:rsidRPr="007607AD">
        <w:tab/>
        <w:t>opozarja, da naj bi po navedbah Računskega sodišča skupna podjetja za raziskave in inovacije v sedanjem večletnem finančnem okviru upravljala pomemben proračun v višini 17,2 milijarde EUR iz denarnega prispevka Unije in zbrala za 21,3 milijarde EUR prispevkov drugih članov; poudarja, da naj bi v okviru sedanjega večletnega finančnega okvira Evropsko skupno podjetje za ITER in razvoj fuzijske energije upravljalo proračun v višini 5,6 milijarde EUR</w:t>
      </w:r>
      <w:r w:rsidRPr="007607AD">
        <w:rPr>
          <w:rStyle w:val="FootnoteReference"/>
        </w:rPr>
        <w:footnoteReference w:id="154"/>
      </w:r>
      <w:r w:rsidRPr="007607AD">
        <w:t>;</w:t>
      </w:r>
    </w:p>
    <w:p w14:paraId="623C9860" w14:textId="77777777" w:rsidR="00621D46" w:rsidRPr="007607AD" w:rsidRDefault="00621D46" w:rsidP="00621D46">
      <w:pPr>
        <w:spacing w:after="240"/>
        <w:ind w:left="567" w:hanging="567"/>
      </w:pPr>
      <w:r w:rsidRPr="007607AD">
        <w:t>3.</w:t>
      </w:r>
      <w:r w:rsidRPr="007607AD">
        <w:tab/>
        <w:t xml:space="preserve">poudarja, da bodo v okviru naslednjega večletnega finančnega okvira za obdobje 2028–2034 skupna podjetja še naprej ključna za podporo strateški avtonomiji, </w:t>
      </w:r>
      <w:proofErr w:type="spellStart"/>
      <w:r w:rsidRPr="007607AD">
        <w:t>trajnostnosti</w:t>
      </w:r>
      <w:proofErr w:type="spellEnd"/>
      <w:r w:rsidRPr="007607AD">
        <w:t>, varnosti in konkurenčnosti Unije; zato poziva Komisijo in proračunski organ, naj zagotovita, da bo skupnim podjetjem v prihodnjem večletnem finančnem okviru zagotovljeno zadostno, stabilno in dolgoročno financiranje, ki bo sorazmerno z njihovimi vse večjimi odgovornostmi in njihovo vlogo kot ključnih gonil inovacij v strateških sektorjih, kot so energija, digitalne tehnologije, polprevodniki, čista energija, zdravje in raziskave na področju obrambe;</w:t>
      </w:r>
    </w:p>
    <w:p w14:paraId="49AE759D" w14:textId="77777777" w:rsidR="00621D46" w:rsidRPr="007607AD" w:rsidRDefault="00621D46" w:rsidP="00621D46">
      <w:pPr>
        <w:spacing w:after="240"/>
        <w:ind w:left="567" w:hanging="567"/>
      </w:pPr>
      <w:r w:rsidRPr="007607AD">
        <w:t>4.</w:t>
      </w:r>
      <w:r w:rsidRPr="007607AD">
        <w:tab/>
        <w:t>je seznanjen, da skupna podjetja temeljijo na javno-zasebnih partnerstvih, ki usmerjajo naložbe ter zbirajo javna in zasebna sredstva za podporo skupnim ciljem; v zvezi s tem opozarja, da morajo prispevki zasebnih članov doseči zastavljene cilje, da bi ta partnerstva ostala vzajemno koristna; poudarja, da imajo nekatera skupna podjetja finančne težave pri doseganju svojih ciljev zaradi nezadostnih prispevkov zasebnih članov; poleg tega poziva skupna podjetja in Komisijo, naj se pri doseganju ciljev izogibajo pretiranemu zanašanju na stvarne prispevke za dodatne dejavnosti ter zagotovijo njihovo ustrezno, pregledno in sorazmerno uporabo, saj so te dejavnosti zunaj delovnih programov in proračunov skupnih podjetij in jih Računsko sodišče ne revidira; zato poziva k večji preglednosti in nadzoru Komisije nad metodologijami poročanja in potrjevanja stvarnih prispevkov za dodatne dejavnosti ter k prednostnemu razvrščanju prispevkov, povezanih z ukrepi, ki jih financira skupno podjetje, in dodeljenih na podlagi za konkurenco odprtih razpisnih postopkov;</w:t>
      </w:r>
    </w:p>
    <w:p w14:paraId="44E2E09A" w14:textId="77777777" w:rsidR="00621D46" w:rsidRPr="007607AD" w:rsidRDefault="00621D46" w:rsidP="00621D46">
      <w:pPr>
        <w:spacing w:after="240"/>
        <w:ind w:left="567" w:hanging="567"/>
      </w:pPr>
      <w:r w:rsidRPr="007607AD">
        <w:lastRenderedPageBreak/>
        <w:t>5.</w:t>
      </w:r>
      <w:r w:rsidRPr="007607AD">
        <w:tab/>
        <w:t>priznava pomembno vlogo skupnih podjetij pri spodbujanju strateške avtonomije, pripravljenosti in odpornosti Unije v hitro spreminjajočem se svetovnem geopolitičnem okolju, za katerega so značilni zapleteni in spreminjajoči se izzivi; izraža pohvalo prispevkom skupnih podjetij k tehnološkim inovacijam, digitalni avtonomiji in kibernetski varnosti, trajnostnim prometnim rešitvam, energetski neodvisnosti, krožnemu gospodarstvu in javnemu zdravju;</w:t>
      </w:r>
    </w:p>
    <w:p w14:paraId="4ECF423F" w14:textId="77777777" w:rsidR="00621D46" w:rsidRPr="007607AD" w:rsidRDefault="00621D46" w:rsidP="00621D46">
      <w:pPr>
        <w:spacing w:after="240"/>
        <w:ind w:left="567" w:hanging="567"/>
      </w:pPr>
      <w:r w:rsidRPr="007607AD">
        <w:t>6.</w:t>
      </w:r>
      <w:r w:rsidRPr="007607AD">
        <w:tab/>
        <w:t>poziva vsa skupna podjetja, naj bodo pri sodelovanju z mednarodnimi partnerji nadvse pozorna in naj v celoti upoštevajo veljavni režim omejevalnih ukrepov Unije in cilj zaščite strateške avtonomije Evrope;</w:t>
      </w:r>
    </w:p>
    <w:p w14:paraId="002D3D9D" w14:textId="77777777" w:rsidR="00621D46" w:rsidRPr="007607AD" w:rsidRDefault="00621D46" w:rsidP="00621D46">
      <w:pPr>
        <w:spacing w:after="240"/>
        <w:ind w:left="567" w:hanging="567"/>
      </w:pPr>
      <w:r w:rsidRPr="007607AD">
        <w:t>7.</w:t>
      </w:r>
      <w:r w:rsidRPr="007607AD">
        <w:tab/>
        <w:t xml:space="preserve">priznava pomemben prispevek skupnih podjetij k napredku raziskav, inovacij in tehnološkega razvoja v sektorjih, kot so letalstvo, železniški promet in upravljanje zračnega prometa; potrjuje njihovo bistveno vlogo pri podpori prednostnim ciljem Unije na področju strateške avtonomije, </w:t>
      </w:r>
      <w:proofErr w:type="spellStart"/>
      <w:r w:rsidRPr="007607AD">
        <w:t>trajnostnosti</w:t>
      </w:r>
      <w:proofErr w:type="spellEnd"/>
      <w:r w:rsidRPr="007607AD">
        <w:t>, digitalne preobrazbe, varnosti in konkurenčnosti;</w:t>
      </w:r>
    </w:p>
    <w:p w14:paraId="62A15187" w14:textId="77777777" w:rsidR="00621D46" w:rsidRPr="007607AD" w:rsidRDefault="00621D46" w:rsidP="00621D46">
      <w:pPr>
        <w:spacing w:after="240"/>
        <w:ind w:left="567" w:hanging="567"/>
      </w:pPr>
      <w:r w:rsidRPr="007607AD">
        <w:t>8.</w:t>
      </w:r>
      <w:r w:rsidRPr="007607AD">
        <w:tab/>
        <w:t>priznava, da so skupna podjetja Evropske unije ključni instrument za krepitev raziskovalnih in inovacijskih zmogljivosti Unije, saj spodbujajo obsežna javno-zasebna partnerstva na strateških področjih industrije; priznava, da skupna podjetja s svojo sposobnostjo združevanja virov, usklajevanja čezmejnega sodelovanja in premoščanja vrzeli med znanstvenimi raziskavami in uvajanjem na trg pomagajo pospešiti tehnološki napredek, ki ga posamezni akterji ne bi mogli doseči sami; ponovno poudarja pomen zagotavljanja preglednosti, odgovornosti in učinkovitega upravljanja javnih sredstev s strani skupnih podjetij;</w:t>
      </w:r>
    </w:p>
    <w:p w14:paraId="61C1894D" w14:textId="77777777" w:rsidR="00621D46" w:rsidRPr="007607AD" w:rsidRDefault="00621D46" w:rsidP="00621D46">
      <w:pPr>
        <w:spacing w:after="240"/>
        <w:ind w:left="567" w:hanging="567"/>
      </w:pPr>
      <w:r w:rsidRPr="007607AD">
        <w:t>9.</w:t>
      </w:r>
      <w:r w:rsidRPr="007607AD">
        <w:tab/>
        <w:t>priznava, da skupna podjetja z mobilizacijo industrije, akademskih krogov, malih in srednjih podjetij ter javnih organov za doseganje skupnih ciljev zagotavljajo učinkovito uporabo sredstev Unije, spodbujajo vodilno vlogo Evrope na področju strateških ključnih tehnologij, podpirajo na vrednotah temelječe inovacije in strateško avtonomijo Unije ter neposredno prispevajo k trajnostni gospodarski rasti in visokokakovostnim delovnim mestom v vsej Uniji;</w:t>
      </w:r>
    </w:p>
    <w:p w14:paraId="58BD2E5B" w14:textId="77777777" w:rsidR="00621D46" w:rsidRPr="007607AD" w:rsidRDefault="00621D46" w:rsidP="00621D46">
      <w:pPr>
        <w:spacing w:after="240"/>
        <w:ind w:left="567" w:hanging="567"/>
      </w:pPr>
      <w:r w:rsidRPr="007607AD">
        <w:t>10.</w:t>
      </w:r>
      <w:r w:rsidRPr="007607AD">
        <w:tab/>
        <w:t>poziva skupna podjetja, naj okrepijo svoje institucionalne komunikacijske dejavnosti, da bi na jasen in poučen način širšo javnost ozaveščala o svojem prispevku k ciljem Unije ter nujnosti in dodani vrednosti institucionaliziranih partnerstev, v katerih sodelujejo zasebni akterji;</w:t>
      </w:r>
    </w:p>
    <w:p w14:paraId="6CA83BA9" w14:textId="77777777" w:rsidR="00621D46" w:rsidRPr="007607AD" w:rsidRDefault="00621D46" w:rsidP="00621D46">
      <w:pPr>
        <w:spacing w:after="240"/>
        <w:ind w:left="567" w:hanging="567"/>
      </w:pPr>
      <w:r w:rsidRPr="007607AD">
        <w:t>11.</w:t>
      </w:r>
      <w:r w:rsidRPr="007607AD">
        <w:tab/>
        <w:t>pozdravlja letno poročilo Računskega sodišča o skupnih podjetjih Evropske unije za proračunsko leto 2024, ki vsebuje posebno izjavo o zanesljivosti za vsako od skupnih podjetij v zvezi z njihovimi letnimi zaključnimi računi in povezanimi transakcijami; poudarja, da je poslanstvo Računskega sodišča ključno za dobro izvrševanje proračuna Unije in nadzor nad njim; poziva k nadaljevanju te dobre prakse; pozdravlja sodelovanje skupnih podjetij z Računskim sodiščem pri pripravi njegovega poročila in je seznanjen s pojasnili v zvezi z nekaterimi pripombami in poudarki v odgovorih skupnih podjetij;</w:t>
      </w:r>
    </w:p>
    <w:p w14:paraId="0D05C419" w14:textId="77777777" w:rsidR="00621D46" w:rsidRPr="007607AD" w:rsidRDefault="00621D46" w:rsidP="00621D46">
      <w:pPr>
        <w:spacing w:after="240"/>
        <w:ind w:left="567" w:hanging="567"/>
      </w:pPr>
      <w:r w:rsidRPr="007607AD">
        <w:t>12.</w:t>
      </w:r>
      <w:r w:rsidRPr="007607AD">
        <w:tab/>
        <w:t xml:space="preserve">je seznanjen, da je Računsko sodišče 1. oktobra 2025 napovedalo uvedbo spremenjenega pristopa k reviziji za skupna podjetja, ki se bo začel uporabljati v proračunskem letu 2025; ugotavlja, da je ta sprememba med drugim posledica omejenih kadrovskih zmogljivosti in prenehanja revizij skupnih podjetij v okviru programa </w:t>
      </w:r>
      <w:r w:rsidRPr="007607AD">
        <w:lastRenderedPageBreak/>
        <w:t>Obzorje Evropa s strani Službe Komisije za notranjo revizijo, ki je prej izvajala revizijo skupnih podjetij, zaradi česar je bila razpoložljivost dopolnilnega revizijskega zagotovila omejena; ugotavlja tudi, da novi pristop predvideva ustrezno velikost revizijskega vzorca, konsolidacijo revizijskega dela v vseh skupnih podjetjih in izdajo dveh ločenih izjav o zanesljivosti, podprtih z dodatnimi tematskimi in posebnimi poročili; poziva Računsko sodišče, naj zagotovi, da se bo spremenjena metodologija uvedla pravočasno in da bo še naprej izpolnjevala najvišje standarde kakovosti, zanesljivosti in zagotovila revizije za zaščito finančnih interesov Unije;</w:t>
      </w:r>
    </w:p>
    <w:p w14:paraId="3140B6BE" w14:textId="77777777" w:rsidR="00621D46" w:rsidRPr="007607AD" w:rsidRDefault="00621D46" w:rsidP="00621D46">
      <w:pPr>
        <w:spacing w:after="240"/>
        <w:ind w:left="567" w:hanging="567"/>
      </w:pPr>
      <w:r w:rsidRPr="007607AD">
        <w:t>13.</w:t>
      </w:r>
      <w:r w:rsidRPr="007607AD">
        <w:tab/>
        <w:t>pozdravlja dejstvo, da je Evropski industrijski, tehnološki in raziskovalni kompetenčni center za kibernetsko varnost 24. septembra 2024 postal finančno samostojen; zato ugotavlja, da je Računsko sodišče za proračunsko leto 2024 prvič revidiralo to skupno podjetje poleg drugih enajstih skupnih podjetij;</w:t>
      </w:r>
    </w:p>
    <w:p w14:paraId="1AAF71B0" w14:textId="77777777" w:rsidR="00621D46" w:rsidRPr="007607AD" w:rsidRDefault="00621D46" w:rsidP="00621D46">
      <w:pPr>
        <w:spacing w:after="240"/>
        <w:ind w:left="567" w:hanging="567"/>
      </w:pPr>
      <w:r w:rsidRPr="007607AD">
        <w:t>14.</w:t>
      </w:r>
      <w:r w:rsidRPr="007607AD">
        <w:tab/>
        <w:t>poudarja, da se zaveda, da je v proračunskem letu 2024 več skupnih podjetij bilo ali bi lahko bilo znatno prizadetih zaradi pomembnih dogodkov, ki bi lahko vplivali na njihovo uspešnost; zlasti ugotavlja, da:</w:t>
      </w:r>
    </w:p>
    <w:p w14:paraId="57A93E89" w14:textId="77777777" w:rsidR="00621D46" w:rsidRPr="007607AD" w:rsidRDefault="00621D46" w:rsidP="00621D46">
      <w:pPr>
        <w:spacing w:after="240"/>
        <w:ind w:left="1134" w:hanging="567"/>
      </w:pPr>
      <w:r w:rsidRPr="007607AD">
        <w:t>(a)</w:t>
      </w:r>
      <w:r w:rsidRPr="007607AD">
        <w:tab/>
        <w:t>je dejavnosti nekaterih skupnih podjetij še naprej močno zaznamovala vojaška agresija Rusije proti Ukrajini; so taki vplivi še zlasti očitni kot motnje v dobavnih verigah, zamude pri izvajanju projektov in povečanje stroškov poslovanja;</w:t>
      </w:r>
    </w:p>
    <w:p w14:paraId="12D0E032" w14:textId="77777777" w:rsidR="00621D46" w:rsidRPr="007607AD" w:rsidRDefault="00621D46" w:rsidP="00621D46">
      <w:pPr>
        <w:spacing w:after="240"/>
        <w:ind w:left="1134" w:hanging="567"/>
      </w:pPr>
      <w:r w:rsidRPr="007607AD">
        <w:t>(b)</w:t>
      </w:r>
      <w:r w:rsidRPr="007607AD">
        <w:tab/>
        <w:t>so Združene države Amerike odpovedale velik del programov, ki jih upravlja Agencija Združenih držav za mednarodni razvoj, vključno s programi na področju svetovnega zdravja, kar lahko povzroči zmanjšanje sofinanciranja in možnosti partnerstva za dve skupni podjetji Evropske unije, ki delujeta na tem področju (Skupno podjetje za pobudo za inovativno zdravje in Skupno podjetje za svetovno zdravje EDCTP3), ter tveganja v zvezi z dobavno verigo in izvajanjem ter povečan finančni pritisk in negotovost za Unijo; vendar opozarja, da bi lahko časovni okvir te odpovedi za Unijo predstavljal tudi strateško priložnost za okrepitev njene vloge na področju svetovnega zdravja, povečanje odpornosti in uveljavitev njenega vodilnega položaja;</w:t>
      </w:r>
    </w:p>
    <w:p w14:paraId="72358A25" w14:textId="77777777" w:rsidR="00621D46" w:rsidRPr="007607AD" w:rsidRDefault="00621D46" w:rsidP="00621D46">
      <w:pPr>
        <w:spacing w:after="240"/>
        <w:ind w:left="1134" w:hanging="567"/>
      </w:pPr>
      <w:r w:rsidRPr="007607AD">
        <w:t>(c)</w:t>
      </w:r>
      <w:r w:rsidRPr="007607AD">
        <w:tab/>
        <w:t>je uredba Unije o umetni inteligenci</w:t>
      </w:r>
      <w:r w:rsidRPr="007607AD">
        <w:rPr>
          <w:rStyle w:val="FootnoteReference"/>
        </w:rPr>
        <w:footnoteReference w:id="155"/>
      </w:r>
      <w:r w:rsidRPr="007607AD">
        <w:t xml:space="preserve"> začela veljati 1. avgusta 2024 in vzpostavila skupni pravni okvir za </w:t>
      </w:r>
      <w:proofErr w:type="spellStart"/>
      <w:r w:rsidRPr="007607AD">
        <w:t>visokotvegane</w:t>
      </w:r>
      <w:proofErr w:type="spellEnd"/>
      <w:r w:rsidRPr="007607AD">
        <w:t xml:space="preserve"> sisteme umetne inteligence in obveznosti glede preglednosti; mnoga skupna podjetja, zlasti tista, ki sodelujejo v partnerstvih na področju digitalizacije, inovacij in umetne inteligence, se bodo morala prilagoditi temu okviru, kar lahko pomeni povečane zahteve glede skladnosti, oceno regulativnega tveganja in prilagoditve obsega projektov, razpisov za zbiranje predlogov in odgovornosti različnih akterjev, vključenih v izvajanje projektov;</w:t>
      </w:r>
    </w:p>
    <w:p w14:paraId="0B019F30" w14:textId="77777777" w:rsidR="00621D46" w:rsidRPr="007607AD" w:rsidRDefault="00621D46" w:rsidP="00621D46">
      <w:pPr>
        <w:spacing w:after="240"/>
        <w:ind w:left="567" w:hanging="567"/>
      </w:pPr>
      <w:r w:rsidRPr="007607AD">
        <w:t>15.</w:t>
      </w:r>
      <w:r w:rsidRPr="007607AD">
        <w:tab/>
        <w:t xml:space="preserve">želi spomniti, da morajo skupna podjetja svoje dejavnosti izvajati v skladu z dobrim finančnim </w:t>
      </w:r>
      <w:proofErr w:type="spellStart"/>
      <w:r w:rsidRPr="007607AD">
        <w:t>poslovodenjem</w:t>
      </w:r>
      <w:proofErr w:type="spellEnd"/>
      <w:r w:rsidRPr="007607AD">
        <w:t xml:space="preserve">, s čimer učinkovito prispevajo k ciljem politike Unije in </w:t>
      </w:r>
      <w:r w:rsidRPr="007607AD">
        <w:lastRenderedPageBreak/>
        <w:t>dobremu izvrševanju proračuna Unije; vseeno izraža zaskrbljenost zaradi nekaterih elementov, ki so se pojavili v ugotovitvah Računskega sodišča, kot so predstavljeni v tej resoluciji;</w:t>
      </w:r>
    </w:p>
    <w:p w14:paraId="58449DB9" w14:textId="77777777" w:rsidR="00621D46" w:rsidRPr="007607AD" w:rsidRDefault="00621D46" w:rsidP="00621D46">
      <w:pPr>
        <w:spacing w:after="240"/>
        <w:ind w:left="567" w:hanging="567"/>
        <w:rPr>
          <w:b/>
          <w:i/>
        </w:rPr>
      </w:pPr>
      <w:r w:rsidRPr="007607AD">
        <w:rPr>
          <w:b/>
          <w:i/>
        </w:rPr>
        <w:t xml:space="preserve">Letni zaključni računi </w:t>
      </w:r>
    </w:p>
    <w:p w14:paraId="5B639F44" w14:textId="77777777" w:rsidR="00621D46" w:rsidRPr="007607AD" w:rsidRDefault="00621D46" w:rsidP="00621D46">
      <w:pPr>
        <w:spacing w:after="240"/>
        <w:ind w:left="567" w:hanging="567"/>
      </w:pPr>
      <w:r w:rsidRPr="007607AD">
        <w:t>16.</w:t>
      </w:r>
      <w:r w:rsidRPr="007607AD">
        <w:tab/>
        <w:t>je seznanjen, da je v poročilu Računskega sodišča navedeno, da zaključni račun dvanajstih revidiranih skupnih podjetij za leto 2024 v vseh pomembnih vidikih pošteno predstavlja njihov finančni položaj na dan 31. decembra 2024 ter njihov poslovni izid in denarne tokove ter spremembe čistih sredstev za končano leto v skladu z njihovimi finančnimi predpisi in računovodskimi pravili, ki jih je sprejel računovodja Komisije; ugotavlja tudi, da je Računsko sodišče zato izdalo revizijska mnenja brez pridržkov o zanesljivosti letnih zaključnih računov skupnih podjetij;</w:t>
      </w:r>
    </w:p>
    <w:p w14:paraId="17E1E479" w14:textId="77777777" w:rsidR="00621D46" w:rsidRPr="007607AD" w:rsidRDefault="00621D46" w:rsidP="00621D46">
      <w:pPr>
        <w:spacing w:after="240"/>
        <w:ind w:left="567" w:hanging="567"/>
      </w:pPr>
      <w:r w:rsidRPr="007607AD">
        <w:t>17.</w:t>
      </w:r>
      <w:r w:rsidRPr="007607AD">
        <w:tab/>
        <w:t>na podlagi poročila Računskega sodišča ugotavlja tudi, da so transakcije, povezane z letnim zaključnim računom, v vseh pomembnih pogledih zakonite in pravilne; ugotavlja tudi, da je Računsko sodišče zato izdalo revizijska mnenja brez pridržkov o zakonitosti in pravilnosti prihodkov in plačil, povezanih z zaključnimi računi skupnih podjetij;</w:t>
      </w:r>
    </w:p>
    <w:p w14:paraId="5006B798" w14:textId="77777777" w:rsidR="00621D46" w:rsidRPr="007607AD" w:rsidRDefault="00621D46" w:rsidP="00621D46">
      <w:pPr>
        <w:spacing w:after="240"/>
        <w:ind w:left="567" w:hanging="567"/>
      </w:pPr>
      <w:r w:rsidRPr="007607AD">
        <w:t>18.</w:t>
      </w:r>
      <w:r w:rsidRPr="007607AD">
        <w:tab/>
        <w:t>ugotavlja, da letni zaključni račun Evropskega industrijskega, tehnološkega in raziskovalnega kompetenčnega centra za kibernetsko varnost za leto 2024 ne vsebuje izčrpnih informacij o skupnih prispevkih članov, zagotovljenih, preden je center postal finančno samostojen; ugotavlja tudi, da letni zaključni račun za leto 2024 ne razkriva prispevkov na ravni programov Obzorje Evropa in Digitalna Evropa niti ne primerja skupnih prispevkov z letnimi cilji, določenimi za vsak program; se strinja s priporočilom Računskega sodišča, naj Evropski industrijski, tehnološki in raziskovalni kompetenčni center za kibernetsko varnost sistematično zbira in spremlja prostovoljne finančne prispevke in prispevke v naravi držav članic k skupnim ukrepom in s tem povezane upravne stroške ter poroča o njih;</w:t>
      </w:r>
    </w:p>
    <w:p w14:paraId="2CBE208E" w14:textId="77777777" w:rsidR="00621D46" w:rsidRPr="007607AD" w:rsidRDefault="00621D46" w:rsidP="00621D46">
      <w:pPr>
        <w:spacing w:after="240"/>
        <w:ind w:left="567" w:hanging="567"/>
      </w:pPr>
      <w:r w:rsidRPr="007607AD">
        <w:t>19.</w:t>
      </w:r>
      <w:r w:rsidRPr="007607AD">
        <w:tab/>
        <w:t>je seznanjen, da je bilo tveganje za zakonitost in pravilnost prihodkov ocenjeno kot nizko za vsa skupna podjetja;</w:t>
      </w:r>
    </w:p>
    <w:p w14:paraId="14F3B55D" w14:textId="77777777" w:rsidR="00621D46" w:rsidRPr="007607AD" w:rsidRDefault="00621D46" w:rsidP="00621D46">
      <w:pPr>
        <w:spacing w:after="240"/>
        <w:ind w:left="567" w:hanging="567"/>
        <w:rPr>
          <w:b/>
          <w:i/>
        </w:rPr>
      </w:pPr>
      <w:r w:rsidRPr="007607AD">
        <w:rPr>
          <w:b/>
          <w:i/>
        </w:rPr>
        <w:t>Upravljanje proračuna in finančno poslovodenje</w:t>
      </w:r>
    </w:p>
    <w:p w14:paraId="64817917" w14:textId="77777777" w:rsidR="00621D46" w:rsidRPr="007607AD" w:rsidRDefault="00621D46" w:rsidP="00621D46">
      <w:pPr>
        <w:spacing w:after="240"/>
        <w:ind w:left="567" w:hanging="567"/>
      </w:pPr>
      <w:r w:rsidRPr="007607AD">
        <w:t>20.</w:t>
      </w:r>
      <w:r w:rsidRPr="007607AD">
        <w:tab/>
        <w:t>ugotavlja, da je v letu 2024 skupni razpoložljivi proračun za plačila za dvanajst skupnih podjetij, ki jih je revidiralo Računsko sodišče, znašal 3,2 milijarde EUR; ugotavlja, da Računsko sodišče meni, da skupni razpoložljivi proračun za plačila vključuje neporabljene proračunske odobritve iz prejšnjih let, ki so jih skupna podjetja ponovno vnesla v proračun za tekoče leto, namenske prihodke in prerazporeditve v naslednje proračunsko leto; natančneje ugotavlja naslednje:</w:t>
      </w:r>
    </w:p>
    <w:p w14:paraId="560F4C0F" w14:textId="77777777" w:rsidR="00621D46" w:rsidRPr="007607AD" w:rsidRDefault="00621D46" w:rsidP="00621D46">
      <w:pPr>
        <w:spacing w:after="240"/>
        <w:ind w:left="1134" w:hanging="567"/>
      </w:pPr>
      <w:r w:rsidRPr="007607AD">
        <w:t>(a)</w:t>
      </w:r>
      <w:r w:rsidRPr="007607AD">
        <w:tab/>
        <w:t xml:space="preserve">skupni razpoložljivi proračun za Skupno podjetje za raziskave o upravljanju zračnega prometa enotnega evropskega neba 3 je v letu 2024 znašal 112,7 milijona EUR v odobritvah za prevzem obveznosti v primerjavi s 111,2 milijona EUR v letu 2023 in 110,6 milijona EUR v odobritvah plačil v primerjavi z 241,5 milijona EUR v letu 2023; ugotavlja, da je glede na poročilo o upravljanju proračuna in finančnem poslovodenju Skupnega podjetja za raziskave o upravljanju zračnega prometa enotnega evropskega neba 3 njegova skupna stopnja izvrševanja proračuna za proračunsko leto 2024 dosegla 42 % za odobritve za prevzem obveznosti in 36 % za odobritve plačil; ugotavlja, da je </w:t>
      </w:r>
      <w:r w:rsidRPr="007607AD">
        <w:lastRenderedPageBreak/>
        <w:t>skupno podjetje to nizko stopnjo predvidelo, izhajala pa je predvsem iz odhodkov iz poslovanja; ponovno izraža enako zaskrbljenost kot preteklo leto zaradi nizke stopnje izvrševanja odobritev plačil, namenjenih odhodkom za infrastrukturo in odhodkom iz poslovanja, ki se je v letu 2024 dodatno znižala na 45 % v primerjavi s 55 % v letu 2023; nadalje ugotavlja, da je bilo v letu 2024 3,1 milijona EUR neporabljenih odobritev za upravna plačila prenesenih v proračun za leto 2025; poleg tega je bilo 11,3 milijona EUR neporabljenih odobritev za upravna plačila rezerviranih za načrtovane prihodnje upravne odhodke; se strinja s priporočilom Računskega sodišča, naj Skupno podjetje za raziskave o upravljanju zračnega prometa enotnega evropskega neba 3 pri načrtovanju svojega proračuna za upravna plačila za leto 2027 proaktivno upošteva obseg neporabljenih odobritev za upravna plačila, ki so se nakopičile že do konca leta 2024;</w:t>
      </w:r>
    </w:p>
    <w:p w14:paraId="23E5BA16" w14:textId="77777777" w:rsidR="00621D46" w:rsidRPr="007607AD" w:rsidRDefault="00621D46" w:rsidP="00621D46">
      <w:pPr>
        <w:spacing w:after="240"/>
        <w:ind w:left="1134" w:hanging="567"/>
      </w:pPr>
      <w:r w:rsidRPr="007607AD">
        <w:t>(b)</w:t>
      </w:r>
      <w:r w:rsidRPr="007607AD">
        <w:tab/>
        <w:t>skupni razpoložljivi proračun za Skupno podjetje za čisto letalstvo je v letu 2024 znašal 172,0 milijona EUR v odobritvah za prevzem obveznosti v primerjavi z 269 milijoni EUR v letu 2023 in 302,6 milijona EUR v odobritvah plačil v primerjavi s 486,0 milijona EUR v letu 2023; poleg tega ugotavlja, da je glede na poročilo o upravljanju proračuna in finančnem poslovodenju Skupnega podjetja za čisto letalstvo njegova skupna stopnja izvrševanja proračuna za proračunsko leto 2024 dosegla 99,9 % za odobritve za prevzem obveznosti in 84,4 % za odobritve plačil (brez neporabljenih odobritev); ugotavlja, da je bila nižja stopnja izvrševanja plačil v višini 84,4 % predvsem posledica storitev, ki so bile opravljene, vendar še niso bile zaračunane, pa tudi zaradi načrtovanja izdatkov za dejavnosti v začetnem obdobju leta 2025; priznava, da je hitrost izvrševanja proračuna na splošno dobra; kljub temu poudarja nizko stopnjo izvrševanja odobritev plačil, namenjenih odhodkom za infrastrukturo in odhodkom iz poslovanja ter proračunu za plačila v okviru programa Obzorje Evropa, ki je leta 2024 dosegla le 67 % oziroma 52 %; ugotavlja, da Skupno podjetje za čisto letalstvo pilotno izvaja novi proračunski, računovodski in finančni sistem Komisije (SUMMA), ki še ne deluje v celoti; v zvezi s tem poziva skupno podjetje, naj zagotovi zanesljivost podatkov z ustrezno ročno obdelavo in dodatnim nadzorom preverjanja, kadar je to potrebno;</w:t>
      </w:r>
    </w:p>
    <w:p w14:paraId="3F20A147" w14:textId="77777777" w:rsidR="00621D46" w:rsidRPr="007607AD" w:rsidRDefault="00621D46" w:rsidP="00621D46">
      <w:pPr>
        <w:spacing w:after="240"/>
        <w:ind w:left="1134" w:hanging="567"/>
      </w:pPr>
      <w:r w:rsidRPr="007607AD">
        <w:t>(c)</w:t>
      </w:r>
      <w:r w:rsidRPr="007607AD">
        <w:tab/>
        <w:t>skupni razpoložljivi proračun za Skupno podjetje za pobudo za inovativno zdravje je v letu 2024 znašal 269,8 milijona EUR v odobritvah za prevzem obveznosti v primerjavi z 223,2 milijona EUR v letu 2023 in 205,7 milijona EUR v odobritvah plačil v primerjavi z 225,9 milijona EUR v letu 2023; ugotavlja, da je glede na poročilo o upravljanju proračuna in finančnem poslovodenju Skupnega podjetja za pobudo za inovativno zdravje njegova skupna stopnja izvrševanja proračuna za proračunsko leto 2024 dosegla 65,6 % za odobritve za prevzem obveznosti in 94,6 % za odobritve plačil; poudarja nizko stopnjo izvrševanja njegovih odobritev za prevzem obveznosti in odobritev plačil, namenjenih odhodkom iz poslovanja, ki je znašala 64,5 %; je seznanjen s pojasnilom skupnega podjetja in ga na splošno poziva, naj zagotovi zdravo hitrost izvrševanja za vsak oddelek svojega proračuna;</w:t>
      </w:r>
    </w:p>
    <w:p w14:paraId="61D7FEFA" w14:textId="77777777" w:rsidR="00621D46" w:rsidRPr="007607AD" w:rsidRDefault="00621D46" w:rsidP="00621D46">
      <w:pPr>
        <w:spacing w:after="240"/>
        <w:ind w:left="1134" w:hanging="567"/>
      </w:pPr>
      <w:r w:rsidRPr="007607AD">
        <w:t>(d)</w:t>
      </w:r>
      <w:r w:rsidRPr="007607AD">
        <w:tab/>
        <w:t xml:space="preserve">skupni razpoložljivi proračun za Skupno podjetje za čisti vodik je v letu 2024 znašal 215,1 milijona EUR v odobritvah za prevzem obveznosti v primerjavi z 268,9 milijona EUR v letu 2023 in 150,7 milijona EUR v odobritvah plačil v primerjavi s 327,8 milijona EUR v letu 2023; poleg tega ugotavlja, da je glede na </w:t>
      </w:r>
      <w:r w:rsidRPr="007607AD">
        <w:lastRenderedPageBreak/>
        <w:t>poročilo o upravljanju proračuna in finančnem poslovodenju Skupnega podjetja za čisti vodik njegova skupna stopnja izvrševanja proračuna za proračunsko leto 2024 dosegla 98 % za odobritve za prevzem obveznosti in 84,3 % za odobritve plačil, kar kaže, da v zvezi s hitrostjo izvrševanja proračuna ni bilo resnih težav; kljub temu poudarja nizko stopnjo izvrševanja odobritev plačil, namenjenih odhodkom za infrastrukturo in odhodkom iz poslovanja, ki je dosegla samo 58,2 %; je seznanjen s pojasnili skupnega podjetja; podpira priporočilo Računskega sodišča, naj Skupno podjetje za čisti vodik pri načrtovanju svojega proračuna za upravna plačila za leto 2027 proaktivno upošteva obseg neporabljenih odobritev za upravna plačila, ki jih je nakopičilo že do konca leta 2024;</w:t>
      </w:r>
    </w:p>
    <w:p w14:paraId="365DA306" w14:textId="77777777" w:rsidR="00621D46" w:rsidRPr="007607AD" w:rsidRDefault="00621D46" w:rsidP="00621D46">
      <w:pPr>
        <w:spacing w:after="240"/>
        <w:ind w:left="1134" w:hanging="567"/>
      </w:pPr>
      <w:r w:rsidRPr="007607AD">
        <w:t>(e)</w:t>
      </w:r>
      <w:r w:rsidRPr="007607AD">
        <w:tab/>
        <w:t>skupni razpoložljivi proračun za Skupno podjetje za čipe je v letu 2024 znašal 1 062,8 milijona EUR v odobritvah za prevzem obveznosti v primerjavi z 835,7 milijona EUR v letu 2023 in 724,4 milijona EUR v odobritvah plačil v primerjavi s 518,4 milijona EUR v letu 2023; poleg tega ugotavlja, da je glede na poročilo o upravljanju proračuna in finančnem poslovodenju Skupnega podjetja za čipe njegova skupna stopnja izvrševanja proračuna za proračunsko leto 2024 dosegla 99 % za odobritve za prevzem obveznosti in 67 % za odobritve plačil, kar kaže, da nekatere težave vztrajajo, zlasti nizka stopnja izvrševanja odobritev plačil, namenjenih odhodkom iz poslovanja, ki je dosegla 67 %, pri čemer je pri plačilih za program Digitalna Evropa še posebno nizka pri 6 %; je seznanjen s pojasnilom skupnega podjetja, vendar globoko obžaluje vztrajno nizko stopnjo izvrševanja in ga na splošno poziva, naj zagotovi zdravo hitrost izvrševanja za vsak oddelek svojega proračuna;</w:t>
      </w:r>
    </w:p>
    <w:p w14:paraId="4143EDBA" w14:textId="77777777" w:rsidR="00621D46" w:rsidRPr="007607AD" w:rsidRDefault="00621D46" w:rsidP="00621D46">
      <w:pPr>
        <w:spacing w:after="240"/>
        <w:ind w:left="1134" w:hanging="567"/>
      </w:pPr>
      <w:r w:rsidRPr="007607AD">
        <w:t>(f)</w:t>
      </w:r>
      <w:r w:rsidRPr="007607AD">
        <w:tab/>
        <w:t>skupni razpoložljivi proračun za Skupno podjetje za krožno Evropo na biološki osnovi je v letu 2024 znašal 222,9 milijona EUR v odobritvah za prevzem obveznosti v primerjavi z 227,4 milijona EUR v letu 2023 in 191,7 milijona EUR v odobritvah plačil v primerjavi s 137,4 milijona EUR v letu 2023; ugotavlja, da je glede na poročilo o upravljanju proračuna in finančnem poslovodenju Skupnega podjetja za krožno Evropo na biološki osnovi njegova skupna stopnja izvrševanja proračuna za proračunsko leto 2024 dosegla 96 % za odobritve za prevzem obveznosti in 82 % za odobritve plačil, kar kaže, da v zvezi s hitrostjo izvrševanja proračuna ni bilo resnih težav;</w:t>
      </w:r>
    </w:p>
    <w:p w14:paraId="6603DC86" w14:textId="77777777" w:rsidR="00621D46" w:rsidRPr="007607AD" w:rsidRDefault="00621D46" w:rsidP="00621D46">
      <w:pPr>
        <w:spacing w:after="240"/>
        <w:ind w:left="1134" w:hanging="567"/>
      </w:pPr>
      <w:r w:rsidRPr="007607AD">
        <w:t>(g)</w:t>
      </w:r>
      <w:r w:rsidRPr="007607AD">
        <w:tab/>
        <w:t xml:space="preserve"> skupni razpoložljivi proračun za Skupno podjetje za evropske železnice je v letu 2024 znašal 114,6 milijona EUR v odobritvah za prevzem obveznosti v primerjavi s 102,6 milijona EUR v letu 2023 in 120,8 milijona EUR v odobritvah plačil v primerjavi s 120,3 milijona EUR v letu 2023; ugotavlja, da je glede na poročilo o upravljanju proračuna in finančnem poslovodenju Skupnega podjetja za evropske železnice njegova skupna stopnja izvrševanja proračuna za proračunsko leto 2024 dosegla 70 % za odobritve za prevzem obveznosti in 64 % za odobritve plačil; ugotavlja, da je stopnja izvrševanja aktivnega operativnega proračuna Skupnega podjetja za evropske železnice v letu 2024 dosegla 99,9 % v odobritvah za prevzem obveznosti in 87,9 % v odobritvah plačil; </w:t>
      </w:r>
      <w:r w:rsidRPr="00F852FD">
        <w:t>je kljub temu</w:t>
      </w:r>
      <w:r w:rsidRPr="007607AD">
        <w:t xml:space="preserve"> zaskrbljen zaradi na splošno nizke stopnje izvrševanja; je seznanjen s pojasnilom skupnega podjetja glede teh nizkih stopenj, ki se nanašajo na potrebo po ohranitvi proračuna za financiranje druge serije projektov na prednostnih področjih, za katere bodo sporazumi o dodelitvi nepovratnih sredstev podpisani leta 2026; poziva skupno podjetje, naj zagotovi zdravo hitrost izvrševanja za vsak oddelek </w:t>
      </w:r>
      <w:r w:rsidRPr="007607AD">
        <w:lastRenderedPageBreak/>
        <w:t>svojega proračuna; v zvezi s tem poudarja pomen ohranjanja podpore skupnemu podjetju in zagotavljanja ustreznega izvajanja njegovih dejavnosti glede na primerjalne prednosti železnice v smislu okoljske učinkovitosti, rabe zemljišč, porabe energije in varnosti;</w:t>
      </w:r>
    </w:p>
    <w:p w14:paraId="3D2FE65C" w14:textId="77777777" w:rsidR="00621D46" w:rsidRPr="007607AD" w:rsidRDefault="00621D46" w:rsidP="00621D46">
      <w:pPr>
        <w:spacing w:after="240"/>
        <w:ind w:left="1134" w:hanging="567"/>
      </w:pPr>
      <w:r w:rsidRPr="007607AD">
        <w:t>(h)</w:t>
      </w:r>
      <w:r w:rsidRPr="007607AD">
        <w:tab/>
        <w:t xml:space="preserve">skupni razpoložljivi proračun za Skupno podjetje za evropsko </w:t>
      </w:r>
      <w:proofErr w:type="spellStart"/>
      <w:r w:rsidRPr="007607AD">
        <w:t>visokozmogljivostno</w:t>
      </w:r>
      <w:proofErr w:type="spellEnd"/>
      <w:r w:rsidRPr="007607AD">
        <w:t xml:space="preserve"> računalništvo je v letu 2024 znašal 307,1 milijona EUR v odobritvah za prevzem obveznosti v primerjavi z 1 136 milijonov EUR v letu 2023 in 347,7 milijona EUR v odobritvah plačil v primerjavi s 1 058 milijonov EUR v letu 2023; ugotavlja, da je glede na poročilo o upravljanju proračuna in finančnem poslovodenju Skupnega podjetja za evropsko </w:t>
      </w:r>
      <w:proofErr w:type="spellStart"/>
      <w:r w:rsidRPr="007607AD">
        <w:t>visokozmogljivostno</w:t>
      </w:r>
      <w:proofErr w:type="spellEnd"/>
      <w:r w:rsidRPr="007607AD">
        <w:t xml:space="preserve"> računalništvo njegova skupna stopnja izvrševanja proračuna za proračunsko leto 2024 dosegla 72 % za odobritve za prevzem obveznosti in 59 % za odobritve plačil, kar kaže, da so v zvezi s hitrostjo izvrševanja proračuna še vedno težave; zlasti poudarja nizko stopnjo odobritev plačil, namenjenih odhodkom iz poslovanja, ki je znašala 59 %; je seznanjen s pojasnilom skupnega podjetja; v zvezi s tem opozarja, da se je stopnja izvrševanja izplačil nepovratnih sredstev iz programa Obzorje Evropa v letu 2024 znižala na 27 % (v primerjavi s 36 % v letu 2023), predvsem zaradi zamud pri dokončanju predhodnih tehničnih in finančnih kontrol poročil upravičencev; poudarja nizko stopnjo izvrševanja odobritev plačil, namenjenih upravnim odhodkom, ki je dosegla 61 %; je seznanjen s pojasnilom skupnega podjetja, ki je bilo podano v njegovih pisnih odgovorih na poročilo Računskega sodišča; upošteva dodatne informacije, ki jih je skupno podjetje predložilo med zaslišanjem pred Odborom za proračunski nadzor, in skupno podjetje na splošno poziva, naj poskrbi za zdravo hitrost izvrševanja za vsak oddelek svojega proračuna;</w:t>
      </w:r>
    </w:p>
    <w:p w14:paraId="71A51D8D" w14:textId="77777777" w:rsidR="00621D46" w:rsidRPr="007607AD" w:rsidRDefault="00621D46" w:rsidP="00621D46">
      <w:pPr>
        <w:spacing w:after="240"/>
        <w:ind w:left="1134" w:hanging="567"/>
      </w:pPr>
      <w:r w:rsidRPr="007607AD">
        <w:t>(i)</w:t>
      </w:r>
      <w:r w:rsidRPr="007607AD">
        <w:tab/>
        <w:t>skupni razpoložljivi proračun za Skupno podjetje za pametna omrežja in storitve je v letu 2024 znašal 132,6 milijona EUR v odobritvah za prevzem obveznosti v primerjavi s 134,7 milijona EUR v letu 2023 in 132,8 milijona EUR v odobritvah plačil v primerjavi s 122,9 milijona EUR v letu 2023; poleg tega ugotavlja, da je glede na poročilo o upravljanju proračuna in finančnem poslovodenju Skupnega podjetja za pametna omrežja in storitve njegova skupna stopnja izvrševanja proračuna za proračunsko leto 2024 dosegla 99 % za odobritve za prevzem obveznosti in 96 % za odobritve plačil, kar kaže, da v zvezi s hitrostjo izvrševanja proračuna ni bilo resnih težav; vendar opozarja na relativno nizko stopnjo izvrševanja upravnega proračuna, in sicer pri odhodkih za infrastrukturo in odhodkih iz poslovanja, ki je dosegla 59 % za odobritve za prevzem obveznosti in 66 % za odobritve plačil, ter poziva skupno podjetje, naj zagotovi boljše izvrševanje tega dela svojega upravnega proračuna;</w:t>
      </w:r>
    </w:p>
    <w:p w14:paraId="666BAB06" w14:textId="77777777" w:rsidR="00621D46" w:rsidRPr="007607AD" w:rsidRDefault="00621D46" w:rsidP="00621D46">
      <w:pPr>
        <w:spacing w:after="240"/>
        <w:ind w:left="1134" w:hanging="567"/>
      </w:pPr>
      <w:r w:rsidRPr="007607AD">
        <w:t>(j)</w:t>
      </w:r>
      <w:r w:rsidRPr="007607AD">
        <w:tab/>
        <w:t xml:space="preserve">skupni razpoložljivi proračun za Skupno podjetje za svetovno zdravje EDCTP3 je v letu 2024 znašal 224,6 milijona EUR v odobritvah za prevzem obveznosti v primerjavi s 136,4 milijona EUR v letu 2023 in 80,3 milijona EUR v odobritvah plačil v primerjavi z 2,2 milijona EUR v letu 2023; ugotavlja, da je glede na poročilo o upravljanju proračuna in finančnem poslovodenju Skupnega podjetja za svetovno zdravje EDCTP3 njegova skupna stopnja izvrševanja proračuna za proračunsko leto 2024 dosegla 98 % za odobritve za prevzem obveznosti in 96 % za odobritve plačil, kar kaže, da v zvezi s hitrostjo izvrševanja proračuna ni bilo resnih težav; vendar je seznanjen z nizko stopnjo odobritev plačil za del upravnega proračuna, in sicer za infrastrukturne stroške in stroške delovanja, ki je </w:t>
      </w:r>
      <w:r w:rsidRPr="007607AD">
        <w:lastRenderedPageBreak/>
        <w:t>dosegla le 37 % odobritev plačil; je seznanjen s pojasnilom skupnega podjetja in ga poziva, naj pri načrtovanju svojega proračuna za upravna plačila za leto 2027 sprejme ukrepe za boljše izvrševanje tega dela upravnega proračuna, ter naj proaktivno upošteva obseg neporabljenih odobritev za upravna plačila, ki jih je nakopičilo že do konca leta 2024;</w:t>
      </w:r>
    </w:p>
    <w:p w14:paraId="4B8CE84F" w14:textId="77777777" w:rsidR="00621D46" w:rsidRPr="007607AD" w:rsidRDefault="00621D46" w:rsidP="00621D46">
      <w:pPr>
        <w:spacing w:after="240"/>
        <w:ind w:left="1134" w:hanging="567"/>
      </w:pPr>
      <w:r w:rsidRPr="007607AD">
        <w:t>(k)</w:t>
      </w:r>
      <w:r w:rsidRPr="007607AD">
        <w:tab/>
        <w:t>skupni razpoložljivi proračun za leto 2024 za Evropski industrijski, tehnološki in raziskovalni kompetenčni center za kibernetsko varnost je znašal 313,3 milijona EUR v odobritvah za prevzem obveznosti in 101,6 milijona EUR v odobritvah plačil; poleg tega ugotavlja, da je glede na poročilo o upravljanju proračuna in finančnem poslovodenju za obdobje med 24. septembrom 2024, ko je skupno podjetje postalo finančno samostojno, in koncem leta 2024 njegova skupna stopnja izvrševanja proračuna dosegla 90,5 % za odobritve za prevzem obveznosti in 82 % za odobritve plačil, kar kaže, da v zvezi s hitrostjo izvrševanja proračuna niso bile ugotovljene večje težave; vendar opozarja na nizko stopnjo odobritev plačil za del njegovega upravnega proračuna, in sicer oddelka za nepremičnine, informacijsko tehnologijo in drugo, ki je dosegla le 27,1 %; je seznanjen s pojasnilom skupnega podjetja in ga poziva, naj zagotovi boljše izvrševanje tega dela svojega upravnega proračuna;</w:t>
      </w:r>
    </w:p>
    <w:p w14:paraId="77B90473" w14:textId="77777777" w:rsidR="00621D46" w:rsidRPr="007607AD" w:rsidRDefault="00621D46" w:rsidP="00621D46">
      <w:pPr>
        <w:spacing w:after="240"/>
        <w:ind w:left="1134" w:hanging="567"/>
      </w:pPr>
      <w:r w:rsidRPr="007607AD">
        <w:t>(l)</w:t>
      </w:r>
      <w:r w:rsidRPr="007607AD">
        <w:tab/>
        <w:t>skupni razpoložljivi proračun za Evropsko skupno podjetje za ITER in razvoj fuzijske energije je v letu 2024 znašal 811,8 milijona EUR v odobritvah za prevzem obveznosti v primerjavi z 807 milijoni EUR v letu 2023 in 693,7 milijona EUR v odobritvah plačil v primerjavi s 631,5 milijona EUR v letu 2023; poleg tega ugotavlja, da je glede na poročilo o upravljanju proračuna in finančnem poslovodenju Evropskega skupnega podjetja za ITER in razvoj fuzijske energije njegova skupna stopnja izvrševanja proračuna za proračunsko leto 2024 dosegla 92 % za odobritve za prevzem obveznosti in 93 % za odobritve plačil, kar kaže, da v zvezi s hitrostjo izvrševanja proračuna ni bilo resnih težav v primerjavi s 73-odstotno stopnjo izvrševanja odobritev za prevzem obveznosti v letu 2023; ugotavlja izboljšanje stopnje izvrševanja odhodkov iz poslovanja, ki je dosegla 92 % za odobritve za prevzem obveznosti in 93 % za odobritve plačil v primerjavi z letom 2023, ko je za odobritve za prevzem obveznosti, namenjenih odhodkom iz poslovanja, znašala 70 %;</w:t>
      </w:r>
    </w:p>
    <w:p w14:paraId="0FECA33F" w14:textId="77777777" w:rsidR="00621D46" w:rsidRPr="007607AD" w:rsidRDefault="00621D46" w:rsidP="00621D46">
      <w:pPr>
        <w:spacing w:after="240"/>
        <w:ind w:left="567" w:hanging="567"/>
      </w:pPr>
      <w:r w:rsidRPr="007607AD">
        <w:t>21.</w:t>
      </w:r>
      <w:r w:rsidRPr="007607AD">
        <w:tab/>
        <w:t>poudarja, da morajo vsa skupna podjetja okrepiti svoje okvire notranjih finančnih kontrol in preglednosti, da se zagotovi učinkovita dodelitev sredstev v skladu s strateškimi cilji Unije;</w:t>
      </w:r>
    </w:p>
    <w:p w14:paraId="043F57EB" w14:textId="77777777" w:rsidR="00621D46" w:rsidRPr="007607AD" w:rsidRDefault="00621D46" w:rsidP="00621D46">
      <w:pPr>
        <w:spacing w:after="240"/>
        <w:ind w:left="567" w:hanging="567"/>
      </w:pPr>
      <w:r w:rsidRPr="007607AD">
        <w:t>22.</w:t>
      </w:r>
      <w:r w:rsidRPr="007607AD">
        <w:tab/>
        <w:t>se strinja s pomisleki Računskega sodišča glede vztrajno nizke porabe odobritev proračunskih sredstev nekaterih skupnih podjetij pri izvrševanju njihovega operativnega in upravnega proračuna;</w:t>
      </w:r>
      <w:r w:rsidRPr="007607AD">
        <w:rPr>
          <w:b/>
          <w:i/>
        </w:rPr>
        <w:t xml:space="preserve"> </w:t>
      </w:r>
      <w:r w:rsidRPr="007607AD">
        <w:t>poziva zadevna skupna podjetja, naj pospešijo sprejetje in učinkovito izvajanje popravnih ukrepov v popolni skladnosti s priporočili Računskega sodišča, da se prepreči ponovitev ugotovljenih pomanjkljivosti; poudarja, da kopičenje neporabljenih odobritev ustvarja denarne presežke, ki jih ni mogoče prerazporediti v druge dejavnosti in programe Unije; meni, da vztrajno naraščajoči denarni presežki odražajo pomanjkljivosti v proračunskem realizmu in zmogljivosti za izvajanje programov; poziva Komisijo, naj zahteva letni načrt za zmanjšanje presežka za skupna podjetja s stalnimi presežki, vključno z merljivimi mejniki in jasno povezavo z zapoznelimi dejavniki izvajanja;</w:t>
      </w:r>
      <w:r w:rsidRPr="007607AD">
        <w:rPr>
          <w:b/>
          <w:i/>
        </w:rPr>
        <w:t xml:space="preserve"> </w:t>
      </w:r>
      <w:r w:rsidRPr="007607AD">
        <w:t>izraža posebno zaskrbljenost zaradi:</w:t>
      </w:r>
    </w:p>
    <w:p w14:paraId="0D1C9669" w14:textId="77777777" w:rsidR="00621D46" w:rsidRPr="007607AD" w:rsidRDefault="00621D46" w:rsidP="00621D46">
      <w:pPr>
        <w:spacing w:after="240"/>
        <w:ind w:left="1134" w:hanging="567"/>
      </w:pPr>
      <w:r w:rsidRPr="007607AD">
        <w:lastRenderedPageBreak/>
        <w:t>(a)</w:t>
      </w:r>
      <w:r w:rsidRPr="007607AD">
        <w:tab/>
        <w:t>dejstva, da se je denarni presežek Skupnega podjetja za čipe v letu 2024 povečal in ob koncu leta dosegel 479 milijonov EUR, v primerjavi s 438 milijoni EUR ob koncu leta 2023; je seznanjen s pojasnilom skupnega podjetja; kljub temu ga ponovno poziva, naj prepreči ponovitev podobnih situacij, in pozdravlja ambicijo, ki jo je napovedalo skupno podjetje, da bo to težavo odpravilo do leta 2025;</w:t>
      </w:r>
    </w:p>
    <w:p w14:paraId="1CC2EAED" w14:textId="77777777" w:rsidR="00621D46" w:rsidRPr="007607AD" w:rsidRDefault="00621D46" w:rsidP="00621D46">
      <w:pPr>
        <w:spacing w:after="240"/>
        <w:ind w:left="1134" w:hanging="567"/>
      </w:pPr>
      <w:r w:rsidRPr="007607AD">
        <w:t>(b)</w:t>
      </w:r>
      <w:r w:rsidRPr="007607AD">
        <w:tab/>
        <w:t xml:space="preserve">dejstva, da se je denarni presežek Skupnega podjetja za evropsko </w:t>
      </w:r>
      <w:proofErr w:type="spellStart"/>
      <w:r w:rsidRPr="007607AD">
        <w:t>visokozmogljivostno</w:t>
      </w:r>
      <w:proofErr w:type="spellEnd"/>
      <w:r w:rsidRPr="007607AD">
        <w:t xml:space="preserve"> računalništvo v letu 2024 prav tako povečal in ob koncu leta dosegel 904,7 milijona EUR, v primerjavi z 840,7 milijona EUR ob koncu leta 2023; je seznanjen s popravnimi ukrepi, ki so se začeli izvajati leta 2024; kljub temu ponovno poziva Skupno podjetje za evropsko </w:t>
      </w:r>
      <w:proofErr w:type="spellStart"/>
      <w:r w:rsidRPr="007607AD">
        <w:t>visokozmogljivostno</w:t>
      </w:r>
      <w:proofErr w:type="spellEnd"/>
      <w:r w:rsidRPr="007607AD">
        <w:t xml:space="preserve"> računalništvo, naj racionalizira svoja prizadevanja, da prepreči nastanek podobnih situacij;</w:t>
      </w:r>
    </w:p>
    <w:p w14:paraId="7CBB4316" w14:textId="77777777" w:rsidR="00621D46" w:rsidRPr="007607AD" w:rsidRDefault="00621D46" w:rsidP="00621D46">
      <w:pPr>
        <w:spacing w:after="240"/>
        <w:ind w:left="567" w:hanging="567"/>
      </w:pPr>
      <w:r w:rsidRPr="007607AD">
        <w:t>23.</w:t>
      </w:r>
      <w:r w:rsidRPr="007607AD">
        <w:tab/>
        <w:t>pozdravlja znatno zmanjšanje nakopičenega denarnega presežka Skupnega podjetja za čisto letalstvo z 237 milijonov EUR konec leta 2023 na 105 milijonov EUR konec leta 2024, kar pomeni zmanjšanje za 56 %; je seznanjen s pojasnilom, da je preostali presežek potreben za kritje potreb po plačilih v prvih štirih mesecih leta 2025; meni, da je ta razvoj pozitiven korak k izboljšanemu finančnemu načrtovanju in izvrševanju proračuna; poudarja, da bi bil ta pristop lahko dober primer za druga skupna podjetja, ki se spoprijemajo s podobnimi izzivi;</w:t>
      </w:r>
    </w:p>
    <w:p w14:paraId="37099DA7" w14:textId="77777777" w:rsidR="00621D46" w:rsidRPr="007607AD" w:rsidRDefault="00621D46" w:rsidP="00621D46">
      <w:pPr>
        <w:spacing w:after="240"/>
        <w:ind w:left="567" w:hanging="567"/>
      </w:pPr>
      <w:r w:rsidRPr="007607AD">
        <w:t>24.</w:t>
      </w:r>
      <w:r w:rsidRPr="007607AD">
        <w:tab/>
        <w:t>se strinja s pomisleki Računskega sodišča glede vztrajnih zamud pri prispevkih članov nekaterim skupnim podjetjem, zlasti glede na tveganje, da nekatera skupna podjetja morda ne bodo dosegla svojih ciljev glede prispevkov; poziva zadevna skupna podjetja, naj nadaljujejo izvajanje ukrepov za preprečevanje nastanka takih situacij v prihodnosti; opozarja, da je doseganje ciljev glede prispevkov odgovornost in obveznost zadevnih skupnih podjetij ter da je neizpolnjevanje teh ciljev v nasprotju z ustanovno idejo skupnih podjetij; izraža zaskrbljenost, natančneje zaradi:</w:t>
      </w:r>
    </w:p>
    <w:p w14:paraId="06F1D07C" w14:textId="77777777" w:rsidR="00621D46" w:rsidRPr="007607AD" w:rsidRDefault="00621D46" w:rsidP="00621D46">
      <w:pPr>
        <w:spacing w:after="240"/>
        <w:ind w:left="1134" w:hanging="567"/>
      </w:pPr>
      <w:r w:rsidRPr="007607AD">
        <w:t>(a)</w:t>
      </w:r>
      <w:r w:rsidRPr="007607AD">
        <w:tab/>
        <w:t xml:space="preserve">položaja Skupnega podjetja za raziskave o upravljanju zračnega prometa enotnega evropskega neba 3 in cilj glede operativnih prispevkov njegovega člana </w:t>
      </w:r>
      <w:proofErr w:type="spellStart"/>
      <w:r w:rsidRPr="007607AD">
        <w:t>Eurocontrola</w:t>
      </w:r>
      <w:proofErr w:type="spellEnd"/>
      <w:r w:rsidRPr="007607AD">
        <w:t xml:space="preserve"> sta dosegla le 70 %, zaradi česar skupno podjetje ni imelo na voljo načrtovanih prispevkov, da bi v celoti izvedlo svoj del programa Obzorje 2020; ugotavlja, da so bili prispevki </w:t>
      </w:r>
      <w:proofErr w:type="spellStart"/>
      <w:r w:rsidRPr="007607AD">
        <w:t>Eurocontrola</w:t>
      </w:r>
      <w:proofErr w:type="spellEnd"/>
      <w:r w:rsidRPr="007607AD">
        <w:t xml:space="preserve"> nižji tudi od cilja programa Obzorje Evropa za leto 2024, saj so dosegli le 16 % ciljnega zneska 500 milijonov EUR; se strinja s priporočilom Računskega sodišča, naj Skupno podjetje za raziskave o upravljanju zračnega prometa enotnega evropskega neba 3 sodeluje z </w:t>
      </w:r>
      <w:proofErr w:type="spellStart"/>
      <w:r w:rsidRPr="007607AD">
        <w:t>Eurocontrolom</w:t>
      </w:r>
      <w:proofErr w:type="spellEnd"/>
      <w:r w:rsidRPr="007607AD">
        <w:t>, da bi povečalo svoje prispevke in vsako leto spremljalo napredek;</w:t>
      </w:r>
    </w:p>
    <w:p w14:paraId="05D7DD19" w14:textId="77777777" w:rsidR="00621D46" w:rsidRPr="007607AD" w:rsidRDefault="00621D46" w:rsidP="00621D46">
      <w:pPr>
        <w:spacing w:after="240"/>
        <w:ind w:left="1134" w:hanging="567"/>
      </w:pPr>
      <w:r w:rsidRPr="007607AD">
        <w:t>(b)</w:t>
      </w:r>
      <w:r w:rsidRPr="007607AD">
        <w:tab/>
        <w:t>položaja Skupnega podjetja za svetovno zdravje EDCTP3, pri katerem je bila konec leta 2024 raven denarnih prispevkov prispevajočih partnerjev zelo nizka, in sicer 15,6 milijona EUR, kar tvori 4 % ciljnega zneska 400 milijonov EUR; ugotavlja, da lahko sedanji primanjkljaj v prispevkih znatno zmanjša učinek vzvoda dejavnosti skupnega podjetja, s čimer se ogroža doseganje ciljev njegovega programa; se strinja s priporočilom Računskega sodišča, naj Skupno podjetje za svetovno zdravje EDCTP3 pripravi celovit akcijski načrt za opredelitev in pridobitev dodatnih prispevajočih partnerjev iz Evrope in drugod, da bi okrepilo svoje raziskovalne in inovacijske zmogljivosti, poskrbelo za dodatne finančne prispevke in doseglo cilje svojega programa;</w:t>
      </w:r>
    </w:p>
    <w:p w14:paraId="4549B676" w14:textId="77777777" w:rsidR="00621D46" w:rsidRPr="007607AD" w:rsidRDefault="00621D46" w:rsidP="00621D46">
      <w:pPr>
        <w:spacing w:after="240"/>
        <w:ind w:left="1134" w:hanging="567"/>
        <w:rPr>
          <w:b/>
          <w:i/>
        </w:rPr>
      </w:pPr>
      <w:r w:rsidRPr="007607AD">
        <w:lastRenderedPageBreak/>
        <w:t>(c)</w:t>
      </w:r>
      <w:r w:rsidRPr="007607AD">
        <w:tab/>
        <w:t xml:space="preserve">položaja Skupnega podjetja za evropsko </w:t>
      </w:r>
      <w:proofErr w:type="spellStart"/>
      <w:r w:rsidRPr="007607AD">
        <w:t>visokozmogljivostno</w:t>
      </w:r>
      <w:proofErr w:type="spellEnd"/>
      <w:r w:rsidRPr="007607AD">
        <w:t xml:space="preserve"> računalništvo, ki se v primerjavi z lanskim letom ni izboljšal in za katerega so prispevki zasebnih članov v okviru programov Obzorje Evropa in Digitalna Evropa ob koncu leta 2024 ostali nespremenjeni na ravni 0,3 % ciljnega zneska večletnega finančnega okvira za obdobje 2021–2027 v višini 900 milijonov EUR; ponovno poudarja, da bi bilo treba doseganje ciljev glede prispevkov obravnavati kot dolžnost skupnega podjetja; ponavlja priporočilo iz prejšnjega leta, da bi moralo Skupno podjetje za evropsko </w:t>
      </w:r>
      <w:proofErr w:type="spellStart"/>
      <w:r w:rsidRPr="007607AD">
        <w:t>visokozmogljivostno</w:t>
      </w:r>
      <w:proofErr w:type="spellEnd"/>
      <w:r w:rsidRPr="007607AD">
        <w:t xml:space="preserve"> računalništvo tesno sodelovati s Komisijo v postopku ponovne ocene sedanjega cilja za prispevke zasebnih članov v okviru programov Obzorje Evropa in Digitalna Evropa, da bi zagotovili njegovo izvedljivost; poziva Komisijo, naj ponovno oceni sedanji cilj, in pozdravlja proces, ki poteka v zvezi s tem;</w:t>
      </w:r>
    </w:p>
    <w:p w14:paraId="37E9B76B" w14:textId="77777777" w:rsidR="00621D46" w:rsidRPr="007607AD" w:rsidRDefault="00621D46" w:rsidP="00621D46">
      <w:pPr>
        <w:spacing w:after="240"/>
        <w:ind w:left="567" w:hanging="567"/>
        <w:rPr>
          <w:b/>
          <w:i/>
        </w:rPr>
      </w:pPr>
      <w:r w:rsidRPr="007607AD">
        <w:rPr>
          <w:b/>
          <w:i/>
        </w:rPr>
        <w:t>Javna naročila in razpisi</w:t>
      </w:r>
    </w:p>
    <w:p w14:paraId="1C2E4297" w14:textId="77777777" w:rsidR="00621D46" w:rsidRPr="007607AD" w:rsidRDefault="00621D46" w:rsidP="00621D46">
      <w:pPr>
        <w:spacing w:after="240"/>
        <w:ind w:left="567" w:hanging="567"/>
      </w:pPr>
      <w:r w:rsidRPr="007607AD">
        <w:t>25.</w:t>
      </w:r>
      <w:r w:rsidRPr="007607AD">
        <w:tab/>
        <w:t xml:space="preserve">ugotavlja, da Računsko sodišče v svojem poročilu za leto 2024 ni opozorilo na posebne težave v zvezi z javnimi naročili in razpisi; kljub temu poudarja pomen javnih naročil kot orodja za spodbujanje ciljev politike, kot so strateška avtonomija, inovacije, okoljska in socialna agenda, konkurenca in pravna varnost; spodbuja skupna podjetja, naj v svoja javna naročila v večji meri vključijo strateška merila o družbeni odgovornosti, </w:t>
      </w:r>
      <w:proofErr w:type="spellStart"/>
      <w:r w:rsidRPr="007607AD">
        <w:t>trajnostnosti</w:t>
      </w:r>
      <w:proofErr w:type="spellEnd"/>
      <w:r w:rsidRPr="007607AD">
        <w:t xml:space="preserve"> življenjskega cikla, zanesljivosti oskrbe, trdnosti kibernetske varnosti, odpornosti in inovacijski zmogljivosti; čestita nekaterim skupnim podjetjem, ki take prakse že izvajajo (npr. Evropsko skupno podjetje za ITER in razvoj fuzijske energije, ki je leta 2024 zahteve glede </w:t>
      </w:r>
      <w:proofErr w:type="spellStart"/>
      <w:r w:rsidRPr="007607AD">
        <w:t>trajnostnosti</w:t>
      </w:r>
      <w:proofErr w:type="spellEnd"/>
      <w:r w:rsidRPr="007607AD">
        <w:t xml:space="preserve"> vključilo v več kot 50 % svojih javnih naročil);</w:t>
      </w:r>
    </w:p>
    <w:p w14:paraId="35BD4F9B" w14:textId="77777777" w:rsidR="00621D46" w:rsidRPr="007607AD" w:rsidRDefault="00621D46" w:rsidP="00621D46">
      <w:pPr>
        <w:spacing w:after="240"/>
        <w:ind w:left="567" w:hanging="567"/>
      </w:pPr>
      <w:r w:rsidRPr="007607AD">
        <w:t>26.</w:t>
      </w:r>
      <w:r w:rsidRPr="007607AD">
        <w:tab/>
        <w:t xml:space="preserve">pozdravlja </w:t>
      </w:r>
      <w:proofErr w:type="spellStart"/>
      <w:r w:rsidRPr="007607AD">
        <w:t>medorganizacijske</w:t>
      </w:r>
      <w:proofErr w:type="spellEnd"/>
      <w:r w:rsidRPr="007607AD">
        <w:t xml:space="preserve"> pobude med skupnimi podjetji na področju javnih naročil in upravljanja pogodb za predmete skupnega interesa in uporabe, ki so spodbudile gospodarsko učinkovito rabo razpoložljivih virov in povečale pogajalsko moč teh skupnih podjetij;</w:t>
      </w:r>
    </w:p>
    <w:p w14:paraId="3AA3C25A" w14:textId="77777777" w:rsidR="00621D46" w:rsidRPr="007607AD" w:rsidRDefault="00621D46" w:rsidP="00621D46">
      <w:pPr>
        <w:spacing w:after="240"/>
        <w:ind w:left="567" w:hanging="567"/>
        <w:rPr>
          <w:bCs/>
          <w:iCs/>
        </w:rPr>
      </w:pPr>
      <w:r w:rsidRPr="007607AD">
        <w:t>27.</w:t>
      </w:r>
      <w:r w:rsidRPr="007607AD">
        <w:tab/>
        <w:t>poziva vsa skupna podjetja, naj povečajo število svojih ukrepov za spodbujanje enakosti spolov na vseh ravneh, da bi uravnoteženo zastopanost spolov vključila v vse dejavnosti, povezane z javnimi naročili, nepovratnimi sredstvi in razpisi, v skladu z načeli zaslug, odličnosti in enakih možnosti, hkrati pa zagotovila, da se pri odločitvah o izbiri in financiranju ustrezno upošteva uspešnost;</w:t>
      </w:r>
    </w:p>
    <w:p w14:paraId="3763D6C1" w14:textId="77777777" w:rsidR="00621D46" w:rsidRPr="007607AD" w:rsidRDefault="00621D46" w:rsidP="00621D46">
      <w:pPr>
        <w:spacing w:after="240"/>
        <w:ind w:left="567" w:hanging="567"/>
        <w:rPr>
          <w:b/>
          <w:i/>
          <w:iCs/>
        </w:rPr>
      </w:pPr>
      <w:r w:rsidRPr="007607AD">
        <w:t>28.</w:t>
      </w:r>
      <w:r w:rsidRPr="007607AD">
        <w:tab/>
        <w:t>poziva vsa skupna podjetja, naj geografsko ravnovesje vključijo v vse postopke javnega naročanja in dodeljevanja nepovratnih sredstev, hkrati pa ohranijo konkurenco, kakovost in odličnost, ter ustrezno utemeljijo primere, v katerih ustrezna porazdelitev ni zagotovljena; poziva, naj se posebna pozornost nameni državam članicam in regijam z nižjimi dohodki ali omejenimi inovacijskimi zmogljivostmi, da bi podprli ta področja in poskrbeli, da skupna podjetja prispevajo k zmanjšanju razvojnih razlik, hkrati pa tudi, da se tehnološki in energetski prehod izvajata pošteno in pravično, ter ohranili regionalno kohezijo; poudarja, da bi moralo financiranje še naprej zagotavljati jasno evropsko dodano vrednost, pri čemer bi bilo treba posebno pozornost nameniti malim in srednjim podjetjem;</w:t>
      </w:r>
    </w:p>
    <w:p w14:paraId="0C327EB6" w14:textId="77777777" w:rsidR="00621D46" w:rsidRPr="007607AD" w:rsidRDefault="00621D46" w:rsidP="00621D46">
      <w:pPr>
        <w:spacing w:after="240"/>
        <w:ind w:left="567" w:hanging="567"/>
        <w:rPr>
          <w:bCs/>
        </w:rPr>
      </w:pPr>
      <w:r w:rsidRPr="007607AD">
        <w:t>29.</w:t>
      </w:r>
      <w:r w:rsidRPr="007607AD">
        <w:tab/>
        <w:t xml:space="preserve">poudarja, da je potrebna poštena in pravična geografska porazdelitev financiranja skupnih podjetij, pri čemer je treba posebno pozornost nameniti regijam z manjšo inovacijsko zmogljivostjo ter malim in srednjim podjetjem, hkrati pa ohraniti odprto </w:t>
      </w:r>
      <w:r w:rsidRPr="007607AD">
        <w:lastRenderedPageBreak/>
        <w:t>konkurenco in zagotoviti, da financirani projekti prinašajo jasno evropsko dodano vrednost;</w:t>
      </w:r>
    </w:p>
    <w:p w14:paraId="0833C25E" w14:textId="77777777" w:rsidR="00621D46" w:rsidRPr="007607AD" w:rsidRDefault="00621D46" w:rsidP="00621D46">
      <w:pPr>
        <w:spacing w:after="240"/>
        <w:ind w:left="567" w:hanging="567"/>
        <w:rPr>
          <w:b/>
          <w:i/>
        </w:rPr>
      </w:pPr>
      <w:r w:rsidRPr="007607AD">
        <w:rPr>
          <w:b/>
          <w:i/>
        </w:rPr>
        <w:t>Dobro počutje zaposlenih, zaposlovanje in uravnotežena zastopanost spolov</w:t>
      </w:r>
    </w:p>
    <w:p w14:paraId="44B4571B" w14:textId="77777777" w:rsidR="00621D46" w:rsidRPr="007607AD" w:rsidRDefault="00621D46" w:rsidP="00621D46">
      <w:pPr>
        <w:spacing w:after="240"/>
        <w:ind w:left="567" w:hanging="567"/>
      </w:pPr>
      <w:r w:rsidRPr="007607AD">
        <w:t>30.</w:t>
      </w:r>
      <w:r w:rsidRPr="007607AD">
        <w:tab/>
        <w:t xml:space="preserve">je zaskrbljen zaradi stanja pri zapolnjevanju delovnih mest v Skupnem podjetju za evropsko </w:t>
      </w:r>
      <w:proofErr w:type="spellStart"/>
      <w:r w:rsidRPr="007607AD">
        <w:t>visokozmogljivostno</w:t>
      </w:r>
      <w:proofErr w:type="spellEnd"/>
      <w:r w:rsidRPr="007607AD">
        <w:t xml:space="preserve"> računalništvo, zlasti zaradi počasnega zaposlovanja, in poziva skupno podjetje, naj racionalizira svoje postopke, da se čim prej zapolnijo vsa prosta delovna mesta;</w:t>
      </w:r>
    </w:p>
    <w:p w14:paraId="557E812C" w14:textId="77777777" w:rsidR="00621D46" w:rsidRPr="007607AD" w:rsidRDefault="00621D46" w:rsidP="00621D46">
      <w:pPr>
        <w:spacing w:after="240"/>
        <w:ind w:left="567" w:hanging="567"/>
      </w:pPr>
      <w:r w:rsidRPr="007607AD">
        <w:t>31.</w:t>
      </w:r>
      <w:r w:rsidRPr="007607AD">
        <w:tab/>
        <w:t>je seznanjen z zaznanim nezadovoljstvom med uslužbenci v Evropskem skupnem podjetju za ITER in razvoj fuzijske energije, ki je bilo ugotovljeno v nedavni anketi med uslužbenci, in njegovimi posledicami za dobro počutje zaposlenih; poudarja, da bi morali imeti uslužbenci možnost delati v fizično in psihološko varnem okolju; poudarja tudi pomen ohranjanja institucionalnega znanja; glede tega z obžalovanjem ugotavlja, da je skupno podjetje še vedno zelo odvisno od zunanjih ponudnikov storitev; poziva skupno podjetje, naj nemudoma sprejme ukrepe za rešitev teh težav;</w:t>
      </w:r>
    </w:p>
    <w:p w14:paraId="712E5112" w14:textId="77777777" w:rsidR="00621D46" w:rsidRPr="007607AD" w:rsidRDefault="00621D46" w:rsidP="00621D46">
      <w:pPr>
        <w:spacing w:after="240"/>
        <w:ind w:left="567" w:hanging="567"/>
      </w:pPr>
      <w:r w:rsidRPr="007607AD">
        <w:t>32.</w:t>
      </w:r>
      <w:r w:rsidRPr="007607AD">
        <w:tab/>
        <w:t>ponovno poziva k usklajeni, pregledni in pravični kadrovski politiki v vseh skupnih podjetjih, s katero bi se zagotavljali vključujoči delovni pogoji, poklicni razvoj, usklajevanje poklicnega in zasebnega življenja ter podpora duševnemu zdravju; pozdravlja uporabo prožnih ureditev dela in poudarja, da bi moral biti njen cilj zagotoviti organizacijsko prožnost, ki bi zadostila kadrovskim potrebam skupnih podjetij; poziva, naj se izboljša sposobnost privabljanja visoko specializiranih talentov, hkrati pa zagotovijo dostojni in stabilni delovni pogoji ter spodbuja pregledno notranje poklicno napredovanje;</w:t>
      </w:r>
    </w:p>
    <w:p w14:paraId="18E90272" w14:textId="77777777" w:rsidR="00621D46" w:rsidRPr="007607AD" w:rsidRDefault="00621D46" w:rsidP="00621D46">
      <w:pPr>
        <w:spacing w:after="240"/>
        <w:ind w:left="567" w:hanging="567"/>
        <w:rPr>
          <w:bCs/>
        </w:rPr>
      </w:pPr>
      <w:r w:rsidRPr="007607AD">
        <w:t>33.</w:t>
      </w:r>
      <w:r w:rsidRPr="007607AD">
        <w:tab/>
        <w:t>pozdravlja napredek skupnih podjetij pri izboljšanju kakovosti in dostopnosti podatkov o uravnoteženi zastopanosti spolov in geografski porazdelitvi med uslužbenci in v strukturah upravljanja; poudarja, da izboljšani podatki krepijo odgovornost in omogočajo bolj usmerjene ukrepe za spodbujanje raznolikosti, zagotavljanje pravične zastopanosti članov ter podporo zdravemu in produktivnemu delovnemu okolju v vseh skupnih podjetjih;</w:t>
      </w:r>
    </w:p>
    <w:p w14:paraId="3E0FA043" w14:textId="77777777" w:rsidR="00621D46" w:rsidRPr="007607AD" w:rsidRDefault="00621D46" w:rsidP="00621D46">
      <w:pPr>
        <w:spacing w:after="240"/>
        <w:ind w:left="567" w:hanging="567"/>
        <w:rPr>
          <w:bCs/>
        </w:rPr>
      </w:pPr>
      <w:r w:rsidRPr="007607AD">
        <w:t>34.</w:t>
      </w:r>
      <w:r w:rsidRPr="007607AD">
        <w:tab/>
        <w:t xml:space="preserve">poziva vsa skupna podjetja, naj spodbujajo uravnoteženo zastopanost na vodstvenih položajih in položajih odločanja ob polnem spoštovanju izbirnih postopkov, ki temeljijo na kompetencah, ter sorazmerno in pregledno spremljajo napredek; poudarja, da je pomembno obravnavati razlike v plačilu med spoloma in spodbujati enake možnosti za poklicno napredovanje; v zvezi s tem ugotavlja pozitiven razvoj v Skupnem podjetju za evropsko </w:t>
      </w:r>
      <w:proofErr w:type="spellStart"/>
      <w:r w:rsidRPr="007607AD">
        <w:t>visokozmogljivostno</w:t>
      </w:r>
      <w:proofErr w:type="spellEnd"/>
      <w:r w:rsidRPr="007607AD">
        <w:t xml:space="preserve"> računalništvo, v katerem je zaposlenih 72,5 % žensk in 27,5 % moških, medtem ko je v razširjeni upravi 40 % moških in 60 % žensk;</w:t>
      </w:r>
    </w:p>
    <w:p w14:paraId="788403CD" w14:textId="77777777" w:rsidR="00621D46" w:rsidRPr="007607AD" w:rsidRDefault="00621D46" w:rsidP="00621D46">
      <w:pPr>
        <w:spacing w:after="240"/>
        <w:ind w:left="567" w:hanging="567"/>
      </w:pPr>
      <w:r w:rsidRPr="007607AD">
        <w:t>35.</w:t>
      </w:r>
      <w:r w:rsidRPr="007607AD">
        <w:tab/>
        <w:t>poudarja, da morajo skupna podjetja zagotoviti, da financirani projekti izpolnjujejo veljavne socialne in delovne standarde, prispevajo k trajnostni gospodarski rasti, inovacijam, konkurenčnosti in visokokakovostnemu zaposlovanju v Uniji ter so usklajeni z načeli pravičnega prehoda;</w:t>
      </w:r>
    </w:p>
    <w:p w14:paraId="7B92CB07" w14:textId="77777777" w:rsidR="00621D46" w:rsidRPr="007607AD" w:rsidRDefault="00621D46" w:rsidP="00621D46">
      <w:pPr>
        <w:spacing w:after="240"/>
        <w:ind w:left="567" w:hanging="567"/>
        <w:rPr>
          <w:b/>
          <w:bCs/>
          <w:i/>
          <w:iCs/>
        </w:rPr>
      </w:pPr>
      <w:r w:rsidRPr="007607AD">
        <w:t>36.</w:t>
      </w:r>
      <w:r w:rsidRPr="007607AD">
        <w:tab/>
        <w:t xml:space="preserve">poziva skupna podjetja, naj razvijejo strukturirano sodelovanje z evropskimi univerzami, da bi izboljšala stik z mladimi diplomanti in okrepila prihodnje zaposlovanje; poleg tega spodbuja skupna podjetja, naj spodbujajo univerzitetno, raziskovalno in poklicno mobilnost ter izvajajo ukrepe za razvoj človeškega kapitala, </w:t>
      </w:r>
      <w:r w:rsidRPr="007607AD">
        <w:lastRenderedPageBreak/>
        <w:t>zlasti mladih delavcev, inženirjev in raziskovalcev, tudi z vključevanjem naložbenih projektov v izobraževanje, usposabljanje in učenje na delovnem mestu, da bi zagotovili trajnostne inovacije, kontinuiteto delovne sile in dolgoročno konkurenčnost evropskega gospodarstva;</w:t>
      </w:r>
    </w:p>
    <w:p w14:paraId="4983B99D" w14:textId="77777777" w:rsidR="00621D46" w:rsidRPr="007607AD" w:rsidRDefault="00621D46" w:rsidP="00621D46">
      <w:pPr>
        <w:spacing w:after="240"/>
        <w:ind w:left="567" w:hanging="567"/>
        <w:rPr>
          <w:b/>
          <w:i/>
        </w:rPr>
      </w:pPr>
      <w:r w:rsidRPr="007607AD">
        <w:rPr>
          <w:b/>
          <w:i/>
        </w:rPr>
        <w:t>Sistemi upravljanja in nadzora</w:t>
      </w:r>
    </w:p>
    <w:p w14:paraId="5D748F6E" w14:textId="77777777" w:rsidR="00621D46" w:rsidRPr="007607AD" w:rsidRDefault="00621D46" w:rsidP="00621D46">
      <w:pPr>
        <w:spacing w:after="240"/>
        <w:ind w:left="567" w:hanging="567"/>
        <w:rPr>
          <w:b/>
          <w:bCs/>
          <w:i/>
          <w:iCs/>
        </w:rPr>
      </w:pPr>
      <w:r w:rsidRPr="007607AD">
        <w:t>37.</w:t>
      </w:r>
      <w:r w:rsidRPr="007607AD">
        <w:tab/>
        <w:t xml:space="preserve">pozdravlja delo Računskega sodišča v zvezi s pregledom odhodkov iz poslovanja skupnih podjetij za raziskave in inovacije, ki je vključeval vzorec 33 naključno izbranih transakcij na podlagi sporazumov o nepovratnih sredstvih iz leta 2024 (vmesna ali končna plačila in poravnave predplačil) na ravni končnih upravičencev; je zaskrbljen zaradi rezultatov tega pregleda, ki je pokazal obstoj stalnih sistematičnih napak; ugotavlja, da se te napake večinoma nanašajo na nepravilne prijave stroškov za osebje s strani upravičencev, vključno z izračunom urnih ali dnevnih postavk, vključitvijo posrednih stroškov v stroške na enoto, prijavo stroškov oddajanja </w:t>
      </w:r>
      <w:proofErr w:type="spellStart"/>
      <w:r w:rsidRPr="007607AD">
        <w:t>podizvajalskih</w:t>
      </w:r>
      <w:proofErr w:type="spellEnd"/>
      <w:r w:rsidRPr="007607AD">
        <w:t xml:space="preserve"> naročil kot stroškov za osebje ter vključitvijo neupravičenih stroškov za opremo; poziva skupna podjetja, naj odpravijo te pomanjkljivosti; nadalje poziva Komisijo in skupno revizijsko službo, naj organu za podelitev razrešnice predložita konsolidirano analizo temeljnih vzrokov za ponavljajoče se napake v zvezi s stroški za zaposlene v skupnih podjetjih ter podpreta usklajene preventivne smernice, ciljno usmerjene predhodne preglede za upravičence z visokim tveganjem in finančne popravke, kadar se odkrijejo podobne napake;</w:t>
      </w:r>
    </w:p>
    <w:p w14:paraId="5BAF4F2B" w14:textId="77777777" w:rsidR="00621D46" w:rsidRPr="007607AD" w:rsidRDefault="00621D46" w:rsidP="00621D46">
      <w:pPr>
        <w:spacing w:after="240"/>
        <w:ind w:left="567" w:hanging="567"/>
        <w:rPr>
          <w:bCs/>
          <w:iCs/>
        </w:rPr>
      </w:pPr>
      <w:r w:rsidRPr="007607AD">
        <w:t>38.</w:t>
      </w:r>
      <w:r w:rsidRPr="007607AD">
        <w:tab/>
        <w:t>pozdravlja delo Računskega sodišča v zvezi s pregledom odhodkov Evropskega skupnega podjetja za ITER in razvoj fuzijske energije; ki je vključeval vzorec 30 naključnih transakcij; ugotavlja, da je sodišče ugotovilo primer, ko za bistveno spremembo dveh pogodb o nepremičninah ni bil izveden nov postopek za oddajo javnega naročila. poziva Evropsko skupno podjetje za ITER in razvoj fuzijske energije, naj zagotovi, da bodo bistvene spremembe pogodb sistematično sprožile ponovno oceno javnih naročil, vključno s pravnim pregledom in objavo jasne utemeljitve, ter naj organu za podelitev razrešnice poroča o sprejetih popravnih ukrepih;</w:t>
      </w:r>
    </w:p>
    <w:p w14:paraId="6F7D0726" w14:textId="77777777" w:rsidR="00621D46" w:rsidRPr="007607AD" w:rsidRDefault="00621D46" w:rsidP="00621D46">
      <w:pPr>
        <w:spacing w:after="240"/>
        <w:ind w:left="567" w:hanging="567"/>
      </w:pPr>
      <w:r w:rsidRPr="007607AD">
        <w:t>39.</w:t>
      </w:r>
      <w:r w:rsidRPr="007607AD">
        <w:tab/>
        <w:t xml:space="preserve">izraža zaskrbljenost zaradi ugotovitve Računskega sodišča, da so do decembra 2024 le štiri skupna podjetja (Skupno podjetje za evropske železnice, Skupno podjetje za čisto letalstvo, Skupno podjetje za pobudo za inovativno zdravje in Skupno podjetje za čipe) dokončala okvir kontrole na podlagi tveganja za izplačila nepovratnih sredstev iz programa Obzorje Evropa kljub pričakovanemu povečanju takih izplačil; opozarja, da je trden, sistematičen in centraliziran okvir kontrole, ki temelji na tveganju, bistven za zagotavljanje predhodnih kontrol upravičencev z visokim tveganjem, učinkovitega nadaljnjega ukrepanja na podlagi ugotovitev revizij in zanesljivih izjav direktorja o zanesljivosti; poudarja, da bi se moralo revizijsko in kontrolno delo osredotočiti na področja z višjim finančnim tveganjem in tveganjem za uspešnost, medtem ko bi bilo treba za ponavljajoče se transakcije z nizkim tveganjem uporabljati poenostavljene metode preverjanja; poudarja, da lahko tak pristop izboljša zagotovilo in znatno zmanjša upravno breme za upravičence in sodelujoče države; poziva vsa preostala skupna podjetja, naj dokončajo in izvajajo </w:t>
      </w:r>
      <w:bookmarkStart w:id="10" w:name="_Hlk221275658"/>
      <w:r w:rsidRPr="007607AD">
        <w:t>kontrolni okvir, ki temelji na tveganju, za plačila nepovratnih sredstev v okviru programa Obzorje Evropa/Digitalna Evropa</w:t>
      </w:r>
      <w:bookmarkEnd w:id="10"/>
      <w:r w:rsidRPr="007607AD">
        <w:t>, vključno z: (i) jasno oceno tveganja upravičencev in projektov, (ii) okrepljenimi predhodnimi kontrolami za primere z visokim tveganjem, (iii) sistematičnimi povratnimi informacijami o rezultatih naknadnih revizij za prihodnje načrtovanje kontrol in (iv) doslednim poročanjem v izjavi izvršnega direktorja o zanesljivosti;</w:t>
      </w:r>
    </w:p>
    <w:p w14:paraId="2A88378A" w14:textId="77777777" w:rsidR="00621D46" w:rsidRPr="007607AD" w:rsidRDefault="00621D46" w:rsidP="00621D46">
      <w:pPr>
        <w:spacing w:after="240"/>
        <w:ind w:left="567" w:hanging="567"/>
      </w:pPr>
      <w:r w:rsidRPr="007607AD">
        <w:lastRenderedPageBreak/>
        <w:t>40.</w:t>
      </w:r>
      <w:r w:rsidRPr="007607AD">
        <w:tab/>
        <w:t>izraža zaskrbljenost, da sistem za obvladovanje tveganj Evropskega skupnega podjetja za ITER in razvoj fuzijske energije ne odraža v zadostni meri pomembnih tveganj, ki izhajajo iz revizije izhodišč ITER za leto 2024, vključno s horizontalnimi posledicami za človeške vire; ugotavlja, da orodje informacijske tehnologije za obvladovanje tveganj skupnega podjetja nima popolnih in posodobljenih informacij o ključnih tveganjih, vključno s pogostostjo, verjetnostjo in finančnim vplivom, kar ogroža podporo za sprejemanje odločitev uprave in njeno sposobnost, da količinsko opredeli izpostavljenost in sprejme učinkovite ublažitve; poziva skupno podjetje, naj ta vprašanja reši s pravočasnim izvajanjem ustreznih ukrepov;</w:t>
      </w:r>
    </w:p>
    <w:p w14:paraId="46C770FD" w14:textId="77777777" w:rsidR="00621D46" w:rsidRPr="007607AD" w:rsidRDefault="00621D46" w:rsidP="00621D46">
      <w:pPr>
        <w:spacing w:after="240"/>
        <w:ind w:left="567" w:hanging="567"/>
        <w:rPr>
          <w:b/>
          <w:i/>
        </w:rPr>
      </w:pPr>
      <w:r w:rsidRPr="007607AD">
        <w:rPr>
          <w:b/>
          <w:i/>
        </w:rPr>
        <w:t>Goljufije, etika in nasprotje interesov</w:t>
      </w:r>
    </w:p>
    <w:p w14:paraId="6C467B2A" w14:textId="77777777" w:rsidR="00621D46" w:rsidRPr="007607AD" w:rsidRDefault="00621D46" w:rsidP="00621D46">
      <w:pPr>
        <w:spacing w:after="240"/>
        <w:ind w:left="567" w:hanging="567"/>
      </w:pPr>
      <w:r w:rsidRPr="007607AD">
        <w:t>41.</w:t>
      </w:r>
      <w:r w:rsidRPr="007607AD">
        <w:tab/>
        <w:t>pozdravlja dejstvo, da v zvezi z nobeno od ugotovitev Računskega sodišča za leto 2024 ni bilo potrebno obvestilo o sumu goljufije Evropskemu uradu za boj proti goljufijam (OLAF) ali Evropskemu javnemu tožilstvu (EJT);</w:t>
      </w:r>
    </w:p>
    <w:p w14:paraId="66EFF19E" w14:textId="77777777" w:rsidR="00621D46" w:rsidRPr="007607AD" w:rsidRDefault="00621D46" w:rsidP="00621D46">
      <w:pPr>
        <w:spacing w:after="240"/>
        <w:ind w:left="567" w:hanging="567"/>
      </w:pPr>
      <w:r w:rsidRPr="007607AD">
        <w:t>42.</w:t>
      </w:r>
      <w:r w:rsidRPr="007607AD">
        <w:tab/>
        <w:t>je seznanjen z informacijami, ki so jih sporočila skupna podjetja o svojih dejavnostih preprečevanja, odkrivanja in odprave goljufij; poziva skupna podjetja, naj okrepijo sodelovanje in izmenjavo informacij z uradom OLAF in, kadar je to primerno, z Evropskim javnim tožilstvom, vključno s sistematičnim prijavljanjem sumov goljufij, okrepijo predhodne in naknadne kontrole pri upravljanju nepovratnih sredstev, zahtevkih za povračilo stroškov, javnih naročilih in preverjanju izvedljivosti, dosledno in brez zamude uporabljajo popravne ukrepe in finančne izterjave ter pridobljena spoznanja vključijo v prihodnje postopke ter zagotovijo letno zanesljivo poročanje o učinkovitosti ukrepov za boj proti goljufijam, podprto z jasnimi kvantitativnimi in kvalitativnimi kazalniki;</w:t>
      </w:r>
    </w:p>
    <w:p w14:paraId="1E1521E0" w14:textId="7D55303E" w:rsidR="00621D46" w:rsidRPr="007607AD" w:rsidRDefault="00621D46" w:rsidP="00621D46">
      <w:pPr>
        <w:spacing w:after="240"/>
        <w:ind w:left="567" w:hanging="567"/>
        <w:rPr>
          <w:b/>
          <w:bCs/>
          <w:i/>
          <w:iCs/>
        </w:rPr>
      </w:pPr>
      <w:r w:rsidRPr="007607AD">
        <w:t>43</w:t>
      </w:r>
      <w:r w:rsidR="00B06B96">
        <w:t>.</w:t>
      </w:r>
      <w:r w:rsidRPr="007607AD">
        <w:tab/>
        <w:t>ugotavlja, da skupna podjetja za obdobje 2021–2027 upravljajo 38,5 milijarde EUR, kar je več kot dvakratnik zneska, ki so ga upravljala v prejšnjem obdobju, in poudarja, da je za tako velika sredstva potrebno zanesljivo spremljanje rezultatov, da se zagotovi stroškovna učinkovitost; poziva skupna podjetja, naj sprejmejo skupni okvir za merjenje uspešnosti in učinkov ter zagotovijo poročanje o rezultatih, ki presega skladnost s finančnimi pravili; poudarja, da je treba učinkovit nadzor uspešnosti dopolniti z močno preglednostjo dejavnosti skupnih podjetij in zaščitnimi ukrepi v zvezi z nasprotjem interesov za člane njihovih upravnih organov; glede tega poziva, naj zagotovijo sistematično objavo izjav o interesih članov upravnih organov, ki zajemajo vse finančne, strokovne ali osebne povezave s subjekti, ki prejemajo finančna sredstva skupnega podjetja; poziva k obdobju mirovanja za višje uslužbence, preden prevzamejo nove položaje v podprtih organizacijah, in zahteva, da znanstveni odbori, neodvisni strokovnjaki in člani ocenjevalnega odbora podpišejo ustrezno izjavo o odsotnosti nasprotja interesov;</w:t>
      </w:r>
    </w:p>
    <w:p w14:paraId="2BC1624C" w14:textId="77777777" w:rsidR="00621D46" w:rsidRPr="007607AD" w:rsidRDefault="00621D46" w:rsidP="00621D46">
      <w:pPr>
        <w:spacing w:after="240"/>
        <w:rPr>
          <w:b/>
          <w:i/>
        </w:rPr>
      </w:pPr>
      <w:r w:rsidRPr="007607AD">
        <w:rPr>
          <w:b/>
          <w:i/>
        </w:rPr>
        <w:t xml:space="preserve">Zaskrbljenost zaradi zadev v zvezi z Evropskim skupnim podjetjem za ITER in razvoj fuzijske energije ter Skupnim podjetjem za evropsko </w:t>
      </w:r>
      <w:proofErr w:type="spellStart"/>
      <w:r w:rsidRPr="007607AD">
        <w:rPr>
          <w:b/>
          <w:i/>
        </w:rPr>
        <w:t>visokozmogljivostno</w:t>
      </w:r>
      <w:proofErr w:type="spellEnd"/>
      <w:r w:rsidRPr="007607AD">
        <w:rPr>
          <w:b/>
          <w:i/>
        </w:rPr>
        <w:t xml:space="preserve"> računalništvo</w:t>
      </w:r>
    </w:p>
    <w:p w14:paraId="34E4C1DF" w14:textId="77777777" w:rsidR="00621D46" w:rsidRPr="007607AD" w:rsidRDefault="00621D46" w:rsidP="00621D46">
      <w:pPr>
        <w:spacing w:after="240"/>
        <w:ind w:left="567" w:hanging="567"/>
      </w:pPr>
      <w:r w:rsidRPr="007607AD">
        <w:t>44.</w:t>
      </w:r>
      <w:r w:rsidRPr="007607AD">
        <w:tab/>
        <w:t xml:space="preserve">poudarja, da je poleg zgoraj navedenih vprašanj treba večjo pozornost nameniti tudi naslednjim posebnim zadevam, povezanim z Evropskim skupnim podjetjem za ITER in razvoj fuzijske energije ter Skupnim podjetjem za evropsko </w:t>
      </w:r>
      <w:proofErr w:type="spellStart"/>
      <w:r w:rsidRPr="007607AD">
        <w:t>visokozmogljivostno</w:t>
      </w:r>
      <w:proofErr w:type="spellEnd"/>
      <w:r w:rsidRPr="007607AD">
        <w:t xml:space="preserve"> računalništvo;</w:t>
      </w:r>
    </w:p>
    <w:p w14:paraId="46EE4DB2" w14:textId="77777777" w:rsidR="00621D46" w:rsidRPr="007607AD" w:rsidRDefault="00621D46" w:rsidP="00621D46">
      <w:pPr>
        <w:spacing w:after="240"/>
        <w:ind w:left="567" w:hanging="567"/>
      </w:pPr>
      <w:r w:rsidRPr="007607AD">
        <w:t>45.</w:t>
      </w:r>
      <w:r w:rsidRPr="007607AD">
        <w:tab/>
        <w:t xml:space="preserve">priznava, da je ITER projekt izjemnega obsega in ambicij, ki vključuje 35 mednarodnih </w:t>
      </w:r>
      <w:r w:rsidRPr="007607AD">
        <w:lastRenderedPageBreak/>
        <w:t xml:space="preserve">partnerjev in v katerem ima Unija kot gostiteljica in največja </w:t>
      </w:r>
      <w:proofErr w:type="spellStart"/>
      <w:r w:rsidRPr="007607AD">
        <w:t>donatorka</w:t>
      </w:r>
      <w:proofErr w:type="spellEnd"/>
      <w:r w:rsidRPr="007607AD">
        <w:t xml:space="preserve"> osrednjo vlogo pri spodbujanju dolgoročne energetske vizije Evrope in njenega vodilnega položaja na področju znanosti; poudarja, da je Organizacija ITER junija 2024 Svetu ITER predložila revidiran projektni načrt, v katerem so bile uvedene nove izhodiščne vrednosti, ki nadomeščajo tiste, odobrene leta 2016, s čimer se je konec sestavljalne faze preložil z leta 2025 (prva plazma) na leto 2035 (začetek raziskovalnih dejavnosti) in podaljšal splošni rok za dokončanje projekta z leta 2042 na leto 2059; ugotavlja, da se zato obveznosti skupnega podjetja za ITER in razvoj fuzijske energije povečujejo z 21,6 milijarde EUR na 25,8 milijarde EUR v vrednostih iz leta 2024, kar pomeni dodatne 4,2 milijarde EUR prispevkov </w:t>
      </w:r>
      <w:proofErr w:type="spellStart"/>
      <w:r w:rsidRPr="007607AD">
        <w:t>Euratoma</w:t>
      </w:r>
      <w:proofErr w:type="spellEnd"/>
      <w:r w:rsidRPr="007607AD">
        <w:t xml:space="preserve"> in Francije v operativni proračun skupnega podjetja; z zaskrbljenostjo ugotavlja, da Svet ITER še ni uradno sprejel ocenjenega povečanja stroškov, ki izhaja iz revidiranih izhodišč ITER, ki jih je Mednarodna organizacija za fuzijsko energijo ITER predlagala julija 2024; v zvezi s tem poudarja, da je za ohranitev vodilne vloge Unije na področju raziskav fuzije potrebna pravočasna in popolna formalizacija ter izvajanje revidiranih referenčnih vrednosti ITER;</w:t>
      </w:r>
    </w:p>
    <w:p w14:paraId="3F277CA8" w14:textId="77777777" w:rsidR="00621D46" w:rsidRPr="007607AD" w:rsidRDefault="00621D46" w:rsidP="00621D46">
      <w:pPr>
        <w:spacing w:after="240"/>
        <w:ind w:left="567" w:hanging="567"/>
        <w:rPr>
          <w:b/>
          <w:bCs/>
          <w:i/>
          <w:iCs/>
        </w:rPr>
      </w:pPr>
      <w:r w:rsidRPr="007607AD">
        <w:t>46.</w:t>
      </w:r>
      <w:r w:rsidRPr="007607AD">
        <w:tab/>
        <w:t xml:space="preserve">se strinja s pomisleki, ki jih je izrazilo Računsko sodišče, da predlagana revidirana izhodiščna vrednost ITER bistveno povečuje izpostavljenost Evropskega skupnega podjetja za ITER in razvoj fuzijske energije tehničnim, pravnim in finančnim tveganjem; ugotavlja, da lahko dolgoročno </w:t>
      </w:r>
      <w:proofErr w:type="spellStart"/>
      <w:r w:rsidRPr="007607AD">
        <w:t>trajnostnost</w:t>
      </w:r>
      <w:proofErr w:type="spellEnd"/>
      <w:r w:rsidRPr="007607AD">
        <w:t xml:space="preserve"> projekta ogrozijo nadaljnje zamude pri doseganju ključnih mejnikov ter vse večja konkurenca pobud na področju fuzije v tretjih državah, kar skupaj ogroža pomembnost in vodilni položaj ITER; poudarja, da še vedno obstajajo precejšnje pravne negotovosti in negotovosti glede upravljanja, zlasti možnost, da člani zavrnejo podaljšanje Sporazuma ITER po letu 2042, ali to, da bi lahko francoski odlok o </w:t>
      </w:r>
      <w:proofErr w:type="spellStart"/>
      <w:r w:rsidRPr="007607AD">
        <w:t>gostiteljstvu</w:t>
      </w:r>
      <w:proofErr w:type="spellEnd"/>
      <w:r w:rsidRPr="007607AD">
        <w:t xml:space="preserve"> prenehal veljati pred začetkom obratovanja reaktorja, kar ogroža pravno jasnost in odgovornost; poleg tega z zaskrbljenostjo ugotavlja, da bi lahko obseg zdaj predvidenih tehničnih sprememb imel daljnosežne posledice za inovativno zmogljivost in ekonomsko upravičenost projekta; meni, da te pomisleke še dodatno povečujejo naraščajoči finančni pritiski, saj višji prispevki, ki jih zahtevata Unija in Francija, zbujajo dvome o tem, ali bo tako financiranje mogoče ohraniti v okviru prihodnjih večletnih finančnih okvirov oziroma ali ga bo lahko ohranila država gostiteljica; zato poudarja, da so potrebni zanesljivo finančno načrtovanje, trdno in usklajeno upravljanje, strog nadzor in jasne metrike uspešnosti skupnega podjetja, okrepljeno obvladovanje tveganja ter stalne izboljšave odgovornosti in preglednosti med skupnim podjetjem, organizacijo ITER in proračunskim organom Unije; poudarja, da je treba dodatno okrepiti nadzor stroškov, financiranje na podlagi mejnikov in neodvisen nadzor uspešnosti ter odpraviti pravne negotovosti z zavezujočimi zavezami glede okvira za obdobje po letu 2042 in obveznostmi države gostiteljice; poudarja, da je treba glede na obseg, trajanje in povečanje stroškov projekta ITER nadaljnje financiranje Unije oceniti ne le glede na tehnične mejnike, temveč tudi glede na </w:t>
      </w:r>
      <w:proofErr w:type="spellStart"/>
      <w:r w:rsidRPr="007607AD">
        <w:t>oportunitetne</w:t>
      </w:r>
      <w:proofErr w:type="spellEnd"/>
      <w:r w:rsidRPr="007607AD">
        <w:t xml:space="preserve"> stroške in podnebno </w:t>
      </w:r>
      <w:proofErr w:type="spellStart"/>
      <w:r w:rsidRPr="007607AD">
        <w:t>dodatnost</w:t>
      </w:r>
      <w:proofErr w:type="spellEnd"/>
      <w:r w:rsidRPr="007607AD">
        <w:t>, da bi zagotovili evropsko dodano vrednost in strateško avtonomijo;</w:t>
      </w:r>
    </w:p>
    <w:p w14:paraId="68E60E73" w14:textId="4828AD77" w:rsidR="00621D46" w:rsidRPr="007607AD" w:rsidRDefault="00621D46" w:rsidP="00621D46">
      <w:pPr>
        <w:spacing w:after="240"/>
        <w:ind w:left="567" w:hanging="567"/>
      </w:pPr>
      <w:r w:rsidRPr="007607AD">
        <w:t>47</w:t>
      </w:r>
      <w:r w:rsidR="00B06B96">
        <w:t>.</w:t>
      </w:r>
      <w:r w:rsidRPr="007607AD">
        <w:tab/>
        <w:t xml:space="preserve">poudarja priporočilo Računskega sodišča, da bi moralo Evropsko skupno podjetje za ITER in razvoj fuzijske energije povečati učinkovitost svojega sistema za obvladovanje tveganj, vključno z izboljšanjem svojega orodja IT za obvladovanje tveganj, da bi imelo popolne informacije o vseh zadevnih ključnih tveganjih, ki izhajajo iz izhodiščnih vrednosti za leto 2024; poudarja splošni pomen strateškega upravljanja skupnega podjetja za zagotovitev, da ITER ostane znanstveno in gospodarsko relevanten, in sicer s sistematičnim primerjanjem napredka s svetovnimi konkurenti ter varovanjem </w:t>
      </w:r>
      <w:r w:rsidRPr="007607AD">
        <w:lastRenderedPageBreak/>
        <w:t>inovacijske zmogljivosti v okviru trajnostnega dolgoročnega modela financiranja; v zvezi s tem poudarja, da je treba skupno podjetje prestrukturirati in prerazporediti človeške vire, zmanjšati nesorazmerno uporabo zunanjih ponudnikov storitev ter zagotoviti boljše načrtovanje in upravljanje virov v skladu z etičnim okvirom skupnega podjetja;</w:t>
      </w:r>
    </w:p>
    <w:p w14:paraId="5CC52E50" w14:textId="77777777" w:rsidR="00621D46" w:rsidRPr="007607AD" w:rsidRDefault="00621D46" w:rsidP="00621D46">
      <w:pPr>
        <w:spacing w:after="240"/>
        <w:ind w:left="567" w:hanging="567"/>
      </w:pPr>
      <w:r w:rsidRPr="007607AD">
        <w:t>48.</w:t>
      </w:r>
      <w:r w:rsidRPr="007607AD">
        <w:tab/>
        <w:t>poudarja posebno občutljivost v zvezi z Evropskim skupnim podjetjem za ITER in razvoj fuzijske energije glede na nadaljnje sodelovanje Rusije ter upošteva pojasnila, podana med zaslišanjem pred parlamentarnim Odborom za proračunski nadzor, v zvezi z zaščitnimi ukrepi, sprejetimi za zmanjšanje s tem povezanih pravnih, varnostnih in strateških tveganj; ponovno poziva k največji previdnosti pri sodelovanju z mednarodnimi partnerji, kot je Rusija, ob polnem spoštovanju veljavnih omejevalnih ukrepov Unije;</w:t>
      </w:r>
    </w:p>
    <w:p w14:paraId="138E996B" w14:textId="77777777" w:rsidR="00621D46" w:rsidRPr="007607AD" w:rsidRDefault="00621D46" w:rsidP="00621D46">
      <w:pPr>
        <w:spacing w:after="240"/>
        <w:ind w:left="567" w:hanging="567"/>
        <w:rPr>
          <w:b/>
        </w:rPr>
      </w:pPr>
      <w:r w:rsidRPr="007607AD">
        <w:t>49.</w:t>
      </w:r>
      <w:r w:rsidRPr="007607AD">
        <w:rPr>
          <w:b/>
          <w:i/>
        </w:rPr>
        <w:tab/>
      </w:r>
      <w:r w:rsidRPr="007607AD">
        <w:t>izraža svoje pomisleke glede nadaljnjega sodelovanja Rusije v projektu ITER; poziva Evropsko skupno podjetje za ITER in razvoj fuzijske energije, naj zagotovi strogo in popolno izvajanje sankcij Unije proti Rusiji, vključno z omejitvami nabave komponent za evropske dobave za ITER; spodbuja Evropsko skupno podjetje za ITER in razvoj fuzijske energije, naj čim bolj zmanjša vso preostalo odvisnost od Rusije in se izogiba kakršnim koli dvostranskim stikom in sodelovanju z njo, ki bi lahko ogrozili strateške interese in vrednote Unije; z zadovoljstvom ugotavlja, da Rusija v zadnjih dveh letih ni prevzela predsedstva Sveta ITER, kot bi ga morala v skladu z načelom rotacije predsedstva; z zadovoljstvom ugotavlja, da ima projekt na podlagi pravil o intelektualni lastnini v Sporazumu ITER na voljo vse intelektualne vire, ki jih potrebuje za uspešen razvoj in obratovanje, ta pravila pa zagotavljajo tudi popolno neodvisnost od ruskih pravic intelektualne lastnine; ugotavlja, da je Rusija izpolnila vse svoje prispevke v naravi v skladu s Sporazumom ITER; poudarja, da bi morale dejavnosti skupnih podjetij Unije prispevati k diverzifikaciji dobavnih verig, da bi dosegli popolno tehnološko suverenost;</w:t>
      </w:r>
    </w:p>
    <w:p w14:paraId="60A055FE" w14:textId="77777777" w:rsidR="00621D46" w:rsidRPr="007607AD" w:rsidRDefault="00621D46" w:rsidP="00621D46">
      <w:pPr>
        <w:spacing w:after="240"/>
        <w:ind w:left="567" w:hanging="567"/>
      </w:pPr>
      <w:r w:rsidRPr="007607AD">
        <w:t>50.</w:t>
      </w:r>
      <w:r w:rsidRPr="007607AD">
        <w:tab/>
        <w:t>poudarja priporočilo Računskega sodišča, naj Evropsko skupno podjetje za ITER in razvoj fuzijske energije okrepi svoj sistem za obvladovanje tveganj, tako da upošteva vsa horizontalna tveganja, ki izhajajo iz izhodiščnih vrednosti za leto 2024;</w:t>
      </w:r>
    </w:p>
    <w:p w14:paraId="020FCCFD" w14:textId="77777777" w:rsidR="00621D46" w:rsidRPr="007607AD" w:rsidRDefault="00621D46" w:rsidP="00621D46">
      <w:pPr>
        <w:spacing w:after="240"/>
        <w:ind w:left="567" w:hanging="567"/>
      </w:pPr>
      <w:r w:rsidRPr="007607AD">
        <w:t>51.</w:t>
      </w:r>
      <w:r w:rsidRPr="007607AD">
        <w:tab/>
        <w:t>ponovno izraža močno zaskrbljenost zaradi naslednjih pomanjkljivosti pri upravljanju človeških virov, ki so bile ugotovljene v Evropskem skupnem podjetju za ITER in razvoj fuzijske energije:</w:t>
      </w:r>
    </w:p>
    <w:p w14:paraId="3337C5FA" w14:textId="77777777" w:rsidR="00621D46" w:rsidRPr="007607AD" w:rsidRDefault="00621D46" w:rsidP="00621D46">
      <w:pPr>
        <w:spacing w:after="240"/>
        <w:ind w:left="993" w:hanging="426"/>
      </w:pPr>
      <w:r w:rsidRPr="007607AD">
        <w:t>(a)</w:t>
      </w:r>
      <w:r w:rsidRPr="007607AD">
        <w:tab/>
        <w:t>nedavna anketa o dobrem počutju uslužbencev je razkrila, da obstajajo splošno razširjeni medosebni konflikti (77 % anketirancev), psihološko nasilje (9,9 % anketirancev), spolno nadlegovanje (7,3 % anketirancev) in fizično nasilje (4,7 % anketirancev); poziva skupno podjetje, naj rezultate ankete resno upošteva in nemudoma sprejme konkretne ukrepe za obravnavanje te situacije; poudarja pomen dobrega počutja uslužbencev;</w:t>
      </w:r>
    </w:p>
    <w:p w14:paraId="7DB2C6E9" w14:textId="77777777" w:rsidR="00621D46" w:rsidRPr="007607AD" w:rsidRDefault="00621D46" w:rsidP="00621D46">
      <w:pPr>
        <w:spacing w:after="240"/>
        <w:ind w:left="993" w:hanging="426"/>
      </w:pPr>
      <w:r w:rsidRPr="007607AD">
        <w:t>(b)</w:t>
      </w:r>
      <w:r w:rsidRPr="007607AD">
        <w:tab/>
        <w:t xml:space="preserve">nadaljnja odvisnost skupnega podjetja od zunanjih ponudnikov storitev s 313 zunanjimi ponudniki storitev in 438 statutarnimi uslužbenci v letu 2024; pozdravlja ukrepe, ki jih je sprejelo skupno podjetje, vključno s sprejetjem politike o opredelitvi, načrtovanju in uporabi zunanjih ponudnikov storitev leta 2024 ter odločitvijo iz leta 2025 o centralizaciji njihovega usklajevanja in upravljanja, ki se trenutno izvajata; poziva skupno podjetje, naj v svojih letnih poročilih o </w:t>
      </w:r>
      <w:r w:rsidRPr="007607AD">
        <w:lastRenderedPageBreak/>
        <w:t>dejavnostih še naprej poroča o napredku;</w:t>
      </w:r>
    </w:p>
    <w:p w14:paraId="4E85C73D" w14:textId="77777777" w:rsidR="00621D46" w:rsidRPr="007607AD" w:rsidRDefault="00621D46" w:rsidP="00621D46">
      <w:pPr>
        <w:spacing w:after="240"/>
        <w:ind w:left="567" w:hanging="567"/>
      </w:pPr>
      <w:r w:rsidRPr="007607AD">
        <w:t>52.</w:t>
      </w:r>
      <w:r w:rsidRPr="007607AD">
        <w:rPr>
          <w:b/>
        </w:rPr>
        <w:tab/>
      </w:r>
      <w:r w:rsidRPr="007607AD">
        <w:t xml:space="preserve">ponovno izraža zaskrbljenost zaradi trenutnega stanja zaposlovanja v Skupnem podjetju za evropsko </w:t>
      </w:r>
      <w:proofErr w:type="spellStart"/>
      <w:r w:rsidRPr="007607AD">
        <w:t>visokozmogljivostno</w:t>
      </w:r>
      <w:proofErr w:type="spellEnd"/>
      <w:r w:rsidRPr="007607AD">
        <w:t xml:space="preserve"> računalništvo, ki je do konca proračunskega leta 2023 prejelo 39 dodatnih delovnih mest, da bi izvršilo znatna sredstva, dodeljena v sedanjem večletnem finančnem okviru, vendar je bilo konec leta 2024 14 od teh 39 delovnih mest še vedno nezapolnjenih; poziva Skupno podjetje za evropsko </w:t>
      </w:r>
      <w:proofErr w:type="spellStart"/>
      <w:r w:rsidRPr="007607AD">
        <w:t>visokozmogljivostno</w:t>
      </w:r>
      <w:proofErr w:type="spellEnd"/>
      <w:r w:rsidRPr="007607AD">
        <w:t xml:space="preserve"> računalništvo, naj sprejme ukrepe za čimprejšnjo uresničitev svojega cilja glede zaposlovanja, saj lahko neprekinjeno delovanje z nezadostnim številom uslužbencev prepreči izvajanje njegovih dejavnosti in doseganje njegovih ciljev;</w:t>
      </w:r>
    </w:p>
    <w:p w14:paraId="7D394CE4" w14:textId="77777777" w:rsidR="00621D46" w:rsidRPr="007607AD" w:rsidRDefault="00621D46" w:rsidP="00621D46">
      <w:pPr>
        <w:spacing w:after="240"/>
        <w:ind w:left="567" w:hanging="567"/>
      </w:pPr>
      <w:r w:rsidRPr="007607AD">
        <w:t>53.</w:t>
      </w:r>
      <w:r w:rsidRPr="007607AD">
        <w:tab/>
        <w:t xml:space="preserve">poudarja pomen zagotavljanja digitalne suverenosti v raziskavah, ki jih financira Unija; v zvezi s tem poudarja ključno vlogo Skupnega podjetja za evropsko </w:t>
      </w:r>
      <w:proofErr w:type="spellStart"/>
      <w:r w:rsidRPr="007607AD">
        <w:t>visokozmogljivostno</w:t>
      </w:r>
      <w:proofErr w:type="spellEnd"/>
      <w:r w:rsidRPr="007607AD">
        <w:t xml:space="preserve"> računalništvo, Evropskega industrijskega, tehnološkega in raziskovalnega kompetenčnega centra za kibernetsko varnost, Skupnega podjetja za čipe in Skupnega podjetja za pametna omrežja in storitve, ki bi morala dati prednost projektom, s katerimi se krepi avtonomija Unije na področjih polprevodnikov, umetne inteligence in kibernetske varnosti; poziva Komisijo, naj zagotovi, da projekti, ki jih podpirajo skupna podjetja: i) glede ključnih tehnologij niso preveč odvisni od dobaviteljev iz tretjih držav; ii) učinkovito krepijo industrijsko odpornost in strateško avtonomijo Unije; in iii) dejavno podpirajo razvoj domačih raziskovalnih in inovacijskih zmogljivosti v strateških digitalnih sektorjih;</w:t>
      </w:r>
    </w:p>
    <w:p w14:paraId="1A47CFF3" w14:textId="77777777" w:rsidR="00621D46" w:rsidRPr="007607AD" w:rsidRDefault="00621D46" w:rsidP="00621D46">
      <w:pPr>
        <w:spacing w:after="240"/>
        <w:ind w:left="567" w:hanging="567"/>
      </w:pPr>
      <w:r w:rsidRPr="007607AD">
        <w:t>54.</w:t>
      </w:r>
      <w:r w:rsidRPr="007607AD">
        <w:tab/>
        <w:t xml:space="preserve">ponovno izraža zaskrbljenost, da se je v letu 2024 stopnja izvrševanja proračuna za plačila nepovratnih sredstev v okviru programa Obzorje 2020 za Skupno podjetje za evropsko </w:t>
      </w:r>
      <w:proofErr w:type="spellStart"/>
      <w:r w:rsidRPr="007607AD">
        <w:t>visokozmogljivostno</w:t>
      </w:r>
      <w:proofErr w:type="spellEnd"/>
      <w:r w:rsidRPr="007607AD">
        <w:t xml:space="preserve"> računalništvo nadalje znižala na 27 % v primerjavi s 36 % v letu 2023; ugotavlja, da so stopnje izvrševanja za odobritve za prevzem obveznosti in odobritve plačil za naložbene dejavnosti v okviru programa Digitalna Evropa v letu 2024 ostale zelo nizke, in sicer 22 % oziroma 19 % v primerjavi z 89 % oziroma 18 % v letu 2023; je seznanjen s pojasnilom Skupnega podjetja za evropsko </w:t>
      </w:r>
      <w:proofErr w:type="spellStart"/>
      <w:r w:rsidRPr="007607AD">
        <w:t>visokozmogljivostno</w:t>
      </w:r>
      <w:proofErr w:type="spellEnd"/>
      <w:r w:rsidRPr="007607AD">
        <w:t xml:space="preserve"> računalništvo, vendar ga poziva, naj zagotovi ustrezno izvrševanje vseh delov svojega operativnega proračuna;</w:t>
      </w:r>
    </w:p>
    <w:p w14:paraId="50016056" w14:textId="77777777" w:rsidR="00621D46" w:rsidRPr="007607AD" w:rsidRDefault="00621D46" w:rsidP="00621D46">
      <w:pPr>
        <w:spacing w:after="240"/>
        <w:ind w:left="567" w:hanging="567"/>
      </w:pPr>
      <w:r w:rsidRPr="007607AD">
        <w:t>55.</w:t>
      </w:r>
      <w:r w:rsidRPr="007607AD">
        <w:tab/>
        <w:t xml:space="preserve">ugotavlja, da so v skladu s poročilom Računskega sodišča prispevki zasebnih članov Skupnega podjetja za evropsko </w:t>
      </w:r>
      <w:proofErr w:type="spellStart"/>
      <w:r w:rsidRPr="007607AD">
        <w:t>visokozmogljivostno</w:t>
      </w:r>
      <w:proofErr w:type="spellEnd"/>
      <w:r w:rsidRPr="007607AD">
        <w:t xml:space="preserve"> računalništvo za program Obzorje 2020 še vedno nizki; njihovi prispevki v naravi za operativne dejavnosti so dosegli le 20 milijonov EUR, kar je precej manj od najmanj 420 milijonov EUR, določenih v uredbi o ustanovitvi tega skupnega podjetja; opozarja, da je treba spremeniti finančne ureditve skupnega podjetja, ki omejujejo njegovo sposobnost zagotavljanja učinkovitega sodelovanja z zasebnim sektorjem in mu onemogočajo ustrezno količinsko opredelitev prispevkov zasebnega sektorja k ciljem skupnega podjetja;</w:t>
      </w:r>
    </w:p>
    <w:p w14:paraId="5FD9B2E2" w14:textId="77777777" w:rsidR="00621D46" w:rsidRPr="007607AD" w:rsidRDefault="00621D46" w:rsidP="002D318D">
      <w:pPr>
        <w:spacing w:after="240"/>
        <w:rPr>
          <w:b/>
          <w:i/>
        </w:rPr>
      </w:pPr>
      <w:r w:rsidRPr="007607AD">
        <w:rPr>
          <w:b/>
          <w:i/>
        </w:rPr>
        <w:t>Pripombe o nadaljnjem ukrepanju skupnih podjetij na podlagi razrešnice za preteklo obdobje</w:t>
      </w:r>
    </w:p>
    <w:p w14:paraId="3DB07AAB" w14:textId="77777777" w:rsidR="00621D46" w:rsidRPr="007607AD" w:rsidRDefault="00621D46" w:rsidP="00621D46">
      <w:pPr>
        <w:spacing w:after="240"/>
        <w:ind w:left="567" w:hanging="567"/>
      </w:pPr>
      <w:r w:rsidRPr="007607AD">
        <w:t>56.</w:t>
      </w:r>
      <w:r w:rsidRPr="007607AD">
        <w:tab/>
        <w:t>pozdravlja dejstvo, da so skupna podjetja pripravila poročilo o nadaljnjih ukrepih po resolucijah Parlamenta s pripombami, ki so del sklepov o razrešnici glede izvrševanja proračuna skupnih podjetij za proračunsko leto 2023; ugotavlja, da so v teh poročilih v zadovoljivi meri izražena stališča skupnih podjetij o vprašanjih, ki jih je izpostavil Parlament;</w:t>
      </w:r>
    </w:p>
    <w:p w14:paraId="365EC18C" w14:textId="77777777" w:rsidR="00621D46" w:rsidRPr="007607AD" w:rsidRDefault="00621D46" w:rsidP="00621D46">
      <w:pPr>
        <w:spacing w:after="240"/>
        <w:ind w:left="567" w:hanging="567"/>
      </w:pPr>
      <w:r w:rsidRPr="007607AD">
        <w:lastRenderedPageBreak/>
        <w:t>57.</w:t>
      </w:r>
      <w:r w:rsidRPr="007607AD">
        <w:tab/>
        <w:t>pozdravlja dejstvo, da poročilo Računskega sodišča vključuje tudi analizo nadaljnjega ukrepanja skupnih podjetij na podlagi prejšnjih opažanj in priporočil za ukrepe, ki jih je objavilo Računsko sodišče; v zvezi s tem ugotavlja, da je bilo do konca leta 2024 obravnavana manj kot polovica pripomb iz prejšnjih let: 18 od 44 pripomb je bilo rešenih, 26 pa jih je ostalo nerešenih; glede priporočil Računskega sodišča iz obdobja 2021–2023 je bila večina priporočil vsaj delno izvedena; poleg tega sta bili od štirih priporočil s ciljnim datumom leta 2024 dve v celoti izvedeni v vseh skupnih podjetjih, eno je bilo v celoti izvedeno v nekaterih in delno v drugih, eno pa je bilo delno izvedeno; od preostalih osmih priporočil s poznejšimi ciljnimi datumi je bilo eno v celoti izvedeno, šest delno, eno pa še ni bilo izvedeno, ker je odvisno od Komisije; poziva vsa skupna podjetja, naj nadaljujejo izvajanje priporočil Računskega sodišča ter o napredku poročajo Računskemu sodišču in Parlamentu;</w:t>
      </w:r>
    </w:p>
    <w:p w14:paraId="6C33E003" w14:textId="77777777" w:rsidR="00621D46" w:rsidRPr="007607AD" w:rsidRDefault="00621D46" w:rsidP="00621D46">
      <w:pPr>
        <w:spacing w:after="240"/>
        <w:ind w:left="567" w:hanging="567"/>
        <w:rPr>
          <w:b/>
          <w:i/>
        </w:rPr>
      </w:pPr>
      <w:r w:rsidRPr="007607AD">
        <w:rPr>
          <w:b/>
          <w:i/>
        </w:rPr>
        <w:t>Poziv k nadaljnjim ukrepom</w:t>
      </w:r>
    </w:p>
    <w:p w14:paraId="1D25D039" w14:textId="77777777" w:rsidR="00621D46" w:rsidRPr="007607AD" w:rsidRDefault="00621D46" w:rsidP="00621D46">
      <w:pPr>
        <w:spacing w:after="240"/>
        <w:ind w:left="567" w:hanging="567"/>
      </w:pPr>
      <w:r w:rsidRPr="007607AD">
        <w:t>58.</w:t>
      </w:r>
      <w:r w:rsidRPr="007607AD">
        <w:tab/>
        <w:t>poziva vsa skupna podjetja, ki so v postopku podelitve razrešnice za proračunsko leto 2024, naj pripravijo individualna poročila o spremljanju o ukrepih, sprejetih v odgovor na specifična vprašanja iz te resolucije, in ta poročila s podpisi svojih (izvršnih) direktorjev Parlamentu predložijo najpozneje do 30. septembra 2026;</w:t>
      </w:r>
    </w:p>
    <w:p w14:paraId="1ADD8433" w14:textId="13741320" w:rsidR="00E365E1" w:rsidRPr="00783D9F" w:rsidRDefault="00621D46" w:rsidP="00B570F7">
      <w:pPr>
        <w:spacing w:after="240"/>
        <w:ind w:left="567" w:hanging="567"/>
      </w:pPr>
      <w:r w:rsidRPr="007607AD">
        <w:t>59.</w:t>
      </w:r>
      <w:r w:rsidRPr="007607AD">
        <w:tab/>
        <w:t>poudarja, da poročila o spremljanju lahko odražajo splošna mnenja skupnih podjetij glede te resolucije in drugih zadev, ki so pomembne za organ za podelitev razrešnice; poziva skupna podjetja, naj ta poročila pripravijo temeljito in zajamejo vsa vprašanja Parlamenta v zvezi z njihovimi dejavnostmi ter naj to storijo na sodelovalen in zaupanja vreden način.</w:t>
      </w:r>
    </w:p>
    <w:sectPr w:rsidR="00E365E1" w:rsidRPr="00783D9F" w:rsidSect="00783D9F">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17867" w14:textId="77777777" w:rsidR="0074496B" w:rsidRPr="00783D9F" w:rsidRDefault="0074496B">
      <w:r w:rsidRPr="00783D9F">
        <w:separator/>
      </w:r>
    </w:p>
  </w:endnote>
  <w:endnote w:type="continuationSeparator" w:id="0">
    <w:p w14:paraId="1D783CCB" w14:textId="77777777" w:rsidR="0074496B" w:rsidRPr="00783D9F" w:rsidRDefault="0074496B">
      <w:r w:rsidRPr="00783D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39A98" w14:textId="77777777" w:rsidR="00621D46" w:rsidRPr="00783D9F" w:rsidRDefault="00621D46" w:rsidP="00713B7D">
    <w:pPr>
      <w:pStyle w:val="EPFooter"/>
    </w:pPr>
    <w:r w:rsidRPr="00783D9F">
      <w:t>PE</w:t>
    </w:r>
    <w:r w:rsidRPr="00783D9F">
      <w:rPr>
        <w:rStyle w:val="HideTWBExt"/>
      </w:rPr>
      <w:t>&lt;</w:t>
    </w:r>
    <w:proofErr w:type="spellStart"/>
    <w:r w:rsidRPr="00783D9F">
      <w:rPr>
        <w:rStyle w:val="HideTWBExt"/>
      </w:rPr>
      <w:t>NoPE</w:t>
    </w:r>
    <w:proofErr w:type="spellEnd"/>
    <w:r w:rsidRPr="00783D9F">
      <w:rPr>
        <w:rStyle w:val="HideTWBExt"/>
      </w:rPr>
      <w:t>&gt;</w:t>
    </w:r>
    <w:r w:rsidRPr="00783D9F">
      <w:t>778.122</w:t>
    </w:r>
    <w:r w:rsidRPr="00783D9F">
      <w:rPr>
        <w:rStyle w:val="HideTWBExt"/>
      </w:rPr>
      <w:t>&lt;/</w:t>
    </w:r>
    <w:proofErr w:type="spellStart"/>
    <w:r w:rsidRPr="00783D9F">
      <w:rPr>
        <w:rStyle w:val="HideTWBExt"/>
      </w:rPr>
      <w:t>NoPE</w:t>
    </w:r>
    <w:proofErr w:type="spellEnd"/>
    <w:r w:rsidRPr="00783D9F">
      <w:rPr>
        <w:rStyle w:val="HideTWBExt"/>
      </w:rPr>
      <w:t>&gt;&lt;Version&gt;</w:t>
    </w:r>
    <w:r w:rsidRPr="00783D9F">
      <w:t>v03-00</w:t>
    </w:r>
    <w:r w:rsidRPr="00783D9F">
      <w:rPr>
        <w:rStyle w:val="HideTWBExt"/>
      </w:rPr>
      <w:t>&lt;/</w:t>
    </w:r>
    <w:proofErr w:type="spellStart"/>
    <w:r w:rsidRPr="00783D9F">
      <w:rPr>
        <w:rStyle w:val="HideTWBExt"/>
      </w:rPr>
      <w:t>Version</w:t>
    </w:r>
    <w:proofErr w:type="spellEnd"/>
    <w:r w:rsidRPr="00783D9F">
      <w:rPr>
        <w:rStyle w:val="HideTWBExt"/>
      </w:rPr>
      <w:t>&gt;</w:t>
    </w:r>
    <w:r w:rsidRPr="00783D9F">
      <w:tab/>
    </w:r>
    <w:r w:rsidRPr="00783D9F">
      <w:fldChar w:fldCharType="begin"/>
    </w:r>
    <w:r w:rsidRPr="00783D9F">
      <w:instrText xml:space="preserve"> PAGE  \* MERGEFORMAT </w:instrText>
    </w:r>
    <w:r w:rsidRPr="00783D9F">
      <w:fldChar w:fldCharType="separate"/>
    </w:r>
    <w:r w:rsidRPr="00783D9F">
      <w:rPr>
        <w:noProof/>
      </w:rPr>
      <w:t>2</w:t>
    </w:r>
    <w:r w:rsidRPr="00783D9F">
      <w:fldChar w:fldCharType="end"/>
    </w:r>
    <w:r w:rsidRPr="00783D9F">
      <w:t>/</w:t>
    </w:r>
    <w:fldSimple w:instr=" NUMPAGES  \* MERGEFORMAT ">
      <w:r w:rsidRPr="00783D9F">
        <w:rPr>
          <w:noProof/>
        </w:rPr>
        <w:t>96</w:t>
      </w:r>
    </w:fldSimple>
    <w:r w:rsidRPr="00783D9F">
      <w:tab/>
    </w:r>
    <w:r w:rsidRPr="00783D9F">
      <w:rPr>
        <w:rStyle w:val="HideTWBExt"/>
      </w:rPr>
      <w:t>&lt;PathFdR&gt;</w:t>
    </w:r>
    <w:r w:rsidRPr="00783D9F">
      <w:t>RR\1340034SL.docx</w:t>
    </w:r>
    <w:r w:rsidRPr="00783D9F">
      <w:rPr>
        <w:rStyle w:val="HideTWBExt"/>
      </w:rPr>
      <w:t>&lt;/</w:t>
    </w:r>
    <w:proofErr w:type="spellStart"/>
    <w:r w:rsidRPr="00783D9F">
      <w:rPr>
        <w:rStyle w:val="HideTWBExt"/>
      </w:rPr>
      <w:t>PathFdR</w:t>
    </w:r>
    <w:proofErr w:type="spellEnd"/>
    <w:r w:rsidRPr="00783D9F">
      <w:rPr>
        <w:rStyle w:val="HideTWBExt"/>
      </w:rPr>
      <w:t>&gt;</w:t>
    </w:r>
  </w:p>
  <w:p w14:paraId="22CE6D25" w14:textId="77777777" w:rsidR="00621D46" w:rsidRPr="00783D9F" w:rsidRDefault="00621D46" w:rsidP="00713B7D">
    <w:pPr>
      <w:pStyle w:val="EPFooter2"/>
    </w:pPr>
    <w:r w:rsidRPr="00783D9F">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813A0" w14:textId="77777777" w:rsidR="00621D46" w:rsidRPr="00783D9F" w:rsidRDefault="00621D46" w:rsidP="00713B7D">
    <w:pPr>
      <w:pStyle w:val="EPFooter"/>
    </w:pPr>
    <w:r w:rsidRPr="00783D9F">
      <w:rPr>
        <w:rStyle w:val="HideTWBExt"/>
      </w:rPr>
      <w:t>&lt;PathFdR&gt;</w:t>
    </w:r>
    <w:r w:rsidRPr="00783D9F">
      <w:t>RR\1340034SL.docx</w:t>
    </w:r>
    <w:r w:rsidRPr="00783D9F">
      <w:rPr>
        <w:rStyle w:val="HideTWBExt"/>
      </w:rPr>
      <w:t>&lt;/</w:t>
    </w:r>
    <w:proofErr w:type="spellStart"/>
    <w:r w:rsidRPr="00783D9F">
      <w:rPr>
        <w:rStyle w:val="HideTWBExt"/>
      </w:rPr>
      <w:t>PathFdR</w:t>
    </w:r>
    <w:proofErr w:type="spellEnd"/>
    <w:r w:rsidRPr="00783D9F">
      <w:rPr>
        <w:rStyle w:val="HideTWBExt"/>
      </w:rPr>
      <w:t>&gt;</w:t>
    </w:r>
    <w:r w:rsidRPr="00783D9F">
      <w:tab/>
    </w:r>
    <w:r w:rsidRPr="00783D9F">
      <w:tab/>
      <w:t>PE</w:t>
    </w:r>
    <w:r w:rsidRPr="00783D9F">
      <w:rPr>
        <w:rStyle w:val="HideTWBExt"/>
      </w:rPr>
      <w:t>&lt;</w:t>
    </w:r>
    <w:proofErr w:type="spellStart"/>
    <w:r w:rsidRPr="00783D9F">
      <w:rPr>
        <w:rStyle w:val="HideTWBExt"/>
      </w:rPr>
      <w:t>NoPE</w:t>
    </w:r>
    <w:proofErr w:type="spellEnd"/>
    <w:r w:rsidRPr="00783D9F">
      <w:rPr>
        <w:rStyle w:val="HideTWBExt"/>
      </w:rPr>
      <w:t>&gt;</w:t>
    </w:r>
    <w:r w:rsidRPr="00783D9F">
      <w:t>778.122</w:t>
    </w:r>
    <w:r w:rsidRPr="00783D9F">
      <w:rPr>
        <w:rStyle w:val="HideTWBExt"/>
      </w:rPr>
      <w:t>&lt;/</w:t>
    </w:r>
    <w:proofErr w:type="spellStart"/>
    <w:r w:rsidRPr="00783D9F">
      <w:rPr>
        <w:rStyle w:val="HideTWBExt"/>
      </w:rPr>
      <w:t>NoPE</w:t>
    </w:r>
    <w:proofErr w:type="spellEnd"/>
    <w:r w:rsidRPr="00783D9F">
      <w:rPr>
        <w:rStyle w:val="HideTWBExt"/>
      </w:rPr>
      <w:t>&gt;&lt;Version&gt;</w:t>
    </w:r>
    <w:r w:rsidRPr="00783D9F">
      <w:t>v03-00</w:t>
    </w:r>
    <w:r w:rsidRPr="00783D9F">
      <w:rPr>
        <w:rStyle w:val="HideTWBExt"/>
      </w:rPr>
      <w:t>&lt;/</w:t>
    </w:r>
    <w:proofErr w:type="spellStart"/>
    <w:r w:rsidRPr="00783D9F">
      <w:rPr>
        <w:rStyle w:val="HideTWBExt"/>
      </w:rPr>
      <w:t>Version</w:t>
    </w:r>
    <w:proofErr w:type="spellEnd"/>
    <w:r w:rsidRPr="00783D9F">
      <w:rPr>
        <w:rStyle w:val="HideTWBExt"/>
      </w:rPr>
      <w:t>&gt;</w:t>
    </w:r>
  </w:p>
  <w:p w14:paraId="67A5931A" w14:textId="77777777" w:rsidR="00621D46" w:rsidRPr="00783D9F" w:rsidRDefault="00621D46" w:rsidP="00713B7D">
    <w:pPr>
      <w:pStyle w:val="EPFooter2"/>
    </w:pPr>
    <w:r w:rsidRPr="00783D9F">
      <w:t>SL</w:t>
    </w:r>
    <w:r w:rsidRPr="00783D9F">
      <w:tab/>
    </w:r>
    <w:r w:rsidRPr="00783D9F">
      <w:rPr>
        <w:b w:val="0"/>
        <w:i/>
        <w:color w:val="C0C0C0"/>
        <w:sz w:val="22"/>
      </w:rPr>
      <w:t>Združena v raznolikosti</w:t>
    </w:r>
    <w:r w:rsidRPr="00783D9F">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A5FA"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29792E8E"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6572"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221EA833"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3552"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6D255A5C"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C156"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6764EED6"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0DC13"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7267AE2D"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AB89"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6C3A4F14"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49B4"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7457687C"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248D"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2123E8A0"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8FE88"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35E94EE5"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93D0"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23507193"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3F34" w14:textId="77777777" w:rsidR="00621D46" w:rsidRPr="00783D9F" w:rsidRDefault="00621D46" w:rsidP="008B1FBE">
    <w:pPr>
      <w:pStyle w:val="EPFooter"/>
    </w:pPr>
    <w:r w:rsidRPr="00783D9F">
      <w:rPr>
        <w:rStyle w:val="HideTWBExt"/>
        <w:rFonts w:eastAsiaTheme="majorEastAsia"/>
      </w:rPr>
      <w:t>&lt;PathFdR&gt;</w:t>
    </w:r>
    <w:r w:rsidRPr="00783D9F">
      <w:t>PR\1328776EN.docx</w:t>
    </w:r>
    <w:r w:rsidRPr="00783D9F">
      <w:rPr>
        <w:rStyle w:val="HideTWBExt"/>
        <w:rFonts w:eastAsiaTheme="majorEastAsia"/>
      </w:rPr>
      <w:t>&lt;/</w:t>
    </w:r>
    <w:proofErr w:type="spellStart"/>
    <w:r w:rsidRPr="00783D9F">
      <w:rPr>
        <w:rStyle w:val="HideTWBExt"/>
        <w:rFonts w:eastAsiaTheme="majorEastAsia"/>
      </w:rPr>
      <w:t>PathFdR</w:t>
    </w:r>
    <w:proofErr w:type="spellEnd"/>
    <w:r w:rsidRPr="00783D9F">
      <w:rPr>
        <w:rStyle w:val="HideTWBExt"/>
        <w:rFonts w:eastAsiaTheme="majorEastAsia"/>
      </w:rPr>
      <w:t>&gt;</w:t>
    </w:r>
    <w:r w:rsidRPr="00783D9F">
      <w:tab/>
    </w:r>
    <w:r w:rsidRPr="00783D9F">
      <w:tab/>
      <w:t>PE</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w:t>
    </w:r>
    <w:r w:rsidRPr="00783D9F">
      <w:t>778.122</w:t>
    </w:r>
    <w:r w:rsidRPr="00783D9F">
      <w:rPr>
        <w:rStyle w:val="HideTWBExt"/>
        <w:rFonts w:eastAsiaTheme="majorEastAsia"/>
      </w:rPr>
      <w:t>&lt;/</w:t>
    </w:r>
    <w:proofErr w:type="spellStart"/>
    <w:r w:rsidRPr="00783D9F">
      <w:rPr>
        <w:rStyle w:val="HideTWBExt"/>
        <w:rFonts w:eastAsiaTheme="majorEastAsia"/>
      </w:rPr>
      <w:t>NoPE</w:t>
    </w:r>
    <w:proofErr w:type="spellEnd"/>
    <w:r w:rsidRPr="00783D9F">
      <w:rPr>
        <w:rStyle w:val="HideTWBExt"/>
        <w:rFonts w:eastAsiaTheme="majorEastAsia"/>
      </w:rPr>
      <w:t>&gt;&lt;Version&gt;</w:t>
    </w:r>
    <w:r w:rsidRPr="00783D9F">
      <w:t>v01-00</w:t>
    </w:r>
    <w:r w:rsidRPr="00783D9F">
      <w:rPr>
        <w:rStyle w:val="HideTWBExt"/>
        <w:rFonts w:eastAsiaTheme="majorEastAsia"/>
      </w:rPr>
      <w:t>&lt;/</w:t>
    </w:r>
    <w:proofErr w:type="spellStart"/>
    <w:r w:rsidRPr="00783D9F">
      <w:rPr>
        <w:rStyle w:val="HideTWBExt"/>
        <w:rFonts w:eastAsiaTheme="majorEastAsia"/>
      </w:rPr>
      <w:t>Version</w:t>
    </w:r>
    <w:proofErr w:type="spellEnd"/>
    <w:r w:rsidRPr="00783D9F">
      <w:rPr>
        <w:rStyle w:val="HideTWBExt"/>
        <w:rFonts w:eastAsiaTheme="majorEastAsia"/>
      </w:rPr>
      <w:t>&gt;</w:t>
    </w:r>
  </w:p>
  <w:p w14:paraId="6BE66F9A" w14:textId="77777777" w:rsidR="00621D46" w:rsidRPr="00783D9F" w:rsidRDefault="00621D46" w:rsidP="00390068">
    <w:pPr>
      <w:pStyle w:val="EPFooter2"/>
      <w:tabs>
        <w:tab w:val="clear" w:pos="4535"/>
        <w:tab w:val="center" w:pos="4536"/>
      </w:tabs>
    </w:pPr>
    <w:r w:rsidRPr="00783D9F">
      <w:fldChar w:fldCharType="begin"/>
    </w:r>
    <w:r w:rsidRPr="00783D9F">
      <w:instrText xml:space="preserve"> DOCPROPERTY "&lt;Extension&gt;" </w:instrText>
    </w:r>
    <w:r w:rsidRPr="00783D9F">
      <w:fldChar w:fldCharType="separate"/>
    </w:r>
    <w:r w:rsidRPr="00783D9F">
      <w:t>SL</w:t>
    </w:r>
    <w:r w:rsidRPr="00783D9F">
      <w:fldChar w:fldCharType="end"/>
    </w:r>
    <w:r w:rsidRPr="00783D9F">
      <w:tab/>
    </w:r>
    <w:proofErr w:type="spellStart"/>
    <w:r w:rsidRPr="00783D9F">
      <w:rPr>
        <w:b w:val="0"/>
        <w:i/>
        <w:color w:val="C0C0C0"/>
        <w:sz w:val="22"/>
        <w:szCs w:val="22"/>
      </w:rPr>
      <w:t>United</w:t>
    </w:r>
    <w:proofErr w:type="spellEnd"/>
    <w:r w:rsidRPr="00783D9F">
      <w:rPr>
        <w:b w:val="0"/>
        <w:i/>
        <w:color w:val="C0C0C0"/>
        <w:sz w:val="22"/>
        <w:szCs w:val="22"/>
      </w:rPr>
      <w:t xml:space="preserve"> in </w:t>
    </w:r>
    <w:proofErr w:type="spellStart"/>
    <w:r w:rsidRPr="00783D9F">
      <w:rPr>
        <w:b w:val="0"/>
        <w:i/>
        <w:color w:val="C0C0C0"/>
        <w:sz w:val="22"/>
        <w:szCs w:val="22"/>
      </w:rPr>
      <w:t>diversity</w:t>
    </w:r>
    <w:proofErr w:type="spellEnd"/>
    <w:r w:rsidRPr="00783D9F">
      <w:tab/>
    </w:r>
    <w:r w:rsidRPr="00783D9F">
      <w:fldChar w:fldCharType="begin"/>
    </w:r>
    <w:r w:rsidRPr="00783D9F">
      <w:instrText xml:space="preserve"> DOCPROPERTY "&lt;Extension&gt;" </w:instrText>
    </w:r>
    <w:r w:rsidRPr="00783D9F">
      <w:fldChar w:fldCharType="separate"/>
    </w:r>
    <w:r w:rsidRPr="00783D9F">
      <w:t>SL</w:t>
    </w:r>
    <w:r w:rsidRPr="00783D9F">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2DD3" w14:textId="77777777" w:rsidR="00064002" w:rsidRPr="00783D9F"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5E1E" w14:textId="77777777" w:rsidR="00064002" w:rsidRPr="00783D9F"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822F9" w14:textId="77777777" w:rsidR="00064002" w:rsidRPr="00783D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63A98" w14:textId="77777777" w:rsidR="0074496B" w:rsidRPr="00783D9F" w:rsidRDefault="0074496B">
      <w:r w:rsidRPr="00783D9F">
        <w:separator/>
      </w:r>
    </w:p>
  </w:footnote>
  <w:footnote w:type="continuationSeparator" w:id="0">
    <w:p w14:paraId="16B0D074" w14:textId="77777777" w:rsidR="0074496B" w:rsidRPr="00783D9F" w:rsidRDefault="0074496B">
      <w:r w:rsidRPr="00783D9F">
        <w:continuationSeparator/>
      </w:r>
    </w:p>
  </w:footnote>
  <w:footnote w:id="1">
    <w:p w14:paraId="18399BFD" w14:textId="69A6C91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C/2025/5736, 31.10.2025, ELI: </w:t>
      </w:r>
      <w:hyperlink r:id="rId1" w:tgtFrame="_blank" w:tooltip="Povezava ELI na ta dokument." w:history="1">
        <w:r w:rsidRPr="007F2A9F">
          <w:rPr>
            <w:rStyle w:val="Hyperlink"/>
            <w:sz w:val="24"/>
            <w:szCs w:val="24"/>
            <w:lang w:val="sl-SI"/>
          </w:rPr>
          <w:t>http://data.europa.eu/eli/C/2025/5736/oj</w:t>
        </w:r>
      </w:hyperlink>
      <w:r w:rsidRPr="007F2A9F">
        <w:rPr>
          <w:sz w:val="24"/>
          <w:szCs w:val="24"/>
          <w:lang w:val="sl-SI"/>
        </w:rPr>
        <w:t>.</w:t>
      </w:r>
    </w:p>
  </w:footnote>
  <w:footnote w:id="2">
    <w:p w14:paraId="7521EF88" w14:textId="5C5648A3"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C/2025/5407, 13.10.2025, ELI: </w:t>
      </w:r>
      <w:hyperlink r:id="rId2" w:tgtFrame="_blank" w:tooltip="Povezava ELI na ta dokument." w:history="1">
        <w:r w:rsidRPr="007F2A9F">
          <w:rPr>
            <w:rStyle w:val="Hyperlink"/>
            <w:sz w:val="24"/>
            <w:szCs w:val="24"/>
            <w:lang w:val="sl-SI"/>
          </w:rPr>
          <w:t>http://data.europa.eu/eli/C/2025/5407/oj</w:t>
        </w:r>
      </w:hyperlink>
      <w:r w:rsidRPr="007F2A9F">
        <w:rPr>
          <w:sz w:val="24"/>
          <w:szCs w:val="24"/>
          <w:lang w:val="sl-SI"/>
        </w:rPr>
        <w:t>.</w:t>
      </w:r>
    </w:p>
  </w:footnote>
  <w:footnote w:id="3">
    <w:p w14:paraId="31EF1E35" w14:textId="531AA768"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3" w:history="1">
        <w:r w:rsidRPr="007F2A9F">
          <w:rPr>
            <w:rStyle w:val="Hyperlink"/>
            <w:sz w:val="24"/>
            <w:szCs w:val="24"/>
            <w:lang w:val="sl-SI"/>
          </w:rPr>
          <w:t>http://data.europa.eu/eli/reg/2018/1046/oj</w:t>
        </w:r>
      </w:hyperlink>
      <w:r w:rsidRPr="007F2A9F">
        <w:rPr>
          <w:sz w:val="24"/>
          <w:szCs w:val="24"/>
          <w:lang w:val="sl-SI"/>
        </w:rPr>
        <w:t>.</w:t>
      </w:r>
    </w:p>
  </w:footnote>
  <w:footnote w:id="4">
    <w:p w14:paraId="3D669D03" w14:textId="3800703A"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4" w:history="1">
        <w:r w:rsidRPr="007F2A9F">
          <w:rPr>
            <w:rStyle w:val="Hyperlink"/>
            <w:sz w:val="24"/>
            <w:szCs w:val="24"/>
            <w:lang w:val="sl-SI"/>
          </w:rPr>
          <w:t>http://data.europa.eu/eli/reg/2024/2509/oj</w:t>
        </w:r>
      </w:hyperlink>
      <w:r w:rsidRPr="007F2A9F">
        <w:rPr>
          <w:sz w:val="24"/>
          <w:szCs w:val="24"/>
          <w:lang w:val="sl-SI"/>
        </w:rPr>
        <w:t>.</w:t>
      </w:r>
    </w:p>
  </w:footnote>
  <w:footnote w:id="5">
    <w:p w14:paraId="24A25A0D" w14:textId="2AA05D4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5" w:history="1">
        <w:r w:rsidRPr="007F2A9F">
          <w:rPr>
            <w:rStyle w:val="Hyperlink"/>
            <w:sz w:val="24"/>
            <w:szCs w:val="24"/>
            <w:lang w:val="sl-SI"/>
          </w:rPr>
          <w:t>http://data.europa.eu/eli/reg/2021/2085/oj</w:t>
        </w:r>
      </w:hyperlink>
      <w:r w:rsidRPr="007F2A9F">
        <w:rPr>
          <w:sz w:val="24"/>
          <w:szCs w:val="24"/>
          <w:lang w:val="sl-SI"/>
        </w:rPr>
        <w:t>.</w:t>
      </w:r>
    </w:p>
  </w:footnote>
  <w:footnote w:id="6">
    <w:p w14:paraId="03657606" w14:textId="5E718A6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6" w:history="1">
        <w:r w:rsidRPr="007F2A9F">
          <w:rPr>
            <w:rStyle w:val="Hyperlink"/>
            <w:sz w:val="24"/>
            <w:szCs w:val="24"/>
            <w:lang w:val="sl-SI"/>
          </w:rPr>
          <w:t>http://data.europa.eu/eli/reg_del/2019/887/oj</w:t>
        </w:r>
      </w:hyperlink>
      <w:r w:rsidRPr="007F2A9F">
        <w:rPr>
          <w:sz w:val="24"/>
          <w:szCs w:val="24"/>
          <w:lang w:val="sl-SI"/>
        </w:rPr>
        <w:t>.</w:t>
      </w:r>
    </w:p>
  </w:footnote>
  <w:footnote w:id="7">
    <w:p w14:paraId="666D7ABA" w14:textId="1A2EDFDC"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UL C, C/2025/5736, 31.10.2025, ELI: </w:t>
      </w:r>
      <w:hyperlink r:id="rId7" w:tgtFrame="_blank" w:tooltip="Povezava ELI na ta dokument." w:history="1">
        <w:r w:rsidRPr="007F2A9F">
          <w:rPr>
            <w:rStyle w:val="Hyperlink"/>
            <w:sz w:val="24"/>
            <w:szCs w:val="24"/>
            <w:lang w:val="sl-SI"/>
          </w:rPr>
          <w:t>http://data.europa.eu/eli/C/2025/5736/oj</w:t>
        </w:r>
      </w:hyperlink>
      <w:r w:rsidRPr="007F2A9F">
        <w:rPr>
          <w:sz w:val="24"/>
          <w:szCs w:val="24"/>
          <w:lang w:val="sl-SI"/>
        </w:rPr>
        <w:t>.</w:t>
      </w:r>
    </w:p>
  </w:footnote>
  <w:footnote w:id="8">
    <w:p w14:paraId="110A1467" w14:textId="48C5EE27"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UL C, C/2025/5407, 13.10.2025, ELI: </w:t>
      </w:r>
      <w:hyperlink r:id="rId8" w:tgtFrame="_blank" w:tooltip="Povezava ELI na ta dokument." w:history="1">
        <w:r w:rsidRPr="007F2A9F">
          <w:rPr>
            <w:rStyle w:val="Hyperlink"/>
            <w:sz w:val="24"/>
            <w:szCs w:val="24"/>
            <w:lang w:val="sl-SI"/>
          </w:rPr>
          <w:t>http://data.europa.eu/eli/C/2025/5407/oj</w:t>
        </w:r>
      </w:hyperlink>
      <w:r w:rsidRPr="007F2A9F">
        <w:rPr>
          <w:sz w:val="24"/>
          <w:szCs w:val="24"/>
          <w:lang w:val="sl-SI"/>
        </w:rPr>
        <w:t>.</w:t>
      </w:r>
    </w:p>
  </w:footnote>
  <w:footnote w:id="9">
    <w:p w14:paraId="4ABD7D4C" w14:textId="194F456B"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9" w:history="1">
        <w:r w:rsidRPr="007F2A9F">
          <w:rPr>
            <w:rStyle w:val="Hyperlink"/>
            <w:sz w:val="24"/>
            <w:szCs w:val="24"/>
            <w:lang w:val="sl-SI"/>
          </w:rPr>
          <w:t>http://data.europa.eu/eli/reg/2018/1046/oj</w:t>
        </w:r>
      </w:hyperlink>
      <w:r w:rsidRPr="007F2A9F">
        <w:rPr>
          <w:sz w:val="24"/>
          <w:szCs w:val="24"/>
          <w:lang w:val="sl-SI"/>
        </w:rPr>
        <w:t>.</w:t>
      </w:r>
    </w:p>
  </w:footnote>
  <w:footnote w:id="10">
    <w:p w14:paraId="627CAA31" w14:textId="52D93800"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10" w:history="1">
        <w:r w:rsidRPr="007F2A9F">
          <w:rPr>
            <w:rStyle w:val="Hyperlink"/>
            <w:sz w:val="24"/>
            <w:szCs w:val="24"/>
            <w:lang w:val="sl-SI"/>
          </w:rPr>
          <w:t>http://data.europa.eu/eli/reg/2024/2509/oj</w:t>
        </w:r>
      </w:hyperlink>
      <w:r w:rsidRPr="007F2A9F">
        <w:rPr>
          <w:sz w:val="24"/>
          <w:szCs w:val="24"/>
          <w:lang w:val="sl-SI"/>
        </w:rPr>
        <w:t>.</w:t>
      </w:r>
    </w:p>
  </w:footnote>
  <w:footnote w:id="11">
    <w:p w14:paraId="639A14FB" w14:textId="7CC39CF7"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1" w:history="1">
        <w:r w:rsidRPr="007F2A9F">
          <w:rPr>
            <w:rStyle w:val="Hyperlink"/>
            <w:sz w:val="24"/>
            <w:szCs w:val="24"/>
            <w:lang w:val="sl-SI"/>
          </w:rPr>
          <w:t>http://data.europa.eu/eli/reg/2021/2085/oj</w:t>
        </w:r>
      </w:hyperlink>
      <w:r w:rsidRPr="007F2A9F">
        <w:rPr>
          <w:sz w:val="24"/>
          <w:szCs w:val="24"/>
          <w:lang w:val="sl-SI"/>
        </w:rPr>
        <w:t>.</w:t>
      </w:r>
    </w:p>
  </w:footnote>
  <w:footnote w:id="12">
    <w:p w14:paraId="2923D2B4" w14:textId="5C275C92"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12" w:history="1">
        <w:r w:rsidRPr="007F2A9F">
          <w:rPr>
            <w:rStyle w:val="Hyperlink"/>
            <w:sz w:val="24"/>
            <w:szCs w:val="24"/>
            <w:lang w:val="sl-SI"/>
          </w:rPr>
          <w:t>http://data.europa.eu/eli/reg_del/2019/887/oj</w:t>
        </w:r>
      </w:hyperlink>
      <w:r w:rsidRPr="007F2A9F">
        <w:rPr>
          <w:sz w:val="24"/>
          <w:szCs w:val="24"/>
          <w:lang w:val="sl-SI"/>
        </w:rPr>
        <w:t>.</w:t>
      </w:r>
    </w:p>
  </w:footnote>
  <w:footnote w:id="13">
    <w:p w14:paraId="5E56FDFC" w14:textId="0980FE98"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C/2025/5736, 31.10.2025, ELI: </w:t>
      </w:r>
      <w:hyperlink r:id="rId13" w:tgtFrame="_blank" w:tooltip="Povezava ELI na ta dokument." w:history="1">
        <w:r w:rsidRPr="007F2A9F">
          <w:rPr>
            <w:rStyle w:val="Hyperlink"/>
            <w:sz w:val="24"/>
            <w:szCs w:val="24"/>
            <w:lang w:val="sl-SI"/>
          </w:rPr>
          <w:t>http://data.europa.eu/eli/C/2025/5736/oj</w:t>
        </w:r>
      </w:hyperlink>
      <w:r w:rsidRPr="007F2A9F">
        <w:rPr>
          <w:sz w:val="24"/>
          <w:szCs w:val="24"/>
          <w:lang w:val="sl-SI"/>
        </w:rPr>
        <w:t>.</w:t>
      </w:r>
    </w:p>
  </w:footnote>
  <w:footnote w:id="14">
    <w:p w14:paraId="4A5A8809" w14:textId="48696B5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C/2025/5407, 13.10.2025, ELI: </w:t>
      </w:r>
      <w:hyperlink r:id="rId14" w:tgtFrame="_blank" w:tooltip="Povezava ELI na ta dokument." w:history="1">
        <w:r w:rsidRPr="007F2A9F">
          <w:rPr>
            <w:rStyle w:val="Hyperlink"/>
            <w:sz w:val="24"/>
            <w:szCs w:val="24"/>
            <w:lang w:val="sl-SI"/>
          </w:rPr>
          <w:t>http://data.europa.eu/eli/C/2025/5407/oj</w:t>
        </w:r>
      </w:hyperlink>
      <w:r w:rsidRPr="007F2A9F">
        <w:rPr>
          <w:sz w:val="24"/>
          <w:szCs w:val="24"/>
          <w:lang w:val="sl-SI"/>
        </w:rPr>
        <w:t>.</w:t>
      </w:r>
    </w:p>
  </w:footnote>
  <w:footnote w:id="15">
    <w:p w14:paraId="0E2192CB" w14:textId="3AC51CA0"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15" w:history="1">
        <w:r w:rsidRPr="007F2A9F">
          <w:rPr>
            <w:rStyle w:val="Hyperlink"/>
            <w:sz w:val="24"/>
            <w:szCs w:val="24"/>
            <w:lang w:val="sl-SI"/>
          </w:rPr>
          <w:t>http://data.europa.eu/eli/reg/2018/1046/oj</w:t>
        </w:r>
      </w:hyperlink>
      <w:r w:rsidRPr="007F2A9F">
        <w:rPr>
          <w:sz w:val="24"/>
          <w:szCs w:val="24"/>
          <w:lang w:val="sl-SI"/>
        </w:rPr>
        <w:t>.</w:t>
      </w:r>
    </w:p>
  </w:footnote>
  <w:footnote w:id="16">
    <w:p w14:paraId="39094133" w14:textId="7133F6F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16" w:history="1">
        <w:r w:rsidRPr="007F2A9F">
          <w:rPr>
            <w:rStyle w:val="Hyperlink"/>
            <w:sz w:val="24"/>
            <w:szCs w:val="24"/>
            <w:lang w:val="sl-SI"/>
          </w:rPr>
          <w:t>http://data.europa.eu/eli/reg/2024/2509/oj</w:t>
        </w:r>
      </w:hyperlink>
      <w:r w:rsidRPr="007F2A9F">
        <w:rPr>
          <w:sz w:val="24"/>
          <w:szCs w:val="24"/>
          <w:lang w:val="sl-SI"/>
        </w:rPr>
        <w:t>.</w:t>
      </w:r>
    </w:p>
  </w:footnote>
  <w:footnote w:id="17">
    <w:p w14:paraId="331717FF" w14:textId="0356825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7" w:history="1">
        <w:r w:rsidRPr="007F2A9F">
          <w:rPr>
            <w:rStyle w:val="Hyperlink"/>
            <w:sz w:val="24"/>
            <w:szCs w:val="24"/>
            <w:lang w:val="sl-SI"/>
          </w:rPr>
          <w:t>http://data.europa.eu/eli/reg/2021/2085/oj</w:t>
        </w:r>
      </w:hyperlink>
      <w:r w:rsidRPr="007F2A9F">
        <w:rPr>
          <w:sz w:val="24"/>
          <w:szCs w:val="24"/>
          <w:lang w:val="sl-SI"/>
        </w:rPr>
        <w:t>.</w:t>
      </w:r>
    </w:p>
  </w:footnote>
  <w:footnote w:id="18">
    <w:p w14:paraId="18005CA5" w14:textId="3666B512"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18" w:history="1">
        <w:r w:rsidRPr="007F2A9F">
          <w:rPr>
            <w:rStyle w:val="Hyperlink"/>
            <w:sz w:val="24"/>
            <w:szCs w:val="24"/>
            <w:lang w:val="sl-SI"/>
          </w:rPr>
          <w:t>http://data.europa.eu/eli/reg_del/2019/887/oj</w:t>
        </w:r>
      </w:hyperlink>
      <w:r w:rsidRPr="007F2A9F">
        <w:rPr>
          <w:sz w:val="24"/>
          <w:szCs w:val="24"/>
          <w:lang w:val="sl-SI"/>
        </w:rPr>
        <w:t>.</w:t>
      </w:r>
    </w:p>
  </w:footnote>
  <w:footnote w:id="19">
    <w:p w14:paraId="60EED299" w14:textId="6F240BB4"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C/2025/5736, 31.10.2025, ELI: </w:t>
      </w:r>
      <w:hyperlink r:id="rId19" w:tgtFrame="_blank" w:tooltip="Povezava ELI na ta dokument." w:history="1">
        <w:r w:rsidRPr="007F2A9F">
          <w:rPr>
            <w:rStyle w:val="Hyperlink"/>
            <w:sz w:val="24"/>
            <w:szCs w:val="24"/>
            <w:lang w:val="sl-SI"/>
          </w:rPr>
          <w:t>http://data.europa.eu/eli/C/2025/5736/oj</w:t>
        </w:r>
      </w:hyperlink>
      <w:r w:rsidRPr="007F2A9F">
        <w:rPr>
          <w:sz w:val="24"/>
          <w:szCs w:val="24"/>
          <w:lang w:val="sl-SI"/>
        </w:rPr>
        <w:t>.</w:t>
      </w:r>
    </w:p>
  </w:footnote>
  <w:footnote w:id="20">
    <w:p w14:paraId="45121B50" w14:textId="78449A9B"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C/2025/5407, 13.10.2025, ELI: </w:t>
      </w:r>
      <w:hyperlink r:id="rId20" w:tgtFrame="_blank" w:tooltip="Povezava ELI na ta dokument." w:history="1">
        <w:r w:rsidRPr="007F2A9F">
          <w:rPr>
            <w:rStyle w:val="Hyperlink"/>
            <w:sz w:val="24"/>
            <w:szCs w:val="24"/>
            <w:lang w:val="sl-SI"/>
          </w:rPr>
          <w:t>http://data.europa.eu/eli/C/2025/5407/oj</w:t>
        </w:r>
      </w:hyperlink>
      <w:r w:rsidRPr="007F2A9F">
        <w:rPr>
          <w:sz w:val="24"/>
          <w:szCs w:val="24"/>
          <w:lang w:val="sl-SI"/>
        </w:rPr>
        <w:t xml:space="preserve">. </w:t>
      </w:r>
    </w:p>
  </w:footnote>
  <w:footnote w:id="21">
    <w:p w14:paraId="62AE9CD5" w14:textId="262D0D5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21" w:history="1">
        <w:r w:rsidRPr="007F2A9F">
          <w:rPr>
            <w:rStyle w:val="Hyperlink"/>
            <w:sz w:val="24"/>
            <w:szCs w:val="24"/>
            <w:lang w:val="sl-SI"/>
          </w:rPr>
          <w:t>http://data.europa.eu/eli/reg/2018/1046/oj</w:t>
        </w:r>
      </w:hyperlink>
      <w:r w:rsidRPr="007F2A9F">
        <w:rPr>
          <w:sz w:val="24"/>
          <w:szCs w:val="24"/>
          <w:lang w:val="sl-SI"/>
        </w:rPr>
        <w:t>.</w:t>
      </w:r>
    </w:p>
  </w:footnote>
  <w:footnote w:id="22">
    <w:p w14:paraId="5FC3903D" w14:textId="0D73A8BC"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22" w:history="1">
        <w:r w:rsidRPr="007F2A9F">
          <w:rPr>
            <w:rStyle w:val="Hyperlink"/>
            <w:sz w:val="24"/>
            <w:szCs w:val="24"/>
            <w:lang w:val="sl-SI"/>
          </w:rPr>
          <w:t>http://data.europa.eu/eli/reg/2024/2509/oj</w:t>
        </w:r>
      </w:hyperlink>
      <w:r w:rsidRPr="007F2A9F">
        <w:rPr>
          <w:sz w:val="24"/>
          <w:szCs w:val="24"/>
          <w:lang w:val="sl-SI"/>
        </w:rPr>
        <w:t>.</w:t>
      </w:r>
    </w:p>
  </w:footnote>
  <w:footnote w:id="23">
    <w:p w14:paraId="6C814D79" w14:textId="432B7D7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23" w:history="1">
        <w:r w:rsidRPr="007F2A9F">
          <w:rPr>
            <w:rStyle w:val="Hyperlink"/>
            <w:sz w:val="24"/>
            <w:szCs w:val="24"/>
            <w:lang w:val="sl-SI"/>
          </w:rPr>
          <w:t>http://data.europa.eu/eli/reg/2021/2085/oj</w:t>
        </w:r>
      </w:hyperlink>
      <w:r w:rsidRPr="007F2A9F">
        <w:rPr>
          <w:sz w:val="24"/>
          <w:szCs w:val="24"/>
          <w:lang w:val="sl-SI"/>
        </w:rPr>
        <w:t>.</w:t>
      </w:r>
    </w:p>
  </w:footnote>
  <w:footnote w:id="24">
    <w:p w14:paraId="37860894" w14:textId="52AAC0A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24" w:history="1">
        <w:r w:rsidRPr="007F2A9F">
          <w:rPr>
            <w:rStyle w:val="Hyperlink"/>
            <w:sz w:val="24"/>
            <w:szCs w:val="24"/>
            <w:lang w:val="sl-SI"/>
          </w:rPr>
          <w:t>http://data.europa.eu/eli/reg_del/2019/887/oj</w:t>
        </w:r>
      </w:hyperlink>
      <w:r w:rsidRPr="007F2A9F">
        <w:rPr>
          <w:sz w:val="24"/>
          <w:szCs w:val="24"/>
          <w:lang w:val="sl-SI"/>
        </w:rPr>
        <w:t>.</w:t>
      </w:r>
    </w:p>
  </w:footnote>
  <w:footnote w:id="25">
    <w:p w14:paraId="2C03E5B7" w14:textId="180A89AC"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UL C, C/2025/5736, 31.10.2025, ELI: </w:t>
      </w:r>
      <w:hyperlink r:id="rId25" w:tgtFrame="_blank" w:tooltip="Povezava ELI na ta dokument." w:history="1">
        <w:r w:rsidRPr="007F2A9F">
          <w:rPr>
            <w:rStyle w:val="Hyperlink"/>
            <w:sz w:val="24"/>
            <w:szCs w:val="24"/>
            <w:lang w:val="sl-SI"/>
          </w:rPr>
          <w:t>http://data.europa.eu/eli/C/2025/5736/oj</w:t>
        </w:r>
      </w:hyperlink>
      <w:r w:rsidRPr="007F2A9F">
        <w:rPr>
          <w:sz w:val="24"/>
          <w:szCs w:val="24"/>
          <w:lang w:val="sl-SI"/>
        </w:rPr>
        <w:t>.</w:t>
      </w:r>
    </w:p>
  </w:footnote>
  <w:footnote w:id="26">
    <w:p w14:paraId="2C90700E" w14:textId="6FBD942A"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UL C, C/2025/5407, 13.10.2025, ELI: </w:t>
      </w:r>
      <w:hyperlink r:id="rId26" w:tgtFrame="_blank" w:tooltip="Povezava ELI na ta dokument." w:history="1">
        <w:r w:rsidRPr="007F2A9F">
          <w:rPr>
            <w:rStyle w:val="Hyperlink"/>
            <w:sz w:val="24"/>
            <w:szCs w:val="24"/>
            <w:lang w:val="sl-SI"/>
          </w:rPr>
          <w:t>http://data.europa.eu/eli/C/2025/5407/oj</w:t>
        </w:r>
      </w:hyperlink>
      <w:r w:rsidRPr="007F2A9F">
        <w:rPr>
          <w:sz w:val="24"/>
          <w:szCs w:val="24"/>
          <w:lang w:val="sl-SI"/>
        </w:rPr>
        <w:t>.</w:t>
      </w:r>
    </w:p>
  </w:footnote>
  <w:footnote w:id="27">
    <w:p w14:paraId="3C278302" w14:textId="3405AC0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27" w:history="1">
        <w:r w:rsidRPr="007F2A9F">
          <w:rPr>
            <w:rStyle w:val="Hyperlink"/>
            <w:sz w:val="24"/>
            <w:szCs w:val="24"/>
            <w:lang w:val="sl-SI"/>
          </w:rPr>
          <w:t>http://data.europa.eu/eli/reg/2018/1046/oj</w:t>
        </w:r>
      </w:hyperlink>
      <w:r w:rsidRPr="007F2A9F">
        <w:rPr>
          <w:sz w:val="24"/>
          <w:szCs w:val="24"/>
          <w:lang w:val="sl-SI"/>
        </w:rPr>
        <w:t>.</w:t>
      </w:r>
    </w:p>
  </w:footnote>
  <w:footnote w:id="28">
    <w:p w14:paraId="52D9A6DD" w14:textId="1D66ED31"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28" w:history="1">
        <w:r w:rsidRPr="007F2A9F">
          <w:rPr>
            <w:rStyle w:val="Hyperlink"/>
            <w:sz w:val="24"/>
            <w:szCs w:val="24"/>
            <w:lang w:val="sl-SI"/>
          </w:rPr>
          <w:t>http://data.europa.eu/eli/reg/2024/2509/oj</w:t>
        </w:r>
      </w:hyperlink>
      <w:r w:rsidRPr="007F2A9F">
        <w:rPr>
          <w:sz w:val="24"/>
          <w:szCs w:val="24"/>
          <w:lang w:val="sl-SI"/>
        </w:rPr>
        <w:t>.</w:t>
      </w:r>
    </w:p>
  </w:footnote>
  <w:footnote w:id="29">
    <w:p w14:paraId="02E33C8A" w14:textId="7CB234B8"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29" w:history="1">
        <w:r w:rsidRPr="007F2A9F">
          <w:rPr>
            <w:rStyle w:val="Hyperlink"/>
            <w:sz w:val="24"/>
            <w:szCs w:val="24"/>
            <w:lang w:val="sl-SI"/>
          </w:rPr>
          <w:t>http://data.europa.eu/eli/reg/2021/2085/oj</w:t>
        </w:r>
      </w:hyperlink>
      <w:r w:rsidRPr="007F2A9F">
        <w:rPr>
          <w:sz w:val="24"/>
          <w:szCs w:val="24"/>
          <w:lang w:val="sl-SI"/>
        </w:rPr>
        <w:t>.</w:t>
      </w:r>
    </w:p>
  </w:footnote>
  <w:footnote w:id="30">
    <w:p w14:paraId="62961BD9" w14:textId="0B5BB977"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30" w:history="1">
        <w:r w:rsidRPr="007F2A9F">
          <w:rPr>
            <w:rStyle w:val="Hyperlink"/>
            <w:sz w:val="24"/>
            <w:szCs w:val="24"/>
            <w:lang w:val="sl-SI"/>
          </w:rPr>
          <w:t>http://data.europa.eu/eli/reg_del/2019/887/oj</w:t>
        </w:r>
      </w:hyperlink>
      <w:r w:rsidRPr="007F2A9F">
        <w:rPr>
          <w:sz w:val="24"/>
          <w:szCs w:val="24"/>
          <w:lang w:val="sl-SI"/>
        </w:rPr>
        <w:t>.</w:t>
      </w:r>
    </w:p>
  </w:footnote>
  <w:footnote w:id="31">
    <w:p w14:paraId="33B749FF" w14:textId="4158FE15"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C/2025/5736, 31.10.2025, ELI: </w:t>
      </w:r>
      <w:hyperlink r:id="rId31" w:tgtFrame="_blank" w:tooltip="Povezava ELI na ta dokument." w:history="1">
        <w:r w:rsidRPr="007F2A9F">
          <w:rPr>
            <w:rStyle w:val="Hyperlink"/>
            <w:sz w:val="24"/>
            <w:szCs w:val="24"/>
            <w:lang w:val="sl-SI"/>
          </w:rPr>
          <w:t>http://data.europa.eu/eli/C/2025/5736/oj</w:t>
        </w:r>
      </w:hyperlink>
      <w:r w:rsidRPr="007F2A9F">
        <w:rPr>
          <w:sz w:val="24"/>
          <w:szCs w:val="24"/>
          <w:lang w:val="sl-SI"/>
        </w:rPr>
        <w:t>.</w:t>
      </w:r>
    </w:p>
  </w:footnote>
  <w:footnote w:id="32">
    <w:p w14:paraId="199E9747" w14:textId="3051E482"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C/2025/5407, 13.10.2025, ELI: </w:t>
      </w:r>
      <w:hyperlink r:id="rId32" w:tgtFrame="_blank" w:tooltip="Povezava ELI na ta dokument." w:history="1">
        <w:r w:rsidRPr="007F2A9F">
          <w:rPr>
            <w:rStyle w:val="Hyperlink"/>
            <w:sz w:val="24"/>
            <w:szCs w:val="24"/>
            <w:lang w:val="sl-SI"/>
          </w:rPr>
          <w:t>http://data.europa.eu/eli/C/2025/5407/oj</w:t>
        </w:r>
      </w:hyperlink>
      <w:r w:rsidRPr="007F2A9F">
        <w:rPr>
          <w:sz w:val="24"/>
          <w:szCs w:val="24"/>
          <w:lang w:val="sl-SI"/>
        </w:rPr>
        <w:t>.</w:t>
      </w:r>
    </w:p>
  </w:footnote>
  <w:footnote w:id="33">
    <w:p w14:paraId="741E37E3" w14:textId="7284D14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33" w:history="1">
        <w:r w:rsidRPr="007F2A9F">
          <w:rPr>
            <w:rStyle w:val="Hyperlink"/>
            <w:sz w:val="24"/>
            <w:szCs w:val="24"/>
            <w:lang w:val="sl-SI"/>
          </w:rPr>
          <w:t>http://data.europa.eu/eli/reg/2018/1046/oj</w:t>
        </w:r>
      </w:hyperlink>
      <w:r w:rsidRPr="007F2A9F">
        <w:rPr>
          <w:sz w:val="24"/>
          <w:szCs w:val="24"/>
          <w:lang w:val="sl-SI"/>
        </w:rPr>
        <w:t>.</w:t>
      </w:r>
    </w:p>
  </w:footnote>
  <w:footnote w:id="34">
    <w:p w14:paraId="4652E90A" w14:textId="723FB069"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34" w:history="1">
        <w:r w:rsidRPr="007F2A9F">
          <w:rPr>
            <w:rStyle w:val="Hyperlink"/>
            <w:sz w:val="24"/>
            <w:szCs w:val="24"/>
            <w:lang w:val="sl-SI"/>
          </w:rPr>
          <w:t>http://data.europa.eu/eli/reg/2024/2509/oj</w:t>
        </w:r>
      </w:hyperlink>
      <w:r w:rsidRPr="007F2A9F">
        <w:rPr>
          <w:sz w:val="24"/>
          <w:szCs w:val="24"/>
          <w:lang w:val="sl-SI"/>
        </w:rPr>
        <w:t>.</w:t>
      </w:r>
    </w:p>
  </w:footnote>
  <w:footnote w:id="35">
    <w:p w14:paraId="75C2FBEC" w14:textId="1521F79A"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35" w:history="1">
        <w:r w:rsidRPr="007F2A9F">
          <w:rPr>
            <w:rStyle w:val="Hyperlink"/>
            <w:sz w:val="24"/>
            <w:szCs w:val="24"/>
            <w:lang w:val="sl-SI"/>
          </w:rPr>
          <w:t>http://data.europa.eu/eli/reg/2021/2085/oj</w:t>
        </w:r>
      </w:hyperlink>
      <w:r w:rsidRPr="007F2A9F">
        <w:rPr>
          <w:sz w:val="24"/>
          <w:szCs w:val="24"/>
          <w:lang w:val="sl-SI"/>
        </w:rPr>
        <w:t>.</w:t>
      </w:r>
    </w:p>
  </w:footnote>
  <w:footnote w:id="36">
    <w:p w14:paraId="54477E06" w14:textId="17B7D73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36" w:history="1">
        <w:r w:rsidRPr="007F2A9F">
          <w:rPr>
            <w:rStyle w:val="Hyperlink"/>
            <w:sz w:val="24"/>
            <w:szCs w:val="24"/>
            <w:lang w:val="sl-SI"/>
          </w:rPr>
          <w:t>http://data.europa.eu/eli/reg_del/2019/887/oj</w:t>
        </w:r>
      </w:hyperlink>
      <w:r w:rsidRPr="007F2A9F">
        <w:rPr>
          <w:sz w:val="24"/>
          <w:szCs w:val="24"/>
          <w:lang w:val="sl-SI"/>
        </w:rPr>
        <w:t>.</w:t>
      </w:r>
    </w:p>
  </w:footnote>
  <w:footnote w:id="37">
    <w:p w14:paraId="55BA9E98" w14:textId="74E1CE53"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C/2025/5736, 31.10.2025, ELI: </w:t>
      </w:r>
      <w:hyperlink r:id="rId37" w:tgtFrame="_blank" w:tooltip="Povezava ELI na ta dokument." w:history="1">
        <w:r w:rsidRPr="007F2A9F">
          <w:rPr>
            <w:rStyle w:val="Hyperlink"/>
            <w:sz w:val="24"/>
            <w:szCs w:val="24"/>
            <w:lang w:val="sl-SI"/>
          </w:rPr>
          <w:t>http://data.europa.eu/eli/C/2025/5736/oj</w:t>
        </w:r>
      </w:hyperlink>
      <w:r w:rsidRPr="007F2A9F">
        <w:rPr>
          <w:sz w:val="24"/>
          <w:szCs w:val="24"/>
          <w:lang w:val="sl-SI"/>
        </w:rPr>
        <w:t>.</w:t>
      </w:r>
    </w:p>
  </w:footnote>
  <w:footnote w:id="38">
    <w:p w14:paraId="73631511" w14:textId="096CFB7A"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C/2025/5407, 13.10.2025, ELI: </w:t>
      </w:r>
      <w:hyperlink r:id="rId38" w:tgtFrame="_blank" w:tooltip="Povezava ELI na ta dokument." w:history="1">
        <w:r w:rsidRPr="007F2A9F">
          <w:rPr>
            <w:rStyle w:val="Hyperlink"/>
            <w:sz w:val="24"/>
            <w:szCs w:val="24"/>
            <w:lang w:val="sl-SI"/>
          </w:rPr>
          <w:t>http://data.europa.eu/eli/C/2025/5407/oj</w:t>
        </w:r>
      </w:hyperlink>
      <w:r w:rsidRPr="007F2A9F">
        <w:rPr>
          <w:sz w:val="24"/>
          <w:szCs w:val="24"/>
          <w:lang w:val="sl-SI"/>
        </w:rPr>
        <w:t>.</w:t>
      </w:r>
    </w:p>
  </w:footnote>
  <w:footnote w:id="39">
    <w:p w14:paraId="3B2C23F0" w14:textId="62EF9224"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39" w:history="1">
        <w:r w:rsidRPr="007F2A9F">
          <w:rPr>
            <w:rStyle w:val="Hyperlink"/>
            <w:sz w:val="24"/>
            <w:szCs w:val="24"/>
            <w:lang w:val="sl-SI"/>
          </w:rPr>
          <w:t>http://data.europa.eu/eli/reg/2018/1046/oj</w:t>
        </w:r>
      </w:hyperlink>
      <w:r w:rsidRPr="007F2A9F">
        <w:rPr>
          <w:sz w:val="24"/>
          <w:szCs w:val="24"/>
          <w:lang w:val="sl-SI"/>
        </w:rPr>
        <w:t>.</w:t>
      </w:r>
    </w:p>
  </w:footnote>
  <w:footnote w:id="40">
    <w:p w14:paraId="276B8448" w14:textId="68543AD2"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40" w:history="1">
        <w:r w:rsidRPr="007F2A9F">
          <w:rPr>
            <w:rStyle w:val="Hyperlink"/>
            <w:sz w:val="24"/>
            <w:szCs w:val="24"/>
            <w:lang w:val="sl-SI"/>
          </w:rPr>
          <w:t>http://data.europa.eu/eli/reg/2024/2509/oj</w:t>
        </w:r>
      </w:hyperlink>
      <w:r w:rsidRPr="007F2A9F">
        <w:rPr>
          <w:sz w:val="24"/>
          <w:szCs w:val="24"/>
          <w:lang w:val="sl-SI"/>
        </w:rPr>
        <w:t>.</w:t>
      </w:r>
    </w:p>
  </w:footnote>
  <w:footnote w:id="41">
    <w:p w14:paraId="62BE8CAE" w14:textId="71F7BAD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41" w:history="1">
        <w:r w:rsidRPr="007F2A9F">
          <w:rPr>
            <w:rStyle w:val="Hyperlink"/>
            <w:sz w:val="24"/>
            <w:szCs w:val="24"/>
            <w:lang w:val="sl-SI"/>
          </w:rPr>
          <w:t>http://data.europa.eu/eli/reg/2021/2085/oj</w:t>
        </w:r>
      </w:hyperlink>
      <w:r w:rsidRPr="007F2A9F">
        <w:rPr>
          <w:sz w:val="24"/>
          <w:szCs w:val="24"/>
          <w:lang w:val="sl-SI"/>
        </w:rPr>
        <w:t>.</w:t>
      </w:r>
    </w:p>
  </w:footnote>
  <w:footnote w:id="42">
    <w:p w14:paraId="4327D6D6" w14:textId="26463E94"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42" w:history="1">
        <w:r w:rsidRPr="007F2A9F">
          <w:rPr>
            <w:rStyle w:val="Hyperlink"/>
            <w:sz w:val="24"/>
            <w:szCs w:val="24"/>
            <w:lang w:val="sl-SI"/>
          </w:rPr>
          <w:t>http://data.europa.eu/eli/reg_del/2019/887/oj</w:t>
        </w:r>
      </w:hyperlink>
      <w:r w:rsidRPr="007F2A9F">
        <w:rPr>
          <w:sz w:val="24"/>
          <w:szCs w:val="24"/>
          <w:lang w:val="sl-SI"/>
        </w:rPr>
        <w:t>.</w:t>
      </w:r>
    </w:p>
  </w:footnote>
  <w:footnote w:id="43">
    <w:p w14:paraId="6A69B199" w14:textId="2DB1F2E8"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bookmarkStart w:id="8" w:name="_Hlk216432916"/>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C/2025/5736, 31.10.2025, ELI: </w:t>
      </w:r>
      <w:hyperlink r:id="rId43" w:tgtFrame="_blank" w:tooltip="Povezava ELI na ta dokument." w:history="1">
        <w:r w:rsidRPr="007F2A9F">
          <w:rPr>
            <w:rStyle w:val="Hyperlink"/>
            <w:sz w:val="24"/>
            <w:szCs w:val="24"/>
            <w:lang w:val="sl-SI"/>
          </w:rPr>
          <w:t>http://data.europa.eu/eli/C/2025/5736/oj</w:t>
        </w:r>
      </w:hyperlink>
      <w:r w:rsidRPr="007F2A9F">
        <w:rPr>
          <w:sz w:val="24"/>
          <w:szCs w:val="24"/>
          <w:lang w:val="sl-SI"/>
        </w:rPr>
        <w:t>.</w:t>
      </w:r>
    </w:p>
    <w:bookmarkEnd w:id="8"/>
  </w:footnote>
  <w:footnote w:id="44">
    <w:p w14:paraId="73CF1CF6" w14:textId="6D6FD3C0"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bookmarkStart w:id="9" w:name="_Hlk216432933"/>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C/2025/5407, 13.10.2025, ELI: </w:t>
      </w:r>
      <w:hyperlink r:id="rId44" w:tgtFrame="_blank" w:tooltip="Povezava ELI na ta dokument." w:history="1">
        <w:r w:rsidRPr="007F2A9F">
          <w:rPr>
            <w:rStyle w:val="Hyperlink"/>
            <w:sz w:val="24"/>
            <w:szCs w:val="24"/>
            <w:lang w:val="sl-SI"/>
          </w:rPr>
          <w:t>http://data.europa.eu/eli/C/2025/5407/oj</w:t>
        </w:r>
      </w:hyperlink>
      <w:r w:rsidRPr="007F2A9F">
        <w:rPr>
          <w:sz w:val="24"/>
          <w:szCs w:val="24"/>
          <w:lang w:val="sl-SI"/>
        </w:rPr>
        <w:t>.</w:t>
      </w:r>
      <w:bookmarkEnd w:id="9"/>
    </w:p>
  </w:footnote>
  <w:footnote w:id="45">
    <w:p w14:paraId="6B96F629" w14:textId="66F42114"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45" w:history="1">
        <w:r w:rsidRPr="007F2A9F">
          <w:rPr>
            <w:rStyle w:val="Hyperlink"/>
            <w:sz w:val="24"/>
            <w:szCs w:val="24"/>
            <w:lang w:val="sl-SI"/>
          </w:rPr>
          <w:t>http://data.europa.eu/eli/reg/2018/1046/oj</w:t>
        </w:r>
      </w:hyperlink>
      <w:r w:rsidRPr="007F2A9F">
        <w:rPr>
          <w:sz w:val="24"/>
          <w:szCs w:val="24"/>
          <w:lang w:val="sl-SI"/>
        </w:rPr>
        <w:t>.</w:t>
      </w:r>
    </w:p>
  </w:footnote>
  <w:footnote w:id="46">
    <w:p w14:paraId="196E7936" w14:textId="1631D953"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46" w:history="1">
        <w:r w:rsidRPr="007F2A9F">
          <w:rPr>
            <w:rStyle w:val="Hyperlink"/>
            <w:sz w:val="24"/>
            <w:szCs w:val="24"/>
            <w:lang w:val="sl-SI"/>
          </w:rPr>
          <w:t>http://data.europa.eu/eli/reg/2024/2509/oj</w:t>
        </w:r>
      </w:hyperlink>
      <w:r w:rsidRPr="007F2A9F">
        <w:rPr>
          <w:sz w:val="24"/>
          <w:szCs w:val="24"/>
          <w:lang w:val="sl-SI"/>
        </w:rPr>
        <w:t>.</w:t>
      </w:r>
    </w:p>
  </w:footnote>
  <w:footnote w:id="47">
    <w:p w14:paraId="3E2CB8E6" w14:textId="02187669"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47" w:history="1">
        <w:r w:rsidRPr="007F2A9F">
          <w:rPr>
            <w:rStyle w:val="Hyperlink"/>
            <w:sz w:val="24"/>
            <w:szCs w:val="24"/>
            <w:lang w:val="sl-SI"/>
          </w:rPr>
          <w:t>http://data.europa.eu/eli/reg/2021/2085/oj</w:t>
        </w:r>
      </w:hyperlink>
      <w:r w:rsidRPr="007F2A9F">
        <w:rPr>
          <w:sz w:val="24"/>
          <w:szCs w:val="24"/>
          <w:lang w:val="sl-SI"/>
        </w:rPr>
        <w:t>.</w:t>
      </w:r>
    </w:p>
  </w:footnote>
  <w:footnote w:id="48">
    <w:p w14:paraId="54BE36CE" w14:textId="1409D24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48" w:history="1">
        <w:r w:rsidRPr="007F2A9F">
          <w:rPr>
            <w:rStyle w:val="Hyperlink"/>
            <w:sz w:val="24"/>
            <w:szCs w:val="24"/>
            <w:lang w:val="sl-SI"/>
          </w:rPr>
          <w:t>http://data.europa.eu/eli/reg_del/2019/887/oj</w:t>
        </w:r>
      </w:hyperlink>
      <w:r w:rsidRPr="007F2A9F">
        <w:rPr>
          <w:sz w:val="24"/>
          <w:szCs w:val="24"/>
          <w:lang w:val="sl-SI"/>
        </w:rPr>
        <w:t>.</w:t>
      </w:r>
    </w:p>
  </w:footnote>
  <w:footnote w:id="49">
    <w:p w14:paraId="20496237" w14:textId="218A4D24"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49" w:tgtFrame="_blank" w:tooltip="Povezava ELI na ta dokument." w:history="1">
        <w:r w:rsidRPr="007F2A9F">
          <w:rPr>
            <w:color w:val="0563C1"/>
            <w:szCs w:val="24"/>
            <w:u w:val="single"/>
          </w:rPr>
          <w:t>http://data.europa.eu/eli/C/2025/5736/oj</w:t>
        </w:r>
      </w:hyperlink>
      <w:r w:rsidRPr="007F2A9F">
        <w:rPr>
          <w:szCs w:val="24"/>
        </w:rPr>
        <w:t>.</w:t>
      </w:r>
    </w:p>
  </w:footnote>
  <w:footnote w:id="50">
    <w:p w14:paraId="3A49A89B" w14:textId="5C9D8E2D"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50" w:tgtFrame="_blank" w:tooltip="Povezava ELI na ta dokument." w:history="1">
        <w:r w:rsidRPr="007F2A9F">
          <w:rPr>
            <w:color w:val="467886"/>
            <w:szCs w:val="24"/>
            <w:u w:val="single"/>
          </w:rPr>
          <w:t>http://data.europa.eu/eli/C/2025/5407/oj</w:t>
        </w:r>
      </w:hyperlink>
      <w:r w:rsidRPr="007F2A9F">
        <w:rPr>
          <w:szCs w:val="24"/>
        </w:rPr>
        <w:t>.</w:t>
      </w:r>
    </w:p>
  </w:footnote>
  <w:footnote w:id="51">
    <w:p w14:paraId="36D606DE" w14:textId="5183B982"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51" w:history="1">
        <w:r w:rsidRPr="007F2A9F">
          <w:rPr>
            <w:rStyle w:val="Hyperlink"/>
            <w:sz w:val="24"/>
            <w:szCs w:val="24"/>
            <w:lang w:val="sl-SI"/>
          </w:rPr>
          <w:t>http://data.europa.eu/eli/reg/2018/1046/oj</w:t>
        </w:r>
      </w:hyperlink>
      <w:r w:rsidRPr="007F2A9F">
        <w:rPr>
          <w:sz w:val="24"/>
          <w:szCs w:val="24"/>
          <w:lang w:val="sl-SI"/>
        </w:rPr>
        <w:t>.</w:t>
      </w:r>
    </w:p>
  </w:footnote>
  <w:footnote w:id="52">
    <w:p w14:paraId="4BD25434" w14:textId="191830E0"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52" w:history="1">
        <w:r w:rsidRPr="007F2A9F">
          <w:rPr>
            <w:rStyle w:val="Hyperlink"/>
            <w:sz w:val="24"/>
            <w:szCs w:val="24"/>
            <w:lang w:val="sl-SI"/>
          </w:rPr>
          <w:t>http://data.europa.eu/eli/reg/2024/2509/oj</w:t>
        </w:r>
      </w:hyperlink>
      <w:r w:rsidRPr="007F2A9F">
        <w:rPr>
          <w:sz w:val="24"/>
          <w:szCs w:val="24"/>
          <w:lang w:val="sl-SI"/>
        </w:rPr>
        <w:t>.</w:t>
      </w:r>
    </w:p>
  </w:footnote>
  <w:footnote w:id="53">
    <w:p w14:paraId="5EF53BC3" w14:textId="1CC33F33"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 8.6.2021, str. 1, ELI: </w:t>
      </w:r>
      <w:hyperlink r:id="rId53" w:history="1">
        <w:r w:rsidRPr="007F2A9F">
          <w:rPr>
            <w:rStyle w:val="Hyperlink"/>
            <w:sz w:val="24"/>
            <w:szCs w:val="24"/>
            <w:lang w:val="sl-SI"/>
          </w:rPr>
          <w:t>https://eur-lex.europa.eu/eli/reg/2021/887/oj</w:t>
        </w:r>
      </w:hyperlink>
      <w:r w:rsidRPr="007F2A9F">
        <w:rPr>
          <w:sz w:val="24"/>
          <w:szCs w:val="24"/>
          <w:lang w:val="sl-SI"/>
        </w:rPr>
        <w:t>.</w:t>
      </w:r>
    </w:p>
  </w:footnote>
  <w:footnote w:id="54">
    <w:p w14:paraId="01027EC3" w14:textId="0CAD4665"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54" w:history="1">
        <w:r w:rsidRPr="007F2A9F">
          <w:rPr>
            <w:rStyle w:val="Hyperlink"/>
            <w:sz w:val="24"/>
            <w:szCs w:val="24"/>
            <w:lang w:val="sl-SI"/>
          </w:rPr>
          <w:t>http://data.europa.eu/eli/reg_del/2019/887/oj</w:t>
        </w:r>
      </w:hyperlink>
      <w:r w:rsidRPr="007F2A9F">
        <w:rPr>
          <w:sz w:val="24"/>
          <w:szCs w:val="24"/>
          <w:lang w:val="sl-SI"/>
        </w:rPr>
        <w:t>.</w:t>
      </w:r>
    </w:p>
  </w:footnote>
  <w:footnote w:id="55">
    <w:p w14:paraId="57C5A6ED" w14:textId="0CC4C86C"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UL C, C/2025/5736, 31.10.2025, ELI: </w:t>
      </w:r>
      <w:hyperlink r:id="rId55" w:tgtFrame="_blank" w:tooltip="Povezava ELI na ta dokument." w:history="1">
        <w:r w:rsidRPr="007F2A9F">
          <w:rPr>
            <w:color w:val="0563C1"/>
            <w:szCs w:val="24"/>
            <w:u w:val="single"/>
          </w:rPr>
          <w:t>http://data.europa.eu/eli/C/2025/5736/oj</w:t>
        </w:r>
      </w:hyperlink>
      <w:r w:rsidRPr="007F2A9F">
        <w:rPr>
          <w:szCs w:val="24"/>
        </w:rPr>
        <w:t>.</w:t>
      </w:r>
    </w:p>
  </w:footnote>
  <w:footnote w:id="56">
    <w:p w14:paraId="54A1B2C1" w14:textId="6AB3E796"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UL C, C/2025/5407, 13.10.2025, ELI: </w:t>
      </w:r>
      <w:hyperlink r:id="rId56" w:tgtFrame="_blank" w:tooltip="Povezava ELI na ta dokument." w:history="1">
        <w:r w:rsidRPr="007F2A9F">
          <w:rPr>
            <w:color w:val="467886"/>
            <w:szCs w:val="24"/>
            <w:u w:val="single"/>
          </w:rPr>
          <w:t>http://data.europa.eu/eli/C/2025/5407/oj</w:t>
        </w:r>
      </w:hyperlink>
      <w:r w:rsidRPr="007F2A9F">
        <w:rPr>
          <w:szCs w:val="24"/>
        </w:rPr>
        <w:t>.</w:t>
      </w:r>
    </w:p>
  </w:footnote>
  <w:footnote w:id="57">
    <w:p w14:paraId="5A53878E" w14:textId="4304FD13"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57" w:history="1">
        <w:r w:rsidRPr="007F2A9F">
          <w:rPr>
            <w:rStyle w:val="Hyperlink"/>
            <w:sz w:val="24"/>
            <w:szCs w:val="24"/>
            <w:lang w:val="sl-SI"/>
          </w:rPr>
          <w:t>http://data.europa.eu/eli/reg/2018/1046/oj</w:t>
        </w:r>
      </w:hyperlink>
      <w:r w:rsidRPr="007F2A9F">
        <w:rPr>
          <w:sz w:val="24"/>
          <w:szCs w:val="24"/>
          <w:lang w:val="sl-SI"/>
        </w:rPr>
        <w:t>.</w:t>
      </w:r>
    </w:p>
  </w:footnote>
  <w:footnote w:id="58">
    <w:p w14:paraId="51842C93" w14:textId="40493947"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58" w:history="1">
        <w:r w:rsidRPr="007F2A9F">
          <w:rPr>
            <w:rStyle w:val="Hyperlink"/>
            <w:sz w:val="24"/>
            <w:szCs w:val="24"/>
            <w:lang w:val="sl-SI"/>
          </w:rPr>
          <w:t>http://data.europa.eu/eli/reg/2024/2509/oj</w:t>
        </w:r>
      </w:hyperlink>
      <w:r w:rsidRPr="007F2A9F">
        <w:rPr>
          <w:sz w:val="24"/>
          <w:szCs w:val="24"/>
          <w:lang w:val="sl-SI"/>
        </w:rPr>
        <w:t>.</w:t>
      </w:r>
    </w:p>
  </w:footnote>
  <w:footnote w:id="59">
    <w:p w14:paraId="56AEE303" w14:textId="59AD9A1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 8.6.2021, str. 1, ELI: </w:t>
      </w:r>
      <w:hyperlink r:id="rId59" w:history="1">
        <w:r w:rsidRPr="007F2A9F">
          <w:rPr>
            <w:rStyle w:val="Hyperlink"/>
            <w:sz w:val="24"/>
            <w:szCs w:val="24"/>
            <w:lang w:val="sl-SI"/>
          </w:rPr>
          <w:t>https://eur-lex.europa.eu/eli/reg/2021/887/oj</w:t>
        </w:r>
      </w:hyperlink>
      <w:r w:rsidRPr="007F2A9F">
        <w:rPr>
          <w:sz w:val="24"/>
          <w:szCs w:val="24"/>
          <w:lang w:val="sl-SI"/>
        </w:rPr>
        <w:t>.</w:t>
      </w:r>
    </w:p>
  </w:footnote>
  <w:footnote w:id="60">
    <w:p w14:paraId="0E47BB3E" w14:textId="24292198"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60" w:history="1">
        <w:r w:rsidRPr="007F2A9F">
          <w:rPr>
            <w:rStyle w:val="Hyperlink"/>
            <w:sz w:val="24"/>
            <w:szCs w:val="24"/>
            <w:lang w:val="sl-SI"/>
          </w:rPr>
          <w:t>http://data.europa.eu/eli/reg_del/2019/887/oj</w:t>
        </w:r>
      </w:hyperlink>
      <w:r w:rsidRPr="007F2A9F">
        <w:rPr>
          <w:sz w:val="24"/>
          <w:szCs w:val="24"/>
          <w:lang w:val="sl-SI"/>
        </w:rPr>
        <w:t>.</w:t>
      </w:r>
    </w:p>
  </w:footnote>
  <w:footnote w:id="61">
    <w:p w14:paraId="70E6E222" w14:textId="152E2016"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61" w:tgtFrame="_blank" w:tooltip="Povezava ELI na ta dokument." w:history="1">
        <w:r w:rsidRPr="007F2A9F">
          <w:rPr>
            <w:color w:val="0563C1"/>
            <w:szCs w:val="24"/>
            <w:u w:val="single"/>
          </w:rPr>
          <w:t>http://data.europa.eu/eli/C/2025/5736/oj</w:t>
        </w:r>
      </w:hyperlink>
      <w:r w:rsidRPr="007F2A9F">
        <w:rPr>
          <w:szCs w:val="24"/>
        </w:rPr>
        <w:t>.</w:t>
      </w:r>
    </w:p>
  </w:footnote>
  <w:footnote w:id="62">
    <w:p w14:paraId="647E1D6C" w14:textId="31EACD3E"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62" w:tgtFrame="_blank" w:tooltip="Povezava ELI na ta dokument." w:history="1">
        <w:r w:rsidRPr="007F2A9F">
          <w:rPr>
            <w:color w:val="467886"/>
            <w:szCs w:val="24"/>
            <w:u w:val="single"/>
          </w:rPr>
          <w:t>http://data.europa.eu/eli/C/2025/5407/oj</w:t>
        </w:r>
      </w:hyperlink>
      <w:r w:rsidRPr="007F2A9F">
        <w:rPr>
          <w:szCs w:val="24"/>
        </w:rPr>
        <w:t>.</w:t>
      </w:r>
    </w:p>
  </w:footnote>
  <w:footnote w:id="63">
    <w:p w14:paraId="553BA7CD" w14:textId="0D55568C"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63" w:history="1">
        <w:r w:rsidRPr="007F2A9F">
          <w:rPr>
            <w:rStyle w:val="Hyperlink"/>
            <w:sz w:val="24"/>
            <w:szCs w:val="24"/>
            <w:lang w:val="sl-SI"/>
          </w:rPr>
          <w:t>http://data.europa.eu/eli/reg/2018/1046/oj</w:t>
        </w:r>
      </w:hyperlink>
      <w:r w:rsidRPr="007F2A9F">
        <w:rPr>
          <w:sz w:val="24"/>
          <w:szCs w:val="24"/>
          <w:lang w:val="sl-SI"/>
        </w:rPr>
        <w:t>.</w:t>
      </w:r>
    </w:p>
  </w:footnote>
  <w:footnote w:id="64">
    <w:p w14:paraId="6CA14F11" w14:textId="49BCEAA4"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64" w:history="1">
        <w:r w:rsidRPr="007F2A9F">
          <w:rPr>
            <w:rStyle w:val="Hyperlink"/>
            <w:sz w:val="24"/>
            <w:szCs w:val="24"/>
            <w:lang w:val="sl-SI"/>
          </w:rPr>
          <w:t>http://data.europa.eu/eli/reg/2024/2509/oj</w:t>
        </w:r>
      </w:hyperlink>
      <w:r w:rsidRPr="007F2A9F">
        <w:rPr>
          <w:sz w:val="24"/>
          <w:szCs w:val="24"/>
          <w:lang w:val="sl-SI"/>
        </w:rPr>
        <w:t>.</w:t>
      </w:r>
    </w:p>
  </w:footnote>
  <w:footnote w:id="65">
    <w:p w14:paraId="03633917" w14:textId="24B8EB28"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256, 19.7.2021, str. 3, ELI: </w:t>
      </w:r>
      <w:hyperlink r:id="rId65" w:history="1">
        <w:r w:rsidRPr="007F2A9F">
          <w:rPr>
            <w:rStyle w:val="Hyperlink"/>
            <w:sz w:val="24"/>
            <w:szCs w:val="24"/>
            <w:lang w:val="sl-SI"/>
          </w:rPr>
          <w:t>https://eur-lex.europa.eu/eli/reg/2021/1173/oj</w:t>
        </w:r>
      </w:hyperlink>
      <w:r w:rsidRPr="007F2A9F">
        <w:rPr>
          <w:sz w:val="24"/>
          <w:szCs w:val="24"/>
          <w:lang w:val="sl-SI"/>
        </w:rPr>
        <w:t>.</w:t>
      </w:r>
    </w:p>
  </w:footnote>
  <w:footnote w:id="66">
    <w:p w14:paraId="1091C8DA" w14:textId="3408A293"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66" w:history="1">
        <w:r w:rsidRPr="007F2A9F">
          <w:rPr>
            <w:rStyle w:val="Hyperlink"/>
            <w:sz w:val="24"/>
            <w:szCs w:val="24"/>
            <w:lang w:val="sl-SI"/>
          </w:rPr>
          <w:t>http://data.europa.eu/eli/reg_del/2019/887/oj</w:t>
        </w:r>
      </w:hyperlink>
      <w:r w:rsidRPr="007F2A9F">
        <w:rPr>
          <w:sz w:val="24"/>
          <w:szCs w:val="24"/>
          <w:lang w:val="sl-SI"/>
        </w:rPr>
        <w:t>.</w:t>
      </w:r>
    </w:p>
  </w:footnote>
  <w:footnote w:id="67">
    <w:p w14:paraId="43D30E17" w14:textId="0A12B723"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67" w:tgtFrame="_blank" w:tooltip="Povezava ELI na ta dokument." w:history="1">
        <w:r w:rsidRPr="007F2A9F">
          <w:rPr>
            <w:color w:val="0563C1"/>
            <w:szCs w:val="24"/>
            <w:u w:val="single"/>
          </w:rPr>
          <w:t>http://data.europa.eu/eli/C/2025/5736/oj</w:t>
        </w:r>
      </w:hyperlink>
      <w:r w:rsidRPr="007F2A9F">
        <w:rPr>
          <w:szCs w:val="24"/>
        </w:rPr>
        <w:t>.</w:t>
      </w:r>
    </w:p>
  </w:footnote>
  <w:footnote w:id="68">
    <w:p w14:paraId="12D0595B" w14:textId="5FDD3B2F"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68" w:tgtFrame="_blank" w:tooltip="Povezava ELI na ta dokument." w:history="1">
        <w:r w:rsidRPr="007F2A9F">
          <w:rPr>
            <w:color w:val="467886"/>
            <w:szCs w:val="24"/>
            <w:u w:val="single"/>
          </w:rPr>
          <w:t>http://data.europa.eu/eli/C/2025/5407/oj</w:t>
        </w:r>
      </w:hyperlink>
      <w:r w:rsidRPr="007F2A9F">
        <w:rPr>
          <w:szCs w:val="24"/>
        </w:rPr>
        <w:t>.</w:t>
      </w:r>
    </w:p>
  </w:footnote>
  <w:footnote w:id="69">
    <w:p w14:paraId="5E00B918" w14:textId="78B381C9"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69" w:history="1">
        <w:r w:rsidRPr="007F2A9F">
          <w:rPr>
            <w:rStyle w:val="Hyperlink"/>
            <w:sz w:val="24"/>
            <w:szCs w:val="24"/>
            <w:lang w:val="sl-SI"/>
          </w:rPr>
          <w:t>http://data.europa.eu/eli/reg/2018/1046/oj</w:t>
        </w:r>
      </w:hyperlink>
      <w:r w:rsidRPr="007F2A9F">
        <w:rPr>
          <w:sz w:val="24"/>
          <w:szCs w:val="24"/>
          <w:lang w:val="sl-SI"/>
        </w:rPr>
        <w:t>.</w:t>
      </w:r>
    </w:p>
  </w:footnote>
  <w:footnote w:id="70">
    <w:p w14:paraId="5CC9C108" w14:textId="4EDBDE4E"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70" w:history="1">
        <w:r w:rsidRPr="007F2A9F">
          <w:rPr>
            <w:rStyle w:val="Hyperlink"/>
            <w:sz w:val="24"/>
            <w:szCs w:val="24"/>
            <w:lang w:val="sl-SI"/>
          </w:rPr>
          <w:t>http://data.europa.eu/eli/reg/2024/2509/oj</w:t>
        </w:r>
      </w:hyperlink>
      <w:r w:rsidRPr="007F2A9F">
        <w:rPr>
          <w:sz w:val="24"/>
          <w:szCs w:val="24"/>
          <w:lang w:val="sl-SI"/>
        </w:rPr>
        <w:t>.</w:t>
      </w:r>
    </w:p>
  </w:footnote>
  <w:footnote w:id="71">
    <w:p w14:paraId="42FF3EA7" w14:textId="03C7EF40"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256, 19.7.2021, str. 3, ELI: </w:t>
      </w:r>
      <w:hyperlink r:id="rId71" w:history="1">
        <w:r w:rsidRPr="007F2A9F">
          <w:rPr>
            <w:rStyle w:val="Hyperlink"/>
            <w:sz w:val="24"/>
            <w:szCs w:val="24"/>
            <w:lang w:val="sl-SI"/>
          </w:rPr>
          <w:t>https://eur-lex.europa.eu/eli/reg/2021/1173/oj</w:t>
        </w:r>
      </w:hyperlink>
      <w:r w:rsidRPr="007F2A9F">
        <w:rPr>
          <w:sz w:val="24"/>
          <w:szCs w:val="24"/>
          <w:lang w:val="sl-SI"/>
        </w:rPr>
        <w:t>.</w:t>
      </w:r>
    </w:p>
  </w:footnote>
  <w:footnote w:id="72">
    <w:p w14:paraId="551351FA" w14:textId="69B5A0EB"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72" w:history="1">
        <w:r w:rsidRPr="007F2A9F">
          <w:rPr>
            <w:rStyle w:val="Hyperlink"/>
            <w:sz w:val="24"/>
            <w:szCs w:val="24"/>
            <w:lang w:val="sl-SI"/>
          </w:rPr>
          <w:t>http://data.europa.eu/eli/reg_del/2019/887/oj</w:t>
        </w:r>
      </w:hyperlink>
      <w:r w:rsidRPr="007F2A9F">
        <w:rPr>
          <w:sz w:val="24"/>
          <w:szCs w:val="24"/>
          <w:lang w:val="sl-SI"/>
        </w:rPr>
        <w:t>.</w:t>
      </w:r>
    </w:p>
  </w:footnote>
  <w:footnote w:id="73">
    <w:p w14:paraId="613CBE55" w14:textId="1CB44050"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UL C, C/2025/5736, 31.10.2025, ELI: </w:t>
      </w:r>
      <w:hyperlink r:id="rId73" w:tgtFrame="_blank" w:tooltip="Povezava ELI na ta dokument." w:history="1">
        <w:r w:rsidRPr="007F2A9F">
          <w:rPr>
            <w:color w:val="0563C1"/>
            <w:szCs w:val="24"/>
            <w:u w:val="single"/>
          </w:rPr>
          <w:t>http://data.europa.eu/eli/C/2025/5736/oj</w:t>
        </w:r>
      </w:hyperlink>
      <w:r w:rsidRPr="007F2A9F">
        <w:rPr>
          <w:szCs w:val="24"/>
        </w:rPr>
        <w:t>.</w:t>
      </w:r>
    </w:p>
  </w:footnote>
  <w:footnote w:id="74">
    <w:p w14:paraId="725EACE6" w14:textId="23470FCA"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UL C, C/2025/5407, 13.10.2025, ELI: </w:t>
      </w:r>
      <w:hyperlink r:id="rId74" w:tgtFrame="_blank" w:tooltip="Povezava ELI na ta dokument." w:history="1">
        <w:r w:rsidRPr="007F2A9F">
          <w:rPr>
            <w:color w:val="467886"/>
            <w:szCs w:val="24"/>
            <w:u w:val="single"/>
          </w:rPr>
          <w:t>http://data.europa.eu/eli/C/2025/5407/oj</w:t>
        </w:r>
      </w:hyperlink>
      <w:r w:rsidRPr="007F2A9F">
        <w:rPr>
          <w:szCs w:val="24"/>
        </w:rPr>
        <w:t>.</w:t>
      </w:r>
    </w:p>
  </w:footnote>
  <w:footnote w:id="75">
    <w:p w14:paraId="351BF495" w14:textId="4DA80A74"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75" w:history="1">
        <w:r w:rsidRPr="007F2A9F">
          <w:rPr>
            <w:rStyle w:val="Hyperlink"/>
            <w:sz w:val="24"/>
            <w:szCs w:val="24"/>
            <w:lang w:val="sl-SI"/>
          </w:rPr>
          <w:t>http://data.europa.eu/eli/reg/2018/1046/oj</w:t>
        </w:r>
      </w:hyperlink>
      <w:r w:rsidRPr="007F2A9F">
        <w:rPr>
          <w:sz w:val="24"/>
          <w:szCs w:val="24"/>
          <w:lang w:val="sl-SI"/>
        </w:rPr>
        <w:t>.</w:t>
      </w:r>
    </w:p>
  </w:footnote>
  <w:footnote w:id="76">
    <w:p w14:paraId="0C82C9E1" w14:textId="45A450F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76" w:history="1">
        <w:r w:rsidRPr="007F2A9F">
          <w:rPr>
            <w:rStyle w:val="Hyperlink"/>
            <w:sz w:val="24"/>
            <w:szCs w:val="24"/>
            <w:lang w:val="sl-SI"/>
          </w:rPr>
          <w:t>http://data.europa.eu/eli/reg/2024/2509/oj</w:t>
        </w:r>
      </w:hyperlink>
      <w:r w:rsidRPr="007F2A9F">
        <w:rPr>
          <w:sz w:val="24"/>
          <w:szCs w:val="24"/>
          <w:lang w:val="sl-SI"/>
        </w:rPr>
        <w:t>.</w:t>
      </w:r>
    </w:p>
  </w:footnote>
  <w:footnote w:id="77">
    <w:p w14:paraId="108776BC" w14:textId="1E51D8DA"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90, 30.3.2007, str. 58, ELI: </w:t>
      </w:r>
      <w:hyperlink r:id="rId77" w:history="1">
        <w:r w:rsidRPr="007F2A9F">
          <w:rPr>
            <w:rStyle w:val="Hyperlink"/>
            <w:sz w:val="24"/>
            <w:szCs w:val="24"/>
            <w:lang w:val="sl-SI"/>
          </w:rPr>
          <w:t>http://data.europa.eu/eli/dec/2007/198/oj</w:t>
        </w:r>
      </w:hyperlink>
      <w:r w:rsidRPr="007F2A9F">
        <w:rPr>
          <w:sz w:val="24"/>
          <w:szCs w:val="24"/>
          <w:lang w:val="sl-SI"/>
        </w:rPr>
        <w:t>.</w:t>
      </w:r>
    </w:p>
  </w:footnote>
  <w:footnote w:id="78">
    <w:p w14:paraId="37E2D467" w14:textId="6EB663D2"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122, 10.5.2019, str. 1, ELI: </w:t>
      </w:r>
      <w:hyperlink r:id="rId78" w:history="1">
        <w:r w:rsidRPr="007F2A9F">
          <w:rPr>
            <w:rStyle w:val="Hyperlink"/>
            <w:sz w:val="24"/>
            <w:szCs w:val="24"/>
            <w:lang w:val="sl-SI"/>
          </w:rPr>
          <w:t>http://data.europa.eu/eli/reg_del/2019/715/oj</w:t>
        </w:r>
      </w:hyperlink>
      <w:r w:rsidRPr="007F2A9F">
        <w:rPr>
          <w:sz w:val="24"/>
          <w:szCs w:val="24"/>
          <w:lang w:val="sl-SI"/>
        </w:rPr>
        <w:t>.</w:t>
      </w:r>
    </w:p>
  </w:footnote>
  <w:footnote w:id="79">
    <w:p w14:paraId="13FB3F8C" w14:textId="38F50D11"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79" w:tgtFrame="_blank" w:tooltip="Povezava ELI na ta dokument." w:history="1">
        <w:r w:rsidRPr="007F2A9F">
          <w:rPr>
            <w:color w:val="0563C1"/>
            <w:szCs w:val="24"/>
            <w:u w:val="single"/>
          </w:rPr>
          <w:t>http://data.europa.eu/eli/C/2025/5736/oj</w:t>
        </w:r>
      </w:hyperlink>
      <w:r w:rsidRPr="007F2A9F">
        <w:rPr>
          <w:szCs w:val="24"/>
        </w:rPr>
        <w:t>.</w:t>
      </w:r>
    </w:p>
  </w:footnote>
  <w:footnote w:id="80">
    <w:p w14:paraId="28C1A651" w14:textId="37123C39"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80" w:tgtFrame="_blank" w:tooltip="Povezava ELI na ta dokument." w:history="1">
        <w:r w:rsidRPr="007F2A9F">
          <w:rPr>
            <w:color w:val="467886"/>
            <w:szCs w:val="24"/>
            <w:u w:val="single"/>
          </w:rPr>
          <w:t>http://data.europa.eu/eli/C/2025/5407/oj</w:t>
        </w:r>
      </w:hyperlink>
      <w:r w:rsidRPr="007F2A9F">
        <w:rPr>
          <w:szCs w:val="24"/>
        </w:rPr>
        <w:t>.</w:t>
      </w:r>
    </w:p>
  </w:footnote>
  <w:footnote w:id="81">
    <w:p w14:paraId="28163DB4" w14:textId="292D2521"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81" w:history="1">
        <w:r w:rsidRPr="007F2A9F">
          <w:rPr>
            <w:rStyle w:val="Hyperlink"/>
            <w:sz w:val="24"/>
            <w:szCs w:val="24"/>
            <w:lang w:val="sl-SI"/>
          </w:rPr>
          <w:t>http://data.europa.eu/eli/reg/2018/1046/oj</w:t>
        </w:r>
      </w:hyperlink>
      <w:r w:rsidRPr="007F2A9F">
        <w:rPr>
          <w:sz w:val="24"/>
          <w:szCs w:val="24"/>
          <w:lang w:val="sl-SI"/>
        </w:rPr>
        <w:t>.</w:t>
      </w:r>
    </w:p>
  </w:footnote>
  <w:footnote w:id="82">
    <w:p w14:paraId="7849F8C8" w14:textId="1942A5F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82" w:history="1">
        <w:r w:rsidRPr="007F2A9F">
          <w:rPr>
            <w:rStyle w:val="Hyperlink"/>
            <w:sz w:val="24"/>
            <w:szCs w:val="24"/>
            <w:lang w:val="sl-SI"/>
          </w:rPr>
          <w:t>http://data.europa.eu/eli/reg/2024/2509/oj</w:t>
        </w:r>
      </w:hyperlink>
      <w:r w:rsidRPr="007F2A9F">
        <w:rPr>
          <w:sz w:val="24"/>
          <w:szCs w:val="24"/>
          <w:lang w:val="sl-SI"/>
        </w:rPr>
        <w:t>.</w:t>
      </w:r>
    </w:p>
  </w:footnote>
  <w:footnote w:id="83">
    <w:p w14:paraId="48D9FB0E" w14:textId="55968FF4"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90, 30.3.2007, str. 58, ELI: </w:t>
      </w:r>
      <w:hyperlink r:id="rId83" w:history="1">
        <w:r w:rsidRPr="007F2A9F">
          <w:rPr>
            <w:rStyle w:val="Hyperlink"/>
            <w:sz w:val="24"/>
            <w:szCs w:val="24"/>
            <w:lang w:val="sl-SI"/>
          </w:rPr>
          <w:t>http://data.europa.eu/eli/dec/2007/198/oj</w:t>
        </w:r>
      </w:hyperlink>
      <w:r w:rsidRPr="007F2A9F">
        <w:rPr>
          <w:sz w:val="24"/>
          <w:szCs w:val="24"/>
          <w:lang w:val="sl-SI"/>
        </w:rPr>
        <w:t>.</w:t>
      </w:r>
    </w:p>
  </w:footnote>
  <w:footnote w:id="84">
    <w:p w14:paraId="6D811F3A" w14:textId="44583DF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122, 10.5.2019, str. 1, ELI: </w:t>
      </w:r>
      <w:hyperlink r:id="rId84" w:history="1">
        <w:r w:rsidRPr="007F2A9F">
          <w:rPr>
            <w:rStyle w:val="Hyperlink"/>
            <w:sz w:val="24"/>
            <w:szCs w:val="24"/>
            <w:lang w:val="sl-SI"/>
          </w:rPr>
          <w:t>http://data.europa.eu/eli/reg_del/2019/715/oj</w:t>
        </w:r>
      </w:hyperlink>
      <w:r w:rsidRPr="007F2A9F">
        <w:rPr>
          <w:sz w:val="24"/>
          <w:szCs w:val="24"/>
          <w:lang w:val="sl-SI"/>
        </w:rPr>
        <w:t>.</w:t>
      </w:r>
    </w:p>
  </w:footnote>
  <w:footnote w:id="85">
    <w:p w14:paraId="0D97D76E" w14:textId="689BD107"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85" w:tgtFrame="_blank" w:tooltip="Povezava ELI na ta dokument." w:history="1">
        <w:r w:rsidRPr="007F2A9F">
          <w:rPr>
            <w:color w:val="0563C1"/>
            <w:szCs w:val="24"/>
            <w:u w:val="single"/>
          </w:rPr>
          <w:t>http://data.europa.eu/eli/C/2025/5736/oj</w:t>
        </w:r>
      </w:hyperlink>
      <w:r w:rsidRPr="007F2A9F">
        <w:rPr>
          <w:szCs w:val="24"/>
        </w:rPr>
        <w:t>.</w:t>
      </w:r>
    </w:p>
  </w:footnote>
  <w:footnote w:id="86">
    <w:p w14:paraId="1530450B" w14:textId="07CCB16F"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86" w:tgtFrame="_blank" w:tooltip="Povezava ELI na ta dokument." w:history="1">
        <w:r w:rsidRPr="007F2A9F">
          <w:rPr>
            <w:color w:val="467886"/>
            <w:szCs w:val="24"/>
            <w:u w:val="single"/>
          </w:rPr>
          <w:t>http://data.europa.eu/eli/C/2025/5407/oj</w:t>
        </w:r>
      </w:hyperlink>
      <w:r w:rsidRPr="007F2A9F">
        <w:rPr>
          <w:szCs w:val="24"/>
        </w:rPr>
        <w:t>.</w:t>
      </w:r>
    </w:p>
  </w:footnote>
  <w:footnote w:id="87">
    <w:p w14:paraId="77D585AB" w14:textId="416FB8D5"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87" w:history="1">
        <w:r w:rsidRPr="007F2A9F">
          <w:rPr>
            <w:rStyle w:val="Hyperlink"/>
            <w:sz w:val="24"/>
            <w:szCs w:val="24"/>
            <w:lang w:val="sl-SI"/>
          </w:rPr>
          <w:t>http://data.europa.eu/eli/reg/2018/1046/oj</w:t>
        </w:r>
      </w:hyperlink>
      <w:r w:rsidRPr="007F2A9F">
        <w:rPr>
          <w:sz w:val="24"/>
          <w:szCs w:val="24"/>
          <w:lang w:val="sl-SI"/>
        </w:rPr>
        <w:t>.</w:t>
      </w:r>
    </w:p>
  </w:footnote>
  <w:footnote w:id="88">
    <w:p w14:paraId="5575E6AF" w14:textId="68AA38D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88" w:history="1">
        <w:r w:rsidRPr="007F2A9F">
          <w:rPr>
            <w:rStyle w:val="Hyperlink"/>
            <w:sz w:val="24"/>
            <w:szCs w:val="24"/>
            <w:lang w:val="sl-SI"/>
          </w:rPr>
          <w:t>http://data.europa.eu/eli/reg/2024/2509/oj</w:t>
        </w:r>
      </w:hyperlink>
      <w:r w:rsidRPr="007F2A9F">
        <w:rPr>
          <w:sz w:val="24"/>
          <w:szCs w:val="24"/>
          <w:lang w:val="sl-SI"/>
        </w:rPr>
        <w:t>.</w:t>
      </w:r>
    </w:p>
  </w:footnote>
  <w:footnote w:id="89">
    <w:p w14:paraId="271FA144" w14:textId="197E6F8E"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89" w:history="1">
        <w:r w:rsidRPr="007F2A9F">
          <w:rPr>
            <w:rStyle w:val="Hyperlink"/>
            <w:sz w:val="24"/>
            <w:szCs w:val="24"/>
            <w:lang w:val="sl-SI"/>
          </w:rPr>
          <w:t>http://data.europa.eu/eli/reg/2021/2085/oj</w:t>
        </w:r>
      </w:hyperlink>
      <w:r w:rsidRPr="007F2A9F">
        <w:rPr>
          <w:sz w:val="24"/>
          <w:szCs w:val="24"/>
          <w:lang w:val="sl-SI"/>
        </w:rPr>
        <w:t>.</w:t>
      </w:r>
    </w:p>
  </w:footnote>
  <w:footnote w:id="90">
    <w:p w14:paraId="037A7171" w14:textId="0FB48223"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90" w:history="1">
        <w:r w:rsidRPr="007F2A9F">
          <w:rPr>
            <w:rStyle w:val="Hyperlink"/>
            <w:sz w:val="24"/>
            <w:szCs w:val="24"/>
            <w:lang w:val="sl-SI"/>
          </w:rPr>
          <w:t>http://data.europa.eu/eli/reg_del/2019/887/oj</w:t>
        </w:r>
      </w:hyperlink>
      <w:r w:rsidRPr="007F2A9F">
        <w:rPr>
          <w:sz w:val="24"/>
          <w:szCs w:val="24"/>
          <w:lang w:val="sl-SI"/>
        </w:rPr>
        <w:t>.</w:t>
      </w:r>
    </w:p>
  </w:footnote>
  <w:footnote w:id="91">
    <w:p w14:paraId="0B5EB753" w14:textId="52A804BE"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91" w:tgtFrame="_blank" w:tooltip="Povezava ELI na ta dokument." w:history="1">
        <w:r w:rsidRPr="007F2A9F">
          <w:rPr>
            <w:color w:val="0563C1"/>
            <w:szCs w:val="24"/>
            <w:u w:val="single"/>
          </w:rPr>
          <w:t>http://data.europa.eu/eli/C/2025/5736/oj</w:t>
        </w:r>
      </w:hyperlink>
      <w:r w:rsidRPr="007F2A9F">
        <w:rPr>
          <w:szCs w:val="24"/>
        </w:rPr>
        <w:t>.</w:t>
      </w:r>
    </w:p>
  </w:footnote>
  <w:footnote w:id="92">
    <w:p w14:paraId="4BAB9244" w14:textId="6DB3EE4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C/2025/5407, 13.10.2025, ELI: </w:t>
      </w:r>
      <w:hyperlink r:id="rId92" w:tgtFrame="_blank" w:tooltip="Povezava ELI na ta dokument." w:history="1">
        <w:r w:rsidRPr="007F2A9F">
          <w:rPr>
            <w:color w:val="467886"/>
            <w:sz w:val="24"/>
            <w:szCs w:val="24"/>
            <w:u w:val="single"/>
            <w:lang w:val="sl-SI"/>
          </w:rPr>
          <w:t>http://data.europa.eu/eli/C/2025/5407/oj</w:t>
        </w:r>
      </w:hyperlink>
      <w:r w:rsidRPr="007F2A9F">
        <w:rPr>
          <w:sz w:val="24"/>
          <w:szCs w:val="24"/>
          <w:lang w:val="sl-SI"/>
        </w:rPr>
        <w:t>.</w:t>
      </w:r>
    </w:p>
  </w:footnote>
  <w:footnote w:id="93">
    <w:p w14:paraId="10170D81" w14:textId="7B7C2C6E"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93" w:history="1">
        <w:r w:rsidRPr="007F2A9F">
          <w:rPr>
            <w:rStyle w:val="Hyperlink"/>
            <w:sz w:val="24"/>
            <w:szCs w:val="24"/>
            <w:lang w:val="sl-SI"/>
          </w:rPr>
          <w:t>http://data.europa.eu/eli/reg/2018/1046/oj</w:t>
        </w:r>
      </w:hyperlink>
      <w:r w:rsidRPr="007F2A9F">
        <w:rPr>
          <w:sz w:val="24"/>
          <w:szCs w:val="24"/>
          <w:lang w:val="sl-SI"/>
        </w:rPr>
        <w:t>.</w:t>
      </w:r>
    </w:p>
  </w:footnote>
  <w:footnote w:id="94">
    <w:p w14:paraId="5F6DB653" w14:textId="6C89BC1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94" w:history="1">
        <w:r w:rsidRPr="007F2A9F">
          <w:rPr>
            <w:rStyle w:val="Hyperlink"/>
            <w:sz w:val="24"/>
            <w:szCs w:val="24"/>
            <w:lang w:val="sl-SI"/>
          </w:rPr>
          <w:t>http://data.europa.eu/eli/reg/2024/2509/oj</w:t>
        </w:r>
      </w:hyperlink>
      <w:r w:rsidRPr="007F2A9F">
        <w:rPr>
          <w:sz w:val="24"/>
          <w:szCs w:val="24"/>
          <w:lang w:val="sl-SI"/>
        </w:rPr>
        <w:t>.</w:t>
      </w:r>
    </w:p>
  </w:footnote>
  <w:footnote w:id="95">
    <w:p w14:paraId="0EF86B4B" w14:textId="16FB8F3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95" w:history="1">
        <w:r w:rsidRPr="007F2A9F">
          <w:rPr>
            <w:rStyle w:val="Hyperlink"/>
            <w:sz w:val="24"/>
            <w:szCs w:val="24"/>
            <w:lang w:val="sl-SI"/>
          </w:rPr>
          <w:t>http://data.europa.eu/eli/reg/2021/2085/oj</w:t>
        </w:r>
      </w:hyperlink>
      <w:r w:rsidRPr="007F2A9F">
        <w:rPr>
          <w:sz w:val="24"/>
          <w:szCs w:val="24"/>
          <w:lang w:val="sl-SI"/>
        </w:rPr>
        <w:t>.</w:t>
      </w:r>
    </w:p>
  </w:footnote>
  <w:footnote w:id="96">
    <w:p w14:paraId="6B38C741" w14:textId="1542F5A9"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96" w:history="1">
        <w:r w:rsidRPr="007F2A9F">
          <w:rPr>
            <w:rStyle w:val="Hyperlink"/>
            <w:sz w:val="24"/>
            <w:szCs w:val="24"/>
            <w:lang w:val="sl-SI"/>
          </w:rPr>
          <w:t>http://data.europa.eu/eli/reg_del/2019/887/oj</w:t>
        </w:r>
      </w:hyperlink>
      <w:r w:rsidRPr="007F2A9F">
        <w:rPr>
          <w:sz w:val="24"/>
          <w:szCs w:val="24"/>
          <w:lang w:val="sl-SI"/>
        </w:rPr>
        <w:t>.</w:t>
      </w:r>
    </w:p>
  </w:footnote>
  <w:footnote w:id="97">
    <w:p w14:paraId="7C40EC7D" w14:textId="45924FEA"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97" w:tgtFrame="_blank" w:tooltip="Povezava ELI na ta dokument." w:history="1">
        <w:r w:rsidRPr="007F2A9F">
          <w:rPr>
            <w:color w:val="0563C1"/>
            <w:szCs w:val="24"/>
            <w:u w:val="single"/>
          </w:rPr>
          <w:t>http://data.europa.eu/eli/C/2025/5736/oj</w:t>
        </w:r>
      </w:hyperlink>
      <w:r w:rsidRPr="007F2A9F">
        <w:rPr>
          <w:szCs w:val="24"/>
        </w:rPr>
        <w:t>.</w:t>
      </w:r>
    </w:p>
  </w:footnote>
  <w:footnote w:id="98">
    <w:p w14:paraId="61BD7C8E" w14:textId="65CAF5E5"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C, C/2025/5407, 13.10.2025, ELI: </w:t>
      </w:r>
      <w:hyperlink r:id="rId98" w:tgtFrame="_blank" w:tooltip="Povezava ELI na ta dokument." w:history="1">
        <w:r w:rsidRPr="007F2A9F">
          <w:rPr>
            <w:color w:val="467886"/>
            <w:sz w:val="24"/>
            <w:szCs w:val="24"/>
            <w:u w:val="single"/>
            <w:lang w:val="sl-SI"/>
          </w:rPr>
          <w:t>http://data.europa.eu/eli/C/2025/5407/oj</w:t>
        </w:r>
      </w:hyperlink>
      <w:r w:rsidRPr="007F2A9F">
        <w:rPr>
          <w:sz w:val="24"/>
          <w:szCs w:val="24"/>
          <w:lang w:val="sl-SI"/>
        </w:rPr>
        <w:t>.</w:t>
      </w:r>
    </w:p>
  </w:footnote>
  <w:footnote w:id="99">
    <w:p w14:paraId="3D604B3F" w14:textId="03BA4152"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99" w:history="1">
        <w:r w:rsidRPr="007F2A9F">
          <w:rPr>
            <w:rStyle w:val="Hyperlink"/>
            <w:sz w:val="24"/>
            <w:szCs w:val="24"/>
            <w:lang w:val="sl-SI"/>
          </w:rPr>
          <w:t>http://data.europa.eu/eli/reg/2018/1046/oj</w:t>
        </w:r>
      </w:hyperlink>
      <w:r w:rsidRPr="007F2A9F">
        <w:rPr>
          <w:sz w:val="24"/>
          <w:szCs w:val="24"/>
          <w:lang w:val="sl-SI"/>
        </w:rPr>
        <w:t>.</w:t>
      </w:r>
    </w:p>
  </w:footnote>
  <w:footnote w:id="100">
    <w:p w14:paraId="32338CCD" w14:textId="07E61DF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100" w:history="1">
        <w:r w:rsidRPr="007F2A9F">
          <w:rPr>
            <w:rStyle w:val="Hyperlink"/>
            <w:sz w:val="24"/>
            <w:szCs w:val="24"/>
            <w:lang w:val="sl-SI"/>
          </w:rPr>
          <w:t>http://data.europa.eu/eli/reg/2024/2509/oj</w:t>
        </w:r>
      </w:hyperlink>
      <w:r w:rsidRPr="007F2A9F">
        <w:rPr>
          <w:sz w:val="24"/>
          <w:szCs w:val="24"/>
          <w:lang w:val="sl-SI"/>
        </w:rPr>
        <w:t>.</w:t>
      </w:r>
    </w:p>
  </w:footnote>
  <w:footnote w:id="101">
    <w:p w14:paraId="7EAD50F0" w14:textId="4E05FF42"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01" w:history="1">
        <w:r w:rsidRPr="007F2A9F">
          <w:rPr>
            <w:rStyle w:val="Hyperlink"/>
            <w:sz w:val="24"/>
            <w:szCs w:val="24"/>
            <w:lang w:val="sl-SI"/>
          </w:rPr>
          <w:t>http://data.europa.eu/eli/reg/2021/2085/oj</w:t>
        </w:r>
      </w:hyperlink>
      <w:r w:rsidRPr="007F2A9F">
        <w:rPr>
          <w:sz w:val="24"/>
          <w:szCs w:val="24"/>
          <w:lang w:val="sl-SI"/>
        </w:rPr>
        <w:t>.</w:t>
      </w:r>
    </w:p>
  </w:footnote>
  <w:footnote w:id="102">
    <w:p w14:paraId="5A06F76E" w14:textId="23E25F10"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102" w:history="1">
        <w:r w:rsidRPr="007F2A9F">
          <w:rPr>
            <w:rStyle w:val="Hyperlink"/>
            <w:sz w:val="24"/>
            <w:szCs w:val="24"/>
            <w:lang w:val="sl-SI"/>
          </w:rPr>
          <w:t>http://data.europa.eu/eli/reg_del/2019/887/oj</w:t>
        </w:r>
      </w:hyperlink>
      <w:r w:rsidRPr="007F2A9F">
        <w:rPr>
          <w:sz w:val="24"/>
          <w:szCs w:val="24"/>
          <w:lang w:val="sl-SI"/>
        </w:rPr>
        <w:t>.</w:t>
      </w:r>
    </w:p>
  </w:footnote>
  <w:footnote w:id="103">
    <w:p w14:paraId="584F14B2" w14:textId="52DFBD55"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103" w:tgtFrame="_blank" w:tooltip="Povezava ELI na ta dokument." w:history="1">
        <w:r w:rsidRPr="007F2A9F">
          <w:rPr>
            <w:color w:val="0563C1"/>
            <w:szCs w:val="24"/>
            <w:u w:val="single"/>
          </w:rPr>
          <w:t>http://data.europa.eu/eli/C/2025/5736/oj</w:t>
        </w:r>
      </w:hyperlink>
      <w:r w:rsidRPr="007F2A9F">
        <w:rPr>
          <w:szCs w:val="24"/>
        </w:rPr>
        <w:t>.</w:t>
      </w:r>
    </w:p>
  </w:footnote>
  <w:footnote w:id="104">
    <w:p w14:paraId="6CD9D36B" w14:textId="76B93116"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104" w:tgtFrame="_blank" w:tooltip="Povezava ELI na ta dokument." w:history="1">
        <w:r w:rsidRPr="007F2A9F">
          <w:rPr>
            <w:color w:val="467886"/>
            <w:szCs w:val="24"/>
            <w:u w:val="single"/>
          </w:rPr>
          <w:t>http://data.europa.eu/eli/C/2025/5407/oj</w:t>
        </w:r>
      </w:hyperlink>
      <w:r w:rsidRPr="007F2A9F">
        <w:rPr>
          <w:szCs w:val="24"/>
        </w:rPr>
        <w:t>.</w:t>
      </w:r>
    </w:p>
  </w:footnote>
  <w:footnote w:id="105">
    <w:p w14:paraId="7B909924" w14:textId="4098C96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105" w:history="1">
        <w:r w:rsidRPr="007F2A9F">
          <w:rPr>
            <w:rStyle w:val="Hyperlink"/>
            <w:sz w:val="24"/>
            <w:szCs w:val="24"/>
            <w:lang w:val="sl-SI"/>
          </w:rPr>
          <w:t>http://data.europa.eu/eli/reg/2018/1046/oj</w:t>
        </w:r>
      </w:hyperlink>
      <w:r w:rsidRPr="007F2A9F">
        <w:rPr>
          <w:sz w:val="24"/>
          <w:szCs w:val="24"/>
          <w:lang w:val="sl-SI"/>
        </w:rPr>
        <w:t>.</w:t>
      </w:r>
    </w:p>
  </w:footnote>
  <w:footnote w:id="106">
    <w:p w14:paraId="75500238" w14:textId="13323349"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106" w:history="1">
        <w:r w:rsidRPr="007F2A9F">
          <w:rPr>
            <w:rStyle w:val="Hyperlink"/>
            <w:sz w:val="24"/>
            <w:szCs w:val="24"/>
            <w:lang w:val="sl-SI"/>
          </w:rPr>
          <w:t>http://data.europa.eu/eli/reg/2024/2509/oj</w:t>
        </w:r>
      </w:hyperlink>
      <w:r w:rsidRPr="007F2A9F">
        <w:rPr>
          <w:sz w:val="24"/>
          <w:szCs w:val="24"/>
          <w:lang w:val="sl-SI"/>
        </w:rPr>
        <w:t>.</w:t>
      </w:r>
    </w:p>
  </w:footnote>
  <w:footnote w:id="107">
    <w:p w14:paraId="19722032" w14:textId="692A6961"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07" w:history="1">
        <w:r w:rsidRPr="007F2A9F">
          <w:rPr>
            <w:rStyle w:val="Hyperlink"/>
            <w:sz w:val="24"/>
            <w:szCs w:val="24"/>
            <w:lang w:val="sl-SI"/>
          </w:rPr>
          <w:t>http://data.europa.eu/eli/reg/2021/2085/oj</w:t>
        </w:r>
      </w:hyperlink>
      <w:r w:rsidRPr="007F2A9F">
        <w:rPr>
          <w:sz w:val="24"/>
          <w:szCs w:val="24"/>
          <w:lang w:val="sl-SI"/>
        </w:rPr>
        <w:t>.</w:t>
      </w:r>
    </w:p>
  </w:footnote>
  <w:footnote w:id="108">
    <w:p w14:paraId="4A49EFC3" w14:textId="2362D009"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108" w:history="1">
        <w:r w:rsidRPr="007F2A9F">
          <w:rPr>
            <w:rStyle w:val="Hyperlink"/>
            <w:sz w:val="24"/>
            <w:szCs w:val="24"/>
            <w:lang w:val="sl-SI"/>
          </w:rPr>
          <w:t>http://data.europa.eu/eli/reg_del/2019/887/oj</w:t>
        </w:r>
      </w:hyperlink>
      <w:r w:rsidRPr="007F2A9F">
        <w:rPr>
          <w:sz w:val="24"/>
          <w:szCs w:val="24"/>
          <w:lang w:val="sl-SI"/>
        </w:rPr>
        <w:t>.</w:t>
      </w:r>
    </w:p>
  </w:footnote>
  <w:footnote w:id="109">
    <w:p w14:paraId="117FDE44" w14:textId="56E1A9FB"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UL C, C/2025/5736, 31.10.2025, ELI: </w:t>
      </w:r>
      <w:hyperlink r:id="rId109" w:tgtFrame="_blank" w:tooltip="Povezava ELI na ta dokument." w:history="1">
        <w:r w:rsidRPr="007F2A9F">
          <w:rPr>
            <w:color w:val="0563C1"/>
            <w:szCs w:val="24"/>
            <w:u w:val="single"/>
          </w:rPr>
          <w:t>http://data.europa.eu/eli/C/2025/5736/oj</w:t>
        </w:r>
      </w:hyperlink>
      <w:r w:rsidRPr="007F2A9F">
        <w:rPr>
          <w:szCs w:val="24"/>
        </w:rPr>
        <w:t>.</w:t>
      </w:r>
    </w:p>
  </w:footnote>
  <w:footnote w:id="110">
    <w:p w14:paraId="717E82AF" w14:textId="5C899B05"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UL C, C/2025/5407, 13.10.2025, ELI: </w:t>
      </w:r>
      <w:hyperlink r:id="rId110" w:tgtFrame="_blank" w:tooltip="Povezava ELI na ta dokument." w:history="1">
        <w:r w:rsidRPr="007F2A9F">
          <w:rPr>
            <w:color w:val="467886"/>
            <w:szCs w:val="24"/>
            <w:u w:val="single"/>
          </w:rPr>
          <w:t>http://data.europa.eu/eli/C/2025/5407/oj</w:t>
        </w:r>
      </w:hyperlink>
      <w:r w:rsidRPr="007F2A9F">
        <w:rPr>
          <w:szCs w:val="24"/>
        </w:rPr>
        <w:t>.</w:t>
      </w:r>
    </w:p>
  </w:footnote>
  <w:footnote w:id="111">
    <w:p w14:paraId="1D686551" w14:textId="6DC048EB"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111" w:history="1">
        <w:r w:rsidRPr="007F2A9F">
          <w:rPr>
            <w:rStyle w:val="Hyperlink"/>
            <w:sz w:val="24"/>
            <w:szCs w:val="24"/>
            <w:lang w:val="sl-SI"/>
          </w:rPr>
          <w:t>http://data.europa.eu/eli/reg/2018/1046/oj</w:t>
        </w:r>
      </w:hyperlink>
      <w:r w:rsidRPr="007F2A9F">
        <w:rPr>
          <w:sz w:val="24"/>
          <w:szCs w:val="24"/>
          <w:lang w:val="sl-SI"/>
        </w:rPr>
        <w:t>.</w:t>
      </w:r>
    </w:p>
  </w:footnote>
  <w:footnote w:id="112">
    <w:p w14:paraId="4903A413" w14:textId="2B2809D1"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112" w:history="1">
        <w:r w:rsidRPr="007F2A9F">
          <w:rPr>
            <w:rStyle w:val="Hyperlink"/>
            <w:sz w:val="24"/>
            <w:szCs w:val="24"/>
            <w:lang w:val="sl-SI"/>
          </w:rPr>
          <w:t>http://data.europa.eu/eli/reg/2024/2509/oj</w:t>
        </w:r>
      </w:hyperlink>
      <w:r w:rsidRPr="007F2A9F">
        <w:rPr>
          <w:sz w:val="24"/>
          <w:szCs w:val="24"/>
          <w:lang w:val="sl-SI"/>
        </w:rPr>
        <w:t>.</w:t>
      </w:r>
    </w:p>
  </w:footnote>
  <w:footnote w:id="113">
    <w:p w14:paraId="2BBA49F7" w14:textId="1FAAF004"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13" w:history="1">
        <w:r w:rsidRPr="007F2A9F">
          <w:rPr>
            <w:rStyle w:val="Hyperlink"/>
            <w:sz w:val="24"/>
            <w:szCs w:val="24"/>
            <w:lang w:val="sl-SI"/>
          </w:rPr>
          <w:t>http://data.europa.eu/eli/reg/2021/2085/oj</w:t>
        </w:r>
      </w:hyperlink>
      <w:r w:rsidRPr="007F2A9F">
        <w:rPr>
          <w:sz w:val="24"/>
          <w:szCs w:val="24"/>
          <w:lang w:val="sl-SI"/>
        </w:rPr>
        <w:t>.</w:t>
      </w:r>
    </w:p>
  </w:footnote>
  <w:footnote w:id="114">
    <w:p w14:paraId="24B45323" w14:textId="50A8BF0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229, 18.9.2023, str. 55, ELI: </w:t>
      </w:r>
      <w:hyperlink r:id="rId114" w:history="1">
        <w:r w:rsidRPr="007F2A9F">
          <w:rPr>
            <w:rStyle w:val="Hyperlink"/>
            <w:sz w:val="24"/>
            <w:szCs w:val="24"/>
            <w:lang w:val="sl-SI"/>
          </w:rPr>
          <w:t>https://data.europa.eu/eli/reg/2023/1782/oj</w:t>
        </w:r>
      </w:hyperlink>
      <w:r w:rsidRPr="007F2A9F">
        <w:rPr>
          <w:sz w:val="24"/>
          <w:szCs w:val="24"/>
          <w:lang w:val="sl-SI"/>
        </w:rPr>
        <w:t>.</w:t>
      </w:r>
    </w:p>
  </w:footnote>
  <w:footnote w:id="115">
    <w:p w14:paraId="34E6275A" w14:textId="29A949AC"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115" w:history="1">
        <w:r w:rsidRPr="007F2A9F">
          <w:rPr>
            <w:rStyle w:val="Hyperlink"/>
            <w:sz w:val="24"/>
            <w:szCs w:val="24"/>
            <w:lang w:val="sl-SI"/>
          </w:rPr>
          <w:t>http://data.europa.eu/eli/reg_del/2019/887/oj</w:t>
        </w:r>
      </w:hyperlink>
      <w:r w:rsidRPr="007F2A9F">
        <w:rPr>
          <w:sz w:val="24"/>
          <w:szCs w:val="24"/>
          <w:lang w:val="sl-SI"/>
        </w:rPr>
        <w:t>.</w:t>
      </w:r>
    </w:p>
  </w:footnote>
  <w:footnote w:id="116">
    <w:p w14:paraId="7C808607" w14:textId="20DC3CCF"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116" w:tgtFrame="_blank" w:tooltip="Povezava ELI na ta dokument." w:history="1">
        <w:r w:rsidRPr="007F2A9F">
          <w:rPr>
            <w:color w:val="0563C1"/>
            <w:szCs w:val="24"/>
            <w:u w:val="single"/>
          </w:rPr>
          <w:t>http://data.europa.eu/eli/C/2025/5736/oj</w:t>
        </w:r>
      </w:hyperlink>
      <w:r w:rsidRPr="007F2A9F">
        <w:rPr>
          <w:szCs w:val="24"/>
        </w:rPr>
        <w:t>.</w:t>
      </w:r>
    </w:p>
  </w:footnote>
  <w:footnote w:id="117">
    <w:p w14:paraId="69A2AEAE" w14:textId="7851A27F"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117" w:tgtFrame="_blank" w:tooltip="Povezava ELI na ta dokument." w:history="1">
        <w:r w:rsidRPr="007F2A9F">
          <w:rPr>
            <w:color w:val="467886"/>
            <w:szCs w:val="24"/>
            <w:u w:val="single"/>
          </w:rPr>
          <w:t>http://data.europa.eu/eli/C/2025/5407/oj</w:t>
        </w:r>
      </w:hyperlink>
      <w:r w:rsidRPr="007F2A9F">
        <w:rPr>
          <w:szCs w:val="24"/>
        </w:rPr>
        <w:t>.</w:t>
      </w:r>
    </w:p>
  </w:footnote>
  <w:footnote w:id="118">
    <w:p w14:paraId="21143808" w14:textId="75F2BCDA"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118" w:history="1">
        <w:r w:rsidRPr="007F2A9F">
          <w:rPr>
            <w:rStyle w:val="Hyperlink"/>
            <w:sz w:val="24"/>
            <w:szCs w:val="24"/>
            <w:lang w:val="sl-SI"/>
          </w:rPr>
          <w:t>http://data.europa.eu/eli/reg/2018/1046/oj</w:t>
        </w:r>
      </w:hyperlink>
      <w:r w:rsidRPr="007F2A9F">
        <w:rPr>
          <w:sz w:val="24"/>
          <w:szCs w:val="24"/>
          <w:lang w:val="sl-SI"/>
        </w:rPr>
        <w:t>.</w:t>
      </w:r>
    </w:p>
  </w:footnote>
  <w:footnote w:id="119">
    <w:p w14:paraId="1FB65730" w14:textId="2816F6E2"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119" w:history="1">
        <w:r w:rsidRPr="007F2A9F">
          <w:rPr>
            <w:rStyle w:val="Hyperlink"/>
            <w:sz w:val="24"/>
            <w:szCs w:val="24"/>
            <w:lang w:val="sl-SI"/>
          </w:rPr>
          <w:t>http://data.europa.eu/eli/reg/2024/2509/oj</w:t>
        </w:r>
      </w:hyperlink>
      <w:r w:rsidRPr="007F2A9F">
        <w:rPr>
          <w:sz w:val="24"/>
          <w:szCs w:val="24"/>
          <w:lang w:val="sl-SI"/>
        </w:rPr>
        <w:t>.</w:t>
      </w:r>
    </w:p>
  </w:footnote>
  <w:footnote w:id="120">
    <w:p w14:paraId="313B7C78" w14:textId="0DE1E87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20" w:history="1">
        <w:r w:rsidRPr="007F2A9F">
          <w:rPr>
            <w:rStyle w:val="Hyperlink"/>
            <w:sz w:val="24"/>
            <w:szCs w:val="24"/>
            <w:lang w:val="sl-SI"/>
          </w:rPr>
          <w:t>http://data.europa.eu/eli/reg/2021/2085/oj</w:t>
        </w:r>
      </w:hyperlink>
      <w:r w:rsidRPr="007F2A9F">
        <w:rPr>
          <w:sz w:val="24"/>
          <w:szCs w:val="24"/>
          <w:lang w:val="sl-SI"/>
        </w:rPr>
        <w:t>.</w:t>
      </w:r>
    </w:p>
  </w:footnote>
  <w:footnote w:id="121">
    <w:p w14:paraId="5222CBA1" w14:textId="2B9B2CB7"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229, 18.9.2023, str. 55, ELI: </w:t>
      </w:r>
      <w:hyperlink r:id="rId121" w:history="1">
        <w:r w:rsidRPr="007F2A9F">
          <w:rPr>
            <w:rStyle w:val="Hyperlink"/>
            <w:sz w:val="24"/>
            <w:szCs w:val="24"/>
            <w:lang w:val="sl-SI"/>
          </w:rPr>
          <w:t>https://data.europa.eu/eli/reg/2023/1782/oj</w:t>
        </w:r>
      </w:hyperlink>
      <w:r w:rsidRPr="007F2A9F">
        <w:rPr>
          <w:sz w:val="24"/>
          <w:szCs w:val="24"/>
          <w:lang w:val="sl-SI"/>
        </w:rPr>
        <w:t>.</w:t>
      </w:r>
    </w:p>
  </w:footnote>
  <w:footnote w:id="122">
    <w:p w14:paraId="1BEAB6A2" w14:textId="48206008"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122" w:history="1">
        <w:r w:rsidRPr="007F2A9F">
          <w:rPr>
            <w:rStyle w:val="Hyperlink"/>
            <w:sz w:val="24"/>
            <w:szCs w:val="24"/>
            <w:lang w:val="sl-SI"/>
          </w:rPr>
          <w:t>http://data.europa.eu/eli/reg_del/2019/887/oj</w:t>
        </w:r>
      </w:hyperlink>
      <w:r w:rsidRPr="007F2A9F">
        <w:rPr>
          <w:sz w:val="24"/>
          <w:szCs w:val="24"/>
          <w:lang w:val="sl-SI"/>
        </w:rPr>
        <w:t>.</w:t>
      </w:r>
    </w:p>
  </w:footnote>
  <w:footnote w:id="123">
    <w:p w14:paraId="166D21D9" w14:textId="3F0BA625"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123" w:tgtFrame="_blank" w:tooltip="Povezava ELI na ta dokument." w:history="1">
        <w:r w:rsidRPr="007F2A9F">
          <w:rPr>
            <w:color w:val="0563C1"/>
            <w:szCs w:val="24"/>
            <w:u w:val="single"/>
          </w:rPr>
          <w:t>http://data.europa.eu/eli/C/2025/5736/oj</w:t>
        </w:r>
      </w:hyperlink>
      <w:r w:rsidRPr="007F2A9F">
        <w:rPr>
          <w:szCs w:val="24"/>
        </w:rPr>
        <w:t>.</w:t>
      </w:r>
    </w:p>
  </w:footnote>
  <w:footnote w:id="124">
    <w:p w14:paraId="73B82FC3" w14:textId="1294D0D8"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124" w:tgtFrame="_blank" w:tooltip="Povezava ELI na ta dokument." w:history="1">
        <w:r w:rsidRPr="007F2A9F">
          <w:rPr>
            <w:color w:val="467886"/>
            <w:szCs w:val="24"/>
            <w:u w:val="single"/>
          </w:rPr>
          <w:t>http://data.europa.eu/eli/C/2025/5407/oj</w:t>
        </w:r>
      </w:hyperlink>
      <w:r w:rsidRPr="007F2A9F">
        <w:rPr>
          <w:szCs w:val="24"/>
        </w:rPr>
        <w:t>.</w:t>
      </w:r>
    </w:p>
  </w:footnote>
  <w:footnote w:id="125">
    <w:p w14:paraId="7C0D32F0" w14:textId="4A1EC31C"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125" w:history="1">
        <w:r w:rsidRPr="007F2A9F">
          <w:rPr>
            <w:rStyle w:val="Hyperlink"/>
            <w:sz w:val="24"/>
            <w:szCs w:val="24"/>
            <w:lang w:val="sl-SI"/>
          </w:rPr>
          <w:t>http://data.europa.eu/eli/reg/2018/1046/oj</w:t>
        </w:r>
      </w:hyperlink>
      <w:r w:rsidRPr="007F2A9F">
        <w:rPr>
          <w:sz w:val="24"/>
          <w:szCs w:val="24"/>
          <w:lang w:val="sl-SI"/>
        </w:rPr>
        <w:t>.</w:t>
      </w:r>
    </w:p>
  </w:footnote>
  <w:footnote w:id="126">
    <w:p w14:paraId="21681EFF" w14:textId="5F31FDB7"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126" w:history="1">
        <w:r w:rsidRPr="007F2A9F">
          <w:rPr>
            <w:rStyle w:val="Hyperlink"/>
            <w:sz w:val="24"/>
            <w:szCs w:val="24"/>
            <w:lang w:val="sl-SI"/>
          </w:rPr>
          <w:t>http://data.europa.eu/eli/reg/2024/2509/oj</w:t>
        </w:r>
      </w:hyperlink>
      <w:r w:rsidRPr="007F2A9F">
        <w:rPr>
          <w:sz w:val="24"/>
          <w:szCs w:val="24"/>
          <w:lang w:val="sl-SI"/>
        </w:rPr>
        <w:t>.</w:t>
      </w:r>
    </w:p>
  </w:footnote>
  <w:footnote w:id="127">
    <w:p w14:paraId="3279CF37" w14:textId="03320FA5"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27" w:history="1">
        <w:r w:rsidRPr="007F2A9F">
          <w:rPr>
            <w:rStyle w:val="Hyperlink"/>
            <w:sz w:val="24"/>
            <w:szCs w:val="24"/>
            <w:lang w:val="sl-SI"/>
          </w:rPr>
          <w:t>http://data.europa.eu/eli/reg/2021/2085/oj</w:t>
        </w:r>
      </w:hyperlink>
      <w:r w:rsidRPr="007F2A9F">
        <w:rPr>
          <w:sz w:val="24"/>
          <w:szCs w:val="24"/>
          <w:lang w:val="sl-SI"/>
        </w:rPr>
        <w:t>.</w:t>
      </w:r>
    </w:p>
  </w:footnote>
  <w:footnote w:id="128">
    <w:p w14:paraId="060F3BC3" w14:textId="3D5040BA"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128" w:history="1">
        <w:r w:rsidRPr="007F2A9F">
          <w:rPr>
            <w:rStyle w:val="Hyperlink"/>
            <w:sz w:val="24"/>
            <w:szCs w:val="24"/>
            <w:lang w:val="sl-SI"/>
          </w:rPr>
          <w:t>http://data.europa.eu/eli/reg_del/2019/887/oj</w:t>
        </w:r>
      </w:hyperlink>
      <w:r w:rsidRPr="007F2A9F">
        <w:rPr>
          <w:sz w:val="24"/>
          <w:szCs w:val="24"/>
          <w:lang w:val="sl-SI"/>
        </w:rPr>
        <w:t>.</w:t>
      </w:r>
    </w:p>
  </w:footnote>
  <w:footnote w:id="129">
    <w:p w14:paraId="117465F5" w14:textId="40F63CA3"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129" w:tgtFrame="_blank" w:tooltip="Povezava ELI na ta dokument." w:history="1">
        <w:r w:rsidRPr="007F2A9F">
          <w:rPr>
            <w:color w:val="0563C1"/>
            <w:szCs w:val="24"/>
            <w:u w:val="single"/>
          </w:rPr>
          <w:t>http://data.europa.eu/eli/C/2025/5736/oj</w:t>
        </w:r>
      </w:hyperlink>
      <w:r w:rsidRPr="007F2A9F">
        <w:rPr>
          <w:szCs w:val="24"/>
        </w:rPr>
        <w:t>.</w:t>
      </w:r>
    </w:p>
  </w:footnote>
  <w:footnote w:id="130">
    <w:p w14:paraId="397831BC" w14:textId="63880074"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130" w:tgtFrame="_blank" w:tooltip="Povezava ELI na ta dokument." w:history="1">
        <w:r w:rsidRPr="007F2A9F">
          <w:rPr>
            <w:color w:val="467886"/>
            <w:szCs w:val="24"/>
            <w:u w:val="single"/>
          </w:rPr>
          <w:t>http://data.europa.eu/eli/C/2025/5407/oj</w:t>
        </w:r>
      </w:hyperlink>
      <w:r w:rsidRPr="007F2A9F">
        <w:rPr>
          <w:szCs w:val="24"/>
        </w:rPr>
        <w:t>.</w:t>
      </w:r>
    </w:p>
  </w:footnote>
  <w:footnote w:id="131">
    <w:p w14:paraId="5318C8F2" w14:textId="53052CF5"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131" w:history="1">
        <w:r w:rsidRPr="007F2A9F">
          <w:rPr>
            <w:rStyle w:val="Hyperlink"/>
            <w:sz w:val="24"/>
            <w:szCs w:val="24"/>
            <w:lang w:val="sl-SI"/>
          </w:rPr>
          <w:t>http://data.europa.eu/eli/reg/2018/1046/oj</w:t>
        </w:r>
      </w:hyperlink>
      <w:r w:rsidRPr="007F2A9F">
        <w:rPr>
          <w:sz w:val="24"/>
          <w:szCs w:val="24"/>
          <w:lang w:val="sl-SI"/>
        </w:rPr>
        <w:t>.</w:t>
      </w:r>
    </w:p>
  </w:footnote>
  <w:footnote w:id="132">
    <w:p w14:paraId="78E1C8F9" w14:textId="46FEB9D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132" w:history="1">
        <w:r w:rsidRPr="007F2A9F">
          <w:rPr>
            <w:rStyle w:val="Hyperlink"/>
            <w:sz w:val="24"/>
            <w:szCs w:val="24"/>
            <w:lang w:val="sl-SI"/>
          </w:rPr>
          <w:t>http://data.europa.eu/eli/reg/2024/2509/oj</w:t>
        </w:r>
      </w:hyperlink>
      <w:r w:rsidRPr="007F2A9F">
        <w:rPr>
          <w:sz w:val="24"/>
          <w:szCs w:val="24"/>
          <w:lang w:val="sl-SI"/>
        </w:rPr>
        <w:t>.</w:t>
      </w:r>
    </w:p>
  </w:footnote>
  <w:footnote w:id="133">
    <w:p w14:paraId="08E7E93A" w14:textId="556E52E6"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33" w:history="1">
        <w:r w:rsidRPr="007F2A9F">
          <w:rPr>
            <w:rStyle w:val="Hyperlink"/>
            <w:sz w:val="24"/>
            <w:szCs w:val="24"/>
            <w:lang w:val="sl-SI"/>
          </w:rPr>
          <w:t>http://data.europa.eu/eli/reg/2021/2085/oj</w:t>
        </w:r>
      </w:hyperlink>
      <w:r w:rsidRPr="007F2A9F">
        <w:rPr>
          <w:sz w:val="24"/>
          <w:szCs w:val="24"/>
          <w:lang w:val="sl-SI"/>
        </w:rPr>
        <w:t>.</w:t>
      </w:r>
    </w:p>
  </w:footnote>
  <w:footnote w:id="134">
    <w:p w14:paraId="43EB17C8" w14:textId="185EAAA9"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134" w:history="1">
        <w:r w:rsidRPr="007F2A9F">
          <w:rPr>
            <w:rStyle w:val="Hyperlink"/>
            <w:sz w:val="24"/>
            <w:szCs w:val="24"/>
            <w:lang w:val="sl-SI"/>
          </w:rPr>
          <w:t>http://data.europa.eu/eli/reg_del/2019/887/oj</w:t>
        </w:r>
      </w:hyperlink>
      <w:r w:rsidRPr="007F2A9F">
        <w:rPr>
          <w:sz w:val="24"/>
          <w:szCs w:val="24"/>
          <w:lang w:val="sl-SI"/>
        </w:rPr>
        <w:t>.</w:t>
      </w:r>
    </w:p>
  </w:footnote>
  <w:footnote w:id="135">
    <w:p w14:paraId="2CFC38F6" w14:textId="3B9BC659"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135" w:tgtFrame="_blank" w:tooltip="Povezava ELI na ta dokument." w:history="1">
        <w:r w:rsidRPr="007F2A9F">
          <w:rPr>
            <w:color w:val="0563C1"/>
            <w:szCs w:val="24"/>
            <w:u w:val="single"/>
          </w:rPr>
          <w:t>http://data.europa.eu/eli/C/2025/5736/oj</w:t>
        </w:r>
      </w:hyperlink>
      <w:r w:rsidRPr="007F2A9F">
        <w:rPr>
          <w:szCs w:val="24"/>
        </w:rPr>
        <w:t>.</w:t>
      </w:r>
    </w:p>
  </w:footnote>
  <w:footnote w:id="136">
    <w:p w14:paraId="6321FF05" w14:textId="0FB565AB"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136" w:tgtFrame="_blank" w:tooltip="Povezava ELI na ta dokument." w:history="1">
        <w:r w:rsidRPr="007F2A9F">
          <w:rPr>
            <w:color w:val="467886"/>
            <w:szCs w:val="24"/>
            <w:u w:val="single"/>
          </w:rPr>
          <w:t>http://data.europa.eu/eli/C/2025/5407/oj</w:t>
        </w:r>
      </w:hyperlink>
      <w:r w:rsidRPr="007F2A9F">
        <w:rPr>
          <w:szCs w:val="24"/>
        </w:rPr>
        <w:t>.</w:t>
      </w:r>
    </w:p>
  </w:footnote>
  <w:footnote w:id="137">
    <w:p w14:paraId="2A4151DD" w14:textId="2E3BEE38"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137" w:history="1">
        <w:r w:rsidRPr="007F2A9F">
          <w:rPr>
            <w:rStyle w:val="Hyperlink"/>
            <w:sz w:val="24"/>
            <w:szCs w:val="24"/>
            <w:lang w:val="sl-SI"/>
          </w:rPr>
          <w:t>http://data.europa.eu/eli/reg/2018/1046/oj</w:t>
        </w:r>
      </w:hyperlink>
      <w:r w:rsidRPr="007F2A9F">
        <w:rPr>
          <w:sz w:val="24"/>
          <w:szCs w:val="24"/>
          <w:lang w:val="sl-SI"/>
        </w:rPr>
        <w:t>.</w:t>
      </w:r>
    </w:p>
  </w:footnote>
  <w:footnote w:id="138">
    <w:p w14:paraId="26EE461B" w14:textId="176F54BE"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138" w:history="1">
        <w:r w:rsidRPr="007F2A9F">
          <w:rPr>
            <w:rStyle w:val="Hyperlink"/>
            <w:sz w:val="24"/>
            <w:szCs w:val="24"/>
            <w:lang w:val="sl-SI"/>
          </w:rPr>
          <w:t>http://data.europa.eu/eli/reg/2024/2509/oj</w:t>
        </w:r>
      </w:hyperlink>
      <w:r w:rsidRPr="007F2A9F">
        <w:rPr>
          <w:sz w:val="24"/>
          <w:szCs w:val="24"/>
          <w:lang w:val="sl-SI"/>
        </w:rPr>
        <w:t>.</w:t>
      </w:r>
    </w:p>
  </w:footnote>
  <w:footnote w:id="139">
    <w:p w14:paraId="1E0443D7" w14:textId="4D8B202D"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39" w:history="1">
        <w:r w:rsidRPr="007F2A9F">
          <w:rPr>
            <w:rStyle w:val="Hyperlink"/>
            <w:sz w:val="24"/>
            <w:szCs w:val="24"/>
            <w:lang w:val="sl-SI"/>
          </w:rPr>
          <w:t>http://data.europa.eu/eli/reg/2021/2085/oj</w:t>
        </w:r>
      </w:hyperlink>
      <w:r w:rsidRPr="007F2A9F">
        <w:rPr>
          <w:sz w:val="24"/>
          <w:szCs w:val="24"/>
          <w:lang w:val="sl-SI"/>
        </w:rPr>
        <w:t>.</w:t>
      </w:r>
    </w:p>
  </w:footnote>
  <w:footnote w:id="140">
    <w:p w14:paraId="24AB5444" w14:textId="2FCDAFA7"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140" w:history="1">
        <w:r w:rsidRPr="007F2A9F">
          <w:rPr>
            <w:rStyle w:val="Hyperlink"/>
            <w:sz w:val="24"/>
            <w:szCs w:val="24"/>
            <w:lang w:val="sl-SI"/>
          </w:rPr>
          <w:t>http://data.europa.eu/eli/reg_del/2019/887/oj</w:t>
        </w:r>
      </w:hyperlink>
      <w:r w:rsidRPr="007F2A9F">
        <w:rPr>
          <w:sz w:val="24"/>
          <w:szCs w:val="24"/>
          <w:lang w:val="sl-SI"/>
        </w:rPr>
        <w:t>.</w:t>
      </w:r>
    </w:p>
  </w:footnote>
  <w:footnote w:id="141">
    <w:p w14:paraId="5BCC8147" w14:textId="21412B3B"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C/2025/5736, 31.10.2025, ELI: </w:t>
      </w:r>
      <w:hyperlink r:id="rId141" w:tgtFrame="_blank" w:tooltip="Povezava ELI na ta dokument." w:history="1">
        <w:r w:rsidRPr="007F2A9F">
          <w:rPr>
            <w:color w:val="0563C1"/>
            <w:szCs w:val="24"/>
            <w:u w:val="single"/>
          </w:rPr>
          <w:t>http://data.europa.eu/eli/C/2025/5736/oj</w:t>
        </w:r>
      </w:hyperlink>
      <w:r w:rsidRPr="007F2A9F">
        <w:rPr>
          <w:szCs w:val="24"/>
        </w:rPr>
        <w:t>.</w:t>
      </w:r>
    </w:p>
  </w:footnote>
  <w:footnote w:id="142">
    <w:p w14:paraId="4F88730F" w14:textId="4DEFBB70" w:rsidR="00621D46" w:rsidRPr="007F2A9F" w:rsidRDefault="00621D46" w:rsidP="00783D9F">
      <w:pPr>
        <w:ind w:left="567" w:hanging="567"/>
        <w:rPr>
          <w:szCs w:val="24"/>
        </w:rPr>
      </w:pPr>
      <w:r w:rsidRPr="007F2A9F">
        <w:rPr>
          <w:rStyle w:val="FootnoteReference"/>
          <w:szCs w:val="24"/>
        </w:rPr>
        <w:footnoteRef/>
      </w:r>
      <w:r w:rsidR="00783D9F" w:rsidRPr="007F2A9F">
        <w:rPr>
          <w:szCs w:val="24"/>
        </w:rPr>
        <w:t xml:space="preserve"> </w:t>
      </w:r>
      <w:r w:rsidR="00783D9F" w:rsidRPr="007F2A9F">
        <w:rPr>
          <w:szCs w:val="24"/>
        </w:rPr>
        <w:tab/>
      </w:r>
      <w:r w:rsidRPr="007F2A9F">
        <w:rPr>
          <w:szCs w:val="24"/>
        </w:rPr>
        <w:t xml:space="preserve">UL C, C/2025/5407, 13.10.2025, ELI: </w:t>
      </w:r>
      <w:hyperlink r:id="rId142" w:tgtFrame="_blank" w:tooltip="Povezava ELI na ta dokument." w:history="1">
        <w:r w:rsidRPr="007F2A9F">
          <w:rPr>
            <w:color w:val="467886"/>
            <w:szCs w:val="24"/>
            <w:u w:val="single"/>
          </w:rPr>
          <w:t>http://data.europa.eu/eli/C/2025/5407/oj</w:t>
        </w:r>
      </w:hyperlink>
      <w:r w:rsidRPr="007F2A9F">
        <w:rPr>
          <w:szCs w:val="24"/>
        </w:rPr>
        <w:t>.</w:t>
      </w:r>
    </w:p>
  </w:footnote>
  <w:footnote w:id="143">
    <w:p w14:paraId="40B2E05D" w14:textId="0E4CC9F2"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193, 30.7.2018, str. 1, ELI: </w:t>
      </w:r>
      <w:hyperlink r:id="rId143" w:history="1">
        <w:r w:rsidRPr="007F2A9F">
          <w:rPr>
            <w:rStyle w:val="Hyperlink"/>
            <w:sz w:val="24"/>
            <w:szCs w:val="24"/>
            <w:lang w:val="sl-SI"/>
          </w:rPr>
          <w:t>http://data.europa.eu/eli/reg/2018/1046/oj</w:t>
        </w:r>
      </w:hyperlink>
      <w:r w:rsidRPr="007F2A9F">
        <w:rPr>
          <w:sz w:val="24"/>
          <w:szCs w:val="24"/>
          <w:lang w:val="sl-SI"/>
        </w:rPr>
        <w:t>.</w:t>
      </w:r>
    </w:p>
  </w:footnote>
  <w:footnote w:id="144">
    <w:p w14:paraId="2956286D" w14:textId="1F8DE7D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2024/2509, 26.9.2024, ELI: </w:t>
      </w:r>
      <w:hyperlink r:id="rId144" w:history="1">
        <w:r w:rsidRPr="007F2A9F">
          <w:rPr>
            <w:rStyle w:val="Hyperlink"/>
            <w:sz w:val="24"/>
            <w:szCs w:val="24"/>
            <w:lang w:val="sl-SI"/>
          </w:rPr>
          <w:t>http://data.europa.eu/eli/reg/2024/2509/oj</w:t>
        </w:r>
      </w:hyperlink>
      <w:r w:rsidRPr="007F2A9F">
        <w:rPr>
          <w:sz w:val="24"/>
          <w:szCs w:val="24"/>
          <w:lang w:val="sl-SI"/>
        </w:rPr>
        <w:t>.</w:t>
      </w:r>
    </w:p>
  </w:footnote>
  <w:footnote w:id="145">
    <w:p w14:paraId="6959B2DD" w14:textId="20E2FA5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45" w:history="1">
        <w:r w:rsidRPr="007F2A9F">
          <w:rPr>
            <w:rStyle w:val="Hyperlink"/>
            <w:sz w:val="24"/>
            <w:szCs w:val="24"/>
            <w:lang w:val="sl-SI"/>
          </w:rPr>
          <w:t>http://data.europa.eu/eli/reg/2021/2085/oj</w:t>
        </w:r>
      </w:hyperlink>
      <w:r w:rsidRPr="007F2A9F">
        <w:rPr>
          <w:sz w:val="24"/>
          <w:szCs w:val="24"/>
          <w:lang w:val="sl-SI"/>
        </w:rPr>
        <w:t>.</w:t>
      </w:r>
    </w:p>
  </w:footnote>
  <w:footnote w:id="146">
    <w:p w14:paraId="312FBD40" w14:textId="08DCDC1E"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142, 29.5.2019, str. 16, ELI: </w:t>
      </w:r>
      <w:hyperlink r:id="rId146" w:history="1">
        <w:r w:rsidRPr="007F2A9F">
          <w:rPr>
            <w:rStyle w:val="Hyperlink"/>
            <w:sz w:val="24"/>
            <w:szCs w:val="24"/>
            <w:lang w:val="sl-SI"/>
          </w:rPr>
          <w:t>http://data.europa.eu/eli/reg_del/2019/887/oj</w:t>
        </w:r>
      </w:hyperlink>
      <w:r w:rsidRPr="007F2A9F">
        <w:rPr>
          <w:sz w:val="24"/>
          <w:szCs w:val="24"/>
          <w:lang w:val="sl-SI"/>
        </w:rPr>
        <w:t>.</w:t>
      </w:r>
    </w:p>
  </w:footnote>
  <w:footnote w:id="147">
    <w:p w14:paraId="0F7C087C" w14:textId="62601A15"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UL L 229, 31.7.2014, str. 1, ELI: </w:t>
      </w:r>
      <w:hyperlink r:id="rId147" w:tooltip="Povezava ELI na ta dokument." w:history="1">
        <w:r w:rsidRPr="007F2A9F">
          <w:rPr>
            <w:rStyle w:val="Hyperlink"/>
            <w:sz w:val="24"/>
            <w:szCs w:val="24"/>
            <w:lang w:val="sl-SI"/>
          </w:rPr>
          <w:t>http://data.europa.eu/eli/reg/2014/833/oj</w:t>
        </w:r>
      </w:hyperlink>
      <w:r w:rsidRPr="007F2A9F">
        <w:rPr>
          <w:sz w:val="24"/>
          <w:szCs w:val="24"/>
          <w:lang w:val="sl-SI"/>
        </w:rPr>
        <w:t>.</w:t>
      </w:r>
    </w:p>
  </w:footnote>
  <w:footnote w:id="148">
    <w:p w14:paraId="245E346C" w14:textId="1FC29A47"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UL L 229, 31.7.2014, str. 13, ELI: </w:t>
      </w:r>
      <w:hyperlink r:id="rId148" w:tooltip="Povezava ELI na ta dokument." w:history="1">
        <w:r w:rsidRPr="007F2A9F">
          <w:rPr>
            <w:rStyle w:val="Hyperlink"/>
            <w:sz w:val="24"/>
            <w:szCs w:val="24"/>
            <w:lang w:val="sl-SI"/>
          </w:rPr>
          <w:t>http://data.europa.eu/eli/dec/2014/512/oj</w:t>
        </w:r>
      </w:hyperlink>
      <w:r w:rsidRPr="007F2A9F">
        <w:rPr>
          <w:sz w:val="24"/>
          <w:szCs w:val="24"/>
          <w:lang w:val="sl-SI"/>
        </w:rPr>
        <w:t>.</w:t>
      </w:r>
    </w:p>
  </w:footnote>
  <w:footnote w:id="149">
    <w:p w14:paraId="4D0DCFA0" w14:textId="46970F40"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427, 30.11.2021, str. 17, ELI: </w:t>
      </w:r>
      <w:hyperlink r:id="rId149" w:history="1">
        <w:r w:rsidRPr="007F2A9F">
          <w:rPr>
            <w:rStyle w:val="Hyperlink"/>
            <w:sz w:val="24"/>
            <w:szCs w:val="24"/>
            <w:lang w:val="sl-SI"/>
          </w:rPr>
          <w:t>http://data.europa.eu/eli/reg/2021/2085/oj</w:t>
        </w:r>
      </w:hyperlink>
      <w:r w:rsidRPr="007F2A9F">
        <w:rPr>
          <w:sz w:val="24"/>
          <w:szCs w:val="24"/>
          <w:lang w:val="sl-SI"/>
        </w:rPr>
        <w:t>.</w:t>
      </w:r>
    </w:p>
  </w:footnote>
  <w:footnote w:id="150">
    <w:p w14:paraId="25E31667" w14:textId="2C30EB0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229, 18.9.2023, str. 55, ELI: </w:t>
      </w:r>
      <w:hyperlink r:id="rId150" w:history="1">
        <w:r w:rsidRPr="007F2A9F">
          <w:rPr>
            <w:rStyle w:val="Hyperlink"/>
            <w:sz w:val="24"/>
            <w:szCs w:val="24"/>
            <w:lang w:val="sl-SI"/>
          </w:rPr>
          <w:t>http://data.europa.eu/eli/reg/2023/1782/oj</w:t>
        </w:r>
      </w:hyperlink>
      <w:r w:rsidRPr="007F2A9F">
        <w:rPr>
          <w:sz w:val="24"/>
          <w:szCs w:val="24"/>
          <w:lang w:val="sl-SI"/>
        </w:rPr>
        <w:t>.</w:t>
      </w:r>
    </w:p>
  </w:footnote>
  <w:footnote w:id="151">
    <w:p w14:paraId="13DF28C4" w14:textId="6BB66BF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90, 30.3.2007, str. 58, ELI: </w:t>
      </w:r>
      <w:hyperlink r:id="rId151" w:history="1">
        <w:r w:rsidRPr="007F2A9F">
          <w:rPr>
            <w:rStyle w:val="Hyperlink"/>
            <w:sz w:val="24"/>
            <w:szCs w:val="24"/>
            <w:lang w:val="sl-SI"/>
          </w:rPr>
          <w:t>http://data.europa.eu/eli/dec/2007/198/oj</w:t>
        </w:r>
      </w:hyperlink>
      <w:r w:rsidRPr="007F2A9F">
        <w:rPr>
          <w:sz w:val="24"/>
          <w:szCs w:val="24"/>
          <w:lang w:val="sl-SI"/>
        </w:rPr>
        <w:t>.</w:t>
      </w:r>
    </w:p>
  </w:footnote>
  <w:footnote w:id="152">
    <w:p w14:paraId="732B9548" w14:textId="505A15C3"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256, 19.7.2021, str. 3, ELI: </w:t>
      </w:r>
      <w:hyperlink r:id="rId152" w:history="1">
        <w:r w:rsidRPr="007F2A9F">
          <w:rPr>
            <w:rStyle w:val="Hyperlink"/>
            <w:sz w:val="24"/>
            <w:szCs w:val="24"/>
            <w:lang w:val="sl-SI"/>
          </w:rPr>
          <w:t>http://data.europa.eu/eli/reg/2021/1173/oj</w:t>
        </w:r>
      </w:hyperlink>
      <w:r w:rsidRPr="007F2A9F">
        <w:rPr>
          <w:sz w:val="24"/>
          <w:szCs w:val="24"/>
          <w:lang w:val="sl-SI"/>
        </w:rPr>
        <w:t>.</w:t>
      </w:r>
    </w:p>
  </w:footnote>
  <w:footnote w:id="153">
    <w:p w14:paraId="6A0AE031" w14:textId="2B01CB0F"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 xml:space="preserve">UL L 202, 8.6.2021, str. 1, ELI: </w:t>
      </w:r>
      <w:hyperlink r:id="rId153" w:history="1">
        <w:r w:rsidRPr="007F2A9F">
          <w:rPr>
            <w:rStyle w:val="Hyperlink"/>
            <w:sz w:val="24"/>
            <w:szCs w:val="24"/>
            <w:lang w:val="sl-SI"/>
          </w:rPr>
          <w:t>http://data.europa.eu/eli/reg/2021/887/oj</w:t>
        </w:r>
      </w:hyperlink>
      <w:r w:rsidRPr="007F2A9F">
        <w:rPr>
          <w:sz w:val="24"/>
          <w:szCs w:val="24"/>
          <w:lang w:val="sl-SI"/>
        </w:rPr>
        <w:t>.</w:t>
      </w:r>
    </w:p>
  </w:footnote>
  <w:footnote w:id="154">
    <w:p w14:paraId="3E47AD83" w14:textId="7ED7C388"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hyperlink r:id="rId154" w:history="1">
        <w:r w:rsidR="007F2A9F" w:rsidRPr="00FD6206">
          <w:rPr>
            <w:rStyle w:val="Hyperlink"/>
            <w:sz w:val="24"/>
            <w:szCs w:val="24"/>
            <w:lang w:val="sl-SI"/>
          </w:rPr>
          <w:t>https://commission.europa.eu/funding-tenders/find-funding/eu-funding-programmes/iter_en</w:t>
        </w:r>
      </w:hyperlink>
    </w:p>
  </w:footnote>
  <w:footnote w:id="155">
    <w:p w14:paraId="5ED86224" w14:textId="0E0BC0B9" w:rsidR="00621D46" w:rsidRPr="007F2A9F" w:rsidRDefault="00621D46" w:rsidP="00783D9F">
      <w:pPr>
        <w:pStyle w:val="FootnoteText"/>
        <w:ind w:left="567" w:hanging="567"/>
        <w:rPr>
          <w:sz w:val="24"/>
          <w:szCs w:val="24"/>
          <w:lang w:val="sl-SI"/>
        </w:rPr>
      </w:pPr>
      <w:r w:rsidRPr="007F2A9F">
        <w:rPr>
          <w:rStyle w:val="FootnoteReference"/>
          <w:sz w:val="24"/>
          <w:szCs w:val="24"/>
          <w:lang w:val="sl-SI"/>
        </w:rPr>
        <w:footnoteRef/>
      </w:r>
      <w:r w:rsidR="00783D9F" w:rsidRPr="007F2A9F">
        <w:rPr>
          <w:sz w:val="24"/>
          <w:szCs w:val="24"/>
          <w:lang w:val="sl-SI"/>
        </w:rPr>
        <w:t xml:space="preserve"> </w:t>
      </w:r>
      <w:r w:rsidR="00783D9F" w:rsidRPr="007F2A9F">
        <w:rPr>
          <w:sz w:val="24"/>
          <w:szCs w:val="24"/>
          <w:lang w:val="sl-SI"/>
        </w:rPr>
        <w:tab/>
      </w:r>
      <w:r w:rsidRPr="007F2A9F">
        <w:rPr>
          <w:sz w:val="24"/>
          <w:szCs w:val="24"/>
          <w:lang w:val="sl-SI"/>
        </w:rPr>
        <w:t>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 L, 2024/1689</w:t>
      </w:r>
      <w:r w:rsidR="00C457AE" w:rsidRPr="007F2A9F">
        <w:rPr>
          <w:sz w:val="24"/>
          <w:szCs w:val="24"/>
          <w:lang w:val="sl-SI"/>
        </w:rPr>
        <w:t xml:space="preserve">, </w:t>
      </w:r>
      <w:r w:rsidR="00C457AE" w:rsidRPr="00FD6206">
        <w:rPr>
          <w:sz w:val="24"/>
          <w:szCs w:val="24"/>
          <w:lang w:val="sl-SI"/>
        </w:rPr>
        <w:t>12.7.2024, ELI: </w:t>
      </w:r>
      <w:hyperlink r:id="rId155" w:tgtFrame="_blank" w:tooltip="Permet d'accéder à ce document par l’intermédiaire de son URI ELI." w:history="1">
        <w:r w:rsidR="00C457AE" w:rsidRPr="00FD6206">
          <w:rPr>
            <w:rStyle w:val="Hyperlink"/>
            <w:sz w:val="24"/>
            <w:szCs w:val="24"/>
            <w:lang w:val="sl-SI"/>
          </w:rPr>
          <w:t>http://data.europa.eu/eli/reg/2024/1689/oj</w:t>
        </w:r>
      </w:hyperlink>
      <w:r w:rsidRPr="007F2A9F">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2429" w14:textId="77777777" w:rsidR="00064002" w:rsidRPr="00783D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224B" w14:textId="77777777" w:rsidR="00064002" w:rsidRPr="00783D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66B6" w14:textId="77777777" w:rsidR="00064002" w:rsidRPr="00783D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246FFBE">
      <w:start w:val="1"/>
      <w:numFmt w:val="upperLetter"/>
      <w:lvlText w:val="%1."/>
      <w:lvlJc w:val="left"/>
      <w:pPr>
        <w:tabs>
          <w:tab w:val="num" w:pos="360"/>
        </w:tabs>
        <w:ind w:left="360" w:hanging="360"/>
      </w:pPr>
      <w:rPr>
        <w:rFonts w:hint="default"/>
      </w:rPr>
    </w:lvl>
    <w:lvl w:ilvl="1" w:tplc="BA8055D0" w:tentative="1">
      <w:start w:val="1"/>
      <w:numFmt w:val="lowerLetter"/>
      <w:lvlText w:val="%2."/>
      <w:lvlJc w:val="left"/>
      <w:pPr>
        <w:tabs>
          <w:tab w:val="num" w:pos="1080"/>
        </w:tabs>
        <w:ind w:left="1080" w:hanging="360"/>
      </w:pPr>
    </w:lvl>
    <w:lvl w:ilvl="2" w:tplc="898AD476" w:tentative="1">
      <w:start w:val="1"/>
      <w:numFmt w:val="lowerRoman"/>
      <w:lvlText w:val="%3."/>
      <w:lvlJc w:val="right"/>
      <w:pPr>
        <w:tabs>
          <w:tab w:val="num" w:pos="1800"/>
        </w:tabs>
        <w:ind w:left="1800" w:hanging="180"/>
      </w:pPr>
    </w:lvl>
    <w:lvl w:ilvl="3" w:tplc="4B9E45EA" w:tentative="1">
      <w:start w:val="1"/>
      <w:numFmt w:val="decimal"/>
      <w:lvlText w:val="%4."/>
      <w:lvlJc w:val="left"/>
      <w:pPr>
        <w:tabs>
          <w:tab w:val="num" w:pos="2520"/>
        </w:tabs>
        <w:ind w:left="2520" w:hanging="360"/>
      </w:pPr>
    </w:lvl>
    <w:lvl w:ilvl="4" w:tplc="6EFE8248" w:tentative="1">
      <w:start w:val="1"/>
      <w:numFmt w:val="lowerLetter"/>
      <w:lvlText w:val="%5."/>
      <w:lvlJc w:val="left"/>
      <w:pPr>
        <w:tabs>
          <w:tab w:val="num" w:pos="3240"/>
        </w:tabs>
        <w:ind w:left="3240" w:hanging="360"/>
      </w:pPr>
    </w:lvl>
    <w:lvl w:ilvl="5" w:tplc="850CB160" w:tentative="1">
      <w:start w:val="1"/>
      <w:numFmt w:val="lowerRoman"/>
      <w:lvlText w:val="%6."/>
      <w:lvlJc w:val="right"/>
      <w:pPr>
        <w:tabs>
          <w:tab w:val="num" w:pos="3960"/>
        </w:tabs>
        <w:ind w:left="3960" w:hanging="180"/>
      </w:pPr>
    </w:lvl>
    <w:lvl w:ilvl="6" w:tplc="663ECB0C" w:tentative="1">
      <w:start w:val="1"/>
      <w:numFmt w:val="decimal"/>
      <w:lvlText w:val="%7."/>
      <w:lvlJc w:val="left"/>
      <w:pPr>
        <w:tabs>
          <w:tab w:val="num" w:pos="4680"/>
        </w:tabs>
        <w:ind w:left="4680" w:hanging="360"/>
      </w:pPr>
    </w:lvl>
    <w:lvl w:ilvl="7" w:tplc="46C0A4AA" w:tentative="1">
      <w:start w:val="1"/>
      <w:numFmt w:val="lowerLetter"/>
      <w:lvlText w:val="%8."/>
      <w:lvlJc w:val="left"/>
      <w:pPr>
        <w:tabs>
          <w:tab w:val="num" w:pos="5400"/>
        </w:tabs>
        <w:ind w:left="5400" w:hanging="360"/>
      </w:pPr>
    </w:lvl>
    <w:lvl w:ilvl="8" w:tplc="7A3A7A26"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5D82CC98">
      <w:numFmt w:val="bullet"/>
      <w:lvlText w:val="-"/>
      <w:lvlJc w:val="left"/>
      <w:pPr>
        <w:ind w:left="720" w:hanging="360"/>
      </w:pPr>
      <w:rPr>
        <w:rFonts w:ascii="Aptos" w:eastAsia="Aptos" w:hAnsi="Aptos" w:cs="Times New Roman" w:hint="default"/>
      </w:rPr>
    </w:lvl>
    <w:lvl w:ilvl="1" w:tplc="9ABC8BB4">
      <w:start w:val="1"/>
      <w:numFmt w:val="bullet"/>
      <w:lvlText w:val="o"/>
      <w:lvlJc w:val="left"/>
      <w:pPr>
        <w:ind w:left="1440" w:hanging="360"/>
      </w:pPr>
      <w:rPr>
        <w:rFonts w:ascii="Courier New" w:hAnsi="Courier New" w:cs="Courier New" w:hint="default"/>
      </w:rPr>
    </w:lvl>
    <w:lvl w:ilvl="2" w:tplc="DEEA6FBA">
      <w:start w:val="1"/>
      <w:numFmt w:val="bullet"/>
      <w:lvlText w:val=""/>
      <w:lvlJc w:val="left"/>
      <w:pPr>
        <w:ind w:left="2160" w:hanging="360"/>
      </w:pPr>
      <w:rPr>
        <w:rFonts w:ascii="Wingdings" w:hAnsi="Wingdings" w:hint="default"/>
      </w:rPr>
    </w:lvl>
    <w:lvl w:ilvl="3" w:tplc="BB900C7A">
      <w:start w:val="1"/>
      <w:numFmt w:val="bullet"/>
      <w:lvlText w:val=""/>
      <w:lvlJc w:val="left"/>
      <w:pPr>
        <w:ind w:left="2880" w:hanging="360"/>
      </w:pPr>
      <w:rPr>
        <w:rFonts w:ascii="Symbol" w:hAnsi="Symbol" w:hint="default"/>
      </w:rPr>
    </w:lvl>
    <w:lvl w:ilvl="4" w:tplc="0EE4C594">
      <w:start w:val="1"/>
      <w:numFmt w:val="bullet"/>
      <w:lvlText w:val="o"/>
      <w:lvlJc w:val="left"/>
      <w:pPr>
        <w:ind w:left="3600" w:hanging="360"/>
      </w:pPr>
      <w:rPr>
        <w:rFonts w:ascii="Courier New" w:hAnsi="Courier New" w:cs="Courier New" w:hint="default"/>
      </w:rPr>
    </w:lvl>
    <w:lvl w:ilvl="5" w:tplc="6C789068">
      <w:start w:val="1"/>
      <w:numFmt w:val="bullet"/>
      <w:lvlText w:val=""/>
      <w:lvlJc w:val="left"/>
      <w:pPr>
        <w:ind w:left="4320" w:hanging="360"/>
      </w:pPr>
      <w:rPr>
        <w:rFonts w:ascii="Wingdings" w:hAnsi="Wingdings" w:hint="default"/>
      </w:rPr>
    </w:lvl>
    <w:lvl w:ilvl="6" w:tplc="5AC46BD2">
      <w:start w:val="1"/>
      <w:numFmt w:val="bullet"/>
      <w:lvlText w:val=""/>
      <w:lvlJc w:val="left"/>
      <w:pPr>
        <w:ind w:left="5040" w:hanging="360"/>
      </w:pPr>
      <w:rPr>
        <w:rFonts w:ascii="Symbol" w:hAnsi="Symbol" w:hint="default"/>
      </w:rPr>
    </w:lvl>
    <w:lvl w:ilvl="7" w:tplc="EDAA50A4">
      <w:start w:val="1"/>
      <w:numFmt w:val="bullet"/>
      <w:lvlText w:val="o"/>
      <w:lvlJc w:val="left"/>
      <w:pPr>
        <w:ind w:left="5760" w:hanging="360"/>
      </w:pPr>
      <w:rPr>
        <w:rFonts w:ascii="Courier New" w:hAnsi="Courier New" w:cs="Courier New" w:hint="default"/>
      </w:rPr>
    </w:lvl>
    <w:lvl w:ilvl="8" w:tplc="1C46148E">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B7664DDE">
      <w:start w:val="1"/>
      <w:numFmt w:val="lowerLetter"/>
      <w:lvlText w:val="%1)"/>
      <w:lvlJc w:val="left"/>
      <w:pPr>
        <w:ind w:left="1287" w:hanging="360"/>
      </w:pPr>
    </w:lvl>
    <w:lvl w:ilvl="1" w:tplc="C9A2096E" w:tentative="1">
      <w:start w:val="1"/>
      <w:numFmt w:val="lowerLetter"/>
      <w:lvlText w:val="%2."/>
      <w:lvlJc w:val="left"/>
      <w:pPr>
        <w:ind w:left="2007" w:hanging="360"/>
      </w:pPr>
    </w:lvl>
    <w:lvl w:ilvl="2" w:tplc="3FD893A2" w:tentative="1">
      <w:start w:val="1"/>
      <w:numFmt w:val="lowerRoman"/>
      <w:lvlText w:val="%3."/>
      <w:lvlJc w:val="right"/>
      <w:pPr>
        <w:ind w:left="2727" w:hanging="180"/>
      </w:pPr>
    </w:lvl>
    <w:lvl w:ilvl="3" w:tplc="12B03F98" w:tentative="1">
      <w:start w:val="1"/>
      <w:numFmt w:val="decimal"/>
      <w:lvlText w:val="%4."/>
      <w:lvlJc w:val="left"/>
      <w:pPr>
        <w:ind w:left="3447" w:hanging="360"/>
      </w:pPr>
    </w:lvl>
    <w:lvl w:ilvl="4" w:tplc="19C86274" w:tentative="1">
      <w:start w:val="1"/>
      <w:numFmt w:val="lowerLetter"/>
      <w:lvlText w:val="%5."/>
      <w:lvlJc w:val="left"/>
      <w:pPr>
        <w:ind w:left="4167" w:hanging="360"/>
      </w:pPr>
    </w:lvl>
    <w:lvl w:ilvl="5" w:tplc="69FEBBC6" w:tentative="1">
      <w:start w:val="1"/>
      <w:numFmt w:val="lowerRoman"/>
      <w:lvlText w:val="%6."/>
      <w:lvlJc w:val="right"/>
      <w:pPr>
        <w:ind w:left="4887" w:hanging="180"/>
      </w:pPr>
    </w:lvl>
    <w:lvl w:ilvl="6" w:tplc="38B868DE" w:tentative="1">
      <w:start w:val="1"/>
      <w:numFmt w:val="decimal"/>
      <w:lvlText w:val="%7."/>
      <w:lvlJc w:val="left"/>
      <w:pPr>
        <w:ind w:left="5607" w:hanging="360"/>
      </w:pPr>
    </w:lvl>
    <w:lvl w:ilvl="7" w:tplc="6FA206D4" w:tentative="1">
      <w:start w:val="1"/>
      <w:numFmt w:val="lowerLetter"/>
      <w:lvlText w:val="%8."/>
      <w:lvlJc w:val="left"/>
      <w:pPr>
        <w:ind w:left="6327" w:hanging="360"/>
      </w:pPr>
    </w:lvl>
    <w:lvl w:ilvl="8" w:tplc="3F006DD4"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04661DC8">
      <w:start w:val="1"/>
      <w:numFmt w:val="decimal"/>
      <w:lvlText w:val="%1."/>
      <w:lvlJc w:val="left"/>
      <w:pPr>
        <w:tabs>
          <w:tab w:val="num" w:pos="720"/>
        </w:tabs>
        <w:ind w:left="720" w:hanging="360"/>
      </w:pPr>
    </w:lvl>
    <w:lvl w:ilvl="1" w:tplc="F942F752" w:tentative="1">
      <w:start w:val="1"/>
      <w:numFmt w:val="lowerLetter"/>
      <w:lvlText w:val="%2."/>
      <w:lvlJc w:val="left"/>
      <w:pPr>
        <w:tabs>
          <w:tab w:val="num" w:pos="1440"/>
        </w:tabs>
        <w:ind w:left="1440" w:hanging="360"/>
      </w:pPr>
    </w:lvl>
    <w:lvl w:ilvl="2" w:tplc="AD0AC596" w:tentative="1">
      <w:start w:val="1"/>
      <w:numFmt w:val="lowerRoman"/>
      <w:lvlText w:val="%3."/>
      <w:lvlJc w:val="right"/>
      <w:pPr>
        <w:tabs>
          <w:tab w:val="num" w:pos="2160"/>
        </w:tabs>
        <w:ind w:left="2160" w:hanging="180"/>
      </w:pPr>
    </w:lvl>
    <w:lvl w:ilvl="3" w:tplc="AA0C1502" w:tentative="1">
      <w:start w:val="1"/>
      <w:numFmt w:val="decimal"/>
      <w:lvlText w:val="%4."/>
      <w:lvlJc w:val="left"/>
      <w:pPr>
        <w:tabs>
          <w:tab w:val="num" w:pos="2880"/>
        </w:tabs>
        <w:ind w:left="2880" w:hanging="360"/>
      </w:pPr>
    </w:lvl>
    <w:lvl w:ilvl="4" w:tplc="6674E7A0" w:tentative="1">
      <w:start w:val="1"/>
      <w:numFmt w:val="lowerLetter"/>
      <w:lvlText w:val="%5."/>
      <w:lvlJc w:val="left"/>
      <w:pPr>
        <w:tabs>
          <w:tab w:val="num" w:pos="3600"/>
        </w:tabs>
        <w:ind w:left="3600" w:hanging="360"/>
      </w:pPr>
    </w:lvl>
    <w:lvl w:ilvl="5" w:tplc="7980B0D8" w:tentative="1">
      <w:start w:val="1"/>
      <w:numFmt w:val="lowerRoman"/>
      <w:lvlText w:val="%6."/>
      <w:lvlJc w:val="right"/>
      <w:pPr>
        <w:tabs>
          <w:tab w:val="num" w:pos="4320"/>
        </w:tabs>
        <w:ind w:left="4320" w:hanging="180"/>
      </w:pPr>
    </w:lvl>
    <w:lvl w:ilvl="6" w:tplc="DFE28038" w:tentative="1">
      <w:start w:val="1"/>
      <w:numFmt w:val="decimal"/>
      <w:lvlText w:val="%7."/>
      <w:lvlJc w:val="left"/>
      <w:pPr>
        <w:tabs>
          <w:tab w:val="num" w:pos="5040"/>
        </w:tabs>
        <w:ind w:left="5040" w:hanging="360"/>
      </w:pPr>
    </w:lvl>
    <w:lvl w:ilvl="7" w:tplc="89144A8E" w:tentative="1">
      <w:start w:val="1"/>
      <w:numFmt w:val="lowerLetter"/>
      <w:lvlText w:val="%8."/>
      <w:lvlJc w:val="left"/>
      <w:pPr>
        <w:tabs>
          <w:tab w:val="num" w:pos="5760"/>
        </w:tabs>
        <w:ind w:left="5760" w:hanging="360"/>
      </w:pPr>
    </w:lvl>
    <w:lvl w:ilvl="8" w:tplc="BEC086D4"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768191084">
    <w:abstractNumId w:val="9"/>
  </w:num>
  <w:num w:numId="2" w16cid:durableId="483618911">
    <w:abstractNumId w:val="9"/>
  </w:num>
  <w:num w:numId="3" w16cid:durableId="463349943">
    <w:abstractNumId w:val="7"/>
  </w:num>
  <w:num w:numId="4" w16cid:durableId="622582">
    <w:abstractNumId w:val="7"/>
  </w:num>
  <w:num w:numId="5" w16cid:durableId="1930842384">
    <w:abstractNumId w:val="6"/>
  </w:num>
  <w:num w:numId="6" w16cid:durableId="1681078116">
    <w:abstractNumId w:val="6"/>
  </w:num>
  <w:num w:numId="7" w16cid:durableId="681012280">
    <w:abstractNumId w:val="5"/>
  </w:num>
  <w:num w:numId="8" w16cid:durableId="2055809">
    <w:abstractNumId w:val="5"/>
  </w:num>
  <w:num w:numId="9" w16cid:durableId="1422683108">
    <w:abstractNumId w:val="4"/>
  </w:num>
  <w:num w:numId="10" w16cid:durableId="1041368987">
    <w:abstractNumId w:val="4"/>
  </w:num>
  <w:num w:numId="11" w16cid:durableId="244724796">
    <w:abstractNumId w:val="8"/>
  </w:num>
  <w:num w:numId="12" w16cid:durableId="1149783996">
    <w:abstractNumId w:val="8"/>
  </w:num>
  <w:num w:numId="13" w16cid:durableId="527719331">
    <w:abstractNumId w:val="3"/>
  </w:num>
  <w:num w:numId="14" w16cid:durableId="2008091097">
    <w:abstractNumId w:val="3"/>
  </w:num>
  <w:num w:numId="15" w16cid:durableId="1070421759">
    <w:abstractNumId w:val="2"/>
  </w:num>
  <w:num w:numId="16" w16cid:durableId="2141073050">
    <w:abstractNumId w:val="2"/>
  </w:num>
  <w:num w:numId="17" w16cid:durableId="1824928799">
    <w:abstractNumId w:val="1"/>
  </w:num>
  <w:num w:numId="18" w16cid:durableId="1613174297">
    <w:abstractNumId w:val="1"/>
  </w:num>
  <w:num w:numId="19" w16cid:durableId="1461455030">
    <w:abstractNumId w:val="0"/>
  </w:num>
  <w:num w:numId="20" w16cid:durableId="662859703">
    <w:abstractNumId w:val="0"/>
  </w:num>
  <w:num w:numId="21" w16cid:durableId="194316017">
    <w:abstractNumId w:val="9"/>
  </w:num>
  <w:num w:numId="22" w16cid:durableId="826172921">
    <w:abstractNumId w:val="7"/>
  </w:num>
  <w:num w:numId="23" w16cid:durableId="1100638782">
    <w:abstractNumId w:val="6"/>
  </w:num>
  <w:num w:numId="24" w16cid:durableId="444888476">
    <w:abstractNumId w:val="5"/>
  </w:num>
  <w:num w:numId="25" w16cid:durableId="1094862246">
    <w:abstractNumId w:val="4"/>
  </w:num>
  <w:num w:numId="26" w16cid:durableId="234322640">
    <w:abstractNumId w:val="8"/>
  </w:num>
  <w:num w:numId="27" w16cid:durableId="1192569926">
    <w:abstractNumId w:val="3"/>
  </w:num>
  <w:num w:numId="28" w16cid:durableId="854270690">
    <w:abstractNumId w:val="2"/>
  </w:num>
  <w:num w:numId="29" w16cid:durableId="1208418324">
    <w:abstractNumId w:val="1"/>
  </w:num>
  <w:num w:numId="30" w16cid:durableId="1831828100">
    <w:abstractNumId w:val="0"/>
  </w:num>
  <w:num w:numId="31" w16cid:durableId="1267157972">
    <w:abstractNumId w:val="9"/>
  </w:num>
  <w:num w:numId="32" w16cid:durableId="218054327">
    <w:abstractNumId w:val="7"/>
  </w:num>
  <w:num w:numId="33" w16cid:durableId="1272663763">
    <w:abstractNumId w:val="6"/>
  </w:num>
  <w:num w:numId="34" w16cid:durableId="2039769867">
    <w:abstractNumId w:val="5"/>
  </w:num>
  <w:num w:numId="35" w16cid:durableId="1247576000">
    <w:abstractNumId w:val="4"/>
  </w:num>
  <w:num w:numId="36" w16cid:durableId="557058812">
    <w:abstractNumId w:val="8"/>
  </w:num>
  <w:num w:numId="37" w16cid:durableId="126435403">
    <w:abstractNumId w:val="3"/>
  </w:num>
  <w:num w:numId="38" w16cid:durableId="1704479698">
    <w:abstractNumId w:val="2"/>
  </w:num>
  <w:num w:numId="39" w16cid:durableId="287787504">
    <w:abstractNumId w:val="1"/>
  </w:num>
  <w:num w:numId="40" w16cid:durableId="1119105760">
    <w:abstractNumId w:val="0"/>
  </w:num>
  <w:num w:numId="41" w16cid:durableId="2033606643">
    <w:abstractNumId w:val="10"/>
  </w:num>
  <w:num w:numId="42" w16cid:durableId="286350892">
    <w:abstractNumId w:val="10"/>
  </w:num>
  <w:num w:numId="43" w16cid:durableId="808278933">
    <w:abstractNumId w:val="10"/>
  </w:num>
  <w:num w:numId="44" w16cid:durableId="1791439736">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SL"/>
    <w:docVar w:name="dvnumam" w:val="0"/>
    <w:docVar w:name="dvpe" w:val="778.122"/>
    <w:docVar w:name="dvrapporteur" w:val="Poročevalec: "/>
    <w:docVar w:name="dvtitre" w:val="Sklep Evropskega parlamenta z dne … 2026 o razrešnici glede izvrševanja proračuna skupnih podjetij EU za proračunsko leto 2024(2025/2157(DEC))"/>
  </w:docVars>
  <w:rsids>
    <w:rsidRoot w:val="0074496B"/>
    <w:rsid w:val="00002272"/>
    <w:rsid w:val="00064002"/>
    <w:rsid w:val="00065A73"/>
    <w:rsid w:val="000677B9"/>
    <w:rsid w:val="000831BA"/>
    <w:rsid w:val="000A42CC"/>
    <w:rsid w:val="000E1B16"/>
    <w:rsid w:val="000E7DD9"/>
    <w:rsid w:val="0010095E"/>
    <w:rsid w:val="00125B37"/>
    <w:rsid w:val="00187494"/>
    <w:rsid w:val="001F32AE"/>
    <w:rsid w:val="002767FF"/>
    <w:rsid w:val="00297409"/>
    <w:rsid w:val="002B18FE"/>
    <w:rsid w:val="002B5493"/>
    <w:rsid w:val="002D318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576"/>
    <w:rsid w:val="006037C0"/>
    <w:rsid w:val="00621D46"/>
    <w:rsid w:val="006631B6"/>
    <w:rsid w:val="00677D0B"/>
    <w:rsid w:val="00680577"/>
    <w:rsid w:val="006F74FA"/>
    <w:rsid w:val="00731ADD"/>
    <w:rsid w:val="00734777"/>
    <w:rsid w:val="0074496B"/>
    <w:rsid w:val="00747932"/>
    <w:rsid w:val="00751A4A"/>
    <w:rsid w:val="00756632"/>
    <w:rsid w:val="007607AD"/>
    <w:rsid w:val="00762C74"/>
    <w:rsid w:val="0076615C"/>
    <w:rsid w:val="00783D9F"/>
    <w:rsid w:val="00786EC0"/>
    <w:rsid w:val="007B69A9"/>
    <w:rsid w:val="007D1690"/>
    <w:rsid w:val="007E22AD"/>
    <w:rsid w:val="007F2A9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7F5"/>
    <w:rsid w:val="00A4678D"/>
    <w:rsid w:val="00A778C7"/>
    <w:rsid w:val="00AB441E"/>
    <w:rsid w:val="00AB6293"/>
    <w:rsid w:val="00AE0928"/>
    <w:rsid w:val="00AF3B82"/>
    <w:rsid w:val="00B06B96"/>
    <w:rsid w:val="00B12E95"/>
    <w:rsid w:val="00B22876"/>
    <w:rsid w:val="00B305D3"/>
    <w:rsid w:val="00B32BE8"/>
    <w:rsid w:val="00B558F0"/>
    <w:rsid w:val="00B570F7"/>
    <w:rsid w:val="00BD48FE"/>
    <w:rsid w:val="00BD7BD8"/>
    <w:rsid w:val="00BE5EDB"/>
    <w:rsid w:val="00BE6ADC"/>
    <w:rsid w:val="00C05BFE"/>
    <w:rsid w:val="00C23CD4"/>
    <w:rsid w:val="00C457AE"/>
    <w:rsid w:val="00C61C0C"/>
    <w:rsid w:val="00C941CB"/>
    <w:rsid w:val="00CC2357"/>
    <w:rsid w:val="00CC41B0"/>
    <w:rsid w:val="00CF071A"/>
    <w:rsid w:val="00D058B8"/>
    <w:rsid w:val="00D56C11"/>
    <w:rsid w:val="00D834A0"/>
    <w:rsid w:val="00D872DF"/>
    <w:rsid w:val="00D91E21"/>
    <w:rsid w:val="00DA7FCD"/>
    <w:rsid w:val="00E365E1"/>
    <w:rsid w:val="00E820A4"/>
    <w:rsid w:val="00EB006A"/>
    <w:rsid w:val="00EB4772"/>
    <w:rsid w:val="00ED169E"/>
    <w:rsid w:val="00ED4235"/>
    <w:rsid w:val="00F03E92"/>
    <w:rsid w:val="00F04346"/>
    <w:rsid w:val="00F075DC"/>
    <w:rsid w:val="00F149E9"/>
    <w:rsid w:val="00F5134D"/>
    <w:rsid w:val="00F74202"/>
    <w:rsid w:val="00F762FC"/>
    <w:rsid w:val="00F852FD"/>
    <w:rsid w:val="00F87713"/>
    <w:rsid w:val="00FB4360"/>
    <w:rsid w:val="00FD0C70"/>
    <w:rsid w:val="00FD620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913A0"/>
  <w15:chartTrackingRefBased/>
  <w15:docId w15:val="{BE34BEF5-CF4D-4948-94B6-0D344E236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21D46"/>
    <w:rPr>
      <w:b/>
      <w:kern w:val="28"/>
      <w:sz w:val="28"/>
      <w:lang w:val="fr-FR" w:eastAsia="fr-FR"/>
    </w:rPr>
  </w:style>
  <w:style w:type="character" w:customStyle="1" w:styleId="Heading2Char">
    <w:name w:val="Heading 2 Char"/>
    <w:basedOn w:val="DefaultParagraphFont"/>
    <w:link w:val="Heading2"/>
    <w:semiHidden/>
    <w:rsid w:val="00621D46"/>
    <w:rPr>
      <w:sz w:val="24"/>
      <w:lang w:val="fr-FR" w:eastAsia="fr-FR"/>
    </w:rPr>
  </w:style>
  <w:style w:type="character" w:customStyle="1" w:styleId="Heading3Char">
    <w:name w:val="Heading 3 Char"/>
    <w:basedOn w:val="DefaultParagraphFont"/>
    <w:link w:val="Heading3"/>
    <w:semiHidden/>
    <w:rsid w:val="00621D46"/>
    <w:rPr>
      <w:rFonts w:ascii="Arial" w:hAnsi="Arial"/>
      <w:sz w:val="24"/>
      <w:lang w:val="fr-FR" w:eastAsia="fr-FR"/>
    </w:rPr>
  </w:style>
  <w:style w:type="character" w:customStyle="1" w:styleId="Heading4Char">
    <w:name w:val="Heading 4 Char"/>
    <w:basedOn w:val="DefaultParagraphFont"/>
    <w:link w:val="Heading4"/>
    <w:semiHidden/>
    <w:rsid w:val="00621D46"/>
    <w:rPr>
      <w:sz w:val="24"/>
      <w:lang w:val="en-US" w:eastAsia="fr-FR"/>
    </w:rPr>
  </w:style>
  <w:style w:type="character" w:customStyle="1" w:styleId="Heading5Char">
    <w:name w:val="Heading 5 Char"/>
    <w:basedOn w:val="DefaultParagraphFont"/>
    <w:link w:val="Heading5"/>
    <w:semiHidden/>
    <w:rsid w:val="00621D46"/>
    <w:rPr>
      <w:sz w:val="24"/>
      <w:lang w:val="en-US" w:eastAsia="fr-FR"/>
    </w:rPr>
  </w:style>
  <w:style w:type="character" w:customStyle="1" w:styleId="Heading6Char">
    <w:name w:val="Heading 6 Char"/>
    <w:basedOn w:val="DefaultParagraphFont"/>
    <w:link w:val="Heading6"/>
    <w:semiHidden/>
    <w:rsid w:val="00621D46"/>
    <w:rPr>
      <w:i/>
      <w:sz w:val="22"/>
      <w:lang w:val="sl-SI"/>
    </w:rPr>
  </w:style>
  <w:style w:type="character" w:customStyle="1" w:styleId="Heading7Char">
    <w:name w:val="Heading 7 Char"/>
    <w:basedOn w:val="DefaultParagraphFont"/>
    <w:link w:val="Heading7"/>
    <w:semiHidden/>
    <w:rsid w:val="00621D46"/>
    <w:rPr>
      <w:rFonts w:ascii="Arial" w:hAnsi="Arial"/>
      <w:sz w:val="24"/>
      <w:lang w:val="sl-SI"/>
    </w:rPr>
  </w:style>
  <w:style w:type="character" w:customStyle="1" w:styleId="Heading8Char">
    <w:name w:val="Heading 8 Char"/>
    <w:basedOn w:val="DefaultParagraphFont"/>
    <w:link w:val="Heading8"/>
    <w:semiHidden/>
    <w:rsid w:val="00621D46"/>
    <w:rPr>
      <w:rFonts w:ascii="Arial" w:hAnsi="Arial"/>
      <w:i/>
      <w:sz w:val="24"/>
      <w:lang w:val="sl-SI"/>
    </w:rPr>
  </w:style>
  <w:style w:type="character" w:customStyle="1" w:styleId="Heading9Char">
    <w:name w:val="Heading 9 Char"/>
    <w:basedOn w:val="DefaultParagraphFont"/>
    <w:link w:val="Heading9"/>
    <w:semiHidden/>
    <w:rsid w:val="00621D46"/>
    <w:rPr>
      <w:rFonts w:ascii="Arial" w:hAnsi="Arial"/>
      <w:b/>
      <w:i/>
      <w:sz w:val="18"/>
      <w:lang w:val="sl-SI"/>
    </w:rPr>
  </w:style>
  <w:style w:type="paragraph" w:styleId="TOCHeading">
    <w:name w:val="TOC Heading"/>
    <w:basedOn w:val="Normal"/>
    <w:next w:val="Normal"/>
    <w:unhideWhenUsed/>
    <w:qFormat/>
    <w:rsid w:val="00621D46"/>
    <w:pPr>
      <w:widowControl/>
      <w:spacing w:after="240"/>
    </w:pPr>
    <w:rPr>
      <w:lang w:val="en-GB"/>
    </w:rPr>
  </w:style>
  <w:style w:type="paragraph" w:customStyle="1" w:styleId="EPFooter2">
    <w:name w:val="EPFooter2"/>
    <w:basedOn w:val="Normal"/>
    <w:next w:val="Normal"/>
    <w:rsid w:val="00621D4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21D46"/>
    <w:pPr>
      <w:spacing w:before="480" w:after="240"/>
    </w:pPr>
  </w:style>
  <w:style w:type="paragraph" w:customStyle="1" w:styleId="TOCPage">
    <w:name w:val="TOC Page"/>
    <w:basedOn w:val="Normal"/>
    <w:next w:val="TOC1"/>
    <w:rsid w:val="00621D46"/>
    <w:pPr>
      <w:keepNext/>
      <w:spacing w:after="240"/>
      <w:jc w:val="right"/>
    </w:pPr>
    <w:rPr>
      <w:rFonts w:ascii="Arial" w:hAnsi="Arial"/>
      <w:b/>
    </w:rPr>
  </w:style>
  <w:style w:type="paragraph" w:customStyle="1" w:styleId="PageHeading">
    <w:name w:val="PageHeading"/>
    <w:basedOn w:val="Normal"/>
    <w:rsid w:val="00621D46"/>
    <w:pPr>
      <w:keepNext/>
      <w:spacing w:after="480"/>
      <w:jc w:val="center"/>
    </w:pPr>
    <w:rPr>
      <w:rFonts w:ascii="Arial" w:hAnsi="Arial" w:cs="Arial"/>
      <w:b/>
    </w:rPr>
  </w:style>
  <w:style w:type="paragraph" w:customStyle="1" w:styleId="NormalBold">
    <w:name w:val="NormalBold"/>
    <w:basedOn w:val="Normal"/>
    <w:rsid w:val="00621D46"/>
    <w:rPr>
      <w:b/>
    </w:rPr>
  </w:style>
  <w:style w:type="paragraph" w:customStyle="1" w:styleId="NormalHanging12a">
    <w:name w:val="NormalHanging12a"/>
    <w:basedOn w:val="Normal"/>
    <w:link w:val="NormalHanging12aChar"/>
    <w:rsid w:val="00621D46"/>
    <w:pPr>
      <w:spacing w:after="240"/>
      <w:ind w:left="567" w:hanging="567"/>
    </w:pPr>
  </w:style>
  <w:style w:type="paragraph" w:customStyle="1" w:styleId="Subheading">
    <w:name w:val="Subheading"/>
    <w:basedOn w:val="Normal"/>
    <w:rsid w:val="00621D46"/>
    <w:pPr>
      <w:spacing w:before="480" w:after="240"/>
    </w:pPr>
    <w:rPr>
      <w:b/>
      <w:i/>
    </w:rPr>
  </w:style>
  <w:style w:type="paragraph" w:customStyle="1" w:styleId="CoverNormal24a">
    <w:name w:val="CoverNormal24a"/>
    <w:basedOn w:val="Normal"/>
    <w:rsid w:val="00621D46"/>
    <w:pPr>
      <w:spacing w:after="480"/>
      <w:ind w:left="1417"/>
    </w:pPr>
  </w:style>
  <w:style w:type="paragraph" w:customStyle="1" w:styleId="CoverNormal">
    <w:name w:val="CoverNormal"/>
    <w:basedOn w:val="Normal"/>
    <w:rsid w:val="00621D46"/>
    <w:pPr>
      <w:ind w:left="1418"/>
    </w:pPr>
  </w:style>
  <w:style w:type="paragraph" w:customStyle="1" w:styleId="CoverReference">
    <w:name w:val="CoverReference"/>
    <w:basedOn w:val="Normal"/>
    <w:link w:val="CoverReferenceChar"/>
    <w:rsid w:val="00621D46"/>
    <w:pPr>
      <w:spacing w:before="1080"/>
      <w:jc w:val="right"/>
    </w:pPr>
    <w:rPr>
      <w:rFonts w:ascii="Arial" w:hAnsi="Arial" w:cs="Arial"/>
      <w:b/>
    </w:rPr>
  </w:style>
  <w:style w:type="paragraph" w:customStyle="1" w:styleId="CoverDocType24a">
    <w:name w:val="CoverDocType24a"/>
    <w:basedOn w:val="Normal"/>
    <w:rsid w:val="00621D46"/>
    <w:pPr>
      <w:spacing w:after="480"/>
      <w:ind w:left="1418"/>
    </w:pPr>
    <w:rPr>
      <w:rFonts w:ascii="Arial" w:hAnsi="Arial"/>
      <w:b/>
      <w:sz w:val="48"/>
    </w:rPr>
  </w:style>
  <w:style w:type="paragraph" w:customStyle="1" w:styleId="CoverDate">
    <w:name w:val="CoverDate"/>
    <w:basedOn w:val="Normal"/>
    <w:rsid w:val="00621D46"/>
    <w:pPr>
      <w:spacing w:before="240" w:after="1200"/>
    </w:pPr>
  </w:style>
  <w:style w:type="paragraph" w:styleId="Header">
    <w:name w:val="header"/>
    <w:basedOn w:val="Normal"/>
    <w:link w:val="HeaderChar"/>
    <w:rsid w:val="00621D46"/>
    <w:pPr>
      <w:tabs>
        <w:tab w:val="center" w:pos="4513"/>
        <w:tab w:val="right" w:pos="9026"/>
      </w:tabs>
    </w:pPr>
  </w:style>
  <w:style w:type="character" w:customStyle="1" w:styleId="HeaderChar">
    <w:name w:val="Header Char"/>
    <w:basedOn w:val="DefaultParagraphFont"/>
    <w:link w:val="Header"/>
    <w:rsid w:val="00621D46"/>
    <w:rPr>
      <w:sz w:val="24"/>
      <w:lang w:val="sl-SI"/>
    </w:rPr>
  </w:style>
  <w:style w:type="paragraph" w:customStyle="1" w:styleId="EPBody">
    <w:name w:val="EPBody"/>
    <w:basedOn w:val="Normal"/>
    <w:rsid w:val="00621D46"/>
    <w:pPr>
      <w:jc w:val="center"/>
    </w:pPr>
    <w:rPr>
      <w:rFonts w:ascii="Arial" w:hAnsi="Arial" w:cs="Arial"/>
      <w:i/>
      <w:sz w:val="22"/>
      <w:szCs w:val="22"/>
    </w:rPr>
  </w:style>
  <w:style w:type="paragraph" w:customStyle="1" w:styleId="EPFooter">
    <w:name w:val="EPFooter"/>
    <w:basedOn w:val="Normal"/>
    <w:rsid w:val="00621D46"/>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621D46"/>
    <w:rPr>
      <w:rFonts w:ascii="Times New Roman" w:hAnsi="Times New Roman"/>
    </w:rPr>
  </w:style>
  <w:style w:type="character" w:customStyle="1" w:styleId="PageHeadingDecChar">
    <w:name w:val="PageHeadingDec Char"/>
    <w:basedOn w:val="DefaultParagraphFont"/>
    <w:link w:val="PageHeadingDec"/>
    <w:rsid w:val="00621D46"/>
    <w:rPr>
      <w:rFonts w:cs="Arial"/>
      <w:b/>
      <w:sz w:val="24"/>
      <w:lang w:val="sl-SI"/>
    </w:rPr>
  </w:style>
  <w:style w:type="paragraph" w:customStyle="1" w:styleId="PageHeadingNotTOC">
    <w:name w:val="PageHeadingNotTOC"/>
    <w:basedOn w:val="Normal"/>
    <w:link w:val="PageHeadingNotTOCChar"/>
    <w:rsid w:val="00621D46"/>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621D46"/>
    <w:rPr>
      <w:sz w:val="24"/>
      <w:lang w:val="sl-SI"/>
    </w:rPr>
  </w:style>
  <w:style w:type="paragraph" w:styleId="TOC8">
    <w:name w:val="toc 8"/>
    <w:basedOn w:val="Normal"/>
    <w:next w:val="Normal"/>
    <w:autoRedefine/>
    <w:uiPriority w:val="39"/>
    <w:rsid w:val="00621D46"/>
    <w:pPr>
      <w:spacing w:after="240"/>
    </w:pPr>
    <w:rPr>
      <w:b/>
    </w:rPr>
  </w:style>
  <w:style w:type="paragraph" w:styleId="TOC9">
    <w:name w:val="toc 9"/>
    <w:basedOn w:val="Normal"/>
    <w:next w:val="Normal"/>
    <w:autoRedefine/>
    <w:uiPriority w:val="39"/>
    <w:rsid w:val="00621D46"/>
    <w:pPr>
      <w:spacing w:after="100"/>
      <w:jc w:val="center"/>
    </w:pPr>
  </w:style>
  <w:style w:type="paragraph" w:styleId="TOC7">
    <w:name w:val="toc 7"/>
    <w:basedOn w:val="Normal"/>
    <w:next w:val="Normal"/>
    <w:autoRedefine/>
    <w:uiPriority w:val="39"/>
    <w:rsid w:val="00621D46"/>
    <w:pPr>
      <w:tabs>
        <w:tab w:val="right" w:leader="dot" w:pos="9060"/>
      </w:tabs>
      <w:spacing w:after="240"/>
      <w:ind w:left="720" w:hanging="720"/>
    </w:pPr>
  </w:style>
  <w:style w:type="character" w:styleId="Hyperlink">
    <w:name w:val="Hyperlink"/>
    <w:basedOn w:val="DefaultParagraphFont"/>
    <w:uiPriority w:val="99"/>
    <w:rsid w:val="00621D46"/>
    <w:rPr>
      <w:color w:val="0563C1" w:themeColor="hyperlink"/>
      <w:u w:val="single"/>
    </w:rPr>
  </w:style>
  <w:style w:type="character" w:styleId="CommentReference">
    <w:name w:val="annotation reference"/>
    <w:basedOn w:val="DefaultParagraphFont"/>
    <w:rsid w:val="00621D46"/>
    <w:rPr>
      <w:sz w:val="16"/>
      <w:szCs w:val="16"/>
    </w:rPr>
  </w:style>
  <w:style w:type="paragraph" w:styleId="CommentText">
    <w:name w:val="annotation text"/>
    <w:basedOn w:val="Normal"/>
    <w:link w:val="CommentTextChar"/>
    <w:rsid w:val="00621D46"/>
    <w:rPr>
      <w:sz w:val="20"/>
    </w:rPr>
  </w:style>
  <w:style w:type="character" w:customStyle="1" w:styleId="CommentTextChar">
    <w:name w:val="Comment Text Char"/>
    <w:basedOn w:val="DefaultParagraphFont"/>
    <w:link w:val="CommentText"/>
    <w:rsid w:val="00621D46"/>
    <w:rPr>
      <w:lang w:val="sl-SI"/>
    </w:rPr>
  </w:style>
  <w:style w:type="paragraph" w:styleId="CommentSubject">
    <w:name w:val="annotation subject"/>
    <w:basedOn w:val="CommentText"/>
    <w:next w:val="CommentText"/>
    <w:link w:val="CommentSubjectChar"/>
    <w:unhideWhenUsed/>
    <w:rsid w:val="00621D46"/>
    <w:rPr>
      <w:b/>
      <w:bCs/>
    </w:rPr>
  </w:style>
  <w:style w:type="character" w:customStyle="1" w:styleId="CommentSubjectChar">
    <w:name w:val="Comment Subject Char"/>
    <w:basedOn w:val="CommentTextChar"/>
    <w:link w:val="CommentSubject"/>
    <w:rsid w:val="00621D46"/>
    <w:rPr>
      <w:b/>
      <w:bCs/>
      <w:lang w:val="sl-SI"/>
    </w:rPr>
  </w:style>
  <w:style w:type="paragraph" w:styleId="Revision">
    <w:name w:val="Revision"/>
    <w:hidden/>
    <w:uiPriority w:val="99"/>
    <w:semiHidden/>
    <w:rsid w:val="00621D46"/>
    <w:rPr>
      <w:sz w:val="24"/>
      <w:lang w:val="sl-SI"/>
    </w:rPr>
  </w:style>
  <w:style w:type="paragraph" w:styleId="BalloonText">
    <w:name w:val="Balloon Text"/>
    <w:basedOn w:val="Normal"/>
    <w:link w:val="BalloonTextChar"/>
    <w:unhideWhenUsed/>
    <w:rsid w:val="00621D46"/>
    <w:rPr>
      <w:rFonts w:ascii="Segoe UI" w:hAnsi="Segoe UI" w:cs="Segoe UI"/>
      <w:sz w:val="18"/>
      <w:szCs w:val="18"/>
    </w:rPr>
  </w:style>
  <w:style w:type="character" w:customStyle="1" w:styleId="BalloonTextChar">
    <w:name w:val="Balloon Text Char"/>
    <w:basedOn w:val="DefaultParagraphFont"/>
    <w:link w:val="BalloonText"/>
    <w:rsid w:val="00621D46"/>
    <w:rPr>
      <w:rFonts w:ascii="Segoe UI" w:hAnsi="Segoe UI" w:cs="Segoe UI"/>
      <w:sz w:val="18"/>
      <w:szCs w:val="18"/>
      <w:lang w:val="sl-SI"/>
    </w:rPr>
  </w:style>
  <w:style w:type="paragraph" w:styleId="ListParagraph">
    <w:name w:val="List Paragraph"/>
    <w:basedOn w:val="Normal"/>
    <w:uiPriority w:val="34"/>
    <w:qFormat/>
    <w:rsid w:val="00621D46"/>
    <w:pPr>
      <w:ind w:left="720"/>
      <w:contextualSpacing/>
    </w:pPr>
  </w:style>
  <w:style w:type="character" w:styleId="FollowedHyperlink">
    <w:name w:val="FollowedHyperlink"/>
    <w:basedOn w:val="DefaultParagraphFont"/>
    <w:rsid w:val="00621D46"/>
    <w:rPr>
      <w:color w:val="954F72" w:themeColor="followedHyperlink"/>
      <w:u w:val="single"/>
    </w:rPr>
  </w:style>
  <w:style w:type="character" w:styleId="UnresolvedMention">
    <w:name w:val="Unresolved Mention"/>
    <w:basedOn w:val="DefaultParagraphFont"/>
    <w:uiPriority w:val="99"/>
    <w:semiHidden/>
    <w:unhideWhenUsed/>
    <w:rsid w:val="00621D46"/>
    <w:rPr>
      <w:color w:val="605E5C"/>
      <w:shd w:val="clear" w:color="auto" w:fill="E1DFDD"/>
    </w:rPr>
  </w:style>
  <w:style w:type="paragraph" w:styleId="NormalWeb">
    <w:name w:val="Normal (Web)"/>
    <w:basedOn w:val="Normal"/>
    <w:rsid w:val="00621D46"/>
    <w:rPr>
      <w:szCs w:val="24"/>
    </w:rPr>
  </w:style>
  <w:style w:type="paragraph" w:styleId="EndnoteText">
    <w:name w:val="endnote text"/>
    <w:basedOn w:val="Normal"/>
    <w:link w:val="EndnoteTextChar"/>
    <w:rsid w:val="00621D46"/>
    <w:rPr>
      <w:sz w:val="20"/>
    </w:rPr>
  </w:style>
  <w:style w:type="character" w:customStyle="1" w:styleId="EndnoteTextChar">
    <w:name w:val="Endnote Text Char"/>
    <w:basedOn w:val="DefaultParagraphFont"/>
    <w:link w:val="EndnoteText"/>
    <w:rsid w:val="00621D46"/>
    <w:rPr>
      <w:lang w:val="sl-SI"/>
    </w:rPr>
  </w:style>
  <w:style w:type="character" w:styleId="EndnoteReference">
    <w:name w:val="endnote reference"/>
    <w:basedOn w:val="DefaultParagraphFont"/>
    <w:rsid w:val="00621D46"/>
    <w:rPr>
      <w:vertAlign w:val="superscript"/>
    </w:rPr>
  </w:style>
  <w:style w:type="paragraph" w:styleId="Footer">
    <w:name w:val="footer"/>
    <w:basedOn w:val="Normal"/>
    <w:link w:val="FooterChar"/>
    <w:rsid w:val="00621D46"/>
    <w:pPr>
      <w:tabs>
        <w:tab w:val="center" w:pos="4513"/>
        <w:tab w:val="right" w:pos="9026"/>
      </w:tabs>
    </w:pPr>
  </w:style>
  <w:style w:type="character" w:customStyle="1" w:styleId="FooterChar">
    <w:name w:val="Footer Char"/>
    <w:basedOn w:val="DefaultParagraphFont"/>
    <w:link w:val="Footer"/>
    <w:rsid w:val="00621D46"/>
    <w:rPr>
      <w:sz w:val="24"/>
      <w:lang w:val="sl-SI"/>
    </w:rPr>
  </w:style>
  <w:style w:type="character" w:styleId="LineNumber">
    <w:name w:val="line number"/>
    <w:basedOn w:val="DefaultParagraphFont"/>
    <w:rsid w:val="00621D46"/>
  </w:style>
  <w:style w:type="paragraph" w:customStyle="1" w:styleId="RollCallSubtitle">
    <w:name w:val="RollCallSubtitle"/>
    <w:basedOn w:val="Normal"/>
    <w:qFormat/>
    <w:rsid w:val="00621D46"/>
    <w:pPr>
      <w:snapToGrid w:val="0"/>
      <w:spacing w:after="240"/>
    </w:pPr>
    <w:rPr>
      <w:lang w:val="en-GB" w:eastAsia="en-US"/>
    </w:rPr>
  </w:style>
  <w:style w:type="character" w:customStyle="1" w:styleId="PageHeadingNotTOCChar">
    <w:name w:val="PageHeadingNotTOC Char"/>
    <w:basedOn w:val="DefaultParagraphFont"/>
    <w:link w:val="PageHeadingNotTOC"/>
    <w:locked/>
    <w:rsid w:val="00621D46"/>
    <w:rPr>
      <w:rFonts w:ascii="Arial" w:hAnsi="Arial" w:cs="Arial"/>
      <w:b/>
      <w:sz w:val="24"/>
      <w:lang w:val="sl-SI"/>
    </w:rPr>
  </w:style>
  <w:style w:type="paragraph" w:customStyle="1" w:styleId="Normal12a">
    <w:name w:val="Normal12a"/>
    <w:basedOn w:val="Normal"/>
    <w:rsid w:val="00621D46"/>
    <w:pPr>
      <w:spacing w:after="240"/>
    </w:pPr>
    <w:rPr>
      <w:lang w:val="en-GB"/>
    </w:rPr>
  </w:style>
  <w:style w:type="paragraph" w:customStyle="1" w:styleId="RollCallVotes">
    <w:name w:val="RollCallVotes"/>
    <w:basedOn w:val="Normal"/>
    <w:rsid w:val="00621D46"/>
    <w:pPr>
      <w:spacing w:before="120" w:after="120"/>
      <w:jc w:val="center"/>
    </w:pPr>
    <w:rPr>
      <w:b/>
      <w:bCs/>
      <w:snapToGrid w:val="0"/>
      <w:sz w:val="16"/>
      <w:lang w:val="en-GB" w:eastAsia="en-US"/>
    </w:rPr>
  </w:style>
  <w:style w:type="paragraph" w:customStyle="1" w:styleId="RollCallTabs">
    <w:name w:val="RollCallTabs"/>
    <w:basedOn w:val="Normal"/>
    <w:qFormat/>
    <w:rsid w:val="00621D46"/>
    <w:pPr>
      <w:tabs>
        <w:tab w:val="center" w:pos="284"/>
        <w:tab w:val="left" w:pos="426"/>
      </w:tabs>
    </w:pPr>
    <w:rPr>
      <w:snapToGrid w:val="0"/>
      <w:lang w:val="en-GB" w:eastAsia="en-US"/>
    </w:rPr>
  </w:style>
  <w:style w:type="paragraph" w:customStyle="1" w:styleId="RollCallSymbols14pt">
    <w:name w:val="RollCallSymbols14pt"/>
    <w:basedOn w:val="Normal"/>
    <w:rsid w:val="00621D46"/>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621D46"/>
    <w:pPr>
      <w:spacing w:before="120" w:after="120"/>
    </w:pPr>
    <w:rPr>
      <w:snapToGrid w:val="0"/>
      <w:sz w:val="16"/>
      <w:lang w:val="en-GB" w:eastAsia="en-US"/>
    </w:rPr>
  </w:style>
  <w:style w:type="paragraph" w:customStyle="1" w:styleId="Normal24a">
    <w:name w:val="Normal24a"/>
    <w:basedOn w:val="Normal"/>
    <w:link w:val="Normal24aChar"/>
    <w:rsid w:val="00621D46"/>
    <w:pPr>
      <w:spacing w:after="480"/>
    </w:pPr>
    <w:rPr>
      <w:rFonts w:ascii="Arial" w:hAnsi="Arial" w:cs="Arial"/>
    </w:rPr>
  </w:style>
  <w:style w:type="character" w:customStyle="1" w:styleId="CoverReferenceChar">
    <w:name w:val="CoverReference Char"/>
    <w:basedOn w:val="DefaultParagraphFont"/>
    <w:link w:val="CoverReference"/>
    <w:rsid w:val="00621D46"/>
    <w:rPr>
      <w:rFonts w:ascii="Arial" w:hAnsi="Arial" w:cs="Arial"/>
      <w:b/>
      <w:sz w:val="24"/>
      <w:lang w:val="sl-SI"/>
    </w:rPr>
  </w:style>
  <w:style w:type="character" w:customStyle="1" w:styleId="Normal24aChar">
    <w:name w:val="Normal24a Char"/>
    <w:basedOn w:val="CoverReferenceChar"/>
    <w:link w:val="Normal24a"/>
    <w:rsid w:val="00621D46"/>
    <w:rPr>
      <w:rFonts w:ascii="Arial" w:hAnsi="Arial" w:cs="Arial"/>
      <w:b w:val="0"/>
      <w:sz w:val="24"/>
      <w:lang w:val="sl-SI"/>
    </w:rPr>
  </w:style>
  <w:style w:type="paragraph" w:customStyle="1" w:styleId="NormalBold0">
    <w:name w:val="Normal Bold"/>
    <w:basedOn w:val="Normal"/>
    <w:uiPriority w:val="99"/>
    <w:rsid w:val="00621D46"/>
    <w:pPr>
      <w:snapToGrid w:val="0"/>
    </w:pPr>
    <w:rPr>
      <w:b/>
      <w:lang w:val="en-GB" w:eastAsia="en-US"/>
    </w:rPr>
  </w:style>
  <w:style w:type="paragraph" w:customStyle="1" w:styleId="NormalBoldCenter">
    <w:name w:val="NormalBoldCenter"/>
    <w:basedOn w:val="Normal"/>
    <w:rsid w:val="00621D46"/>
    <w:pPr>
      <w:jc w:val="center"/>
    </w:pPr>
    <w:rPr>
      <w:b/>
      <w:lang w:val="en-GB"/>
    </w:rPr>
  </w:style>
  <w:style w:type="paragraph" w:customStyle="1" w:styleId="Footprint12b">
    <w:name w:val="Footprint12b"/>
    <w:basedOn w:val="Normal"/>
    <w:rsid w:val="00621D46"/>
    <w:pPr>
      <w:spacing w:before="240"/>
    </w:pPr>
    <w:rPr>
      <w:szCs w:val="24"/>
      <w:lang w:val="en-GB"/>
    </w:rPr>
  </w:style>
  <w:style w:type="paragraph" w:customStyle="1" w:styleId="NormalSingle">
    <w:name w:val="NormalSingle"/>
    <w:basedOn w:val="Normal"/>
    <w:qFormat/>
    <w:rsid w:val="00621D46"/>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18289</Words>
  <Characters>110470</Characters>
  <Application>Microsoft Office Word</Application>
  <DocSecurity>0</DocSecurity>
  <Lines>920</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2026-05-20T15:16:00Z</dcterms:created>
  <dcterms:modified xsi:type="dcterms:W3CDTF">2026-05-20T15:16:00Z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P10_TA(2026)0137_</vt:lpwstr>
  </property>
  <property fmtid="{D5CDD505-2E9C-101B-9397-08002B2CF9AE}" pid="4" name="&lt;Type&gt;">
    <vt:lpwstr>RR</vt:lpwstr>
  </property>
</Properties>
</file>